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17E19">
      <w:pPr>
        <w:spacing w:before="156" w:beforeLines="50"/>
        <w:jc w:val="center"/>
        <w:rPr>
          <w:rFonts w:ascii="仿宋_GB2312" w:eastAsia="仿宋_GB2312"/>
          <w:b/>
          <w:color w:val="auto"/>
          <w:sz w:val="72"/>
          <w:szCs w:val="72"/>
          <w:highlight w:val="none"/>
        </w:rPr>
      </w:pPr>
    </w:p>
    <w:p w14:paraId="26D90834">
      <w:pPr>
        <w:spacing w:before="156" w:beforeLines="50"/>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公开招标采购文件</w:t>
      </w:r>
    </w:p>
    <w:p w14:paraId="445E0A83">
      <w:pPr>
        <w:snapToGrid w:val="0"/>
        <w:jc w:val="center"/>
        <w:rPr>
          <w:rFonts w:ascii="仿宋_GB2312" w:eastAsia="仿宋_GB2312"/>
          <w:color w:val="auto"/>
          <w:sz w:val="48"/>
          <w:szCs w:val="48"/>
          <w:highlight w:val="none"/>
        </w:rPr>
      </w:pPr>
    </w:p>
    <w:p w14:paraId="0D83709E">
      <w:pPr>
        <w:snapToGrid w:val="0"/>
        <w:jc w:val="center"/>
        <w:rPr>
          <w:rFonts w:ascii="仿宋_GB2312" w:eastAsia="仿宋_GB2312"/>
          <w:color w:val="auto"/>
          <w:sz w:val="48"/>
          <w:szCs w:val="48"/>
          <w:highlight w:val="none"/>
        </w:rPr>
      </w:pPr>
    </w:p>
    <w:p w14:paraId="6B9C74EA">
      <w:pPr>
        <w:snapToGrid w:val="0"/>
        <w:ind w:firstLine="1843"/>
        <w:rPr>
          <w:rFonts w:ascii="仿宋_GB2312" w:eastAsia="仿宋_GB2312"/>
          <w:b/>
          <w:bCs/>
          <w:color w:val="auto"/>
          <w:sz w:val="30"/>
          <w:szCs w:val="30"/>
          <w:highlight w:val="none"/>
        </w:rPr>
      </w:pPr>
      <w:r>
        <w:rPr>
          <w:rFonts w:hint="eastAsia" w:ascii="仿宋_GB2312" w:eastAsia="仿宋_GB2312"/>
          <w:b/>
          <w:bCs/>
          <w:color w:val="auto"/>
          <w:sz w:val="30"/>
          <w:szCs w:val="30"/>
          <w:highlight w:val="none"/>
        </w:rPr>
        <w:t>项目编号：GXZC2026-G1-000961-CGZX</w:t>
      </w:r>
    </w:p>
    <w:p w14:paraId="4150DEDC">
      <w:pPr>
        <w:snapToGrid w:val="0"/>
        <w:ind w:firstLine="1485" w:firstLineChars="493"/>
        <w:jc w:val="left"/>
        <w:rPr>
          <w:rFonts w:ascii="仿宋_GB2312" w:eastAsia="仿宋_GB2312"/>
          <w:b/>
          <w:color w:val="auto"/>
          <w:sz w:val="30"/>
          <w:szCs w:val="72"/>
          <w:highlight w:val="none"/>
          <w:lang w:val="en"/>
        </w:rPr>
      </w:pPr>
      <w:r>
        <w:rPr>
          <w:rFonts w:hint="eastAsia" w:ascii="仿宋_GB2312" w:eastAsia="仿宋_GB2312"/>
          <w:b/>
          <w:color w:val="auto"/>
          <w:sz w:val="30"/>
          <w:szCs w:val="72"/>
          <w:highlight w:val="none"/>
        </w:rPr>
        <w:t xml:space="preserve">  项目名称：电梯采购及安装</w:t>
      </w:r>
    </w:p>
    <w:p w14:paraId="07EAC98C">
      <w:pPr>
        <w:snapToGrid w:val="0"/>
        <w:ind w:firstLine="1843" w:firstLineChars="612"/>
        <w:rPr>
          <w:rFonts w:ascii="仿宋_GB2312" w:eastAsia="仿宋_GB2312"/>
          <w:b/>
          <w:color w:val="auto"/>
          <w:sz w:val="30"/>
          <w:szCs w:val="72"/>
          <w:highlight w:val="none"/>
        </w:rPr>
      </w:pPr>
    </w:p>
    <w:p w14:paraId="1FDA8212">
      <w:pPr>
        <w:snapToGrid w:val="0"/>
        <w:ind w:firstLine="1485" w:firstLineChars="493"/>
        <w:rPr>
          <w:rFonts w:ascii="仿宋_GB2312" w:eastAsia="仿宋_GB2312"/>
          <w:b/>
          <w:color w:val="auto"/>
          <w:sz w:val="44"/>
          <w:szCs w:val="44"/>
          <w:highlight w:val="none"/>
          <w:lang w:val="en"/>
        </w:rPr>
      </w:pPr>
      <w:r>
        <w:rPr>
          <w:rFonts w:hint="eastAsia" w:ascii="仿宋_GB2312" w:eastAsia="仿宋_GB2312"/>
          <w:b/>
          <w:color w:val="auto"/>
          <w:sz w:val="30"/>
          <w:szCs w:val="72"/>
          <w:highlight w:val="none"/>
        </w:rPr>
        <w:t xml:space="preserve">  采购单位：广西壮族自治区财政厅机关服务中心</w:t>
      </w:r>
    </w:p>
    <w:p w14:paraId="2DE89050">
      <w:pPr>
        <w:snapToGrid w:val="0"/>
        <w:ind w:firstLine="2861" w:firstLineChars="950"/>
        <w:rPr>
          <w:rFonts w:ascii="仿宋_GB2312" w:eastAsia="仿宋_GB2312"/>
          <w:b/>
          <w:color w:val="auto"/>
          <w:sz w:val="30"/>
          <w:szCs w:val="72"/>
          <w:highlight w:val="none"/>
        </w:rPr>
      </w:pPr>
    </w:p>
    <w:p w14:paraId="4ABACA44">
      <w:pPr>
        <w:ind w:firstLine="2861" w:firstLineChars="950"/>
        <w:rPr>
          <w:rFonts w:ascii="仿宋_GB2312" w:eastAsia="仿宋_GB2312"/>
          <w:b/>
          <w:color w:val="auto"/>
          <w:sz w:val="30"/>
          <w:szCs w:val="72"/>
          <w:highlight w:val="none"/>
        </w:rPr>
      </w:pPr>
    </w:p>
    <w:p w14:paraId="771B167B">
      <w:pPr>
        <w:ind w:firstLine="2861" w:firstLineChars="950"/>
        <w:rPr>
          <w:rFonts w:ascii="仿宋_GB2312" w:eastAsia="仿宋_GB2312"/>
          <w:b/>
          <w:color w:val="auto"/>
          <w:sz w:val="30"/>
          <w:szCs w:val="72"/>
          <w:highlight w:val="none"/>
        </w:rPr>
      </w:pPr>
    </w:p>
    <w:p w14:paraId="41B64A12">
      <w:pPr>
        <w:ind w:firstLine="2861" w:firstLineChars="950"/>
        <w:rPr>
          <w:rFonts w:ascii="仿宋_GB2312" w:eastAsia="仿宋_GB2312"/>
          <w:b/>
          <w:color w:val="auto"/>
          <w:sz w:val="30"/>
          <w:szCs w:val="72"/>
          <w:highlight w:val="none"/>
        </w:rPr>
      </w:pPr>
    </w:p>
    <w:p w14:paraId="41E97EBB">
      <w:pPr>
        <w:ind w:firstLine="2861" w:firstLineChars="950"/>
        <w:rPr>
          <w:rFonts w:ascii="仿宋_GB2312" w:eastAsia="仿宋_GB2312"/>
          <w:b/>
          <w:color w:val="auto"/>
          <w:sz w:val="30"/>
          <w:szCs w:val="72"/>
          <w:highlight w:val="none"/>
        </w:rPr>
      </w:pPr>
    </w:p>
    <w:p w14:paraId="37B64547">
      <w:pPr>
        <w:ind w:firstLine="2861" w:firstLineChars="950"/>
        <w:rPr>
          <w:rFonts w:ascii="仿宋_GB2312" w:eastAsia="仿宋_GB2312"/>
          <w:b/>
          <w:color w:val="auto"/>
          <w:sz w:val="30"/>
          <w:szCs w:val="72"/>
          <w:highlight w:val="none"/>
        </w:rPr>
      </w:pPr>
    </w:p>
    <w:p w14:paraId="39E97F94">
      <w:pPr>
        <w:snapToGrid w:val="0"/>
        <w:spacing w:before="156" w:beforeLines="50"/>
        <w:rPr>
          <w:rFonts w:ascii="仿宋_GB2312" w:eastAsia="仿宋_GB2312"/>
          <w:b/>
          <w:color w:val="auto"/>
          <w:sz w:val="30"/>
          <w:szCs w:val="72"/>
          <w:highlight w:val="none"/>
        </w:rPr>
      </w:pPr>
      <w:r>
        <w:rPr>
          <w:rFonts w:hint="eastAsia" w:ascii="仿宋_GB2312" w:eastAsia="仿宋_GB2312"/>
          <w:b/>
          <w:color w:val="auto"/>
          <w:sz w:val="30"/>
          <w:szCs w:val="72"/>
          <w:highlight w:val="none"/>
        </w:rPr>
        <w:t xml:space="preserve">        采购代理机构：广西壮族自治区政府采购中心</w:t>
      </w:r>
    </w:p>
    <w:p w14:paraId="55AC04C1">
      <w:pPr>
        <w:snapToGrid w:val="0"/>
        <w:spacing w:before="156" w:beforeLines="50"/>
        <w:rPr>
          <w:rFonts w:ascii="仿宋_GB2312" w:eastAsia="仿宋_GB2312"/>
          <w:b/>
          <w:color w:val="auto"/>
          <w:szCs w:val="21"/>
          <w:highlight w:val="none"/>
        </w:rPr>
      </w:pPr>
    </w:p>
    <w:p w14:paraId="13BD8E65">
      <w:pPr>
        <w:snapToGrid w:val="0"/>
        <w:spacing w:before="156" w:beforeLines="50"/>
        <w:jc w:val="center"/>
        <w:rPr>
          <w:rFonts w:ascii="仿宋_GB2312" w:eastAsia="仿宋_GB2312"/>
          <w:b/>
          <w:color w:val="auto"/>
          <w:sz w:val="30"/>
          <w:szCs w:val="72"/>
          <w:highlight w:val="none"/>
          <w:lang w:val="en"/>
        </w:rPr>
      </w:pPr>
      <w:r>
        <w:rPr>
          <w:rFonts w:ascii="仿宋_GB2312" w:eastAsia="仿宋_GB2312"/>
          <w:b/>
          <w:color w:val="auto"/>
          <w:sz w:val="30"/>
          <w:szCs w:val="72"/>
          <w:highlight w:val="none"/>
          <w:lang w:val="en"/>
        </w:rPr>
        <w:t>202</w:t>
      </w:r>
      <w:r>
        <w:rPr>
          <w:rFonts w:hint="eastAsia" w:ascii="仿宋_GB2312" w:eastAsia="仿宋_GB2312"/>
          <w:b/>
          <w:color w:val="auto"/>
          <w:sz w:val="30"/>
          <w:szCs w:val="72"/>
          <w:highlight w:val="none"/>
        </w:rPr>
        <w:t>6</w:t>
      </w:r>
      <w:r>
        <w:rPr>
          <w:rFonts w:ascii="仿宋_GB2312" w:eastAsia="仿宋_GB2312"/>
          <w:b/>
          <w:color w:val="auto"/>
          <w:sz w:val="30"/>
          <w:szCs w:val="72"/>
          <w:highlight w:val="none"/>
          <w:lang w:val="en"/>
        </w:rPr>
        <w:t>年</w:t>
      </w:r>
      <w:r>
        <w:rPr>
          <w:rFonts w:hint="default" w:ascii="仿宋_GB2312" w:eastAsia="仿宋_GB2312"/>
          <w:b/>
          <w:color w:val="auto"/>
          <w:sz w:val="30"/>
          <w:szCs w:val="72"/>
          <w:highlight w:val="none"/>
          <w:lang w:val="en"/>
        </w:rPr>
        <w:t>5</w:t>
      </w:r>
      <w:r>
        <w:rPr>
          <w:rFonts w:ascii="仿宋_GB2312" w:eastAsia="仿宋_GB2312"/>
          <w:b/>
          <w:color w:val="auto"/>
          <w:sz w:val="30"/>
          <w:szCs w:val="72"/>
          <w:highlight w:val="none"/>
          <w:lang w:val="en"/>
        </w:rPr>
        <w:t>月</w:t>
      </w:r>
    </w:p>
    <w:p w14:paraId="15063871">
      <w:pPr>
        <w:pStyle w:val="28"/>
        <w:jc w:val="center"/>
        <w:rPr>
          <w:rFonts w:ascii="隶书" w:eastAsia="隶书"/>
          <w:b/>
          <w:color w:val="auto"/>
          <w:sz w:val="44"/>
          <w:highlight w:val="none"/>
        </w:rPr>
      </w:pPr>
    </w:p>
    <w:p w14:paraId="6E5E0FA7">
      <w:pPr>
        <w:rPr>
          <w:color w:val="auto"/>
          <w:highlight w:val="none"/>
        </w:rPr>
        <w:sectPr>
          <w:headerReference r:id="rId5" w:type="default"/>
          <w:footerReference r:id="rId6" w:type="default"/>
          <w:pgSz w:w="11906" w:h="16838"/>
          <w:pgMar w:top="1247" w:right="1247" w:bottom="1247" w:left="1247" w:header="851" w:footer="992" w:gutter="0"/>
          <w:pgNumType w:start="0"/>
          <w:cols w:space="720" w:num="1"/>
          <w:docGrid w:type="lines" w:linePitch="312" w:charSpace="0"/>
        </w:sectPr>
      </w:pPr>
    </w:p>
    <w:p w14:paraId="49B24ED6">
      <w:pPr>
        <w:rPr>
          <w:color w:val="auto"/>
          <w:highlight w:val="none"/>
        </w:rPr>
      </w:pPr>
    </w:p>
    <w:p w14:paraId="4FEDB173">
      <w:pPr>
        <w:pStyle w:val="28"/>
        <w:tabs>
          <w:tab w:val="left" w:pos="4204"/>
        </w:tabs>
        <w:jc w:val="left"/>
        <w:rPr>
          <w:rFonts w:ascii="隶书" w:eastAsia="隶书"/>
          <w:b/>
          <w:color w:val="auto"/>
          <w:sz w:val="44"/>
          <w:highlight w:val="none"/>
        </w:rPr>
      </w:pPr>
      <w:r>
        <w:rPr>
          <w:rFonts w:hint="eastAsia" w:ascii="隶书" w:eastAsia="隶书"/>
          <w:b/>
          <w:color w:val="auto"/>
          <w:sz w:val="44"/>
          <w:highlight w:val="none"/>
        </w:rPr>
        <w:tab/>
      </w:r>
      <w:r>
        <w:rPr>
          <w:rFonts w:hint="eastAsia" w:ascii="隶书" w:eastAsia="隶书"/>
          <w:b/>
          <w:color w:val="auto"/>
          <w:sz w:val="44"/>
          <w:highlight w:val="none"/>
        </w:rPr>
        <w:t>目   录</w:t>
      </w:r>
    </w:p>
    <w:p w14:paraId="23DDAC95">
      <w:pPr>
        <w:pStyle w:val="28"/>
        <w:spacing w:before="120" w:after="120" w:line="360" w:lineRule="auto"/>
        <w:jc w:val="center"/>
        <w:rPr>
          <w:rFonts w:ascii="仿宋_GB2312" w:eastAsia="仿宋_GB2312"/>
          <w:b/>
          <w:color w:val="auto"/>
          <w:sz w:val="44"/>
          <w:szCs w:val="44"/>
          <w:highlight w:val="none"/>
        </w:rPr>
      </w:pPr>
    </w:p>
    <w:p w14:paraId="77762195">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第一章 公开招标公告……………………………………………… 2</w:t>
      </w:r>
    </w:p>
    <w:p w14:paraId="048893E3">
      <w:pPr>
        <w:spacing w:before="156" w:beforeLines="50" w:line="600" w:lineRule="auto"/>
        <w:ind w:firstLine="360" w:firstLineChars="128"/>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第二章 招标项目采购需求 …………………………………………6 </w:t>
      </w:r>
    </w:p>
    <w:p w14:paraId="1F316C62">
      <w:pPr>
        <w:spacing w:before="156" w:beforeLines="50" w:line="600" w:lineRule="auto"/>
        <w:ind w:left="360"/>
        <w:rPr>
          <w:rFonts w:hint="default" w:ascii="仿宋_GB2312" w:eastAsia="仿宋_GB2312"/>
          <w:b/>
          <w:color w:val="auto"/>
          <w:sz w:val="28"/>
          <w:szCs w:val="28"/>
          <w:highlight w:val="none"/>
          <w:lang w:val="en"/>
        </w:rPr>
      </w:pPr>
      <w:r>
        <w:rPr>
          <w:rFonts w:hint="eastAsia" w:ascii="仿宋_GB2312" w:eastAsia="仿宋_GB2312"/>
          <w:b/>
          <w:color w:val="auto"/>
          <w:sz w:val="28"/>
          <w:szCs w:val="28"/>
          <w:highlight w:val="none"/>
        </w:rPr>
        <w:t>第三章 投标人须知………………………………………………… 3</w:t>
      </w:r>
      <w:r>
        <w:rPr>
          <w:rFonts w:hint="default" w:ascii="仿宋_GB2312" w:eastAsia="仿宋_GB2312"/>
          <w:b/>
          <w:color w:val="auto"/>
          <w:sz w:val="28"/>
          <w:szCs w:val="28"/>
          <w:highlight w:val="none"/>
          <w:lang w:val="en"/>
        </w:rPr>
        <w:t>4</w:t>
      </w:r>
    </w:p>
    <w:p w14:paraId="5A0C9B9E">
      <w:pPr>
        <w:spacing w:before="156" w:beforeLines="50" w:line="600" w:lineRule="auto"/>
        <w:ind w:left="360"/>
        <w:rPr>
          <w:rFonts w:ascii="仿宋_GB2312" w:eastAsia="仿宋_GB2312"/>
          <w:b/>
          <w:color w:val="auto"/>
          <w:sz w:val="28"/>
          <w:szCs w:val="28"/>
          <w:highlight w:val="none"/>
        </w:rPr>
      </w:pPr>
      <w:r>
        <w:rPr>
          <w:rFonts w:hint="eastAsia" w:ascii="仿宋_GB2312" w:eastAsia="仿宋_GB2312"/>
          <w:b/>
          <w:color w:val="auto"/>
          <w:sz w:val="28"/>
          <w:szCs w:val="28"/>
          <w:highlight w:val="none"/>
        </w:rPr>
        <w:t>第四章 评标方法及评分标准……………………………………… 51</w:t>
      </w:r>
    </w:p>
    <w:p w14:paraId="53707305">
      <w:pPr>
        <w:spacing w:before="156" w:beforeLines="50" w:line="600" w:lineRule="auto"/>
        <w:ind w:left="360"/>
        <w:rPr>
          <w:rFonts w:hint="default" w:ascii="仿宋_GB2312" w:eastAsia="仿宋_GB2312"/>
          <w:b/>
          <w:color w:val="auto"/>
          <w:sz w:val="28"/>
          <w:szCs w:val="28"/>
          <w:highlight w:val="none"/>
          <w:lang w:val="en"/>
        </w:rPr>
      </w:pPr>
      <w:r>
        <w:rPr>
          <w:rFonts w:hint="eastAsia" w:ascii="仿宋_GB2312" w:eastAsia="仿宋_GB2312"/>
          <w:b/>
          <w:color w:val="auto"/>
          <w:sz w:val="28"/>
          <w:szCs w:val="28"/>
          <w:highlight w:val="none"/>
        </w:rPr>
        <w:t>第五章 政府采购合同主要条款…………………………………… 5</w:t>
      </w:r>
      <w:r>
        <w:rPr>
          <w:rFonts w:hint="default" w:ascii="仿宋_GB2312" w:eastAsia="仿宋_GB2312"/>
          <w:b/>
          <w:color w:val="auto"/>
          <w:sz w:val="28"/>
          <w:szCs w:val="28"/>
          <w:highlight w:val="none"/>
          <w:lang w:val="en"/>
        </w:rPr>
        <w:t>7</w:t>
      </w:r>
    </w:p>
    <w:p w14:paraId="7803DBF3">
      <w:pPr>
        <w:spacing w:before="156" w:beforeLines="50" w:line="600" w:lineRule="auto"/>
        <w:ind w:left="360"/>
        <w:rPr>
          <w:rFonts w:hint="default" w:ascii="仿宋_GB2312" w:eastAsia="仿宋_GB2312"/>
          <w:b/>
          <w:color w:val="auto"/>
          <w:sz w:val="28"/>
          <w:szCs w:val="28"/>
          <w:highlight w:val="none"/>
          <w:lang w:val="en"/>
        </w:rPr>
      </w:pPr>
      <w:r>
        <w:rPr>
          <w:rFonts w:hint="eastAsia" w:ascii="仿宋_GB2312" w:eastAsia="仿宋_GB2312"/>
          <w:b/>
          <w:color w:val="auto"/>
          <w:sz w:val="28"/>
          <w:szCs w:val="28"/>
          <w:highlight w:val="none"/>
        </w:rPr>
        <w:t>第六章 投标文件格式……………………………………………… 6</w:t>
      </w:r>
      <w:r>
        <w:rPr>
          <w:rFonts w:hint="default" w:ascii="仿宋_GB2312" w:eastAsia="仿宋_GB2312"/>
          <w:b/>
          <w:color w:val="auto"/>
          <w:sz w:val="28"/>
          <w:szCs w:val="28"/>
          <w:highlight w:val="none"/>
          <w:lang w:val="en"/>
        </w:rPr>
        <w:t>6</w:t>
      </w:r>
    </w:p>
    <w:p w14:paraId="7466D805">
      <w:pPr>
        <w:pStyle w:val="231"/>
        <w:widowControl w:val="0"/>
        <w:spacing w:afterLines="0"/>
        <w:ind w:firstLine="883"/>
        <w:jc w:val="center"/>
        <w:rPr>
          <w:rFonts w:ascii="仿宋_GB2312" w:eastAsia="仿宋_GB2312"/>
          <w:b/>
          <w:color w:val="auto"/>
          <w:sz w:val="44"/>
          <w:szCs w:val="44"/>
          <w:highlight w:val="none"/>
        </w:rPr>
      </w:pPr>
    </w:p>
    <w:p w14:paraId="5E3EF64E">
      <w:pPr>
        <w:pStyle w:val="231"/>
        <w:widowControl w:val="0"/>
        <w:spacing w:afterLines="0"/>
        <w:ind w:firstLine="883"/>
        <w:jc w:val="center"/>
        <w:rPr>
          <w:rFonts w:ascii="仿宋_GB2312" w:eastAsia="仿宋_GB2312"/>
          <w:b/>
          <w:color w:val="auto"/>
          <w:sz w:val="44"/>
          <w:szCs w:val="44"/>
          <w:highlight w:val="none"/>
        </w:rPr>
      </w:pPr>
    </w:p>
    <w:p w14:paraId="0FD55091">
      <w:pPr>
        <w:pStyle w:val="231"/>
        <w:widowControl w:val="0"/>
        <w:spacing w:afterLines="0"/>
        <w:ind w:firstLine="883"/>
        <w:jc w:val="center"/>
        <w:rPr>
          <w:rFonts w:ascii="仿宋_GB2312" w:eastAsia="仿宋_GB2312"/>
          <w:b/>
          <w:color w:val="auto"/>
          <w:sz w:val="44"/>
          <w:szCs w:val="44"/>
          <w:highlight w:val="none"/>
        </w:rPr>
      </w:pPr>
    </w:p>
    <w:p w14:paraId="72A697F1">
      <w:pPr>
        <w:pStyle w:val="231"/>
        <w:widowControl w:val="0"/>
        <w:spacing w:afterLines="0"/>
        <w:ind w:firstLine="883"/>
        <w:jc w:val="center"/>
        <w:rPr>
          <w:rFonts w:ascii="仿宋_GB2312" w:eastAsia="仿宋_GB2312"/>
          <w:b/>
          <w:color w:val="auto"/>
          <w:sz w:val="44"/>
          <w:szCs w:val="44"/>
          <w:highlight w:val="none"/>
        </w:rPr>
      </w:pPr>
    </w:p>
    <w:p w14:paraId="51883B24">
      <w:pPr>
        <w:pStyle w:val="231"/>
        <w:widowControl w:val="0"/>
        <w:spacing w:afterLines="0"/>
        <w:ind w:firstLine="883"/>
        <w:jc w:val="center"/>
        <w:rPr>
          <w:rFonts w:ascii="仿宋_GB2312" w:eastAsia="仿宋_GB2312"/>
          <w:b/>
          <w:color w:val="auto"/>
          <w:sz w:val="44"/>
          <w:szCs w:val="44"/>
          <w:highlight w:val="none"/>
        </w:rPr>
      </w:pPr>
    </w:p>
    <w:p w14:paraId="0BACAA0A">
      <w:pPr>
        <w:pStyle w:val="231"/>
        <w:widowControl w:val="0"/>
        <w:spacing w:afterLines="0"/>
        <w:ind w:firstLine="883"/>
        <w:jc w:val="center"/>
        <w:rPr>
          <w:rFonts w:ascii="仿宋_GB2312" w:eastAsia="仿宋_GB2312"/>
          <w:b/>
          <w:color w:val="auto"/>
          <w:sz w:val="44"/>
          <w:szCs w:val="44"/>
          <w:highlight w:val="none"/>
        </w:rPr>
      </w:pPr>
    </w:p>
    <w:p w14:paraId="78413061">
      <w:pPr>
        <w:pStyle w:val="231"/>
        <w:widowControl w:val="0"/>
        <w:spacing w:afterLines="0"/>
        <w:ind w:firstLine="883"/>
        <w:jc w:val="center"/>
        <w:rPr>
          <w:rFonts w:ascii="仿宋_GB2312" w:eastAsia="仿宋_GB2312"/>
          <w:b/>
          <w:color w:val="auto"/>
          <w:sz w:val="44"/>
          <w:szCs w:val="44"/>
          <w:highlight w:val="none"/>
        </w:rPr>
      </w:pPr>
    </w:p>
    <w:p w14:paraId="3FB98CFD">
      <w:pPr>
        <w:pStyle w:val="231"/>
        <w:widowControl w:val="0"/>
        <w:spacing w:afterLines="0"/>
        <w:ind w:firstLine="883"/>
        <w:jc w:val="center"/>
        <w:rPr>
          <w:rFonts w:ascii="仿宋_GB2312" w:eastAsia="仿宋_GB2312"/>
          <w:b/>
          <w:color w:val="auto"/>
          <w:sz w:val="44"/>
          <w:szCs w:val="44"/>
          <w:highlight w:val="none"/>
        </w:rPr>
      </w:pPr>
    </w:p>
    <w:p w14:paraId="324E0781">
      <w:pPr>
        <w:pStyle w:val="231"/>
        <w:widowControl w:val="0"/>
        <w:spacing w:afterLines="0"/>
        <w:ind w:firstLine="883"/>
        <w:jc w:val="center"/>
        <w:rPr>
          <w:rFonts w:ascii="仿宋_GB2312" w:eastAsia="仿宋_GB2312"/>
          <w:b/>
          <w:color w:val="auto"/>
          <w:sz w:val="44"/>
          <w:szCs w:val="44"/>
          <w:highlight w:val="none"/>
        </w:rPr>
      </w:pPr>
    </w:p>
    <w:p w14:paraId="52DA5F1D">
      <w:pPr>
        <w:pStyle w:val="231"/>
        <w:widowControl w:val="0"/>
        <w:spacing w:afterLines="0"/>
        <w:ind w:firstLine="883"/>
        <w:jc w:val="center"/>
        <w:rPr>
          <w:rFonts w:ascii="仿宋_GB2312" w:eastAsia="仿宋_GB2312"/>
          <w:b/>
          <w:color w:val="auto"/>
          <w:sz w:val="44"/>
          <w:szCs w:val="44"/>
          <w:highlight w:val="none"/>
        </w:rPr>
      </w:pPr>
    </w:p>
    <w:p w14:paraId="509AA907">
      <w:pPr>
        <w:pStyle w:val="231"/>
        <w:widowControl w:val="0"/>
        <w:spacing w:afterLines="0"/>
        <w:ind w:firstLine="883"/>
        <w:jc w:val="center"/>
        <w:rPr>
          <w:rFonts w:ascii="仿宋_GB2312" w:eastAsia="仿宋_GB2312"/>
          <w:b/>
          <w:color w:val="auto"/>
          <w:sz w:val="44"/>
          <w:szCs w:val="44"/>
          <w:highlight w:val="none"/>
        </w:rPr>
      </w:pPr>
    </w:p>
    <w:p w14:paraId="157C2F7D">
      <w:pPr>
        <w:pStyle w:val="231"/>
        <w:widowControl w:val="0"/>
        <w:spacing w:afterLines="0"/>
        <w:ind w:firstLine="883"/>
        <w:jc w:val="center"/>
        <w:rPr>
          <w:rFonts w:ascii="仿宋_GB2312" w:eastAsia="仿宋_GB2312"/>
          <w:b/>
          <w:color w:val="auto"/>
          <w:sz w:val="44"/>
          <w:szCs w:val="44"/>
          <w:highlight w:val="none"/>
        </w:rPr>
      </w:pPr>
    </w:p>
    <w:p w14:paraId="34AE93D2">
      <w:pPr>
        <w:pStyle w:val="231"/>
        <w:widowControl w:val="0"/>
        <w:spacing w:afterLines="0"/>
        <w:ind w:firstLine="883"/>
        <w:jc w:val="center"/>
        <w:rPr>
          <w:rFonts w:ascii="仿宋_GB2312" w:eastAsia="仿宋_GB2312"/>
          <w:b/>
          <w:color w:val="auto"/>
          <w:sz w:val="44"/>
          <w:szCs w:val="44"/>
          <w:highlight w:val="none"/>
        </w:rPr>
      </w:pPr>
    </w:p>
    <w:p w14:paraId="4F7F0896">
      <w:pPr>
        <w:pStyle w:val="231"/>
        <w:widowControl w:val="0"/>
        <w:spacing w:afterLines="0"/>
        <w:ind w:firstLine="883"/>
        <w:jc w:val="center"/>
        <w:rPr>
          <w:rFonts w:ascii="仿宋_GB2312" w:eastAsia="仿宋_GB2312"/>
          <w:b/>
          <w:color w:val="auto"/>
          <w:sz w:val="44"/>
          <w:szCs w:val="44"/>
          <w:highlight w:val="none"/>
        </w:rPr>
      </w:pPr>
    </w:p>
    <w:p w14:paraId="7C7A87B2">
      <w:pPr>
        <w:pStyle w:val="231"/>
        <w:widowControl w:val="0"/>
        <w:spacing w:afterLines="0"/>
        <w:ind w:firstLine="422"/>
        <w:jc w:val="center"/>
        <w:rPr>
          <w:rFonts w:ascii="仿宋_GB2312" w:eastAsia="仿宋_GB2312"/>
          <w:b/>
          <w:color w:val="auto"/>
          <w:sz w:val="21"/>
          <w:szCs w:val="21"/>
          <w:highlight w:val="none"/>
        </w:rPr>
      </w:pPr>
    </w:p>
    <w:p w14:paraId="58417BBB">
      <w:pPr>
        <w:pStyle w:val="231"/>
        <w:widowControl w:val="0"/>
        <w:spacing w:afterLines="0"/>
        <w:ind w:firstLine="422"/>
        <w:jc w:val="center"/>
        <w:rPr>
          <w:rFonts w:ascii="仿宋_GB2312" w:eastAsia="仿宋_GB2312"/>
          <w:b/>
          <w:color w:val="auto"/>
          <w:sz w:val="21"/>
          <w:szCs w:val="21"/>
          <w:highlight w:val="none"/>
        </w:rPr>
      </w:pPr>
    </w:p>
    <w:p w14:paraId="6EA53A60">
      <w:pPr>
        <w:pStyle w:val="231"/>
        <w:widowControl w:val="0"/>
        <w:spacing w:afterLines="0"/>
        <w:ind w:firstLine="422"/>
        <w:jc w:val="center"/>
        <w:rPr>
          <w:rFonts w:ascii="仿宋_GB2312" w:eastAsia="仿宋_GB2312"/>
          <w:b/>
          <w:color w:val="auto"/>
          <w:sz w:val="21"/>
          <w:szCs w:val="21"/>
          <w:highlight w:val="none"/>
        </w:rPr>
      </w:pPr>
    </w:p>
    <w:p w14:paraId="322A1083">
      <w:pPr>
        <w:pStyle w:val="231"/>
        <w:widowControl w:val="0"/>
        <w:spacing w:afterLines="0"/>
        <w:ind w:firstLine="422"/>
        <w:jc w:val="center"/>
        <w:rPr>
          <w:rFonts w:ascii="仿宋_GB2312" w:eastAsia="仿宋_GB2312"/>
          <w:b/>
          <w:color w:val="auto"/>
          <w:sz w:val="21"/>
          <w:szCs w:val="21"/>
          <w:highlight w:val="none"/>
        </w:rPr>
      </w:pPr>
    </w:p>
    <w:p w14:paraId="39215634">
      <w:pPr>
        <w:pStyle w:val="231"/>
        <w:widowControl w:val="0"/>
        <w:spacing w:afterLines="0"/>
        <w:ind w:firstLine="2182" w:firstLineChars="494"/>
        <w:rPr>
          <w:rFonts w:ascii="黑体" w:eastAsia="黑体"/>
          <w:color w:val="auto"/>
          <w:sz w:val="32"/>
          <w:szCs w:val="32"/>
          <w:highlight w:val="none"/>
        </w:rPr>
      </w:pPr>
      <w:r>
        <w:rPr>
          <w:rFonts w:hint="eastAsia" w:ascii="仿宋_GB2312" w:eastAsia="仿宋_GB2312"/>
          <w:b/>
          <w:color w:val="auto"/>
          <w:sz w:val="44"/>
          <w:szCs w:val="44"/>
          <w:highlight w:val="none"/>
        </w:rPr>
        <w:t>第一章  公开招标公告</w:t>
      </w:r>
    </w:p>
    <w:p w14:paraId="37460003">
      <w:pPr>
        <w:pStyle w:val="231"/>
        <w:widowControl w:val="0"/>
        <w:spacing w:afterLines="0"/>
        <w:ind w:firstLine="3840" w:firstLineChars="1200"/>
        <w:rPr>
          <w:b/>
          <w:color w:val="auto"/>
          <w:sz w:val="32"/>
          <w:szCs w:val="32"/>
          <w:highlight w:val="none"/>
        </w:rPr>
      </w:pPr>
      <w:r>
        <w:rPr>
          <w:rFonts w:hint="eastAsia" w:ascii="黑体" w:eastAsia="黑体"/>
          <w:color w:val="auto"/>
          <w:sz w:val="32"/>
          <w:szCs w:val="32"/>
          <w:highlight w:val="none"/>
        </w:rPr>
        <w:br w:type="page"/>
      </w:r>
      <w:r>
        <w:rPr>
          <w:rFonts w:hint="eastAsia"/>
          <w:b/>
          <w:color w:val="auto"/>
          <w:sz w:val="32"/>
          <w:szCs w:val="32"/>
          <w:highlight w:val="none"/>
        </w:rPr>
        <w:t>招标公告</w:t>
      </w:r>
    </w:p>
    <w:p w14:paraId="4F9D9E82">
      <w:pPr>
        <w:pBdr>
          <w:top w:val="single" w:color="auto" w:sz="4" w:space="1"/>
          <w:left w:val="single" w:color="auto" w:sz="4" w:space="4"/>
          <w:bottom w:val="single" w:color="auto" w:sz="4" w:space="1"/>
          <w:right w:val="single" w:color="auto" w:sz="4" w:space="4"/>
        </w:pBdr>
        <w:adjustRightInd w:val="0"/>
        <w:snapToGrid w:val="0"/>
        <w:spacing w:line="320" w:lineRule="exact"/>
        <w:jc w:val="center"/>
        <w:rPr>
          <w:rFonts w:ascii="宋体" w:hAnsi="宋体"/>
          <w:color w:val="auto"/>
          <w:highlight w:val="none"/>
        </w:rPr>
      </w:pPr>
      <w:r>
        <w:rPr>
          <w:rFonts w:hint="eastAsia" w:ascii="宋体" w:hAnsi="宋体"/>
          <w:color w:val="auto"/>
          <w:highlight w:val="none"/>
        </w:rPr>
        <w:t>项目概况</w:t>
      </w:r>
    </w:p>
    <w:p w14:paraId="220D20DB">
      <w:pPr>
        <w:pBdr>
          <w:top w:val="single" w:color="auto" w:sz="4" w:space="1"/>
          <w:left w:val="single" w:color="auto" w:sz="4" w:space="4"/>
          <w:bottom w:val="single" w:color="auto" w:sz="4" w:space="1"/>
          <w:right w:val="single" w:color="auto" w:sz="4" w:space="4"/>
        </w:pBdr>
        <w:adjustRightInd w:val="0"/>
        <w:snapToGrid w:val="0"/>
        <w:spacing w:line="320" w:lineRule="exact"/>
        <w:ind w:firstLine="420" w:firstLineChars="200"/>
        <w:rPr>
          <w:rFonts w:ascii="宋体" w:hAnsi="宋体"/>
          <w:color w:val="auto"/>
          <w:szCs w:val="21"/>
          <w:highlight w:val="none"/>
        </w:rPr>
      </w:pPr>
      <w:r>
        <w:rPr>
          <w:rFonts w:hint="eastAsia"/>
          <w:color w:val="auto"/>
          <w:highlight w:val="none"/>
          <w:u w:val="none"/>
        </w:rPr>
        <w:t>电梯采购及安装</w:t>
      </w:r>
      <w:r>
        <w:rPr>
          <w:color w:val="auto"/>
          <w:highlight w:val="none"/>
        </w:rPr>
        <w:t>项目的潜在投标人应在</w:t>
      </w:r>
      <w:r>
        <w:rPr>
          <w:color w:val="auto"/>
          <w:highlight w:val="none"/>
          <w:lang w:val="en"/>
        </w:rPr>
        <w:t>广西政府采购云平台（网址：http://www.gcy.zfcg.gxzf.gov.cn）</w:t>
      </w:r>
      <w:r>
        <w:rPr>
          <w:color w:val="auto"/>
          <w:highlight w:val="none"/>
        </w:rPr>
        <w:t xml:space="preserve">获取招标文件，并于 </w:t>
      </w:r>
      <w:r>
        <w:rPr>
          <w:color w:val="auto"/>
          <w:highlight w:val="none"/>
          <w:lang w:val="en"/>
        </w:rPr>
        <w:t>202</w:t>
      </w:r>
      <w:r>
        <w:rPr>
          <w:rFonts w:hint="eastAsia"/>
          <w:color w:val="auto"/>
          <w:highlight w:val="none"/>
        </w:rPr>
        <w:t>6</w:t>
      </w:r>
      <w:r>
        <w:rPr>
          <w:color w:val="auto"/>
          <w:highlight w:val="none"/>
          <w:lang w:val="en"/>
        </w:rPr>
        <w:t>年</w:t>
      </w:r>
      <w:r>
        <w:rPr>
          <w:rFonts w:hint="eastAsia"/>
          <w:color w:val="auto"/>
          <w:highlight w:val="none"/>
          <w:lang w:val="en-US" w:eastAsia="zh-CN"/>
        </w:rPr>
        <w:t>5</w:t>
      </w:r>
      <w:r>
        <w:rPr>
          <w:color w:val="auto"/>
          <w:highlight w:val="none"/>
          <w:lang w:val="en"/>
        </w:rPr>
        <w:t>月</w:t>
      </w:r>
      <w:r>
        <w:rPr>
          <w:rFonts w:hint="default"/>
          <w:color w:val="auto"/>
          <w:highlight w:val="none"/>
          <w:lang w:val="en" w:eastAsia="zh-CN"/>
        </w:rPr>
        <w:t>27</w:t>
      </w:r>
      <w:r>
        <w:rPr>
          <w:color w:val="auto"/>
          <w:highlight w:val="none"/>
          <w:lang w:val="en"/>
        </w:rPr>
        <w:t>日</w:t>
      </w:r>
      <w:r>
        <w:rPr>
          <w:color w:val="auto"/>
          <w:highlight w:val="none"/>
        </w:rPr>
        <w:t xml:space="preserve"> 10:00（北京时间）前递交投标文件。</w:t>
      </w:r>
    </w:p>
    <w:p w14:paraId="156A4EAA">
      <w:pPr>
        <w:adjustRightInd w:val="0"/>
        <w:snapToGrid w:val="0"/>
        <w:spacing w:line="320" w:lineRule="exact"/>
        <w:ind w:firstLine="422" w:firstLineChars="200"/>
        <w:rPr>
          <w:b/>
          <w:color w:val="auto"/>
          <w:highlight w:val="none"/>
        </w:rPr>
      </w:pPr>
      <w:bookmarkStart w:id="0" w:name="_Toc28359009"/>
      <w:bookmarkStart w:id="1" w:name="_Toc28359086"/>
      <w:r>
        <w:rPr>
          <w:rFonts w:hint="eastAsia"/>
          <w:b/>
          <w:color w:val="auto"/>
          <w:highlight w:val="none"/>
        </w:rPr>
        <w:t>一、项目基本情况</w:t>
      </w:r>
    </w:p>
    <w:p w14:paraId="2035A941">
      <w:pPr>
        <w:adjustRightInd w:val="0"/>
        <w:snapToGrid w:val="0"/>
        <w:spacing w:line="320" w:lineRule="exact"/>
        <w:ind w:firstLine="420" w:firstLineChars="200"/>
        <w:rPr>
          <w:color w:val="auto"/>
          <w:highlight w:val="none"/>
        </w:rPr>
      </w:pPr>
      <w:r>
        <w:rPr>
          <w:rFonts w:hint="eastAsia"/>
          <w:color w:val="auto"/>
          <w:highlight w:val="none"/>
        </w:rPr>
        <w:t xml:space="preserve">项目编号：GXZC2026-G1-000961-CGZX </w:t>
      </w:r>
    </w:p>
    <w:p w14:paraId="33095E2E">
      <w:pPr>
        <w:adjustRightInd w:val="0"/>
        <w:snapToGrid w:val="0"/>
        <w:spacing w:line="320" w:lineRule="exact"/>
        <w:ind w:firstLine="420" w:firstLineChars="200"/>
        <w:rPr>
          <w:color w:val="auto"/>
          <w:highlight w:val="none"/>
          <w:lang w:val="en"/>
        </w:rPr>
      </w:pPr>
      <w:r>
        <w:rPr>
          <w:rFonts w:hint="eastAsia"/>
          <w:color w:val="auto"/>
          <w:highlight w:val="none"/>
        </w:rPr>
        <w:t>项目名称：电梯采购及安装</w:t>
      </w:r>
    </w:p>
    <w:p w14:paraId="3C510855">
      <w:pPr>
        <w:adjustRightInd w:val="0"/>
        <w:snapToGrid w:val="0"/>
        <w:spacing w:line="320" w:lineRule="exact"/>
        <w:ind w:firstLine="420" w:firstLineChars="200"/>
        <w:rPr>
          <w:color w:val="auto"/>
          <w:highlight w:val="none"/>
        </w:rPr>
      </w:pPr>
      <w:r>
        <w:rPr>
          <w:rFonts w:hint="eastAsia"/>
          <w:color w:val="auto"/>
          <w:highlight w:val="none"/>
        </w:rPr>
        <w:t>预算总金额（元）：2375100</w:t>
      </w:r>
    </w:p>
    <w:p w14:paraId="05886CBE">
      <w:pPr>
        <w:adjustRightInd w:val="0"/>
        <w:snapToGrid w:val="0"/>
        <w:spacing w:line="320" w:lineRule="exact"/>
        <w:ind w:firstLine="420" w:firstLineChars="200"/>
        <w:rPr>
          <w:color w:val="auto"/>
          <w:highlight w:val="none"/>
        </w:rPr>
      </w:pPr>
      <w:r>
        <w:rPr>
          <w:rFonts w:hint="eastAsia"/>
          <w:color w:val="auto"/>
          <w:highlight w:val="none"/>
        </w:rPr>
        <w:t>采购需求：</w:t>
      </w:r>
    </w:p>
    <w:p w14:paraId="5560CA64">
      <w:pPr>
        <w:adjustRightInd w:val="0"/>
        <w:snapToGrid w:val="0"/>
        <w:spacing w:line="320" w:lineRule="exact"/>
        <w:ind w:firstLine="420" w:firstLineChars="200"/>
        <w:rPr>
          <w:color w:val="auto"/>
          <w:highlight w:val="none"/>
        </w:rPr>
      </w:pPr>
      <w:r>
        <w:rPr>
          <w:rFonts w:hint="eastAsia"/>
          <w:color w:val="auto"/>
          <w:highlight w:val="none"/>
        </w:rPr>
        <w:t>标项一：</w:t>
      </w:r>
    </w:p>
    <w:p w14:paraId="521863DC">
      <w:pPr>
        <w:adjustRightInd w:val="0"/>
        <w:snapToGrid w:val="0"/>
        <w:spacing w:line="320" w:lineRule="exact"/>
        <w:ind w:firstLine="420" w:firstLineChars="200"/>
        <w:rPr>
          <w:color w:val="auto"/>
          <w:highlight w:val="none"/>
        </w:rPr>
      </w:pPr>
      <w:r>
        <w:rPr>
          <w:rFonts w:hint="eastAsia"/>
          <w:color w:val="auto"/>
          <w:highlight w:val="none"/>
        </w:rPr>
        <w:t xml:space="preserve">标项名称: 电梯采购及安装  </w:t>
      </w:r>
    </w:p>
    <w:p w14:paraId="59C97980">
      <w:pPr>
        <w:adjustRightInd w:val="0"/>
        <w:snapToGrid w:val="0"/>
        <w:spacing w:line="320" w:lineRule="exact"/>
        <w:ind w:firstLine="420" w:firstLineChars="200"/>
        <w:rPr>
          <w:color w:val="auto"/>
          <w:highlight w:val="none"/>
        </w:rPr>
      </w:pPr>
      <w:r>
        <w:rPr>
          <w:rFonts w:hint="eastAsia"/>
          <w:color w:val="auto"/>
          <w:highlight w:val="none"/>
        </w:rPr>
        <w:t xml:space="preserve">数量:1 </w:t>
      </w:r>
    </w:p>
    <w:p w14:paraId="17EFF515">
      <w:pPr>
        <w:adjustRightInd w:val="0"/>
        <w:snapToGrid w:val="0"/>
        <w:spacing w:line="320" w:lineRule="exact"/>
        <w:ind w:firstLine="420" w:firstLineChars="200"/>
        <w:rPr>
          <w:color w:val="auto"/>
          <w:highlight w:val="none"/>
          <w:lang w:val="en"/>
        </w:rPr>
      </w:pPr>
      <w:r>
        <w:rPr>
          <w:rFonts w:hint="eastAsia"/>
          <w:color w:val="auto"/>
          <w:highlight w:val="none"/>
        </w:rPr>
        <w:t>预算金额（元）</w:t>
      </w:r>
      <w:r>
        <w:rPr>
          <w:color w:val="auto"/>
          <w:highlight w:val="none"/>
          <w:lang w:val="en"/>
        </w:rPr>
        <w:t>:</w:t>
      </w:r>
      <w:r>
        <w:rPr>
          <w:rFonts w:hint="eastAsia"/>
          <w:color w:val="auto"/>
          <w:highlight w:val="none"/>
        </w:rPr>
        <w:t>2375100</w:t>
      </w:r>
    </w:p>
    <w:p w14:paraId="4F98D34D">
      <w:pPr>
        <w:rPr>
          <w:color w:val="auto"/>
          <w:highlight w:val="none"/>
        </w:rPr>
      </w:pPr>
      <w:r>
        <w:rPr>
          <w:color w:val="auto"/>
          <w:highlight w:val="none"/>
          <w:lang w:val="en"/>
        </w:rPr>
        <w:t xml:space="preserve">    </w:t>
      </w:r>
      <w:r>
        <w:rPr>
          <w:rFonts w:hint="eastAsia"/>
          <w:color w:val="auto"/>
          <w:highlight w:val="none"/>
        </w:rPr>
        <w:t>简要规格描述或项目基本概况介绍、用途：乘客电梯（DT1）1部；乘客电梯（DT2-DT3）2部；乘客电梯（DT4）1部。</w:t>
      </w:r>
      <w:r>
        <w:rPr>
          <w:rFonts w:hint="eastAsia"/>
          <w:color w:val="auto"/>
          <w:highlight w:val="none"/>
          <w:lang w:val="en"/>
        </w:rPr>
        <w:t>如需进一步了解详细内容，详见采购文件。</w:t>
      </w:r>
    </w:p>
    <w:p w14:paraId="61FB2BF9">
      <w:pPr>
        <w:adjustRightInd w:val="0"/>
        <w:snapToGrid w:val="0"/>
        <w:spacing w:line="320" w:lineRule="exact"/>
        <w:ind w:firstLine="420" w:firstLineChars="200"/>
        <w:rPr>
          <w:color w:val="auto"/>
          <w:highlight w:val="none"/>
          <w:lang w:val="en"/>
        </w:rPr>
      </w:pPr>
      <w:r>
        <w:rPr>
          <w:rFonts w:hint="eastAsia"/>
          <w:color w:val="auto"/>
          <w:highlight w:val="none"/>
        </w:rPr>
        <w:t xml:space="preserve">最高限价（如有）： </w:t>
      </w:r>
      <w:r>
        <w:rPr>
          <w:color w:val="auto"/>
          <w:highlight w:val="none"/>
          <w:lang w:val="en"/>
        </w:rPr>
        <w:t>/</w:t>
      </w:r>
    </w:p>
    <w:p w14:paraId="45EA4EC7">
      <w:pPr>
        <w:adjustRightInd w:val="0"/>
        <w:snapToGrid w:val="0"/>
        <w:spacing w:line="320" w:lineRule="exact"/>
        <w:ind w:firstLine="420" w:firstLineChars="200"/>
        <w:rPr>
          <w:color w:val="auto"/>
          <w:highlight w:val="none"/>
        </w:rPr>
      </w:pPr>
      <w:r>
        <w:rPr>
          <w:rFonts w:hint="eastAsia"/>
          <w:color w:val="auto"/>
          <w:highlight w:val="none"/>
        </w:rPr>
        <w:t>合同履约期限：自合同签订之日起至项目履约完毕</w:t>
      </w:r>
    </w:p>
    <w:p w14:paraId="4F0FB7DF">
      <w:pPr>
        <w:adjustRightInd w:val="0"/>
        <w:snapToGrid w:val="0"/>
        <w:spacing w:line="320" w:lineRule="exact"/>
        <w:ind w:firstLine="420" w:firstLineChars="200"/>
        <w:rPr>
          <w:color w:val="auto"/>
          <w:highlight w:val="none"/>
        </w:rPr>
      </w:pPr>
      <w:r>
        <w:rPr>
          <w:rFonts w:hint="eastAsia"/>
          <w:color w:val="auto"/>
          <w:highlight w:val="none"/>
        </w:rPr>
        <w:t>本项目（否）接受联合体投标</w:t>
      </w:r>
    </w:p>
    <w:p w14:paraId="55FB4B09">
      <w:pPr>
        <w:adjustRightInd w:val="0"/>
        <w:snapToGrid w:val="0"/>
        <w:spacing w:line="320" w:lineRule="exact"/>
        <w:ind w:firstLine="420" w:firstLineChars="200"/>
        <w:rPr>
          <w:color w:val="auto"/>
          <w:highlight w:val="none"/>
        </w:rPr>
      </w:pPr>
      <w:r>
        <w:rPr>
          <w:rFonts w:hint="eastAsia"/>
          <w:color w:val="auto"/>
          <w:highlight w:val="none"/>
        </w:rPr>
        <w:t>备注：本项目各分标为线上电子招标项目，有意向参与本项目的供应商应当做好参与全流程电子招投标交易的充分准备。</w:t>
      </w:r>
    </w:p>
    <w:p w14:paraId="60977BDC">
      <w:pPr>
        <w:adjustRightInd w:val="0"/>
        <w:snapToGrid w:val="0"/>
        <w:spacing w:line="320" w:lineRule="exact"/>
        <w:ind w:firstLine="422" w:firstLineChars="200"/>
        <w:rPr>
          <w:b/>
          <w:color w:val="auto"/>
          <w:highlight w:val="none"/>
        </w:rPr>
      </w:pPr>
      <w:r>
        <w:rPr>
          <w:rFonts w:hint="eastAsia"/>
          <w:b/>
          <w:color w:val="auto"/>
          <w:highlight w:val="none"/>
        </w:rPr>
        <w:t>二、申请人的资格要求：</w:t>
      </w:r>
    </w:p>
    <w:p w14:paraId="6F355D78">
      <w:pPr>
        <w:adjustRightInd w:val="0"/>
        <w:snapToGrid w:val="0"/>
        <w:spacing w:line="320" w:lineRule="exact"/>
        <w:ind w:firstLine="422" w:firstLineChars="200"/>
        <w:rPr>
          <w:color w:val="auto"/>
          <w:highlight w:val="none"/>
        </w:rPr>
      </w:pPr>
      <w:r>
        <w:rPr>
          <w:rFonts w:hint="eastAsia"/>
          <w:b/>
          <w:bCs/>
          <w:color w:val="auto"/>
          <w:highlight w:val="none"/>
        </w:rPr>
        <w:t>1.</w:t>
      </w:r>
      <w:r>
        <w:rPr>
          <w:rFonts w:hint="eastAsia"/>
          <w:color w:val="auto"/>
          <w:highlight w:val="none"/>
        </w:rPr>
        <w:t>满足《中华人民共和国政府采购法》第二十二条规定；</w:t>
      </w:r>
    </w:p>
    <w:p w14:paraId="78B90E3D">
      <w:pPr>
        <w:adjustRightInd w:val="0"/>
        <w:snapToGrid w:val="0"/>
        <w:spacing w:line="320" w:lineRule="exact"/>
        <w:ind w:firstLine="422" w:firstLineChars="200"/>
        <w:rPr>
          <w:color w:val="auto"/>
          <w:highlight w:val="none"/>
        </w:rPr>
      </w:pPr>
      <w:r>
        <w:rPr>
          <w:rFonts w:hint="eastAsia"/>
          <w:b/>
          <w:bCs/>
          <w:color w:val="auto"/>
          <w:highlight w:val="none"/>
        </w:rPr>
        <w:t>2.</w:t>
      </w:r>
      <w:r>
        <w:rPr>
          <w:rFonts w:hint="eastAsia"/>
          <w:color w:val="auto"/>
          <w:highlight w:val="none"/>
        </w:rPr>
        <w:t>落实政府采购政策需满足的资格要求：</w:t>
      </w:r>
      <w:r>
        <w:rPr>
          <w:color w:val="auto"/>
          <w:highlight w:val="none"/>
          <w:lang w:val="en"/>
        </w:rPr>
        <w:t>分标1：</w:t>
      </w:r>
      <w:r>
        <w:rPr>
          <w:rFonts w:hint="eastAsia"/>
          <w:color w:val="auto"/>
          <w:highlight w:val="none"/>
        </w:rPr>
        <w:t>无</w:t>
      </w:r>
      <w:r>
        <w:rPr>
          <w:rFonts w:hint="eastAsia"/>
          <w:color w:val="auto"/>
          <w:highlight w:val="none"/>
          <w:lang w:val="en"/>
        </w:rPr>
        <w:t>；</w:t>
      </w:r>
      <w:r>
        <w:rPr>
          <w:rFonts w:hint="eastAsia"/>
          <w:color w:val="auto"/>
          <w:highlight w:val="none"/>
        </w:rPr>
        <w:t xml:space="preserve"> </w:t>
      </w:r>
    </w:p>
    <w:p w14:paraId="13515235">
      <w:pPr>
        <w:pStyle w:val="48"/>
        <w:ind w:firstLine="422"/>
        <w:rPr>
          <w:color w:val="auto"/>
          <w:highlight w:val="none"/>
        </w:rPr>
      </w:pPr>
      <w:r>
        <w:rPr>
          <w:rFonts w:hint="eastAsia"/>
          <w:b/>
          <w:bCs w:val="0"/>
          <w:color w:val="auto"/>
          <w:highlight w:val="none"/>
        </w:rPr>
        <w:t>3.</w:t>
      </w:r>
      <w:r>
        <w:rPr>
          <w:rFonts w:hint="eastAsia"/>
          <w:color w:val="auto"/>
          <w:highlight w:val="none"/>
        </w:rPr>
        <w:t>本项目的特定资格要求：</w:t>
      </w:r>
      <w:r>
        <w:rPr>
          <w:color w:val="auto"/>
          <w:highlight w:val="none"/>
          <w:lang w:val="en"/>
        </w:rPr>
        <w:t>分标1</w:t>
      </w:r>
      <w:r>
        <w:rPr>
          <w:rFonts w:hint="eastAsia" w:hAnsi="宋体" w:cs="宋体"/>
          <w:bCs/>
          <w:color w:val="auto"/>
          <w:kern w:val="0"/>
          <w:szCs w:val="21"/>
          <w:highlight w:val="none"/>
        </w:rPr>
        <w:t>投标人必须具有《中华人民共和国特种设备生产许可证》证书（需提供证书扫描件或其他电子文件并加盖投标人公章）</w:t>
      </w:r>
      <w:r>
        <w:rPr>
          <w:rFonts w:hint="eastAsia" w:hAnsi="宋体" w:cs="宋体"/>
          <w:b w:val="0"/>
          <w:color w:val="auto"/>
          <w:kern w:val="0"/>
          <w:szCs w:val="21"/>
          <w:highlight w:val="none"/>
        </w:rPr>
        <w:t>。</w:t>
      </w:r>
      <w:r>
        <w:rPr>
          <w:rFonts w:hAnsi="宋体" w:cs="宋体"/>
          <w:b w:val="0"/>
          <w:color w:val="auto"/>
          <w:kern w:val="0"/>
          <w:szCs w:val="21"/>
          <w:highlight w:val="none"/>
        </w:rPr>
        <w:t> </w:t>
      </w:r>
      <w:r>
        <w:rPr>
          <w:rFonts w:hint="eastAsia"/>
          <w:color w:val="auto"/>
          <w:highlight w:val="none"/>
        </w:rPr>
        <w:t xml:space="preserve"> </w:t>
      </w:r>
    </w:p>
    <w:p w14:paraId="3B7545EB">
      <w:pPr>
        <w:adjustRightInd w:val="0"/>
        <w:snapToGrid w:val="0"/>
        <w:spacing w:line="320" w:lineRule="exact"/>
        <w:ind w:firstLine="422" w:firstLineChars="200"/>
        <w:rPr>
          <w:b/>
          <w:color w:val="auto"/>
          <w:highlight w:val="none"/>
        </w:rPr>
      </w:pPr>
      <w:r>
        <w:rPr>
          <w:rFonts w:hint="eastAsia"/>
          <w:b/>
          <w:color w:val="auto"/>
          <w:highlight w:val="none"/>
        </w:rPr>
        <w:t xml:space="preserve">三、获取招标文件 </w:t>
      </w:r>
    </w:p>
    <w:p w14:paraId="610E157B">
      <w:pPr>
        <w:adjustRightInd w:val="0"/>
        <w:snapToGrid w:val="0"/>
        <w:spacing w:line="320" w:lineRule="exact"/>
        <w:ind w:firstLine="420" w:firstLineChars="200"/>
        <w:rPr>
          <w:b/>
          <w:bCs/>
          <w:color w:val="auto"/>
          <w:highlight w:val="none"/>
        </w:rPr>
      </w:pPr>
      <w:r>
        <w:rPr>
          <w:rFonts w:hint="eastAsia"/>
          <w:color w:val="auto"/>
          <w:highlight w:val="none"/>
        </w:rPr>
        <w:t>时间：</w:t>
      </w:r>
      <w:r>
        <w:rPr>
          <w:b/>
          <w:bCs/>
          <w:color w:val="auto"/>
          <w:highlight w:val="none"/>
          <w:lang w:val="en"/>
        </w:rPr>
        <w:t>202</w:t>
      </w:r>
      <w:r>
        <w:rPr>
          <w:rFonts w:hint="eastAsia"/>
          <w:b/>
          <w:bCs/>
          <w:color w:val="auto"/>
          <w:highlight w:val="none"/>
        </w:rPr>
        <w:t>6</w:t>
      </w:r>
      <w:r>
        <w:rPr>
          <w:b/>
          <w:bCs/>
          <w:color w:val="auto"/>
          <w:highlight w:val="none"/>
          <w:lang w:val="en"/>
        </w:rPr>
        <w:t>年</w:t>
      </w:r>
      <w:r>
        <w:rPr>
          <w:rFonts w:hint="default"/>
          <w:b/>
          <w:bCs/>
          <w:color w:val="auto"/>
          <w:highlight w:val="none"/>
          <w:lang w:val="en" w:eastAsia="zh-CN"/>
        </w:rPr>
        <w:t>5</w:t>
      </w:r>
      <w:r>
        <w:rPr>
          <w:b/>
          <w:bCs/>
          <w:color w:val="auto"/>
          <w:highlight w:val="none"/>
          <w:lang w:val="en"/>
        </w:rPr>
        <w:t>月</w:t>
      </w:r>
      <w:r>
        <w:rPr>
          <w:rFonts w:hint="default"/>
          <w:b/>
          <w:bCs/>
          <w:color w:val="auto"/>
          <w:highlight w:val="none"/>
          <w:lang w:val="en" w:eastAsia="zh-CN"/>
        </w:rPr>
        <w:t>6</w:t>
      </w:r>
      <w:r>
        <w:rPr>
          <w:b/>
          <w:bCs/>
          <w:color w:val="auto"/>
          <w:highlight w:val="none"/>
          <w:lang w:val="en"/>
        </w:rPr>
        <w:t>日</w:t>
      </w:r>
      <w:r>
        <w:rPr>
          <w:rFonts w:hint="eastAsia"/>
          <w:b/>
          <w:bCs/>
          <w:color w:val="auto"/>
          <w:highlight w:val="none"/>
        </w:rPr>
        <w:t>至</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5</w:t>
      </w:r>
      <w:r>
        <w:rPr>
          <w:b/>
          <w:bCs/>
          <w:color w:val="auto"/>
          <w:highlight w:val="none"/>
          <w:lang w:val="en"/>
        </w:rPr>
        <w:t>月</w:t>
      </w:r>
      <w:r>
        <w:rPr>
          <w:rFonts w:hint="eastAsia"/>
          <w:b/>
          <w:bCs/>
          <w:color w:val="auto"/>
          <w:highlight w:val="none"/>
          <w:lang w:val="en-US" w:eastAsia="zh-CN"/>
        </w:rPr>
        <w:t>1</w:t>
      </w:r>
      <w:r>
        <w:rPr>
          <w:rFonts w:hint="default"/>
          <w:b/>
          <w:bCs/>
          <w:color w:val="auto"/>
          <w:highlight w:val="none"/>
          <w:lang w:val="en" w:eastAsia="zh-CN"/>
        </w:rPr>
        <w:t>2</w:t>
      </w:r>
      <w:r>
        <w:rPr>
          <w:b/>
          <w:bCs/>
          <w:color w:val="auto"/>
          <w:highlight w:val="none"/>
          <w:lang w:val="en"/>
        </w:rPr>
        <w:t>日</w:t>
      </w:r>
      <w:r>
        <w:rPr>
          <w:rFonts w:hint="eastAsia"/>
          <w:color w:val="auto"/>
          <w:highlight w:val="none"/>
        </w:rPr>
        <w:t>，</w:t>
      </w:r>
      <w:r>
        <w:rPr>
          <w:rFonts w:hint="eastAsia"/>
          <w:b/>
          <w:bCs/>
          <w:color w:val="auto"/>
          <w:highlight w:val="none"/>
        </w:rPr>
        <w:t>每天上午0</w:t>
      </w:r>
      <w:r>
        <w:rPr>
          <w:rFonts w:hint="eastAsia"/>
          <w:b/>
          <w:bCs/>
          <w:color w:val="auto"/>
          <w:highlight w:val="none"/>
          <w:lang w:val="en"/>
        </w:rPr>
        <w:t>0</w:t>
      </w:r>
      <w:r>
        <w:rPr>
          <w:rFonts w:hint="eastAsia"/>
          <w:b/>
          <w:bCs/>
          <w:color w:val="auto"/>
          <w:highlight w:val="none"/>
        </w:rPr>
        <w:t>:00至12:00，下午12:00至23:59（北京时间，法定节假日除外）</w:t>
      </w:r>
    </w:p>
    <w:p w14:paraId="0E391565">
      <w:pPr>
        <w:adjustRightInd w:val="0"/>
        <w:snapToGrid w:val="0"/>
        <w:spacing w:line="320" w:lineRule="exact"/>
        <w:ind w:firstLine="420" w:firstLineChars="200"/>
        <w:rPr>
          <w:color w:val="auto"/>
          <w:highlight w:val="none"/>
        </w:rPr>
      </w:pPr>
      <w:r>
        <w:rPr>
          <w:rFonts w:hint="eastAsia"/>
          <w:color w:val="auto"/>
          <w:highlight w:val="none"/>
        </w:rPr>
        <w:t>地点（网址）：</w:t>
      </w:r>
      <w:r>
        <w:rPr>
          <w:color w:val="auto"/>
          <w:highlight w:val="none"/>
          <w:lang w:val="en"/>
        </w:rPr>
        <w:t>广西政府采购云平台（网址：http://www.gcy.zfcg.gxzf.gov.cn）</w:t>
      </w:r>
      <w:r>
        <w:rPr>
          <w:rFonts w:hint="eastAsia"/>
          <w:color w:val="auto"/>
          <w:highlight w:val="none"/>
        </w:rPr>
        <w:t xml:space="preserve"> </w:t>
      </w:r>
    </w:p>
    <w:p w14:paraId="16681AFE">
      <w:pPr>
        <w:adjustRightInd w:val="0"/>
        <w:snapToGrid w:val="0"/>
        <w:spacing w:line="320" w:lineRule="exact"/>
        <w:ind w:firstLine="420" w:firstLineChars="200"/>
        <w:rPr>
          <w:color w:val="auto"/>
          <w:highlight w:val="none"/>
        </w:rPr>
      </w:pPr>
      <w:r>
        <w:rPr>
          <w:rFonts w:hint="eastAsia"/>
          <w:color w:val="auto"/>
          <w:highlight w:val="none"/>
        </w:rPr>
        <w:t>方式：请登录</w:t>
      </w:r>
      <w:r>
        <w:rPr>
          <w:color w:val="auto"/>
          <w:highlight w:val="none"/>
          <w:lang w:val="en"/>
        </w:rPr>
        <w:t>广西政府采购云平台（网址：http://www.gcy.zfcg.gxzf.gov.cn）</w:t>
      </w:r>
      <w:r>
        <w:rPr>
          <w:rFonts w:hint="eastAsia"/>
          <w:color w:val="auto"/>
          <w:highlight w:val="none"/>
        </w:rPr>
        <w:t>进行报名并获取采购文件；未注册的供应商可在广西政府采购云平台完成注册后再行报名。如在操作过程中遇到问题或需技术支持，请致电</w:t>
      </w:r>
      <w:r>
        <w:rPr>
          <w:color w:val="auto"/>
          <w:highlight w:val="none"/>
          <w:lang w:val="en"/>
        </w:rPr>
        <w:t>广西政府采购云</w:t>
      </w:r>
      <w:r>
        <w:rPr>
          <w:rFonts w:hint="eastAsia"/>
          <w:color w:val="auto"/>
          <w:highlight w:val="none"/>
        </w:rPr>
        <w:t>客服热线：95763。</w:t>
      </w:r>
    </w:p>
    <w:p w14:paraId="7D6FBE86">
      <w:pPr>
        <w:adjustRightInd w:val="0"/>
        <w:snapToGrid w:val="0"/>
        <w:spacing w:line="320" w:lineRule="exact"/>
        <w:ind w:firstLine="420" w:firstLineChars="200"/>
        <w:rPr>
          <w:color w:val="auto"/>
          <w:highlight w:val="none"/>
        </w:rPr>
      </w:pPr>
      <w:r>
        <w:rPr>
          <w:rFonts w:hint="eastAsia"/>
          <w:color w:val="auto"/>
          <w:highlight w:val="none"/>
        </w:rPr>
        <w:t>提示：公开招标公告附件内的招标文件仅供阅览使用；供应商只有在“</w:t>
      </w:r>
      <w:r>
        <w:rPr>
          <w:color w:val="auto"/>
          <w:highlight w:val="none"/>
          <w:lang w:val="en"/>
        </w:rPr>
        <w:t>广西政府采购云平台</w:t>
      </w:r>
      <w:r>
        <w:rPr>
          <w:rFonts w:hint="eastAsia"/>
          <w:color w:val="auto"/>
          <w:highlight w:val="none"/>
        </w:rPr>
        <w:t>”完成获取招标文件申请并下载了招标文件后才视作依法获取招标文件（法律法规所指的供应商获取招标文件时间以供应商完成获取招标文件申请后下载招标文件的时间为准）。</w:t>
      </w:r>
    </w:p>
    <w:p w14:paraId="6AFD528B">
      <w:pPr>
        <w:adjustRightInd w:val="0"/>
        <w:snapToGrid w:val="0"/>
        <w:spacing w:line="320" w:lineRule="exact"/>
        <w:ind w:firstLine="420" w:firstLineChars="200"/>
        <w:rPr>
          <w:color w:val="auto"/>
          <w:highlight w:val="none"/>
        </w:rPr>
      </w:pPr>
      <w:r>
        <w:rPr>
          <w:rFonts w:hint="eastAsia"/>
          <w:color w:val="auto"/>
          <w:highlight w:val="none"/>
        </w:rPr>
        <w:t xml:space="preserve"> 售价（元）：0 </w:t>
      </w:r>
    </w:p>
    <w:p w14:paraId="7849EBBA">
      <w:pPr>
        <w:adjustRightInd w:val="0"/>
        <w:snapToGrid w:val="0"/>
        <w:spacing w:line="320" w:lineRule="exact"/>
        <w:ind w:firstLine="422" w:firstLineChars="200"/>
        <w:rPr>
          <w:b/>
          <w:color w:val="auto"/>
          <w:highlight w:val="none"/>
        </w:rPr>
      </w:pPr>
      <w:r>
        <w:rPr>
          <w:rFonts w:hint="eastAsia"/>
          <w:b/>
          <w:color w:val="auto"/>
          <w:highlight w:val="none"/>
        </w:rPr>
        <w:t>四、提交投标文件截止时间、开标时间和地点</w:t>
      </w:r>
    </w:p>
    <w:p w14:paraId="0FEB4B66">
      <w:pPr>
        <w:adjustRightInd w:val="0"/>
        <w:snapToGrid w:val="0"/>
        <w:spacing w:line="320" w:lineRule="exact"/>
        <w:ind w:firstLine="420" w:firstLineChars="200"/>
        <w:rPr>
          <w:color w:val="auto"/>
          <w:highlight w:val="none"/>
        </w:rPr>
      </w:pPr>
      <w:r>
        <w:rPr>
          <w:rFonts w:hint="eastAsia"/>
          <w:color w:val="auto"/>
          <w:highlight w:val="none"/>
        </w:rPr>
        <w:t>提交投标文件截止时间：</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5</w:t>
      </w:r>
      <w:r>
        <w:rPr>
          <w:b/>
          <w:bCs/>
          <w:color w:val="auto"/>
          <w:highlight w:val="none"/>
          <w:lang w:val="en"/>
        </w:rPr>
        <w:t>月</w:t>
      </w:r>
      <w:r>
        <w:rPr>
          <w:rFonts w:hint="eastAsia"/>
          <w:b/>
          <w:bCs/>
          <w:color w:val="auto"/>
          <w:highlight w:val="none"/>
          <w:lang w:val="en-US" w:eastAsia="zh-CN"/>
        </w:rPr>
        <w:t>2</w:t>
      </w:r>
      <w:r>
        <w:rPr>
          <w:rFonts w:hint="default"/>
          <w:b/>
          <w:bCs/>
          <w:color w:val="auto"/>
          <w:highlight w:val="none"/>
          <w:lang w:val="en" w:eastAsia="zh-CN"/>
        </w:rPr>
        <w:t>7</w:t>
      </w:r>
      <w:r>
        <w:rPr>
          <w:b/>
          <w:bCs/>
          <w:color w:val="auto"/>
          <w:highlight w:val="none"/>
          <w:lang w:val="en"/>
        </w:rPr>
        <w:t>日</w:t>
      </w:r>
      <w:r>
        <w:rPr>
          <w:rFonts w:hint="eastAsia"/>
          <w:b/>
          <w:bCs/>
          <w:color w:val="auto"/>
          <w:highlight w:val="none"/>
        </w:rPr>
        <w:t>10:00（北京时间）</w:t>
      </w:r>
    </w:p>
    <w:p w14:paraId="1FB0AAEA">
      <w:pPr>
        <w:adjustRightInd w:val="0"/>
        <w:snapToGrid w:val="0"/>
        <w:spacing w:line="320" w:lineRule="exact"/>
        <w:ind w:firstLine="420" w:firstLineChars="200"/>
        <w:rPr>
          <w:color w:val="auto"/>
          <w:highlight w:val="none"/>
        </w:rPr>
      </w:pPr>
      <w:r>
        <w:rPr>
          <w:rFonts w:hint="eastAsia"/>
          <w:color w:val="auto"/>
          <w:highlight w:val="none"/>
        </w:rPr>
        <w:t>投标地点（网址）：</w:t>
      </w:r>
      <w:r>
        <w:rPr>
          <w:color w:val="auto"/>
          <w:highlight w:val="none"/>
          <w:lang w:val="en"/>
        </w:rPr>
        <w:t>http://www.gcy.zfcg.gxzf.gov.cn</w:t>
      </w:r>
      <w:r>
        <w:rPr>
          <w:rFonts w:hint="eastAsia"/>
          <w:color w:val="auto"/>
          <w:highlight w:val="none"/>
        </w:rPr>
        <w:t>（本项目不要求投标供应商到达开标现场，但供应商应派法定代表人或委托代理人准时在线出席电子开评标会议，随时关注开评标进度，如在开评标过程中有电子询标，应在规定的时间内对电子询标函进行澄清回复。）</w:t>
      </w:r>
    </w:p>
    <w:p w14:paraId="42478CA7">
      <w:pPr>
        <w:adjustRightInd w:val="0"/>
        <w:snapToGrid w:val="0"/>
        <w:spacing w:line="320" w:lineRule="exact"/>
        <w:ind w:firstLine="420" w:firstLineChars="200"/>
        <w:rPr>
          <w:color w:val="auto"/>
          <w:highlight w:val="none"/>
        </w:rPr>
      </w:pPr>
      <w:r>
        <w:rPr>
          <w:rFonts w:hint="eastAsia"/>
          <w:color w:val="auto"/>
          <w:highlight w:val="none"/>
        </w:rPr>
        <w:t>开标时间：</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5</w:t>
      </w:r>
      <w:r>
        <w:rPr>
          <w:b/>
          <w:bCs/>
          <w:color w:val="auto"/>
          <w:highlight w:val="none"/>
          <w:lang w:val="en"/>
        </w:rPr>
        <w:t>月</w:t>
      </w:r>
      <w:r>
        <w:rPr>
          <w:rFonts w:hint="eastAsia"/>
          <w:b/>
          <w:bCs/>
          <w:color w:val="auto"/>
          <w:highlight w:val="none"/>
          <w:lang w:val="en-US" w:eastAsia="zh-CN"/>
        </w:rPr>
        <w:t>2</w:t>
      </w:r>
      <w:r>
        <w:rPr>
          <w:rFonts w:hint="default"/>
          <w:b/>
          <w:bCs/>
          <w:color w:val="auto"/>
          <w:highlight w:val="none"/>
          <w:lang w:val="en" w:eastAsia="zh-CN"/>
        </w:rPr>
        <w:t>7</w:t>
      </w:r>
      <w:r>
        <w:rPr>
          <w:b/>
          <w:bCs/>
          <w:color w:val="auto"/>
          <w:highlight w:val="none"/>
          <w:lang w:val="en"/>
        </w:rPr>
        <w:t>日</w:t>
      </w:r>
      <w:r>
        <w:rPr>
          <w:rFonts w:hint="eastAsia"/>
          <w:b/>
          <w:bCs/>
          <w:color w:val="auto"/>
          <w:highlight w:val="none"/>
        </w:rPr>
        <w:t xml:space="preserve">10:00 </w:t>
      </w:r>
    </w:p>
    <w:p w14:paraId="46350AD0">
      <w:pPr>
        <w:adjustRightInd w:val="0"/>
        <w:snapToGrid w:val="0"/>
        <w:spacing w:line="320" w:lineRule="exact"/>
        <w:ind w:firstLine="420" w:firstLineChars="200"/>
        <w:rPr>
          <w:color w:val="auto"/>
          <w:highlight w:val="none"/>
        </w:rPr>
      </w:pPr>
      <w:r>
        <w:rPr>
          <w:rFonts w:hint="eastAsia"/>
          <w:color w:val="auto"/>
          <w:highlight w:val="none"/>
        </w:rPr>
        <w:t>开标地点：青秀区星湖路22号广西政府采购云平台网上开标大厅</w:t>
      </w:r>
    </w:p>
    <w:p w14:paraId="20B5814E">
      <w:pPr>
        <w:adjustRightInd w:val="0"/>
        <w:snapToGrid w:val="0"/>
        <w:spacing w:line="320" w:lineRule="exact"/>
        <w:ind w:firstLine="422" w:firstLineChars="200"/>
        <w:rPr>
          <w:b/>
          <w:color w:val="auto"/>
          <w:highlight w:val="none"/>
        </w:rPr>
      </w:pPr>
      <w:r>
        <w:rPr>
          <w:rFonts w:hint="eastAsia"/>
          <w:b/>
          <w:color w:val="auto"/>
          <w:highlight w:val="none"/>
        </w:rPr>
        <w:t xml:space="preserve">五、公告期限 </w:t>
      </w:r>
    </w:p>
    <w:p w14:paraId="079A0274">
      <w:pPr>
        <w:adjustRightInd w:val="0"/>
        <w:snapToGrid w:val="0"/>
        <w:spacing w:line="320" w:lineRule="exact"/>
        <w:ind w:firstLine="420" w:firstLineChars="200"/>
        <w:rPr>
          <w:color w:val="auto"/>
          <w:highlight w:val="none"/>
        </w:rPr>
      </w:pPr>
      <w:r>
        <w:rPr>
          <w:rFonts w:hint="eastAsia"/>
          <w:color w:val="auto"/>
          <w:highlight w:val="none"/>
        </w:rPr>
        <w:t>自本公告发布之日起5个工作日。</w:t>
      </w:r>
    </w:p>
    <w:p w14:paraId="7CAFF70C">
      <w:pPr>
        <w:adjustRightInd w:val="0"/>
        <w:snapToGrid w:val="0"/>
        <w:spacing w:line="320" w:lineRule="exact"/>
        <w:ind w:firstLine="422" w:firstLineChars="200"/>
        <w:rPr>
          <w:b/>
          <w:color w:val="auto"/>
          <w:highlight w:val="none"/>
        </w:rPr>
      </w:pPr>
      <w:r>
        <w:rPr>
          <w:rFonts w:hint="eastAsia"/>
          <w:b/>
          <w:color w:val="auto"/>
          <w:highlight w:val="none"/>
        </w:rPr>
        <w:t>六、其他补充事宜</w:t>
      </w:r>
    </w:p>
    <w:p w14:paraId="2525D623">
      <w:pPr>
        <w:adjustRightInd w:val="0"/>
        <w:snapToGrid w:val="0"/>
        <w:spacing w:line="320" w:lineRule="exact"/>
        <w:ind w:firstLine="422" w:firstLineChars="200"/>
        <w:rPr>
          <w:color w:val="auto"/>
          <w:highlight w:val="none"/>
        </w:rPr>
      </w:pPr>
      <w:r>
        <w:rPr>
          <w:rFonts w:hint="eastAsia"/>
          <w:b/>
          <w:color w:val="auto"/>
          <w:highlight w:val="none"/>
        </w:rPr>
        <w:t xml:space="preserve"> </w:t>
      </w:r>
      <w:r>
        <w:rPr>
          <w:rFonts w:hint="eastAsia"/>
          <w:color w:val="auto"/>
          <w:highlight w:val="none"/>
        </w:rPr>
        <w:t>1.投标保证金（人民币）：</w:t>
      </w:r>
      <w:r>
        <w:rPr>
          <w:rFonts w:hint="eastAsia"/>
          <w:b/>
          <w:bCs/>
          <w:color w:val="auto"/>
          <w:highlight w:val="none"/>
        </w:rPr>
        <w:t>分标</w:t>
      </w:r>
      <w:r>
        <w:rPr>
          <w:b/>
          <w:bCs/>
          <w:color w:val="auto"/>
          <w:highlight w:val="none"/>
          <w:lang w:val="en"/>
        </w:rPr>
        <w:t>1</w:t>
      </w:r>
      <w:r>
        <w:rPr>
          <w:rFonts w:hint="eastAsia"/>
          <w:b/>
          <w:bCs/>
          <w:color w:val="auto"/>
          <w:highlight w:val="none"/>
        </w:rPr>
        <w:t>：</w:t>
      </w:r>
      <w:r>
        <w:rPr>
          <w:rFonts w:hint="eastAsia"/>
          <w:b/>
          <w:bCs/>
          <w:color w:val="auto"/>
          <w:highlight w:val="none"/>
          <w:u w:val="single"/>
        </w:rPr>
        <w:t xml:space="preserve">  2   </w:t>
      </w:r>
      <w:r>
        <w:rPr>
          <w:rFonts w:hint="eastAsia"/>
          <w:b/>
          <w:bCs/>
          <w:color w:val="auto"/>
          <w:highlight w:val="none"/>
        </w:rPr>
        <w:t>万元。</w:t>
      </w:r>
      <w:r>
        <w:rPr>
          <w:rFonts w:hint="eastAsia"/>
          <w:color w:val="auto"/>
          <w:highlight w:val="none"/>
        </w:rPr>
        <w:t>(必须足额交纳)</w:t>
      </w:r>
    </w:p>
    <w:p w14:paraId="625498A9">
      <w:pPr>
        <w:adjustRightInd w:val="0"/>
        <w:snapToGrid w:val="0"/>
        <w:spacing w:line="320" w:lineRule="exact"/>
        <w:ind w:firstLine="420" w:firstLineChars="200"/>
        <w:rPr>
          <w:color w:val="auto"/>
          <w:highlight w:val="none"/>
        </w:rPr>
      </w:pPr>
      <w:r>
        <w:rPr>
          <w:rFonts w:hint="eastAsia"/>
          <w:color w:val="auto"/>
          <w:highlight w:val="none"/>
        </w:rPr>
        <w:t>（1）投标保证金交纳形式：支票、汇票、本票、金融机构、担保机构出具的保函等非现金形式。</w:t>
      </w:r>
    </w:p>
    <w:p w14:paraId="2066043A">
      <w:pPr>
        <w:adjustRightInd w:val="0"/>
        <w:snapToGrid w:val="0"/>
        <w:spacing w:line="320" w:lineRule="exact"/>
        <w:ind w:firstLine="420" w:firstLineChars="200"/>
        <w:rPr>
          <w:color w:val="auto"/>
          <w:highlight w:val="none"/>
        </w:rPr>
      </w:pPr>
      <w:r>
        <w:rPr>
          <w:rFonts w:hint="eastAsia"/>
          <w:color w:val="auto"/>
          <w:highlight w:val="none"/>
        </w:rPr>
        <w:t>（2）采用网上银行转账形式的，投标人应于提交投标文件截止时间前将投标保证金交至以下账户。</w:t>
      </w:r>
    </w:p>
    <w:p w14:paraId="19606831">
      <w:pPr>
        <w:adjustRightInd w:val="0"/>
        <w:snapToGrid w:val="0"/>
        <w:spacing w:line="320" w:lineRule="exact"/>
        <w:ind w:firstLine="422" w:firstLineChars="200"/>
        <w:rPr>
          <w:b/>
          <w:bCs/>
          <w:color w:val="auto"/>
          <w:highlight w:val="none"/>
        </w:rPr>
      </w:pPr>
      <w:r>
        <w:rPr>
          <w:rFonts w:hint="eastAsia"/>
          <w:b/>
          <w:bCs/>
          <w:color w:val="auto"/>
          <w:highlight w:val="none"/>
        </w:rPr>
        <w:t>开户名称：广西壮族自治区政府采购中心</w:t>
      </w:r>
    </w:p>
    <w:p w14:paraId="0C255547">
      <w:pPr>
        <w:adjustRightInd w:val="0"/>
        <w:snapToGrid w:val="0"/>
        <w:spacing w:line="320" w:lineRule="exact"/>
        <w:ind w:firstLine="422" w:firstLineChars="200"/>
        <w:rPr>
          <w:b/>
          <w:bCs/>
          <w:color w:val="auto"/>
          <w:highlight w:val="none"/>
        </w:rPr>
      </w:pPr>
      <w:r>
        <w:rPr>
          <w:rFonts w:hint="eastAsia"/>
          <w:b/>
          <w:bCs/>
          <w:color w:val="auto"/>
          <w:highlight w:val="none"/>
        </w:rPr>
        <w:t>开户银行：中国农业银行股份有限公司南宁市古城支行</w:t>
      </w:r>
    </w:p>
    <w:p w14:paraId="1F63FEBC">
      <w:pPr>
        <w:adjustRightInd w:val="0"/>
        <w:snapToGrid w:val="0"/>
        <w:spacing w:line="320" w:lineRule="exact"/>
        <w:ind w:firstLine="422" w:firstLineChars="200"/>
        <w:rPr>
          <w:color w:val="auto"/>
          <w:highlight w:val="none"/>
        </w:rPr>
      </w:pPr>
      <w:r>
        <w:rPr>
          <w:rFonts w:hint="eastAsia"/>
          <w:b/>
          <w:bCs/>
          <w:color w:val="auto"/>
          <w:highlight w:val="none"/>
        </w:rPr>
        <w:t>银行账号：20009101040051648</w:t>
      </w:r>
    </w:p>
    <w:p w14:paraId="3FD4A98A">
      <w:pPr>
        <w:adjustRightInd w:val="0"/>
        <w:snapToGrid w:val="0"/>
        <w:spacing w:line="320" w:lineRule="exact"/>
        <w:ind w:firstLine="420" w:firstLineChars="200"/>
        <w:rPr>
          <w:color w:val="auto"/>
          <w:highlight w:val="none"/>
        </w:rPr>
      </w:pPr>
      <w:r>
        <w:rPr>
          <w:rFonts w:hint="eastAsia"/>
          <w:color w:val="auto"/>
          <w:highlight w:val="none"/>
        </w:rPr>
        <w:t>（3）采用支票、汇票、本票或者保函等形式的，投标人应于提交投标文件截止时间前递交单独密封的支票、汇票、本票或者保函原件至我中心财务处。</w:t>
      </w:r>
    </w:p>
    <w:p w14:paraId="013F5AEF">
      <w:pPr>
        <w:adjustRightInd w:val="0"/>
        <w:snapToGrid w:val="0"/>
        <w:spacing w:line="320" w:lineRule="exact"/>
        <w:ind w:firstLine="420" w:firstLineChars="200"/>
        <w:rPr>
          <w:color w:val="auto"/>
          <w:highlight w:val="none"/>
        </w:rPr>
      </w:pPr>
      <w:r>
        <w:rPr>
          <w:rFonts w:hint="eastAsia"/>
          <w:color w:val="auto"/>
          <w:highlight w:val="none"/>
        </w:rPr>
        <w:t>（4）本中心财务处联系方式：</w:t>
      </w:r>
    </w:p>
    <w:p w14:paraId="4FBD31C0">
      <w:pPr>
        <w:adjustRightInd w:val="0"/>
        <w:snapToGrid w:val="0"/>
        <w:spacing w:line="320" w:lineRule="exact"/>
        <w:ind w:firstLine="420" w:firstLineChars="200"/>
        <w:rPr>
          <w:color w:val="auto"/>
          <w:highlight w:val="none"/>
          <w:lang w:val="en"/>
        </w:rPr>
      </w:pPr>
      <w:r>
        <w:rPr>
          <w:color w:val="auto"/>
          <w:highlight w:val="none"/>
          <w:lang w:val="en"/>
        </w:rPr>
        <w:t>地址：广西南宁市星湖路22号广西壮族自治区政府采购中心综合楼3楼306室； 电话：0771-8600309。</w:t>
      </w:r>
    </w:p>
    <w:p w14:paraId="189BD945">
      <w:pPr>
        <w:adjustRightInd w:val="0"/>
        <w:snapToGrid w:val="0"/>
        <w:spacing w:line="320" w:lineRule="exact"/>
        <w:ind w:firstLine="420" w:firstLineChars="200"/>
        <w:rPr>
          <w:color w:val="auto"/>
          <w:highlight w:val="none"/>
        </w:rPr>
      </w:pPr>
      <w:r>
        <w:rPr>
          <w:rFonts w:hint="eastAsia"/>
          <w:color w:val="auto"/>
          <w:highlight w:val="none"/>
        </w:rPr>
        <w:t>2.本项目需要落实的政府采购政策</w:t>
      </w:r>
    </w:p>
    <w:p w14:paraId="5AE9BDC1">
      <w:pPr>
        <w:adjustRightInd w:val="0"/>
        <w:snapToGrid w:val="0"/>
        <w:spacing w:line="320" w:lineRule="exact"/>
        <w:ind w:firstLine="420" w:firstLineChars="200"/>
        <w:rPr>
          <w:color w:val="auto"/>
          <w:highlight w:val="none"/>
        </w:rPr>
      </w:pPr>
      <w:r>
        <w:rPr>
          <w:rFonts w:hint="eastAsia"/>
          <w:color w:val="auto"/>
          <w:highlight w:val="none"/>
        </w:rPr>
        <w:t>政府采购促进中小企业发展；</w:t>
      </w:r>
      <w:r>
        <w:rPr>
          <w:rFonts w:hAnsi="宋体" w:cs="宋体"/>
          <w:b/>
          <w:color w:val="auto"/>
          <w:kern w:val="0"/>
          <w:szCs w:val="21"/>
          <w:highlight w:val="none"/>
        </w:rPr>
        <w:t>政府采购支持采用本国产品的政策；</w:t>
      </w:r>
      <w:r>
        <w:rPr>
          <w:rFonts w:hint="eastAsia"/>
          <w:color w:val="auto"/>
          <w:highlight w:val="none"/>
        </w:rPr>
        <w:t>强制采购节能产品；优先采购节能产品、环境标志产品；政府采购促进残疾人就业政策；政府采购支持监狱企业发展；政府采购扶持不发达地区和少数民族地区等。</w:t>
      </w:r>
    </w:p>
    <w:p w14:paraId="172E9698">
      <w:pPr>
        <w:adjustRightInd w:val="0"/>
        <w:snapToGrid w:val="0"/>
        <w:spacing w:line="320" w:lineRule="exact"/>
        <w:ind w:firstLine="420" w:firstLineChars="200"/>
        <w:rPr>
          <w:color w:val="auto"/>
          <w:highlight w:val="none"/>
        </w:rPr>
      </w:pPr>
      <w:r>
        <w:rPr>
          <w:rFonts w:hint="eastAsia"/>
          <w:color w:val="auto"/>
          <w:highlight w:val="none"/>
        </w:rPr>
        <w:t>3.网上公告媒体查询</w:t>
      </w:r>
    </w:p>
    <w:p w14:paraId="3B2D28B3">
      <w:pPr>
        <w:adjustRightInd w:val="0"/>
        <w:snapToGrid w:val="0"/>
        <w:spacing w:line="320" w:lineRule="exact"/>
        <w:ind w:firstLine="420" w:firstLineChars="200"/>
        <w:rPr>
          <w:color w:val="auto"/>
          <w:highlight w:val="none"/>
        </w:rPr>
      </w:pPr>
      <w:r>
        <w:rPr>
          <w:rFonts w:hint="eastAsia"/>
          <w:color w:val="auto"/>
          <w:highlight w:val="none"/>
        </w:rPr>
        <w:t>中国政府采购网（www.ccgp.gov.cn）、广西壮族自治区政府采购网（zfcg.gxzf.gov.cn）、广西壮族自治区政府采购中心网站（gxggzy.gxzf.gov.cn）。</w:t>
      </w:r>
    </w:p>
    <w:p w14:paraId="3010AB9E">
      <w:pPr>
        <w:adjustRightInd w:val="0"/>
        <w:snapToGrid w:val="0"/>
        <w:spacing w:line="320" w:lineRule="exact"/>
        <w:ind w:firstLine="420" w:firstLineChars="200"/>
        <w:rPr>
          <w:color w:val="auto"/>
          <w:highlight w:val="none"/>
        </w:rPr>
      </w:pPr>
      <w:r>
        <w:rPr>
          <w:rFonts w:hint="eastAsia"/>
          <w:color w:val="auto"/>
          <w:highlight w:val="none"/>
        </w:rPr>
        <w:t>4.其他注意事项</w:t>
      </w:r>
    </w:p>
    <w:p w14:paraId="6538FA44">
      <w:pPr>
        <w:adjustRightInd w:val="0"/>
        <w:snapToGrid w:val="0"/>
        <w:spacing w:line="320" w:lineRule="exact"/>
        <w:ind w:firstLine="420" w:firstLineChars="200"/>
        <w:rPr>
          <w:color w:val="auto"/>
          <w:highlight w:val="none"/>
        </w:rPr>
      </w:pPr>
      <w:r>
        <w:rPr>
          <w:rFonts w:hint="eastAsia"/>
          <w:color w:val="auto"/>
          <w:highlight w:val="none"/>
        </w:rPr>
        <w:t>（1）本项目实行电子投标，供应商应按照本项目招标文件和</w:t>
      </w:r>
      <w:r>
        <w:rPr>
          <w:color w:val="auto"/>
          <w:highlight w:val="none"/>
          <w:lang w:val="en"/>
        </w:rPr>
        <w:t>广西政府采购云平台</w:t>
      </w:r>
      <w:r>
        <w:rPr>
          <w:rFonts w:hint="eastAsia"/>
          <w:color w:val="auto"/>
          <w:highlight w:val="none"/>
        </w:rPr>
        <w:t>的要求编制、加密并提交投标文件。供应商在使用系统参与投标过程中遇到涉及平台使用的任何问题，可致电</w:t>
      </w:r>
      <w:r>
        <w:rPr>
          <w:color w:val="auto"/>
          <w:highlight w:val="none"/>
          <w:lang w:val="en"/>
        </w:rPr>
        <w:t>广西政府采购云平台</w:t>
      </w:r>
      <w:r>
        <w:rPr>
          <w:rFonts w:hint="eastAsia"/>
          <w:color w:val="auto"/>
          <w:highlight w:val="none"/>
        </w:rPr>
        <w:t xml:space="preserve">技术支持热线咨询，联系方式：95763。 </w:t>
      </w:r>
    </w:p>
    <w:p w14:paraId="10D1CF17">
      <w:pPr>
        <w:adjustRightInd w:val="0"/>
        <w:snapToGrid w:val="0"/>
        <w:spacing w:line="320" w:lineRule="exact"/>
        <w:ind w:firstLine="420" w:firstLineChars="200"/>
        <w:rPr>
          <w:color w:val="auto"/>
          <w:highlight w:val="none"/>
        </w:rPr>
      </w:pPr>
      <w:r>
        <w:rPr>
          <w:rFonts w:hint="eastAsia"/>
          <w:color w:val="auto"/>
          <w:highlight w:val="none"/>
        </w:rPr>
        <w:t>（2）供应商应及时熟悉掌握电子标系统操作指南（见</w:t>
      </w:r>
      <w:r>
        <w:rPr>
          <w:color w:val="auto"/>
          <w:highlight w:val="none"/>
          <w:lang w:val="en"/>
        </w:rPr>
        <w:t>广西政府采购云</w:t>
      </w:r>
      <w:r>
        <w:rPr>
          <w:rFonts w:hint="eastAsia"/>
          <w:color w:val="auto"/>
          <w:highlight w:val="none"/>
        </w:rPr>
        <w:t>电子卖场首页右上角—服务中心—帮助文档—项目采购）：</w:t>
      </w:r>
      <w:r>
        <w:rPr>
          <w:color w:val="auto"/>
          <w:highlight w:val="none"/>
        </w:rPr>
        <w:fldChar w:fldCharType="begin"/>
      </w:r>
      <w:r>
        <w:rPr>
          <w:color w:val="auto"/>
          <w:highlight w:val="none"/>
        </w:rPr>
        <w:instrText xml:space="preserve"> HYPERLINK "https://service.zcygov.cn/" \l "/knowledges/tree?tag=AG1DtGwBFdiHxlNdhY0r。" </w:instrText>
      </w:r>
      <w:r>
        <w:rPr>
          <w:color w:val="auto"/>
          <w:highlight w:val="none"/>
        </w:rPr>
        <w:fldChar w:fldCharType="separate"/>
      </w:r>
      <w:r>
        <w:rPr>
          <w:rFonts w:hint="eastAsia"/>
          <w:color w:val="auto"/>
          <w:highlight w:val="none"/>
        </w:rPr>
        <w:t>https://service.zcygov.cn/#/knowledges/tree?tag=AG1DtGwBFdiHxlNdhY0r。</w:t>
      </w:r>
      <w:r>
        <w:rPr>
          <w:rFonts w:hint="eastAsia"/>
          <w:color w:val="auto"/>
          <w:highlight w:val="none"/>
        </w:rPr>
        <w:fldChar w:fldCharType="end"/>
      </w:r>
    </w:p>
    <w:p w14:paraId="1633AE97">
      <w:pPr>
        <w:adjustRightInd w:val="0"/>
        <w:snapToGrid w:val="0"/>
        <w:spacing w:line="320" w:lineRule="exact"/>
        <w:ind w:firstLine="420" w:firstLineChars="200"/>
        <w:rPr>
          <w:color w:val="auto"/>
          <w:highlight w:val="none"/>
        </w:rPr>
      </w:pPr>
      <w:r>
        <w:rPr>
          <w:rFonts w:hint="eastAsia"/>
          <w:color w:val="auto"/>
          <w:highlight w:val="none"/>
        </w:rPr>
        <w:t>（3）供应商应及时完成CA申领和绑定（见广西壮族自治区政府采购网—办事服务—下载专区-政采云CA证书办理操作指南）。</w:t>
      </w:r>
    </w:p>
    <w:p w14:paraId="2F80FD14">
      <w:pPr>
        <w:adjustRightInd w:val="0"/>
        <w:snapToGrid w:val="0"/>
        <w:spacing w:line="320" w:lineRule="exact"/>
        <w:ind w:firstLine="420" w:firstLineChars="200"/>
        <w:rPr>
          <w:color w:val="auto"/>
          <w:highlight w:val="none"/>
        </w:rPr>
      </w:pPr>
      <w:r>
        <w:rPr>
          <w:rFonts w:hint="eastAsia"/>
          <w:color w:val="auto"/>
          <w:highlight w:val="none"/>
        </w:rPr>
        <w:t>（4）供应商通过</w:t>
      </w:r>
      <w:r>
        <w:rPr>
          <w:color w:val="auto"/>
          <w:highlight w:val="none"/>
          <w:lang w:val="en"/>
        </w:rPr>
        <w:t>广西政府采购云</w:t>
      </w:r>
      <w:r>
        <w:rPr>
          <w:rFonts w:hint="eastAsia"/>
          <w:color w:val="auto"/>
          <w:highlight w:val="none"/>
        </w:rPr>
        <w:t>投标客户端软件制作投标文件，</w:t>
      </w:r>
      <w:r>
        <w:rPr>
          <w:color w:val="auto"/>
          <w:highlight w:val="none"/>
          <w:lang w:val="en"/>
        </w:rPr>
        <w:t>广西政府采购云</w:t>
      </w:r>
      <w:r>
        <w:rPr>
          <w:rFonts w:hint="eastAsia"/>
          <w:color w:val="auto"/>
          <w:highlight w:val="none"/>
        </w:rPr>
        <w:t xml:space="preserve">投标客户端软件请供应商自行前往下载并安装（见广西壮族自治区政府采购网—办事服务—下载专区-广西壮族自治区全流程电子招投标项目管理系统--供应商客户端）。 </w:t>
      </w:r>
    </w:p>
    <w:p w14:paraId="55D38976">
      <w:pPr>
        <w:adjustRightInd w:val="0"/>
        <w:snapToGrid w:val="0"/>
        <w:spacing w:line="320" w:lineRule="exact"/>
        <w:ind w:firstLine="420" w:firstLineChars="200"/>
        <w:rPr>
          <w:color w:val="auto"/>
          <w:highlight w:val="none"/>
        </w:rPr>
      </w:pPr>
      <w:r>
        <w:rPr>
          <w:rFonts w:hint="eastAsia"/>
          <w:color w:val="auto"/>
          <w:highlight w:val="none"/>
        </w:rPr>
        <w:t>（5）因未注册入库、未办理CA数字证书、CA证书故障、操作不当等原因造成无法投标或投标失败等后果由供应商自行承担。</w:t>
      </w:r>
    </w:p>
    <w:p w14:paraId="7B173C22">
      <w:pPr>
        <w:adjustRightInd w:val="0"/>
        <w:snapToGrid w:val="0"/>
        <w:spacing w:line="320" w:lineRule="exact"/>
        <w:ind w:firstLine="420" w:firstLineChars="200"/>
        <w:rPr>
          <w:color w:val="auto"/>
          <w:highlight w:val="none"/>
        </w:rPr>
      </w:pPr>
      <w:r>
        <w:rPr>
          <w:rFonts w:hint="eastAsia"/>
          <w:color w:val="auto"/>
          <w:highlight w:val="none"/>
        </w:rPr>
        <w:t>（6）投标文件网上提交截止后，</w:t>
      </w:r>
      <w:r>
        <w:rPr>
          <w:color w:val="auto"/>
          <w:highlight w:val="none"/>
          <w:lang w:val="en"/>
        </w:rPr>
        <w:t>广西政府采购云</w:t>
      </w:r>
      <w:r>
        <w:rPr>
          <w:rFonts w:hint="eastAsia"/>
          <w:color w:val="auto"/>
          <w:highlight w:val="none"/>
        </w:rPr>
        <w:t>（电子标系统）自动提取所有投标文件，各供应商须在开标开始后30分钟内对上传</w:t>
      </w:r>
      <w:r>
        <w:rPr>
          <w:color w:val="auto"/>
          <w:highlight w:val="none"/>
          <w:lang w:val="en"/>
        </w:rPr>
        <w:t>广西政府采购云</w:t>
      </w:r>
      <w:r>
        <w:rPr>
          <w:rFonts w:hint="eastAsia"/>
          <w:color w:val="auto"/>
          <w:highlight w:val="none"/>
        </w:rPr>
        <w:t>的投标文件进行解密，所有供应商在规定的解密时限内解密完成或解密时限结束后，我中心开启投标文件；供应商超过解密时限的，系统默认自动放弃。</w:t>
      </w:r>
    </w:p>
    <w:p w14:paraId="412655F9">
      <w:pPr>
        <w:adjustRightInd w:val="0"/>
        <w:snapToGrid w:val="0"/>
        <w:spacing w:line="320" w:lineRule="exact"/>
        <w:ind w:firstLine="422" w:firstLineChars="200"/>
        <w:rPr>
          <w:b/>
          <w:color w:val="auto"/>
          <w:highlight w:val="none"/>
        </w:rPr>
      </w:pPr>
      <w:r>
        <w:rPr>
          <w:b/>
          <w:color w:val="auto"/>
          <w:highlight w:val="none"/>
        </w:rPr>
        <w:t xml:space="preserve">  </w:t>
      </w:r>
    </w:p>
    <w:p w14:paraId="06C9B133">
      <w:pPr>
        <w:adjustRightInd w:val="0"/>
        <w:snapToGrid w:val="0"/>
        <w:spacing w:line="320" w:lineRule="exact"/>
        <w:ind w:firstLine="422" w:firstLineChars="200"/>
        <w:rPr>
          <w:b/>
          <w:color w:val="auto"/>
          <w:highlight w:val="none"/>
        </w:rPr>
      </w:pPr>
      <w:r>
        <w:rPr>
          <w:rFonts w:hint="eastAsia"/>
          <w:b/>
          <w:color w:val="auto"/>
          <w:highlight w:val="none"/>
        </w:rPr>
        <w:t>七、对本次采购提出询问，请按以下方式联系</w:t>
      </w:r>
    </w:p>
    <w:p w14:paraId="170B0538">
      <w:pPr>
        <w:adjustRightInd w:val="0"/>
        <w:snapToGrid w:val="0"/>
        <w:spacing w:line="320" w:lineRule="exact"/>
        <w:ind w:firstLine="422" w:firstLineChars="200"/>
        <w:rPr>
          <w:color w:val="auto"/>
          <w:highlight w:val="none"/>
        </w:rPr>
      </w:pPr>
      <w:r>
        <w:rPr>
          <w:rFonts w:hint="eastAsia"/>
          <w:b/>
          <w:color w:val="auto"/>
          <w:highlight w:val="none"/>
        </w:rPr>
        <w:t xml:space="preserve"> </w:t>
      </w:r>
      <w:r>
        <w:rPr>
          <w:rFonts w:hint="eastAsia"/>
          <w:color w:val="auto"/>
          <w:highlight w:val="none"/>
        </w:rPr>
        <w:t xml:space="preserve">   1.采购人信息</w:t>
      </w:r>
    </w:p>
    <w:p w14:paraId="6A7E9D32">
      <w:pPr>
        <w:adjustRightInd w:val="0"/>
        <w:snapToGrid w:val="0"/>
        <w:spacing w:line="320" w:lineRule="exact"/>
        <w:ind w:firstLine="420" w:firstLineChars="200"/>
        <w:rPr>
          <w:color w:val="auto"/>
          <w:highlight w:val="none"/>
        </w:rPr>
      </w:pPr>
      <w:r>
        <w:rPr>
          <w:rFonts w:hint="eastAsia"/>
          <w:color w:val="auto"/>
          <w:highlight w:val="none"/>
        </w:rPr>
        <w:t xml:space="preserve">    名    称：广西壮族自治区财政厅机关服务中心  </w:t>
      </w:r>
    </w:p>
    <w:p w14:paraId="16E5125E">
      <w:pPr>
        <w:adjustRightInd w:val="0"/>
        <w:snapToGrid w:val="0"/>
        <w:spacing w:line="320" w:lineRule="exact"/>
        <w:ind w:firstLine="420" w:firstLineChars="200"/>
        <w:rPr>
          <w:color w:val="auto"/>
          <w:highlight w:val="none"/>
        </w:rPr>
      </w:pPr>
      <w:r>
        <w:rPr>
          <w:rFonts w:hint="eastAsia"/>
          <w:color w:val="auto"/>
          <w:highlight w:val="none"/>
        </w:rPr>
        <w:t xml:space="preserve">    地    址：南宁市青秀区桃源路69号 </w:t>
      </w:r>
    </w:p>
    <w:p w14:paraId="684C68C5">
      <w:pPr>
        <w:adjustRightInd w:val="0"/>
        <w:snapToGrid w:val="0"/>
        <w:spacing w:line="320" w:lineRule="exact"/>
        <w:ind w:firstLine="420" w:firstLineChars="200"/>
        <w:rPr>
          <w:color w:val="auto"/>
          <w:highlight w:val="none"/>
        </w:rPr>
      </w:pPr>
      <w:r>
        <w:rPr>
          <w:rFonts w:hint="eastAsia"/>
          <w:color w:val="auto"/>
          <w:highlight w:val="none"/>
        </w:rPr>
        <w:t xml:space="preserve">    项目联系人：杨宣波  </w:t>
      </w:r>
    </w:p>
    <w:p w14:paraId="1D563099">
      <w:pPr>
        <w:adjustRightInd w:val="0"/>
        <w:snapToGrid w:val="0"/>
        <w:spacing w:line="320" w:lineRule="exact"/>
        <w:ind w:firstLine="420" w:firstLineChars="200"/>
        <w:rPr>
          <w:color w:val="auto"/>
          <w:highlight w:val="none"/>
        </w:rPr>
      </w:pPr>
      <w:r>
        <w:rPr>
          <w:color w:val="auto"/>
          <w:highlight w:val="none"/>
        </w:rPr>
        <w:t xml:space="preserve">    </w:t>
      </w:r>
      <w:r>
        <w:rPr>
          <w:rFonts w:hint="eastAsia"/>
          <w:color w:val="auto"/>
          <w:highlight w:val="none"/>
        </w:rPr>
        <w:t xml:space="preserve">项目联系方式：0771-5331625 </w:t>
      </w:r>
    </w:p>
    <w:p w14:paraId="757A7FFD">
      <w:pPr>
        <w:adjustRightInd w:val="0"/>
        <w:snapToGrid w:val="0"/>
        <w:spacing w:line="320" w:lineRule="exact"/>
        <w:ind w:firstLine="420" w:firstLineChars="200"/>
        <w:rPr>
          <w:color w:val="auto"/>
          <w:highlight w:val="none"/>
        </w:rPr>
      </w:pPr>
      <w:r>
        <w:rPr>
          <w:color w:val="auto"/>
          <w:highlight w:val="none"/>
        </w:rPr>
        <w:t xml:space="preserve">    </w:t>
      </w:r>
      <w:r>
        <w:rPr>
          <w:rFonts w:hint="eastAsia"/>
          <w:color w:val="auto"/>
          <w:highlight w:val="none"/>
        </w:rPr>
        <w:t>2.采购代理机构信息</w:t>
      </w:r>
    </w:p>
    <w:p w14:paraId="4AA68CBF">
      <w:pPr>
        <w:adjustRightInd w:val="0"/>
        <w:snapToGrid w:val="0"/>
        <w:spacing w:line="320" w:lineRule="exact"/>
        <w:ind w:firstLine="420" w:firstLineChars="200"/>
        <w:rPr>
          <w:color w:val="auto"/>
          <w:highlight w:val="none"/>
        </w:rPr>
      </w:pPr>
      <w:r>
        <w:rPr>
          <w:rFonts w:hint="eastAsia"/>
          <w:color w:val="auto"/>
          <w:highlight w:val="none"/>
        </w:rPr>
        <w:t xml:space="preserve">    名    称：广西壮族自治区政府采购中心  </w:t>
      </w:r>
    </w:p>
    <w:p w14:paraId="554DB5BE">
      <w:pPr>
        <w:adjustRightInd w:val="0"/>
        <w:snapToGrid w:val="0"/>
        <w:spacing w:line="320" w:lineRule="exact"/>
        <w:ind w:firstLine="420" w:firstLineChars="200"/>
        <w:rPr>
          <w:color w:val="auto"/>
          <w:highlight w:val="none"/>
        </w:rPr>
      </w:pPr>
      <w:r>
        <w:rPr>
          <w:rFonts w:hint="eastAsia"/>
          <w:color w:val="auto"/>
          <w:highlight w:val="none"/>
        </w:rPr>
        <w:t xml:space="preserve">    地    址：广西南宁市星湖路22号  </w:t>
      </w:r>
    </w:p>
    <w:p w14:paraId="6F500FEF">
      <w:pPr>
        <w:adjustRightInd w:val="0"/>
        <w:snapToGrid w:val="0"/>
        <w:spacing w:line="320" w:lineRule="exact"/>
        <w:ind w:firstLine="420" w:firstLineChars="200"/>
        <w:rPr>
          <w:color w:val="auto"/>
          <w:highlight w:val="none"/>
        </w:rPr>
      </w:pPr>
      <w:r>
        <w:rPr>
          <w:rFonts w:hint="eastAsia"/>
          <w:color w:val="auto"/>
          <w:highlight w:val="none"/>
        </w:rPr>
        <w:t xml:space="preserve">    项目联系人：张国铨</w:t>
      </w:r>
    </w:p>
    <w:p w14:paraId="3037E577">
      <w:pPr>
        <w:adjustRightInd w:val="0"/>
        <w:snapToGrid w:val="0"/>
        <w:spacing w:line="320" w:lineRule="exact"/>
        <w:ind w:firstLine="420" w:firstLineChars="200"/>
        <w:rPr>
          <w:rFonts w:ascii="宋体" w:hAnsi="宋体" w:cs="宋体"/>
          <w:color w:val="auto"/>
          <w:highlight w:val="none"/>
        </w:rPr>
      </w:pPr>
      <w:r>
        <w:rPr>
          <w:rFonts w:hint="eastAsia"/>
          <w:color w:val="auto"/>
          <w:highlight w:val="none"/>
        </w:rPr>
        <w:t xml:space="preserve">    项目联系方式：0771-8600343 </w:t>
      </w:r>
    </w:p>
    <w:p w14:paraId="096988BE">
      <w:pPr>
        <w:adjustRightInd w:val="0"/>
        <w:snapToGrid w:val="0"/>
        <w:spacing w:line="320" w:lineRule="exact"/>
        <w:ind w:firstLine="630" w:firstLineChars="300"/>
        <w:rPr>
          <w:rFonts w:ascii="宋体" w:hAnsi="宋体" w:cs="宋体"/>
          <w:color w:val="auto"/>
          <w:highlight w:val="none"/>
        </w:rPr>
      </w:pPr>
    </w:p>
    <w:bookmarkEnd w:id="0"/>
    <w:bookmarkEnd w:id="1"/>
    <w:p w14:paraId="15EDEB8A">
      <w:pPr>
        <w:snapToGrid w:val="0"/>
        <w:spacing w:line="320" w:lineRule="exact"/>
        <w:ind w:left="238"/>
        <w:jc w:val="center"/>
        <w:rPr>
          <w:rFonts w:ascii="宋体" w:cs="宋体"/>
          <w:color w:val="auto"/>
          <w:highlight w:val="none"/>
        </w:rPr>
      </w:pPr>
      <w:r>
        <w:rPr>
          <w:rFonts w:hint="eastAsia" w:ascii="宋体" w:hAnsi="宋体" w:cs="宋体"/>
          <w:color w:val="auto"/>
          <w:highlight w:val="none"/>
        </w:rPr>
        <w:t xml:space="preserve">                                广西壮族自治区政府采购中心</w:t>
      </w:r>
    </w:p>
    <w:p w14:paraId="2ED8D325">
      <w:pPr>
        <w:snapToGrid w:val="0"/>
        <w:spacing w:line="320" w:lineRule="exact"/>
        <w:ind w:left="238"/>
        <w:jc w:val="center"/>
        <w:rPr>
          <w:rFonts w:ascii="黑体" w:eastAsia="黑体"/>
          <w:color w:val="auto"/>
          <w:sz w:val="32"/>
          <w:szCs w:val="32"/>
          <w:highlight w:val="none"/>
          <w:lang w:val="en"/>
        </w:rPr>
      </w:pPr>
      <w:r>
        <w:rPr>
          <w:rFonts w:hint="eastAsia" w:ascii="宋体" w:hAnsi="宋体" w:cs="宋体"/>
          <w:color w:val="auto"/>
          <w:highlight w:val="none"/>
        </w:rPr>
        <w:t xml:space="preserve">                                 </w:t>
      </w:r>
      <w:r>
        <w:rPr>
          <w:rFonts w:ascii="宋体" w:hAnsi="宋体" w:cs="宋体"/>
          <w:color w:val="auto"/>
          <w:highlight w:val="none"/>
          <w:lang w:val="en"/>
        </w:rPr>
        <w:t>202</w:t>
      </w:r>
      <w:r>
        <w:rPr>
          <w:rFonts w:hint="eastAsia" w:ascii="宋体" w:hAnsi="宋体" w:cs="宋体"/>
          <w:color w:val="auto"/>
          <w:highlight w:val="none"/>
        </w:rPr>
        <w:t>6</w:t>
      </w:r>
      <w:r>
        <w:rPr>
          <w:rFonts w:ascii="宋体" w:hAnsi="宋体" w:cs="宋体"/>
          <w:color w:val="auto"/>
          <w:highlight w:val="none"/>
          <w:lang w:val="en"/>
        </w:rPr>
        <w:t>年</w:t>
      </w:r>
      <w:r>
        <w:rPr>
          <w:rFonts w:hint="eastAsia" w:ascii="宋体" w:hAnsi="宋体" w:cs="宋体"/>
          <w:color w:val="auto"/>
          <w:highlight w:val="none"/>
          <w:lang w:val="en-US" w:eastAsia="zh-CN"/>
        </w:rPr>
        <w:t>5</w:t>
      </w:r>
      <w:r>
        <w:rPr>
          <w:rFonts w:ascii="宋体" w:hAnsi="宋体" w:cs="宋体"/>
          <w:color w:val="auto"/>
          <w:highlight w:val="none"/>
          <w:lang w:val="en"/>
        </w:rPr>
        <w:t>月</w:t>
      </w:r>
      <w:r>
        <w:rPr>
          <w:rFonts w:hint="eastAsia" w:ascii="宋体" w:hAnsi="宋体" w:cs="宋体"/>
          <w:color w:val="auto"/>
          <w:highlight w:val="none"/>
          <w:lang w:val="en-US" w:eastAsia="zh-CN"/>
        </w:rPr>
        <w:t>6</w:t>
      </w:r>
      <w:r>
        <w:rPr>
          <w:rFonts w:ascii="宋体" w:hAnsi="宋体" w:cs="宋体"/>
          <w:color w:val="auto"/>
          <w:highlight w:val="none"/>
          <w:lang w:val="en"/>
        </w:rPr>
        <w:t>日</w:t>
      </w:r>
    </w:p>
    <w:p w14:paraId="01F0A030">
      <w:pPr>
        <w:snapToGrid w:val="0"/>
        <w:spacing w:before="156" w:beforeLines="50" w:after="156" w:afterLines="50" w:line="340" w:lineRule="exact"/>
        <w:ind w:left="238"/>
        <w:jc w:val="center"/>
        <w:rPr>
          <w:rFonts w:ascii="黑体" w:eastAsia="黑体"/>
          <w:color w:val="auto"/>
          <w:sz w:val="32"/>
          <w:szCs w:val="32"/>
          <w:highlight w:val="none"/>
        </w:rPr>
      </w:pPr>
      <w:r>
        <w:rPr>
          <w:rFonts w:hint="eastAsia" w:ascii="黑体" w:eastAsia="黑体"/>
          <w:color w:val="auto"/>
          <w:sz w:val="32"/>
          <w:szCs w:val="32"/>
          <w:highlight w:val="none"/>
        </w:rPr>
        <w:br w:type="page"/>
      </w:r>
    </w:p>
    <w:p w14:paraId="7DD8699C">
      <w:pPr>
        <w:snapToGrid w:val="0"/>
        <w:spacing w:before="156" w:beforeLines="50" w:after="156" w:afterLines="50" w:line="360" w:lineRule="exact"/>
        <w:ind w:left="238"/>
        <w:jc w:val="center"/>
        <w:rPr>
          <w:rFonts w:ascii="黑体" w:eastAsia="黑体"/>
          <w:color w:val="auto"/>
          <w:sz w:val="32"/>
          <w:szCs w:val="32"/>
          <w:highlight w:val="none"/>
        </w:rPr>
      </w:pPr>
    </w:p>
    <w:p w14:paraId="3A1B2A6F">
      <w:pPr>
        <w:snapToGrid w:val="0"/>
        <w:spacing w:before="156" w:beforeLines="50" w:after="156" w:afterLines="50" w:line="360" w:lineRule="exact"/>
        <w:ind w:left="238"/>
        <w:jc w:val="center"/>
        <w:rPr>
          <w:rFonts w:ascii="黑体" w:eastAsia="黑体"/>
          <w:color w:val="auto"/>
          <w:sz w:val="32"/>
          <w:szCs w:val="32"/>
          <w:highlight w:val="none"/>
        </w:rPr>
      </w:pPr>
    </w:p>
    <w:p w14:paraId="2FE75112">
      <w:pPr>
        <w:snapToGrid w:val="0"/>
        <w:spacing w:before="156" w:beforeLines="50" w:after="156" w:afterLines="50" w:line="360" w:lineRule="exact"/>
        <w:ind w:left="238"/>
        <w:jc w:val="center"/>
        <w:rPr>
          <w:rFonts w:ascii="黑体" w:eastAsia="黑体"/>
          <w:color w:val="auto"/>
          <w:sz w:val="32"/>
          <w:szCs w:val="32"/>
          <w:highlight w:val="none"/>
        </w:rPr>
      </w:pPr>
    </w:p>
    <w:p w14:paraId="25D2E141">
      <w:pPr>
        <w:snapToGrid w:val="0"/>
        <w:spacing w:before="156" w:beforeLines="50" w:after="156" w:afterLines="50" w:line="360" w:lineRule="exact"/>
        <w:ind w:left="238"/>
        <w:jc w:val="center"/>
        <w:rPr>
          <w:rFonts w:ascii="黑体" w:eastAsia="黑体"/>
          <w:color w:val="auto"/>
          <w:sz w:val="32"/>
          <w:szCs w:val="32"/>
          <w:highlight w:val="none"/>
        </w:rPr>
      </w:pPr>
    </w:p>
    <w:p w14:paraId="72021EC2">
      <w:pPr>
        <w:snapToGrid w:val="0"/>
        <w:spacing w:before="156" w:beforeLines="50" w:after="156" w:afterLines="50" w:line="360" w:lineRule="exact"/>
        <w:ind w:left="238"/>
        <w:jc w:val="center"/>
        <w:rPr>
          <w:rFonts w:ascii="黑体" w:eastAsia="黑体"/>
          <w:color w:val="auto"/>
          <w:sz w:val="32"/>
          <w:szCs w:val="32"/>
          <w:highlight w:val="none"/>
        </w:rPr>
      </w:pPr>
    </w:p>
    <w:p w14:paraId="70C4E4EC">
      <w:pPr>
        <w:snapToGrid w:val="0"/>
        <w:spacing w:before="156" w:beforeLines="50" w:after="156" w:afterLines="50" w:line="360" w:lineRule="exact"/>
        <w:ind w:left="238"/>
        <w:jc w:val="center"/>
        <w:rPr>
          <w:rFonts w:ascii="黑体" w:eastAsia="黑体"/>
          <w:color w:val="auto"/>
          <w:sz w:val="32"/>
          <w:szCs w:val="32"/>
          <w:highlight w:val="none"/>
        </w:rPr>
      </w:pPr>
    </w:p>
    <w:p w14:paraId="50EC46D7">
      <w:pPr>
        <w:snapToGrid w:val="0"/>
        <w:spacing w:before="156" w:beforeLines="50" w:after="156" w:afterLines="50" w:line="360" w:lineRule="exact"/>
        <w:ind w:left="238"/>
        <w:jc w:val="center"/>
        <w:rPr>
          <w:rFonts w:ascii="黑体" w:eastAsia="黑体"/>
          <w:color w:val="auto"/>
          <w:sz w:val="32"/>
          <w:szCs w:val="32"/>
          <w:highlight w:val="none"/>
        </w:rPr>
      </w:pPr>
    </w:p>
    <w:p w14:paraId="4EC36C1A">
      <w:pPr>
        <w:pStyle w:val="4"/>
        <w:rPr>
          <w:color w:val="auto"/>
          <w:highlight w:val="none"/>
        </w:rPr>
      </w:pPr>
    </w:p>
    <w:p w14:paraId="75A332EE">
      <w:pPr>
        <w:snapToGrid w:val="0"/>
        <w:spacing w:before="156" w:beforeLines="50" w:after="156" w:afterLines="50" w:line="360" w:lineRule="exact"/>
        <w:ind w:left="238"/>
        <w:jc w:val="center"/>
        <w:rPr>
          <w:rFonts w:ascii="黑体" w:eastAsia="黑体"/>
          <w:color w:val="auto"/>
          <w:sz w:val="32"/>
          <w:szCs w:val="32"/>
          <w:highlight w:val="none"/>
        </w:rPr>
      </w:pPr>
    </w:p>
    <w:p w14:paraId="22CF4597">
      <w:pPr>
        <w:snapToGrid w:val="0"/>
        <w:spacing w:before="156" w:beforeLines="50" w:after="156" w:afterLines="50"/>
        <w:ind w:left="238"/>
        <w:jc w:val="center"/>
        <w:rPr>
          <w:rFonts w:ascii="黑体" w:eastAsia="黑体"/>
          <w:color w:val="auto"/>
          <w:sz w:val="36"/>
          <w:szCs w:val="36"/>
          <w:highlight w:val="none"/>
        </w:rPr>
      </w:pPr>
    </w:p>
    <w:p w14:paraId="642325B0">
      <w:pPr>
        <w:snapToGrid w:val="0"/>
        <w:spacing w:before="156" w:beforeLines="50" w:after="156" w:afterLines="50"/>
        <w:ind w:left="238"/>
        <w:jc w:val="center"/>
        <w:rPr>
          <w:rFonts w:ascii="黑体" w:eastAsia="黑体"/>
          <w:color w:val="auto"/>
          <w:sz w:val="36"/>
          <w:szCs w:val="36"/>
          <w:highlight w:val="none"/>
        </w:rPr>
      </w:pPr>
      <w:r>
        <w:rPr>
          <w:rFonts w:hint="eastAsia" w:ascii="仿宋_GB2312" w:eastAsia="仿宋_GB2312"/>
          <w:b/>
          <w:color w:val="auto"/>
          <w:sz w:val="36"/>
          <w:szCs w:val="36"/>
          <w:highlight w:val="none"/>
        </w:rPr>
        <w:t xml:space="preserve">第二章  </w:t>
      </w:r>
      <w:r>
        <w:rPr>
          <w:rFonts w:hint="eastAsia" w:ascii="仿宋_GB2312" w:eastAsia="仿宋_GB2312"/>
          <w:b/>
          <w:bCs/>
          <w:color w:val="auto"/>
          <w:sz w:val="36"/>
          <w:szCs w:val="36"/>
          <w:highlight w:val="none"/>
        </w:rPr>
        <w:t>招</w:t>
      </w:r>
      <w:r>
        <w:rPr>
          <w:rFonts w:hint="eastAsia" w:ascii="仿宋_GB2312" w:eastAsia="仿宋_GB2312"/>
          <w:b/>
          <w:color w:val="auto"/>
          <w:sz w:val="36"/>
          <w:szCs w:val="36"/>
          <w:highlight w:val="none"/>
        </w:rPr>
        <w:t>标项目采购需求</w:t>
      </w:r>
    </w:p>
    <w:p w14:paraId="4A8D6413">
      <w:pPr>
        <w:jc w:val="center"/>
        <w:rPr>
          <w:rFonts w:ascii="宋体" w:hAnsi="宋体"/>
          <w:b/>
          <w:dstrike/>
          <w:color w:val="auto"/>
          <w:sz w:val="36"/>
          <w:szCs w:val="36"/>
          <w:highlight w:val="none"/>
        </w:rPr>
      </w:pPr>
      <w:r>
        <w:rPr>
          <w:color w:val="auto"/>
          <w:highlight w:val="none"/>
        </w:rPr>
        <w:br w:type="page"/>
      </w:r>
      <w:r>
        <w:rPr>
          <w:rFonts w:hint="eastAsia" w:ascii="宋体" w:hAnsi="宋体"/>
          <w:b/>
          <w:bCs/>
          <w:color w:val="auto"/>
          <w:sz w:val="36"/>
          <w:szCs w:val="36"/>
          <w:highlight w:val="none"/>
        </w:rPr>
        <w:t>招标项目采购需求</w:t>
      </w:r>
    </w:p>
    <w:p w14:paraId="550C6EB7">
      <w:pPr>
        <w:ind w:left="6" w:firstLine="431"/>
        <w:rPr>
          <w:rFonts w:ascii="宋体" w:hAnsi="宋体"/>
          <w:b/>
          <w:bCs/>
          <w:color w:val="auto"/>
          <w:szCs w:val="21"/>
          <w:highlight w:val="none"/>
        </w:rPr>
      </w:pPr>
    </w:p>
    <w:p w14:paraId="48A27A4C">
      <w:pPr>
        <w:spacing w:line="360" w:lineRule="exact"/>
        <w:ind w:left="6" w:firstLine="431"/>
        <w:rPr>
          <w:rFonts w:ascii="宋体" w:hAnsi="宋体"/>
          <w:b/>
          <w:bCs/>
          <w:color w:val="auto"/>
          <w:szCs w:val="21"/>
          <w:highlight w:val="none"/>
        </w:rPr>
      </w:pPr>
      <w:r>
        <w:rPr>
          <w:rFonts w:hint="eastAsia" w:ascii="宋体" w:hAnsi="宋体"/>
          <w:b/>
          <w:bCs/>
          <w:color w:val="auto"/>
          <w:szCs w:val="21"/>
          <w:highlight w:val="none"/>
        </w:rPr>
        <w:t>1、本需求的货物技术参数及其性能（配置）仅起参考作用，但这些替代的产品要实质上相当于或优于其技术参数性能（配置）要求。</w:t>
      </w:r>
    </w:p>
    <w:p w14:paraId="30CD85E3">
      <w:pPr>
        <w:spacing w:line="360" w:lineRule="exact"/>
        <w:ind w:left="6" w:firstLine="431"/>
        <w:rPr>
          <w:rFonts w:ascii="宋体" w:hAnsi="宋体"/>
          <w:b/>
          <w:bCs/>
          <w:color w:val="auto"/>
          <w:szCs w:val="21"/>
          <w:highlight w:val="none"/>
        </w:rPr>
      </w:pPr>
      <w:r>
        <w:rPr>
          <w:rFonts w:hint="eastAsia" w:ascii="宋体" w:hAnsi="宋体"/>
          <w:b/>
          <w:bCs/>
          <w:color w:val="auto"/>
          <w:szCs w:val="21"/>
          <w:highlight w:val="none"/>
        </w:rPr>
        <w:t>2、请以详细、正确的品牌型号、技术参数（配置）同时填写投标报价明细表和商务、技术响应偏离表。技术响应偏离表须按技术参数及配置要求一一对应响应。</w:t>
      </w:r>
    </w:p>
    <w:p w14:paraId="114055C8">
      <w:pPr>
        <w:spacing w:line="360" w:lineRule="exact"/>
        <w:ind w:left="6" w:firstLine="431"/>
        <w:rPr>
          <w:rFonts w:ascii="宋体" w:hAnsi="宋体"/>
          <w:b/>
          <w:bCs/>
          <w:color w:val="auto"/>
          <w:szCs w:val="21"/>
          <w:highlight w:val="none"/>
        </w:rPr>
      </w:pPr>
      <w:r>
        <w:rPr>
          <w:rFonts w:hint="eastAsia" w:ascii="宋体" w:hAnsi="宋体"/>
          <w:b/>
          <w:bCs/>
          <w:color w:val="auto"/>
          <w:szCs w:val="21"/>
          <w:highlight w:val="none"/>
        </w:rPr>
        <w:t>3、凡在“技术参数及性能（配置）要求”中表述为“标配”或“标准配置”的设备，投标人应在投标报价明细表中将其标配参数详细列明。</w:t>
      </w:r>
    </w:p>
    <w:p w14:paraId="2B76083F">
      <w:pPr>
        <w:spacing w:line="360" w:lineRule="exact"/>
        <w:ind w:left="6" w:firstLine="431"/>
        <w:rPr>
          <w:rFonts w:ascii="宋体" w:hAnsi="宋体"/>
          <w:b/>
          <w:bCs/>
          <w:color w:val="auto"/>
          <w:szCs w:val="21"/>
          <w:highlight w:val="none"/>
        </w:rPr>
      </w:pPr>
      <w:r>
        <w:rPr>
          <w:rFonts w:hint="eastAsia" w:ascii="宋体" w:hAnsi="宋体"/>
          <w:b/>
          <w:bCs/>
          <w:color w:val="auto"/>
          <w:szCs w:val="21"/>
          <w:highlight w:val="none"/>
        </w:rPr>
        <w:t>4、招标文件中</w:t>
      </w:r>
      <w:r>
        <w:rPr>
          <w:rFonts w:hint="eastAsia" w:ascii="宋体" w:hAnsi="宋体" w:cs="宋体"/>
          <w:b/>
          <w:bCs/>
          <w:color w:val="auto"/>
          <w:szCs w:val="21"/>
          <w:highlight w:val="none"/>
        </w:rPr>
        <w:t>标记</w:t>
      </w:r>
      <w:r>
        <w:rPr>
          <w:rFonts w:hint="eastAsia" w:ascii="宋体" w:hAnsi="宋体"/>
          <w:b/>
          <w:bCs/>
          <w:color w:val="auto"/>
          <w:szCs w:val="21"/>
          <w:highlight w:val="none"/>
        </w:rPr>
        <w:t>“▲”的条款为本次采购的实质性(关键性)的商务、技术或服务要求，投标人须满足或优于，否则，将会被认定为无效投标。</w:t>
      </w:r>
      <w:r>
        <w:rPr>
          <w:rFonts w:hint="eastAsia" w:ascii="宋体" w:hAnsi="宋体" w:cs="宋体"/>
          <w:b/>
          <w:bCs/>
          <w:color w:val="auto"/>
          <w:szCs w:val="21"/>
          <w:highlight w:val="none"/>
        </w:rPr>
        <w:t>标记“★”的技术参数正偏离作为加分项。</w:t>
      </w:r>
    </w:p>
    <w:p w14:paraId="27121E35">
      <w:pPr>
        <w:spacing w:line="360" w:lineRule="exact"/>
        <w:ind w:left="6" w:firstLine="431"/>
        <w:rPr>
          <w:rFonts w:hAnsi="宋体"/>
          <w:b/>
          <w:color w:val="auto"/>
          <w:szCs w:val="21"/>
          <w:highlight w:val="none"/>
        </w:rPr>
      </w:pPr>
      <w:r>
        <w:rPr>
          <w:rFonts w:hint="eastAsia" w:hAnsi="宋体"/>
          <w:b/>
          <w:color w:val="auto"/>
          <w:szCs w:val="21"/>
          <w:highlight w:val="none"/>
        </w:rPr>
        <w:t>5、本项目</w:t>
      </w:r>
      <w:r>
        <w:rPr>
          <w:rFonts w:hint="eastAsia"/>
          <w:b/>
          <w:color w:val="auto"/>
          <w:szCs w:val="21"/>
          <w:highlight w:val="none"/>
        </w:rPr>
        <w:t>标的所属行业均为：</w:t>
      </w:r>
      <w:r>
        <w:rPr>
          <w:rFonts w:hint="eastAsia"/>
          <w:b/>
          <w:color w:val="auto"/>
          <w:szCs w:val="21"/>
          <w:highlight w:val="none"/>
          <w:u w:val="single"/>
        </w:rPr>
        <w:t xml:space="preserve">  工业   </w:t>
      </w:r>
      <w:r>
        <w:rPr>
          <w:rFonts w:hint="eastAsia"/>
          <w:b/>
          <w:color w:val="auto"/>
          <w:szCs w:val="21"/>
          <w:highlight w:val="none"/>
        </w:rPr>
        <w:t>；</w:t>
      </w:r>
      <w:r>
        <w:rPr>
          <w:rFonts w:hint="eastAsia" w:hAnsi="宋体" w:cs="宋体"/>
          <w:b/>
          <w:bCs/>
          <w:color w:val="auto"/>
          <w:szCs w:val="21"/>
          <w:highlight w:val="none"/>
        </w:rPr>
        <w:t>划分依据：</w:t>
      </w:r>
      <w:r>
        <w:rPr>
          <w:rFonts w:hint="eastAsia"/>
          <w:b/>
          <w:color w:val="auto"/>
          <w:szCs w:val="21"/>
          <w:highlight w:val="none"/>
        </w:rPr>
        <w:t>《关于印发中小企业划型标准规定的通知》（工信部联企业[2011]300号）</w:t>
      </w:r>
    </w:p>
    <w:p w14:paraId="63D0A8B4">
      <w:pPr>
        <w:snapToGrid w:val="0"/>
        <w:spacing w:line="400" w:lineRule="exact"/>
        <w:ind w:firstLine="422" w:firstLineChars="200"/>
        <w:rPr>
          <w:color w:val="auto"/>
          <w:highlight w:val="none"/>
        </w:rPr>
      </w:pPr>
      <w:r>
        <w:rPr>
          <w:rFonts w:hint="eastAsia" w:ascii="宋体" w:hAnsi="宋体"/>
          <w:b/>
          <w:bCs/>
          <w:color w:val="auto"/>
          <w:kern w:val="0"/>
          <w:szCs w:val="21"/>
          <w:highlight w:val="none"/>
        </w:rPr>
        <w:t>6、本项目采购预算：</w:t>
      </w:r>
      <w:r>
        <w:rPr>
          <w:rFonts w:hint="eastAsia" w:ascii="宋体" w:hAnsi="宋体"/>
          <w:b/>
          <w:bCs/>
          <w:color w:val="auto"/>
          <w:kern w:val="0"/>
          <w:szCs w:val="21"/>
          <w:highlight w:val="none"/>
          <w:u w:val="single"/>
        </w:rPr>
        <w:t>2375100.00</w:t>
      </w:r>
      <w:r>
        <w:rPr>
          <w:rFonts w:hint="eastAsia" w:ascii="宋体" w:hAnsi="宋体"/>
          <w:b/>
          <w:bCs/>
          <w:color w:val="auto"/>
          <w:kern w:val="0"/>
          <w:szCs w:val="21"/>
          <w:highlight w:val="none"/>
        </w:rPr>
        <w:t>元。</w:t>
      </w:r>
    </w:p>
    <w:p w14:paraId="19689A99">
      <w:pPr>
        <w:pStyle w:val="7"/>
        <w:spacing w:line="264" w:lineRule="auto"/>
        <w:ind w:firstLine="0"/>
        <w:rPr>
          <w:rFonts w:ascii="宋体" w:hAnsi="宋体" w:cs="宋体"/>
          <w:color w:val="auto"/>
          <w:kern w:val="0"/>
          <w:szCs w:val="21"/>
          <w:highlight w:val="none"/>
        </w:rPr>
      </w:pPr>
    </w:p>
    <w:tbl>
      <w:tblPr>
        <w:tblStyle w:val="53"/>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1309"/>
        <w:gridCol w:w="179"/>
        <w:gridCol w:w="485"/>
        <w:gridCol w:w="565"/>
        <w:gridCol w:w="6935"/>
      </w:tblGrid>
      <w:tr w14:paraId="003D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392" w:type="dxa"/>
            <w:vAlign w:val="center"/>
          </w:tcPr>
          <w:p w14:paraId="2BCCF436">
            <w:pPr>
              <w:spacing w:line="360" w:lineRule="exact"/>
              <w:jc w:val="center"/>
              <w:rPr>
                <w:b/>
                <w:color w:val="auto"/>
                <w:szCs w:val="21"/>
                <w:highlight w:val="none"/>
              </w:rPr>
            </w:pPr>
            <w:r>
              <w:rPr>
                <w:rFonts w:hint="eastAsia"/>
                <w:b/>
                <w:color w:val="auto"/>
                <w:szCs w:val="21"/>
                <w:highlight w:val="none"/>
              </w:rPr>
              <w:t>序号</w:t>
            </w:r>
          </w:p>
        </w:tc>
        <w:tc>
          <w:tcPr>
            <w:tcW w:w="1488" w:type="dxa"/>
            <w:gridSpan w:val="2"/>
            <w:vAlign w:val="center"/>
          </w:tcPr>
          <w:p w14:paraId="09482D39">
            <w:pPr>
              <w:spacing w:line="360" w:lineRule="exact"/>
              <w:jc w:val="center"/>
              <w:rPr>
                <w:b/>
                <w:color w:val="auto"/>
                <w:szCs w:val="21"/>
                <w:highlight w:val="none"/>
              </w:rPr>
            </w:pPr>
            <w:r>
              <w:rPr>
                <w:rFonts w:hint="eastAsia"/>
                <w:b/>
                <w:color w:val="auto"/>
                <w:szCs w:val="21"/>
                <w:highlight w:val="none"/>
              </w:rPr>
              <w:t>货物名称</w:t>
            </w:r>
          </w:p>
        </w:tc>
        <w:tc>
          <w:tcPr>
            <w:tcW w:w="485" w:type="dxa"/>
            <w:vAlign w:val="center"/>
          </w:tcPr>
          <w:p w14:paraId="7B1CCEAD">
            <w:pPr>
              <w:spacing w:line="360" w:lineRule="exact"/>
              <w:jc w:val="center"/>
              <w:rPr>
                <w:b/>
                <w:color w:val="auto"/>
                <w:szCs w:val="21"/>
                <w:highlight w:val="none"/>
              </w:rPr>
            </w:pPr>
            <w:r>
              <w:rPr>
                <w:rFonts w:hint="eastAsia"/>
                <w:b/>
                <w:color w:val="auto"/>
                <w:szCs w:val="21"/>
                <w:highlight w:val="none"/>
              </w:rPr>
              <w:t>数量</w:t>
            </w:r>
          </w:p>
        </w:tc>
        <w:tc>
          <w:tcPr>
            <w:tcW w:w="565" w:type="dxa"/>
            <w:vAlign w:val="center"/>
          </w:tcPr>
          <w:p w14:paraId="0F147C24">
            <w:pPr>
              <w:spacing w:line="360" w:lineRule="exact"/>
              <w:jc w:val="center"/>
              <w:rPr>
                <w:b/>
                <w:color w:val="auto"/>
                <w:szCs w:val="21"/>
                <w:highlight w:val="none"/>
              </w:rPr>
            </w:pPr>
            <w:r>
              <w:rPr>
                <w:rFonts w:hint="eastAsia"/>
                <w:b/>
                <w:color w:val="auto"/>
                <w:szCs w:val="21"/>
                <w:highlight w:val="none"/>
              </w:rPr>
              <w:t>单位</w:t>
            </w:r>
          </w:p>
        </w:tc>
        <w:tc>
          <w:tcPr>
            <w:tcW w:w="6935" w:type="dxa"/>
            <w:vAlign w:val="center"/>
          </w:tcPr>
          <w:p w14:paraId="0A6EC383">
            <w:pPr>
              <w:spacing w:line="360" w:lineRule="exact"/>
              <w:ind w:left="6" w:firstLine="431"/>
              <w:jc w:val="center"/>
              <w:rPr>
                <w:b/>
                <w:color w:val="auto"/>
                <w:szCs w:val="21"/>
                <w:highlight w:val="none"/>
              </w:rPr>
            </w:pPr>
            <w:r>
              <w:rPr>
                <w:rFonts w:hint="eastAsia"/>
                <w:b/>
                <w:color w:val="auto"/>
                <w:szCs w:val="21"/>
                <w:highlight w:val="none"/>
              </w:rPr>
              <w:t>技术参数及性能（配置）要求</w:t>
            </w:r>
          </w:p>
        </w:tc>
      </w:tr>
      <w:tr w14:paraId="7367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2" w:type="dxa"/>
            <w:vAlign w:val="center"/>
          </w:tcPr>
          <w:p w14:paraId="68F61AAE">
            <w:pPr>
              <w:pStyle w:val="103"/>
              <w:spacing w:before="0" w:after="0" w:line="360" w:lineRule="auto"/>
              <w:jc w:val="center"/>
              <w:rPr>
                <w:rFonts w:ascii="宋体" w:hAnsi="宋体" w:cs="宋体"/>
                <w:color w:val="auto"/>
                <w:szCs w:val="21"/>
                <w:highlight w:val="none"/>
              </w:rPr>
            </w:pPr>
            <w:r>
              <w:rPr>
                <w:rFonts w:hint="eastAsia" w:ascii="宋体" w:hAnsi="宋体" w:cs="宋体"/>
                <w:bCs w:val="0"/>
                <w:color w:val="auto"/>
                <w:spacing w:val="0"/>
                <w:sz w:val="21"/>
                <w:szCs w:val="21"/>
                <w:highlight w:val="none"/>
              </w:rPr>
              <w:t>1</w:t>
            </w:r>
          </w:p>
        </w:tc>
        <w:tc>
          <w:tcPr>
            <w:tcW w:w="1488" w:type="dxa"/>
            <w:gridSpan w:val="2"/>
            <w:vAlign w:val="center"/>
          </w:tcPr>
          <w:p w14:paraId="18D3C367">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乘客电梯</w:t>
            </w:r>
          </w:p>
          <w:p w14:paraId="5DB92CEB">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（DT1）</w:t>
            </w:r>
          </w:p>
        </w:tc>
        <w:tc>
          <w:tcPr>
            <w:tcW w:w="485" w:type="dxa"/>
            <w:vAlign w:val="center"/>
          </w:tcPr>
          <w:p w14:paraId="52D3497E">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565" w:type="dxa"/>
            <w:vAlign w:val="center"/>
          </w:tcPr>
          <w:p w14:paraId="12CF359C">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部</w:t>
            </w:r>
          </w:p>
        </w:tc>
        <w:tc>
          <w:tcPr>
            <w:tcW w:w="6935" w:type="dxa"/>
            <w:vAlign w:val="center"/>
          </w:tcPr>
          <w:p w14:paraId="40852895">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一、技术规格参数要求</w:t>
            </w:r>
          </w:p>
          <w:p w14:paraId="1529F19F">
            <w:pPr>
              <w:spacing w:line="360" w:lineRule="auto"/>
              <w:rPr>
                <w:rFonts w:ascii="宋体" w:hAnsi="宋体" w:cs="宋体"/>
                <w:color w:val="auto"/>
                <w:szCs w:val="21"/>
                <w:highlight w:val="none"/>
              </w:rPr>
            </w:pPr>
            <w:r>
              <w:rPr>
                <w:rFonts w:ascii="宋体" w:hAnsi="宋体" w:cs="宋体"/>
                <w:b/>
                <w:bCs/>
                <w:color w:val="auto"/>
                <w:szCs w:val="21"/>
                <w:highlight w:val="none"/>
                <w:lang w:val="en"/>
              </w:rPr>
              <w:t>▲1</w:t>
            </w:r>
            <w:r>
              <w:rPr>
                <w:rFonts w:hint="eastAsia" w:ascii="宋体" w:hAnsi="宋体" w:cs="宋体"/>
                <w:color w:val="auto"/>
                <w:szCs w:val="21"/>
                <w:highlight w:val="none"/>
              </w:rPr>
              <w:t>、</w:t>
            </w:r>
            <w:r>
              <w:rPr>
                <w:rFonts w:hint="eastAsia" w:ascii="宋体" w:hAnsi="宋体" w:cs="宋体"/>
                <w:b/>
                <w:bCs/>
                <w:color w:val="auto"/>
                <w:szCs w:val="21"/>
                <w:highlight w:val="none"/>
              </w:rPr>
              <w:t>额定载重量：≥1350kg</w:t>
            </w:r>
            <w:r>
              <w:rPr>
                <w:rFonts w:hint="eastAsia" w:ascii="宋体" w:hAnsi="宋体" w:cs="宋体"/>
                <w:color w:val="auto"/>
                <w:szCs w:val="21"/>
                <w:highlight w:val="none"/>
              </w:rPr>
              <w:t>；（</w:t>
            </w:r>
            <w:r>
              <w:rPr>
                <w:rFonts w:hint="eastAsia"/>
                <w:b/>
                <w:bCs/>
                <w:color w:val="auto"/>
                <w:highlight w:val="none"/>
              </w:rPr>
              <w:t>投标时须提供承诺函或制造商的证明材料，并加盖投标人公章</w:t>
            </w:r>
            <w:r>
              <w:rPr>
                <w:rFonts w:hint="eastAsia" w:ascii="宋体" w:hAnsi="宋体" w:cs="宋体"/>
                <w:color w:val="auto"/>
                <w:szCs w:val="21"/>
                <w:highlight w:val="none"/>
              </w:rPr>
              <w:t>）</w:t>
            </w:r>
          </w:p>
          <w:p w14:paraId="6B45D311">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w:t>
            </w:r>
            <w:r>
              <w:rPr>
                <w:rFonts w:hint="eastAsia" w:ascii="宋体" w:hAnsi="宋体" w:cs="宋体"/>
                <w:b/>
                <w:bCs/>
                <w:color w:val="auto"/>
                <w:szCs w:val="21"/>
                <w:highlight w:val="none"/>
              </w:rPr>
              <w:t>额定速度：≥2.0m/s</w:t>
            </w:r>
            <w:r>
              <w:rPr>
                <w:rFonts w:hint="eastAsia" w:ascii="宋体" w:hAnsi="宋体" w:cs="宋体"/>
                <w:color w:val="auto"/>
                <w:szCs w:val="21"/>
                <w:highlight w:val="none"/>
              </w:rPr>
              <w:t>；</w:t>
            </w:r>
          </w:p>
          <w:p w14:paraId="57606215">
            <w:pPr>
              <w:spacing w:line="360" w:lineRule="auto"/>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b/>
                <w:bCs/>
                <w:color w:val="auto"/>
                <w:szCs w:val="21"/>
                <w:highlight w:val="none"/>
              </w:rPr>
              <w:t>层/站/门：28/28/28</w:t>
            </w:r>
            <w:r>
              <w:rPr>
                <w:rFonts w:hint="eastAsia" w:ascii="宋体" w:hAnsi="宋体" w:cs="宋体"/>
                <w:color w:val="auto"/>
                <w:szCs w:val="21"/>
                <w:highlight w:val="none"/>
              </w:rPr>
              <w:t>；</w:t>
            </w:r>
          </w:p>
          <w:p w14:paraId="329CB781">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4、轿厢净尺寸(宽×深×高):≥</w:t>
            </w:r>
            <w:r>
              <w:rPr>
                <w:rFonts w:hint="eastAsia" w:ascii="宋体" w:hAnsi="宋体" w:cs="宋体"/>
                <w:b/>
                <w:bCs/>
                <w:color w:val="auto"/>
                <w:szCs w:val="21"/>
                <w:highlight w:val="none"/>
              </w:rPr>
              <w:t>1800×1500×2400mm</w:t>
            </w:r>
            <w:r>
              <w:rPr>
                <w:rFonts w:hint="eastAsia" w:ascii="宋体" w:hAnsi="宋体" w:cs="宋体"/>
                <w:color w:val="auto"/>
                <w:szCs w:val="21"/>
                <w:highlight w:val="none"/>
              </w:rPr>
              <w:t>；（</w:t>
            </w:r>
            <w:r>
              <w:rPr>
                <w:rFonts w:hint="eastAsia"/>
                <w:color w:val="auto"/>
                <w:highlight w:val="none"/>
              </w:rPr>
              <w:t>投标时请提供承诺函或制造商的证明材料，并加盖投标人公章</w:t>
            </w:r>
            <w:r>
              <w:rPr>
                <w:rFonts w:hint="eastAsia" w:ascii="宋体" w:hAnsi="宋体" w:cs="宋体"/>
                <w:color w:val="auto"/>
                <w:szCs w:val="21"/>
                <w:highlight w:val="none"/>
              </w:rPr>
              <w:t>）</w:t>
            </w:r>
          </w:p>
          <w:p w14:paraId="57E404EB">
            <w:pPr>
              <w:spacing w:line="360" w:lineRule="auto"/>
              <w:rPr>
                <w:rFonts w:ascii="宋体" w:hAnsi="宋体" w:cs="宋体"/>
                <w:color w:val="auto"/>
                <w:szCs w:val="21"/>
                <w:highlight w:val="none"/>
              </w:rPr>
            </w:pPr>
            <w:r>
              <w:rPr>
                <w:rFonts w:hint="eastAsia" w:ascii="宋体" w:hAnsi="宋体" w:cs="宋体"/>
                <w:color w:val="auto"/>
                <w:szCs w:val="21"/>
                <w:highlight w:val="none"/>
              </w:rPr>
              <w:t>5、井道净尺寸(宽×深)：2200mm×2200mm(按现场实际尺寸设计)；</w:t>
            </w:r>
          </w:p>
          <w:p w14:paraId="1596FC95">
            <w:pPr>
              <w:spacing w:line="360" w:lineRule="auto"/>
              <w:rPr>
                <w:rFonts w:ascii="宋体" w:hAnsi="宋体" w:cs="宋体"/>
                <w:color w:val="auto"/>
                <w:szCs w:val="21"/>
                <w:highlight w:val="none"/>
              </w:rPr>
            </w:pPr>
            <w:r>
              <w:rPr>
                <w:rFonts w:hint="eastAsia" w:ascii="宋体" w:hAnsi="宋体" w:cs="宋体"/>
                <w:color w:val="auto"/>
                <w:szCs w:val="21"/>
                <w:highlight w:val="none"/>
              </w:rPr>
              <w:t>6、顶层净高：4600mm(按现场实际尺寸设计)；</w:t>
            </w:r>
          </w:p>
          <w:p w14:paraId="06AFB68B">
            <w:pPr>
              <w:spacing w:line="360" w:lineRule="auto"/>
              <w:rPr>
                <w:rFonts w:ascii="宋体" w:hAnsi="宋体" w:cs="宋体"/>
                <w:color w:val="auto"/>
                <w:szCs w:val="21"/>
                <w:highlight w:val="none"/>
              </w:rPr>
            </w:pPr>
            <w:r>
              <w:rPr>
                <w:rFonts w:hint="eastAsia" w:ascii="宋体" w:hAnsi="宋体" w:cs="宋体"/>
                <w:color w:val="auto"/>
                <w:szCs w:val="21"/>
                <w:highlight w:val="none"/>
              </w:rPr>
              <w:t>7、底坑净深：1700mm(按现场实际尺寸设计)；</w:t>
            </w:r>
          </w:p>
          <w:p w14:paraId="622B64B1">
            <w:pPr>
              <w:spacing w:line="360" w:lineRule="auto"/>
              <w:rPr>
                <w:rFonts w:ascii="宋体" w:hAnsi="宋体" w:cs="宋体"/>
                <w:color w:val="auto"/>
                <w:szCs w:val="21"/>
                <w:highlight w:val="none"/>
              </w:rPr>
            </w:pPr>
            <w:r>
              <w:rPr>
                <w:rFonts w:hint="eastAsia" w:ascii="宋体" w:hAnsi="宋体" w:cs="宋体"/>
                <w:color w:val="auto"/>
                <w:szCs w:val="21"/>
                <w:highlight w:val="none"/>
              </w:rPr>
              <w:t>8、开门尺寸：900mm×2100mm；</w:t>
            </w:r>
          </w:p>
          <w:p w14:paraId="75670350">
            <w:pPr>
              <w:spacing w:line="360" w:lineRule="auto"/>
              <w:rPr>
                <w:rFonts w:ascii="宋体" w:hAnsi="宋体" w:cs="宋体"/>
                <w:color w:val="auto"/>
                <w:szCs w:val="21"/>
                <w:highlight w:val="none"/>
              </w:rPr>
            </w:pPr>
            <w:r>
              <w:rPr>
                <w:rFonts w:hint="eastAsia" w:ascii="宋体" w:hAnsi="宋体" w:cs="宋体"/>
                <w:color w:val="auto"/>
                <w:szCs w:val="21"/>
                <w:highlight w:val="none"/>
              </w:rPr>
              <w:t>9、开门方式：中分门；</w:t>
            </w:r>
          </w:p>
          <w:p w14:paraId="39466C3C">
            <w:pPr>
              <w:spacing w:line="360" w:lineRule="auto"/>
              <w:rPr>
                <w:rFonts w:ascii="宋体" w:hAnsi="宋体" w:cs="宋体"/>
                <w:color w:val="auto"/>
                <w:szCs w:val="21"/>
                <w:highlight w:val="none"/>
              </w:rPr>
            </w:pPr>
            <w:r>
              <w:rPr>
                <w:rFonts w:hint="eastAsia" w:ascii="宋体" w:hAnsi="宋体" w:cs="宋体"/>
                <w:color w:val="auto"/>
                <w:szCs w:val="21"/>
                <w:highlight w:val="none"/>
              </w:rPr>
              <w:t>10、机房位置：井道顶部；</w:t>
            </w:r>
          </w:p>
          <w:p w14:paraId="437396D8">
            <w:pPr>
              <w:spacing w:line="360" w:lineRule="auto"/>
              <w:rPr>
                <w:rFonts w:ascii="宋体" w:hAnsi="宋体" w:cs="宋体"/>
                <w:color w:val="auto"/>
                <w:szCs w:val="21"/>
                <w:highlight w:val="none"/>
              </w:rPr>
            </w:pPr>
            <w:r>
              <w:rPr>
                <w:rFonts w:hint="eastAsia" w:ascii="宋体" w:hAnsi="宋体" w:cs="宋体"/>
                <w:color w:val="auto"/>
                <w:szCs w:val="21"/>
                <w:highlight w:val="none"/>
              </w:rPr>
              <w:t>11、供电方式：三相五线制；动力电源：AC380V±10%，50Hz±1Hz；照明电源：AC220V±10%，50Hz±1Hz；</w:t>
            </w:r>
          </w:p>
          <w:p w14:paraId="4D0BB723">
            <w:pPr>
              <w:pStyle w:val="34"/>
              <w:spacing w:line="360" w:lineRule="auto"/>
              <w:rPr>
                <w:rFonts w:ascii="宋体" w:hAnsi="宋体" w:cs="宋体"/>
                <w:color w:val="auto"/>
                <w:kern w:val="0"/>
                <w:sz w:val="21"/>
                <w:szCs w:val="21"/>
                <w:highlight w:val="none"/>
                <w:lang w:bidi="ar"/>
              </w:rPr>
            </w:pPr>
            <w:r>
              <w:rPr>
                <w:rFonts w:hint="eastAsia" w:ascii="宋体" w:hAnsi="宋体" w:cs="宋体"/>
                <w:color w:val="auto"/>
                <w:sz w:val="21"/>
                <w:szCs w:val="21"/>
                <w:highlight w:val="none"/>
              </w:rPr>
              <w:t>12、</w:t>
            </w:r>
            <w:r>
              <w:rPr>
                <w:rFonts w:hint="eastAsia" w:ascii="宋体" w:hAnsi="宋体" w:cs="宋体"/>
                <w:color w:val="auto"/>
                <w:kern w:val="0"/>
                <w:sz w:val="21"/>
                <w:szCs w:val="21"/>
                <w:highlight w:val="none"/>
                <w:lang w:bidi="ar"/>
              </w:rPr>
              <w:t>控制模式：群控；</w:t>
            </w:r>
          </w:p>
          <w:p w14:paraId="5A922E2C">
            <w:pPr>
              <w:pStyle w:val="34"/>
              <w:spacing w:line="360" w:lineRule="auto"/>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13、</w:t>
            </w:r>
            <w:r>
              <w:rPr>
                <w:rFonts w:hint="eastAsia" w:ascii="宋体" w:hAnsi="宋体" w:cs="宋体"/>
                <w:color w:val="auto"/>
                <w:sz w:val="21"/>
                <w:szCs w:val="21"/>
                <w:highlight w:val="none"/>
              </w:rPr>
              <w:t>底坑悬空需配置对重安全钳。</w:t>
            </w:r>
          </w:p>
          <w:p w14:paraId="3D0D0C94">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二、技术要求：</w:t>
            </w:r>
          </w:p>
          <w:p w14:paraId="390E788E">
            <w:pPr>
              <w:spacing w:line="360" w:lineRule="auto"/>
              <w:rPr>
                <w:rFonts w:ascii="宋体" w:hAnsi="宋体" w:cs="宋体"/>
                <w:color w:val="auto"/>
                <w:szCs w:val="21"/>
                <w:highlight w:val="none"/>
              </w:rPr>
            </w:pPr>
            <w:r>
              <w:rPr>
                <w:rFonts w:hint="eastAsia" w:ascii="宋体" w:hAnsi="宋体" w:cs="宋体"/>
                <w:color w:val="auto"/>
                <w:szCs w:val="21"/>
                <w:highlight w:val="none"/>
              </w:rPr>
              <w:t>1、控制系统：32 位微机处理器，采用模块化全电脑控制。</w:t>
            </w:r>
          </w:p>
          <w:p w14:paraId="6C6E9157">
            <w:pPr>
              <w:spacing w:line="360" w:lineRule="auto"/>
              <w:rPr>
                <w:rFonts w:ascii="宋体" w:hAnsi="宋体" w:cs="宋体"/>
                <w:color w:val="auto"/>
                <w:szCs w:val="21"/>
                <w:highlight w:val="none"/>
              </w:rPr>
            </w:pPr>
            <w:r>
              <w:rPr>
                <w:rFonts w:hint="eastAsia" w:ascii="宋体" w:hAnsi="宋体" w:cs="宋体"/>
                <w:color w:val="auto"/>
                <w:szCs w:val="21"/>
                <w:highlight w:val="none"/>
              </w:rPr>
              <w:t>2、变频系统：采用双32 位新型、高性能的DSP，双微机控制分别负责位置控制及逆变控制，</w:t>
            </w:r>
            <w:r>
              <w:rPr>
                <w:rFonts w:hint="eastAsia" w:ascii="宋体" w:hAnsi="宋体" w:cs="宋体"/>
                <w:b/>
                <w:bCs/>
                <w:color w:val="auto"/>
                <w:szCs w:val="21"/>
                <w:highlight w:val="none"/>
              </w:rPr>
              <w:t>调速装置为投标本品牌制造</w:t>
            </w:r>
            <w:r>
              <w:rPr>
                <w:rFonts w:hint="eastAsia" w:ascii="宋体" w:hAnsi="宋体" w:cs="宋体"/>
                <w:color w:val="auto"/>
                <w:szCs w:val="21"/>
                <w:highlight w:val="none"/>
              </w:rPr>
              <w:t>。</w:t>
            </w:r>
          </w:p>
          <w:p w14:paraId="48734DF4">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3、曳引机：永磁同步主机，曳引机制动器</w:t>
            </w:r>
            <w:r>
              <w:rPr>
                <w:rFonts w:hint="eastAsia" w:ascii="宋体" w:hAnsi="宋体"/>
                <w:color w:val="auto"/>
                <w:highlight w:val="none"/>
              </w:rPr>
              <w:t>采用</w:t>
            </w:r>
            <w:r>
              <w:rPr>
                <w:rFonts w:hint="eastAsia" w:ascii="宋体" w:hAnsi="宋体"/>
                <w:color w:val="auto"/>
                <w:highlight w:val="none"/>
                <w:lang w:eastAsia="zh-CN"/>
              </w:rPr>
              <w:t>碟式、</w:t>
            </w:r>
            <w:r>
              <w:rPr>
                <w:rFonts w:hint="eastAsia" w:ascii="宋体" w:hAnsi="宋体"/>
                <w:color w:val="auto"/>
                <w:highlight w:val="none"/>
              </w:rPr>
              <w:t>内扩块式</w:t>
            </w:r>
            <w:r>
              <w:rPr>
                <w:rFonts w:hint="eastAsia" w:ascii="宋体" w:hAnsi="宋体"/>
                <w:color w:val="auto"/>
                <w:highlight w:val="none"/>
                <w:lang w:eastAsia="zh-CN"/>
              </w:rPr>
              <w:t>等结构形式</w:t>
            </w:r>
            <w:r>
              <w:rPr>
                <w:rFonts w:hint="eastAsia" w:ascii="宋体" w:hAnsi="宋体"/>
                <w:color w:val="auto"/>
                <w:highlight w:val="none"/>
              </w:rPr>
              <w:t>，驱动主机制动力矩≥</w:t>
            </w:r>
            <w:r>
              <w:rPr>
                <w:rFonts w:hint="eastAsia"/>
                <w:color w:val="auto"/>
                <w:highlight w:val="none"/>
              </w:rPr>
              <w:t>8</w:t>
            </w:r>
            <w:r>
              <w:rPr>
                <w:color w:val="auto"/>
                <w:highlight w:val="none"/>
              </w:rPr>
              <w:t>000N.m，曳引机</w:t>
            </w:r>
            <w:r>
              <w:rPr>
                <w:rFonts w:hint="eastAsia" w:ascii="宋体" w:hAnsi="宋体"/>
                <w:color w:val="auto"/>
                <w:highlight w:val="none"/>
              </w:rPr>
              <w:t>定子绕组及制动器线圈升温均≤</w:t>
            </w:r>
            <w:r>
              <w:rPr>
                <w:rFonts w:hint="eastAsia"/>
                <w:color w:val="auto"/>
                <w:highlight w:val="none"/>
              </w:rPr>
              <w:t>4</w:t>
            </w:r>
            <w:r>
              <w:rPr>
                <w:color w:val="auto"/>
                <w:highlight w:val="none"/>
              </w:rPr>
              <w:t>0K</w:t>
            </w:r>
            <w:r>
              <w:rPr>
                <w:rFonts w:hint="eastAsia" w:ascii="宋体" w:hAnsi="宋体" w:cs="宋体"/>
                <w:color w:val="auto"/>
                <w:szCs w:val="21"/>
                <w:highlight w:val="none"/>
              </w:rPr>
              <w:t>。（</w:t>
            </w:r>
            <w:r>
              <w:rPr>
                <w:rFonts w:hint="eastAsia" w:ascii="宋体" w:hAnsi="宋体"/>
                <w:color w:val="auto"/>
                <w:highlight w:val="none"/>
              </w:rPr>
              <w:t>提供</w:t>
            </w:r>
            <w:r>
              <w:rPr>
                <w:rFonts w:hint="eastAsia" w:ascii="宋体" w:hAnsi="宋体" w:cs="宋体"/>
                <w:color w:val="auto"/>
                <w:szCs w:val="21"/>
                <w:highlight w:val="none"/>
              </w:rPr>
              <w:t>第三方检测机构出具</w:t>
            </w:r>
            <w:r>
              <w:rPr>
                <w:rFonts w:hint="eastAsia" w:ascii="宋体" w:hAnsi="宋体"/>
                <w:color w:val="auto"/>
                <w:highlight w:val="none"/>
              </w:rPr>
              <w:t>电梯“驱动主机（曳引机）”型式试验报告及证书作为证明材料</w:t>
            </w:r>
            <w:r>
              <w:rPr>
                <w:rFonts w:hint="eastAsia" w:ascii="宋体" w:hAnsi="宋体" w:cs="宋体"/>
                <w:color w:val="auto"/>
                <w:szCs w:val="21"/>
                <w:highlight w:val="none"/>
              </w:rPr>
              <w:t>）</w:t>
            </w:r>
          </w:p>
          <w:p w14:paraId="15CEF7AF">
            <w:pPr>
              <w:spacing w:line="360" w:lineRule="auto"/>
              <w:rPr>
                <w:rFonts w:ascii="宋体" w:hAnsi="宋体" w:cs="宋体"/>
                <w:color w:val="auto"/>
                <w:szCs w:val="21"/>
                <w:highlight w:val="none"/>
              </w:rPr>
            </w:pPr>
            <w:r>
              <w:rPr>
                <w:rFonts w:hint="eastAsia" w:ascii="宋体" w:hAnsi="宋体" w:cs="宋体"/>
                <w:color w:val="auto"/>
                <w:szCs w:val="21"/>
                <w:highlight w:val="none"/>
              </w:rPr>
              <w:t>4、</w:t>
            </w:r>
            <w:bookmarkStart w:id="2" w:name="OLE_LINK3"/>
            <w:bookmarkStart w:id="3" w:name="OLE_LINK4"/>
            <w:r>
              <w:rPr>
                <w:rFonts w:hint="eastAsia" w:ascii="宋体" w:hAnsi="宋体" w:cs="宋体"/>
                <w:color w:val="auto"/>
                <w:szCs w:val="21"/>
                <w:highlight w:val="none"/>
              </w:rPr>
              <w:t>门机系统</w:t>
            </w:r>
            <w:bookmarkEnd w:id="2"/>
            <w:bookmarkEnd w:id="3"/>
            <w:r>
              <w:rPr>
                <w:rFonts w:hint="eastAsia" w:ascii="宋体" w:hAnsi="宋体" w:cs="宋体"/>
                <w:color w:val="auto"/>
                <w:szCs w:val="21"/>
                <w:highlight w:val="none"/>
              </w:rPr>
              <w:t>：采用永磁同步门机。</w:t>
            </w:r>
          </w:p>
          <w:p w14:paraId="21B2D414">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5、层门锁：所投电梯产品</w:t>
            </w:r>
            <w:r>
              <w:rPr>
                <w:rFonts w:hint="eastAsia" w:ascii="宋体" w:hAnsi="宋体" w:cs="宋体"/>
                <w:b/>
                <w:bCs/>
                <w:color w:val="auto"/>
                <w:szCs w:val="21"/>
                <w:highlight w:val="none"/>
              </w:rPr>
              <w:t>层门锁动作寿命</w:t>
            </w:r>
            <w:r>
              <w:rPr>
                <w:rFonts w:hint="eastAsia" w:ascii="宋体" w:hAnsi="宋体" w:cs="宋体"/>
                <w:color w:val="auto"/>
                <w:szCs w:val="21"/>
                <w:highlight w:val="none"/>
              </w:rPr>
              <w:t>≥9</w:t>
            </w:r>
            <w:r>
              <w:rPr>
                <w:rFonts w:ascii="宋体" w:hAnsi="宋体" w:cs="宋体"/>
                <w:color w:val="auto"/>
                <w:szCs w:val="21"/>
                <w:highlight w:val="none"/>
              </w:rPr>
              <w:t>00</w:t>
            </w:r>
            <w:r>
              <w:rPr>
                <w:rFonts w:hint="eastAsia" w:ascii="宋体" w:hAnsi="宋体" w:cs="宋体"/>
                <w:color w:val="auto"/>
                <w:szCs w:val="21"/>
                <w:highlight w:val="none"/>
              </w:rPr>
              <w:t>万次。(提供第三方检测机构出具的“层门锁”</w:t>
            </w:r>
            <w:r>
              <w:rPr>
                <w:rFonts w:ascii="宋体" w:hAnsi="宋体" w:cs="宋体"/>
                <w:color w:val="auto"/>
                <w:szCs w:val="21"/>
                <w:highlight w:val="none"/>
                <w:lang w:val="en"/>
              </w:rPr>
              <w:t>试验报告</w:t>
            </w:r>
            <w:r>
              <w:rPr>
                <w:rFonts w:hint="eastAsia" w:ascii="宋体" w:hAnsi="宋体" w:cs="宋体"/>
                <w:color w:val="auto"/>
                <w:szCs w:val="21"/>
                <w:highlight w:val="none"/>
              </w:rPr>
              <w:t>复印件作为证明材料)</w:t>
            </w:r>
          </w:p>
          <w:p w14:paraId="3B96CE59">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6、轿门：所投电梯产品</w:t>
            </w:r>
            <w:r>
              <w:rPr>
                <w:rFonts w:hint="eastAsia" w:ascii="宋体" w:hAnsi="宋体" w:cs="宋体"/>
                <w:b/>
                <w:bCs/>
                <w:color w:val="auto"/>
                <w:szCs w:val="21"/>
                <w:highlight w:val="none"/>
              </w:rPr>
              <w:t>轿门开门装置动作寿命</w:t>
            </w:r>
            <w:r>
              <w:rPr>
                <w:rFonts w:hint="eastAsia" w:ascii="宋体" w:hAnsi="宋体" w:cs="宋体"/>
                <w:color w:val="auto"/>
                <w:szCs w:val="21"/>
                <w:highlight w:val="none"/>
              </w:rPr>
              <w:t>≥1300万次。(提供第三方检测机构出具的“轿门开门装置”</w:t>
            </w:r>
            <w:r>
              <w:rPr>
                <w:rFonts w:ascii="宋体" w:hAnsi="宋体" w:cs="宋体"/>
                <w:color w:val="auto"/>
                <w:szCs w:val="21"/>
                <w:highlight w:val="none"/>
                <w:lang w:val="en"/>
              </w:rPr>
              <w:t>试验报告</w:t>
            </w:r>
            <w:r>
              <w:rPr>
                <w:rFonts w:hint="eastAsia" w:ascii="宋体" w:hAnsi="宋体" w:cs="宋体"/>
                <w:color w:val="auto"/>
                <w:szCs w:val="21"/>
                <w:highlight w:val="none"/>
              </w:rPr>
              <w:t>复印件作为证明材料)</w:t>
            </w:r>
          </w:p>
          <w:p w14:paraId="616FC707">
            <w:pPr>
              <w:spacing w:line="360" w:lineRule="auto"/>
              <w:rPr>
                <w:rFonts w:ascii="宋体" w:hAnsi="宋体" w:cs="宋体"/>
                <w:color w:val="auto"/>
                <w:szCs w:val="21"/>
                <w:highlight w:val="none"/>
              </w:rPr>
            </w:pPr>
            <w:r>
              <w:rPr>
                <w:rFonts w:hint="eastAsia" w:ascii="宋体" w:hAnsi="宋体" w:cs="宋体"/>
                <w:b/>
                <w:bCs/>
                <w:color w:val="auto"/>
                <w:szCs w:val="21"/>
                <w:highlight w:val="none"/>
              </w:rPr>
              <w:t>★7、</w:t>
            </w:r>
            <w:r>
              <w:rPr>
                <w:rFonts w:hint="eastAsia" w:ascii="宋体" w:hAnsi="宋体"/>
                <w:b/>
                <w:bCs/>
                <w:color w:val="auto"/>
                <w:highlight w:val="none"/>
              </w:rPr>
              <w:t>门开关：电梯门开关为投标整梯同品牌，其动作寿命≥1300万次。</w:t>
            </w:r>
            <w:r>
              <w:rPr>
                <w:rFonts w:hint="eastAsia" w:ascii="宋体" w:hAnsi="宋体" w:cs="宋体"/>
                <w:color w:val="auto"/>
                <w:szCs w:val="21"/>
                <w:highlight w:val="none"/>
              </w:rPr>
              <w:t>（</w:t>
            </w:r>
            <w:r>
              <w:rPr>
                <w:rFonts w:hint="eastAsia" w:ascii="宋体" w:hAnsi="宋体"/>
                <w:color w:val="auto"/>
                <w:highlight w:val="none"/>
              </w:rPr>
              <w:t>提供第三方检测机构出具的“门开关”</w:t>
            </w:r>
            <w:r>
              <w:rPr>
                <w:rFonts w:ascii="宋体" w:hAnsi="宋体" w:cs="宋体"/>
                <w:color w:val="auto"/>
                <w:szCs w:val="21"/>
                <w:highlight w:val="none"/>
                <w:lang w:val="en"/>
              </w:rPr>
              <w:t>试验报告</w:t>
            </w:r>
            <w:r>
              <w:rPr>
                <w:rFonts w:hint="eastAsia" w:ascii="宋体" w:hAnsi="宋体"/>
                <w:color w:val="auto"/>
                <w:highlight w:val="none"/>
              </w:rPr>
              <w:t>复印件作为证明材料</w:t>
            </w:r>
            <w:r>
              <w:rPr>
                <w:rFonts w:hint="eastAsia" w:ascii="宋体" w:hAnsi="宋体" w:cs="宋体"/>
                <w:color w:val="auto"/>
                <w:szCs w:val="21"/>
                <w:highlight w:val="none"/>
              </w:rPr>
              <w:t>）</w:t>
            </w:r>
          </w:p>
          <w:p w14:paraId="3E5DD342">
            <w:pPr>
              <w:spacing w:line="360" w:lineRule="auto"/>
              <w:rPr>
                <w:rFonts w:ascii="宋体" w:hAnsi="宋体" w:cs="宋体"/>
                <w:color w:val="auto"/>
                <w:szCs w:val="21"/>
                <w:highlight w:val="none"/>
              </w:rPr>
            </w:pPr>
            <w:r>
              <w:rPr>
                <w:rFonts w:hint="eastAsia" w:ascii="宋体" w:hAnsi="宋体" w:cs="宋体"/>
                <w:b/>
                <w:bCs/>
                <w:color w:val="auto"/>
                <w:szCs w:val="21"/>
                <w:highlight w:val="none"/>
              </w:rPr>
              <w:t>★8、</w:t>
            </w:r>
            <w:r>
              <w:rPr>
                <w:rFonts w:hint="eastAsia" w:ascii="宋体" w:hAnsi="宋体"/>
                <w:b/>
                <w:bCs/>
                <w:color w:val="auto"/>
                <w:highlight w:val="none"/>
              </w:rPr>
              <w:t>光电开关性能：</w:t>
            </w:r>
            <w:r>
              <w:rPr>
                <w:rFonts w:hint="eastAsia" w:ascii="宋体" w:hAnsi="宋体" w:cs="微软雅黑"/>
                <w:color w:val="auto"/>
                <w:highlight w:val="none"/>
              </w:rPr>
              <w:t>电梯</w:t>
            </w:r>
            <w:r>
              <w:rPr>
                <w:rFonts w:hint="eastAsia" w:ascii="宋体" w:hAnsi="宋体" w:cs="微软雅黑"/>
                <w:b/>
                <w:bCs/>
                <w:color w:val="auto"/>
                <w:highlight w:val="none"/>
              </w:rPr>
              <w:t>光电开关</w:t>
            </w:r>
            <w:r>
              <w:rPr>
                <w:rFonts w:hint="eastAsia" w:ascii="宋体" w:hAnsi="宋体" w:cs="微软雅黑"/>
                <w:color w:val="auto"/>
                <w:highlight w:val="none"/>
              </w:rPr>
              <w:t>即使发射光减弱至正常工作的5%及以下，也能保证光电开关正常工作</w:t>
            </w:r>
            <w:r>
              <w:rPr>
                <w:rFonts w:hint="eastAsia" w:ascii="宋体" w:hAnsi="宋体"/>
                <w:color w:val="auto"/>
                <w:highlight w:val="none"/>
              </w:rPr>
              <w:t>。（提供第三方检测机构出具的“光电开关”</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4B7E0E5A">
            <w:pPr>
              <w:pStyle w:val="204"/>
              <w:widowControl/>
              <w:spacing w:line="360" w:lineRule="auto"/>
              <w:ind w:left="7" w:right="-15"/>
              <w:rPr>
                <w:color w:val="auto"/>
                <w:highlight w:val="none"/>
              </w:rPr>
            </w:pPr>
            <w:r>
              <w:rPr>
                <w:rFonts w:hint="eastAsia"/>
                <w:b/>
                <w:bCs/>
                <w:color w:val="auto"/>
                <w:szCs w:val="21"/>
                <w:highlight w:val="none"/>
              </w:rPr>
              <w:t>★9、</w:t>
            </w:r>
            <w:r>
              <w:rPr>
                <w:rFonts w:hint="eastAsia"/>
                <w:b/>
                <w:bCs/>
                <w:color w:val="auto"/>
                <w:highlight w:val="none"/>
              </w:rPr>
              <w:t>终端开关性能：</w:t>
            </w:r>
            <w:r>
              <w:rPr>
                <w:rFonts w:hint="eastAsia"/>
                <w:color w:val="auto"/>
                <w:highlight w:val="none"/>
              </w:rPr>
              <w:t>投标电梯的</w:t>
            </w:r>
            <w:r>
              <w:rPr>
                <w:rFonts w:hint="eastAsia"/>
                <w:b/>
                <w:bCs/>
                <w:color w:val="auto"/>
                <w:highlight w:val="none"/>
              </w:rPr>
              <w:t>终端开关</w:t>
            </w:r>
            <w:r>
              <w:rPr>
                <w:rFonts w:hint="eastAsia"/>
                <w:color w:val="auto"/>
                <w:highlight w:val="none"/>
              </w:rPr>
              <w:t>在正常的工作条件（DC125V，0.21A）下，以1次/秒的速度，动作1300万次后，满足：（1）开关结构完整，开关动作顺畅；（2）开关触点的接触电阻≤</w:t>
            </w:r>
            <w:r>
              <w:rPr>
                <w:color w:val="auto"/>
                <w:highlight w:val="none"/>
              </w:rPr>
              <w:t>60m</w:t>
            </w:r>
            <w:r>
              <w:rPr>
                <w:rFonts w:hint="eastAsia"/>
                <w:color w:val="auto"/>
                <w:highlight w:val="none"/>
              </w:rPr>
              <w:t>Ω。（提供第三方检测机构出具的“终端开关”</w:t>
            </w:r>
            <w:r>
              <w:rPr>
                <w:color w:val="auto"/>
                <w:szCs w:val="21"/>
                <w:highlight w:val="none"/>
                <w:lang w:val="en"/>
              </w:rPr>
              <w:t>试验报告</w:t>
            </w:r>
            <w:r>
              <w:rPr>
                <w:rFonts w:hint="eastAsia"/>
                <w:color w:val="auto"/>
                <w:szCs w:val="21"/>
                <w:highlight w:val="none"/>
                <w:lang w:val="en"/>
              </w:rPr>
              <w:t>复印件</w:t>
            </w:r>
            <w:r>
              <w:rPr>
                <w:rFonts w:hint="eastAsia"/>
                <w:color w:val="auto"/>
                <w:highlight w:val="none"/>
              </w:rPr>
              <w:t>作为证明材料）</w:t>
            </w:r>
          </w:p>
          <w:p w14:paraId="011B5422">
            <w:pPr>
              <w:spacing w:line="360" w:lineRule="auto"/>
              <w:rPr>
                <w:rFonts w:ascii="宋体" w:hAnsi="宋体" w:cs="宋体"/>
                <w:color w:val="auto"/>
                <w:szCs w:val="21"/>
                <w:highlight w:val="none"/>
              </w:rPr>
            </w:pPr>
            <w:r>
              <w:rPr>
                <w:rFonts w:hint="eastAsia" w:ascii="宋体" w:hAnsi="宋体" w:cs="宋体"/>
                <w:b/>
                <w:bCs/>
                <w:color w:val="auto"/>
                <w:szCs w:val="21"/>
                <w:highlight w:val="none"/>
              </w:rPr>
              <w:t>★10、</w:t>
            </w:r>
            <w:r>
              <w:rPr>
                <w:rFonts w:hint="eastAsia" w:ascii="宋体" w:hAnsi="宋体"/>
                <w:b/>
                <w:bCs/>
                <w:color w:val="auto"/>
                <w:highlight w:val="none"/>
              </w:rPr>
              <w:t>按钮性能：</w:t>
            </w:r>
            <w:r>
              <w:rPr>
                <w:rFonts w:hint="eastAsia" w:ascii="宋体" w:hAnsi="宋体"/>
                <w:color w:val="auto"/>
                <w:highlight w:val="none"/>
              </w:rPr>
              <w:t>投标电梯的呼梯</w:t>
            </w:r>
            <w:r>
              <w:rPr>
                <w:rFonts w:hint="eastAsia" w:ascii="宋体" w:hAnsi="宋体"/>
                <w:b/>
                <w:bCs/>
                <w:color w:val="auto"/>
                <w:highlight w:val="none"/>
              </w:rPr>
              <w:t>按钮</w:t>
            </w:r>
            <w:r>
              <w:rPr>
                <w:rFonts w:hint="eastAsia" w:ascii="宋体" w:hAnsi="宋体"/>
                <w:color w:val="auto"/>
                <w:highlight w:val="none"/>
              </w:rPr>
              <w:t>：按钮在</w:t>
            </w:r>
            <w:r>
              <w:rPr>
                <w:color w:val="auto"/>
                <w:highlight w:val="none"/>
              </w:rPr>
              <w:t>DC12V</w:t>
            </w:r>
            <w:r>
              <w:rPr>
                <w:rFonts w:hint="eastAsia" w:ascii="宋体" w:hAnsi="宋体"/>
                <w:color w:val="auto"/>
                <w:highlight w:val="none"/>
              </w:rPr>
              <w:t>，动作力</w:t>
            </w:r>
            <w:r>
              <w:rPr>
                <w:color w:val="auto"/>
                <w:highlight w:val="none"/>
              </w:rPr>
              <w:t>25N</w:t>
            </w:r>
            <w:r>
              <w:rPr>
                <w:rFonts w:hint="eastAsia" w:ascii="宋体" w:hAnsi="宋体"/>
                <w:color w:val="auto"/>
                <w:highlight w:val="none"/>
              </w:rPr>
              <w:t>的条件下，以</w:t>
            </w:r>
            <w:r>
              <w:rPr>
                <w:color w:val="auto"/>
                <w:highlight w:val="none"/>
              </w:rPr>
              <w:t>3.5</w:t>
            </w:r>
            <w:r>
              <w:rPr>
                <w:rFonts w:hint="eastAsia" w:ascii="宋体" w:hAnsi="宋体"/>
                <w:color w:val="auto"/>
                <w:highlight w:val="none"/>
              </w:rPr>
              <w:t>次</w:t>
            </w:r>
            <w:r>
              <w:rPr>
                <w:color w:val="auto"/>
                <w:highlight w:val="none"/>
              </w:rPr>
              <w:t>/</w:t>
            </w:r>
            <w:r>
              <w:rPr>
                <w:rFonts w:hint="eastAsia" w:ascii="宋体" w:hAnsi="宋体"/>
                <w:color w:val="auto"/>
                <w:highlight w:val="none"/>
              </w:rPr>
              <w:t>秒的速率，动作</w:t>
            </w:r>
            <w:r>
              <w:rPr>
                <w:rFonts w:hint="eastAsia"/>
                <w:color w:val="auto"/>
                <w:highlight w:val="none"/>
              </w:rPr>
              <w:t>3</w:t>
            </w:r>
            <w:r>
              <w:rPr>
                <w:color w:val="auto"/>
                <w:highlight w:val="none"/>
              </w:rPr>
              <w:t>00</w:t>
            </w:r>
            <w:r>
              <w:rPr>
                <w:rFonts w:hint="eastAsia" w:ascii="宋体" w:hAnsi="宋体"/>
                <w:color w:val="auto"/>
                <w:highlight w:val="none"/>
              </w:rPr>
              <w:t>万次后，应满足：（</w:t>
            </w:r>
            <w:r>
              <w:rPr>
                <w:rFonts w:hint="eastAsia"/>
                <w:color w:val="auto"/>
                <w:highlight w:val="none"/>
              </w:rPr>
              <w:t>1</w:t>
            </w:r>
            <w:r>
              <w:rPr>
                <w:rFonts w:hint="eastAsia" w:ascii="宋体" w:hAnsi="宋体"/>
                <w:color w:val="auto"/>
                <w:highlight w:val="none"/>
              </w:rPr>
              <w:t>）按钮动作正常，发光亮度正常，无裂痕、无变形，且接触电阻≤</w:t>
            </w:r>
            <w:r>
              <w:rPr>
                <w:color w:val="auto"/>
                <w:highlight w:val="none"/>
              </w:rPr>
              <w:t>40m</w:t>
            </w:r>
            <w:r>
              <w:rPr>
                <w:rFonts w:hint="eastAsia" w:ascii="宋体" w:hAnsi="宋体"/>
                <w:color w:val="auto"/>
                <w:highlight w:val="none"/>
              </w:rPr>
              <w:t>Ω；（</w:t>
            </w:r>
            <w:r>
              <w:rPr>
                <w:rFonts w:hint="eastAsia"/>
                <w:color w:val="auto"/>
                <w:highlight w:val="none"/>
              </w:rPr>
              <w:t>2</w:t>
            </w:r>
            <w:r>
              <w:rPr>
                <w:rFonts w:hint="eastAsia" w:ascii="宋体" w:hAnsi="宋体"/>
                <w:color w:val="auto"/>
                <w:highlight w:val="none"/>
              </w:rPr>
              <w:t>）按钮在</w:t>
            </w:r>
            <w:r>
              <w:rPr>
                <w:color w:val="auto"/>
                <w:highlight w:val="none"/>
              </w:rPr>
              <w:t>4.9J</w:t>
            </w:r>
            <w:r>
              <w:rPr>
                <w:rFonts w:hint="eastAsia" w:ascii="宋体" w:hAnsi="宋体"/>
                <w:color w:val="auto"/>
                <w:highlight w:val="none"/>
              </w:rPr>
              <w:t>的冲击载荷下，经过</w:t>
            </w:r>
            <w:r>
              <w:rPr>
                <w:color w:val="auto"/>
                <w:highlight w:val="none"/>
              </w:rPr>
              <w:t>3</w:t>
            </w:r>
            <w:r>
              <w:rPr>
                <w:rFonts w:hint="eastAsia" w:ascii="宋体" w:hAnsi="宋体"/>
                <w:color w:val="auto"/>
                <w:highlight w:val="none"/>
              </w:rPr>
              <w:t>次冲击试验后，按钮未破损，电气部分未露出，动作正常，外观无明显裂纹及变形。（提供第三方检测机构出具的“按钮”</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6E86201E">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11、</w:t>
            </w:r>
            <w:r>
              <w:rPr>
                <w:rFonts w:hint="eastAsia" w:ascii="宋体" w:hAnsi="宋体" w:cs="微软雅黑"/>
                <w:color w:val="auto"/>
                <w:szCs w:val="21"/>
                <w:highlight w:val="none"/>
                <w:lang w:bidi="ar"/>
              </w:rPr>
              <w:t>制动器：投标品牌电梯</w:t>
            </w:r>
            <w:r>
              <w:rPr>
                <w:rFonts w:hint="eastAsia" w:ascii="宋体" w:hAnsi="宋体" w:cs="微软雅黑"/>
                <w:b/>
                <w:bCs/>
                <w:color w:val="auto"/>
                <w:szCs w:val="21"/>
                <w:highlight w:val="none"/>
                <w:lang w:bidi="ar"/>
              </w:rPr>
              <w:t>制动器</w:t>
            </w:r>
            <w:r>
              <w:rPr>
                <w:rFonts w:hint="eastAsia" w:ascii="宋体" w:hAnsi="宋体" w:cs="微软雅黑"/>
                <w:color w:val="auto"/>
                <w:szCs w:val="21"/>
                <w:highlight w:val="none"/>
                <w:lang w:bidi="ar"/>
              </w:rPr>
              <w:t>的动作次数（使用寿命）≥2000万次。（</w:t>
            </w:r>
            <w:r>
              <w:rPr>
                <w:rFonts w:hint="eastAsia" w:ascii="宋体" w:hAnsi="宋体"/>
                <w:color w:val="auto"/>
                <w:highlight w:val="none"/>
              </w:rPr>
              <w:t>提供具有第三方检测机构出具的“制动器”</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636A7B95">
            <w:pPr>
              <w:spacing w:line="360" w:lineRule="auto"/>
              <w:rPr>
                <w:rFonts w:ascii="宋体" w:hAnsi="宋体" w:cs="宋体"/>
                <w:color w:val="auto"/>
                <w:szCs w:val="21"/>
                <w:highlight w:val="none"/>
              </w:rPr>
            </w:pPr>
            <w:r>
              <w:rPr>
                <w:rFonts w:hint="eastAsia" w:ascii="宋体" w:hAnsi="宋体" w:cs="宋体"/>
                <w:color w:val="auto"/>
                <w:szCs w:val="21"/>
                <w:highlight w:val="none"/>
              </w:rPr>
              <w:t>12、通讯方式：采用串行通讯技术。</w:t>
            </w:r>
          </w:p>
          <w:p w14:paraId="23FED09B">
            <w:pPr>
              <w:spacing w:line="360" w:lineRule="auto"/>
              <w:rPr>
                <w:rFonts w:ascii="宋体" w:hAnsi="宋体" w:cs="宋体"/>
                <w:color w:val="auto"/>
                <w:szCs w:val="21"/>
                <w:highlight w:val="none"/>
              </w:rPr>
            </w:pPr>
            <w:r>
              <w:rPr>
                <w:rFonts w:hint="eastAsia" w:ascii="宋体" w:hAnsi="宋体" w:cs="宋体"/>
                <w:color w:val="auto"/>
                <w:szCs w:val="21"/>
                <w:highlight w:val="none"/>
              </w:rPr>
              <w:t>13、电压适应范围：电压波动范围为±10%，即在342V～418V范围内仍能正常使用。</w:t>
            </w:r>
          </w:p>
          <w:p w14:paraId="3D137A68">
            <w:pPr>
              <w:spacing w:line="360" w:lineRule="auto"/>
              <w:rPr>
                <w:rFonts w:ascii="宋体" w:hAnsi="宋体" w:cs="宋体"/>
                <w:b/>
                <w:bCs/>
                <w:color w:val="auto"/>
                <w:szCs w:val="21"/>
                <w:highlight w:val="none"/>
              </w:rPr>
            </w:pPr>
            <w:bookmarkStart w:id="4" w:name="OLE_LINK5"/>
            <w:r>
              <w:rPr>
                <w:rFonts w:ascii="宋体" w:hAnsi="宋体" w:cs="宋体"/>
                <w:b/>
                <w:bCs/>
                <w:color w:val="auto"/>
                <w:szCs w:val="21"/>
                <w:highlight w:val="none"/>
                <w:lang w:val="en"/>
              </w:rPr>
              <w:t>▲</w:t>
            </w:r>
            <w:r>
              <w:rPr>
                <w:rFonts w:hint="eastAsia" w:ascii="宋体" w:hAnsi="宋体" w:cs="宋体"/>
                <w:color w:val="auto"/>
                <w:szCs w:val="21"/>
                <w:highlight w:val="none"/>
              </w:rPr>
              <w:t>14、门保护装置：光幕≥170光束。</w:t>
            </w:r>
          </w:p>
          <w:bookmarkEnd w:id="4"/>
          <w:p w14:paraId="62BE1B54">
            <w:pPr>
              <w:spacing w:line="360" w:lineRule="auto"/>
              <w:rPr>
                <w:rFonts w:ascii="宋体" w:hAnsi="宋体" w:cs="宋体"/>
                <w:color w:val="auto"/>
                <w:szCs w:val="21"/>
                <w:highlight w:val="none"/>
              </w:rPr>
            </w:pPr>
            <w:r>
              <w:rPr>
                <w:rFonts w:hint="eastAsia" w:ascii="宋体" w:hAnsi="宋体" w:cs="宋体"/>
                <w:color w:val="auto"/>
                <w:szCs w:val="21"/>
                <w:highlight w:val="none"/>
              </w:rPr>
              <w:t>15、无障碍操纵箱。</w:t>
            </w:r>
          </w:p>
          <w:p w14:paraId="4EF30201">
            <w:pPr>
              <w:spacing w:line="360" w:lineRule="auto"/>
              <w:rPr>
                <w:rFonts w:ascii="宋体" w:hAnsi="宋体" w:cs="宋体"/>
                <w:color w:val="auto"/>
                <w:szCs w:val="21"/>
                <w:highlight w:val="none"/>
              </w:rPr>
            </w:pPr>
            <w:r>
              <w:rPr>
                <w:rFonts w:hint="eastAsia" w:ascii="宋体" w:hAnsi="宋体" w:cs="宋体"/>
                <w:color w:val="auto"/>
                <w:szCs w:val="21"/>
                <w:highlight w:val="none"/>
              </w:rPr>
              <w:t>16、分区运行模式： 电梯系统应具备单双层分区控制功能。即：在正常运营时段内，多台群控电梯应能设置为指定电梯仅服务单数楼层，指定电梯仅服务双数楼层。</w:t>
            </w:r>
          </w:p>
          <w:p w14:paraId="52068896">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17、导靴：主导轨配置滚轮导靴，滚轮直径≥140mm，配置防护板，且配置摩擦阻尼。(提供投标型号导靴的产品结构图说明资料</w:t>
            </w:r>
            <w:r>
              <w:rPr>
                <w:rFonts w:hint="eastAsia"/>
                <w:color w:val="auto"/>
                <w:highlight w:val="none"/>
              </w:rPr>
              <w:t>作为证明材料</w:t>
            </w:r>
            <w:r>
              <w:rPr>
                <w:rFonts w:hint="eastAsia" w:ascii="宋体" w:hAnsi="宋体" w:cs="宋体"/>
                <w:color w:val="auto"/>
                <w:szCs w:val="21"/>
                <w:highlight w:val="none"/>
              </w:rPr>
              <w:t>)</w:t>
            </w:r>
          </w:p>
          <w:p w14:paraId="19C2CB4E">
            <w:pPr>
              <w:pStyle w:val="301"/>
              <w:spacing w:line="360" w:lineRule="auto"/>
              <w:ind w:firstLine="0" w:firstLineChars="0"/>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18、能量回馈功能：通过双 PWM 整流/逆变单元，将直流电能逆变为与电网同频同相的交流电，无污染回馈电网。</w:t>
            </w:r>
          </w:p>
          <w:p w14:paraId="0B0EA651">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kern w:val="0"/>
                <w:szCs w:val="21"/>
                <w:highlight w:val="none"/>
                <w:lang w:bidi="ar"/>
              </w:rPr>
              <w:t>19、配电梯轿厢专用高清摄像头，并接入监控值班室。</w:t>
            </w:r>
          </w:p>
          <w:p w14:paraId="505A9489">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b/>
                <w:bCs/>
                <w:color w:val="auto"/>
                <w:szCs w:val="21"/>
                <w:highlight w:val="none"/>
                <w:lang w:val="en"/>
              </w:rPr>
              <w:t>20</w:t>
            </w:r>
            <w:r>
              <w:rPr>
                <w:rFonts w:hint="eastAsia" w:ascii="宋体" w:hAnsi="宋体" w:cs="宋体"/>
                <w:color w:val="auto"/>
                <w:kern w:val="0"/>
                <w:szCs w:val="21"/>
                <w:highlight w:val="none"/>
                <w:lang w:bidi="ar"/>
              </w:rPr>
              <w:t>、智慧电梯：</w:t>
            </w:r>
          </w:p>
          <w:p w14:paraId="1376BE81">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1)实时监控与状态查看</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通过手机APP、微信小程序或网页端，随时随地查看电梯的实时运行状态，包括楼层、方向、开关门状态、运行次数、能耗数据等</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支持查看电梯的事件履历、报警记录和电梯体检报告书。</w:t>
            </w:r>
          </w:p>
          <w:p w14:paraId="480BB875">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2)应急处置与可视化安抚</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主动识别电梯异常事件（如困人、故障、人员摔倒、电动车进入等），并第一时间推送告警信息至管理人员手机或监控大屏</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提供一体化可视安抚功能，管理人员可通过手机端查看轿厢视频、进行可视对讲，快速处置。</w:t>
            </w:r>
          </w:p>
          <w:p w14:paraId="5967A98E">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3)远程控制与功能设置</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支持远程锁梯、非服务层设置、高峰时间调整、待机楼层设置等功能，提升管理效率。</w:t>
            </w:r>
          </w:p>
          <w:p w14:paraId="2823E1F0">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4)语音播报与公告管理</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支持自定义电梯语音欢迎语</w:t>
            </w:r>
            <w:r>
              <w:rPr>
                <w:rFonts w:hint="eastAsia" w:ascii="宋体" w:hAnsi="宋体" w:cs="宋体"/>
                <w:color w:val="auto"/>
                <w:kern w:val="0"/>
                <w:szCs w:val="21"/>
                <w:highlight w:val="none"/>
                <w:lang w:bidi="ar"/>
              </w:rPr>
              <w:t>。</w:t>
            </w:r>
          </w:p>
          <w:p w14:paraId="4DA3F761">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5)智能维保与报修服务</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提供在线报修、维保计划管理、保养记录查看等功能，实现维保服务的全流程可视化。</w:t>
            </w:r>
          </w:p>
          <w:p w14:paraId="60FAEBE9">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r>
              <w:rPr>
                <w:rFonts w:ascii="宋体" w:hAnsi="宋体" w:cs="宋体"/>
                <w:color w:val="auto"/>
                <w:kern w:val="0"/>
                <w:szCs w:val="21"/>
                <w:highlight w:val="none"/>
                <w:lang w:bidi="ar"/>
              </w:rPr>
              <w:t>)无线物联：无需布线，支持电梯与政府监管平台、客户系统（如医院、机场）、智能设备（光幕、摄像头）的无缝对接。</w:t>
            </w:r>
          </w:p>
          <w:p w14:paraId="26EDDE2D">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7</w:t>
            </w:r>
            <w:r>
              <w:rPr>
                <w:rFonts w:ascii="宋体" w:hAnsi="宋体" w:cs="宋体"/>
                <w:color w:val="auto"/>
                <w:kern w:val="0"/>
                <w:szCs w:val="21"/>
                <w:highlight w:val="none"/>
                <w:lang w:bidi="ar"/>
              </w:rPr>
              <w:t>)数字化维保：在线工单管理、保养计划可视化，提供实时故障故障诊断，快速定位故障并提供维修方案，缩短故障处理时间。</w:t>
            </w:r>
          </w:p>
          <w:p w14:paraId="50552F06">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b/>
                <w:bCs/>
                <w:color w:val="auto"/>
                <w:szCs w:val="21"/>
                <w:highlight w:val="none"/>
              </w:rPr>
              <w:t>21</w:t>
            </w:r>
            <w:r>
              <w:rPr>
                <w:rFonts w:hint="eastAsia" w:ascii="宋体" w:hAnsi="宋体" w:cs="宋体"/>
                <w:color w:val="auto"/>
                <w:kern w:val="0"/>
                <w:szCs w:val="21"/>
                <w:highlight w:val="none"/>
                <w:lang w:bidi="ar"/>
              </w:rPr>
              <w:t>、绕绳比：钢丝绳绕绳比1：1。</w:t>
            </w:r>
          </w:p>
          <w:p w14:paraId="56A88804">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★22、安全钳：轿厢安全钳采用安全钳体与轿厢构件一体式设计，且该部件整体由整梯品牌国外原厂生产及调试出厂，适用额定速度≥2m/s。（提供投标型号</w:t>
            </w:r>
            <w:r>
              <w:rPr>
                <w:rFonts w:hint="eastAsia" w:ascii="宋体" w:hAnsi="宋体" w:cs="宋体"/>
                <w:b/>
                <w:bCs/>
                <w:color w:val="auto"/>
                <w:kern w:val="0"/>
                <w:szCs w:val="21"/>
                <w:highlight w:val="none"/>
                <w:lang w:bidi="ar"/>
              </w:rPr>
              <w:t>安全钳</w:t>
            </w:r>
            <w:r>
              <w:rPr>
                <w:rFonts w:hint="eastAsia" w:ascii="宋体" w:hAnsi="宋体" w:cs="宋体"/>
                <w:color w:val="auto"/>
                <w:kern w:val="0"/>
                <w:szCs w:val="21"/>
                <w:highlight w:val="none"/>
                <w:lang w:bidi="ar"/>
              </w:rPr>
              <w:t>的型式试验报告及证书、结构图说明资料</w:t>
            </w:r>
            <w:r>
              <w:rPr>
                <w:rFonts w:hint="eastAsia"/>
                <w:color w:val="auto"/>
                <w:highlight w:val="none"/>
              </w:rPr>
              <w:t>作</w:t>
            </w:r>
            <w:r>
              <w:rPr>
                <w:rFonts w:hint="eastAsia" w:asciiTheme="minorEastAsia" w:hAnsiTheme="minorEastAsia" w:eastAsiaTheme="minorEastAsia" w:cstheme="minorEastAsia"/>
                <w:color w:val="auto"/>
                <w:szCs w:val="21"/>
                <w:highlight w:val="none"/>
              </w:rPr>
              <w:t>为证明材料</w:t>
            </w:r>
            <w:r>
              <w:rPr>
                <w:rFonts w:hint="eastAsia" w:ascii="宋体" w:hAnsi="宋体" w:cs="宋体"/>
                <w:color w:val="auto"/>
                <w:kern w:val="0"/>
                <w:szCs w:val="21"/>
                <w:highlight w:val="none"/>
                <w:lang w:bidi="ar"/>
              </w:rPr>
              <w:t>)</w:t>
            </w:r>
          </w:p>
          <w:p w14:paraId="5889511F">
            <w:pPr>
              <w:pStyle w:val="301"/>
              <w:spacing w:line="360" w:lineRule="auto"/>
              <w:ind w:firstLine="0" w:firstLineChars="0"/>
              <w:rPr>
                <w:color w:val="auto"/>
                <w:highlight w:val="none"/>
              </w:rPr>
            </w:pPr>
            <w:r>
              <w:rPr>
                <w:rFonts w:hint="eastAsia"/>
                <w:color w:val="auto"/>
                <w:highlight w:val="none"/>
              </w:rPr>
              <w:t>★</w:t>
            </w:r>
            <w:r>
              <w:rPr>
                <w:rFonts w:hint="eastAsia" w:ascii="宋体" w:hAnsi="宋体" w:cs="宋体"/>
                <w:color w:val="auto"/>
                <w:kern w:val="0"/>
                <w:szCs w:val="21"/>
                <w:highlight w:val="none"/>
                <w:lang w:bidi="ar"/>
              </w:rPr>
              <w:t>23</w:t>
            </w:r>
            <w:r>
              <w:rPr>
                <w:rFonts w:hint="eastAsia"/>
                <w:color w:val="auto"/>
                <w:highlight w:val="none"/>
              </w:rPr>
              <w:t>、电梯控制柜控制主板(印板)：</w:t>
            </w:r>
            <w:r>
              <w:rPr>
                <w:rFonts w:hint="eastAsia" w:asciiTheme="minorEastAsia" w:hAnsiTheme="minorEastAsia" w:eastAsiaTheme="minorEastAsia" w:cstheme="minorEastAsia"/>
                <w:color w:val="auto"/>
                <w:szCs w:val="21"/>
                <w:highlight w:val="none"/>
              </w:rPr>
              <w:t>投标型号</w:t>
            </w:r>
            <w:r>
              <w:rPr>
                <w:rFonts w:hint="eastAsia"/>
                <w:color w:val="auto"/>
                <w:highlight w:val="none"/>
              </w:rPr>
              <w:t>电梯印板耐高温高湿、抗粉尘、抗振动，进行连续必要的环境试验：①热冲击试验、②高温高湿度试验、③正弦振动试验、④温度变动试验、⑤砂尘试验、⑥恒定湿热试验。（提供具有CNAS认证检测机构出具的试验报告作为证明材料）</w:t>
            </w:r>
          </w:p>
          <w:p w14:paraId="435797D9">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三、主要部件：</w:t>
            </w:r>
          </w:p>
          <w:p w14:paraId="20035F78">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1、主要部件要求：</w:t>
            </w:r>
            <w:r>
              <w:rPr>
                <w:rFonts w:hint="eastAsia"/>
                <w:b/>
                <w:bCs/>
                <w:color w:val="auto"/>
                <w:highlight w:val="none"/>
              </w:rPr>
              <w:t>曳引机</w:t>
            </w:r>
            <w:r>
              <w:rPr>
                <w:rFonts w:hint="eastAsia" w:ascii="宋体" w:hAnsi="宋体" w:cs="宋体"/>
                <w:b/>
                <w:bCs/>
                <w:color w:val="auto"/>
                <w:szCs w:val="21"/>
                <w:highlight w:val="none"/>
              </w:rPr>
              <w:t>、控制柜（含调速装置、控制装置）、轿门门锁、层门门锁、限速器、安全钳、上行超速保护装置、轿厢意外移动保护装置</w:t>
            </w:r>
            <w:r>
              <w:rPr>
                <w:rFonts w:hint="eastAsia" w:ascii="宋体" w:hAnsi="宋体" w:cs="宋体"/>
                <w:color w:val="auto"/>
                <w:szCs w:val="21"/>
                <w:highlight w:val="none"/>
              </w:rPr>
              <w:t>为投标产品整梯同品牌设计和制造（</w:t>
            </w:r>
            <w:r>
              <w:rPr>
                <w:rFonts w:hint="eastAsia" w:ascii="宋体" w:hAnsi="宋体" w:cs="宋体"/>
                <w:b/>
                <w:bCs/>
                <w:color w:val="auto"/>
                <w:szCs w:val="21"/>
                <w:highlight w:val="none"/>
              </w:rPr>
              <w:t>须提供整梯特种设备型式试验报告及证书复印件，</w:t>
            </w:r>
            <w:r>
              <w:rPr>
                <w:rFonts w:ascii="宋体" w:hAnsi="宋体" w:cs="宋体"/>
                <w:b/>
                <w:bCs/>
                <w:color w:val="auto"/>
                <w:szCs w:val="21"/>
                <w:highlight w:val="none"/>
                <w:lang w:val="en"/>
              </w:rPr>
              <w:t>并加盖投标人公章</w:t>
            </w:r>
            <w:r>
              <w:rPr>
                <w:rFonts w:hint="eastAsia" w:ascii="宋体" w:hAnsi="宋体" w:cs="宋体"/>
                <w:color w:val="auto"/>
                <w:szCs w:val="21"/>
                <w:highlight w:val="none"/>
              </w:rPr>
              <w:t>）</w:t>
            </w:r>
          </w:p>
          <w:p w14:paraId="5EB015E6">
            <w:pPr>
              <w:spacing w:line="360" w:lineRule="auto"/>
              <w:rPr>
                <w:rFonts w:ascii="宋体" w:hAnsi="宋体" w:cs="宋体"/>
                <w:color w:val="auto"/>
                <w:szCs w:val="21"/>
                <w:highlight w:val="none"/>
              </w:rPr>
            </w:pPr>
            <w:r>
              <w:rPr>
                <w:rFonts w:hint="eastAsia" w:ascii="宋体" w:hAnsi="宋体" w:cs="宋体"/>
                <w:color w:val="auto"/>
                <w:szCs w:val="21"/>
                <w:highlight w:val="none"/>
              </w:rPr>
              <w:t>2、导轨型号要求：轿厢侧≥T89/B。</w:t>
            </w:r>
          </w:p>
          <w:p w14:paraId="7387CC56">
            <w:pPr>
              <w:spacing w:line="360" w:lineRule="auto"/>
              <w:rPr>
                <w:rFonts w:ascii="宋体" w:hAnsi="宋体" w:cs="宋体"/>
                <w:color w:val="auto"/>
                <w:szCs w:val="21"/>
                <w:highlight w:val="none"/>
              </w:rPr>
            </w:pPr>
            <w:r>
              <w:rPr>
                <w:rFonts w:hint="eastAsia" w:ascii="宋体" w:hAnsi="宋体" w:cs="宋体"/>
                <w:color w:val="auto"/>
                <w:szCs w:val="21"/>
                <w:highlight w:val="none"/>
              </w:rPr>
              <w:t>3、采购方有权对以上主要部件聘请专家及第三方专业机构进行核查，核查费用由采购方支付，若出现弄虚作假情况，一经查实，采购方将予以退货或换货，核查费用由中标人支付，并将追究中标人法律责任并要求供应商赔偿相关损失。</w:t>
            </w:r>
          </w:p>
          <w:p w14:paraId="59F65E03">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4、进口件要求：</w:t>
            </w:r>
            <w:r>
              <w:rPr>
                <w:rFonts w:hint="eastAsia" w:ascii="宋体" w:hAnsi="宋体" w:cs="宋体"/>
                <w:b/>
                <w:bCs/>
                <w:color w:val="auto"/>
                <w:szCs w:val="21"/>
                <w:highlight w:val="none"/>
              </w:rPr>
              <w:t>控制柜、曳引机、轿厢限速器、轿厢安全钳、轿厢门机</w:t>
            </w:r>
            <w:r>
              <w:rPr>
                <w:rFonts w:hint="eastAsia" w:ascii="宋体" w:hAnsi="宋体" w:cs="宋体"/>
                <w:color w:val="auto"/>
                <w:szCs w:val="21"/>
                <w:highlight w:val="none"/>
              </w:rPr>
              <w:t>均为原厂原产地进口。投标人投标时</w:t>
            </w:r>
            <w:r>
              <w:rPr>
                <w:rFonts w:hint="eastAsia" w:ascii="宋体" w:hAnsi="宋体" w:cs="宋体"/>
                <w:b/>
                <w:bCs/>
                <w:color w:val="auto"/>
                <w:szCs w:val="21"/>
                <w:highlight w:val="none"/>
              </w:rPr>
              <w:t>须提供相关原产地证明及最近一年有效的类似项目进口海关报关单复印件、装箱清单复印件</w:t>
            </w:r>
            <w:r>
              <w:rPr>
                <w:rFonts w:hint="eastAsia" w:ascii="宋体" w:hAnsi="宋体" w:cs="宋体"/>
                <w:color w:val="auto"/>
                <w:szCs w:val="21"/>
                <w:highlight w:val="none"/>
              </w:rPr>
              <w:t>作为证明材料或</w:t>
            </w:r>
            <w:r>
              <w:rPr>
                <w:rFonts w:hint="eastAsia" w:ascii="宋体" w:hAnsi="宋体" w:cs="宋体"/>
                <w:b/>
                <w:bCs/>
                <w:color w:val="auto"/>
                <w:szCs w:val="21"/>
                <w:highlight w:val="none"/>
              </w:rPr>
              <w:t>投标时提供承诺函</w:t>
            </w:r>
            <w:r>
              <w:rPr>
                <w:rFonts w:hint="eastAsia" w:ascii="宋体" w:hAnsi="宋体" w:cs="宋体"/>
                <w:color w:val="auto"/>
                <w:szCs w:val="21"/>
                <w:highlight w:val="none"/>
              </w:rPr>
              <w:t>，</w:t>
            </w:r>
            <w:r>
              <w:rPr>
                <w:rFonts w:hint="eastAsia" w:ascii="宋体" w:hAnsi="宋体" w:cs="宋体"/>
                <w:b/>
                <w:bCs/>
                <w:color w:val="auto"/>
                <w:szCs w:val="21"/>
                <w:highlight w:val="none"/>
              </w:rPr>
              <w:t>供货时须提供相关原产地证明、进口海关报关单复印件、装箱清单复印件</w:t>
            </w:r>
            <w:r>
              <w:rPr>
                <w:rFonts w:hint="eastAsia" w:ascii="宋体" w:hAnsi="宋体" w:cs="宋体"/>
                <w:color w:val="auto"/>
                <w:szCs w:val="21"/>
                <w:highlight w:val="none"/>
              </w:rPr>
              <w:t>。</w:t>
            </w:r>
          </w:p>
          <w:p w14:paraId="1FAAEC41">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四、功能：</w:t>
            </w:r>
          </w:p>
          <w:p w14:paraId="2192260B">
            <w:pPr>
              <w:spacing w:line="360" w:lineRule="auto"/>
              <w:rPr>
                <w:rFonts w:ascii="宋体" w:hAnsi="宋体" w:cs="宋体"/>
                <w:color w:val="auto"/>
                <w:szCs w:val="21"/>
                <w:highlight w:val="none"/>
              </w:rPr>
            </w:pPr>
            <w:r>
              <w:rPr>
                <w:rFonts w:hint="eastAsia" w:ascii="宋体" w:hAnsi="宋体" w:cs="宋体"/>
                <w:color w:val="auto"/>
                <w:szCs w:val="21"/>
                <w:highlight w:val="none"/>
              </w:rPr>
              <w:t>1、开门保持时间自动调整</w:t>
            </w:r>
          </w:p>
          <w:p w14:paraId="733114E5">
            <w:pPr>
              <w:spacing w:line="360" w:lineRule="auto"/>
              <w:rPr>
                <w:rFonts w:ascii="宋体" w:hAnsi="宋体" w:cs="宋体"/>
                <w:color w:val="auto"/>
                <w:szCs w:val="21"/>
                <w:highlight w:val="none"/>
              </w:rPr>
            </w:pPr>
            <w:r>
              <w:rPr>
                <w:rFonts w:hint="eastAsia" w:ascii="宋体" w:hAnsi="宋体" w:cs="宋体"/>
                <w:color w:val="auto"/>
                <w:szCs w:val="21"/>
                <w:highlight w:val="none"/>
              </w:rPr>
              <w:t>2、节能运行（台数控制）</w:t>
            </w:r>
          </w:p>
          <w:p w14:paraId="6AF2AE17">
            <w:pPr>
              <w:spacing w:line="360" w:lineRule="auto"/>
              <w:rPr>
                <w:rFonts w:ascii="宋体" w:hAnsi="宋体" w:cs="宋体"/>
                <w:color w:val="auto"/>
                <w:szCs w:val="21"/>
                <w:highlight w:val="none"/>
              </w:rPr>
            </w:pPr>
            <w:r>
              <w:rPr>
                <w:rFonts w:hint="eastAsia" w:ascii="宋体" w:hAnsi="宋体" w:cs="宋体"/>
                <w:color w:val="auto"/>
                <w:szCs w:val="21"/>
                <w:highlight w:val="none"/>
              </w:rPr>
              <w:t>3、节能运行（分配控制）</w:t>
            </w:r>
          </w:p>
          <w:p w14:paraId="757F0F88">
            <w:pPr>
              <w:spacing w:line="360" w:lineRule="auto"/>
              <w:rPr>
                <w:rFonts w:ascii="宋体" w:hAnsi="宋体" w:cs="宋体"/>
                <w:color w:val="auto"/>
                <w:szCs w:val="21"/>
                <w:highlight w:val="none"/>
              </w:rPr>
            </w:pPr>
            <w:r>
              <w:rPr>
                <w:rFonts w:hint="eastAsia" w:ascii="宋体" w:hAnsi="宋体" w:cs="宋体"/>
                <w:color w:val="auto"/>
                <w:szCs w:val="21"/>
                <w:highlight w:val="none"/>
              </w:rPr>
              <w:t>4、神经元网络应用控制</w:t>
            </w:r>
          </w:p>
          <w:p w14:paraId="02EA0CB1">
            <w:pPr>
              <w:spacing w:line="360" w:lineRule="auto"/>
              <w:rPr>
                <w:rFonts w:ascii="宋体" w:hAnsi="宋体" w:cs="宋体"/>
                <w:color w:val="auto"/>
                <w:szCs w:val="21"/>
                <w:highlight w:val="none"/>
              </w:rPr>
            </w:pPr>
            <w:r>
              <w:rPr>
                <w:rFonts w:hint="eastAsia" w:ascii="宋体" w:hAnsi="宋体" w:cs="宋体"/>
                <w:color w:val="auto"/>
                <w:szCs w:val="21"/>
                <w:highlight w:val="none"/>
              </w:rPr>
              <w:t>5、电梯受阻失速保护</w:t>
            </w:r>
          </w:p>
          <w:p w14:paraId="4590D090">
            <w:pPr>
              <w:spacing w:line="360" w:lineRule="auto"/>
              <w:rPr>
                <w:rFonts w:ascii="宋体" w:hAnsi="宋体" w:cs="宋体"/>
                <w:color w:val="auto"/>
                <w:szCs w:val="21"/>
                <w:highlight w:val="none"/>
              </w:rPr>
            </w:pPr>
            <w:r>
              <w:rPr>
                <w:rFonts w:hint="eastAsia" w:ascii="宋体" w:hAnsi="宋体" w:cs="宋体"/>
                <w:color w:val="auto"/>
                <w:szCs w:val="21"/>
                <w:highlight w:val="none"/>
              </w:rPr>
              <w:t>6、钢丝绳拉伸再平层</w:t>
            </w:r>
          </w:p>
          <w:p w14:paraId="75867583">
            <w:pPr>
              <w:spacing w:line="360" w:lineRule="auto"/>
              <w:rPr>
                <w:rFonts w:ascii="宋体" w:hAnsi="宋体" w:cs="宋体"/>
                <w:color w:val="auto"/>
                <w:szCs w:val="21"/>
                <w:highlight w:val="none"/>
              </w:rPr>
            </w:pPr>
            <w:r>
              <w:rPr>
                <w:rFonts w:hint="eastAsia" w:ascii="宋体" w:hAnsi="宋体" w:cs="宋体"/>
                <w:color w:val="auto"/>
                <w:szCs w:val="21"/>
                <w:highlight w:val="none"/>
              </w:rPr>
              <w:t>7、轿厢微机异常处理</w:t>
            </w:r>
          </w:p>
          <w:p w14:paraId="6247C807">
            <w:pPr>
              <w:spacing w:line="360" w:lineRule="auto"/>
              <w:rPr>
                <w:rFonts w:ascii="宋体" w:hAnsi="宋体" w:cs="宋体"/>
                <w:color w:val="auto"/>
                <w:szCs w:val="21"/>
                <w:highlight w:val="none"/>
              </w:rPr>
            </w:pPr>
            <w:r>
              <w:rPr>
                <w:rFonts w:hint="eastAsia" w:ascii="宋体" w:hAnsi="宋体" w:cs="宋体"/>
                <w:color w:val="auto"/>
                <w:szCs w:val="21"/>
                <w:highlight w:val="none"/>
              </w:rPr>
              <w:t>8、轿内反向指令消除</w:t>
            </w:r>
          </w:p>
          <w:p w14:paraId="2F18B0EA">
            <w:pPr>
              <w:spacing w:line="360" w:lineRule="auto"/>
              <w:rPr>
                <w:rFonts w:ascii="宋体" w:hAnsi="宋体" w:cs="宋体"/>
                <w:color w:val="auto"/>
                <w:szCs w:val="21"/>
                <w:highlight w:val="none"/>
              </w:rPr>
            </w:pPr>
            <w:r>
              <w:rPr>
                <w:rFonts w:hint="eastAsia" w:ascii="宋体" w:hAnsi="宋体" w:cs="宋体"/>
                <w:color w:val="auto"/>
                <w:szCs w:val="21"/>
                <w:highlight w:val="none"/>
              </w:rPr>
              <w:t>9、层站召唤自动登记</w:t>
            </w:r>
          </w:p>
          <w:p w14:paraId="4F7EE593">
            <w:pPr>
              <w:spacing w:line="360" w:lineRule="auto"/>
              <w:rPr>
                <w:rFonts w:ascii="宋体" w:hAnsi="宋体" w:cs="宋体"/>
                <w:color w:val="auto"/>
                <w:szCs w:val="21"/>
                <w:highlight w:val="none"/>
              </w:rPr>
            </w:pPr>
            <w:r>
              <w:rPr>
                <w:rFonts w:hint="eastAsia" w:ascii="宋体" w:hAnsi="宋体" w:cs="宋体"/>
                <w:color w:val="auto"/>
                <w:szCs w:val="21"/>
                <w:highlight w:val="none"/>
              </w:rPr>
              <w:t>10、层站微机异常处理</w:t>
            </w:r>
          </w:p>
          <w:p w14:paraId="4B619250">
            <w:pPr>
              <w:spacing w:line="360" w:lineRule="auto"/>
              <w:rPr>
                <w:rFonts w:ascii="宋体" w:hAnsi="宋体" w:cs="宋体"/>
                <w:color w:val="auto"/>
                <w:szCs w:val="21"/>
                <w:highlight w:val="none"/>
              </w:rPr>
            </w:pPr>
            <w:r>
              <w:rPr>
                <w:rFonts w:hint="eastAsia" w:ascii="宋体" w:hAnsi="宋体" w:cs="宋体"/>
                <w:color w:val="auto"/>
                <w:szCs w:val="21"/>
                <w:highlight w:val="none"/>
              </w:rPr>
              <w:t>11、层站运行控制开关</w:t>
            </w:r>
          </w:p>
          <w:p w14:paraId="592C729B">
            <w:pPr>
              <w:spacing w:line="360" w:lineRule="auto"/>
              <w:rPr>
                <w:rFonts w:ascii="宋体" w:hAnsi="宋体" w:cs="宋体"/>
                <w:color w:val="auto"/>
                <w:szCs w:val="21"/>
                <w:highlight w:val="none"/>
              </w:rPr>
            </w:pPr>
            <w:r>
              <w:rPr>
                <w:rFonts w:hint="eastAsia" w:ascii="宋体" w:hAnsi="宋体" w:cs="宋体"/>
                <w:color w:val="auto"/>
                <w:szCs w:val="21"/>
                <w:highlight w:val="none"/>
              </w:rPr>
              <w:t>12、轿内指令微动按钮</w:t>
            </w:r>
          </w:p>
          <w:p w14:paraId="7C418FD5">
            <w:pPr>
              <w:spacing w:line="360" w:lineRule="auto"/>
              <w:rPr>
                <w:rFonts w:ascii="宋体" w:hAnsi="宋体" w:cs="宋体"/>
                <w:color w:val="auto"/>
                <w:szCs w:val="21"/>
                <w:highlight w:val="none"/>
              </w:rPr>
            </w:pPr>
            <w:r>
              <w:rPr>
                <w:rFonts w:hint="eastAsia" w:ascii="宋体" w:hAnsi="宋体" w:cs="宋体"/>
                <w:color w:val="auto"/>
                <w:szCs w:val="21"/>
                <w:highlight w:val="none"/>
              </w:rPr>
              <w:t>13、轿内运行方向指示</w:t>
            </w:r>
          </w:p>
          <w:p w14:paraId="3BC24AF7">
            <w:pPr>
              <w:spacing w:line="360" w:lineRule="auto"/>
              <w:rPr>
                <w:rFonts w:ascii="宋体" w:hAnsi="宋体" w:cs="宋体"/>
                <w:color w:val="auto"/>
                <w:szCs w:val="21"/>
                <w:highlight w:val="none"/>
              </w:rPr>
            </w:pPr>
            <w:r>
              <w:rPr>
                <w:rFonts w:hint="eastAsia" w:ascii="宋体" w:hAnsi="宋体" w:cs="宋体"/>
                <w:color w:val="auto"/>
                <w:szCs w:val="21"/>
                <w:highlight w:val="none"/>
              </w:rPr>
              <w:t>14、上班高峰服务</w:t>
            </w:r>
          </w:p>
          <w:p w14:paraId="23EB64C4">
            <w:pPr>
              <w:spacing w:line="360" w:lineRule="auto"/>
              <w:rPr>
                <w:rFonts w:ascii="宋体" w:hAnsi="宋体" w:cs="宋体"/>
                <w:color w:val="auto"/>
                <w:szCs w:val="21"/>
                <w:highlight w:val="none"/>
              </w:rPr>
            </w:pPr>
            <w:r>
              <w:rPr>
                <w:rFonts w:hint="eastAsia" w:ascii="宋体" w:hAnsi="宋体" w:cs="宋体"/>
                <w:color w:val="auto"/>
                <w:szCs w:val="21"/>
                <w:highlight w:val="none"/>
              </w:rPr>
              <w:t>15、群控后备运行</w:t>
            </w:r>
          </w:p>
          <w:p w14:paraId="0D2108FC">
            <w:pPr>
              <w:spacing w:line="360" w:lineRule="auto"/>
              <w:rPr>
                <w:rFonts w:ascii="宋体" w:hAnsi="宋体" w:cs="宋体"/>
                <w:color w:val="auto"/>
                <w:szCs w:val="21"/>
                <w:highlight w:val="none"/>
              </w:rPr>
            </w:pPr>
            <w:r>
              <w:rPr>
                <w:rFonts w:hint="eastAsia" w:ascii="宋体" w:hAnsi="宋体" w:cs="宋体"/>
                <w:color w:val="auto"/>
                <w:szCs w:val="21"/>
                <w:highlight w:val="none"/>
              </w:rPr>
              <w:t>16、层站到站指示</w:t>
            </w:r>
          </w:p>
          <w:p w14:paraId="46EEEA81">
            <w:pPr>
              <w:spacing w:line="360" w:lineRule="auto"/>
              <w:rPr>
                <w:rFonts w:ascii="宋体" w:hAnsi="宋体" w:cs="宋体"/>
                <w:color w:val="auto"/>
                <w:szCs w:val="21"/>
                <w:highlight w:val="none"/>
              </w:rPr>
            </w:pPr>
            <w:r>
              <w:rPr>
                <w:rFonts w:hint="eastAsia" w:ascii="宋体" w:hAnsi="宋体" w:cs="宋体"/>
                <w:color w:val="auto"/>
                <w:szCs w:val="21"/>
                <w:highlight w:val="none"/>
              </w:rPr>
              <w:t>17、多方通话装置</w:t>
            </w:r>
          </w:p>
          <w:p w14:paraId="50D0AE12">
            <w:pPr>
              <w:spacing w:line="360" w:lineRule="auto"/>
              <w:rPr>
                <w:rFonts w:ascii="宋体" w:hAnsi="宋体" w:cs="宋体"/>
                <w:color w:val="auto"/>
                <w:szCs w:val="21"/>
                <w:highlight w:val="none"/>
              </w:rPr>
            </w:pPr>
            <w:r>
              <w:rPr>
                <w:rFonts w:hint="eastAsia" w:ascii="宋体" w:hAnsi="宋体" w:cs="宋体"/>
                <w:color w:val="auto"/>
                <w:szCs w:val="21"/>
                <w:highlight w:val="none"/>
              </w:rPr>
              <w:t>18、高加速度运行</w:t>
            </w:r>
          </w:p>
          <w:p w14:paraId="1236CAB2">
            <w:pPr>
              <w:spacing w:line="360" w:lineRule="auto"/>
              <w:rPr>
                <w:rFonts w:ascii="宋体" w:hAnsi="宋体" w:cs="宋体"/>
                <w:color w:val="auto"/>
                <w:szCs w:val="21"/>
                <w:highlight w:val="none"/>
              </w:rPr>
            </w:pPr>
            <w:r>
              <w:rPr>
                <w:rFonts w:hint="eastAsia" w:ascii="宋体" w:hAnsi="宋体" w:cs="宋体"/>
                <w:color w:val="auto"/>
                <w:szCs w:val="21"/>
                <w:highlight w:val="none"/>
              </w:rPr>
              <w:t>19、上电再平层</w:t>
            </w:r>
          </w:p>
          <w:p w14:paraId="77206438">
            <w:pPr>
              <w:spacing w:line="360" w:lineRule="auto"/>
              <w:rPr>
                <w:rFonts w:ascii="宋体" w:hAnsi="宋体" w:cs="宋体"/>
                <w:color w:val="auto"/>
                <w:szCs w:val="21"/>
                <w:highlight w:val="none"/>
              </w:rPr>
            </w:pPr>
            <w:r>
              <w:rPr>
                <w:rFonts w:hint="eastAsia" w:ascii="宋体" w:hAnsi="宋体" w:cs="宋体"/>
                <w:color w:val="auto"/>
                <w:szCs w:val="21"/>
                <w:highlight w:val="none"/>
              </w:rPr>
              <w:t>20、换向重开门</w:t>
            </w:r>
          </w:p>
          <w:p w14:paraId="73EE40C5">
            <w:pPr>
              <w:spacing w:line="360" w:lineRule="auto"/>
              <w:rPr>
                <w:rFonts w:ascii="宋体" w:hAnsi="宋体" w:cs="宋体"/>
                <w:color w:val="auto"/>
                <w:szCs w:val="21"/>
                <w:highlight w:val="none"/>
              </w:rPr>
            </w:pPr>
            <w:r>
              <w:rPr>
                <w:rFonts w:hint="eastAsia" w:ascii="宋体" w:hAnsi="宋体" w:cs="宋体"/>
                <w:color w:val="auto"/>
                <w:szCs w:val="21"/>
                <w:highlight w:val="none"/>
              </w:rPr>
              <w:t>21、门负载检测</w:t>
            </w:r>
          </w:p>
          <w:p w14:paraId="3FBB7D89">
            <w:pPr>
              <w:spacing w:line="360" w:lineRule="auto"/>
              <w:rPr>
                <w:rFonts w:ascii="宋体" w:hAnsi="宋体" w:cs="宋体"/>
                <w:color w:val="auto"/>
                <w:szCs w:val="21"/>
                <w:highlight w:val="none"/>
              </w:rPr>
            </w:pPr>
            <w:r>
              <w:rPr>
                <w:rFonts w:hint="eastAsia" w:ascii="宋体" w:hAnsi="宋体" w:cs="宋体"/>
                <w:color w:val="auto"/>
                <w:szCs w:val="21"/>
                <w:highlight w:val="none"/>
              </w:rPr>
              <w:t>22、本层再开门</w:t>
            </w:r>
          </w:p>
          <w:p w14:paraId="162C38C5">
            <w:pPr>
              <w:spacing w:line="360" w:lineRule="auto"/>
              <w:rPr>
                <w:rFonts w:ascii="宋体" w:hAnsi="宋体" w:cs="宋体"/>
                <w:color w:val="auto"/>
                <w:szCs w:val="21"/>
                <w:highlight w:val="none"/>
              </w:rPr>
            </w:pPr>
            <w:r>
              <w:rPr>
                <w:rFonts w:hint="eastAsia" w:ascii="宋体" w:hAnsi="宋体" w:cs="宋体"/>
                <w:color w:val="auto"/>
                <w:szCs w:val="21"/>
                <w:highlight w:val="none"/>
              </w:rPr>
              <w:t>23、群管理自我诊断</w:t>
            </w:r>
          </w:p>
          <w:p w14:paraId="64D9A8AB">
            <w:pPr>
              <w:spacing w:line="360" w:lineRule="auto"/>
              <w:rPr>
                <w:rFonts w:ascii="宋体" w:hAnsi="宋体" w:cs="宋体"/>
                <w:color w:val="auto"/>
                <w:szCs w:val="21"/>
                <w:highlight w:val="none"/>
              </w:rPr>
            </w:pPr>
            <w:r>
              <w:rPr>
                <w:rFonts w:hint="eastAsia" w:ascii="宋体" w:hAnsi="宋体" w:cs="宋体"/>
                <w:color w:val="auto"/>
                <w:szCs w:val="21"/>
                <w:highlight w:val="none"/>
              </w:rPr>
              <w:t>24、检修操作</w:t>
            </w:r>
          </w:p>
          <w:p w14:paraId="5B71A057">
            <w:pPr>
              <w:spacing w:line="360" w:lineRule="auto"/>
              <w:rPr>
                <w:rFonts w:ascii="宋体" w:hAnsi="宋体" w:cs="宋体"/>
                <w:color w:val="auto"/>
                <w:szCs w:val="21"/>
                <w:highlight w:val="none"/>
              </w:rPr>
            </w:pPr>
            <w:r>
              <w:rPr>
                <w:rFonts w:hint="eastAsia" w:ascii="宋体" w:hAnsi="宋体" w:cs="宋体"/>
                <w:color w:val="auto"/>
                <w:szCs w:val="21"/>
                <w:highlight w:val="none"/>
              </w:rPr>
              <w:t>25、称重启动</w:t>
            </w:r>
          </w:p>
          <w:p w14:paraId="0FC03366">
            <w:pPr>
              <w:spacing w:line="360" w:lineRule="auto"/>
              <w:rPr>
                <w:rFonts w:ascii="宋体" w:hAnsi="宋体" w:cs="宋体"/>
                <w:color w:val="auto"/>
                <w:szCs w:val="21"/>
                <w:highlight w:val="none"/>
              </w:rPr>
            </w:pPr>
            <w:r>
              <w:rPr>
                <w:rFonts w:hint="eastAsia" w:ascii="宋体" w:hAnsi="宋体" w:cs="宋体"/>
                <w:color w:val="auto"/>
                <w:szCs w:val="21"/>
                <w:highlight w:val="none"/>
              </w:rPr>
              <w:t>26、安全停靠</w:t>
            </w:r>
          </w:p>
          <w:p w14:paraId="4A9CC516">
            <w:pPr>
              <w:spacing w:line="360" w:lineRule="auto"/>
              <w:rPr>
                <w:rFonts w:ascii="宋体" w:hAnsi="宋体" w:cs="宋体"/>
                <w:color w:val="auto"/>
                <w:szCs w:val="21"/>
                <w:highlight w:val="none"/>
              </w:rPr>
            </w:pPr>
            <w:r>
              <w:rPr>
                <w:rFonts w:hint="eastAsia" w:ascii="宋体" w:hAnsi="宋体" w:cs="宋体"/>
                <w:color w:val="auto"/>
                <w:szCs w:val="21"/>
                <w:highlight w:val="none"/>
              </w:rPr>
              <w:t>27、轿内FE运行指示</w:t>
            </w:r>
          </w:p>
          <w:p w14:paraId="433470BB">
            <w:pPr>
              <w:spacing w:line="360" w:lineRule="auto"/>
              <w:rPr>
                <w:rFonts w:ascii="宋体" w:hAnsi="宋体" w:cs="宋体"/>
                <w:color w:val="auto"/>
                <w:szCs w:val="21"/>
                <w:highlight w:val="none"/>
              </w:rPr>
            </w:pPr>
            <w:r>
              <w:rPr>
                <w:rFonts w:hint="eastAsia" w:ascii="宋体" w:hAnsi="宋体" w:cs="宋体"/>
                <w:color w:val="auto"/>
                <w:szCs w:val="21"/>
                <w:highlight w:val="none"/>
              </w:rPr>
              <w:t>28、层站召唤自动登记</w:t>
            </w:r>
          </w:p>
          <w:p w14:paraId="6C350957">
            <w:pPr>
              <w:spacing w:line="360" w:lineRule="auto"/>
              <w:rPr>
                <w:rFonts w:ascii="宋体" w:hAnsi="宋体" w:cs="宋体"/>
                <w:color w:val="auto"/>
                <w:szCs w:val="21"/>
                <w:highlight w:val="none"/>
              </w:rPr>
            </w:pPr>
            <w:r>
              <w:rPr>
                <w:rFonts w:hint="eastAsia" w:ascii="宋体" w:hAnsi="宋体" w:cs="宋体"/>
                <w:color w:val="auto"/>
                <w:szCs w:val="21"/>
                <w:highlight w:val="none"/>
              </w:rPr>
              <w:t>29、门传感器自诊断</w:t>
            </w:r>
          </w:p>
          <w:p w14:paraId="3CDB2A94">
            <w:pPr>
              <w:spacing w:line="360" w:lineRule="auto"/>
              <w:rPr>
                <w:rFonts w:ascii="宋体" w:hAnsi="宋体" w:cs="宋体"/>
                <w:color w:val="auto"/>
                <w:szCs w:val="21"/>
                <w:highlight w:val="none"/>
              </w:rPr>
            </w:pPr>
            <w:r>
              <w:rPr>
                <w:rFonts w:hint="eastAsia" w:ascii="宋体" w:hAnsi="宋体" w:cs="宋体"/>
                <w:color w:val="auto"/>
                <w:szCs w:val="21"/>
                <w:highlight w:val="none"/>
              </w:rPr>
              <w:t>30、门速自适应控制</w:t>
            </w:r>
          </w:p>
          <w:p w14:paraId="6F5FDA79">
            <w:pPr>
              <w:spacing w:line="360" w:lineRule="auto"/>
              <w:rPr>
                <w:rFonts w:ascii="宋体" w:hAnsi="宋体" w:cs="宋体"/>
                <w:color w:val="auto"/>
                <w:szCs w:val="21"/>
                <w:highlight w:val="none"/>
              </w:rPr>
            </w:pPr>
            <w:r>
              <w:rPr>
                <w:rFonts w:hint="eastAsia" w:ascii="宋体" w:hAnsi="宋体" w:cs="宋体"/>
                <w:color w:val="auto"/>
                <w:szCs w:val="21"/>
                <w:highlight w:val="none"/>
              </w:rPr>
              <w:t>31、多光幕门探测器</w:t>
            </w:r>
          </w:p>
          <w:p w14:paraId="365B9F28">
            <w:pPr>
              <w:spacing w:line="360" w:lineRule="auto"/>
              <w:rPr>
                <w:rFonts w:ascii="宋体" w:hAnsi="宋体" w:cs="宋体"/>
                <w:color w:val="auto"/>
                <w:szCs w:val="21"/>
                <w:highlight w:val="none"/>
              </w:rPr>
            </w:pPr>
            <w:r>
              <w:rPr>
                <w:rFonts w:hint="eastAsia" w:ascii="宋体" w:hAnsi="宋体" w:cs="宋体"/>
                <w:color w:val="auto"/>
                <w:szCs w:val="21"/>
                <w:highlight w:val="none"/>
              </w:rPr>
              <w:t>32、动态规则集优化</w:t>
            </w:r>
          </w:p>
          <w:p w14:paraId="032EA11A">
            <w:pPr>
              <w:spacing w:line="360" w:lineRule="auto"/>
              <w:rPr>
                <w:rFonts w:ascii="宋体" w:hAnsi="宋体" w:cs="宋体"/>
                <w:color w:val="auto"/>
                <w:szCs w:val="21"/>
                <w:highlight w:val="none"/>
              </w:rPr>
            </w:pPr>
            <w:r>
              <w:rPr>
                <w:rFonts w:hint="eastAsia" w:ascii="宋体" w:hAnsi="宋体" w:cs="宋体"/>
                <w:color w:val="auto"/>
                <w:szCs w:val="21"/>
                <w:highlight w:val="none"/>
              </w:rPr>
              <w:t>33、电梯不启动报警</w:t>
            </w:r>
          </w:p>
          <w:p w14:paraId="5D5D664A">
            <w:pPr>
              <w:spacing w:line="360" w:lineRule="auto"/>
              <w:rPr>
                <w:rFonts w:ascii="宋体" w:hAnsi="宋体" w:cs="宋体"/>
                <w:color w:val="auto"/>
                <w:szCs w:val="21"/>
                <w:highlight w:val="none"/>
              </w:rPr>
            </w:pPr>
            <w:r>
              <w:rPr>
                <w:rFonts w:hint="eastAsia" w:ascii="宋体" w:hAnsi="宋体" w:cs="宋体"/>
                <w:color w:val="auto"/>
                <w:szCs w:val="21"/>
                <w:highlight w:val="none"/>
              </w:rPr>
              <w:t>34、关门力矩控制</w:t>
            </w:r>
          </w:p>
          <w:p w14:paraId="37E5A380">
            <w:pPr>
              <w:spacing w:line="360" w:lineRule="auto"/>
              <w:rPr>
                <w:rFonts w:ascii="宋体" w:hAnsi="宋体" w:cs="宋体"/>
                <w:color w:val="auto"/>
                <w:szCs w:val="21"/>
                <w:highlight w:val="none"/>
              </w:rPr>
            </w:pPr>
            <w:r>
              <w:rPr>
                <w:rFonts w:hint="eastAsia" w:ascii="宋体" w:hAnsi="宋体" w:cs="宋体"/>
                <w:color w:val="auto"/>
                <w:szCs w:val="21"/>
                <w:highlight w:val="none"/>
              </w:rPr>
              <w:t>35、开门受阻控制</w:t>
            </w:r>
          </w:p>
          <w:p w14:paraId="4F7B7DBE">
            <w:pPr>
              <w:spacing w:line="360" w:lineRule="auto"/>
              <w:rPr>
                <w:rFonts w:ascii="宋体" w:hAnsi="宋体" w:cs="宋体"/>
                <w:color w:val="auto"/>
                <w:szCs w:val="21"/>
                <w:highlight w:val="none"/>
              </w:rPr>
            </w:pPr>
            <w:r>
              <w:rPr>
                <w:rFonts w:hint="eastAsia" w:ascii="宋体" w:hAnsi="宋体" w:cs="宋体"/>
                <w:color w:val="auto"/>
                <w:szCs w:val="21"/>
                <w:highlight w:val="none"/>
              </w:rPr>
              <w:t>36、响铃强制关门</w:t>
            </w:r>
          </w:p>
          <w:p w14:paraId="4D1DF2CD">
            <w:pPr>
              <w:spacing w:line="360" w:lineRule="auto"/>
              <w:rPr>
                <w:rFonts w:ascii="宋体" w:hAnsi="宋体" w:cs="宋体"/>
                <w:color w:val="auto"/>
                <w:szCs w:val="21"/>
                <w:highlight w:val="none"/>
              </w:rPr>
            </w:pPr>
            <w:r>
              <w:rPr>
                <w:rFonts w:hint="eastAsia" w:ascii="宋体" w:hAnsi="宋体" w:cs="宋体"/>
                <w:color w:val="auto"/>
                <w:szCs w:val="21"/>
                <w:highlight w:val="none"/>
              </w:rPr>
              <w:t>37、电梯分配调整</w:t>
            </w:r>
          </w:p>
          <w:p w14:paraId="2A1B4DB0">
            <w:pPr>
              <w:spacing w:line="360" w:lineRule="auto"/>
              <w:rPr>
                <w:rFonts w:ascii="宋体" w:hAnsi="宋体" w:cs="宋体"/>
                <w:color w:val="auto"/>
                <w:szCs w:val="21"/>
                <w:highlight w:val="none"/>
              </w:rPr>
            </w:pPr>
            <w:r>
              <w:rPr>
                <w:rFonts w:hint="eastAsia" w:ascii="宋体" w:hAnsi="宋体" w:cs="宋体"/>
                <w:color w:val="auto"/>
                <w:szCs w:val="21"/>
                <w:highlight w:val="none"/>
              </w:rPr>
              <w:t>38、下班高峰服务</w:t>
            </w:r>
          </w:p>
          <w:p w14:paraId="6F0A00D5">
            <w:pPr>
              <w:spacing w:line="360" w:lineRule="auto"/>
              <w:rPr>
                <w:rFonts w:ascii="宋体" w:hAnsi="宋体" w:cs="宋体"/>
                <w:color w:val="auto"/>
                <w:szCs w:val="21"/>
                <w:highlight w:val="none"/>
              </w:rPr>
            </w:pPr>
            <w:r>
              <w:rPr>
                <w:rFonts w:hint="eastAsia" w:ascii="宋体" w:hAnsi="宋体" w:cs="宋体"/>
                <w:color w:val="auto"/>
                <w:szCs w:val="21"/>
                <w:highlight w:val="none"/>
              </w:rPr>
              <w:t>39、动态分散待机</w:t>
            </w:r>
          </w:p>
          <w:p w14:paraId="422CD799">
            <w:pPr>
              <w:spacing w:line="360" w:lineRule="auto"/>
              <w:rPr>
                <w:rFonts w:ascii="宋体" w:hAnsi="宋体" w:cs="宋体"/>
                <w:color w:val="auto"/>
                <w:szCs w:val="21"/>
                <w:highlight w:val="none"/>
              </w:rPr>
            </w:pPr>
            <w:r>
              <w:rPr>
                <w:rFonts w:hint="eastAsia" w:ascii="宋体" w:hAnsi="宋体" w:cs="宋体"/>
                <w:color w:val="auto"/>
                <w:szCs w:val="21"/>
                <w:highlight w:val="none"/>
              </w:rPr>
              <w:t>40、停层开门</w:t>
            </w:r>
          </w:p>
          <w:p w14:paraId="313C0EF5">
            <w:pPr>
              <w:spacing w:line="360" w:lineRule="auto"/>
              <w:rPr>
                <w:rFonts w:ascii="宋体" w:hAnsi="宋体" w:cs="宋体"/>
                <w:color w:val="auto"/>
                <w:szCs w:val="21"/>
                <w:highlight w:val="none"/>
              </w:rPr>
            </w:pPr>
            <w:r>
              <w:rPr>
                <w:rFonts w:hint="eastAsia" w:ascii="宋体" w:hAnsi="宋体" w:cs="宋体"/>
                <w:color w:val="auto"/>
                <w:szCs w:val="21"/>
                <w:highlight w:val="none"/>
              </w:rPr>
              <w:t>41、关门保护</w:t>
            </w:r>
          </w:p>
          <w:p w14:paraId="6F94BE50">
            <w:pPr>
              <w:spacing w:line="360" w:lineRule="auto"/>
              <w:rPr>
                <w:rFonts w:ascii="宋体" w:hAnsi="宋体" w:cs="宋体"/>
                <w:color w:val="auto"/>
                <w:szCs w:val="21"/>
                <w:highlight w:val="none"/>
              </w:rPr>
            </w:pPr>
            <w:r>
              <w:rPr>
                <w:rFonts w:hint="eastAsia" w:ascii="宋体" w:hAnsi="宋体" w:cs="宋体"/>
                <w:color w:val="auto"/>
                <w:szCs w:val="21"/>
                <w:highlight w:val="none"/>
              </w:rPr>
              <w:t>42、即时关门</w:t>
            </w:r>
          </w:p>
          <w:p w14:paraId="266F4334">
            <w:pPr>
              <w:spacing w:line="360" w:lineRule="auto"/>
              <w:rPr>
                <w:rFonts w:ascii="宋体" w:hAnsi="宋体" w:cs="宋体"/>
                <w:color w:val="auto"/>
                <w:szCs w:val="21"/>
                <w:highlight w:val="none"/>
              </w:rPr>
            </w:pPr>
            <w:r>
              <w:rPr>
                <w:rFonts w:hint="eastAsia" w:ascii="宋体" w:hAnsi="宋体" w:cs="宋体"/>
                <w:color w:val="auto"/>
                <w:szCs w:val="21"/>
                <w:highlight w:val="none"/>
              </w:rPr>
              <w:t>43、重复关门</w:t>
            </w:r>
          </w:p>
          <w:p w14:paraId="36909C57">
            <w:pPr>
              <w:spacing w:line="360" w:lineRule="auto"/>
              <w:rPr>
                <w:rFonts w:ascii="宋体" w:hAnsi="宋体" w:cs="宋体"/>
                <w:color w:val="auto"/>
                <w:szCs w:val="21"/>
                <w:highlight w:val="none"/>
              </w:rPr>
            </w:pPr>
            <w:r>
              <w:rPr>
                <w:rFonts w:hint="eastAsia" w:ascii="宋体" w:hAnsi="宋体" w:cs="宋体"/>
                <w:color w:val="auto"/>
                <w:szCs w:val="21"/>
                <w:highlight w:val="none"/>
              </w:rPr>
              <w:t>44、消防迫降</w:t>
            </w:r>
          </w:p>
          <w:p w14:paraId="6E0D7265">
            <w:pPr>
              <w:spacing w:line="360" w:lineRule="auto"/>
              <w:rPr>
                <w:rFonts w:ascii="宋体" w:hAnsi="宋体" w:cs="宋体"/>
                <w:color w:val="auto"/>
                <w:szCs w:val="21"/>
                <w:highlight w:val="none"/>
              </w:rPr>
            </w:pPr>
            <w:r>
              <w:rPr>
                <w:rFonts w:hint="eastAsia" w:ascii="宋体" w:hAnsi="宋体" w:cs="宋体"/>
                <w:color w:val="auto"/>
                <w:szCs w:val="21"/>
                <w:highlight w:val="none"/>
              </w:rPr>
              <w:t>45、学习功能</w:t>
            </w:r>
          </w:p>
          <w:p w14:paraId="118C5E12">
            <w:pPr>
              <w:spacing w:line="360" w:lineRule="auto"/>
              <w:rPr>
                <w:rFonts w:ascii="宋体" w:hAnsi="宋体" w:cs="宋体"/>
                <w:color w:val="auto"/>
                <w:szCs w:val="21"/>
                <w:highlight w:val="none"/>
              </w:rPr>
            </w:pPr>
            <w:r>
              <w:rPr>
                <w:rFonts w:hint="eastAsia" w:ascii="宋体" w:hAnsi="宋体" w:cs="宋体"/>
                <w:color w:val="auto"/>
                <w:szCs w:val="21"/>
                <w:highlight w:val="none"/>
              </w:rPr>
              <w:t>46、连续服务</w:t>
            </w:r>
          </w:p>
          <w:p w14:paraId="07551519">
            <w:pPr>
              <w:spacing w:line="360" w:lineRule="auto"/>
              <w:rPr>
                <w:rFonts w:ascii="宋体" w:hAnsi="宋体" w:cs="宋体"/>
                <w:color w:val="auto"/>
                <w:szCs w:val="21"/>
                <w:highlight w:val="none"/>
              </w:rPr>
            </w:pPr>
            <w:r>
              <w:rPr>
                <w:rFonts w:hint="eastAsia" w:ascii="宋体" w:hAnsi="宋体" w:cs="宋体"/>
                <w:color w:val="auto"/>
                <w:szCs w:val="21"/>
                <w:highlight w:val="none"/>
              </w:rPr>
              <w:t>47、独立运行</w:t>
            </w:r>
          </w:p>
          <w:p w14:paraId="785B092D">
            <w:pPr>
              <w:spacing w:line="360" w:lineRule="auto"/>
              <w:rPr>
                <w:rFonts w:ascii="宋体" w:hAnsi="宋体" w:cs="宋体"/>
                <w:color w:val="auto"/>
                <w:szCs w:val="21"/>
                <w:highlight w:val="none"/>
              </w:rPr>
            </w:pPr>
            <w:r>
              <w:rPr>
                <w:rFonts w:hint="eastAsia" w:ascii="宋体" w:hAnsi="宋体" w:cs="宋体"/>
                <w:color w:val="auto"/>
                <w:szCs w:val="21"/>
                <w:highlight w:val="none"/>
              </w:rPr>
              <w:t>48、次层停靠</w:t>
            </w:r>
          </w:p>
          <w:p w14:paraId="3CA7BA30">
            <w:pPr>
              <w:spacing w:line="360" w:lineRule="auto"/>
              <w:rPr>
                <w:rFonts w:ascii="宋体" w:hAnsi="宋体" w:cs="宋体"/>
                <w:color w:val="auto"/>
                <w:szCs w:val="21"/>
                <w:highlight w:val="none"/>
              </w:rPr>
            </w:pPr>
            <w:r>
              <w:rPr>
                <w:rFonts w:hint="eastAsia" w:ascii="宋体" w:hAnsi="宋体" w:cs="宋体"/>
                <w:color w:val="auto"/>
                <w:szCs w:val="21"/>
                <w:highlight w:val="none"/>
              </w:rPr>
              <w:t>49、超载报警</w:t>
            </w:r>
          </w:p>
          <w:p w14:paraId="0DE9BF9F">
            <w:pPr>
              <w:spacing w:line="360" w:lineRule="auto"/>
              <w:rPr>
                <w:rFonts w:ascii="宋体" w:hAnsi="宋体" w:cs="宋体"/>
                <w:color w:val="auto"/>
                <w:szCs w:val="21"/>
                <w:highlight w:val="none"/>
              </w:rPr>
            </w:pPr>
            <w:r>
              <w:rPr>
                <w:rFonts w:hint="eastAsia" w:ascii="宋体" w:hAnsi="宋体" w:cs="宋体"/>
                <w:color w:val="auto"/>
                <w:szCs w:val="21"/>
                <w:highlight w:val="none"/>
              </w:rPr>
              <w:t>50、电子看门人</w:t>
            </w:r>
          </w:p>
          <w:p w14:paraId="7028B252">
            <w:pPr>
              <w:spacing w:line="360" w:lineRule="auto"/>
              <w:rPr>
                <w:rFonts w:ascii="宋体" w:hAnsi="宋体" w:cs="宋体"/>
                <w:color w:val="auto"/>
                <w:szCs w:val="21"/>
                <w:highlight w:val="none"/>
              </w:rPr>
            </w:pPr>
            <w:r>
              <w:rPr>
                <w:rFonts w:hint="eastAsia" w:ascii="宋体" w:hAnsi="宋体" w:cs="宋体"/>
                <w:color w:val="auto"/>
                <w:szCs w:val="21"/>
                <w:highlight w:val="none"/>
              </w:rPr>
              <w:t>51、轿厢配置空调</w:t>
            </w:r>
          </w:p>
          <w:p w14:paraId="43D8BFF0">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52、快速绿色通道</w:t>
            </w:r>
          </w:p>
          <w:p w14:paraId="16643A40">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53、能量回馈功能</w:t>
            </w:r>
          </w:p>
          <w:p w14:paraId="5E9DB9C2">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54、司机操作功能</w:t>
            </w:r>
          </w:p>
          <w:p w14:paraId="58999958">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五、装饰材质要求：</w:t>
            </w:r>
          </w:p>
          <w:p w14:paraId="44C86EE6">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1、轿厢壁：SUS304发纹不锈钢，厚度≥1</w:t>
            </w:r>
            <w:r>
              <w:rPr>
                <w:rFonts w:ascii="宋体" w:hAnsi="宋体" w:cs="宋体"/>
                <w:color w:val="auto"/>
                <w:szCs w:val="21"/>
                <w:highlight w:val="none"/>
              </w:rPr>
              <w:t>.</w:t>
            </w:r>
            <w:r>
              <w:rPr>
                <w:rFonts w:hint="eastAsia" w:ascii="宋体" w:hAnsi="宋体" w:cs="宋体"/>
                <w:color w:val="auto"/>
                <w:szCs w:val="21"/>
                <w:highlight w:val="none"/>
              </w:rPr>
              <w:t>5</w:t>
            </w:r>
            <w:r>
              <w:rPr>
                <w:rFonts w:ascii="宋体" w:hAnsi="宋体" w:cs="宋体"/>
                <w:color w:val="auto"/>
                <w:szCs w:val="21"/>
                <w:highlight w:val="none"/>
              </w:rPr>
              <w:t>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7321934A">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2、轿门：SUS304发纹不锈钢，厚度≥1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60DAE282">
            <w:pPr>
              <w:spacing w:line="360" w:lineRule="auto"/>
              <w:rPr>
                <w:rFonts w:ascii="宋体" w:hAnsi="宋体" w:cs="宋体"/>
                <w:color w:val="auto"/>
                <w:szCs w:val="21"/>
                <w:highlight w:val="none"/>
              </w:rPr>
            </w:pPr>
            <w:r>
              <w:rPr>
                <w:rFonts w:hint="eastAsia" w:ascii="宋体" w:hAnsi="宋体" w:cs="宋体"/>
                <w:color w:val="auto"/>
                <w:szCs w:val="21"/>
                <w:highlight w:val="none"/>
              </w:rPr>
              <w:t>3、轿顶：豪华轿顶。</w:t>
            </w:r>
          </w:p>
          <w:p w14:paraId="4AFA6F3B">
            <w:pPr>
              <w:spacing w:line="360" w:lineRule="auto"/>
              <w:rPr>
                <w:rFonts w:ascii="宋体" w:hAnsi="宋体" w:cs="宋体"/>
                <w:color w:val="auto"/>
                <w:szCs w:val="21"/>
                <w:highlight w:val="none"/>
              </w:rPr>
            </w:pPr>
            <w:r>
              <w:rPr>
                <w:rFonts w:hint="eastAsia" w:ascii="宋体" w:hAnsi="宋体" w:cs="宋体"/>
                <w:color w:val="auto"/>
                <w:szCs w:val="21"/>
                <w:highlight w:val="none"/>
              </w:rPr>
              <w:t>4、轿厢地面：大理石地板。</w:t>
            </w:r>
          </w:p>
          <w:p w14:paraId="5AA35DF5">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5、层门：所有层SUS304发纹不锈钢，厚度≥1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22E85753">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6、门套：所有层SUS304发纹不锈钢小门套。</w:t>
            </w:r>
          </w:p>
          <w:p w14:paraId="5C73531E">
            <w:pPr>
              <w:spacing w:line="360" w:lineRule="auto"/>
              <w:rPr>
                <w:rFonts w:ascii="宋体" w:hAnsi="宋体" w:cs="宋体"/>
                <w:color w:val="auto"/>
                <w:szCs w:val="21"/>
                <w:highlight w:val="none"/>
              </w:rPr>
            </w:pPr>
            <w:r>
              <w:rPr>
                <w:rFonts w:hint="eastAsia" w:ascii="宋体" w:hAnsi="宋体" w:cs="宋体"/>
                <w:color w:val="auto"/>
                <w:szCs w:val="21"/>
                <w:highlight w:val="none"/>
              </w:rPr>
              <w:t>7、轿厢操纵箱：10.4英寸液晶显示屏,发纹不锈钢面板，发纹不锈钢按钮触摸屏操纵箱。</w:t>
            </w:r>
          </w:p>
          <w:p w14:paraId="78258D95">
            <w:pPr>
              <w:pStyle w:val="51"/>
              <w:spacing w:line="360" w:lineRule="auto"/>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rPr>
              <w:t>8、厅外召唤箱：液晶显示板，发纹不锈钢面板，发纹不锈钢按钮。</w:t>
            </w:r>
          </w:p>
        </w:tc>
      </w:tr>
      <w:tr w14:paraId="1970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2" w:type="dxa"/>
            <w:vAlign w:val="center"/>
          </w:tcPr>
          <w:p w14:paraId="408B13A4">
            <w:pPr>
              <w:pStyle w:val="103"/>
              <w:spacing w:before="0" w:after="0" w:line="360" w:lineRule="auto"/>
              <w:jc w:val="center"/>
              <w:rPr>
                <w:rFonts w:ascii="宋体" w:hAnsi="宋体" w:cs="宋体"/>
                <w:color w:val="auto"/>
                <w:szCs w:val="21"/>
                <w:highlight w:val="none"/>
              </w:rPr>
            </w:pPr>
            <w:r>
              <w:rPr>
                <w:rFonts w:hint="eastAsia" w:ascii="宋体" w:hAnsi="宋体" w:cs="宋体"/>
                <w:bCs w:val="0"/>
                <w:color w:val="auto"/>
                <w:spacing w:val="0"/>
                <w:sz w:val="21"/>
                <w:szCs w:val="21"/>
                <w:highlight w:val="none"/>
              </w:rPr>
              <w:t>2</w:t>
            </w:r>
          </w:p>
        </w:tc>
        <w:tc>
          <w:tcPr>
            <w:tcW w:w="1488" w:type="dxa"/>
            <w:gridSpan w:val="2"/>
            <w:vAlign w:val="center"/>
          </w:tcPr>
          <w:p w14:paraId="44140E1D">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乘客电梯</w:t>
            </w:r>
          </w:p>
          <w:p w14:paraId="37EB15C0">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（DT2-DT3）</w:t>
            </w:r>
          </w:p>
        </w:tc>
        <w:tc>
          <w:tcPr>
            <w:tcW w:w="485" w:type="dxa"/>
            <w:vAlign w:val="center"/>
          </w:tcPr>
          <w:p w14:paraId="4CFB176C">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565" w:type="dxa"/>
            <w:vAlign w:val="center"/>
          </w:tcPr>
          <w:p w14:paraId="1C1F39E2">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部</w:t>
            </w:r>
          </w:p>
        </w:tc>
        <w:tc>
          <w:tcPr>
            <w:tcW w:w="6935" w:type="dxa"/>
            <w:vAlign w:val="center"/>
          </w:tcPr>
          <w:p w14:paraId="65EBEA82">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一、技术规格参数要求</w:t>
            </w:r>
          </w:p>
          <w:p w14:paraId="3404CEB0">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w:t>
            </w:r>
            <w:r>
              <w:rPr>
                <w:rFonts w:hint="eastAsia" w:ascii="宋体" w:hAnsi="宋体" w:cs="宋体"/>
                <w:b/>
                <w:bCs/>
                <w:color w:val="auto"/>
                <w:szCs w:val="21"/>
                <w:highlight w:val="none"/>
              </w:rPr>
              <w:t>额定载重量：≥1350kg</w:t>
            </w:r>
            <w:r>
              <w:rPr>
                <w:rFonts w:hint="eastAsia" w:ascii="宋体" w:hAnsi="宋体" w:cs="宋体"/>
                <w:color w:val="auto"/>
                <w:szCs w:val="21"/>
                <w:highlight w:val="none"/>
              </w:rPr>
              <w:t>；（</w:t>
            </w:r>
            <w:r>
              <w:rPr>
                <w:rFonts w:hint="eastAsia"/>
                <w:b/>
                <w:bCs/>
                <w:color w:val="auto"/>
                <w:highlight w:val="none"/>
              </w:rPr>
              <w:t>投标时须提供承诺函或制造商的证明材料，并加盖投标人公章</w:t>
            </w:r>
            <w:r>
              <w:rPr>
                <w:rFonts w:hint="eastAsia" w:ascii="宋体" w:hAnsi="宋体" w:cs="宋体"/>
                <w:color w:val="auto"/>
                <w:szCs w:val="21"/>
                <w:highlight w:val="none"/>
              </w:rPr>
              <w:t>）</w:t>
            </w:r>
          </w:p>
          <w:p w14:paraId="5B09351C">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w:t>
            </w:r>
            <w:r>
              <w:rPr>
                <w:rFonts w:hint="eastAsia" w:ascii="宋体" w:hAnsi="宋体" w:cs="宋体"/>
                <w:b/>
                <w:bCs/>
                <w:color w:val="auto"/>
                <w:szCs w:val="21"/>
                <w:highlight w:val="none"/>
              </w:rPr>
              <w:t>额定速度：≥2.0m/s</w:t>
            </w:r>
            <w:r>
              <w:rPr>
                <w:rFonts w:hint="eastAsia" w:ascii="宋体" w:hAnsi="宋体" w:cs="宋体"/>
                <w:color w:val="auto"/>
                <w:szCs w:val="21"/>
                <w:highlight w:val="none"/>
              </w:rPr>
              <w:t xml:space="preserve">； </w:t>
            </w:r>
          </w:p>
          <w:p w14:paraId="03687520">
            <w:pPr>
              <w:spacing w:line="360" w:lineRule="auto"/>
              <w:rPr>
                <w:rFonts w:ascii="宋体" w:hAnsi="宋体" w:cs="宋体"/>
                <w:color w:val="auto"/>
                <w:szCs w:val="21"/>
                <w:highlight w:val="none"/>
              </w:rPr>
            </w:pPr>
            <w:r>
              <w:rPr>
                <w:rFonts w:hint="eastAsia" w:ascii="宋体" w:hAnsi="宋体" w:cs="宋体"/>
                <w:b/>
                <w:bCs/>
                <w:color w:val="auto"/>
                <w:szCs w:val="21"/>
                <w:highlight w:val="none"/>
              </w:rPr>
              <w:t>3、层/站/门：27/27/27</w:t>
            </w:r>
            <w:r>
              <w:rPr>
                <w:rFonts w:hint="eastAsia" w:ascii="宋体" w:hAnsi="宋体" w:cs="宋体"/>
                <w:color w:val="auto"/>
                <w:szCs w:val="21"/>
                <w:highlight w:val="none"/>
              </w:rPr>
              <w:t>；</w:t>
            </w:r>
          </w:p>
          <w:p w14:paraId="5E1A353A">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4、轿厢净尺寸(宽×深×高):≥</w:t>
            </w:r>
            <w:r>
              <w:rPr>
                <w:rFonts w:hint="eastAsia" w:ascii="宋体" w:hAnsi="宋体" w:cs="宋体"/>
                <w:b/>
                <w:bCs/>
                <w:color w:val="auto"/>
                <w:szCs w:val="21"/>
                <w:highlight w:val="none"/>
              </w:rPr>
              <w:t>1800×1500×2400mm</w:t>
            </w:r>
            <w:r>
              <w:rPr>
                <w:rFonts w:hint="eastAsia" w:ascii="宋体" w:hAnsi="宋体" w:cs="宋体"/>
                <w:color w:val="auto"/>
                <w:szCs w:val="21"/>
                <w:highlight w:val="none"/>
              </w:rPr>
              <w:t>；（</w:t>
            </w:r>
            <w:r>
              <w:rPr>
                <w:rFonts w:hint="eastAsia"/>
                <w:color w:val="auto"/>
                <w:highlight w:val="none"/>
              </w:rPr>
              <w:t>投标时请提供承诺函或制造商的证明材料，并加盖投标人公章</w:t>
            </w:r>
            <w:r>
              <w:rPr>
                <w:rFonts w:hint="eastAsia" w:ascii="宋体" w:hAnsi="宋体" w:cs="宋体"/>
                <w:color w:val="auto"/>
                <w:szCs w:val="21"/>
                <w:highlight w:val="none"/>
              </w:rPr>
              <w:t>）</w:t>
            </w:r>
          </w:p>
          <w:p w14:paraId="6199F6F3">
            <w:pPr>
              <w:spacing w:line="360" w:lineRule="auto"/>
              <w:rPr>
                <w:rFonts w:ascii="宋体" w:hAnsi="宋体" w:cs="宋体"/>
                <w:color w:val="auto"/>
                <w:szCs w:val="21"/>
                <w:highlight w:val="none"/>
              </w:rPr>
            </w:pPr>
            <w:r>
              <w:rPr>
                <w:rFonts w:hint="eastAsia" w:ascii="宋体" w:hAnsi="宋体" w:cs="宋体"/>
                <w:color w:val="auto"/>
                <w:szCs w:val="21"/>
                <w:highlight w:val="none"/>
              </w:rPr>
              <w:t>5、井道净尺寸(宽×深)：2200mm×2200mm；(按现场实际尺寸设计)；</w:t>
            </w:r>
          </w:p>
          <w:p w14:paraId="442D51ED">
            <w:pPr>
              <w:spacing w:line="360" w:lineRule="auto"/>
              <w:rPr>
                <w:rFonts w:ascii="宋体" w:hAnsi="宋体" w:cs="宋体"/>
                <w:color w:val="auto"/>
                <w:szCs w:val="21"/>
                <w:highlight w:val="none"/>
              </w:rPr>
            </w:pPr>
            <w:r>
              <w:rPr>
                <w:rFonts w:hint="eastAsia" w:ascii="宋体" w:hAnsi="宋体" w:cs="宋体"/>
                <w:color w:val="auto"/>
                <w:szCs w:val="21"/>
                <w:highlight w:val="none"/>
              </w:rPr>
              <w:t>6、顶层净高：4600mm(按现场实际尺寸设计)；</w:t>
            </w:r>
          </w:p>
          <w:p w14:paraId="2C6668AD">
            <w:pPr>
              <w:spacing w:line="360" w:lineRule="auto"/>
              <w:rPr>
                <w:rFonts w:ascii="宋体" w:hAnsi="宋体" w:cs="宋体"/>
                <w:color w:val="auto"/>
                <w:szCs w:val="21"/>
                <w:highlight w:val="none"/>
              </w:rPr>
            </w:pPr>
            <w:r>
              <w:rPr>
                <w:rFonts w:hint="eastAsia" w:ascii="宋体" w:hAnsi="宋体" w:cs="宋体"/>
                <w:color w:val="auto"/>
                <w:szCs w:val="21"/>
                <w:highlight w:val="none"/>
              </w:rPr>
              <w:t>7、底坑净深：1700mm(按现场实际尺寸设计)；</w:t>
            </w:r>
          </w:p>
          <w:p w14:paraId="66743DBE">
            <w:pPr>
              <w:spacing w:line="360" w:lineRule="auto"/>
              <w:rPr>
                <w:rFonts w:ascii="宋体" w:hAnsi="宋体" w:cs="宋体"/>
                <w:color w:val="auto"/>
                <w:szCs w:val="21"/>
                <w:highlight w:val="none"/>
              </w:rPr>
            </w:pPr>
            <w:r>
              <w:rPr>
                <w:rFonts w:hint="eastAsia" w:ascii="宋体" w:hAnsi="宋体" w:cs="宋体"/>
                <w:color w:val="auto"/>
                <w:szCs w:val="21"/>
                <w:highlight w:val="none"/>
              </w:rPr>
              <w:t>8、开门尺寸：900mm×2100mm；</w:t>
            </w:r>
          </w:p>
          <w:p w14:paraId="3DBE409C">
            <w:pPr>
              <w:spacing w:line="360" w:lineRule="auto"/>
              <w:rPr>
                <w:rFonts w:ascii="宋体" w:hAnsi="宋体" w:cs="宋体"/>
                <w:color w:val="auto"/>
                <w:szCs w:val="21"/>
                <w:highlight w:val="none"/>
              </w:rPr>
            </w:pPr>
            <w:r>
              <w:rPr>
                <w:rFonts w:hint="eastAsia" w:ascii="宋体" w:hAnsi="宋体" w:cs="宋体"/>
                <w:color w:val="auto"/>
                <w:szCs w:val="21"/>
                <w:highlight w:val="none"/>
              </w:rPr>
              <w:t>9、开门方式：中分门；</w:t>
            </w:r>
          </w:p>
          <w:p w14:paraId="206ADE57">
            <w:pPr>
              <w:spacing w:line="360" w:lineRule="auto"/>
              <w:rPr>
                <w:rFonts w:ascii="宋体" w:hAnsi="宋体" w:cs="宋体"/>
                <w:color w:val="auto"/>
                <w:szCs w:val="21"/>
                <w:highlight w:val="none"/>
              </w:rPr>
            </w:pPr>
            <w:r>
              <w:rPr>
                <w:rFonts w:hint="eastAsia" w:ascii="宋体" w:hAnsi="宋体" w:cs="宋体"/>
                <w:color w:val="auto"/>
                <w:szCs w:val="21"/>
                <w:highlight w:val="none"/>
              </w:rPr>
              <w:t>10、机房位置：井道顶部；</w:t>
            </w:r>
          </w:p>
          <w:p w14:paraId="38EB6EEB">
            <w:pPr>
              <w:spacing w:line="360" w:lineRule="auto"/>
              <w:rPr>
                <w:rFonts w:ascii="宋体" w:hAnsi="宋体" w:cs="宋体"/>
                <w:color w:val="auto"/>
                <w:szCs w:val="21"/>
                <w:highlight w:val="none"/>
              </w:rPr>
            </w:pPr>
            <w:r>
              <w:rPr>
                <w:rFonts w:hint="eastAsia" w:ascii="宋体" w:hAnsi="宋体" w:cs="宋体"/>
                <w:color w:val="auto"/>
                <w:szCs w:val="21"/>
                <w:highlight w:val="none"/>
              </w:rPr>
              <w:t>11、供电方式：三相五线制；动力电源：AC380V±10%，50Hz±1Hz；照明电源：AC220V±10%，50Hz±1Hz；</w:t>
            </w:r>
          </w:p>
          <w:p w14:paraId="3C32C5F0">
            <w:pPr>
              <w:pStyle w:val="34"/>
              <w:spacing w:line="360" w:lineRule="auto"/>
              <w:rPr>
                <w:rFonts w:ascii="宋体" w:hAnsi="宋体" w:cs="宋体"/>
                <w:color w:val="auto"/>
                <w:kern w:val="0"/>
                <w:sz w:val="21"/>
                <w:szCs w:val="21"/>
                <w:highlight w:val="none"/>
                <w:lang w:bidi="ar"/>
              </w:rPr>
            </w:pPr>
            <w:r>
              <w:rPr>
                <w:rFonts w:hint="eastAsia" w:ascii="宋体" w:hAnsi="宋体" w:cs="宋体"/>
                <w:color w:val="auto"/>
                <w:sz w:val="21"/>
                <w:szCs w:val="21"/>
                <w:highlight w:val="none"/>
              </w:rPr>
              <w:t>12、</w:t>
            </w:r>
            <w:r>
              <w:rPr>
                <w:rFonts w:hint="eastAsia" w:ascii="宋体" w:hAnsi="宋体" w:cs="宋体"/>
                <w:color w:val="auto"/>
                <w:kern w:val="0"/>
                <w:sz w:val="21"/>
                <w:szCs w:val="21"/>
                <w:highlight w:val="none"/>
                <w:lang w:bidi="ar"/>
              </w:rPr>
              <w:t>控制模式：群控；</w:t>
            </w:r>
          </w:p>
          <w:p w14:paraId="55DAF365">
            <w:pPr>
              <w:pStyle w:val="34"/>
              <w:spacing w:line="360" w:lineRule="auto"/>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13、</w:t>
            </w:r>
            <w:r>
              <w:rPr>
                <w:rFonts w:hint="eastAsia" w:ascii="宋体" w:hAnsi="宋体" w:cs="宋体"/>
                <w:color w:val="auto"/>
                <w:sz w:val="21"/>
                <w:szCs w:val="21"/>
                <w:highlight w:val="none"/>
              </w:rPr>
              <w:t>底坑悬空需配置对重安全钳。</w:t>
            </w:r>
          </w:p>
          <w:p w14:paraId="0B96B9DF">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二、技术要求：</w:t>
            </w:r>
          </w:p>
          <w:p w14:paraId="74E7A555">
            <w:pPr>
              <w:spacing w:line="360" w:lineRule="auto"/>
              <w:rPr>
                <w:rFonts w:ascii="宋体" w:hAnsi="宋体" w:cs="宋体"/>
                <w:color w:val="auto"/>
                <w:szCs w:val="21"/>
                <w:highlight w:val="none"/>
              </w:rPr>
            </w:pPr>
            <w:r>
              <w:rPr>
                <w:rFonts w:hint="eastAsia" w:ascii="宋体" w:hAnsi="宋体" w:cs="宋体"/>
                <w:color w:val="auto"/>
                <w:szCs w:val="21"/>
                <w:highlight w:val="none"/>
              </w:rPr>
              <w:t>1、控制系统：32 位微机处理器，采用模块化全电脑控制。</w:t>
            </w:r>
          </w:p>
          <w:p w14:paraId="23A505CD">
            <w:pPr>
              <w:spacing w:line="360" w:lineRule="auto"/>
              <w:rPr>
                <w:rFonts w:ascii="宋体" w:hAnsi="宋体" w:cs="宋体"/>
                <w:color w:val="auto"/>
                <w:szCs w:val="21"/>
                <w:highlight w:val="none"/>
              </w:rPr>
            </w:pPr>
            <w:r>
              <w:rPr>
                <w:rFonts w:hint="eastAsia" w:ascii="宋体" w:hAnsi="宋体" w:cs="宋体"/>
                <w:color w:val="auto"/>
                <w:szCs w:val="21"/>
                <w:highlight w:val="none"/>
              </w:rPr>
              <w:t>2、变频系统：采用双32 位新型、高性能的DSP，双微机控制分别负责位置控制及逆变控制，调速装置为投标本品牌制造。</w:t>
            </w:r>
          </w:p>
          <w:p w14:paraId="238D4470">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3、曳引机：永磁同步主机，曳引机制动器</w:t>
            </w:r>
            <w:r>
              <w:rPr>
                <w:rFonts w:hint="eastAsia" w:ascii="宋体" w:hAnsi="宋体"/>
                <w:color w:val="auto"/>
                <w:highlight w:val="none"/>
              </w:rPr>
              <w:t>采用</w:t>
            </w:r>
            <w:r>
              <w:rPr>
                <w:rFonts w:hint="eastAsia" w:ascii="宋体" w:hAnsi="宋体"/>
                <w:color w:val="auto"/>
                <w:highlight w:val="none"/>
                <w:lang w:eastAsia="zh-CN"/>
              </w:rPr>
              <w:t>碟式、</w:t>
            </w:r>
            <w:r>
              <w:rPr>
                <w:rFonts w:hint="eastAsia" w:ascii="宋体" w:hAnsi="宋体"/>
                <w:color w:val="auto"/>
                <w:highlight w:val="none"/>
              </w:rPr>
              <w:t>内扩块式</w:t>
            </w:r>
            <w:r>
              <w:rPr>
                <w:rFonts w:hint="eastAsia" w:ascii="宋体" w:hAnsi="宋体"/>
                <w:color w:val="auto"/>
                <w:highlight w:val="none"/>
                <w:lang w:eastAsia="zh-CN"/>
              </w:rPr>
              <w:t>等结构形式</w:t>
            </w:r>
            <w:r>
              <w:rPr>
                <w:rFonts w:hint="eastAsia" w:ascii="宋体" w:hAnsi="宋体"/>
                <w:color w:val="auto"/>
                <w:highlight w:val="none"/>
              </w:rPr>
              <w:t>，驱动主机制动力矩≥</w:t>
            </w:r>
            <w:r>
              <w:rPr>
                <w:rFonts w:hint="eastAsia"/>
                <w:color w:val="auto"/>
                <w:highlight w:val="none"/>
              </w:rPr>
              <w:t>8</w:t>
            </w:r>
            <w:r>
              <w:rPr>
                <w:color w:val="auto"/>
                <w:highlight w:val="none"/>
              </w:rPr>
              <w:t>000N.m，曳引机</w:t>
            </w:r>
            <w:r>
              <w:rPr>
                <w:rFonts w:hint="eastAsia" w:ascii="宋体" w:hAnsi="宋体"/>
                <w:color w:val="auto"/>
                <w:highlight w:val="none"/>
              </w:rPr>
              <w:t>定子绕组及制动器线圈升温均≤</w:t>
            </w:r>
            <w:r>
              <w:rPr>
                <w:rFonts w:hint="eastAsia"/>
                <w:color w:val="auto"/>
                <w:highlight w:val="none"/>
              </w:rPr>
              <w:t>4</w:t>
            </w:r>
            <w:r>
              <w:rPr>
                <w:color w:val="auto"/>
                <w:highlight w:val="none"/>
              </w:rPr>
              <w:t>0K</w:t>
            </w:r>
            <w:r>
              <w:rPr>
                <w:rFonts w:hint="eastAsia" w:ascii="宋体" w:hAnsi="宋体" w:cs="宋体"/>
                <w:color w:val="auto"/>
                <w:szCs w:val="21"/>
                <w:highlight w:val="none"/>
              </w:rPr>
              <w:t>。（</w:t>
            </w:r>
            <w:r>
              <w:rPr>
                <w:rFonts w:hint="eastAsia" w:ascii="宋体" w:hAnsi="宋体"/>
                <w:color w:val="auto"/>
                <w:highlight w:val="none"/>
              </w:rPr>
              <w:t>提供</w:t>
            </w:r>
            <w:r>
              <w:rPr>
                <w:rFonts w:hint="eastAsia" w:ascii="宋体" w:hAnsi="宋体" w:cs="宋体"/>
                <w:color w:val="auto"/>
                <w:szCs w:val="21"/>
                <w:highlight w:val="none"/>
              </w:rPr>
              <w:t>第三方检测机构出具</w:t>
            </w:r>
            <w:r>
              <w:rPr>
                <w:rFonts w:hint="eastAsia" w:ascii="宋体" w:hAnsi="宋体"/>
                <w:color w:val="auto"/>
                <w:highlight w:val="none"/>
              </w:rPr>
              <w:t>电梯“驱动主机（曳引机）”的</w:t>
            </w:r>
            <w:r>
              <w:rPr>
                <w:rFonts w:hint="eastAsia" w:ascii="宋体" w:hAnsi="宋体"/>
                <w:b/>
                <w:bCs/>
                <w:color w:val="auto"/>
                <w:highlight w:val="none"/>
              </w:rPr>
              <w:t>型式试验报告及证书</w:t>
            </w:r>
            <w:r>
              <w:rPr>
                <w:rFonts w:hint="eastAsia" w:ascii="宋体" w:hAnsi="宋体"/>
                <w:color w:val="auto"/>
                <w:highlight w:val="none"/>
              </w:rPr>
              <w:t>作为证明材料</w:t>
            </w:r>
            <w:r>
              <w:rPr>
                <w:rFonts w:hint="eastAsia" w:ascii="宋体" w:hAnsi="宋体" w:cs="宋体"/>
                <w:color w:val="auto"/>
                <w:szCs w:val="21"/>
                <w:highlight w:val="none"/>
              </w:rPr>
              <w:t>）。</w:t>
            </w:r>
          </w:p>
          <w:p w14:paraId="00FD9423">
            <w:pPr>
              <w:spacing w:line="360" w:lineRule="auto"/>
              <w:rPr>
                <w:rFonts w:ascii="宋体" w:hAnsi="宋体" w:cs="宋体"/>
                <w:color w:val="auto"/>
                <w:szCs w:val="21"/>
                <w:highlight w:val="none"/>
              </w:rPr>
            </w:pPr>
            <w:r>
              <w:rPr>
                <w:rFonts w:hint="eastAsia" w:ascii="宋体" w:hAnsi="宋体" w:cs="宋体"/>
                <w:color w:val="auto"/>
                <w:szCs w:val="21"/>
                <w:highlight w:val="none"/>
              </w:rPr>
              <w:t>4、门机系统：采用永磁同步门机。</w:t>
            </w:r>
          </w:p>
          <w:p w14:paraId="31727CE2">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5、层门锁：所投电梯产品</w:t>
            </w:r>
            <w:r>
              <w:rPr>
                <w:rFonts w:hint="eastAsia" w:ascii="宋体" w:hAnsi="宋体" w:cs="宋体"/>
                <w:b/>
                <w:bCs/>
                <w:color w:val="auto"/>
                <w:szCs w:val="21"/>
                <w:highlight w:val="none"/>
              </w:rPr>
              <w:t>层门锁</w:t>
            </w:r>
            <w:r>
              <w:rPr>
                <w:rFonts w:hint="eastAsia" w:ascii="宋体" w:hAnsi="宋体" w:cs="宋体"/>
                <w:color w:val="auto"/>
                <w:szCs w:val="21"/>
                <w:highlight w:val="none"/>
              </w:rPr>
              <w:t>动作寿命≥9</w:t>
            </w:r>
            <w:r>
              <w:rPr>
                <w:rFonts w:ascii="宋体" w:hAnsi="宋体" w:cs="宋体"/>
                <w:color w:val="auto"/>
                <w:szCs w:val="21"/>
                <w:highlight w:val="none"/>
              </w:rPr>
              <w:t>00</w:t>
            </w:r>
            <w:r>
              <w:rPr>
                <w:rFonts w:hint="eastAsia" w:ascii="宋体" w:hAnsi="宋体" w:cs="宋体"/>
                <w:color w:val="auto"/>
                <w:szCs w:val="21"/>
                <w:highlight w:val="none"/>
              </w:rPr>
              <w:t>万次。(提供第三方检测机构出具的“层门锁”</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s="宋体"/>
                <w:color w:val="auto"/>
                <w:szCs w:val="21"/>
                <w:highlight w:val="none"/>
              </w:rPr>
              <w:t>作为证明材料)</w:t>
            </w:r>
          </w:p>
          <w:p w14:paraId="1B5F8969">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6、轿门：所投电梯产品</w:t>
            </w:r>
            <w:r>
              <w:rPr>
                <w:rFonts w:hint="eastAsia" w:ascii="宋体" w:hAnsi="宋体" w:cs="宋体"/>
                <w:b/>
                <w:bCs/>
                <w:color w:val="auto"/>
                <w:szCs w:val="21"/>
                <w:highlight w:val="none"/>
              </w:rPr>
              <w:t>轿门开门装置</w:t>
            </w:r>
            <w:r>
              <w:rPr>
                <w:rFonts w:hint="eastAsia" w:ascii="宋体" w:hAnsi="宋体" w:cs="宋体"/>
                <w:color w:val="auto"/>
                <w:szCs w:val="21"/>
                <w:highlight w:val="none"/>
              </w:rPr>
              <w:t>动作寿命≥1300万次。(提供第三方检测机构出具的“轿门开门装置”</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s="宋体"/>
                <w:color w:val="auto"/>
                <w:szCs w:val="21"/>
                <w:highlight w:val="none"/>
              </w:rPr>
              <w:t>作为证明材料)</w:t>
            </w:r>
          </w:p>
          <w:p w14:paraId="58952615">
            <w:pPr>
              <w:spacing w:line="360" w:lineRule="auto"/>
              <w:rPr>
                <w:rFonts w:ascii="宋体" w:hAnsi="宋体" w:cs="宋体"/>
                <w:color w:val="auto"/>
                <w:szCs w:val="21"/>
                <w:highlight w:val="none"/>
              </w:rPr>
            </w:pPr>
            <w:r>
              <w:rPr>
                <w:rFonts w:hint="eastAsia" w:ascii="宋体" w:hAnsi="宋体" w:cs="宋体"/>
                <w:b/>
                <w:bCs/>
                <w:color w:val="auto"/>
                <w:szCs w:val="21"/>
                <w:highlight w:val="none"/>
              </w:rPr>
              <w:t>★7、</w:t>
            </w:r>
            <w:r>
              <w:rPr>
                <w:rFonts w:hint="eastAsia" w:ascii="宋体" w:hAnsi="宋体"/>
                <w:b/>
                <w:bCs/>
                <w:color w:val="auto"/>
                <w:highlight w:val="none"/>
              </w:rPr>
              <w:t>门开关：电梯的门开关为投标整梯同品牌，其动作寿命≥1300万次。</w:t>
            </w:r>
            <w:r>
              <w:rPr>
                <w:rFonts w:hint="eastAsia" w:ascii="宋体" w:hAnsi="宋体" w:cs="宋体"/>
                <w:color w:val="auto"/>
                <w:szCs w:val="21"/>
                <w:highlight w:val="none"/>
              </w:rPr>
              <w:t>（</w:t>
            </w:r>
            <w:r>
              <w:rPr>
                <w:rFonts w:hint="eastAsia" w:ascii="宋体" w:hAnsi="宋体"/>
                <w:color w:val="auto"/>
                <w:highlight w:val="none"/>
              </w:rPr>
              <w:t>提供第三方检测机构出具的“门开关”</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r>
              <w:rPr>
                <w:rFonts w:hint="eastAsia" w:ascii="宋体" w:hAnsi="宋体" w:cs="宋体"/>
                <w:color w:val="auto"/>
                <w:szCs w:val="21"/>
                <w:highlight w:val="none"/>
              </w:rPr>
              <w:t>）</w:t>
            </w:r>
          </w:p>
          <w:p w14:paraId="4DF8FEE6">
            <w:pPr>
              <w:spacing w:line="360" w:lineRule="auto"/>
              <w:rPr>
                <w:rFonts w:ascii="宋体" w:hAnsi="宋体" w:cs="宋体"/>
                <w:color w:val="auto"/>
                <w:szCs w:val="21"/>
                <w:highlight w:val="none"/>
              </w:rPr>
            </w:pPr>
            <w:r>
              <w:rPr>
                <w:rFonts w:hint="eastAsia" w:ascii="宋体" w:hAnsi="宋体" w:cs="宋体"/>
                <w:b/>
                <w:bCs/>
                <w:color w:val="auto"/>
                <w:szCs w:val="21"/>
                <w:highlight w:val="none"/>
              </w:rPr>
              <w:t>★8、</w:t>
            </w:r>
            <w:r>
              <w:rPr>
                <w:rFonts w:hint="eastAsia" w:ascii="宋体" w:hAnsi="宋体"/>
                <w:b/>
                <w:bCs/>
                <w:color w:val="auto"/>
                <w:highlight w:val="none"/>
              </w:rPr>
              <w:t>光电开关性能：</w:t>
            </w:r>
            <w:r>
              <w:rPr>
                <w:rFonts w:hint="eastAsia" w:ascii="宋体" w:hAnsi="宋体" w:cs="微软雅黑"/>
                <w:color w:val="auto"/>
                <w:highlight w:val="none"/>
              </w:rPr>
              <w:t>电梯</w:t>
            </w:r>
            <w:r>
              <w:rPr>
                <w:rFonts w:hint="eastAsia" w:ascii="宋体" w:hAnsi="宋体" w:cs="微软雅黑"/>
                <w:b/>
                <w:bCs/>
                <w:color w:val="auto"/>
                <w:highlight w:val="none"/>
              </w:rPr>
              <w:t>光电开关</w:t>
            </w:r>
            <w:r>
              <w:rPr>
                <w:rFonts w:hint="eastAsia" w:ascii="宋体" w:hAnsi="宋体" w:cs="微软雅黑"/>
                <w:color w:val="auto"/>
                <w:highlight w:val="none"/>
              </w:rPr>
              <w:t>即使发射光减弱至正常工作的5%及以下，也能保证光电开关正常工作</w:t>
            </w:r>
            <w:r>
              <w:rPr>
                <w:rFonts w:hint="eastAsia" w:ascii="宋体" w:hAnsi="宋体"/>
                <w:color w:val="auto"/>
                <w:highlight w:val="none"/>
              </w:rPr>
              <w:t>。（提供第三方检测机构出具的“光电开关”</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0A76C0E2">
            <w:pPr>
              <w:pStyle w:val="204"/>
              <w:widowControl/>
              <w:spacing w:line="360" w:lineRule="auto"/>
              <w:ind w:left="7" w:right="-15"/>
              <w:rPr>
                <w:color w:val="auto"/>
                <w:highlight w:val="none"/>
              </w:rPr>
            </w:pPr>
            <w:r>
              <w:rPr>
                <w:rFonts w:hint="eastAsia"/>
                <w:b/>
                <w:bCs/>
                <w:color w:val="auto"/>
                <w:szCs w:val="21"/>
                <w:highlight w:val="none"/>
              </w:rPr>
              <w:t>★9、</w:t>
            </w:r>
            <w:r>
              <w:rPr>
                <w:rFonts w:hint="eastAsia"/>
                <w:b/>
                <w:bCs/>
                <w:color w:val="auto"/>
                <w:highlight w:val="none"/>
              </w:rPr>
              <w:t>终端开关性能：</w:t>
            </w:r>
            <w:r>
              <w:rPr>
                <w:rFonts w:hint="eastAsia"/>
                <w:color w:val="auto"/>
                <w:highlight w:val="none"/>
              </w:rPr>
              <w:t>投标电梯的</w:t>
            </w:r>
            <w:r>
              <w:rPr>
                <w:rFonts w:hint="eastAsia"/>
                <w:b/>
                <w:bCs/>
                <w:color w:val="auto"/>
                <w:highlight w:val="none"/>
              </w:rPr>
              <w:t>终端开关</w:t>
            </w:r>
            <w:r>
              <w:rPr>
                <w:rFonts w:hint="eastAsia"/>
                <w:color w:val="auto"/>
                <w:highlight w:val="none"/>
              </w:rPr>
              <w:t>在正常的工作条件（DC125V，0.21A）下，以1次/秒的速度，动作1300万次后，满足：（1）开关结构完整，开关动作顺畅；（2）开关触点的接触电阻≤</w:t>
            </w:r>
            <w:r>
              <w:rPr>
                <w:color w:val="auto"/>
                <w:highlight w:val="none"/>
              </w:rPr>
              <w:t>60m</w:t>
            </w:r>
            <w:r>
              <w:rPr>
                <w:rFonts w:hint="eastAsia"/>
                <w:color w:val="auto"/>
                <w:highlight w:val="none"/>
              </w:rPr>
              <w:t>Ω。（提供第三方检测机构出具的“终端开关”</w:t>
            </w:r>
            <w:r>
              <w:rPr>
                <w:color w:val="auto"/>
                <w:szCs w:val="21"/>
                <w:highlight w:val="none"/>
                <w:lang w:val="en"/>
              </w:rPr>
              <w:t>试验报告</w:t>
            </w:r>
            <w:r>
              <w:rPr>
                <w:rFonts w:hint="eastAsia"/>
                <w:color w:val="auto"/>
                <w:szCs w:val="21"/>
                <w:highlight w:val="none"/>
                <w:lang w:val="en"/>
              </w:rPr>
              <w:t>复印件</w:t>
            </w:r>
            <w:r>
              <w:rPr>
                <w:rFonts w:hint="eastAsia"/>
                <w:color w:val="auto"/>
                <w:highlight w:val="none"/>
              </w:rPr>
              <w:t>作为证明材料）</w:t>
            </w:r>
          </w:p>
          <w:p w14:paraId="6650E2B9">
            <w:pPr>
              <w:spacing w:line="360" w:lineRule="auto"/>
              <w:rPr>
                <w:rFonts w:ascii="宋体" w:hAnsi="宋体" w:cs="宋体"/>
                <w:color w:val="auto"/>
                <w:szCs w:val="21"/>
                <w:highlight w:val="none"/>
              </w:rPr>
            </w:pPr>
            <w:r>
              <w:rPr>
                <w:rFonts w:hint="eastAsia" w:ascii="宋体" w:hAnsi="宋体" w:cs="宋体"/>
                <w:b/>
                <w:bCs/>
                <w:color w:val="auto"/>
                <w:szCs w:val="21"/>
                <w:highlight w:val="none"/>
              </w:rPr>
              <w:t>★10、</w:t>
            </w:r>
            <w:r>
              <w:rPr>
                <w:rFonts w:hint="eastAsia" w:ascii="宋体" w:hAnsi="宋体"/>
                <w:b/>
                <w:bCs/>
                <w:color w:val="auto"/>
                <w:highlight w:val="none"/>
              </w:rPr>
              <w:t>按钮性能：</w:t>
            </w:r>
            <w:r>
              <w:rPr>
                <w:rFonts w:hint="eastAsia" w:ascii="宋体" w:hAnsi="宋体"/>
                <w:color w:val="auto"/>
                <w:highlight w:val="none"/>
              </w:rPr>
              <w:t>投标电梯的呼梯按钮：按钮在</w:t>
            </w:r>
            <w:r>
              <w:rPr>
                <w:color w:val="auto"/>
                <w:highlight w:val="none"/>
              </w:rPr>
              <w:t>DC12V</w:t>
            </w:r>
            <w:r>
              <w:rPr>
                <w:rFonts w:hint="eastAsia" w:ascii="宋体" w:hAnsi="宋体"/>
                <w:color w:val="auto"/>
                <w:highlight w:val="none"/>
              </w:rPr>
              <w:t>，动作力</w:t>
            </w:r>
            <w:r>
              <w:rPr>
                <w:color w:val="auto"/>
                <w:highlight w:val="none"/>
              </w:rPr>
              <w:t>25N</w:t>
            </w:r>
            <w:r>
              <w:rPr>
                <w:rFonts w:hint="eastAsia" w:ascii="宋体" w:hAnsi="宋体"/>
                <w:color w:val="auto"/>
                <w:highlight w:val="none"/>
              </w:rPr>
              <w:t>的条件下，以</w:t>
            </w:r>
            <w:r>
              <w:rPr>
                <w:color w:val="auto"/>
                <w:highlight w:val="none"/>
              </w:rPr>
              <w:t>3.5</w:t>
            </w:r>
            <w:r>
              <w:rPr>
                <w:rFonts w:hint="eastAsia" w:ascii="宋体" w:hAnsi="宋体"/>
                <w:color w:val="auto"/>
                <w:highlight w:val="none"/>
              </w:rPr>
              <w:t>次</w:t>
            </w:r>
            <w:r>
              <w:rPr>
                <w:color w:val="auto"/>
                <w:highlight w:val="none"/>
              </w:rPr>
              <w:t>/</w:t>
            </w:r>
            <w:r>
              <w:rPr>
                <w:rFonts w:hint="eastAsia" w:ascii="宋体" w:hAnsi="宋体"/>
                <w:color w:val="auto"/>
                <w:highlight w:val="none"/>
              </w:rPr>
              <w:t>秒的速率，动作</w:t>
            </w:r>
            <w:r>
              <w:rPr>
                <w:rFonts w:hint="eastAsia"/>
                <w:color w:val="auto"/>
                <w:highlight w:val="none"/>
              </w:rPr>
              <w:t>3</w:t>
            </w:r>
            <w:r>
              <w:rPr>
                <w:color w:val="auto"/>
                <w:highlight w:val="none"/>
              </w:rPr>
              <w:t>00</w:t>
            </w:r>
            <w:r>
              <w:rPr>
                <w:rFonts w:hint="eastAsia" w:ascii="宋体" w:hAnsi="宋体"/>
                <w:color w:val="auto"/>
                <w:highlight w:val="none"/>
              </w:rPr>
              <w:t>万次后，应满足：（</w:t>
            </w:r>
            <w:r>
              <w:rPr>
                <w:rFonts w:hint="eastAsia"/>
                <w:color w:val="auto"/>
                <w:highlight w:val="none"/>
              </w:rPr>
              <w:t>1</w:t>
            </w:r>
            <w:r>
              <w:rPr>
                <w:rFonts w:hint="eastAsia" w:ascii="宋体" w:hAnsi="宋体"/>
                <w:color w:val="auto"/>
                <w:highlight w:val="none"/>
              </w:rPr>
              <w:t>）按钮动作正常，发光亮度正常，无裂痕、无变形，且接触电阻≤</w:t>
            </w:r>
            <w:r>
              <w:rPr>
                <w:color w:val="auto"/>
                <w:highlight w:val="none"/>
              </w:rPr>
              <w:t>40m</w:t>
            </w:r>
            <w:r>
              <w:rPr>
                <w:rFonts w:hint="eastAsia" w:ascii="宋体" w:hAnsi="宋体"/>
                <w:color w:val="auto"/>
                <w:highlight w:val="none"/>
              </w:rPr>
              <w:t>Ω；（</w:t>
            </w:r>
            <w:r>
              <w:rPr>
                <w:rFonts w:hint="eastAsia"/>
                <w:color w:val="auto"/>
                <w:highlight w:val="none"/>
              </w:rPr>
              <w:t>2</w:t>
            </w:r>
            <w:r>
              <w:rPr>
                <w:rFonts w:hint="eastAsia" w:ascii="宋体" w:hAnsi="宋体"/>
                <w:color w:val="auto"/>
                <w:highlight w:val="none"/>
              </w:rPr>
              <w:t>）按钮在</w:t>
            </w:r>
            <w:r>
              <w:rPr>
                <w:color w:val="auto"/>
                <w:highlight w:val="none"/>
              </w:rPr>
              <w:t>4.9J</w:t>
            </w:r>
            <w:r>
              <w:rPr>
                <w:rFonts w:hint="eastAsia" w:ascii="宋体" w:hAnsi="宋体"/>
                <w:color w:val="auto"/>
                <w:highlight w:val="none"/>
              </w:rPr>
              <w:t>的冲击载荷下，经过</w:t>
            </w:r>
            <w:r>
              <w:rPr>
                <w:color w:val="auto"/>
                <w:highlight w:val="none"/>
              </w:rPr>
              <w:t>3</w:t>
            </w:r>
            <w:r>
              <w:rPr>
                <w:rFonts w:hint="eastAsia" w:ascii="宋体" w:hAnsi="宋体"/>
                <w:color w:val="auto"/>
                <w:highlight w:val="none"/>
              </w:rPr>
              <w:t>次冲击试验后，按钮未破损，电气部分未露出，动作正常，外观无明显裂纹及变形。（提供第三方检测机构出具的“按钮”</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08F50170">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11、</w:t>
            </w:r>
            <w:r>
              <w:rPr>
                <w:rFonts w:hint="eastAsia" w:ascii="宋体" w:hAnsi="宋体" w:cs="微软雅黑"/>
                <w:color w:val="auto"/>
                <w:szCs w:val="21"/>
                <w:highlight w:val="none"/>
                <w:lang w:bidi="ar"/>
              </w:rPr>
              <w:t>制动器：投标品牌电梯</w:t>
            </w:r>
            <w:r>
              <w:rPr>
                <w:rFonts w:hint="eastAsia" w:ascii="宋体" w:hAnsi="宋体" w:cs="微软雅黑"/>
                <w:b/>
                <w:bCs/>
                <w:color w:val="auto"/>
                <w:szCs w:val="21"/>
                <w:highlight w:val="none"/>
                <w:lang w:bidi="ar"/>
              </w:rPr>
              <w:t>制动器</w:t>
            </w:r>
            <w:r>
              <w:rPr>
                <w:rFonts w:hint="eastAsia" w:ascii="宋体" w:hAnsi="宋体" w:cs="微软雅黑"/>
                <w:color w:val="auto"/>
                <w:szCs w:val="21"/>
                <w:highlight w:val="none"/>
                <w:lang w:bidi="ar"/>
              </w:rPr>
              <w:t>的动作次数（使用寿命）≥2000万次。（</w:t>
            </w:r>
            <w:r>
              <w:rPr>
                <w:rFonts w:hint="eastAsia" w:ascii="宋体" w:hAnsi="宋体"/>
                <w:color w:val="auto"/>
                <w:highlight w:val="none"/>
              </w:rPr>
              <w:t>提供具有第三方检测机构出具的“</w:t>
            </w:r>
            <w:r>
              <w:rPr>
                <w:rFonts w:hint="eastAsia" w:ascii="宋体" w:hAnsi="宋体" w:cs="微软雅黑"/>
                <w:color w:val="auto"/>
                <w:szCs w:val="21"/>
                <w:highlight w:val="none"/>
                <w:lang w:bidi="ar"/>
              </w:rPr>
              <w:t>制动器</w:t>
            </w:r>
            <w:r>
              <w:rPr>
                <w:rFonts w:hint="eastAsia" w:ascii="宋体" w:hAnsi="宋体"/>
                <w:color w:val="auto"/>
                <w:highlight w:val="none"/>
              </w:rPr>
              <w:t>”</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1C2554A7">
            <w:pPr>
              <w:spacing w:line="360" w:lineRule="auto"/>
              <w:rPr>
                <w:rFonts w:ascii="宋体" w:hAnsi="宋体" w:cs="宋体"/>
                <w:color w:val="auto"/>
                <w:szCs w:val="21"/>
                <w:highlight w:val="none"/>
              </w:rPr>
            </w:pPr>
            <w:r>
              <w:rPr>
                <w:rFonts w:hint="eastAsia" w:ascii="宋体" w:hAnsi="宋体" w:cs="宋体"/>
                <w:color w:val="auto"/>
                <w:szCs w:val="21"/>
                <w:highlight w:val="none"/>
              </w:rPr>
              <w:t>12、通讯方式：采用串行通讯技术。</w:t>
            </w:r>
          </w:p>
          <w:p w14:paraId="4D4C7FBF">
            <w:pPr>
              <w:spacing w:line="360" w:lineRule="auto"/>
              <w:rPr>
                <w:rFonts w:ascii="宋体" w:hAnsi="宋体" w:cs="宋体"/>
                <w:color w:val="auto"/>
                <w:szCs w:val="21"/>
                <w:highlight w:val="none"/>
              </w:rPr>
            </w:pPr>
            <w:r>
              <w:rPr>
                <w:rFonts w:hint="eastAsia" w:ascii="宋体" w:hAnsi="宋体" w:cs="宋体"/>
                <w:color w:val="auto"/>
                <w:szCs w:val="21"/>
                <w:highlight w:val="none"/>
              </w:rPr>
              <w:t>13、电压适应范围：电压波动范围为±10%，即在342V～418V范围内仍能正常使用。</w:t>
            </w:r>
          </w:p>
          <w:p w14:paraId="7DFB816E">
            <w:pPr>
              <w:spacing w:line="360" w:lineRule="auto"/>
              <w:rPr>
                <w:rFonts w:ascii="宋体" w:hAnsi="宋体" w:cs="宋体"/>
                <w:b/>
                <w:bCs/>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14、门保护装置：光幕≥170光束。</w:t>
            </w:r>
          </w:p>
          <w:p w14:paraId="6DD80848">
            <w:pPr>
              <w:spacing w:line="360" w:lineRule="auto"/>
              <w:rPr>
                <w:rFonts w:ascii="宋体" w:hAnsi="宋体" w:cs="宋体"/>
                <w:color w:val="auto"/>
                <w:szCs w:val="21"/>
                <w:highlight w:val="none"/>
              </w:rPr>
            </w:pPr>
            <w:r>
              <w:rPr>
                <w:rFonts w:hint="eastAsia" w:ascii="宋体" w:hAnsi="宋体" w:cs="宋体"/>
                <w:color w:val="auto"/>
                <w:szCs w:val="21"/>
                <w:highlight w:val="none"/>
              </w:rPr>
              <w:t>15、无障碍操纵箱。</w:t>
            </w:r>
          </w:p>
          <w:p w14:paraId="26DFFA56">
            <w:pPr>
              <w:spacing w:line="360" w:lineRule="auto"/>
              <w:rPr>
                <w:rFonts w:ascii="宋体" w:hAnsi="宋体" w:cs="宋体"/>
                <w:color w:val="auto"/>
                <w:szCs w:val="21"/>
                <w:highlight w:val="none"/>
              </w:rPr>
            </w:pPr>
            <w:r>
              <w:rPr>
                <w:rFonts w:hint="eastAsia" w:ascii="宋体" w:hAnsi="宋体" w:cs="宋体"/>
                <w:color w:val="auto"/>
                <w:szCs w:val="21"/>
                <w:highlight w:val="none"/>
              </w:rPr>
              <w:t>16、分区运行模式： 电梯系统应具备单双层分区控制功能。即：在正常运营时段内，多台群控电梯应能设置为指定电梯仅服务单数楼层，指定电梯仅服务双数楼层。</w:t>
            </w:r>
          </w:p>
          <w:p w14:paraId="194C1875">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17、导靴：主导轨配置滚轮导靴，滚轮直径≥140mm，配置防护板，且配置摩擦阻尼。(提供投标型号导靴的产品结构图说明资料</w:t>
            </w:r>
            <w:r>
              <w:rPr>
                <w:rFonts w:hint="eastAsia"/>
                <w:color w:val="auto"/>
                <w:highlight w:val="none"/>
              </w:rPr>
              <w:t>作为证明材料</w:t>
            </w:r>
            <w:r>
              <w:rPr>
                <w:rFonts w:hint="eastAsia" w:ascii="宋体" w:hAnsi="宋体" w:cs="宋体"/>
                <w:color w:val="auto"/>
                <w:szCs w:val="21"/>
                <w:highlight w:val="none"/>
              </w:rPr>
              <w:t>)</w:t>
            </w:r>
          </w:p>
          <w:p w14:paraId="40CF3ED3">
            <w:pPr>
              <w:pStyle w:val="301"/>
              <w:spacing w:line="360" w:lineRule="auto"/>
              <w:ind w:firstLine="0" w:firstLineChars="0"/>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18、能量回馈功能：通过双 PWM 整流 / 逆变单元，将直流电能逆变为与电网同频同相的交流电，无污染回馈电网。</w:t>
            </w:r>
          </w:p>
          <w:p w14:paraId="0F5EF9CF">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szCs w:val="21"/>
                <w:highlight w:val="none"/>
              </w:rPr>
              <w:t>19、</w:t>
            </w:r>
            <w:r>
              <w:rPr>
                <w:rFonts w:hint="eastAsia" w:ascii="宋体" w:hAnsi="宋体" w:cs="宋体"/>
                <w:color w:val="auto"/>
                <w:kern w:val="0"/>
                <w:szCs w:val="21"/>
                <w:highlight w:val="none"/>
                <w:lang w:bidi="ar"/>
              </w:rPr>
              <w:t>配电梯轿厢专用高清摄像头，并接入监控值班室。</w:t>
            </w:r>
          </w:p>
          <w:p w14:paraId="142AA940">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kern w:val="0"/>
                <w:szCs w:val="21"/>
                <w:highlight w:val="none"/>
                <w:lang w:bidi="ar"/>
              </w:rPr>
              <w:t>20、智慧电梯：</w:t>
            </w:r>
          </w:p>
          <w:p w14:paraId="603CA900">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1)实时监控与状态查看</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通过手机APP、微信小程序或网页端，随时随地查看电梯的实时运行状态，包括楼层、方向、开关门状态、运行次数、能耗数据等</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支持查看电梯的事件履历、报警记录和电梯体检报告书。</w:t>
            </w:r>
          </w:p>
          <w:p w14:paraId="48D18CFB">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2)应急处置与可视化安抚</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主动识别电梯异常事件（如困人、故障、人员摔倒、电动车进入等），并第一时间推送告警信息至管理人员手机或监控大屏</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提供一体化可视安抚功能，管理人员可通过手机端查看轿厢视频、进行可视对讲，快速处置。</w:t>
            </w:r>
          </w:p>
          <w:p w14:paraId="10031CDF">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3)远程控制与功能设置</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支持远程锁梯、非服务层设置、高峰时间调整、待机楼层设置等功能，提升管理效率。</w:t>
            </w:r>
          </w:p>
          <w:p w14:paraId="3E7494BC">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4)语音播报与公告管理</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支持自定义电梯语音欢迎语</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提供敏感词检测功能，避免误操作。</w:t>
            </w:r>
          </w:p>
          <w:p w14:paraId="24DD9BE3">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5)智能维保与报修服务</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提供在线报修、维保计划管理、保养记录查看等功能，实现维保服务的全流程可视化。</w:t>
            </w:r>
          </w:p>
          <w:p w14:paraId="1EF0AA75">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r>
              <w:rPr>
                <w:rFonts w:ascii="宋体" w:hAnsi="宋体" w:cs="宋体"/>
                <w:color w:val="auto"/>
                <w:kern w:val="0"/>
                <w:szCs w:val="21"/>
                <w:highlight w:val="none"/>
                <w:lang w:bidi="ar"/>
              </w:rPr>
              <w:t>)无线物联：无需布线，支持电梯与政府监管平台、客户系统（如医院、机场）、智能设备（光幕、摄像头）的无缝对接。</w:t>
            </w:r>
          </w:p>
          <w:p w14:paraId="554DAAAF">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7</w:t>
            </w:r>
            <w:r>
              <w:rPr>
                <w:rFonts w:ascii="宋体" w:hAnsi="宋体" w:cs="宋体"/>
                <w:color w:val="auto"/>
                <w:kern w:val="0"/>
                <w:szCs w:val="21"/>
                <w:highlight w:val="none"/>
                <w:lang w:bidi="ar"/>
              </w:rPr>
              <w:t>)数字化维保：在线工单管理、保养计划可视化，提供实时故障故障诊断，快速定位故障并提供维修方案，缩短故障处理时间。</w:t>
            </w:r>
          </w:p>
          <w:p w14:paraId="39DFC627">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kern w:val="0"/>
                <w:szCs w:val="21"/>
                <w:highlight w:val="none"/>
                <w:lang w:bidi="ar"/>
              </w:rPr>
              <w:t>21、绕绳比：钢丝绳绕绳比1：1。</w:t>
            </w:r>
          </w:p>
          <w:p w14:paraId="285040F6">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b/>
                <w:bCs/>
                <w:color w:val="auto"/>
                <w:kern w:val="0"/>
                <w:szCs w:val="21"/>
                <w:highlight w:val="none"/>
                <w:lang w:bidi="ar"/>
              </w:rPr>
              <w:t>★</w:t>
            </w:r>
            <w:r>
              <w:rPr>
                <w:rFonts w:hint="eastAsia" w:ascii="宋体" w:hAnsi="宋体" w:cs="宋体"/>
                <w:color w:val="auto"/>
                <w:kern w:val="0"/>
                <w:szCs w:val="21"/>
                <w:highlight w:val="none"/>
                <w:lang w:bidi="ar"/>
              </w:rPr>
              <w:t>22、安全钳：轿厢安全钳采用安全钳体与轿厢构件一体式设计，且该部件整体由整梯品牌国外原厂生产及调试出厂，适用额定速度≥2m/s。（提供投标型号安全钳的型式试验报告及证书、结构图说明资料</w:t>
            </w:r>
            <w:r>
              <w:rPr>
                <w:rFonts w:hint="eastAsia"/>
                <w:color w:val="auto"/>
                <w:highlight w:val="none"/>
              </w:rPr>
              <w:t>作为证明材料</w:t>
            </w:r>
            <w:r>
              <w:rPr>
                <w:rFonts w:hint="eastAsia" w:ascii="宋体" w:hAnsi="宋体" w:cs="宋体"/>
                <w:color w:val="auto"/>
                <w:kern w:val="0"/>
                <w:szCs w:val="21"/>
                <w:highlight w:val="none"/>
                <w:lang w:bidi="ar"/>
              </w:rPr>
              <w:t>)</w:t>
            </w:r>
          </w:p>
          <w:p w14:paraId="6E76C4C1">
            <w:pPr>
              <w:pStyle w:val="301"/>
              <w:spacing w:line="360" w:lineRule="auto"/>
              <w:ind w:firstLine="0" w:firstLineChars="0"/>
              <w:rPr>
                <w:rFonts w:ascii="宋体" w:hAnsi="宋体" w:cs="宋体"/>
                <w:color w:val="auto"/>
                <w:kern w:val="0"/>
                <w:szCs w:val="21"/>
                <w:highlight w:val="none"/>
                <w:lang w:bidi="ar"/>
              </w:rPr>
            </w:pPr>
            <w:r>
              <w:rPr>
                <w:rFonts w:hint="eastAsia"/>
                <w:b/>
                <w:bCs/>
                <w:color w:val="auto"/>
                <w:highlight w:val="none"/>
              </w:rPr>
              <w:t>★</w:t>
            </w:r>
            <w:r>
              <w:rPr>
                <w:rFonts w:hint="eastAsia" w:ascii="宋体" w:hAnsi="宋体" w:cs="宋体"/>
                <w:color w:val="auto"/>
                <w:kern w:val="0"/>
                <w:szCs w:val="21"/>
                <w:highlight w:val="none"/>
                <w:lang w:bidi="ar"/>
              </w:rPr>
              <w:t>23</w:t>
            </w:r>
            <w:r>
              <w:rPr>
                <w:rFonts w:hint="eastAsia"/>
                <w:color w:val="auto"/>
                <w:highlight w:val="none"/>
              </w:rPr>
              <w:t>、电梯控制柜控制主板(印板)：投标型号电梯印板耐高温高湿、抗粉尘、抗振动，进行连续必要的环境试验：①热冲击试验、②高温高湿度试验、③正弦振动试验、④温度变动试验、⑤砂尘试验、⑥恒定湿热试验。（提供具有CNAS认证的检测机构出具试验报告作为证明材料）</w:t>
            </w:r>
          </w:p>
          <w:p w14:paraId="56E9B845">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三、主要部件：</w:t>
            </w:r>
          </w:p>
          <w:p w14:paraId="09231E13">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1、主要部件要求：</w:t>
            </w:r>
            <w:r>
              <w:rPr>
                <w:rFonts w:hint="eastAsia"/>
                <w:b/>
                <w:bCs/>
                <w:color w:val="auto"/>
                <w:highlight w:val="none"/>
              </w:rPr>
              <w:t>曳引机</w:t>
            </w:r>
            <w:r>
              <w:rPr>
                <w:rFonts w:hint="eastAsia" w:ascii="宋体" w:hAnsi="宋体" w:cs="宋体"/>
                <w:b/>
                <w:bCs/>
                <w:color w:val="auto"/>
                <w:szCs w:val="21"/>
                <w:highlight w:val="none"/>
              </w:rPr>
              <w:t>、控制柜（含调速装置、控制装置）、轿门门锁、层门门锁、限速器、安全钳、上行超速保护装置、轿厢意外移动保护装置</w:t>
            </w:r>
            <w:r>
              <w:rPr>
                <w:rFonts w:hint="eastAsia" w:ascii="宋体" w:hAnsi="宋体" w:cs="宋体"/>
                <w:color w:val="auto"/>
                <w:szCs w:val="21"/>
                <w:highlight w:val="none"/>
              </w:rPr>
              <w:t>为投标产品整梯同品牌设计和制造（</w:t>
            </w:r>
            <w:r>
              <w:rPr>
                <w:rFonts w:hint="eastAsia" w:ascii="宋体" w:hAnsi="宋体" w:cs="宋体"/>
                <w:b/>
                <w:bCs/>
                <w:color w:val="auto"/>
                <w:szCs w:val="21"/>
                <w:highlight w:val="none"/>
              </w:rPr>
              <w:t>须提供整梯特种设备型式试验报告及证书复印件，</w:t>
            </w:r>
            <w:r>
              <w:rPr>
                <w:rFonts w:ascii="宋体" w:hAnsi="宋体" w:cs="宋体"/>
                <w:b/>
                <w:bCs/>
                <w:color w:val="auto"/>
                <w:szCs w:val="21"/>
                <w:highlight w:val="none"/>
                <w:lang w:val="en"/>
              </w:rPr>
              <w:t>并加盖投标人公章</w:t>
            </w:r>
            <w:r>
              <w:rPr>
                <w:rFonts w:hint="eastAsia" w:ascii="宋体" w:hAnsi="宋体" w:cs="宋体"/>
                <w:color w:val="auto"/>
                <w:szCs w:val="21"/>
                <w:highlight w:val="none"/>
              </w:rPr>
              <w:t>）</w:t>
            </w:r>
          </w:p>
          <w:p w14:paraId="62ED41A2">
            <w:pPr>
              <w:spacing w:line="360" w:lineRule="auto"/>
              <w:rPr>
                <w:rFonts w:ascii="宋体" w:hAnsi="宋体" w:cs="宋体"/>
                <w:color w:val="auto"/>
                <w:szCs w:val="21"/>
                <w:highlight w:val="none"/>
              </w:rPr>
            </w:pPr>
            <w:r>
              <w:rPr>
                <w:rFonts w:hint="eastAsia" w:ascii="宋体" w:hAnsi="宋体" w:cs="宋体"/>
                <w:color w:val="auto"/>
                <w:szCs w:val="21"/>
                <w:highlight w:val="none"/>
              </w:rPr>
              <w:t>2、导轨型号要求：轿厢侧≥T89/B。</w:t>
            </w:r>
          </w:p>
          <w:p w14:paraId="0590C6DA">
            <w:pPr>
              <w:spacing w:line="360" w:lineRule="auto"/>
              <w:rPr>
                <w:rFonts w:ascii="宋体" w:hAnsi="宋体" w:cs="宋体"/>
                <w:color w:val="auto"/>
                <w:szCs w:val="21"/>
                <w:highlight w:val="none"/>
              </w:rPr>
            </w:pPr>
            <w:r>
              <w:rPr>
                <w:rFonts w:hint="eastAsia" w:ascii="宋体" w:hAnsi="宋体" w:cs="宋体"/>
                <w:color w:val="auto"/>
                <w:szCs w:val="21"/>
                <w:highlight w:val="none"/>
              </w:rPr>
              <w:t>3、采购方有权对以上主要部件聘请专家及第三方专业机构进行核查，核查费用由采购方支付，若出现弄虚作假情况，一经查实，采购方将予以退货或换货，核查费用由中标人支付，并将追究中标人法律责任并要求供应商赔偿相关损失。</w:t>
            </w:r>
          </w:p>
          <w:p w14:paraId="4039CDCB">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4、进口件要求：</w:t>
            </w:r>
            <w:r>
              <w:rPr>
                <w:rFonts w:hint="eastAsia" w:ascii="宋体" w:hAnsi="宋体" w:cs="宋体"/>
                <w:b/>
                <w:bCs/>
                <w:color w:val="auto"/>
                <w:szCs w:val="21"/>
                <w:highlight w:val="none"/>
              </w:rPr>
              <w:t>控制柜、曳引机、轿厢限速器、轿厢安全钳、轿厢门机</w:t>
            </w:r>
            <w:r>
              <w:rPr>
                <w:rFonts w:hint="eastAsia" w:ascii="宋体" w:hAnsi="宋体" w:cs="宋体"/>
                <w:color w:val="auto"/>
                <w:szCs w:val="21"/>
                <w:highlight w:val="none"/>
              </w:rPr>
              <w:t>均为原厂原产地进口。投标人投标时</w:t>
            </w:r>
            <w:r>
              <w:rPr>
                <w:rFonts w:hint="eastAsia" w:ascii="宋体" w:hAnsi="宋体" w:cs="宋体"/>
                <w:b/>
                <w:bCs/>
                <w:color w:val="auto"/>
                <w:szCs w:val="21"/>
                <w:highlight w:val="none"/>
              </w:rPr>
              <w:t>须提供相关原产地证明及最近一年有效的类似项目进口海关报关单复印件、装箱清单复印件</w:t>
            </w:r>
            <w:r>
              <w:rPr>
                <w:rFonts w:hint="eastAsia" w:ascii="宋体" w:hAnsi="宋体" w:cs="宋体"/>
                <w:color w:val="auto"/>
                <w:szCs w:val="21"/>
                <w:highlight w:val="none"/>
              </w:rPr>
              <w:t>作为证明材料或</w:t>
            </w:r>
            <w:r>
              <w:rPr>
                <w:rFonts w:hint="eastAsia" w:ascii="宋体" w:hAnsi="宋体" w:cs="宋体"/>
                <w:b/>
                <w:bCs/>
                <w:color w:val="auto"/>
                <w:szCs w:val="21"/>
                <w:highlight w:val="none"/>
              </w:rPr>
              <w:t>投标时提供承诺函</w:t>
            </w:r>
            <w:r>
              <w:rPr>
                <w:rFonts w:hint="eastAsia" w:ascii="宋体" w:hAnsi="宋体" w:cs="宋体"/>
                <w:color w:val="auto"/>
                <w:szCs w:val="21"/>
                <w:highlight w:val="none"/>
              </w:rPr>
              <w:t>，</w:t>
            </w:r>
            <w:r>
              <w:rPr>
                <w:rFonts w:hint="eastAsia" w:ascii="宋体" w:hAnsi="宋体" w:cs="宋体"/>
                <w:b/>
                <w:bCs/>
                <w:color w:val="auto"/>
                <w:szCs w:val="21"/>
                <w:highlight w:val="none"/>
              </w:rPr>
              <w:t>供货时须提供相关原产地证明、进口海关报关单复印件、装箱清单复印件</w:t>
            </w:r>
            <w:r>
              <w:rPr>
                <w:rFonts w:hint="eastAsia" w:ascii="宋体" w:hAnsi="宋体" w:cs="宋体"/>
                <w:color w:val="auto"/>
                <w:szCs w:val="21"/>
                <w:highlight w:val="none"/>
              </w:rPr>
              <w:t>。</w:t>
            </w:r>
          </w:p>
          <w:p w14:paraId="787B5FBC">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四、功能：</w:t>
            </w:r>
          </w:p>
          <w:p w14:paraId="737DC198">
            <w:pPr>
              <w:spacing w:line="360" w:lineRule="auto"/>
              <w:rPr>
                <w:rFonts w:ascii="宋体" w:hAnsi="宋体" w:cs="宋体"/>
                <w:color w:val="auto"/>
                <w:szCs w:val="21"/>
                <w:highlight w:val="none"/>
              </w:rPr>
            </w:pPr>
            <w:r>
              <w:rPr>
                <w:rFonts w:hint="eastAsia" w:ascii="宋体" w:hAnsi="宋体" w:cs="宋体"/>
                <w:color w:val="auto"/>
                <w:szCs w:val="21"/>
                <w:highlight w:val="none"/>
              </w:rPr>
              <w:t>1、开门保持时间自动调整</w:t>
            </w:r>
          </w:p>
          <w:p w14:paraId="305CC72D">
            <w:pPr>
              <w:spacing w:line="360" w:lineRule="auto"/>
              <w:rPr>
                <w:rFonts w:ascii="宋体" w:hAnsi="宋体" w:cs="宋体"/>
                <w:color w:val="auto"/>
                <w:szCs w:val="21"/>
                <w:highlight w:val="none"/>
              </w:rPr>
            </w:pPr>
            <w:r>
              <w:rPr>
                <w:rFonts w:hint="eastAsia" w:ascii="宋体" w:hAnsi="宋体" w:cs="宋体"/>
                <w:color w:val="auto"/>
                <w:szCs w:val="21"/>
                <w:highlight w:val="none"/>
              </w:rPr>
              <w:t>2、节能运行（台数控制）</w:t>
            </w:r>
          </w:p>
          <w:p w14:paraId="0D7FA9EF">
            <w:pPr>
              <w:spacing w:line="360" w:lineRule="auto"/>
              <w:rPr>
                <w:rFonts w:ascii="宋体" w:hAnsi="宋体" w:cs="宋体"/>
                <w:color w:val="auto"/>
                <w:szCs w:val="21"/>
                <w:highlight w:val="none"/>
              </w:rPr>
            </w:pPr>
            <w:r>
              <w:rPr>
                <w:rFonts w:hint="eastAsia" w:ascii="宋体" w:hAnsi="宋体" w:cs="宋体"/>
                <w:color w:val="auto"/>
                <w:szCs w:val="21"/>
                <w:highlight w:val="none"/>
              </w:rPr>
              <w:t>3、节能运行（分配控制）</w:t>
            </w:r>
          </w:p>
          <w:p w14:paraId="5145FFF4">
            <w:pPr>
              <w:spacing w:line="360" w:lineRule="auto"/>
              <w:rPr>
                <w:rFonts w:ascii="宋体" w:hAnsi="宋体" w:cs="宋体"/>
                <w:color w:val="auto"/>
                <w:szCs w:val="21"/>
                <w:highlight w:val="none"/>
              </w:rPr>
            </w:pPr>
            <w:r>
              <w:rPr>
                <w:rFonts w:hint="eastAsia" w:ascii="宋体" w:hAnsi="宋体" w:cs="宋体"/>
                <w:color w:val="auto"/>
                <w:szCs w:val="21"/>
                <w:highlight w:val="none"/>
              </w:rPr>
              <w:t>4、神经元网络应用控制</w:t>
            </w:r>
          </w:p>
          <w:p w14:paraId="02EB7668">
            <w:pPr>
              <w:spacing w:line="360" w:lineRule="auto"/>
              <w:rPr>
                <w:rFonts w:ascii="宋体" w:hAnsi="宋体" w:cs="宋体"/>
                <w:color w:val="auto"/>
                <w:szCs w:val="21"/>
                <w:highlight w:val="none"/>
              </w:rPr>
            </w:pPr>
            <w:r>
              <w:rPr>
                <w:rFonts w:hint="eastAsia" w:ascii="宋体" w:hAnsi="宋体" w:cs="宋体"/>
                <w:color w:val="auto"/>
                <w:szCs w:val="21"/>
                <w:highlight w:val="none"/>
              </w:rPr>
              <w:t>5、电梯受阻失速保护</w:t>
            </w:r>
          </w:p>
          <w:p w14:paraId="41DB616F">
            <w:pPr>
              <w:spacing w:line="360" w:lineRule="auto"/>
              <w:rPr>
                <w:rFonts w:ascii="宋体" w:hAnsi="宋体" w:cs="宋体"/>
                <w:color w:val="auto"/>
                <w:szCs w:val="21"/>
                <w:highlight w:val="none"/>
              </w:rPr>
            </w:pPr>
            <w:r>
              <w:rPr>
                <w:rFonts w:hint="eastAsia" w:ascii="宋体" w:hAnsi="宋体" w:cs="宋体"/>
                <w:color w:val="auto"/>
                <w:szCs w:val="21"/>
                <w:highlight w:val="none"/>
              </w:rPr>
              <w:t>6、钢丝绳拉伸再平层</w:t>
            </w:r>
          </w:p>
          <w:p w14:paraId="3A9F495C">
            <w:pPr>
              <w:spacing w:line="360" w:lineRule="auto"/>
              <w:rPr>
                <w:rFonts w:ascii="宋体" w:hAnsi="宋体" w:cs="宋体"/>
                <w:color w:val="auto"/>
                <w:szCs w:val="21"/>
                <w:highlight w:val="none"/>
              </w:rPr>
            </w:pPr>
            <w:r>
              <w:rPr>
                <w:rFonts w:hint="eastAsia" w:ascii="宋体" w:hAnsi="宋体" w:cs="宋体"/>
                <w:color w:val="auto"/>
                <w:szCs w:val="21"/>
                <w:highlight w:val="none"/>
              </w:rPr>
              <w:t>7、轿厢微机异常处理</w:t>
            </w:r>
          </w:p>
          <w:p w14:paraId="05705D01">
            <w:pPr>
              <w:spacing w:line="360" w:lineRule="auto"/>
              <w:rPr>
                <w:rFonts w:ascii="宋体" w:hAnsi="宋体" w:cs="宋体"/>
                <w:color w:val="auto"/>
                <w:szCs w:val="21"/>
                <w:highlight w:val="none"/>
              </w:rPr>
            </w:pPr>
            <w:r>
              <w:rPr>
                <w:rFonts w:hint="eastAsia" w:ascii="宋体" w:hAnsi="宋体" w:cs="宋体"/>
                <w:color w:val="auto"/>
                <w:szCs w:val="21"/>
                <w:highlight w:val="none"/>
              </w:rPr>
              <w:t>8、轿内反向指令消除</w:t>
            </w:r>
          </w:p>
          <w:p w14:paraId="62D72FE0">
            <w:pPr>
              <w:spacing w:line="360" w:lineRule="auto"/>
              <w:rPr>
                <w:rFonts w:ascii="宋体" w:hAnsi="宋体" w:cs="宋体"/>
                <w:color w:val="auto"/>
                <w:szCs w:val="21"/>
                <w:highlight w:val="none"/>
              </w:rPr>
            </w:pPr>
            <w:r>
              <w:rPr>
                <w:rFonts w:hint="eastAsia" w:ascii="宋体" w:hAnsi="宋体" w:cs="宋体"/>
                <w:color w:val="auto"/>
                <w:szCs w:val="21"/>
                <w:highlight w:val="none"/>
              </w:rPr>
              <w:t>9、层站召唤自动登记</w:t>
            </w:r>
          </w:p>
          <w:p w14:paraId="01B56066">
            <w:pPr>
              <w:spacing w:line="360" w:lineRule="auto"/>
              <w:rPr>
                <w:rFonts w:ascii="宋体" w:hAnsi="宋体" w:cs="宋体"/>
                <w:color w:val="auto"/>
                <w:szCs w:val="21"/>
                <w:highlight w:val="none"/>
              </w:rPr>
            </w:pPr>
            <w:r>
              <w:rPr>
                <w:rFonts w:hint="eastAsia" w:ascii="宋体" w:hAnsi="宋体" w:cs="宋体"/>
                <w:color w:val="auto"/>
                <w:szCs w:val="21"/>
                <w:highlight w:val="none"/>
              </w:rPr>
              <w:t>10、层站微机异常处理</w:t>
            </w:r>
          </w:p>
          <w:p w14:paraId="5421F387">
            <w:pPr>
              <w:spacing w:line="360" w:lineRule="auto"/>
              <w:rPr>
                <w:rFonts w:ascii="宋体" w:hAnsi="宋体" w:cs="宋体"/>
                <w:color w:val="auto"/>
                <w:szCs w:val="21"/>
                <w:highlight w:val="none"/>
              </w:rPr>
            </w:pPr>
            <w:r>
              <w:rPr>
                <w:rFonts w:hint="eastAsia" w:ascii="宋体" w:hAnsi="宋体" w:cs="宋体"/>
                <w:color w:val="auto"/>
                <w:szCs w:val="21"/>
                <w:highlight w:val="none"/>
              </w:rPr>
              <w:t>11、层站运行控制开关</w:t>
            </w:r>
          </w:p>
          <w:p w14:paraId="3374F21D">
            <w:pPr>
              <w:spacing w:line="360" w:lineRule="auto"/>
              <w:rPr>
                <w:rFonts w:ascii="宋体" w:hAnsi="宋体" w:cs="宋体"/>
                <w:color w:val="auto"/>
                <w:szCs w:val="21"/>
                <w:highlight w:val="none"/>
              </w:rPr>
            </w:pPr>
            <w:r>
              <w:rPr>
                <w:rFonts w:hint="eastAsia" w:ascii="宋体" w:hAnsi="宋体" w:cs="宋体"/>
                <w:color w:val="auto"/>
                <w:szCs w:val="21"/>
                <w:highlight w:val="none"/>
              </w:rPr>
              <w:t>12、轿内指令微动按钮</w:t>
            </w:r>
          </w:p>
          <w:p w14:paraId="05EB6CD2">
            <w:pPr>
              <w:spacing w:line="360" w:lineRule="auto"/>
              <w:rPr>
                <w:rFonts w:ascii="宋体" w:hAnsi="宋体" w:cs="宋体"/>
                <w:color w:val="auto"/>
                <w:szCs w:val="21"/>
                <w:highlight w:val="none"/>
              </w:rPr>
            </w:pPr>
            <w:r>
              <w:rPr>
                <w:rFonts w:hint="eastAsia" w:ascii="宋体" w:hAnsi="宋体" w:cs="宋体"/>
                <w:color w:val="auto"/>
                <w:szCs w:val="21"/>
                <w:highlight w:val="none"/>
              </w:rPr>
              <w:t>13、轿内运行方向指示</w:t>
            </w:r>
          </w:p>
          <w:p w14:paraId="134FE780">
            <w:pPr>
              <w:spacing w:line="360" w:lineRule="auto"/>
              <w:rPr>
                <w:rFonts w:ascii="宋体" w:hAnsi="宋体" w:cs="宋体"/>
                <w:color w:val="auto"/>
                <w:szCs w:val="21"/>
                <w:highlight w:val="none"/>
              </w:rPr>
            </w:pPr>
            <w:r>
              <w:rPr>
                <w:rFonts w:hint="eastAsia" w:ascii="宋体" w:hAnsi="宋体" w:cs="宋体"/>
                <w:color w:val="auto"/>
                <w:szCs w:val="21"/>
                <w:highlight w:val="none"/>
              </w:rPr>
              <w:t>14、上班高峰服务</w:t>
            </w:r>
          </w:p>
          <w:p w14:paraId="2016362A">
            <w:pPr>
              <w:spacing w:line="360" w:lineRule="auto"/>
              <w:rPr>
                <w:rFonts w:ascii="宋体" w:hAnsi="宋体" w:cs="宋体"/>
                <w:color w:val="auto"/>
                <w:szCs w:val="21"/>
                <w:highlight w:val="none"/>
              </w:rPr>
            </w:pPr>
            <w:r>
              <w:rPr>
                <w:rFonts w:hint="eastAsia" w:ascii="宋体" w:hAnsi="宋体" w:cs="宋体"/>
                <w:color w:val="auto"/>
                <w:szCs w:val="21"/>
                <w:highlight w:val="none"/>
              </w:rPr>
              <w:t>15、群控后备运行</w:t>
            </w:r>
          </w:p>
          <w:p w14:paraId="474BC61B">
            <w:pPr>
              <w:spacing w:line="360" w:lineRule="auto"/>
              <w:rPr>
                <w:rFonts w:ascii="宋体" w:hAnsi="宋体" w:cs="宋体"/>
                <w:color w:val="auto"/>
                <w:szCs w:val="21"/>
                <w:highlight w:val="none"/>
              </w:rPr>
            </w:pPr>
            <w:r>
              <w:rPr>
                <w:rFonts w:hint="eastAsia" w:ascii="宋体" w:hAnsi="宋体" w:cs="宋体"/>
                <w:color w:val="auto"/>
                <w:szCs w:val="21"/>
                <w:highlight w:val="none"/>
              </w:rPr>
              <w:t>16、层站到站指示</w:t>
            </w:r>
          </w:p>
          <w:p w14:paraId="6CAD6B2E">
            <w:pPr>
              <w:spacing w:line="360" w:lineRule="auto"/>
              <w:rPr>
                <w:rFonts w:ascii="宋体" w:hAnsi="宋体" w:cs="宋体"/>
                <w:color w:val="auto"/>
                <w:szCs w:val="21"/>
                <w:highlight w:val="none"/>
              </w:rPr>
            </w:pPr>
            <w:r>
              <w:rPr>
                <w:rFonts w:hint="eastAsia" w:ascii="宋体" w:hAnsi="宋体" w:cs="宋体"/>
                <w:color w:val="auto"/>
                <w:szCs w:val="21"/>
                <w:highlight w:val="none"/>
              </w:rPr>
              <w:t>17、多方通话装置</w:t>
            </w:r>
          </w:p>
          <w:p w14:paraId="5EB06228">
            <w:pPr>
              <w:spacing w:line="360" w:lineRule="auto"/>
              <w:rPr>
                <w:rFonts w:ascii="宋体" w:hAnsi="宋体" w:cs="宋体"/>
                <w:color w:val="auto"/>
                <w:szCs w:val="21"/>
                <w:highlight w:val="none"/>
              </w:rPr>
            </w:pPr>
            <w:r>
              <w:rPr>
                <w:rFonts w:hint="eastAsia" w:ascii="宋体" w:hAnsi="宋体" w:cs="宋体"/>
                <w:color w:val="auto"/>
                <w:szCs w:val="21"/>
                <w:highlight w:val="none"/>
              </w:rPr>
              <w:t>18、高加速度运行</w:t>
            </w:r>
          </w:p>
          <w:p w14:paraId="4F508255">
            <w:pPr>
              <w:spacing w:line="360" w:lineRule="auto"/>
              <w:rPr>
                <w:rFonts w:ascii="宋体" w:hAnsi="宋体" w:cs="宋体"/>
                <w:color w:val="auto"/>
                <w:szCs w:val="21"/>
                <w:highlight w:val="none"/>
              </w:rPr>
            </w:pPr>
            <w:r>
              <w:rPr>
                <w:rFonts w:hint="eastAsia" w:ascii="宋体" w:hAnsi="宋体" w:cs="宋体"/>
                <w:color w:val="auto"/>
                <w:szCs w:val="21"/>
                <w:highlight w:val="none"/>
              </w:rPr>
              <w:t>19、上电再平层</w:t>
            </w:r>
          </w:p>
          <w:p w14:paraId="33B3C8F7">
            <w:pPr>
              <w:spacing w:line="360" w:lineRule="auto"/>
              <w:rPr>
                <w:rFonts w:ascii="宋体" w:hAnsi="宋体" w:cs="宋体"/>
                <w:color w:val="auto"/>
                <w:szCs w:val="21"/>
                <w:highlight w:val="none"/>
              </w:rPr>
            </w:pPr>
            <w:r>
              <w:rPr>
                <w:rFonts w:hint="eastAsia" w:ascii="宋体" w:hAnsi="宋体" w:cs="宋体"/>
                <w:color w:val="auto"/>
                <w:szCs w:val="21"/>
                <w:highlight w:val="none"/>
              </w:rPr>
              <w:t>20、换向重开门</w:t>
            </w:r>
          </w:p>
          <w:p w14:paraId="6854F11A">
            <w:pPr>
              <w:spacing w:line="360" w:lineRule="auto"/>
              <w:rPr>
                <w:rFonts w:ascii="宋体" w:hAnsi="宋体" w:cs="宋体"/>
                <w:color w:val="auto"/>
                <w:szCs w:val="21"/>
                <w:highlight w:val="none"/>
              </w:rPr>
            </w:pPr>
            <w:r>
              <w:rPr>
                <w:rFonts w:hint="eastAsia" w:ascii="宋体" w:hAnsi="宋体" w:cs="宋体"/>
                <w:color w:val="auto"/>
                <w:szCs w:val="21"/>
                <w:highlight w:val="none"/>
              </w:rPr>
              <w:t>21、门负载检测</w:t>
            </w:r>
          </w:p>
          <w:p w14:paraId="2093C696">
            <w:pPr>
              <w:spacing w:line="360" w:lineRule="auto"/>
              <w:rPr>
                <w:rFonts w:ascii="宋体" w:hAnsi="宋体" w:cs="宋体"/>
                <w:color w:val="auto"/>
                <w:szCs w:val="21"/>
                <w:highlight w:val="none"/>
              </w:rPr>
            </w:pPr>
            <w:r>
              <w:rPr>
                <w:rFonts w:hint="eastAsia" w:ascii="宋体" w:hAnsi="宋体" w:cs="宋体"/>
                <w:color w:val="auto"/>
                <w:szCs w:val="21"/>
                <w:highlight w:val="none"/>
              </w:rPr>
              <w:t>22、本层再开门</w:t>
            </w:r>
          </w:p>
          <w:p w14:paraId="1702DF8F">
            <w:pPr>
              <w:spacing w:line="360" w:lineRule="auto"/>
              <w:rPr>
                <w:rFonts w:ascii="宋体" w:hAnsi="宋体" w:cs="宋体"/>
                <w:color w:val="auto"/>
                <w:szCs w:val="21"/>
                <w:highlight w:val="none"/>
              </w:rPr>
            </w:pPr>
            <w:r>
              <w:rPr>
                <w:rFonts w:hint="eastAsia" w:ascii="宋体" w:hAnsi="宋体" w:cs="宋体"/>
                <w:color w:val="auto"/>
                <w:szCs w:val="21"/>
                <w:highlight w:val="none"/>
              </w:rPr>
              <w:t>23、群管理自我诊断</w:t>
            </w:r>
          </w:p>
          <w:p w14:paraId="3CF5CFC9">
            <w:pPr>
              <w:spacing w:line="360" w:lineRule="auto"/>
              <w:rPr>
                <w:rFonts w:ascii="宋体" w:hAnsi="宋体" w:cs="宋体"/>
                <w:color w:val="auto"/>
                <w:szCs w:val="21"/>
                <w:highlight w:val="none"/>
              </w:rPr>
            </w:pPr>
            <w:r>
              <w:rPr>
                <w:rFonts w:hint="eastAsia" w:ascii="宋体" w:hAnsi="宋体" w:cs="宋体"/>
                <w:color w:val="auto"/>
                <w:szCs w:val="21"/>
                <w:highlight w:val="none"/>
              </w:rPr>
              <w:t>24、检修操作</w:t>
            </w:r>
          </w:p>
          <w:p w14:paraId="759C1747">
            <w:pPr>
              <w:spacing w:line="360" w:lineRule="auto"/>
              <w:rPr>
                <w:rFonts w:ascii="宋体" w:hAnsi="宋体" w:cs="宋体"/>
                <w:color w:val="auto"/>
                <w:szCs w:val="21"/>
                <w:highlight w:val="none"/>
              </w:rPr>
            </w:pPr>
            <w:r>
              <w:rPr>
                <w:rFonts w:hint="eastAsia" w:ascii="宋体" w:hAnsi="宋体" w:cs="宋体"/>
                <w:color w:val="auto"/>
                <w:szCs w:val="21"/>
                <w:highlight w:val="none"/>
              </w:rPr>
              <w:t>25、称重启动</w:t>
            </w:r>
          </w:p>
          <w:p w14:paraId="18203901">
            <w:pPr>
              <w:spacing w:line="360" w:lineRule="auto"/>
              <w:rPr>
                <w:rFonts w:ascii="宋体" w:hAnsi="宋体" w:cs="宋体"/>
                <w:color w:val="auto"/>
                <w:szCs w:val="21"/>
                <w:highlight w:val="none"/>
              </w:rPr>
            </w:pPr>
            <w:r>
              <w:rPr>
                <w:rFonts w:hint="eastAsia" w:ascii="宋体" w:hAnsi="宋体" w:cs="宋体"/>
                <w:color w:val="auto"/>
                <w:szCs w:val="21"/>
                <w:highlight w:val="none"/>
              </w:rPr>
              <w:t>26、安全停靠</w:t>
            </w:r>
          </w:p>
          <w:p w14:paraId="41E7F858">
            <w:pPr>
              <w:spacing w:line="360" w:lineRule="auto"/>
              <w:rPr>
                <w:rFonts w:ascii="宋体" w:hAnsi="宋体" w:cs="宋体"/>
                <w:color w:val="auto"/>
                <w:szCs w:val="21"/>
                <w:highlight w:val="none"/>
              </w:rPr>
            </w:pPr>
            <w:r>
              <w:rPr>
                <w:rFonts w:hint="eastAsia" w:ascii="宋体" w:hAnsi="宋体" w:cs="宋体"/>
                <w:color w:val="auto"/>
                <w:szCs w:val="21"/>
                <w:highlight w:val="none"/>
              </w:rPr>
              <w:t>27、轿内FE运行指示</w:t>
            </w:r>
          </w:p>
          <w:p w14:paraId="4E52355D">
            <w:pPr>
              <w:spacing w:line="360" w:lineRule="auto"/>
              <w:rPr>
                <w:rFonts w:ascii="宋体" w:hAnsi="宋体" w:cs="宋体"/>
                <w:color w:val="auto"/>
                <w:szCs w:val="21"/>
                <w:highlight w:val="none"/>
              </w:rPr>
            </w:pPr>
            <w:r>
              <w:rPr>
                <w:rFonts w:hint="eastAsia" w:ascii="宋体" w:hAnsi="宋体" w:cs="宋体"/>
                <w:color w:val="auto"/>
                <w:szCs w:val="21"/>
                <w:highlight w:val="none"/>
              </w:rPr>
              <w:t>28、层站召唤自动登记</w:t>
            </w:r>
          </w:p>
          <w:p w14:paraId="7CFA4495">
            <w:pPr>
              <w:spacing w:line="360" w:lineRule="auto"/>
              <w:rPr>
                <w:rFonts w:ascii="宋体" w:hAnsi="宋体" w:cs="宋体"/>
                <w:color w:val="auto"/>
                <w:szCs w:val="21"/>
                <w:highlight w:val="none"/>
              </w:rPr>
            </w:pPr>
            <w:r>
              <w:rPr>
                <w:rFonts w:hint="eastAsia" w:ascii="宋体" w:hAnsi="宋体" w:cs="宋体"/>
                <w:color w:val="auto"/>
                <w:szCs w:val="21"/>
                <w:highlight w:val="none"/>
              </w:rPr>
              <w:t>29、门传感器自诊断</w:t>
            </w:r>
          </w:p>
          <w:p w14:paraId="03B223EF">
            <w:pPr>
              <w:spacing w:line="360" w:lineRule="auto"/>
              <w:rPr>
                <w:rFonts w:ascii="宋体" w:hAnsi="宋体" w:cs="宋体"/>
                <w:color w:val="auto"/>
                <w:szCs w:val="21"/>
                <w:highlight w:val="none"/>
              </w:rPr>
            </w:pPr>
            <w:r>
              <w:rPr>
                <w:rFonts w:hint="eastAsia" w:ascii="宋体" w:hAnsi="宋体" w:cs="宋体"/>
                <w:color w:val="auto"/>
                <w:szCs w:val="21"/>
                <w:highlight w:val="none"/>
              </w:rPr>
              <w:t>30、门速自适应控制</w:t>
            </w:r>
          </w:p>
          <w:p w14:paraId="22D641E9">
            <w:pPr>
              <w:spacing w:line="360" w:lineRule="auto"/>
              <w:rPr>
                <w:rFonts w:ascii="宋体" w:hAnsi="宋体" w:cs="宋体"/>
                <w:color w:val="auto"/>
                <w:szCs w:val="21"/>
                <w:highlight w:val="none"/>
              </w:rPr>
            </w:pPr>
            <w:r>
              <w:rPr>
                <w:rFonts w:hint="eastAsia" w:ascii="宋体" w:hAnsi="宋体" w:cs="宋体"/>
                <w:color w:val="auto"/>
                <w:szCs w:val="21"/>
                <w:highlight w:val="none"/>
              </w:rPr>
              <w:t>31、多光幕门探测器</w:t>
            </w:r>
          </w:p>
          <w:p w14:paraId="629F0279">
            <w:pPr>
              <w:spacing w:line="360" w:lineRule="auto"/>
              <w:rPr>
                <w:rFonts w:ascii="宋体" w:hAnsi="宋体" w:cs="宋体"/>
                <w:color w:val="auto"/>
                <w:szCs w:val="21"/>
                <w:highlight w:val="none"/>
              </w:rPr>
            </w:pPr>
            <w:r>
              <w:rPr>
                <w:rFonts w:hint="eastAsia" w:ascii="宋体" w:hAnsi="宋体" w:cs="宋体"/>
                <w:color w:val="auto"/>
                <w:szCs w:val="21"/>
                <w:highlight w:val="none"/>
              </w:rPr>
              <w:t>32、动态规则集优化</w:t>
            </w:r>
          </w:p>
          <w:p w14:paraId="12730750">
            <w:pPr>
              <w:spacing w:line="360" w:lineRule="auto"/>
              <w:rPr>
                <w:rFonts w:ascii="宋体" w:hAnsi="宋体" w:cs="宋体"/>
                <w:color w:val="auto"/>
                <w:szCs w:val="21"/>
                <w:highlight w:val="none"/>
              </w:rPr>
            </w:pPr>
            <w:r>
              <w:rPr>
                <w:rFonts w:hint="eastAsia" w:ascii="宋体" w:hAnsi="宋体" w:cs="宋体"/>
                <w:color w:val="auto"/>
                <w:szCs w:val="21"/>
                <w:highlight w:val="none"/>
              </w:rPr>
              <w:t>33、电梯不启动报警</w:t>
            </w:r>
          </w:p>
          <w:p w14:paraId="706AF4DA">
            <w:pPr>
              <w:spacing w:line="360" w:lineRule="auto"/>
              <w:rPr>
                <w:rFonts w:ascii="宋体" w:hAnsi="宋体" w:cs="宋体"/>
                <w:color w:val="auto"/>
                <w:szCs w:val="21"/>
                <w:highlight w:val="none"/>
              </w:rPr>
            </w:pPr>
            <w:r>
              <w:rPr>
                <w:rFonts w:hint="eastAsia" w:ascii="宋体" w:hAnsi="宋体" w:cs="宋体"/>
                <w:color w:val="auto"/>
                <w:szCs w:val="21"/>
                <w:highlight w:val="none"/>
              </w:rPr>
              <w:t>34、关门力矩控制</w:t>
            </w:r>
          </w:p>
          <w:p w14:paraId="4A9544F6">
            <w:pPr>
              <w:spacing w:line="360" w:lineRule="auto"/>
              <w:rPr>
                <w:rFonts w:ascii="宋体" w:hAnsi="宋体" w:cs="宋体"/>
                <w:color w:val="auto"/>
                <w:szCs w:val="21"/>
                <w:highlight w:val="none"/>
              </w:rPr>
            </w:pPr>
            <w:r>
              <w:rPr>
                <w:rFonts w:hint="eastAsia" w:ascii="宋体" w:hAnsi="宋体" w:cs="宋体"/>
                <w:color w:val="auto"/>
                <w:szCs w:val="21"/>
                <w:highlight w:val="none"/>
              </w:rPr>
              <w:t>35、开门受阻控制</w:t>
            </w:r>
          </w:p>
          <w:p w14:paraId="59E41F98">
            <w:pPr>
              <w:spacing w:line="360" w:lineRule="auto"/>
              <w:rPr>
                <w:rFonts w:ascii="宋体" w:hAnsi="宋体" w:cs="宋体"/>
                <w:color w:val="auto"/>
                <w:szCs w:val="21"/>
                <w:highlight w:val="none"/>
              </w:rPr>
            </w:pPr>
            <w:r>
              <w:rPr>
                <w:rFonts w:hint="eastAsia" w:ascii="宋体" w:hAnsi="宋体" w:cs="宋体"/>
                <w:color w:val="auto"/>
                <w:szCs w:val="21"/>
                <w:highlight w:val="none"/>
              </w:rPr>
              <w:t>36、响铃强制关门</w:t>
            </w:r>
          </w:p>
          <w:p w14:paraId="236197F8">
            <w:pPr>
              <w:spacing w:line="360" w:lineRule="auto"/>
              <w:rPr>
                <w:rFonts w:ascii="宋体" w:hAnsi="宋体" w:cs="宋体"/>
                <w:color w:val="auto"/>
                <w:szCs w:val="21"/>
                <w:highlight w:val="none"/>
              </w:rPr>
            </w:pPr>
            <w:r>
              <w:rPr>
                <w:rFonts w:hint="eastAsia" w:ascii="宋体" w:hAnsi="宋体" w:cs="宋体"/>
                <w:color w:val="auto"/>
                <w:szCs w:val="21"/>
                <w:highlight w:val="none"/>
              </w:rPr>
              <w:t>37、电梯分配调整</w:t>
            </w:r>
          </w:p>
          <w:p w14:paraId="7E201FC9">
            <w:pPr>
              <w:spacing w:line="360" w:lineRule="auto"/>
              <w:rPr>
                <w:rFonts w:ascii="宋体" w:hAnsi="宋体" w:cs="宋体"/>
                <w:color w:val="auto"/>
                <w:szCs w:val="21"/>
                <w:highlight w:val="none"/>
              </w:rPr>
            </w:pPr>
            <w:r>
              <w:rPr>
                <w:rFonts w:hint="eastAsia" w:ascii="宋体" w:hAnsi="宋体" w:cs="宋体"/>
                <w:color w:val="auto"/>
                <w:szCs w:val="21"/>
                <w:highlight w:val="none"/>
              </w:rPr>
              <w:t>38、下班高峰服务</w:t>
            </w:r>
          </w:p>
          <w:p w14:paraId="4F24FF34">
            <w:pPr>
              <w:spacing w:line="360" w:lineRule="auto"/>
              <w:rPr>
                <w:rFonts w:ascii="宋体" w:hAnsi="宋体" w:cs="宋体"/>
                <w:color w:val="auto"/>
                <w:szCs w:val="21"/>
                <w:highlight w:val="none"/>
              </w:rPr>
            </w:pPr>
            <w:r>
              <w:rPr>
                <w:rFonts w:hint="eastAsia" w:ascii="宋体" w:hAnsi="宋体" w:cs="宋体"/>
                <w:color w:val="auto"/>
                <w:szCs w:val="21"/>
                <w:highlight w:val="none"/>
              </w:rPr>
              <w:t>39、动态分散待机</w:t>
            </w:r>
          </w:p>
          <w:p w14:paraId="4878C433">
            <w:pPr>
              <w:spacing w:line="360" w:lineRule="auto"/>
              <w:rPr>
                <w:rFonts w:ascii="宋体" w:hAnsi="宋体" w:cs="宋体"/>
                <w:color w:val="auto"/>
                <w:szCs w:val="21"/>
                <w:highlight w:val="none"/>
              </w:rPr>
            </w:pPr>
            <w:r>
              <w:rPr>
                <w:rFonts w:hint="eastAsia" w:ascii="宋体" w:hAnsi="宋体" w:cs="宋体"/>
                <w:color w:val="auto"/>
                <w:szCs w:val="21"/>
                <w:highlight w:val="none"/>
              </w:rPr>
              <w:t>40、停层开门</w:t>
            </w:r>
          </w:p>
          <w:p w14:paraId="46AE6824">
            <w:pPr>
              <w:spacing w:line="360" w:lineRule="auto"/>
              <w:rPr>
                <w:rFonts w:ascii="宋体" w:hAnsi="宋体" w:cs="宋体"/>
                <w:color w:val="auto"/>
                <w:szCs w:val="21"/>
                <w:highlight w:val="none"/>
              </w:rPr>
            </w:pPr>
            <w:r>
              <w:rPr>
                <w:rFonts w:hint="eastAsia" w:ascii="宋体" w:hAnsi="宋体" w:cs="宋体"/>
                <w:color w:val="auto"/>
                <w:szCs w:val="21"/>
                <w:highlight w:val="none"/>
              </w:rPr>
              <w:t>41、关门保护</w:t>
            </w:r>
          </w:p>
          <w:p w14:paraId="11541222">
            <w:pPr>
              <w:spacing w:line="360" w:lineRule="auto"/>
              <w:rPr>
                <w:rFonts w:ascii="宋体" w:hAnsi="宋体" w:cs="宋体"/>
                <w:color w:val="auto"/>
                <w:szCs w:val="21"/>
                <w:highlight w:val="none"/>
              </w:rPr>
            </w:pPr>
            <w:r>
              <w:rPr>
                <w:rFonts w:hint="eastAsia" w:ascii="宋体" w:hAnsi="宋体" w:cs="宋体"/>
                <w:color w:val="auto"/>
                <w:szCs w:val="21"/>
                <w:highlight w:val="none"/>
              </w:rPr>
              <w:t>42、即时关门</w:t>
            </w:r>
          </w:p>
          <w:p w14:paraId="1421C5BB">
            <w:pPr>
              <w:spacing w:line="360" w:lineRule="auto"/>
              <w:rPr>
                <w:rFonts w:ascii="宋体" w:hAnsi="宋体" w:cs="宋体"/>
                <w:color w:val="auto"/>
                <w:szCs w:val="21"/>
                <w:highlight w:val="none"/>
              </w:rPr>
            </w:pPr>
            <w:r>
              <w:rPr>
                <w:rFonts w:hint="eastAsia" w:ascii="宋体" w:hAnsi="宋体" w:cs="宋体"/>
                <w:color w:val="auto"/>
                <w:szCs w:val="21"/>
                <w:highlight w:val="none"/>
              </w:rPr>
              <w:t>43、重复关门</w:t>
            </w:r>
          </w:p>
          <w:p w14:paraId="595EA1C1">
            <w:pPr>
              <w:spacing w:line="360" w:lineRule="auto"/>
              <w:rPr>
                <w:rFonts w:ascii="宋体" w:hAnsi="宋体" w:cs="宋体"/>
                <w:color w:val="auto"/>
                <w:szCs w:val="21"/>
                <w:highlight w:val="none"/>
              </w:rPr>
            </w:pPr>
            <w:r>
              <w:rPr>
                <w:rFonts w:hint="eastAsia" w:ascii="宋体" w:hAnsi="宋体" w:cs="宋体"/>
                <w:color w:val="auto"/>
                <w:szCs w:val="21"/>
                <w:highlight w:val="none"/>
              </w:rPr>
              <w:t>44、消防迫降</w:t>
            </w:r>
          </w:p>
          <w:p w14:paraId="30F1D45A">
            <w:pPr>
              <w:spacing w:line="360" w:lineRule="auto"/>
              <w:rPr>
                <w:rFonts w:ascii="宋体" w:hAnsi="宋体" w:cs="宋体"/>
                <w:color w:val="auto"/>
                <w:szCs w:val="21"/>
                <w:highlight w:val="none"/>
              </w:rPr>
            </w:pPr>
            <w:r>
              <w:rPr>
                <w:rFonts w:hint="eastAsia" w:ascii="宋体" w:hAnsi="宋体" w:cs="宋体"/>
                <w:color w:val="auto"/>
                <w:szCs w:val="21"/>
                <w:highlight w:val="none"/>
              </w:rPr>
              <w:t>45、学习功能</w:t>
            </w:r>
          </w:p>
          <w:p w14:paraId="2839932A">
            <w:pPr>
              <w:spacing w:line="360" w:lineRule="auto"/>
              <w:rPr>
                <w:rFonts w:ascii="宋体" w:hAnsi="宋体" w:cs="宋体"/>
                <w:color w:val="auto"/>
                <w:szCs w:val="21"/>
                <w:highlight w:val="none"/>
              </w:rPr>
            </w:pPr>
            <w:r>
              <w:rPr>
                <w:rFonts w:hint="eastAsia" w:ascii="宋体" w:hAnsi="宋体" w:cs="宋体"/>
                <w:color w:val="auto"/>
                <w:szCs w:val="21"/>
                <w:highlight w:val="none"/>
              </w:rPr>
              <w:t>46、连续服务</w:t>
            </w:r>
          </w:p>
          <w:p w14:paraId="5E45D332">
            <w:pPr>
              <w:spacing w:line="360" w:lineRule="auto"/>
              <w:rPr>
                <w:rFonts w:ascii="宋体" w:hAnsi="宋体" w:cs="宋体"/>
                <w:color w:val="auto"/>
                <w:szCs w:val="21"/>
                <w:highlight w:val="none"/>
              </w:rPr>
            </w:pPr>
            <w:r>
              <w:rPr>
                <w:rFonts w:hint="eastAsia" w:ascii="宋体" w:hAnsi="宋体" w:cs="宋体"/>
                <w:color w:val="auto"/>
                <w:szCs w:val="21"/>
                <w:highlight w:val="none"/>
              </w:rPr>
              <w:t>47、独立运行</w:t>
            </w:r>
          </w:p>
          <w:p w14:paraId="614FC060">
            <w:pPr>
              <w:spacing w:line="360" w:lineRule="auto"/>
              <w:rPr>
                <w:rFonts w:ascii="宋体" w:hAnsi="宋体" w:cs="宋体"/>
                <w:color w:val="auto"/>
                <w:szCs w:val="21"/>
                <w:highlight w:val="none"/>
              </w:rPr>
            </w:pPr>
            <w:r>
              <w:rPr>
                <w:rFonts w:hint="eastAsia" w:ascii="宋体" w:hAnsi="宋体" w:cs="宋体"/>
                <w:color w:val="auto"/>
                <w:szCs w:val="21"/>
                <w:highlight w:val="none"/>
              </w:rPr>
              <w:t>48、次层停靠</w:t>
            </w:r>
          </w:p>
          <w:p w14:paraId="551CACE9">
            <w:pPr>
              <w:spacing w:line="360" w:lineRule="auto"/>
              <w:rPr>
                <w:rFonts w:ascii="宋体" w:hAnsi="宋体" w:cs="宋体"/>
                <w:color w:val="auto"/>
                <w:szCs w:val="21"/>
                <w:highlight w:val="none"/>
              </w:rPr>
            </w:pPr>
            <w:r>
              <w:rPr>
                <w:rFonts w:hint="eastAsia" w:ascii="宋体" w:hAnsi="宋体" w:cs="宋体"/>
                <w:color w:val="auto"/>
                <w:szCs w:val="21"/>
                <w:highlight w:val="none"/>
              </w:rPr>
              <w:t>49、超载报警</w:t>
            </w:r>
          </w:p>
          <w:p w14:paraId="7F2DC9A3">
            <w:pPr>
              <w:spacing w:line="360" w:lineRule="auto"/>
              <w:rPr>
                <w:rFonts w:ascii="宋体" w:hAnsi="宋体" w:cs="宋体"/>
                <w:color w:val="auto"/>
                <w:szCs w:val="21"/>
                <w:highlight w:val="none"/>
              </w:rPr>
            </w:pPr>
            <w:r>
              <w:rPr>
                <w:rFonts w:hint="eastAsia" w:ascii="宋体" w:hAnsi="宋体" w:cs="宋体"/>
                <w:color w:val="auto"/>
                <w:szCs w:val="21"/>
                <w:highlight w:val="none"/>
              </w:rPr>
              <w:t>50、电子看门人</w:t>
            </w:r>
          </w:p>
          <w:p w14:paraId="60D86834">
            <w:pPr>
              <w:spacing w:line="360" w:lineRule="auto"/>
              <w:rPr>
                <w:rFonts w:ascii="宋体" w:hAnsi="宋体" w:cs="宋体"/>
                <w:color w:val="auto"/>
                <w:szCs w:val="21"/>
                <w:highlight w:val="none"/>
              </w:rPr>
            </w:pPr>
            <w:r>
              <w:rPr>
                <w:rFonts w:hint="eastAsia" w:ascii="宋体" w:hAnsi="宋体" w:cs="宋体"/>
                <w:color w:val="auto"/>
                <w:szCs w:val="21"/>
                <w:highlight w:val="none"/>
              </w:rPr>
              <w:t>51、轿厢配置空调</w:t>
            </w:r>
          </w:p>
          <w:p w14:paraId="5AF397EA">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52、快速绿色通道</w:t>
            </w:r>
          </w:p>
          <w:p w14:paraId="3A521E91">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53、能量回馈功能</w:t>
            </w:r>
          </w:p>
          <w:p w14:paraId="342DF746">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54、司机操作功能</w:t>
            </w:r>
          </w:p>
          <w:p w14:paraId="14BE781C">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五、装饰材质要求：</w:t>
            </w:r>
          </w:p>
          <w:p w14:paraId="48E485F0">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1、轿厢壁： 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7B931BAA">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2、轿门：SUS 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7F0620AC">
            <w:pPr>
              <w:spacing w:line="360" w:lineRule="auto"/>
              <w:rPr>
                <w:rFonts w:ascii="宋体" w:hAnsi="宋体" w:cs="宋体"/>
                <w:color w:val="auto"/>
                <w:szCs w:val="21"/>
                <w:highlight w:val="none"/>
              </w:rPr>
            </w:pPr>
            <w:r>
              <w:rPr>
                <w:rFonts w:hint="eastAsia" w:ascii="宋体" w:hAnsi="宋体" w:cs="宋体"/>
                <w:color w:val="auto"/>
                <w:szCs w:val="21"/>
                <w:highlight w:val="none"/>
              </w:rPr>
              <w:t>3、轿顶：豪华轿顶。</w:t>
            </w:r>
          </w:p>
          <w:p w14:paraId="5AC42071">
            <w:pPr>
              <w:spacing w:line="360" w:lineRule="auto"/>
              <w:rPr>
                <w:rFonts w:ascii="宋体" w:hAnsi="宋体" w:cs="宋体"/>
                <w:color w:val="auto"/>
                <w:szCs w:val="21"/>
                <w:highlight w:val="none"/>
              </w:rPr>
            </w:pPr>
            <w:r>
              <w:rPr>
                <w:rFonts w:hint="eastAsia" w:ascii="宋体" w:hAnsi="宋体" w:cs="宋体"/>
                <w:color w:val="auto"/>
                <w:szCs w:val="21"/>
                <w:highlight w:val="none"/>
              </w:rPr>
              <w:t>4、轿厢地面：大理石地板。</w:t>
            </w:r>
          </w:p>
          <w:p w14:paraId="5BC8516A">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5、层门：所有层SUS304发纹不锈钢，厚度≥1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1329BD71">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6、门套：所有层SUS304发纹不锈钢小门套。</w:t>
            </w:r>
          </w:p>
          <w:p w14:paraId="4616A6D6">
            <w:pPr>
              <w:spacing w:line="360" w:lineRule="auto"/>
              <w:rPr>
                <w:rFonts w:ascii="宋体" w:hAnsi="宋体" w:cs="宋体"/>
                <w:color w:val="auto"/>
                <w:szCs w:val="21"/>
                <w:highlight w:val="none"/>
              </w:rPr>
            </w:pPr>
            <w:r>
              <w:rPr>
                <w:rFonts w:hint="eastAsia" w:ascii="宋体" w:hAnsi="宋体" w:cs="宋体"/>
                <w:color w:val="auto"/>
                <w:szCs w:val="21"/>
                <w:highlight w:val="none"/>
              </w:rPr>
              <w:t>7、轿厢操纵箱：10.4英寸液晶显示屏,发纹不锈钢面板，发纹不锈钢按钮触摸屏操纵箱。</w:t>
            </w:r>
          </w:p>
          <w:p w14:paraId="7F61CE4B">
            <w:pPr>
              <w:spacing w:line="360" w:lineRule="auto"/>
              <w:rPr>
                <w:rFonts w:ascii="宋体" w:hAnsi="宋体" w:cs="宋体"/>
                <w:color w:val="auto"/>
                <w:szCs w:val="21"/>
                <w:highlight w:val="none"/>
              </w:rPr>
            </w:pPr>
            <w:r>
              <w:rPr>
                <w:rFonts w:hint="eastAsia" w:ascii="宋体" w:hAnsi="宋体" w:cs="宋体"/>
                <w:color w:val="auto"/>
                <w:szCs w:val="21"/>
                <w:highlight w:val="none"/>
              </w:rPr>
              <w:t>8、厅外召唤箱：液晶显示板，发纹不锈钢面板，发纹不锈钢按钮。</w:t>
            </w:r>
          </w:p>
        </w:tc>
      </w:tr>
      <w:tr w14:paraId="4354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2" w:type="dxa"/>
            <w:vAlign w:val="center"/>
          </w:tcPr>
          <w:p w14:paraId="1FFFF551">
            <w:pPr>
              <w:pStyle w:val="103"/>
              <w:spacing w:before="0" w:after="0" w:line="360" w:lineRule="auto"/>
              <w:jc w:val="center"/>
              <w:rPr>
                <w:rFonts w:ascii="宋体" w:hAnsi="宋体" w:cs="宋体"/>
                <w:color w:val="auto"/>
                <w:szCs w:val="21"/>
                <w:highlight w:val="none"/>
              </w:rPr>
            </w:pPr>
            <w:r>
              <w:rPr>
                <w:rFonts w:hint="eastAsia" w:ascii="宋体" w:hAnsi="宋体" w:cs="宋体"/>
                <w:bCs w:val="0"/>
                <w:color w:val="auto"/>
                <w:spacing w:val="0"/>
                <w:sz w:val="21"/>
                <w:szCs w:val="21"/>
                <w:highlight w:val="none"/>
              </w:rPr>
              <w:t>3</w:t>
            </w:r>
          </w:p>
        </w:tc>
        <w:tc>
          <w:tcPr>
            <w:tcW w:w="1488" w:type="dxa"/>
            <w:gridSpan w:val="2"/>
            <w:vAlign w:val="center"/>
          </w:tcPr>
          <w:p w14:paraId="73D36764">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乘客电梯</w:t>
            </w:r>
          </w:p>
          <w:p w14:paraId="42147051">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（DT4）</w:t>
            </w:r>
          </w:p>
        </w:tc>
        <w:tc>
          <w:tcPr>
            <w:tcW w:w="485" w:type="dxa"/>
            <w:vAlign w:val="center"/>
          </w:tcPr>
          <w:p w14:paraId="678494CC">
            <w:pPr>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565" w:type="dxa"/>
            <w:vAlign w:val="center"/>
          </w:tcPr>
          <w:p w14:paraId="4C6967F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部</w:t>
            </w:r>
          </w:p>
        </w:tc>
        <w:tc>
          <w:tcPr>
            <w:tcW w:w="6935" w:type="dxa"/>
            <w:vAlign w:val="center"/>
          </w:tcPr>
          <w:p w14:paraId="4D1CCC43">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一、技术规格参数要求</w:t>
            </w:r>
          </w:p>
          <w:p w14:paraId="4F86243F">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1、额定载重量：≥1350kg；（</w:t>
            </w:r>
            <w:r>
              <w:rPr>
                <w:rFonts w:hint="eastAsia"/>
                <w:b/>
                <w:bCs/>
                <w:color w:val="auto"/>
                <w:highlight w:val="none"/>
              </w:rPr>
              <w:t>投标时须提供承诺函或制造商的证明材料，并加盖投标人公章</w:t>
            </w:r>
            <w:r>
              <w:rPr>
                <w:rFonts w:hint="eastAsia" w:ascii="宋体" w:hAnsi="宋体" w:cs="宋体"/>
                <w:color w:val="auto"/>
                <w:szCs w:val="21"/>
                <w:highlight w:val="none"/>
              </w:rPr>
              <w:t>）</w:t>
            </w:r>
          </w:p>
          <w:p w14:paraId="778EB3F8">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2、额定速度：≥2.0m/s；</w:t>
            </w:r>
          </w:p>
          <w:p w14:paraId="65EDCF69">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层/站/门：29/29/29；</w:t>
            </w:r>
          </w:p>
          <w:p w14:paraId="341E8759">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4、轿厢净尺寸(宽×深×高):≥</w:t>
            </w:r>
            <w:r>
              <w:rPr>
                <w:rFonts w:hint="eastAsia" w:ascii="宋体" w:hAnsi="宋体" w:cs="宋体"/>
                <w:b/>
                <w:bCs/>
                <w:color w:val="auto"/>
                <w:szCs w:val="21"/>
                <w:highlight w:val="none"/>
              </w:rPr>
              <w:t>1650×1550×2400mm</w:t>
            </w:r>
            <w:r>
              <w:rPr>
                <w:rFonts w:hint="eastAsia" w:ascii="宋体" w:hAnsi="宋体" w:cs="宋体"/>
                <w:color w:val="auto"/>
                <w:szCs w:val="21"/>
                <w:highlight w:val="none"/>
              </w:rPr>
              <w:t>；（</w:t>
            </w:r>
            <w:r>
              <w:rPr>
                <w:rFonts w:hint="eastAsia"/>
                <w:color w:val="auto"/>
                <w:highlight w:val="none"/>
              </w:rPr>
              <w:t>投标时请提供承诺函或制造商的证明材料，</w:t>
            </w:r>
            <w:r>
              <w:rPr>
                <w:rFonts w:hint="eastAsia"/>
                <w:b/>
                <w:bCs/>
                <w:color w:val="auto"/>
                <w:highlight w:val="none"/>
              </w:rPr>
              <w:t>并加盖投标人公章</w:t>
            </w:r>
            <w:r>
              <w:rPr>
                <w:rFonts w:hint="eastAsia" w:ascii="宋体" w:hAnsi="宋体" w:cs="宋体"/>
                <w:color w:val="auto"/>
                <w:szCs w:val="21"/>
                <w:highlight w:val="none"/>
              </w:rPr>
              <w:t>）</w:t>
            </w:r>
          </w:p>
          <w:p w14:paraId="09B7EABB">
            <w:pPr>
              <w:spacing w:line="360" w:lineRule="auto"/>
              <w:rPr>
                <w:rFonts w:ascii="宋体" w:hAnsi="宋体" w:cs="宋体"/>
                <w:color w:val="auto"/>
                <w:szCs w:val="21"/>
                <w:highlight w:val="none"/>
              </w:rPr>
            </w:pPr>
            <w:r>
              <w:rPr>
                <w:rFonts w:hint="eastAsia" w:ascii="宋体" w:hAnsi="宋体" w:cs="宋体"/>
                <w:color w:val="auto"/>
                <w:szCs w:val="21"/>
                <w:highlight w:val="none"/>
              </w:rPr>
              <w:t>5、井道净尺寸(宽×深)：2200mm×2200mm；(按现场实际尺寸设计)；</w:t>
            </w:r>
          </w:p>
          <w:p w14:paraId="0789401F">
            <w:pPr>
              <w:spacing w:line="360" w:lineRule="auto"/>
              <w:rPr>
                <w:rFonts w:ascii="宋体" w:hAnsi="宋体" w:cs="宋体"/>
                <w:color w:val="auto"/>
                <w:szCs w:val="21"/>
                <w:highlight w:val="none"/>
              </w:rPr>
            </w:pPr>
            <w:r>
              <w:rPr>
                <w:rFonts w:hint="eastAsia" w:ascii="宋体" w:hAnsi="宋体" w:cs="宋体"/>
                <w:color w:val="auto"/>
                <w:szCs w:val="21"/>
                <w:highlight w:val="none"/>
              </w:rPr>
              <w:t>6、顶层净高：4600mm；(按现场实际尺寸设计)；</w:t>
            </w:r>
          </w:p>
          <w:p w14:paraId="1A3B5441">
            <w:pPr>
              <w:spacing w:line="360" w:lineRule="auto"/>
              <w:rPr>
                <w:rFonts w:ascii="宋体" w:hAnsi="宋体" w:cs="宋体"/>
                <w:color w:val="auto"/>
                <w:szCs w:val="21"/>
                <w:highlight w:val="none"/>
              </w:rPr>
            </w:pPr>
            <w:r>
              <w:rPr>
                <w:rFonts w:hint="eastAsia" w:ascii="宋体" w:hAnsi="宋体" w:cs="宋体"/>
                <w:color w:val="auto"/>
                <w:szCs w:val="21"/>
                <w:highlight w:val="none"/>
              </w:rPr>
              <w:t>7、底坑净深：1700mm；(按现场实际尺寸设计)；</w:t>
            </w:r>
          </w:p>
          <w:p w14:paraId="335A9909">
            <w:pPr>
              <w:spacing w:line="360" w:lineRule="auto"/>
              <w:rPr>
                <w:rFonts w:ascii="宋体" w:hAnsi="宋体" w:cs="宋体"/>
                <w:color w:val="auto"/>
                <w:szCs w:val="21"/>
                <w:highlight w:val="none"/>
              </w:rPr>
            </w:pPr>
            <w:r>
              <w:rPr>
                <w:rFonts w:hint="eastAsia" w:ascii="宋体" w:hAnsi="宋体" w:cs="宋体"/>
                <w:color w:val="auto"/>
                <w:szCs w:val="21"/>
                <w:highlight w:val="none"/>
              </w:rPr>
              <w:t>8、开门尺寸：900mm×2100mm；</w:t>
            </w:r>
          </w:p>
          <w:p w14:paraId="0E923A09">
            <w:pPr>
              <w:spacing w:line="360" w:lineRule="auto"/>
              <w:rPr>
                <w:rFonts w:ascii="宋体" w:hAnsi="宋体" w:cs="宋体"/>
                <w:color w:val="auto"/>
                <w:szCs w:val="21"/>
                <w:highlight w:val="none"/>
              </w:rPr>
            </w:pPr>
            <w:r>
              <w:rPr>
                <w:rFonts w:hint="eastAsia" w:ascii="宋体" w:hAnsi="宋体" w:cs="宋体"/>
                <w:color w:val="auto"/>
                <w:szCs w:val="21"/>
                <w:highlight w:val="none"/>
              </w:rPr>
              <w:t>9、开门方式：中分门；</w:t>
            </w:r>
          </w:p>
          <w:p w14:paraId="6B090C30">
            <w:pPr>
              <w:spacing w:line="360" w:lineRule="auto"/>
              <w:rPr>
                <w:rFonts w:ascii="宋体" w:hAnsi="宋体" w:cs="宋体"/>
                <w:color w:val="auto"/>
                <w:szCs w:val="21"/>
                <w:highlight w:val="none"/>
              </w:rPr>
            </w:pPr>
            <w:r>
              <w:rPr>
                <w:rFonts w:hint="eastAsia" w:ascii="宋体" w:hAnsi="宋体" w:cs="宋体"/>
                <w:color w:val="auto"/>
                <w:szCs w:val="21"/>
                <w:highlight w:val="none"/>
              </w:rPr>
              <w:t>10、机房位置：井道顶部；</w:t>
            </w:r>
          </w:p>
          <w:p w14:paraId="5DE6ACCD">
            <w:pPr>
              <w:spacing w:line="360" w:lineRule="auto"/>
              <w:rPr>
                <w:rFonts w:ascii="宋体" w:hAnsi="宋体" w:cs="宋体"/>
                <w:color w:val="auto"/>
                <w:szCs w:val="21"/>
                <w:highlight w:val="none"/>
              </w:rPr>
            </w:pPr>
            <w:r>
              <w:rPr>
                <w:rFonts w:hint="eastAsia" w:ascii="宋体" w:hAnsi="宋体" w:cs="宋体"/>
                <w:color w:val="auto"/>
                <w:szCs w:val="21"/>
                <w:highlight w:val="none"/>
              </w:rPr>
              <w:t>11、供电方式：三相五线制；动力电源：AC380V±10%，50Hz±1Hz；照明电源：AC220V±10%，50Hz±1Hz；</w:t>
            </w:r>
          </w:p>
          <w:p w14:paraId="69573080">
            <w:pPr>
              <w:pStyle w:val="34"/>
              <w:spacing w:line="360" w:lineRule="auto"/>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w:t>
            </w:r>
            <w:r>
              <w:rPr>
                <w:rFonts w:ascii="宋体" w:hAnsi="宋体" w:cs="宋体"/>
                <w:color w:val="auto"/>
                <w:kern w:val="0"/>
                <w:sz w:val="21"/>
                <w:szCs w:val="21"/>
                <w:highlight w:val="none"/>
                <w:lang w:bidi="ar"/>
              </w:rPr>
              <w:t>2</w:t>
            </w:r>
            <w:r>
              <w:rPr>
                <w:rFonts w:hint="eastAsia" w:ascii="宋体" w:hAnsi="宋体" w:cs="宋体"/>
                <w:color w:val="auto"/>
                <w:kern w:val="0"/>
                <w:sz w:val="21"/>
                <w:szCs w:val="21"/>
                <w:highlight w:val="none"/>
                <w:lang w:bidi="ar"/>
              </w:rPr>
              <w:t>、</w:t>
            </w:r>
            <w:r>
              <w:rPr>
                <w:rFonts w:hint="eastAsia" w:ascii="宋体" w:hAnsi="宋体" w:cs="宋体"/>
                <w:color w:val="auto"/>
                <w:sz w:val="21"/>
                <w:szCs w:val="21"/>
                <w:highlight w:val="none"/>
              </w:rPr>
              <w:t>底坑悬空需配置对重安全钳</w:t>
            </w:r>
          </w:p>
          <w:p w14:paraId="22CA1EE2">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二、技术要求：</w:t>
            </w:r>
          </w:p>
          <w:p w14:paraId="0AE26955">
            <w:pPr>
              <w:spacing w:line="360" w:lineRule="auto"/>
              <w:rPr>
                <w:rFonts w:ascii="宋体" w:hAnsi="宋体" w:cs="宋体"/>
                <w:color w:val="auto"/>
                <w:szCs w:val="21"/>
                <w:highlight w:val="none"/>
              </w:rPr>
            </w:pPr>
            <w:r>
              <w:rPr>
                <w:rFonts w:hint="eastAsia" w:ascii="宋体" w:hAnsi="宋体" w:cs="宋体"/>
                <w:color w:val="auto"/>
                <w:szCs w:val="21"/>
                <w:highlight w:val="none"/>
              </w:rPr>
              <w:t>1、控制系统：32 位微机处理器，采用模块化全电脑控制。</w:t>
            </w:r>
          </w:p>
          <w:p w14:paraId="7EE5D453">
            <w:pPr>
              <w:spacing w:line="360" w:lineRule="auto"/>
              <w:rPr>
                <w:rFonts w:ascii="宋体" w:hAnsi="宋体" w:cs="宋体"/>
                <w:color w:val="auto"/>
                <w:szCs w:val="21"/>
                <w:highlight w:val="none"/>
              </w:rPr>
            </w:pPr>
            <w:r>
              <w:rPr>
                <w:rFonts w:hint="eastAsia" w:ascii="宋体" w:hAnsi="宋体" w:cs="宋体"/>
                <w:color w:val="auto"/>
                <w:szCs w:val="21"/>
                <w:highlight w:val="none"/>
              </w:rPr>
              <w:t>2、变频系统：采用双32 位新型、高性能的DSP，双微机控制分别负责位置控制及逆变控制，调速装置为投标本品牌制造。</w:t>
            </w:r>
          </w:p>
          <w:p w14:paraId="247831CE">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3、曳引机：永磁同步主机，曳引机制动器</w:t>
            </w:r>
            <w:r>
              <w:rPr>
                <w:rFonts w:hint="eastAsia" w:ascii="宋体" w:hAnsi="宋体"/>
                <w:color w:val="auto"/>
                <w:highlight w:val="none"/>
              </w:rPr>
              <w:t>采用</w:t>
            </w:r>
            <w:r>
              <w:rPr>
                <w:rFonts w:hint="eastAsia" w:ascii="宋体" w:hAnsi="宋体"/>
                <w:color w:val="auto"/>
                <w:highlight w:val="none"/>
                <w:lang w:eastAsia="zh-CN"/>
              </w:rPr>
              <w:t>碟式、</w:t>
            </w:r>
            <w:r>
              <w:rPr>
                <w:rFonts w:hint="eastAsia" w:ascii="宋体" w:hAnsi="宋体"/>
                <w:color w:val="auto"/>
                <w:highlight w:val="none"/>
              </w:rPr>
              <w:t>内扩块式</w:t>
            </w:r>
            <w:r>
              <w:rPr>
                <w:rFonts w:hint="eastAsia" w:ascii="宋体" w:hAnsi="宋体"/>
                <w:color w:val="auto"/>
                <w:highlight w:val="none"/>
                <w:lang w:eastAsia="zh-CN"/>
              </w:rPr>
              <w:t>等结构形式</w:t>
            </w:r>
            <w:r>
              <w:rPr>
                <w:rFonts w:hint="eastAsia" w:ascii="宋体" w:hAnsi="宋体"/>
                <w:color w:val="auto"/>
                <w:highlight w:val="none"/>
              </w:rPr>
              <w:t>，驱动主机制动力矩≥</w:t>
            </w:r>
            <w:r>
              <w:rPr>
                <w:rFonts w:hint="eastAsia"/>
                <w:color w:val="auto"/>
                <w:highlight w:val="none"/>
              </w:rPr>
              <w:t>8</w:t>
            </w:r>
            <w:r>
              <w:rPr>
                <w:color w:val="auto"/>
                <w:highlight w:val="none"/>
              </w:rPr>
              <w:t>000N.m，曳引机</w:t>
            </w:r>
            <w:r>
              <w:rPr>
                <w:rFonts w:hint="eastAsia" w:ascii="宋体" w:hAnsi="宋体"/>
                <w:color w:val="auto"/>
                <w:highlight w:val="none"/>
              </w:rPr>
              <w:t>定子绕组及制动器线圈升温均≤</w:t>
            </w:r>
            <w:r>
              <w:rPr>
                <w:rFonts w:hint="eastAsia"/>
                <w:color w:val="auto"/>
                <w:highlight w:val="none"/>
              </w:rPr>
              <w:t>4</w:t>
            </w:r>
            <w:r>
              <w:rPr>
                <w:color w:val="auto"/>
                <w:highlight w:val="none"/>
              </w:rPr>
              <w:t>0K</w:t>
            </w:r>
            <w:r>
              <w:rPr>
                <w:rFonts w:hint="eastAsia" w:ascii="宋体" w:hAnsi="宋体" w:cs="宋体"/>
                <w:color w:val="auto"/>
                <w:szCs w:val="21"/>
                <w:highlight w:val="none"/>
              </w:rPr>
              <w:t>。（</w:t>
            </w:r>
            <w:r>
              <w:rPr>
                <w:rFonts w:hint="eastAsia" w:ascii="宋体" w:hAnsi="宋体"/>
                <w:color w:val="auto"/>
                <w:highlight w:val="none"/>
              </w:rPr>
              <w:t>提供</w:t>
            </w:r>
            <w:r>
              <w:rPr>
                <w:rFonts w:hint="eastAsia" w:ascii="宋体" w:hAnsi="宋体" w:cs="宋体"/>
                <w:color w:val="auto"/>
                <w:szCs w:val="21"/>
                <w:highlight w:val="none"/>
              </w:rPr>
              <w:t>第三方检测机构出具</w:t>
            </w:r>
            <w:r>
              <w:rPr>
                <w:rFonts w:hint="eastAsia" w:ascii="宋体" w:hAnsi="宋体"/>
                <w:color w:val="auto"/>
                <w:highlight w:val="none"/>
              </w:rPr>
              <w:t>电梯“驱动主机（曳引机）”型式试验报告及证书作为证明材料</w:t>
            </w:r>
            <w:r>
              <w:rPr>
                <w:rFonts w:hint="eastAsia" w:ascii="宋体" w:hAnsi="宋体" w:cs="宋体"/>
                <w:color w:val="auto"/>
                <w:szCs w:val="21"/>
                <w:highlight w:val="none"/>
              </w:rPr>
              <w:t>）。</w:t>
            </w:r>
          </w:p>
          <w:p w14:paraId="43609DF9">
            <w:pPr>
              <w:spacing w:line="360" w:lineRule="auto"/>
              <w:rPr>
                <w:rFonts w:ascii="宋体" w:hAnsi="宋体" w:cs="宋体"/>
                <w:color w:val="auto"/>
                <w:szCs w:val="21"/>
                <w:highlight w:val="none"/>
              </w:rPr>
            </w:pPr>
            <w:r>
              <w:rPr>
                <w:rFonts w:hint="eastAsia" w:ascii="宋体" w:hAnsi="宋体" w:cs="宋体"/>
                <w:color w:val="auto"/>
                <w:szCs w:val="21"/>
                <w:highlight w:val="none"/>
              </w:rPr>
              <w:t>4、门机系统：采用永磁同步门机。</w:t>
            </w:r>
          </w:p>
          <w:p w14:paraId="156C2131">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5、层门锁：所投电梯产品层门锁动作寿命≥900万次。(提供第三方检测机构出具的“层门锁”</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s="宋体"/>
                <w:color w:val="auto"/>
                <w:szCs w:val="21"/>
                <w:highlight w:val="none"/>
              </w:rPr>
              <w:t>作为证明材料)</w:t>
            </w:r>
          </w:p>
          <w:p w14:paraId="4A32974E">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6、轿门：所投电梯产品轿门开门装置动作寿命≥1300万次。(提供第三方检测机构出具的“轿门开门装置”</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s="宋体"/>
                <w:color w:val="auto"/>
                <w:szCs w:val="21"/>
                <w:highlight w:val="none"/>
              </w:rPr>
              <w:t>作为证明材料)</w:t>
            </w:r>
          </w:p>
          <w:p w14:paraId="354AEB74">
            <w:pPr>
              <w:spacing w:line="360" w:lineRule="auto"/>
              <w:rPr>
                <w:rFonts w:ascii="宋体" w:hAnsi="宋体" w:cs="宋体"/>
                <w:color w:val="auto"/>
                <w:szCs w:val="21"/>
                <w:highlight w:val="none"/>
              </w:rPr>
            </w:pPr>
            <w:r>
              <w:rPr>
                <w:rFonts w:hint="eastAsia" w:ascii="宋体" w:hAnsi="宋体" w:cs="宋体"/>
                <w:b/>
                <w:bCs/>
                <w:color w:val="auto"/>
                <w:szCs w:val="21"/>
                <w:highlight w:val="none"/>
              </w:rPr>
              <w:t>★7、</w:t>
            </w:r>
            <w:r>
              <w:rPr>
                <w:rFonts w:hint="eastAsia" w:ascii="宋体" w:hAnsi="宋体"/>
                <w:b/>
                <w:bCs/>
                <w:color w:val="auto"/>
                <w:highlight w:val="none"/>
              </w:rPr>
              <w:t>门开关：电梯门开关为投标整梯同品牌，其动作寿命≥1300万次。</w:t>
            </w:r>
            <w:r>
              <w:rPr>
                <w:rFonts w:hint="eastAsia" w:ascii="宋体" w:hAnsi="宋体" w:cs="宋体"/>
                <w:color w:val="auto"/>
                <w:szCs w:val="21"/>
                <w:highlight w:val="none"/>
              </w:rPr>
              <w:t>（</w:t>
            </w:r>
            <w:r>
              <w:rPr>
                <w:rFonts w:hint="eastAsia" w:ascii="宋体" w:hAnsi="宋体"/>
                <w:color w:val="auto"/>
                <w:highlight w:val="none"/>
              </w:rPr>
              <w:t>提供第三方检测机构出具的“门开关”</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r>
              <w:rPr>
                <w:rFonts w:hint="eastAsia" w:ascii="宋体" w:hAnsi="宋体" w:cs="宋体"/>
                <w:color w:val="auto"/>
                <w:szCs w:val="21"/>
                <w:highlight w:val="none"/>
              </w:rPr>
              <w:t>）</w:t>
            </w:r>
          </w:p>
          <w:p w14:paraId="4D0ABEED">
            <w:pPr>
              <w:spacing w:line="360" w:lineRule="auto"/>
              <w:rPr>
                <w:rFonts w:ascii="宋体" w:hAnsi="宋体" w:cs="宋体"/>
                <w:color w:val="auto"/>
                <w:szCs w:val="21"/>
                <w:highlight w:val="none"/>
              </w:rPr>
            </w:pPr>
            <w:r>
              <w:rPr>
                <w:rFonts w:hint="eastAsia" w:ascii="宋体" w:hAnsi="宋体" w:cs="宋体"/>
                <w:b/>
                <w:bCs/>
                <w:color w:val="auto"/>
                <w:szCs w:val="21"/>
                <w:highlight w:val="none"/>
              </w:rPr>
              <w:t>★8、</w:t>
            </w:r>
            <w:r>
              <w:rPr>
                <w:rFonts w:hint="eastAsia" w:ascii="宋体" w:hAnsi="宋体"/>
                <w:b/>
                <w:bCs/>
                <w:color w:val="auto"/>
                <w:highlight w:val="none"/>
              </w:rPr>
              <w:t>光电开关性能：</w:t>
            </w:r>
            <w:r>
              <w:rPr>
                <w:rFonts w:hint="eastAsia" w:ascii="宋体" w:hAnsi="宋体" w:cs="微软雅黑"/>
                <w:color w:val="auto"/>
                <w:highlight w:val="none"/>
              </w:rPr>
              <w:t>电梯光电开关即使发射光减弱至正常工作的5%及以下，也能保证光电开关正常工作</w:t>
            </w:r>
            <w:r>
              <w:rPr>
                <w:rFonts w:hint="eastAsia" w:ascii="宋体" w:hAnsi="宋体"/>
                <w:color w:val="auto"/>
                <w:highlight w:val="none"/>
              </w:rPr>
              <w:t>。（提供第三方检测机构出具的“光电开关”</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29D81070">
            <w:pPr>
              <w:pStyle w:val="204"/>
              <w:widowControl/>
              <w:spacing w:line="360" w:lineRule="auto"/>
              <w:ind w:left="7" w:right="-15"/>
              <w:rPr>
                <w:color w:val="auto"/>
                <w:highlight w:val="none"/>
              </w:rPr>
            </w:pPr>
            <w:r>
              <w:rPr>
                <w:rFonts w:hint="eastAsia"/>
                <w:b/>
                <w:bCs/>
                <w:color w:val="auto"/>
                <w:szCs w:val="21"/>
                <w:highlight w:val="none"/>
              </w:rPr>
              <w:t>★9、</w:t>
            </w:r>
            <w:r>
              <w:rPr>
                <w:rFonts w:hint="eastAsia"/>
                <w:b/>
                <w:bCs/>
                <w:color w:val="auto"/>
                <w:highlight w:val="none"/>
              </w:rPr>
              <w:t>终端开关性能：</w:t>
            </w:r>
            <w:r>
              <w:rPr>
                <w:rFonts w:hint="eastAsia"/>
                <w:color w:val="auto"/>
                <w:highlight w:val="none"/>
              </w:rPr>
              <w:t>投标电梯的终端开关在正常的工作条件（DC125V，0.21A）下，以1次/秒的速度，动作1300万次后，满足：（1）开关结构完整，开关动作顺畅；（2）开关触点的接触电阻≤</w:t>
            </w:r>
            <w:r>
              <w:rPr>
                <w:color w:val="auto"/>
                <w:highlight w:val="none"/>
              </w:rPr>
              <w:t>60m</w:t>
            </w:r>
            <w:r>
              <w:rPr>
                <w:rFonts w:hint="eastAsia"/>
                <w:color w:val="auto"/>
                <w:highlight w:val="none"/>
              </w:rPr>
              <w:t>Ω。（提供第三方检测机构出具的“终端开关”</w:t>
            </w:r>
            <w:r>
              <w:rPr>
                <w:color w:val="auto"/>
                <w:szCs w:val="21"/>
                <w:highlight w:val="none"/>
                <w:lang w:val="en"/>
              </w:rPr>
              <w:t>试验报告</w:t>
            </w:r>
            <w:r>
              <w:rPr>
                <w:rFonts w:hint="eastAsia"/>
                <w:color w:val="auto"/>
                <w:szCs w:val="21"/>
                <w:highlight w:val="none"/>
                <w:lang w:val="en"/>
              </w:rPr>
              <w:t>复印件</w:t>
            </w:r>
            <w:r>
              <w:rPr>
                <w:rFonts w:hint="eastAsia"/>
                <w:color w:val="auto"/>
                <w:highlight w:val="none"/>
              </w:rPr>
              <w:t>作为证明材料）</w:t>
            </w:r>
          </w:p>
          <w:p w14:paraId="2AEB1529">
            <w:pPr>
              <w:spacing w:line="360" w:lineRule="auto"/>
              <w:rPr>
                <w:rFonts w:ascii="宋体" w:hAnsi="宋体" w:cs="宋体"/>
                <w:color w:val="auto"/>
                <w:szCs w:val="21"/>
                <w:highlight w:val="none"/>
              </w:rPr>
            </w:pPr>
            <w:r>
              <w:rPr>
                <w:rFonts w:hint="eastAsia" w:ascii="宋体" w:hAnsi="宋体" w:cs="宋体"/>
                <w:b/>
                <w:bCs/>
                <w:color w:val="auto"/>
                <w:szCs w:val="21"/>
                <w:highlight w:val="none"/>
              </w:rPr>
              <w:t>★10、</w:t>
            </w:r>
            <w:r>
              <w:rPr>
                <w:rFonts w:hint="eastAsia" w:ascii="宋体" w:hAnsi="宋体"/>
                <w:b/>
                <w:bCs/>
                <w:color w:val="auto"/>
                <w:highlight w:val="none"/>
              </w:rPr>
              <w:t>按钮性能：</w:t>
            </w:r>
            <w:r>
              <w:rPr>
                <w:rFonts w:hint="eastAsia" w:ascii="宋体" w:hAnsi="宋体"/>
                <w:color w:val="auto"/>
                <w:highlight w:val="none"/>
              </w:rPr>
              <w:t>投标电梯的呼梯按钮：按钮在</w:t>
            </w:r>
            <w:r>
              <w:rPr>
                <w:color w:val="auto"/>
                <w:highlight w:val="none"/>
              </w:rPr>
              <w:t>DC12V</w:t>
            </w:r>
            <w:r>
              <w:rPr>
                <w:rFonts w:hint="eastAsia" w:ascii="宋体" w:hAnsi="宋体"/>
                <w:color w:val="auto"/>
                <w:highlight w:val="none"/>
              </w:rPr>
              <w:t>，动作力</w:t>
            </w:r>
            <w:r>
              <w:rPr>
                <w:color w:val="auto"/>
                <w:highlight w:val="none"/>
              </w:rPr>
              <w:t>25N</w:t>
            </w:r>
            <w:r>
              <w:rPr>
                <w:rFonts w:hint="eastAsia" w:ascii="宋体" w:hAnsi="宋体"/>
                <w:color w:val="auto"/>
                <w:highlight w:val="none"/>
              </w:rPr>
              <w:t>的条件下，以</w:t>
            </w:r>
            <w:r>
              <w:rPr>
                <w:color w:val="auto"/>
                <w:highlight w:val="none"/>
              </w:rPr>
              <w:t>3.5</w:t>
            </w:r>
            <w:r>
              <w:rPr>
                <w:rFonts w:hint="eastAsia" w:ascii="宋体" w:hAnsi="宋体"/>
                <w:color w:val="auto"/>
                <w:highlight w:val="none"/>
              </w:rPr>
              <w:t>次</w:t>
            </w:r>
            <w:r>
              <w:rPr>
                <w:color w:val="auto"/>
                <w:highlight w:val="none"/>
              </w:rPr>
              <w:t>/</w:t>
            </w:r>
            <w:r>
              <w:rPr>
                <w:rFonts w:hint="eastAsia" w:ascii="宋体" w:hAnsi="宋体"/>
                <w:color w:val="auto"/>
                <w:highlight w:val="none"/>
              </w:rPr>
              <w:t>秒的速率，动作</w:t>
            </w:r>
            <w:r>
              <w:rPr>
                <w:rFonts w:hint="eastAsia"/>
                <w:color w:val="auto"/>
                <w:highlight w:val="none"/>
              </w:rPr>
              <w:t>3</w:t>
            </w:r>
            <w:r>
              <w:rPr>
                <w:color w:val="auto"/>
                <w:highlight w:val="none"/>
              </w:rPr>
              <w:t>00</w:t>
            </w:r>
            <w:r>
              <w:rPr>
                <w:rFonts w:hint="eastAsia" w:ascii="宋体" w:hAnsi="宋体"/>
                <w:color w:val="auto"/>
                <w:highlight w:val="none"/>
              </w:rPr>
              <w:t>万次后，应满足：（</w:t>
            </w:r>
            <w:r>
              <w:rPr>
                <w:rFonts w:hint="eastAsia"/>
                <w:color w:val="auto"/>
                <w:highlight w:val="none"/>
              </w:rPr>
              <w:t>1</w:t>
            </w:r>
            <w:r>
              <w:rPr>
                <w:rFonts w:hint="eastAsia" w:ascii="宋体" w:hAnsi="宋体"/>
                <w:color w:val="auto"/>
                <w:highlight w:val="none"/>
              </w:rPr>
              <w:t>）按钮动作正常，发光亮度正常，无裂痕、无变形，且接触电阻≤</w:t>
            </w:r>
            <w:r>
              <w:rPr>
                <w:color w:val="auto"/>
                <w:highlight w:val="none"/>
              </w:rPr>
              <w:t>40m</w:t>
            </w:r>
            <w:r>
              <w:rPr>
                <w:rFonts w:hint="eastAsia" w:ascii="宋体" w:hAnsi="宋体"/>
                <w:color w:val="auto"/>
                <w:highlight w:val="none"/>
              </w:rPr>
              <w:t>Ω；（</w:t>
            </w:r>
            <w:r>
              <w:rPr>
                <w:rFonts w:hint="eastAsia"/>
                <w:color w:val="auto"/>
                <w:highlight w:val="none"/>
              </w:rPr>
              <w:t>2</w:t>
            </w:r>
            <w:r>
              <w:rPr>
                <w:rFonts w:hint="eastAsia" w:ascii="宋体" w:hAnsi="宋体"/>
                <w:color w:val="auto"/>
                <w:highlight w:val="none"/>
              </w:rPr>
              <w:t>）按钮在</w:t>
            </w:r>
            <w:r>
              <w:rPr>
                <w:color w:val="auto"/>
                <w:highlight w:val="none"/>
              </w:rPr>
              <w:t>4.9J</w:t>
            </w:r>
            <w:r>
              <w:rPr>
                <w:rFonts w:hint="eastAsia" w:ascii="宋体" w:hAnsi="宋体"/>
                <w:color w:val="auto"/>
                <w:highlight w:val="none"/>
              </w:rPr>
              <w:t>的冲击载荷下，经过</w:t>
            </w:r>
            <w:r>
              <w:rPr>
                <w:color w:val="auto"/>
                <w:highlight w:val="none"/>
              </w:rPr>
              <w:t>3</w:t>
            </w:r>
            <w:r>
              <w:rPr>
                <w:rFonts w:hint="eastAsia" w:ascii="宋体" w:hAnsi="宋体"/>
                <w:color w:val="auto"/>
                <w:highlight w:val="none"/>
              </w:rPr>
              <w:t>次冲击试验后，按钮未破损，电气部分未露出，动作正常，外观无明显裂纹及变形。（提供第三方检测机构出具的“按钮”</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w:t>
            </w:r>
          </w:p>
          <w:p w14:paraId="785590F3">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11、</w:t>
            </w:r>
            <w:r>
              <w:rPr>
                <w:rFonts w:hint="eastAsia" w:ascii="宋体" w:hAnsi="宋体" w:cs="微软雅黑"/>
                <w:color w:val="auto"/>
                <w:szCs w:val="21"/>
                <w:highlight w:val="none"/>
                <w:lang w:bidi="ar"/>
              </w:rPr>
              <w:t>制动器：投标品牌电梯制动器的动作次数（使用寿命）≥2000万次。（</w:t>
            </w:r>
            <w:r>
              <w:rPr>
                <w:rFonts w:hint="eastAsia" w:ascii="宋体" w:hAnsi="宋体"/>
                <w:color w:val="auto"/>
                <w:highlight w:val="none"/>
              </w:rPr>
              <w:t>提供具有第三方检测机构出具的“</w:t>
            </w:r>
            <w:r>
              <w:rPr>
                <w:rFonts w:hint="eastAsia" w:ascii="宋体" w:hAnsi="宋体" w:cs="微软雅黑"/>
                <w:color w:val="auto"/>
                <w:szCs w:val="21"/>
                <w:highlight w:val="none"/>
                <w:lang w:bidi="ar"/>
              </w:rPr>
              <w:t>制动器</w:t>
            </w:r>
            <w:r>
              <w:rPr>
                <w:rFonts w:hint="eastAsia" w:ascii="宋体" w:hAnsi="宋体"/>
                <w:color w:val="auto"/>
                <w:highlight w:val="none"/>
              </w:rPr>
              <w:t>”</w:t>
            </w:r>
            <w:r>
              <w:rPr>
                <w:rFonts w:ascii="宋体" w:hAnsi="宋体" w:cs="宋体"/>
                <w:color w:val="auto"/>
                <w:szCs w:val="21"/>
                <w:highlight w:val="none"/>
                <w:lang w:val="en"/>
              </w:rPr>
              <w:t>试验报告</w:t>
            </w:r>
            <w:r>
              <w:rPr>
                <w:rFonts w:hint="eastAsia" w:ascii="宋体" w:hAnsi="宋体" w:cs="宋体"/>
                <w:color w:val="auto"/>
                <w:szCs w:val="21"/>
                <w:highlight w:val="none"/>
                <w:lang w:val="en"/>
              </w:rPr>
              <w:t>复印件</w:t>
            </w:r>
            <w:r>
              <w:rPr>
                <w:rFonts w:hint="eastAsia" w:ascii="宋体" w:hAnsi="宋体"/>
                <w:color w:val="auto"/>
                <w:highlight w:val="none"/>
              </w:rPr>
              <w:t>作为证明材料）</w:t>
            </w:r>
          </w:p>
          <w:p w14:paraId="7C0EA3DD">
            <w:pPr>
              <w:spacing w:line="360" w:lineRule="auto"/>
              <w:rPr>
                <w:rFonts w:ascii="宋体" w:hAnsi="宋体" w:cs="宋体"/>
                <w:color w:val="auto"/>
                <w:szCs w:val="21"/>
                <w:highlight w:val="none"/>
              </w:rPr>
            </w:pPr>
            <w:r>
              <w:rPr>
                <w:rFonts w:hint="eastAsia" w:ascii="宋体" w:hAnsi="宋体" w:cs="宋体"/>
                <w:color w:val="auto"/>
                <w:szCs w:val="21"/>
                <w:highlight w:val="none"/>
              </w:rPr>
              <w:t>12、通讯方式：采用串行通讯技术。</w:t>
            </w:r>
          </w:p>
          <w:p w14:paraId="5FAA642D">
            <w:pPr>
              <w:spacing w:line="360" w:lineRule="auto"/>
              <w:rPr>
                <w:rFonts w:ascii="宋体" w:hAnsi="宋体" w:cs="宋体"/>
                <w:color w:val="auto"/>
                <w:szCs w:val="21"/>
                <w:highlight w:val="none"/>
              </w:rPr>
            </w:pPr>
            <w:r>
              <w:rPr>
                <w:rFonts w:hint="eastAsia" w:ascii="宋体" w:hAnsi="宋体" w:cs="宋体"/>
                <w:color w:val="auto"/>
                <w:szCs w:val="21"/>
                <w:highlight w:val="none"/>
              </w:rPr>
              <w:t>13、电压适应范围：电压波动范围为±10%，即在342V～418V范围内仍能正常使用。</w:t>
            </w:r>
          </w:p>
          <w:p w14:paraId="3A5B870E">
            <w:pPr>
              <w:spacing w:line="360" w:lineRule="auto"/>
              <w:rPr>
                <w:rFonts w:ascii="宋体" w:hAnsi="宋体" w:cs="宋体"/>
                <w:color w:val="auto"/>
                <w:szCs w:val="21"/>
                <w:highlight w:val="none"/>
              </w:rPr>
            </w:pPr>
            <w:r>
              <w:rPr>
                <w:rFonts w:hint="eastAsia" w:ascii="宋体" w:hAnsi="宋体" w:cs="宋体"/>
                <w:color w:val="auto"/>
                <w:szCs w:val="21"/>
                <w:highlight w:val="none"/>
              </w:rPr>
              <w:t>14、电梯井道布线采用缆线化。</w:t>
            </w:r>
          </w:p>
          <w:p w14:paraId="66DD0A42">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15、门保护装置：光幕≥170光束。</w:t>
            </w:r>
          </w:p>
          <w:p w14:paraId="019E64B2">
            <w:pPr>
              <w:spacing w:line="360" w:lineRule="auto"/>
              <w:rPr>
                <w:rFonts w:ascii="宋体" w:hAnsi="宋体" w:cs="宋体"/>
                <w:color w:val="auto"/>
                <w:szCs w:val="21"/>
                <w:highlight w:val="none"/>
              </w:rPr>
            </w:pPr>
            <w:r>
              <w:rPr>
                <w:rFonts w:hint="eastAsia" w:ascii="宋体" w:hAnsi="宋体" w:cs="宋体"/>
                <w:color w:val="auto"/>
                <w:szCs w:val="21"/>
                <w:highlight w:val="none"/>
              </w:rPr>
              <w:t>16、无障碍操纵箱。</w:t>
            </w:r>
          </w:p>
          <w:p w14:paraId="1EAED07C">
            <w:pPr>
              <w:spacing w:line="360" w:lineRule="auto"/>
              <w:rPr>
                <w:rFonts w:ascii="宋体" w:hAnsi="宋体" w:cs="宋体"/>
                <w:color w:val="auto"/>
                <w:szCs w:val="21"/>
                <w:highlight w:val="none"/>
              </w:rPr>
            </w:pPr>
            <w:r>
              <w:rPr>
                <w:rFonts w:hint="eastAsia" w:ascii="宋体" w:hAnsi="宋体" w:cs="宋体"/>
                <w:b/>
                <w:bCs/>
                <w:color w:val="auto"/>
                <w:szCs w:val="21"/>
                <w:highlight w:val="none"/>
              </w:rPr>
              <w:t>★</w:t>
            </w:r>
            <w:r>
              <w:rPr>
                <w:rFonts w:hint="eastAsia" w:ascii="宋体" w:hAnsi="宋体" w:cs="宋体"/>
                <w:color w:val="auto"/>
                <w:szCs w:val="21"/>
                <w:highlight w:val="none"/>
              </w:rPr>
              <w:t>17、导靴：主导轨配置滚轮导靴，滚轮直径≥140mm，配置防护板，且配置摩擦阻尼。(提供投标型号导靴的产品结构图说明资料</w:t>
            </w:r>
            <w:r>
              <w:rPr>
                <w:rFonts w:hint="eastAsia"/>
                <w:color w:val="auto"/>
                <w:highlight w:val="none"/>
              </w:rPr>
              <w:t>作为证明材料</w:t>
            </w:r>
            <w:r>
              <w:rPr>
                <w:rFonts w:hint="eastAsia" w:ascii="宋体" w:hAnsi="宋体" w:cs="宋体"/>
                <w:color w:val="auto"/>
                <w:szCs w:val="21"/>
                <w:highlight w:val="none"/>
              </w:rPr>
              <w:t>)</w:t>
            </w:r>
          </w:p>
          <w:p w14:paraId="6B0CE162">
            <w:pPr>
              <w:pStyle w:val="301"/>
              <w:spacing w:line="360" w:lineRule="auto"/>
              <w:ind w:firstLine="0" w:firstLineChars="0"/>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18、能量回馈功能：通过双 PWM 整流 / 逆变单元，将直流电能逆变为与电网同频同相的交流电，无污染回馈电网。</w:t>
            </w:r>
          </w:p>
          <w:p w14:paraId="7ABE7DA0">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szCs w:val="21"/>
                <w:highlight w:val="none"/>
              </w:rPr>
              <w:t>19、</w:t>
            </w:r>
            <w:r>
              <w:rPr>
                <w:rFonts w:hint="eastAsia" w:ascii="宋体" w:hAnsi="宋体" w:cs="宋体"/>
                <w:color w:val="auto"/>
                <w:kern w:val="0"/>
                <w:szCs w:val="21"/>
                <w:highlight w:val="none"/>
                <w:lang w:bidi="ar"/>
              </w:rPr>
              <w:t>配电梯轿厢专用高清摄像头，并接入监控值班室。</w:t>
            </w:r>
          </w:p>
          <w:p w14:paraId="2B03228B">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kern w:val="0"/>
                <w:szCs w:val="21"/>
                <w:highlight w:val="none"/>
                <w:lang w:bidi="ar"/>
              </w:rPr>
              <w:t>20、智慧电梯：</w:t>
            </w:r>
          </w:p>
          <w:p w14:paraId="3DEC3F6C">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1)实时监控与状态查看</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通过手机APP、微信小程序或网页端，随时随地查看电梯的实时运行状态，包括楼层、方向、开关门状态、运行次数、能耗数据等</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支持查看电梯的事件履历、报警记录和电梯体检报告书。</w:t>
            </w:r>
          </w:p>
          <w:p w14:paraId="44649AB7">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2)应急处置与可视化安抚</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主动识别电梯异常事件（如困人、故障、人员摔倒、电动车进入等），并第一时间推送告警信息至管理人员手机或监控大屏</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提供一体化可视安抚功能，管理人员可通过手机端查看轿厢视频、进行可视对讲，快速处置。</w:t>
            </w:r>
          </w:p>
          <w:p w14:paraId="71005185">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3)远程控制与功能设置</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支持远程锁梯、非服务层设置、高峰时间调整、待机楼层设置等功能，提升管理效率。</w:t>
            </w:r>
          </w:p>
          <w:p w14:paraId="6B233954">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4)语音播报与公告管理</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支持自定义电梯语音欢迎语</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提供敏感词检测功能，避免误操作。</w:t>
            </w:r>
          </w:p>
          <w:p w14:paraId="29C053C3">
            <w:pPr>
              <w:pStyle w:val="301"/>
              <w:spacing w:line="360" w:lineRule="auto"/>
              <w:ind w:firstLine="0" w:firstLineChars="0"/>
              <w:rPr>
                <w:rFonts w:ascii="宋体" w:hAnsi="宋体" w:cs="宋体"/>
                <w:color w:val="auto"/>
                <w:kern w:val="0"/>
                <w:szCs w:val="21"/>
                <w:highlight w:val="none"/>
                <w:lang w:bidi="ar"/>
              </w:rPr>
            </w:pPr>
            <w:r>
              <w:rPr>
                <w:rFonts w:ascii="宋体" w:hAnsi="宋体" w:cs="宋体"/>
                <w:color w:val="auto"/>
                <w:kern w:val="0"/>
                <w:szCs w:val="21"/>
                <w:highlight w:val="none"/>
                <w:lang w:bidi="ar"/>
              </w:rPr>
              <w:t>5)智能维保与报修服务</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提供在线报修、维保计划管理、保养记录查看等功能，实现维保服务的全流程可视化。</w:t>
            </w:r>
          </w:p>
          <w:p w14:paraId="7F71EE0B">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r>
              <w:rPr>
                <w:rFonts w:ascii="宋体" w:hAnsi="宋体" w:cs="宋体"/>
                <w:color w:val="auto"/>
                <w:kern w:val="0"/>
                <w:szCs w:val="21"/>
                <w:highlight w:val="none"/>
                <w:lang w:bidi="ar"/>
              </w:rPr>
              <w:t>)无线物联：无需布线，支持电梯与政府监管平台、客户系统（如医院、机场）、智能设备（光幕、摄像头）的无缝对接。</w:t>
            </w:r>
          </w:p>
          <w:p w14:paraId="6A1FC410">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7</w:t>
            </w:r>
            <w:r>
              <w:rPr>
                <w:rFonts w:ascii="宋体" w:hAnsi="宋体" w:cs="宋体"/>
                <w:color w:val="auto"/>
                <w:kern w:val="0"/>
                <w:szCs w:val="21"/>
                <w:highlight w:val="none"/>
                <w:lang w:bidi="ar"/>
              </w:rPr>
              <w:t>)数字化维保：在线工单管理、保养计划可视化，提供实时故障故障诊断，快速定位故障并提供维修方案，缩短故障处理时间。</w:t>
            </w:r>
          </w:p>
          <w:p w14:paraId="30AE310E">
            <w:pPr>
              <w:pStyle w:val="301"/>
              <w:spacing w:line="360" w:lineRule="auto"/>
              <w:ind w:firstLine="0" w:firstLineChars="0"/>
              <w:rPr>
                <w:rFonts w:ascii="宋体" w:hAnsi="宋体" w:cs="宋体"/>
                <w:color w:val="auto"/>
                <w:kern w:val="0"/>
                <w:szCs w:val="21"/>
                <w:highlight w:val="none"/>
                <w:lang w:bidi="ar"/>
              </w:rPr>
            </w:pPr>
            <w:r>
              <w:rPr>
                <w:rFonts w:ascii="宋体" w:hAnsi="宋体" w:cs="宋体"/>
                <w:b/>
                <w:bCs/>
                <w:color w:val="auto"/>
                <w:szCs w:val="21"/>
                <w:highlight w:val="none"/>
                <w:lang w:val="en"/>
              </w:rPr>
              <w:t>▲</w:t>
            </w:r>
            <w:r>
              <w:rPr>
                <w:rFonts w:hint="eastAsia" w:ascii="宋体" w:hAnsi="宋体" w:cs="宋体"/>
                <w:color w:val="auto"/>
                <w:kern w:val="0"/>
                <w:szCs w:val="21"/>
                <w:highlight w:val="none"/>
                <w:lang w:bidi="ar"/>
              </w:rPr>
              <w:t>21、绕绳比：钢丝绳绕绳比1：1。</w:t>
            </w:r>
          </w:p>
          <w:p w14:paraId="5B0470BE">
            <w:pPr>
              <w:pStyle w:val="301"/>
              <w:spacing w:line="360" w:lineRule="auto"/>
              <w:ind w:firstLine="0" w:firstLineChars="0"/>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★22、安全钳：轿厢安全钳采用安全钳体与轿厢构件一体式设计，且该部件整体由整梯品牌国外原厂生产及调试出厂，适用额定速度≥2m/s。（提供投标型号安全钳的型式试验报告及证书、结构图说明资料</w:t>
            </w:r>
            <w:r>
              <w:rPr>
                <w:rFonts w:hint="eastAsia"/>
                <w:color w:val="auto"/>
                <w:highlight w:val="none"/>
              </w:rPr>
              <w:t>作为证明材料</w:t>
            </w:r>
            <w:r>
              <w:rPr>
                <w:rFonts w:hint="eastAsia" w:ascii="宋体" w:hAnsi="宋体" w:cs="宋体"/>
                <w:color w:val="auto"/>
                <w:kern w:val="0"/>
                <w:szCs w:val="21"/>
                <w:highlight w:val="none"/>
                <w:lang w:bidi="ar"/>
              </w:rPr>
              <w:t>)</w:t>
            </w:r>
          </w:p>
          <w:p w14:paraId="200D9CE8">
            <w:pPr>
              <w:pStyle w:val="301"/>
              <w:spacing w:line="360" w:lineRule="auto"/>
              <w:ind w:firstLine="0" w:firstLineChars="0"/>
              <w:rPr>
                <w:rFonts w:ascii="宋体" w:hAnsi="宋体" w:cs="宋体"/>
                <w:color w:val="auto"/>
                <w:kern w:val="0"/>
                <w:szCs w:val="21"/>
                <w:highlight w:val="none"/>
                <w:lang w:bidi="ar"/>
              </w:rPr>
            </w:pPr>
            <w:r>
              <w:rPr>
                <w:rFonts w:hint="eastAsia"/>
                <w:color w:val="auto"/>
                <w:highlight w:val="none"/>
              </w:rPr>
              <w:t>★</w:t>
            </w:r>
            <w:r>
              <w:rPr>
                <w:rFonts w:hint="eastAsia" w:ascii="宋体" w:hAnsi="宋体" w:cs="宋体"/>
                <w:color w:val="auto"/>
                <w:kern w:val="0"/>
                <w:szCs w:val="21"/>
                <w:highlight w:val="none"/>
                <w:lang w:bidi="ar"/>
              </w:rPr>
              <w:t>23</w:t>
            </w:r>
            <w:r>
              <w:rPr>
                <w:rFonts w:hint="eastAsia"/>
                <w:color w:val="auto"/>
                <w:highlight w:val="none"/>
              </w:rPr>
              <w:t>、电梯控制柜控制主板(印板)：投标型号电梯印板耐高温高湿、抗粉尘、抗振动，进行连续必要的环境试验：①热冲击试验、②高温高湿度试验、③正弦振动试验、④温度变动试验、⑤砂尘试验、⑥恒定湿热试验。（提供具有CNAS认证的检测机构出具的试验报告作为证明材料）</w:t>
            </w:r>
          </w:p>
          <w:p w14:paraId="355A764B">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三、主要部件：</w:t>
            </w:r>
          </w:p>
          <w:p w14:paraId="196B3612">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1、主要部件要求：</w:t>
            </w:r>
            <w:r>
              <w:rPr>
                <w:rFonts w:hint="eastAsia"/>
                <w:b/>
                <w:bCs/>
                <w:color w:val="auto"/>
                <w:highlight w:val="none"/>
              </w:rPr>
              <w:t>曳引机</w:t>
            </w:r>
            <w:r>
              <w:rPr>
                <w:rFonts w:hint="eastAsia" w:ascii="宋体" w:hAnsi="宋体" w:cs="宋体"/>
                <w:b/>
                <w:bCs/>
                <w:color w:val="auto"/>
                <w:szCs w:val="21"/>
                <w:highlight w:val="none"/>
              </w:rPr>
              <w:t>、控制柜（含调速装置、控制装置）、轿门门锁、层门门锁、限速器、安全钳、上行超速保护装置、轿厢意外移动保护装置</w:t>
            </w:r>
            <w:r>
              <w:rPr>
                <w:rFonts w:hint="eastAsia" w:ascii="宋体" w:hAnsi="宋体" w:cs="宋体"/>
                <w:color w:val="auto"/>
                <w:szCs w:val="21"/>
                <w:highlight w:val="none"/>
              </w:rPr>
              <w:t>为投标产品整梯同品牌设计和制造（</w:t>
            </w:r>
            <w:r>
              <w:rPr>
                <w:rFonts w:hint="eastAsia" w:ascii="宋体" w:hAnsi="宋体" w:cs="宋体"/>
                <w:b/>
                <w:bCs/>
                <w:color w:val="auto"/>
                <w:szCs w:val="21"/>
                <w:highlight w:val="none"/>
              </w:rPr>
              <w:t>须提供整梯特种设备型式试验报告及证书复印件，</w:t>
            </w:r>
            <w:r>
              <w:rPr>
                <w:rFonts w:ascii="宋体" w:hAnsi="宋体" w:cs="宋体"/>
                <w:b/>
                <w:bCs/>
                <w:color w:val="auto"/>
                <w:szCs w:val="21"/>
                <w:highlight w:val="none"/>
                <w:lang w:val="en"/>
              </w:rPr>
              <w:t>并加盖投标人公章</w:t>
            </w:r>
            <w:r>
              <w:rPr>
                <w:rFonts w:hint="eastAsia" w:ascii="宋体" w:hAnsi="宋体" w:cs="宋体"/>
                <w:color w:val="auto"/>
                <w:szCs w:val="21"/>
                <w:highlight w:val="none"/>
              </w:rPr>
              <w:t>）</w:t>
            </w:r>
          </w:p>
          <w:p w14:paraId="551E43DC">
            <w:pPr>
              <w:spacing w:line="360" w:lineRule="auto"/>
              <w:rPr>
                <w:rFonts w:ascii="宋体" w:hAnsi="宋体" w:cs="宋体"/>
                <w:color w:val="auto"/>
                <w:szCs w:val="21"/>
                <w:highlight w:val="none"/>
              </w:rPr>
            </w:pPr>
            <w:r>
              <w:rPr>
                <w:rFonts w:hint="eastAsia" w:ascii="宋体" w:hAnsi="宋体" w:cs="宋体"/>
                <w:color w:val="auto"/>
                <w:szCs w:val="21"/>
                <w:highlight w:val="none"/>
              </w:rPr>
              <w:t>2、导轨型号要求：轿厢侧≥T89/B。</w:t>
            </w:r>
          </w:p>
          <w:p w14:paraId="59D96924">
            <w:pPr>
              <w:spacing w:line="360" w:lineRule="auto"/>
              <w:rPr>
                <w:rFonts w:ascii="宋体" w:hAnsi="宋体" w:cs="宋体"/>
                <w:color w:val="auto"/>
                <w:szCs w:val="21"/>
                <w:highlight w:val="none"/>
              </w:rPr>
            </w:pPr>
            <w:r>
              <w:rPr>
                <w:rFonts w:hint="eastAsia" w:ascii="宋体" w:hAnsi="宋体" w:cs="宋体"/>
                <w:color w:val="auto"/>
                <w:szCs w:val="21"/>
                <w:highlight w:val="none"/>
              </w:rPr>
              <w:t>3、采购方有权对以上主要部件聘请专家及第三方专业机构进行核查，核查费用由采购方支付，若出现弄虚作假情况，一经查实，采购方将予以退货或换货，核查费用由中标人支付，并将追究中标人法律责任并要求供应商赔偿相关损失。</w:t>
            </w:r>
          </w:p>
          <w:p w14:paraId="2E7B808B">
            <w:pPr>
              <w:spacing w:line="360" w:lineRule="auto"/>
              <w:rPr>
                <w:rFonts w:ascii="宋体" w:hAnsi="宋体" w:cs="宋体"/>
                <w:color w:val="auto"/>
                <w:szCs w:val="21"/>
                <w:highlight w:val="none"/>
              </w:rPr>
            </w:pPr>
            <w:r>
              <w:rPr>
                <w:rFonts w:ascii="宋体" w:hAnsi="宋体" w:cs="宋体"/>
                <w:color w:val="auto"/>
                <w:szCs w:val="21"/>
                <w:highlight w:val="none"/>
                <w:lang w:val="en"/>
              </w:rPr>
              <w:t>▲</w:t>
            </w:r>
            <w:r>
              <w:rPr>
                <w:rFonts w:hint="eastAsia" w:ascii="宋体" w:hAnsi="宋体" w:cs="宋体"/>
                <w:color w:val="auto"/>
                <w:szCs w:val="21"/>
                <w:highlight w:val="none"/>
              </w:rPr>
              <w:t>4、进口件要求：</w:t>
            </w:r>
            <w:r>
              <w:rPr>
                <w:rFonts w:hint="eastAsia" w:ascii="宋体" w:hAnsi="宋体" w:cs="宋体"/>
                <w:b/>
                <w:bCs/>
                <w:color w:val="auto"/>
                <w:szCs w:val="21"/>
                <w:highlight w:val="none"/>
              </w:rPr>
              <w:t>控制柜、曳引机、轿厢限速器、轿厢安全钳、轿厢门机</w:t>
            </w:r>
            <w:r>
              <w:rPr>
                <w:rFonts w:hint="eastAsia" w:ascii="宋体" w:hAnsi="宋体" w:cs="宋体"/>
                <w:color w:val="auto"/>
                <w:szCs w:val="21"/>
                <w:highlight w:val="none"/>
              </w:rPr>
              <w:t>均为原厂原产地进口。投标人投标时</w:t>
            </w:r>
            <w:r>
              <w:rPr>
                <w:rFonts w:hint="eastAsia" w:ascii="宋体" w:hAnsi="宋体" w:cs="宋体"/>
                <w:b/>
                <w:bCs/>
                <w:color w:val="auto"/>
                <w:szCs w:val="21"/>
                <w:highlight w:val="none"/>
              </w:rPr>
              <w:t>须提供相关原产地证明及最近一年有效的类似项目进口海关报关单复印件、装箱清单复印件</w:t>
            </w:r>
            <w:r>
              <w:rPr>
                <w:rFonts w:hint="eastAsia" w:ascii="宋体" w:hAnsi="宋体" w:cs="宋体"/>
                <w:color w:val="auto"/>
                <w:szCs w:val="21"/>
                <w:highlight w:val="none"/>
              </w:rPr>
              <w:t>作为证明材料或</w:t>
            </w:r>
            <w:r>
              <w:rPr>
                <w:rFonts w:hint="eastAsia" w:ascii="宋体" w:hAnsi="宋体" w:cs="宋体"/>
                <w:b/>
                <w:bCs/>
                <w:color w:val="auto"/>
                <w:szCs w:val="21"/>
                <w:highlight w:val="none"/>
              </w:rPr>
              <w:t>投标时提供承诺函</w:t>
            </w:r>
            <w:r>
              <w:rPr>
                <w:rFonts w:hint="eastAsia" w:ascii="宋体" w:hAnsi="宋体" w:cs="宋体"/>
                <w:color w:val="auto"/>
                <w:szCs w:val="21"/>
                <w:highlight w:val="none"/>
              </w:rPr>
              <w:t>，</w:t>
            </w:r>
            <w:r>
              <w:rPr>
                <w:rFonts w:hint="eastAsia" w:ascii="宋体" w:hAnsi="宋体" w:cs="宋体"/>
                <w:b/>
                <w:bCs/>
                <w:color w:val="auto"/>
                <w:szCs w:val="21"/>
                <w:highlight w:val="none"/>
              </w:rPr>
              <w:t>供货时须提供相关原产地证明、进口海关报关单复印件、装箱清单复印件</w:t>
            </w:r>
            <w:r>
              <w:rPr>
                <w:rFonts w:hint="eastAsia" w:ascii="宋体" w:hAnsi="宋体" w:cs="宋体"/>
                <w:color w:val="auto"/>
                <w:szCs w:val="21"/>
                <w:highlight w:val="none"/>
              </w:rPr>
              <w:t>。</w:t>
            </w:r>
          </w:p>
          <w:p w14:paraId="2CCD1A5A">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四、功能：</w:t>
            </w:r>
          </w:p>
          <w:p w14:paraId="5D9F6587">
            <w:pPr>
              <w:spacing w:line="360" w:lineRule="auto"/>
              <w:rPr>
                <w:rFonts w:ascii="宋体" w:hAnsi="宋体" w:cs="宋体"/>
                <w:color w:val="auto"/>
                <w:szCs w:val="21"/>
                <w:highlight w:val="none"/>
              </w:rPr>
            </w:pPr>
            <w:r>
              <w:rPr>
                <w:rFonts w:hint="eastAsia" w:ascii="宋体" w:hAnsi="宋体" w:cs="宋体"/>
                <w:color w:val="auto"/>
                <w:szCs w:val="21"/>
                <w:highlight w:val="none"/>
              </w:rPr>
              <w:t>1、开门保持时间自动调整</w:t>
            </w:r>
          </w:p>
          <w:p w14:paraId="0E65269C">
            <w:pPr>
              <w:spacing w:line="360" w:lineRule="auto"/>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、电梯受阻失速保护</w:t>
            </w:r>
          </w:p>
          <w:p w14:paraId="6953B961">
            <w:pPr>
              <w:spacing w:line="360"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、钢丝绳拉伸再平层</w:t>
            </w:r>
          </w:p>
          <w:p w14:paraId="76AA95AF">
            <w:pPr>
              <w:spacing w:line="360" w:lineRule="auto"/>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、轿厢微机异常处理</w:t>
            </w:r>
          </w:p>
          <w:p w14:paraId="13B10B4C">
            <w:pPr>
              <w:spacing w:line="360" w:lineRule="auto"/>
              <w:rPr>
                <w:rFonts w:ascii="宋体" w:hAnsi="宋体" w:cs="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、轿内反向指令消除</w:t>
            </w:r>
          </w:p>
          <w:p w14:paraId="62949DCD">
            <w:pPr>
              <w:spacing w:line="360" w:lineRule="auto"/>
              <w:rPr>
                <w:rFonts w:ascii="宋体" w:hAnsi="宋体" w:cs="宋体"/>
                <w:color w:val="auto"/>
                <w:szCs w:val="21"/>
                <w:highlight w:val="none"/>
              </w:rPr>
            </w:pPr>
            <w:r>
              <w:rPr>
                <w:rFonts w:ascii="宋体" w:hAnsi="宋体" w:cs="宋体"/>
                <w:color w:val="auto"/>
                <w:szCs w:val="21"/>
                <w:highlight w:val="none"/>
              </w:rPr>
              <w:t>6</w:t>
            </w:r>
            <w:r>
              <w:rPr>
                <w:rFonts w:hint="eastAsia" w:ascii="宋体" w:hAnsi="宋体" w:cs="宋体"/>
                <w:color w:val="auto"/>
                <w:szCs w:val="21"/>
                <w:highlight w:val="none"/>
              </w:rPr>
              <w:t>、层站召唤自动登记</w:t>
            </w:r>
          </w:p>
          <w:p w14:paraId="5F4C9A00">
            <w:pPr>
              <w:spacing w:line="360" w:lineRule="auto"/>
              <w:rPr>
                <w:rFonts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、层站微机异常处理</w:t>
            </w:r>
          </w:p>
          <w:p w14:paraId="0C98D1E7">
            <w:pPr>
              <w:spacing w:line="360" w:lineRule="auto"/>
              <w:rPr>
                <w:rFonts w:ascii="宋体" w:hAnsi="宋体" w:cs="宋体"/>
                <w:color w:val="auto"/>
                <w:szCs w:val="21"/>
                <w:highlight w:val="none"/>
              </w:rPr>
            </w:pPr>
            <w:r>
              <w:rPr>
                <w:rFonts w:ascii="宋体" w:hAnsi="宋体" w:cs="宋体"/>
                <w:color w:val="auto"/>
                <w:szCs w:val="21"/>
                <w:highlight w:val="none"/>
              </w:rPr>
              <w:t>8</w:t>
            </w:r>
            <w:r>
              <w:rPr>
                <w:rFonts w:hint="eastAsia" w:ascii="宋体" w:hAnsi="宋体" w:cs="宋体"/>
                <w:color w:val="auto"/>
                <w:szCs w:val="21"/>
                <w:highlight w:val="none"/>
              </w:rPr>
              <w:t>、层站运行控制开关</w:t>
            </w:r>
          </w:p>
          <w:p w14:paraId="4F7EF464">
            <w:pPr>
              <w:spacing w:line="360" w:lineRule="auto"/>
              <w:rPr>
                <w:rFonts w:ascii="宋体" w:hAnsi="宋体" w:cs="宋体"/>
                <w:color w:val="auto"/>
                <w:szCs w:val="21"/>
                <w:highlight w:val="none"/>
              </w:rPr>
            </w:pPr>
            <w:r>
              <w:rPr>
                <w:rFonts w:ascii="宋体" w:hAnsi="宋体" w:cs="宋体"/>
                <w:color w:val="auto"/>
                <w:szCs w:val="21"/>
                <w:highlight w:val="none"/>
              </w:rPr>
              <w:t>9</w:t>
            </w:r>
            <w:r>
              <w:rPr>
                <w:rFonts w:hint="eastAsia" w:ascii="宋体" w:hAnsi="宋体" w:cs="宋体"/>
                <w:color w:val="auto"/>
                <w:szCs w:val="21"/>
                <w:highlight w:val="none"/>
              </w:rPr>
              <w:t>、轿内指令微动按钮</w:t>
            </w:r>
          </w:p>
          <w:p w14:paraId="68748DF8">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0</w:t>
            </w:r>
            <w:r>
              <w:rPr>
                <w:rFonts w:hint="eastAsia" w:ascii="宋体" w:hAnsi="宋体" w:cs="宋体"/>
                <w:color w:val="auto"/>
                <w:szCs w:val="21"/>
                <w:highlight w:val="none"/>
              </w:rPr>
              <w:t>、轿内运行方向指示</w:t>
            </w:r>
          </w:p>
          <w:p w14:paraId="4BA1C136">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、层站到站指示</w:t>
            </w:r>
          </w:p>
          <w:p w14:paraId="54B301FB">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2</w:t>
            </w:r>
            <w:r>
              <w:rPr>
                <w:rFonts w:hint="eastAsia" w:ascii="宋体" w:hAnsi="宋体" w:cs="宋体"/>
                <w:color w:val="auto"/>
                <w:szCs w:val="21"/>
                <w:highlight w:val="none"/>
              </w:rPr>
              <w:t>、多方通话装置</w:t>
            </w:r>
          </w:p>
          <w:p w14:paraId="3CAD1C97">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3</w:t>
            </w:r>
            <w:r>
              <w:rPr>
                <w:rFonts w:hint="eastAsia" w:ascii="宋体" w:hAnsi="宋体" w:cs="宋体"/>
                <w:color w:val="auto"/>
                <w:szCs w:val="21"/>
                <w:highlight w:val="none"/>
              </w:rPr>
              <w:t>、高加速度运行</w:t>
            </w:r>
          </w:p>
          <w:p w14:paraId="11D0EF17">
            <w:pPr>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4</w:t>
            </w:r>
            <w:r>
              <w:rPr>
                <w:rFonts w:hint="eastAsia" w:ascii="宋体" w:hAnsi="宋体" w:cs="宋体"/>
                <w:color w:val="auto"/>
                <w:szCs w:val="21"/>
                <w:highlight w:val="none"/>
              </w:rPr>
              <w:t>、上电再平层</w:t>
            </w:r>
          </w:p>
          <w:p w14:paraId="1A1A6744">
            <w:pPr>
              <w:spacing w:line="360" w:lineRule="auto"/>
              <w:rPr>
                <w:rFonts w:ascii="宋体" w:hAnsi="宋体" w:cs="宋体"/>
                <w:color w:val="auto"/>
                <w:szCs w:val="21"/>
                <w:highlight w:val="none"/>
              </w:rPr>
            </w:pPr>
            <w:r>
              <w:rPr>
                <w:rFonts w:ascii="宋体" w:hAnsi="宋体" w:cs="宋体"/>
                <w:color w:val="auto"/>
                <w:szCs w:val="21"/>
                <w:highlight w:val="none"/>
              </w:rPr>
              <w:t>15</w:t>
            </w:r>
            <w:r>
              <w:rPr>
                <w:rFonts w:hint="eastAsia" w:ascii="宋体" w:hAnsi="宋体" w:cs="宋体"/>
                <w:color w:val="auto"/>
                <w:szCs w:val="21"/>
                <w:highlight w:val="none"/>
              </w:rPr>
              <w:t>、换向重开门</w:t>
            </w:r>
          </w:p>
          <w:p w14:paraId="1217D773">
            <w:pPr>
              <w:spacing w:line="360" w:lineRule="auto"/>
              <w:rPr>
                <w:rFonts w:ascii="宋体" w:hAnsi="宋体" w:cs="宋体"/>
                <w:color w:val="auto"/>
                <w:szCs w:val="21"/>
                <w:highlight w:val="none"/>
              </w:rPr>
            </w:pPr>
            <w:r>
              <w:rPr>
                <w:rFonts w:ascii="宋体" w:hAnsi="宋体" w:cs="宋体"/>
                <w:color w:val="auto"/>
                <w:szCs w:val="21"/>
                <w:highlight w:val="none"/>
              </w:rPr>
              <w:t>16</w:t>
            </w:r>
            <w:r>
              <w:rPr>
                <w:rFonts w:hint="eastAsia" w:ascii="宋体" w:hAnsi="宋体" w:cs="宋体"/>
                <w:color w:val="auto"/>
                <w:szCs w:val="21"/>
                <w:highlight w:val="none"/>
              </w:rPr>
              <w:t>、门负载检测</w:t>
            </w:r>
          </w:p>
          <w:p w14:paraId="71A5AD31">
            <w:pPr>
              <w:spacing w:line="360" w:lineRule="auto"/>
              <w:rPr>
                <w:rFonts w:ascii="宋体" w:hAnsi="宋体" w:cs="宋体"/>
                <w:color w:val="auto"/>
                <w:szCs w:val="21"/>
                <w:highlight w:val="none"/>
              </w:rPr>
            </w:pPr>
            <w:r>
              <w:rPr>
                <w:rFonts w:ascii="宋体" w:hAnsi="宋体" w:cs="宋体"/>
                <w:color w:val="auto"/>
                <w:szCs w:val="21"/>
                <w:highlight w:val="none"/>
              </w:rPr>
              <w:t>17</w:t>
            </w:r>
            <w:r>
              <w:rPr>
                <w:rFonts w:hint="eastAsia" w:ascii="宋体" w:hAnsi="宋体" w:cs="宋体"/>
                <w:color w:val="auto"/>
                <w:szCs w:val="21"/>
                <w:highlight w:val="none"/>
              </w:rPr>
              <w:t>、本层再开门</w:t>
            </w:r>
          </w:p>
          <w:p w14:paraId="4CEC0C01">
            <w:pPr>
              <w:spacing w:line="360" w:lineRule="auto"/>
              <w:rPr>
                <w:rFonts w:ascii="宋体" w:hAnsi="宋体" w:cs="宋体"/>
                <w:color w:val="auto"/>
                <w:szCs w:val="21"/>
                <w:highlight w:val="none"/>
              </w:rPr>
            </w:pPr>
            <w:r>
              <w:rPr>
                <w:rFonts w:ascii="宋体" w:hAnsi="宋体" w:cs="宋体"/>
                <w:color w:val="auto"/>
                <w:szCs w:val="21"/>
                <w:highlight w:val="none"/>
              </w:rPr>
              <w:t>18</w:t>
            </w:r>
            <w:r>
              <w:rPr>
                <w:rFonts w:hint="eastAsia" w:ascii="宋体" w:hAnsi="宋体" w:cs="宋体"/>
                <w:color w:val="auto"/>
                <w:szCs w:val="21"/>
                <w:highlight w:val="none"/>
              </w:rPr>
              <w:t>、检修操作</w:t>
            </w:r>
          </w:p>
          <w:p w14:paraId="1E5956F7">
            <w:pPr>
              <w:spacing w:line="360" w:lineRule="auto"/>
              <w:rPr>
                <w:rFonts w:ascii="宋体" w:hAnsi="宋体" w:cs="宋体"/>
                <w:color w:val="auto"/>
                <w:szCs w:val="21"/>
                <w:highlight w:val="none"/>
              </w:rPr>
            </w:pPr>
            <w:r>
              <w:rPr>
                <w:rFonts w:ascii="宋体" w:hAnsi="宋体" w:cs="宋体"/>
                <w:color w:val="auto"/>
                <w:szCs w:val="21"/>
                <w:highlight w:val="none"/>
              </w:rPr>
              <w:t>19</w:t>
            </w:r>
            <w:r>
              <w:rPr>
                <w:rFonts w:hint="eastAsia" w:ascii="宋体" w:hAnsi="宋体" w:cs="宋体"/>
                <w:color w:val="auto"/>
                <w:szCs w:val="21"/>
                <w:highlight w:val="none"/>
              </w:rPr>
              <w:t>、称重启动</w:t>
            </w:r>
          </w:p>
          <w:p w14:paraId="4E12D8B7">
            <w:pPr>
              <w:spacing w:line="360" w:lineRule="auto"/>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0</w:t>
            </w:r>
            <w:r>
              <w:rPr>
                <w:rFonts w:hint="eastAsia" w:ascii="宋体" w:hAnsi="宋体" w:cs="宋体"/>
                <w:color w:val="auto"/>
                <w:szCs w:val="21"/>
                <w:highlight w:val="none"/>
              </w:rPr>
              <w:t>、安全停靠</w:t>
            </w:r>
          </w:p>
          <w:p w14:paraId="30EDF168">
            <w:pPr>
              <w:spacing w:line="360" w:lineRule="auto"/>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、轿内FE运行指示</w:t>
            </w:r>
          </w:p>
          <w:p w14:paraId="2F5B98CC">
            <w:pPr>
              <w:spacing w:line="360" w:lineRule="auto"/>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2</w:t>
            </w:r>
            <w:r>
              <w:rPr>
                <w:rFonts w:hint="eastAsia" w:ascii="宋体" w:hAnsi="宋体" w:cs="宋体"/>
                <w:color w:val="auto"/>
                <w:szCs w:val="21"/>
                <w:highlight w:val="none"/>
              </w:rPr>
              <w:t>、层站召唤自动登记</w:t>
            </w:r>
          </w:p>
          <w:p w14:paraId="4E03E649">
            <w:pPr>
              <w:spacing w:line="360" w:lineRule="auto"/>
              <w:rPr>
                <w:rFonts w:ascii="宋体" w:hAnsi="宋体" w:cs="宋体"/>
                <w:color w:val="auto"/>
                <w:szCs w:val="21"/>
                <w:highlight w:val="none"/>
              </w:rPr>
            </w:pPr>
            <w:r>
              <w:rPr>
                <w:rFonts w:ascii="宋体" w:hAnsi="宋体" w:cs="宋体"/>
                <w:color w:val="auto"/>
                <w:szCs w:val="21"/>
                <w:highlight w:val="none"/>
              </w:rPr>
              <w:t>23</w:t>
            </w:r>
            <w:r>
              <w:rPr>
                <w:rFonts w:hint="eastAsia" w:ascii="宋体" w:hAnsi="宋体" w:cs="宋体"/>
                <w:color w:val="auto"/>
                <w:szCs w:val="21"/>
                <w:highlight w:val="none"/>
              </w:rPr>
              <w:t>、门传感器自诊断</w:t>
            </w:r>
          </w:p>
          <w:p w14:paraId="1193DB40">
            <w:pPr>
              <w:spacing w:line="360" w:lineRule="auto"/>
              <w:rPr>
                <w:rFonts w:ascii="宋体" w:hAnsi="宋体" w:cs="宋体"/>
                <w:color w:val="auto"/>
                <w:szCs w:val="21"/>
                <w:highlight w:val="none"/>
              </w:rPr>
            </w:pPr>
            <w:r>
              <w:rPr>
                <w:rFonts w:ascii="宋体" w:hAnsi="宋体" w:cs="宋体"/>
                <w:color w:val="auto"/>
                <w:szCs w:val="21"/>
                <w:highlight w:val="none"/>
              </w:rPr>
              <w:t>24</w:t>
            </w:r>
            <w:r>
              <w:rPr>
                <w:rFonts w:hint="eastAsia" w:ascii="宋体" w:hAnsi="宋体" w:cs="宋体"/>
                <w:color w:val="auto"/>
                <w:szCs w:val="21"/>
                <w:highlight w:val="none"/>
              </w:rPr>
              <w:t>、门速自适应控制</w:t>
            </w:r>
          </w:p>
          <w:p w14:paraId="2EA23079">
            <w:pPr>
              <w:spacing w:line="360" w:lineRule="auto"/>
              <w:rPr>
                <w:rFonts w:ascii="宋体" w:hAnsi="宋体" w:cs="宋体"/>
                <w:color w:val="auto"/>
                <w:szCs w:val="21"/>
                <w:highlight w:val="none"/>
              </w:rPr>
            </w:pPr>
            <w:r>
              <w:rPr>
                <w:rFonts w:ascii="宋体" w:hAnsi="宋体" w:cs="宋体"/>
                <w:color w:val="auto"/>
                <w:szCs w:val="21"/>
                <w:highlight w:val="none"/>
              </w:rPr>
              <w:t>25</w:t>
            </w:r>
            <w:r>
              <w:rPr>
                <w:rFonts w:hint="eastAsia" w:ascii="宋体" w:hAnsi="宋体" w:cs="宋体"/>
                <w:color w:val="auto"/>
                <w:szCs w:val="21"/>
                <w:highlight w:val="none"/>
              </w:rPr>
              <w:t>、多光幕门探测器</w:t>
            </w:r>
          </w:p>
          <w:p w14:paraId="32057D5A">
            <w:pPr>
              <w:spacing w:line="360" w:lineRule="auto"/>
              <w:rPr>
                <w:rFonts w:ascii="宋体" w:hAnsi="宋体" w:cs="宋体"/>
                <w:color w:val="auto"/>
                <w:szCs w:val="21"/>
                <w:highlight w:val="none"/>
              </w:rPr>
            </w:pPr>
            <w:r>
              <w:rPr>
                <w:rFonts w:ascii="宋体" w:hAnsi="宋体" w:cs="宋体"/>
                <w:color w:val="auto"/>
                <w:szCs w:val="21"/>
                <w:highlight w:val="none"/>
              </w:rPr>
              <w:t>26</w:t>
            </w:r>
            <w:r>
              <w:rPr>
                <w:rFonts w:hint="eastAsia" w:ascii="宋体" w:hAnsi="宋体" w:cs="宋体"/>
                <w:color w:val="auto"/>
                <w:szCs w:val="21"/>
                <w:highlight w:val="none"/>
              </w:rPr>
              <w:t>、电梯不启动报警</w:t>
            </w:r>
          </w:p>
          <w:p w14:paraId="77B40F54">
            <w:pPr>
              <w:spacing w:line="360" w:lineRule="auto"/>
              <w:rPr>
                <w:rFonts w:ascii="宋体" w:hAnsi="宋体" w:cs="宋体"/>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、关门力矩控制</w:t>
            </w:r>
          </w:p>
          <w:p w14:paraId="276AE948">
            <w:pPr>
              <w:spacing w:line="360" w:lineRule="auto"/>
              <w:rPr>
                <w:rFonts w:ascii="宋体" w:hAnsi="宋体" w:cs="宋体"/>
                <w:color w:val="auto"/>
                <w:szCs w:val="21"/>
                <w:highlight w:val="none"/>
              </w:rPr>
            </w:pPr>
            <w:r>
              <w:rPr>
                <w:rFonts w:ascii="宋体" w:hAnsi="宋体" w:cs="宋体"/>
                <w:color w:val="auto"/>
                <w:szCs w:val="21"/>
                <w:highlight w:val="none"/>
              </w:rPr>
              <w:t>28</w:t>
            </w:r>
            <w:r>
              <w:rPr>
                <w:rFonts w:hint="eastAsia" w:ascii="宋体" w:hAnsi="宋体" w:cs="宋体"/>
                <w:color w:val="auto"/>
                <w:szCs w:val="21"/>
                <w:highlight w:val="none"/>
              </w:rPr>
              <w:t>、开门受阻控制</w:t>
            </w:r>
          </w:p>
          <w:p w14:paraId="7E6EB311">
            <w:pPr>
              <w:spacing w:line="360" w:lineRule="auto"/>
              <w:rPr>
                <w:rFonts w:ascii="宋体" w:hAnsi="宋体" w:cs="宋体"/>
                <w:color w:val="auto"/>
                <w:szCs w:val="21"/>
                <w:highlight w:val="none"/>
              </w:rPr>
            </w:pPr>
            <w:r>
              <w:rPr>
                <w:rFonts w:ascii="宋体" w:hAnsi="宋体" w:cs="宋体"/>
                <w:color w:val="auto"/>
                <w:szCs w:val="21"/>
                <w:highlight w:val="none"/>
              </w:rPr>
              <w:t>29</w:t>
            </w:r>
            <w:r>
              <w:rPr>
                <w:rFonts w:hint="eastAsia" w:ascii="宋体" w:hAnsi="宋体" w:cs="宋体"/>
                <w:color w:val="auto"/>
                <w:szCs w:val="21"/>
                <w:highlight w:val="none"/>
              </w:rPr>
              <w:t>、响铃强制关门</w:t>
            </w:r>
          </w:p>
          <w:p w14:paraId="5952968D">
            <w:pPr>
              <w:spacing w:line="360" w:lineRule="auto"/>
              <w:rPr>
                <w:rFonts w:ascii="宋体" w:hAnsi="宋体" w:cs="宋体"/>
                <w:color w:val="auto"/>
                <w:szCs w:val="21"/>
                <w:highlight w:val="none"/>
              </w:rPr>
            </w:pPr>
            <w:r>
              <w:rPr>
                <w:rFonts w:ascii="宋体" w:hAnsi="宋体" w:cs="宋体"/>
                <w:color w:val="auto"/>
                <w:szCs w:val="21"/>
                <w:highlight w:val="none"/>
              </w:rPr>
              <w:t>30</w:t>
            </w:r>
            <w:r>
              <w:rPr>
                <w:rFonts w:hint="eastAsia" w:ascii="宋体" w:hAnsi="宋体" w:cs="宋体"/>
                <w:color w:val="auto"/>
                <w:szCs w:val="21"/>
                <w:highlight w:val="none"/>
              </w:rPr>
              <w:t>、停层开门</w:t>
            </w:r>
          </w:p>
          <w:p w14:paraId="52A68A00">
            <w:pPr>
              <w:spacing w:line="360"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1、关门保护</w:t>
            </w:r>
          </w:p>
          <w:p w14:paraId="54906FAE">
            <w:pPr>
              <w:spacing w:line="360"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2、即时关门</w:t>
            </w:r>
          </w:p>
          <w:p w14:paraId="75E73DAE">
            <w:pPr>
              <w:spacing w:line="360"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3、重复关门</w:t>
            </w:r>
          </w:p>
          <w:p w14:paraId="19EDB1A7">
            <w:pPr>
              <w:spacing w:line="360"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4、消防迫降</w:t>
            </w:r>
            <w:r>
              <w:rPr>
                <w:rFonts w:ascii="宋体" w:hAnsi="宋体" w:cs="宋体"/>
                <w:color w:val="auto"/>
                <w:szCs w:val="21"/>
                <w:highlight w:val="none"/>
              </w:rPr>
              <w:t xml:space="preserve"> </w:t>
            </w:r>
          </w:p>
          <w:p w14:paraId="70AA4B1C">
            <w:pPr>
              <w:spacing w:line="360" w:lineRule="auto"/>
              <w:rPr>
                <w:rFonts w:ascii="宋体" w:hAnsi="宋体" w:cs="宋体"/>
                <w:color w:val="auto"/>
                <w:szCs w:val="21"/>
                <w:highlight w:val="none"/>
              </w:rPr>
            </w:pPr>
            <w:r>
              <w:rPr>
                <w:rFonts w:ascii="宋体" w:hAnsi="宋体" w:cs="宋体"/>
                <w:color w:val="auto"/>
                <w:szCs w:val="21"/>
                <w:highlight w:val="none"/>
              </w:rPr>
              <w:t>35</w:t>
            </w:r>
            <w:r>
              <w:rPr>
                <w:rFonts w:hint="eastAsia" w:ascii="宋体" w:hAnsi="宋体" w:cs="宋体"/>
                <w:color w:val="auto"/>
                <w:szCs w:val="21"/>
                <w:highlight w:val="none"/>
              </w:rPr>
              <w:t>、连续服务</w:t>
            </w:r>
          </w:p>
          <w:p w14:paraId="07E796CD">
            <w:pPr>
              <w:spacing w:line="360" w:lineRule="auto"/>
              <w:rPr>
                <w:rFonts w:ascii="宋体" w:hAnsi="宋体" w:cs="宋体"/>
                <w:color w:val="auto"/>
                <w:szCs w:val="21"/>
                <w:highlight w:val="none"/>
              </w:rPr>
            </w:pPr>
            <w:r>
              <w:rPr>
                <w:rFonts w:ascii="宋体" w:hAnsi="宋体" w:cs="宋体"/>
                <w:color w:val="auto"/>
                <w:szCs w:val="21"/>
                <w:highlight w:val="none"/>
              </w:rPr>
              <w:t>36</w:t>
            </w:r>
            <w:r>
              <w:rPr>
                <w:rFonts w:hint="eastAsia" w:ascii="宋体" w:hAnsi="宋体" w:cs="宋体"/>
                <w:color w:val="auto"/>
                <w:szCs w:val="21"/>
                <w:highlight w:val="none"/>
              </w:rPr>
              <w:t>、独立运行</w:t>
            </w:r>
          </w:p>
          <w:p w14:paraId="5E13A9BF">
            <w:pPr>
              <w:spacing w:line="360" w:lineRule="auto"/>
              <w:rPr>
                <w:rFonts w:ascii="宋体" w:hAnsi="宋体" w:cs="宋体"/>
                <w:color w:val="auto"/>
                <w:szCs w:val="21"/>
                <w:highlight w:val="none"/>
              </w:rPr>
            </w:pPr>
            <w:r>
              <w:rPr>
                <w:rFonts w:ascii="宋体" w:hAnsi="宋体" w:cs="宋体"/>
                <w:color w:val="auto"/>
                <w:szCs w:val="21"/>
                <w:highlight w:val="none"/>
              </w:rPr>
              <w:t>37</w:t>
            </w:r>
            <w:r>
              <w:rPr>
                <w:rFonts w:hint="eastAsia" w:ascii="宋体" w:hAnsi="宋体" w:cs="宋体"/>
                <w:color w:val="auto"/>
                <w:szCs w:val="21"/>
                <w:highlight w:val="none"/>
              </w:rPr>
              <w:t>、次层停靠</w:t>
            </w:r>
          </w:p>
          <w:p w14:paraId="04A09F5C">
            <w:pPr>
              <w:spacing w:line="360" w:lineRule="auto"/>
              <w:rPr>
                <w:rFonts w:ascii="宋体" w:hAnsi="宋体" w:cs="宋体"/>
                <w:color w:val="auto"/>
                <w:szCs w:val="21"/>
                <w:highlight w:val="none"/>
              </w:rPr>
            </w:pPr>
            <w:r>
              <w:rPr>
                <w:rFonts w:ascii="宋体" w:hAnsi="宋体" w:cs="宋体"/>
                <w:color w:val="auto"/>
                <w:szCs w:val="21"/>
                <w:highlight w:val="none"/>
              </w:rPr>
              <w:t>38</w:t>
            </w:r>
            <w:r>
              <w:rPr>
                <w:rFonts w:hint="eastAsia" w:ascii="宋体" w:hAnsi="宋体" w:cs="宋体"/>
                <w:color w:val="auto"/>
                <w:szCs w:val="21"/>
                <w:highlight w:val="none"/>
              </w:rPr>
              <w:t>、超载报警</w:t>
            </w:r>
          </w:p>
          <w:p w14:paraId="0D7EDB8A">
            <w:pPr>
              <w:spacing w:line="360" w:lineRule="auto"/>
              <w:rPr>
                <w:rFonts w:ascii="宋体" w:hAnsi="宋体" w:cs="宋体"/>
                <w:color w:val="auto"/>
                <w:szCs w:val="21"/>
                <w:highlight w:val="none"/>
              </w:rPr>
            </w:pPr>
            <w:r>
              <w:rPr>
                <w:rFonts w:ascii="宋体" w:hAnsi="宋体" w:cs="宋体"/>
                <w:color w:val="auto"/>
                <w:szCs w:val="21"/>
                <w:highlight w:val="none"/>
              </w:rPr>
              <w:t>38</w:t>
            </w:r>
            <w:r>
              <w:rPr>
                <w:rFonts w:hint="eastAsia" w:ascii="宋体" w:hAnsi="宋体" w:cs="宋体"/>
                <w:color w:val="auto"/>
                <w:szCs w:val="21"/>
                <w:highlight w:val="none"/>
              </w:rPr>
              <w:t>、电子看门人</w:t>
            </w:r>
          </w:p>
          <w:p w14:paraId="3968A69F">
            <w:pPr>
              <w:spacing w:line="360" w:lineRule="auto"/>
              <w:rPr>
                <w:rFonts w:ascii="宋体" w:hAnsi="宋体" w:cs="宋体"/>
                <w:color w:val="auto"/>
                <w:szCs w:val="21"/>
                <w:highlight w:val="none"/>
              </w:rPr>
            </w:pPr>
            <w:r>
              <w:rPr>
                <w:rFonts w:ascii="宋体" w:hAnsi="宋体" w:cs="宋体"/>
                <w:color w:val="auto"/>
                <w:szCs w:val="21"/>
                <w:highlight w:val="none"/>
              </w:rPr>
              <w:t>39</w:t>
            </w:r>
            <w:r>
              <w:rPr>
                <w:rFonts w:hint="eastAsia" w:ascii="宋体" w:hAnsi="宋体" w:cs="宋体"/>
                <w:color w:val="auto"/>
                <w:szCs w:val="21"/>
                <w:highlight w:val="none"/>
              </w:rPr>
              <w:t>、轿厢配置空调</w:t>
            </w:r>
          </w:p>
          <w:p w14:paraId="2AE8DA30">
            <w:pPr>
              <w:pStyle w:val="34"/>
              <w:spacing w:line="360" w:lineRule="auto"/>
              <w:rPr>
                <w:rFonts w:ascii="宋体" w:hAnsi="宋体" w:cs="宋体"/>
                <w:color w:val="auto"/>
                <w:sz w:val="21"/>
                <w:szCs w:val="21"/>
                <w:highlight w:val="none"/>
              </w:rPr>
            </w:pPr>
            <w:r>
              <w:rPr>
                <w:rFonts w:ascii="宋体" w:hAnsi="宋体" w:cs="宋体"/>
                <w:color w:val="auto"/>
                <w:sz w:val="21"/>
                <w:szCs w:val="21"/>
                <w:highlight w:val="none"/>
              </w:rPr>
              <w:t>40</w:t>
            </w:r>
            <w:r>
              <w:rPr>
                <w:rFonts w:hint="eastAsia" w:ascii="宋体" w:hAnsi="宋体" w:cs="宋体"/>
                <w:color w:val="auto"/>
                <w:sz w:val="21"/>
                <w:szCs w:val="21"/>
                <w:highlight w:val="none"/>
              </w:rPr>
              <w:t>、能量回馈功能</w:t>
            </w:r>
          </w:p>
          <w:p w14:paraId="5EBAE77B">
            <w:pPr>
              <w:pStyle w:val="34"/>
              <w:spacing w:line="360" w:lineRule="auto"/>
              <w:rPr>
                <w:rFonts w:ascii="宋体" w:hAnsi="宋体" w:cs="宋体"/>
                <w:color w:val="auto"/>
                <w:sz w:val="21"/>
                <w:szCs w:val="21"/>
                <w:highlight w:val="none"/>
              </w:rPr>
            </w:pPr>
            <w:r>
              <w:rPr>
                <w:rFonts w:ascii="宋体" w:hAnsi="宋体" w:cs="宋体"/>
                <w:color w:val="auto"/>
                <w:sz w:val="21"/>
                <w:szCs w:val="21"/>
                <w:highlight w:val="none"/>
              </w:rPr>
              <w:t>41</w:t>
            </w:r>
            <w:r>
              <w:rPr>
                <w:rFonts w:hint="eastAsia" w:ascii="宋体" w:hAnsi="宋体" w:cs="宋体"/>
                <w:color w:val="auto"/>
                <w:sz w:val="21"/>
                <w:szCs w:val="21"/>
                <w:highlight w:val="none"/>
              </w:rPr>
              <w:t>、司机操作功能</w:t>
            </w:r>
          </w:p>
          <w:p w14:paraId="79093612">
            <w:pPr>
              <w:pStyle w:val="34"/>
              <w:spacing w:line="360" w:lineRule="auto"/>
              <w:rPr>
                <w:rFonts w:ascii="宋体" w:hAnsi="宋体" w:cs="宋体"/>
                <w:b/>
                <w:bCs/>
                <w:color w:val="auto"/>
                <w:szCs w:val="21"/>
                <w:highlight w:val="none"/>
              </w:rPr>
            </w:pPr>
            <w:r>
              <w:rPr>
                <w:rFonts w:hint="eastAsia" w:ascii="宋体" w:hAnsi="宋体" w:cs="宋体"/>
                <w:color w:val="auto"/>
                <w:sz w:val="21"/>
                <w:szCs w:val="21"/>
                <w:highlight w:val="none"/>
              </w:rPr>
              <w:t>42、消防功能</w:t>
            </w:r>
          </w:p>
          <w:p w14:paraId="4963759D">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五、装饰材质要求：</w:t>
            </w:r>
          </w:p>
          <w:p w14:paraId="2AF7D835">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1、轿厢壁：SUS304发纹不锈钢，厚度≥1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14C63EA2">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2、轿门：SUS304发纹不锈钢，厚度≥1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090249B8">
            <w:pPr>
              <w:spacing w:line="360" w:lineRule="auto"/>
              <w:rPr>
                <w:rFonts w:ascii="宋体" w:hAnsi="宋体" w:cs="宋体"/>
                <w:color w:val="auto"/>
                <w:szCs w:val="21"/>
                <w:highlight w:val="none"/>
              </w:rPr>
            </w:pPr>
            <w:r>
              <w:rPr>
                <w:rFonts w:hint="eastAsia" w:ascii="宋体" w:hAnsi="宋体" w:cs="宋体"/>
                <w:color w:val="auto"/>
                <w:szCs w:val="21"/>
                <w:highlight w:val="none"/>
              </w:rPr>
              <w:t>3、轿顶：豪华轿顶。</w:t>
            </w:r>
          </w:p>
          <w:p w14:paraId="54E208AD">
            <w:pPr>
              <w:spacing w:line="360" w:lineRule="auto"/>
              <w:rPr>
                <w:rFonts w:ascii="宋体" w:hAnsi="宋体" w:cs="宋体"/>
                <w:color w:val="auto"/>
                <w:szCs w:val="21"/>
                <w:highlight w:val="none"/>
              </w:rPr>
            </w:pPr>
            <w:r>
              <w:rPr>
                <w:rFonts w:hint="eastAsia" w:ascii="宋体" w:hAnsi="宋体" w:cs="宋体"/>
                <w:color w:val="auto"/>
                <w:szCs w:val="21"/>
                <w:highlight w:val="none"/>
              </w:rPr>
              <w:t>4、轿厢地面：大理石地板。</w:t>
            </w:r>
          </w:p>
          <w:p w14:paraId="1B438342">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5、层门：所有层SUS304发纹不锈钢，厚度≥1</w:t>
            </w:r>
            <w:r>
              <w:rPr>
                <w:rFonts w:ascii="宋体" w:hAnsi="宋体" w:cs="宋体"/>
                <w:color w:val="auto"/>
                <w:szCs w:val="21"/>
                <w:highlight w:val="none"/>
              </w:rPr>
              <w:t>.5mm</w:t>
            </w:r>
            <w:r>
              <w:rPr>
                <w:rFonts w:ascii="宋体" w:hAnsi="宋体" w:cs="宋体"/>
                <w:color w:val="auto"/>
                <w:szCs w:val="21"/>
                <w:highlight w:val="none"/>
                <w:lang w:val="en"/>
              </w:rPr>
              <w:t>(</w:t>
            </w:r>
            <w:r>
              <w:rPr>
                <w:rFonts w:hint="eastAsia" w:ascii="宋体" w:hAnsi="宋体" w:cs="宋体"/>
                <w:color w:val="auto"/>
                <w:szCs w:val="21"/>
                <w:highlight w:val="none"/>
                <w:lang w:val="en"/>
              </w:rPr>
              <w:t>实测</w:t>
            </w:r>
            <w:r>
              <w:rPr>
                <w:rFonts w:ascii="宋体" w:hAnsi="宋体" w:cs="宋体"/>
                <w:color w:val="auto"/>
                <w:szCs w:val="21"/>
                <w:highlight w:val="none"/>
                <w:lang w:val="en"/>
              </w:rPr>
              <w:t>)</w:t>
            </w:r>
            <w:r>
              <w:rPr>
                <w:rFonts w:hint="eastAsia" w:ascii="宋体" w:hAnsi="宋体" w:cs="宋体"/>
                <w:color w:val="auto"/>
                <w:szCs w:val="21"/>
                <w:highlight w:val="none"/>
              </w:rPr>
              <w:t>。</w:t>
            </w:r>
          </w:p>
          <w:p w14:paraId="1932CC87">
            <w:pPr>
              <w:spacing w:line="360" w:lineRule="auto"/>
              <w:rPr>
                <w:rFonts w:ascii="宋体" w:hAnsi="宋体" w:cs="宋体"/>
                <w:color w:val="auto"/>
                <w:szCs w:val="21"/>
                <w:highlight w:val="none"/>
              </w:rPr>
            </w:pPr>
            <w:r>
              <w:rPr>
                <w:rFonts w:ascii="宋体" w:hAnsi="宋体" w:cs="宋体"/>
                <w:b/>
                <w:bCs/>
                <w:color w:val="auto"/>
                <w:szCs w:val="21"/>
                <w:highlight w:val="none"/>
                <w:lang w:val="en"/>
              </w:rPr>
              <w:t>▲</w:t>
            </w:r>
            <w:r>
              <w:rPr>
                <w:rFonts w:hint="eastAsia" w:ascii="宋体" w:hAnsi="宋体" w:cs="宋体"/>
                <w:color w:val="auto"/>
                <w:szCs w:val="21"/>
                <w:highlight w:val="none"/>
              </w:rPr>
              <w:t>6、门套：所有层SUS304发纹不锈钢小门套。</w:t>
            </w:r>
          </w:p>
          <w:p w14:paraId="668F2E81">
            <w:pPr>
              <w:spacing w:line="360" w:lineRule="auto"/>
              <w:rPr>
                <w:rFonts w:ascii="宋体" w:hAnsi="宋体" w:cs="宋体"/>
                <w:color w:val="auto"/>
                <w:szCs w:val="21"/>
                <w:highlight w:val="none"/>
              </w:rPr>
            </w:pPr>
            <w:r>
              <w:rPr>
                <w:rFonts w:hint="eastAsia" w:ascii="宋体" w:hAnsi="宋体" w:cs="宋体"/>
                <w:color w:val="auto"/>
                <w:szCs w:val="21"/>
                <w:highlight w:val="none"/>
              </w:rPr>
              <w:t>7、轿厢操纵箱：10.4英寸液晶显示屏,发纹不锈钢面板，发纹不锈钢按钮。</w:t>
            </w:r>
          </w:p>
          <w:p w14:paraId="7FA9A456">
            <w:pPr>
              <w:pStyle w:val="51"/>
              <w:spacing w:line="360" w:lineRule="auto"/>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rPr>
              <w:t>8、厅外召唤箱：液晶显示板，发纹不锈钢面板，发纹不锈钢按钮。</w:t>
            </w:r>
          </w:p>
          <w:p w14:paraId="31F6C0A3">
            <w:pPr>
              <w:pStyle w:val="51"/>
              <w:spacing w:line="360" w:lineRule="auto"/>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rPr>
              <w:t>六、电梯土建整改要求：</w:t>
            </w:r>
          </w:p>
          <w:p w14:paraId="05B64FEE">
            <w:pPr>
              <w:pStyle w:val="51"/>
              <w:spacing w:line="360" w:lineRule="auto"/>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lang w:val="en"/>
              </w:rPr>
              <w:t>井道左右两侧主轨及井道后侧两道副轨的安装位置须安装槽钢，槽钢从底坑处至顶层由下至上安装槽钢，供货单位向设计单位咨询方案，根据设计方案进行施工。</w:t>
            </w:r>
          </w:p>
        </w:tc>
      </w:tr>
      <w:tr w14:paraId="341D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865" w:type="dxa"/>
            <w:gridSpan w:val="6"/>
            <w:tcBorders>
              <w:top w:val="single" w:color="auto" w:sz="4" w:space="0"/>
              <w:left w:val="single" w:color="auto" w:sz="4" w:space="0"/>
              <w:bottom w:val="single" w:color="auto" w:sz="4" w:space="0"/>
              <w:right w:val="single" w:color="auto" w:sz="4" w:space="0"/>
            </w:tcBorders>
            <w:vAlign w:val="center"/>
          </w:tcPr>
          <w:p w14:paraId="0D9F121C">
            <w:pPr>
              <w:spacing w:line="400" w:lineRule="exact"/>
              <w:rPr>
                <w:rFonts w:ascii="宋体" w:hAnsi="宋体" w:cs="宋体"/>
                <w:color w:val="auto"/>
                <w:szCs w:val="21"/>
                <w:highlight w:val="none"/>
              </w:rPr>
            </w:pPr>
            <w:r>
              <w:rPr>
                <w:rFonts w:hint="eastAsia" w:ascii="宋体" w:hAnsi="宋体" w:cs="宋体"/>
                <w:b/>
                <w:color w:val="auto"/>
                <w:szCs w:val="21"/>
                <w:highlight w:val="none"/>
              </w:rPr>
              <w:t>商务及其他要求表</w:t>
            </w:r>
          </w:p>
        </w:tc>
      </w:tr>
      <w:tr w14:paraId="6412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4E8E3144">
            <w:pPr>
              <w:spacing w:line="400" w:lineRule="exact"/>
              <w:jc w:val="center"/>
              <w:rPr>
                <w:rFonts w:ascii="宋体" w:hAnsi="宋体" w:cs="宋体"/>
                <w:b/>
                <w:color w:val="auto"/>
                <w:szCs w:val="21"/>
                <w:highlight w:val="none"/>
              </w:rPr>
            </w:pPr>
            <w:r>
              <w:rPr>
                <w:rFonts w:hint="eastAsia" w:ascii="宋体" w:hAnsi="宋体" w:cs="宋体"/>
                <w:b/>
                <w:bCs/>
                <w:color w:val="auto"/>
                <w:szCs w:val="21"/>
                <w:highlight w:val="none"/>
              </w:rPr>
              <w:t>项目基本要求</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24EC113C">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投标产品须是出厂标准配置提供的整套全新具备正规合法经销渠道的符合现行的国家各项有关质量标准的合格产品。所有设备除满足上表要求的技术参数和配置外，其余均按国家标准及生产厂家出厂标准配置，若产品在运输过程中损坏须无偿调换同样产品。</w:t>
            </w:r>
          </w:p>
          <w:p w14:paraId="64AF1DD8">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2、投标文件应如实反映投标产品的技术水平和科技含量；投标产品如包括必备的易损易耗备品备件和专用工具，投标人应提供其清单。</w:t>
            </w:r>
          </w:p>
          <w:p w14:paraId="50DBAE00">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3、投标产品必须满足现场安装、开机调试的全部要求，包装要求便于产品的安装就位。</w:t>
            </w:r>
          </w:p>
          <w:p w14:paraId="5A398D22">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4、供方在交货时必须提供该批产品的原厂质量保证书、产品合格证书、检测报告及需方认为需要提供的部件来源证明材料等。供方在接到需方通知后须按需方要求提供井道预埋等有关技术资料及图纸并指派专业技术人员到安装现场对井道预埋件的预埋工作进行指导。</w:t>
            </w:r>
          </w:p>
          <w:p w14:paraId="0B6AF27F">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投标人所提供货物的设计、制造、产品性能、材料的选择和材料的使用及产品的测试等，都应按国内外通行的现行标准和相应的技术规范执行。而这些标准和技术规范应为合同签字日为止最新公布发行的标准和技术规范。</w:t>
            </w:r>
          </w:p>
          <w:p w14:paraId="2BD6F4EE">
            <w:pPr>
              <w:pStyle w:val="34"/>
              <w:spacing w:line="360" w:lineRule="auto"/>
              <w:rPr>
                <w:rFonts w:ascii="宋体" w:hAnsi="宋体" w:cs="宋体"/>
                <w:color w:val="auto"/>
                <w:szCs w:val="21"/>
                <w:highlight w:val="none"/>
              </w:rPr>
            </w:pPr>
            <w:r>
              <w:rPr>
                <w:rFonts w:hint="eastAsia" w:ascii="宋体" w:hAnsi="宋体" w:cs="宋体"/>
                <w:color w:val="auto"/>
                <w:sz w:val="21"/>
                <w:szCs w:val="21"/>
                <w:highlight w:val="none"/>
              </w:rPr>
              <w:t>6、未尽事宜按设计图及国家现行有关规范标准执行，具体相关安装技术参数，以设计图及安装现场实地测量尺寸为准。设计图纸中的说明与要求将作为招标文件的有效组成部分。</w:t>
            </w:r>
          </w:p>
        </w:tc>
      </w:tr>
      <w:tr w14:paraId="4181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5CE7EE2B">
            <w:pPr>
              <w:spacing w:line="400" w:lineRule="exact"/>
              <w:rPr>
                <w:rFonts w:ascii="宋体" w:hAnsi="宋体" w:cs="宋体"/>
                <w:b/>
                <w:color w:val="auto"/>
                <w:szCs w:val="21"/>
                <w:highlight w:val="none"/>
              </w:rPr>
            </w:pPr>
            <w:r>
              <w:rPr>
                <w:rFonts w:hint="eastAsia" w:ascii="宋体" w:hAnsi="宋体" w:cs="宋体"/>
                <w:b/>
                <w:bCs/>
                <w:color w:val="auto"/>
                <w:szCs w:val="21"/>
                <w:highlight w:val="none"/>
              </w:rPr>
              <w:t>▲</w:t>
            </w:r>
            <w:r>
              <w:rPr>
                <w:rFonts w:hint="eastAsia" w:ascii="宋体" w:hAnsi="宋体" w:cs="宋体"/>
                <w:b/>
                <w:color w:val="auto"/>
                <w:szCs w:val="21"/>
                <w:highlight w:val="none"/>
              </w:rPr>
              <w:t>投标报价</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7A9CB38E">
            <w:pPr>
              <w:spacing w:line="360" w:lineRule="auto"/>
              <w:rPr>
                <w:rFonts w:ascii="宋体" w:hAnsi="宋体" w:cs="宋体"/>
                <w:color w:val="auto"/>
                <w:szCs w:val="21"/>
                <w:highlight w:val="none"/>
              </w:rPr>
            </w:pPr>
            <w:r>
              <w:rPr>
                <w:rFonts w:hint="eastAsia" w:ascii="宋体" w:hAnsi="宋体" w:cs="宋体"/>
                <w:color w:val="auto"/>
                <w:szCs w:val="21"/>
                <w:highlight w:val="none"/>
              </w:rPr>
              <w:t>1、货物的价格：包括设备费、安装费、验收费、检定费、相关行政部门验收及办理使用登记证的费用；</w:t>
            </w:r>
          </w:p>
          <w:p w14:paraId="72050AE6">
            <w:pPr>
              <w:spacing w:line="360" w:lineRule="auto"/>
              <w:rPr>
                <w:rFonts w:ascii="宋体" w:hAnsi="宋体" w:cs="宋体"/>
                <w:color w:val="auto"/>
                <w:szCs w:val="21"/>
                <w:highlight w:val="none"/>
              </w:rPr>
            </w:pPr>
            <w:r>
              <w:rPr>
                <w:rFonts w:hint="eastAsia" w:ascii="宋体" w:hAnsi="宋体" w:cs="宋体"/>
                <w:color w:val="auto"/>
                <w:szCs w:val="21"/>
                <w:highlight w:val="none"/>
              </w:rPr>
              <w:t>2、货物的标准附件、备品备件、专用工具的价格；</w:t>
            </w:r>
          </w:p>
          <w:p w14:paraId="31971E05">
            <w:pPr>
              <w:spacing w:line="360" w:lineRule="auto"/>
              <w:rPr>
                <w:rFonts w:ascii="宋体" w:hAnsi="宋体" w:cs="宋体"/>
                <w:color w:val="auto"/>
                <w:szCs w:val="21"/>
                <w:highlight w:val="none"/>
              </w:rPr>
            </w:pPr>
            <w:r>
              <w:rPr>
                <w:rFonts w:hint="eastAsia" w:ascii="宋体" w:hAnsi="宋体" w:cs="宋体"/>
                <w:color w:val="auto"/>
                <w:szCs w:val="21"/>
                <w:highlight w:val="none"/>
              </w:rPr>
              <w:t>3、运输、装卸、调试、培训、技术支持、售后服务费；</w:t>
            </w:r>
          </w:p>
          <w:p w14:paraId="49D114F4">
            <w:pPr>
              <w:spacing w:line="360" w:lineRule="auto"/>
              <w:rPr>
                <w:rFonts w:ascii="宋体" w:hAnsi="宋体" w:cs="宋体"/>
                <w:color w:val="auto"/>
                <w:szCs w:val="21"/>
                <w:highlight w:val="none"/>
              </w:rPr>
            </w:pPr>
            <w:r>
              <w:rPr>
                <w:rFonts w:hint="eastAsia" w:ascii="宋体" w:hAnsi="宋体" w:cs="宋体"/>
                <w:color w:val="auto"/>
                <w:szCs w:val="21"/>
                <w:highlight w:val="none"/>
              </w:rPr>
              <w:t>4、原旧电梯拆除、搬运、运输、清理、报废、注销等产生的一切处理费用，旧电梯由中标供应商回收处理；</w:t>
            </w:r>
          </w:p>
          <w:p w14:paraId="420CCA45">
            <w:pPr>
              <w:spacing w:line="360" w:lineRule="auto"/>
              <w:rPr>
                <w:rFonts w:ascii="宋体" w:hAnsi="宋体" w:cs="宋体"/>
                <w:color w:val="auto"/>
                <w:szCs w:val="21"/>
                <w:highlight w:val="none"/>
              </w:rPr>
            </w:pPr>
            <w:r>
              <w:rPr>
                <w:rFonts w:hint="eastAsia" w:ascii="宋体" w:hAnsi="宋体" w:cs="宋体"/>
                <w:color w:val="auto"/>
                <w:szCs w:val="21"/>
                <w:highlight w:val="none"/>
              </w:rPr>
              <w:t>5、拆除旧梯过程中对原建筑物产生破坏需修复、各种加固等土建费用；</w:t>
            </w:r>
          </w:p>
          <w:p w14:paraId="1837A898">
            <w:pPr>
              <w:spacing w:line="360" w:lineRule="auto"/>
              <w:rPr>
                <w:rFonts w:ascii="宋体" w:hAnsi="宋体" w:cs="宋体"/>
                <w:color w:val="auto"/>
                <w:szCs w:val="21"/>
                <w:highlight w:val="none"/>
              </w:rPr>
            </w:pPr>
            <w:r>
              <w:rPr>
                <w:rFonts w:hint="eastAsia" w:ascii="宋体" w:hAnsi="宋体" w:cs="宋体"/>
                <w:color w:val="auto"/>
                <w:szCs w:val="21"/>
                <w:highlight w:val="none"/>
              </w:rPr>
              <w:t>6、必要的保险费、文明施工费和各项税金等；</w:t>
            </w:r>
          </w:p>
          <w:p w14:paraId="0A23A0F9">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7、包含安装过程中所需的隔离、圈梁或其它整改所需费用；</w:t>
            </w:r>
          </w:p>
          <w:p w14:paraId="620583F9">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8、原电梯厅门门头及门地坎需重新打凿后重新抬高并对地面根据采购人要求进行全面修复；</w:t>
            </w:r>
          </w:p>
          <w:p w14:paraId="31C0DC69">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9、井道内部整改费、井道松动加固材料费、机房孔洞打凿、回填及修复、机房内地面瓷砖重新铺贴等费用、底坑墩浇筑费、外呼打凿回填费、支架费、门洞打凿恢复费、底坑回填、门头梁加固等费用；</w:t>
            </w:r>
          </w:p>
          <w:p w14:paraId="669E24E5">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10、若电梯井道不垂直、有凸梁及其它不符合正常电梯规格情况下需对电梯进行非标生产所产生的各种费用；</w:t>
            </w:r>
          </w:p>
          <w:p w14:paraId="7BD8ED13">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11、主机梁重新浇筑；</w:t>
            </w:r>
          </w:p>
          <w:p w14:paraId="378AC344">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12、DT1-DT3电梯通井安全防护网施工费用。</w:t>
            </w:r>
          </w:p>
          <w:p w14:paraId="2EBA83BD">
            <w:pPr>
              <w:pStyle w:val="34"/>
              <w:spacing w:line="360" w:lineRule="auto"/>
              <w:rPr>
                <w:color w:val="auto"/>
                <w:szCs w:val="21"/>
                <w:highlight w:val="none"/>
              </w:rPr>
            </w:pPr>
            <w:r>
              <w:rPr>
                <w:rFonts w:hint="eastAsia" w:ascii="宋体" w:hAnsi="宋体" w:cs="宋体"/>
                <w:color w:val="auto"/>
                <w:sz w:val="21"/>
                <w:szCs w:val="21"/>
                <w:highlight w:val="none"/>
              </w:rPr>
              <w:t>13、DT4电梯：报价费用包含设计费、槽钢材料费、人员安装费、运输、辅材、膨胀螺丝、焊条、安装底托、油漆、成品保护、安装措施、垃圾清运、卫生清扫等费用，同时须考虑井道两侧的风井道、强电房、弱电房内网络线设备等成品保护的费用。</w:t>
            </w:r>
          </w:p>
        </w:tc>
      </w:tr>
      <w:tr w14:paraId="6A16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3B765413">
            <w:pPr>
              <w:spacing w:line="400" w:lineRule="exact"/>
              <w:jc w:val="center"/>
              <w:rPr>
                <w:rFonts w:ascii="宋体" w:hAnsi="宋体" w:cs="宋体"/>
                <w:b/>
                <w:bCs/>
                <w:color w:val="auto"/>
                <w:szCs w:val="21"/>
                <w:highlight w:val="none"/>
              </w:rPr>
            </w:pPr>
            <w:r>
              <w:rPr>
                <w:rFonts w:hint="eastAsia" w:ascii="宋体" w:hAnsi="宋体" w:cs="宋体"/>
                <w:b/>
                <w:color w:val="auto"/>
                <w:szCs w:val="21"/>
                <w:highlight w:val="none"/>
              </w:rPr>
              <w:t>售后服务及其他要求</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6F7F1F13">
            <w:pPr>
              <w:adjustRightInd w:val="0"/>
              <w:snapToGrid w:val="0"/>
              <w:rPr>
                <w:rFonts w:ascii="宋体" w:hAnsi="宋体" w:cs="宋体"/>
                <w:b/>
                <w:bCs/>
                <w:color w:val="auto"/>
                <w:szCs w:val="21"/>
                <w:highlight w:val="none"/>
              </w:rPr>
            </w:pPr>
            <w:r>
              <w:rPr>
                <w:rFonts w:hint="eastAsia"/>
                <w:color w:val="auto"/>
                <w:highlight w:val="none"/>
              </w:rPr>
              <w:t>1、</w:t>
            </w:r>
            <w:r>
              <w:rPr>
                <w:rFonts w:hint="eastAsia" w:ascii="宋体" w:hAnsi="宋体"/>
                <w:color w:val="auto"/>
                <w:szCs w:val="21"/>
                <w:highlight w:val="none"/>
              </w:rPr>
              <w:t>合同签订期：自中标通知书发出之日起</w:t>
            </w:r>
            <w:r>
              <w:rPr>
                <w:rFonts w:hint="eastAsia" w:ascii="宋体" w:hAnsi="宋体"/>
                <w:color w:val="auto"/>
                <w:szCs w:val="21"/>
                <w:highlight w:val="none"/>
                <w:u w:val="single"/>
              </w:rPr>
              <w:t xml:space="preserve">    25     </w:t>
            </w:r>
            <w:r>
              <w:rPr>
                <w:rFonts w:hint="eastAsia" w:ascii="宋体" w:hAnsi="宋体"/>
                <w:color w:val="auto"/>
                <w:szCs w:val="21"/>
                <w:highlight w:val="none"/>
              </w:rPr>
              <w:t>日历日内；</w:t>
            </w:r>
          </w:p>
          <w:p w14:paraId="1B6FBDB7">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▲2、交付时间（含安装、调试时间）：</w:t>
            </w:r>
            <w:r>
              <w:rPr>
                <w:rFonts w:hint="eastAsia" w:ascii="宋体" w:hAnsi="宋体"/>
                <w:color w:val="auto"/>
                <w:szCs w:val="21"/>
                <w:highlight w:val="none"/>
              </w:rPr>
              <w:t>为保证办公楼正常的工作秩序，</w:t>
            </w:r>
            <w:r>
              <w:rPr>
                <w:rFonts w:hint="eastAsia" w:ascii="宋体" w:hAnsi="宋体" w:cs="宋体"/>
                <w:color w:val="auto"/>
                <w:szCs w:val="21"/>
                <w:highlight w:val="none"/>
              </w:rPr>
              <w:t>本项目采取分批交付形式，自接到业主通知排产之日起，</w:t>
            </w:r>
            <w:r>
              <w:rPr>
                <w:rFonts w:hint="eastAsia" w:ascii="宋体" w:hAnsi="宋体" w:cs="宋体"/>
                <w:color w:val="auto"/>
                <w:szCs w:val="21"/>
                <w:highlight w:val="none"/>
                <w:u w:val="single"/>
              </w:rPr>
              <w:t xml:space="preserve">   180   </w:t>
            </w:r>
            <w:r>
              <w:rPr>
                <w:rFonts w:hint="eastAsia" w:ascii="宋体" w:hAnsi="宋体" w:cs="宋体"/>
                <w:color w:val="auto"/>
                <w:szCs w:val="21"/>
                <w:highlight w:val="none"/>
              </w:rPr>
              <w:t>天内通过验收并交付使用（不含法定节假日）。</w:t>
            </w:r>
          </w:p>
          <w:p w14:paraId="0AAE5123">
            <w:pPr>
              <w:numPr>
                <w:ilvl w:val="0"/>
                <w:numId w:val="12"/>
              </w:numPr>
              <w:jc w:val="left"/>
              <w:rPr>
                <w:color w:val="auto"/>
                <w:highlight w:val="none"/>
              </w:rPr>
            </w:pPr>
            <w:r>
              <w:rPr>
                <w:rFonts w:hint="eastAsia"/>
                <w:color w:val="auto"/>
                <w:highlight w:val="none"/>
              </w:rPr>
              <w:t>交货地点：</w:t>
            </w:r>
            <w:r>
              <w:rPr>
                <w:rFonts w:hint="eastAsia" w:ascii="宋体" w:hAnsi="宋体" w:cs="宋体"/>
                <w:color w:val="auto"/>
                <w:szCs w:val="21"/>
                <w:highlight w:val="none"/>
                <w:u w:val="single"/>
              </w:rPr>
              <w:t xml:space="preserve">   </w:t>
            </w:r>
            <w:r>
              <w:rPr>
                <w:rFonts w:hint="eastAsia"/>
                <w:color w:val="auto"/>
                <w:highlight w:val="none"/>
                <w:u w:val="single"/>
              </w:rPr>
              <w:t>南宁市青秀区桃源路69号</w:t>
            </w:r>
            <w:r>
              <w:rPr>
                <w:rFonts w:hint="eastAsia" w:ascii="宋体" w:hAnsi="宋体" w:cs="宋体"/>
                <w:color w:val="auto"/>
                <w:szCs w:val="21"/>
                <w:highlight w:val="none"/>
                <w:u w:val="single"/>
              </w:rPr>
              <w:t xml:space="preserve">  </w:t>
            </w:r>
            <w:r>
              <w:rPr>
                <w:rFonts w:hint="eastAsia"/>
                <w:color w:val="auto"/>
                <w:highlight w:val="none"/>
                <w:u w:val="single"/>
              </w:rPr>
              <w:t>（</w:t>
            </w:r>
            <w:r>
              <w:rPr>
                <w:rFonts w:hint="eastAsia"/>
                <w:color w:val="auto"/>
                <w:highlight w:val="none"/>
              </w:rPr>
              <w:t>采购人指定地点）。</w:t>
            </w:r>
          </w:p>
          <w:p w14:paraId="5A99357F">
            <w:pPr>
              <w:autoSpaceDE w:val="0"/>
              <w:spacing w:line="360" w:lineRule="auto"/>
              <w:ind w:right="109" w:rightChars="52"/>
              <w:textAlignment w:val="center"/>
              <w:rPr>
                <w:rFonts w:ascii="宋体" w:hAnsi="宋体" w:cs="宋体"/>
                <w:color w:val="auto"/>
                <w:szCs w:val="21"/>
                <w:highlight w:val="none"/>
              </w:rPr>
            </w:pPr>
            <w:r>
              <w:rPr>
                <w:rFonts w:hint="eastAsia" w:ascii="宋体" w:hAnsi="宋体"/>
                <w:bCs/>
                <w:color w:val="auto"/>
                <w:szCs w:val="21"/>
                <w:highlight w:val="none"/>
              </w:rPr>
              <w:t>4、交货方式：现场交货。（按业主指定方式分期验收，即按业主要求拆装）</w:t>
            </w:r>
          </w:p>
          <w:p w14:paraId="31870697">
            <w:pPr>
              <w:spacing w:line="440" w:lineRule="exact"/>
              <w:ind w:left="1"/>
              <w:rPr>
                <w:rFonts w:ascii="宋体" w:hAnsi="宋体" w:cs="宋体"/>
                <w:b/>
                <w:bCs/>
                <w:color w:val="auto"/>
                <w:szCs w:val="21"/>
                <w:highlight w:val="none"/>
              </w:rPr>
            </w:pPr>
            <w:r>
              <w:rPr>
                <w:rFonts w:hint="eastAsia" w:ascii="宋体" w:hAnsi="宋体" w:cs="宋体"/>
                <w:b/>
                <w:bCs/>
                <w:color w:val="auto"/>
                <w:szCs w:val="21"/>
                <w:highlight w:val="none"/>
              </w:rPr>
              <w:t>▲5、为了保证是正规合法渠道的产品，供货前中标人必须提供生产厂家/代理商出具该项目中标产品的供货证明原件。</w:t>
            </w:r>
          </w:p>
          <w:p w14:paraId="16B3D282">
            <w:pPr>
              <w:pStyle w:val="34"/>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6、设备安装施工要求：</w:t>
            </w:r>
          </w:p>
          <w:p w14:paraId="4A031FCA">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（1）投标人必须承诺听从招标人指挥，在规定的时间施工。对预埋件安装进行施工指导。安装调试必须严格执行国家有关的电梯安装规范、标准及条例，投标人自负施工人身、设备安全责任。</w:t>
            </w:r>
          </w:p>
          <w:p w14:paraId="77EAB5AF">
            <w:pPr>
              <w:pStyle w:val="34"/>
              <w:rPr>
                <w:rFonts w:ascii="宋体" w:hAnsi="宋体" w:cs="宋体"/>
                <w:color w:val="auto"/>
                <w:sz w:val="21"/>
                <w:szCs w:val="21"/>
                <w:highlight w:val="none"/>
              </w:rPr>
            </w:pPr>
            <w:r>
              <w:rPr>
                <w:rFonts w:hint="eastAsia" w:ascii="宋体" w:hAnsi="宋体" w:cs="宋体"/>
                <w:color w:val="auto"/>
                <w:sz w:val="21"/>
                <w:szCs w:val="21"/>
                <w:highlight w:val="none"/>
              </w:rPr>
              <w:t>（2）投标人负责全套设备的调试运行，达到验收要求。</w:t>
            </w:r>
          </w:p>
          <w:p w14:paraId="4BA2C208">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（3）未经招标人书面同意投标人不得将设备委托他方进行安装。电梯安装人员需持有有效上岗证。</w:t>
            </w:r>
          </w:p>
          <w:p w14:paraId="493D2AD0">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（3）投标人须提供与工程施工总进度相适应的安装作业计划和要求，并须得到招标人的认可。</w:t>
            </w:r>
          </w:p>
          <w:p w14:paraId="6572EAA8">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（4）竣工验收应符合相关部门的有关规定及要求，投标人负责办理有关电梯设备安装的开工报装和竣工报检手续。</w:t>
            </w:r>
          </w:p>
          <w:p w14:paraId="05F97399">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（5）试运行及交付前所有检测检验、产品保护费用均包括在总价中。</w:t>
            </w:r>
          </w:p>
          <w:p w14:paraId="38777C05">
            <w:pPr>
              <w:pStyle w:val="3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（6）安装验收执行现行的国家及行业的规范和标准。</w:t>
            </w:r>
          </w:p>
          <w:p w14:paraId="4EFFEA85">
            <w:pPr>
              <w:pStyle w:val="34"/>
              <w:spacing w:line="360" w:lineRule="auto"/>
              <w:rPr>
                <w:color w:val="auto"/>
                <w:sz w:val="21"/>
                <w:szCs w:val="21"/>
                <w:highlight w:val="none"/>
              </w:rPr>
            </w:pPr>
            <w:r>
              <w:rPr>
                <w:rFonts w:hint="eastAsia" w:ascii="宋体" w:hAnsi="宋体" w:cs="宋体"/>
                <w:color w:val="auto"/>
                <w:sz w:val="21"/>
                <w:szCs w:val="21"/>
                <w:highlight w:val="none"/>
              </w:rPr>
              <w:t>（7）产品保护工程完成后，中标人须负责全部设备的保护和清洁工作，用于货运时需提供可拆装的轿厢保护，直至设备验收合格并正常投入运行后为止。在安装过程中，如建筑结构或其它设备被损坏，中标人将要负责修理或赔偿损失。</w:t>
            </w:r>
          </w:p>
          <w:p w14:paraId="728E707E">
            <w:pPr>
              <w:autoSpaceDE w:val="0"/>
              <w:spacing w:line="360" w:lineRule="auto"/>
              <w:ind w:right="109" w:rightChars="52"/>
              <w:textAlignment w:val="center"/>
              <w:rPr>
                <w:rFonts w:ascii="宋体" w:hAnsi="宋体" w:cs="宋体"/>
                <w:b/>
                <w:bCs/>
                <w:color w:val="auto"/>
                <w:szCs w:val="21"/>
                <w:highlight w:val="none"/>
              </w:rPr>
            </w:pPr>
            <w:r>
              <w:rPr>
                <w:rFonts w:hint="eastAsia" w:ascii="宋体" w:hAnsi="宋体" w:cs="宋体"/>
                <w:b/>
                <w:bCs/>
                <w:color w:val="auto"/>
                <w:szCs w:val="21"/>
                <w:highlight w:val="none"/>
              </w:rPr>
              <w:t>▲</w:t>
            </w:r>
            <w:r>
              <w:rPr>
                <w:rFonts w:hint="eastAsia" w:hAnsi="宋体"/>
                <w:b/>
                <w:bCs/>
                <w:color w:val="auto"/>
                <w:kern w:val="0"/>
                <w:highlight w:val="none"/>
              </w:rPr>
              <w:t>7、售后技术服务要求：</w:t>
            </w:r>
          </w:p>
          <w:p w14:paraId="661774AA">
            <w:pPr>
              <w:autoSpaceDE w:val="0"/>
              <w:spacing w:line="360" w:lineRule="auto"/>
              <w:ind w:right="109" w:rightChars="52"/>
              <w:textAlignment w:val="center"/>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（1）</w:t>
            </w:r>
            <w:r>
              <w:rPr>
                <w:rFonts w:hint="eastAsia" w:ascii="宋体" w:hAnsi="宋体" w:cs="宋体"/>
                <w:color w:val="auto"/>
                <w:szCs w:val="21"/>
                <w:highlight w:val="none"/>
              </w:rPr>
              <w:t>按厂家承诺实行“三包”，免费送货上门，安装调试合格。</w:t>
            </w:r>
          </w:p>
          <w:p w14:paraId="3746770B">
            <w:pPr>
              <w:autoSpaceDE w:val="0"/>
              <w:spacing w:line="360" w:lineRule="auto"/>
              <w:ind w:right="109" w:rightChars="52"/>
              <w:textAlignment w:val="center"/>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（2）</w:t>
            </w:r>
            <w:r>
              <w:rPr>
                <w:rFonts w:hint="eastAsia" w:ascii="宋体" w:hAnsi="宋体" w:cs="宋体"/>
                <w:color w:val="auto"/>
                <w:szCs w:val="21"/>
                <w:highlight w:val="none"/>
              </w:rPr>
              <w:t>免费送货上门，免费安装调试。根据用户实际需要，免费为现场操作使用及维护人员提供培训直至能熟练。</w:t>
            </w:r>
          </w:p>
          <w:p w14:paraId="2CA3032E">
            <w:pPr>
              <w:autoSpaceDE w:val="0"/>
              <w:spacing w:line="360" w:lineRule="auto"/>
              <w:ind w:right="109" w:rightChars="52"/>
              <w:textAlignment w:val="center"/>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（3）</w:t>
            </w:r>
            <w:r>
              <w:rPr>
                <w:rFonts w:hint="eastAsia" w:ascii="宋体" w:hAnsi="宋体" w:cs="宋体"/>
                <w:color w:val="auto"/>
                <w:szCs w:val="21"/>
                <w:highlight w:val="none"/>
              </w:rPr>
              <w:t>故障响应时间：维修人员24小时服务，接到故障通知后在1小时内到达业主指定现场，电梯困人在30分钟内到达业主指定现场。故障排除：一般故障排除时间不超过2小时，重大故障排除时间不超过48小时，特殊故障第一时间以书面形式通知业主并制定维修方案及完成排除故障的时间。</w:t>
            </w:r>
          </w:p>
          <w:p w14:paraId="30C7569F">
            <w:pPr>
              <w:autoSpaceDE w:val="0"/>
              <w:spacing w:line="360" w:lineRule="auto"/>
              <w:ind w:right="109" w:rightChars="52"/>
              <w:textAlignment w:val="center"/>
              <w:rPr>
                <w:color w:val="auto"/>
                <w:highlight w:val="none"/>
              </w:rPr>
            </w:pPr>
            <w:r>
              <w:rPr>
                <w:rFonts w:hint="eastAsia" w:ascii="汉仪书宋二S" w:hAnsi="汉仪书宋二S" w:eastAsia="汉仪书宋二S" w:cs="汉仪书宋二S"/>
                <w:color w:val="auto"/>
                <w:szCs w:val="21"/>
                <w:highlight w:val="none"/>
              </w:rPr>
              <w:t>（4）</w:t>
            </w:r>
            <w:r>
              <w:rPr>
                <w:rFonts w:hint="eastAsia" w:ascii="宋体" w:hAnsi="宋体" w:cs="宋体"/>
                <w:color w:val="auto"/>
                <w:szCs w:val="21"/>
                <w:highlight w:val="none"/>
              </w:rPr>
              <w:t>质保期：</w:t>
            </w:r>
            <w:r>
              <w:rPr>
                <w:rFonts w:hint="eastAsia" w:ascii="宋体" w:hAnsi="宋体" w:cs="宋体"/>
                <w:b/>
                <w:bCs/>
                <w:color w:val="auto"/>
                <w:szCs w:val="21"/>
                <w:highlight w:val="none"/>
              </w:rPr>
              <w:t>按国家有关产品“三包”规定执行“三包”</w:t>
            </w:r>
            <w:r>
              <w:rPr>
                <w:rFonts w:hint="eastAsia" w:ascii="宋体" w:hAnsi="宋体" w:cs="宋体"/>
                <w:color w:val="auto"/>
                <w:szCs w:val="21"/>
                <w:highlight w:val="none"/>
              </w:rPr>
              <w:t>，</w:t>
            </w:r>
            <w:r>
              <w:rPr>
                <w:rFonts w:hint="eastAsia" w:ascii="宋体" w:hAnsi="宋体" w:cs="宋体"/>
                <w:b/>
                <w:bCs/>
                <w:color w:val="auto"/>
                <w:szCs w:val="21"/>
                <w:highlight w:val="none"/>
              </w:rPr>
              <w:t>设备质保期为自安装、调试验收合格交付使用之日起不小于2年</w:t>
            </w:r>
            <w:r>
              <w:rPr>
                <w:rFonts w:hint="eastAsia" w:ascii="宋体" w:hAnsi="宋体" w:cs="宋体"/>
                <w:color w:val="auto"/>
                <w:szCs w:val="21"/>
                <w:highlight w:val="none"/>
              </w:rPr>
              <w:t>。质保期内按国家的标准执行，提供24小时免费保修服务，保修期外按优惠提供有偿维修、保养服务，为设备提供终身维护；每月上门保养不低于两次（检查、清洁、除尘、调整），且提供电梯年检前的整修服务，保证电梯年检合格。</w:t>
            </w:r>
          </w:p>
          <w:p w14:paraId="711B74AC">
            <w:pPr>
              <w:autoSpaceDE w:val="0"/>
              <w:spacing w:line="360" w:lineRule="auto"/>
              <w:rPr>
                <w:rFonts w:ascii="宋体" w:hAnsi="宋体" w:cs="宋体"/>
                <w:color w:val="auto"/>
                <w:szCs w:val="21"/>
                <w:highlight w:val="none"/>
              </w:rPr>
            </w:pPr>
            <w:r>
              <w:rPr>
                <w:rFonts w:hint="eastAsia" w:ascii="宋体" w:hAnsi="宋体" w:cs="宋体"/>
                <w:color w:val="auto"/>
                <w:szCs w:val="21"/>
                <w:highlight w:val="none"/>
              </w:rPr>
              <w:t>8、质量要求：产品及零部件、配件及安装材料必须是整套全新未使用过的符合《电梯制造与安装安全规范》及国家有关质量标准制造要求。</w:t>
            </w:r>
          </w:p>
        </w:tc>
      </w:tr>
      <w:tr w14:paraId="3DD2B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5AC066C7">
            <w:pPr>
              <w:spacing w:line="400" w:lineRule="exact"/>
              <w:jc w:val="center"/>
              <w:rPr>
                <w:rFonts w:ascii="宋体" w:hAnsi="宋体" w:cs="宋体"/>
                <w:b/>
                <w:color w:val="auto"/>
                <w:szCs w:val="21"/>
                <w:highlight w:val="none"/>
              </w:rPr>
            </w:pPr>
            <w:r>
              <w:rPr>
                <w:rFonts w:hint="eastAsia" w:ascii="宋体" w:hAnsi="宋体" w:cs="宋体"/>
                <w:b/>
                <w:bCs/>
                <w:color w:val="auto"/>
                <w:szCs w:val="21"/>
                <w:highlight w:val="none"/>
              </w:rPr>
              <w:t>▲</w:t>
            </w:r>
            <w:r>
              <w:rPr>
                <w:rFonts w:hint="eastAsia" w:ascii="宋体" w:hAnsi="宋体" w:cs="宋体"/>
                <w:b/>
                <w:color w:val="auto"/>
                <w:szCs w:val="21"/>
                <w:highlight w:val="none"/>
              </w:rPr>
              <w:t>付款方式</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064F2384">
            <w:pPr>
              <w:pStyle w:val="36"/>
              <w:autoSpaceDE w:val="0"/>
              <w:spacing w:line="360" w:lineRule="auto"/>
              <w:ind w:firstLine="0" w:firstLineChars="0"/>
              <w:rPr>
                <w:rFonts w:ascii="宋体" w:eastAsia="宋体" w:cs="宋体"/>
                <w:color w:val="auto"/>
                <w:highlight w:val="none"/>
              </w:rPr>
            </w:pPr>
            <w:r>
              <w:rPr>
                <w:rFonts w:hint="eastAsia" w:ascii="宋体" w:eastAsia="宋体" w:cs="宋体"/>
                <w:color w:val="auto"/>
                <w:highlight w:val="none"/>
              </w:rPr>
              <w:t>1、合同签订之日起七天内，支付合同总价款的30%为预付款；</w:t>
            </w:r>
          </w:p>
          <w:p w14:paraId="2A72E3B9">
            <w:pPr>
              <w:pStyle w:val="36"/>
              <w:autoSpaceDE w:val="0"/>
              <w:spacing w:line="360" w:lineRule="auto"/>
              <w:ind w:firstLine="0" w:firstLineChars="0"/>
              <w:rPr>
                <w:rFonts w:ascii="宋体" w:eastAsia="宋体" w:cs="宋体"/>
                <w:color w:val="auto"/>
                <w:highlight w:val="none"/>
              </w:rPr>
            </w:pPr>
            <w:r>
              <w:rPr>
                <w:rFonts w:hint="eastAsia" w:ascii="宋体" w:eastAsia="宋体" w:cs="宋体"/>
                <w:color w:val="auto"/>
                <w:highlight w:val="none"/>
              </w:rPr>
              <w:t>2、货物生产完发运出厂前六十天，支付合同总价款的40%；</w:t>
            </w:r>
          </w:p>
          <w:p w14:paraId="07714B26">
            <w:pPr>
              <w:pStyle w:val="36"/>
              <w:autoSpaceDE w:val="0"/>
              <w:spacing w:line="360" w:lineRule="auto"/>
              <w:ind w:firstLine="0" w:firstLineChars="0"/>
              <w:rPr>
                <w:rFonts w:ascii="宋体" w:eastAsia="宋体" w:cs="宋体"/>
                <w:color w:val="auto"/>
                <w:highlight w:val="none"/>
              </w:rPr>
            </w:pPr>
            <w:r>
              <w:rPr>
                <w:rFonts w:hint="eastAsia" w:ascii="宋体" w:eastAsia="宋体" w:cs="宋体"/>
                <w:color w:val="auto"/>
                <w:highlight w:val="none"/>
              </w:rPr>
              <w:t>3、进场安装前七天，支付合同总价款的20%为安装款；</w:t>
            </w:r>
          </w:p>
          <w:p w14:paraId="4E5F53DD">
            <w:pPr>
              <w:pStyle w:val="36"/>
              <w:autoSpaceDE w:val="0"/>
              <w:spacing w:line="360" w:lineRule="auto"/>
              <w:ind w:firstLine="0" w:firstLineChars="0"/>
              <w:rPr>
                <w:rFonts w:ascii="宋体" w:eastAsia="宋体" w:cs="宋体"/>
                <w:color w:val="auto"/>
                <w:highlight w:val="none"/>
              </w:rPr>
            </w:pPr>
            <w:r>
              <w:rPr>
                <w:rFonts w:hint="eastAsia" w:ascii="宋体" w:eastAsia="宋体" w:cs="宋体"/>
                <w:color w:val="auto"/>
                <w:highlight w:val="none"/>
              </w:rPr>
              <w:t>4、电梯全部安装、调试验收合格后七天内，支付合同总价款的10%。</w:t>
            </w:r>
          </w:p>
          <w:p w14:paraId="22967823">
            <w:pPr>
              <w:pStyle w:val="36"/>
              <w:autoSpaceDE w:val="0"/>
              <w:spacing w:line="360" w:lineRule="auto"/>
              <w:ind w:firstLine="0" w:firstLineChars="0"/>
              <w:rPr>
                <w:rFonts w:cs="宋体"/>
                <w:color w:val="auto"/>
                <w:highlight w:val="none"/>
              </w:rPr>
            </w:pPr>
            <w:r>
              <w:rPr>
                <w:rFonts w:hint="eastAsia" w:ascii="宋体" w:eastAsia="宋体" w:cs="宋体"/>
                <w:color w:val="auto"/>
                <w:highlight w:val="none"/>
              </w:rPr>
              <w:t>每次付款前，采购人需收到中标人合法有效发票以及书面请款函后十天内，完成支付。</w:t>
            </w:r>
          </w:p>
        </w:tc>
      </w:tr>
      <w:tr w14:paraId="7188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3AFC7FDB">
            <w:pPr>
              <w:spacing w:line="400" w:lineRule="exact"/>
              <w:jc w:val="center"/>
              <w:rPr>
                <w:rFonts w:ascii="宋体" w:hAnsi="宋体" w:cs="宋体"/>
                <w:color w:val="auto"/>
                <w:szCs w:val="21"/>
                <w:highlight w:val="none"/>
              </w:rPr>
            </w:pPr>
            <w:r>
              <w:rPr>
                <w:rFonts w:hint="eastAsia" w:ascii="宋体" w:hAnsi="宋体" w:cs="宋体"/>
                <w:b/>
                <w:bCs/>
                <w:color w:val="auto"/>
                <w:szCs w:val="21"/>
                <w:highlight w:val="none"/>
              </w:rPr>
              <w:t>▲履约保证金</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16EBEAA1">
            <w:pPr>
              <w:spacing w:line="360" w:lineRule="exact"/>
              <w:ind w:firstLine="210" w:firstLineChars="100"/>
              <w:rPr>
                <w:rFonts w:ascii="宋体" w:hAnsi="宋体" w:cs="宋体"/>
                <w:color w:val="auto"/>
                <w:szCs w:val="21"/>
                <w:highlight w:val="none"/>
              </w:rPr>
            </w:pPr>
            <w:r>
              <w:rPr>
                <w:rFonts w:hint="eastAsia" w:ascii="宋体" w:hAnsi="宋体" w:cs="宋体"/>
                <w:color w:val="auto"/>
                <w:szCs w:val="21"/>
                <w:highlight w:val="none"/>
              </w:rPr>
              <w:t xml:space="preserve"> 按本项目中标总金额的5%（如中标供应商为中小企业的，按本项目中标总金额2%）收取；中标供应商在签订合同前交至制定账户。</w:t>
            </w:r>
          </w:p>
          <w:p w14:paraId="00ABFCDA">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履约保证金递交方式：支票、汇票、本票、网上银行或者银行、担保机构出具的保函等非现金形式。</w:t>
            </w:r>
          </w:p>
          <w:p w14:paraId="65BDF6C6">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履约保证金账户：2102110009300231144</w:t>
            </w:r>
          </w:p>
          <w:p w14:paraId="1EE7E3DC">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开户名称：广西壮族自治区财政厅机关服务中心 </w:t>
            </w:r>
          </w:p>
          <w:p w14:paraId="6AA57721">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开户银行：工行南湖支行 </w:t>
            </w:r>
          </w:p>
          <w:p w14:paraId="1C3F98A0">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开户账号： 2102110009300231144</w:t>
            </w:r>
          </w:p>
          <w:p w14:paraId="79E190A5">
            <w:pPr>
              <w:snapToGrid w:val="0"/>
              <w:spacing w:line="320" w:lineRule="exact"/>
              <w:ind w:left="-61" w:leftChars="-29"/>
              <w:rPr>
                <w:rFonts w:ascii="宋体" w:hAnsi="宋体" w:cs="宋体"/>
                <w:color w:val="auto"/>
                <w:szCs w:val="21"/>
                <w:highlight w:val="none"/>
              </w:rPr>
            </w:pPr>
            <w:r>
              <w:rPr>
                <w:rFonts w:hint="eastAsia" w:ascii="宋体" w:hAnsi="宋体" w:cs="宋体"/>
                <w:color w:val="auto"/>
                <w:szCs w:val="21"/>
                <w:highlight w:val="none"/>
              </w:rPr>
              <w:t xml:space="preserve">     履约保证金退付方式、时间及条件：中标供应商若不能完全履行合同，履约保证金不返还；中标供应商若完全履行合同，货物验收合格后，中标供应商向采购人递交退保申请函及凭履约保证金财务凭证，采购人按规定办理无息退还手续。</w:t>
            </w:r>
          </w:p>
        </w:tc>
      </w:tr>
      <w:tr w14:paraId="21F7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6593999D">
            <w:pPr>
              <w:spacing w:line="400" w:lineRule="exact"/>
              <w:ind w:firstLine="211" w:firstLineChars="100"/>
              <w:jc w:val="center"/>
              <w:rPr>
                <w:rFonts w:ascii="宋体" w:hAnsi="宋体" w:cs="宋体"/>
                <w:b/>
                <w:color w:val="auto"/>
                <w:szCs w:val="21"/>
                <w:highlight w:val="none"/>
              </w:rPr>
            </w:pPr>
            <w:r>
              <w:rPr>
                <w:rFonts w:hint="eastAsia" w:ascii="宋体" w:hAnsi="宋体" w:cs="宋体"/>
                <w:b/>
                <w:bCs/>
                <w:color w:val="auto"/>
                <w:szCs w:val="21"/>
                <w:highlight w:val="none"/>
              </w:rPr>
              <w:t>▲</w:t>
            </w:r>
            <w:r>
              <w:rPr>
                <w:rFonts w:hint="eastAsia" w:ascii="宋体" w:hAnsi="宋体" w:cs="宋体"/>
                <w:b/>
                <w:color w:val="auto"/>
                <w:szCs w:val="21"/>
                <w:highlight w:val="none"/>
              </w:rPr>
              <w:t>本项目核心</w:t>
            </w:r>
          </w:p>
          <w:p w14:paraId="532355B4">
            <w:pPr>
              <w:spacing w:line="400" w:lineRule="exact"/>
              <w:ind w:firstLine="211" w:firstLineChars="100"/>
              <w:jc w:val="center"/>
              <w:rPr>
                <w:rFonts w:ascii="宋体" w:hAnsi="宋体" w:cs="宋体"/>
                <w:b/>
                <w:color w:val="auto"/>
                <w:szCs w:val="21"/>
                <w:highlight w:val="none"/>
              </w:rPr>
            </w:pPr>
            <w:r>
              <w:rPr>
                <w:rFonts w:hint="eastAsia" w:ascii="宋体" w:hAnsi="宋体" w:cs="宋体"/>
                <w:b/>
                <w:color w:val="auto"/>
                <w:szCs w:val="21"/>
                <w:highlight w:val="none"/>
              </w:rPr>
              <w:t>产品</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43CEC8BF">
            <w:pPr>
              <w:pStyle w:val="52"/>
              <w:ind w:left="0" w:leftChars="0" w:firstLine="0" w:firstLineChars="0"/>
              <w:rPr>
                <w:rFonts w:ascii="宋体" w:hAnsi="宋体" w:eastAsia="宋体" w:cs="宋体"/>
                <w:color w:val="auto"/>
                <w:szCs w:val="21"/>
                <w:highlight w:val="none"/>
              </w:rPr>
            </w:pPr>
            <w:r>
              <w:rPr>
                <w:rFonts w:hint="eastAsia" w:ascii="宋体" w:hAnsi="宋体" w:eastAsia="宋体" w:cs="宋体"/>
                <w:b/>
                <w:bCs/>
                <w:color w:val="auto"/>
                <w:szCs w:val="21"/>
                <w:highlight w:val="none"/>
                <w:u w:val="single"/>
              </w:rPr>
              <w:t xml:space="preserve">序号2“乘客电梯（DT2-DT3）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E9E7062">
            <w:pPr>
              <w:pStyle w:val="52"/>
              <w:ind w:left="0" w:leftChars="0"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（核心产品品牌相同的，视为提供同品牌产品）</w:t>
            </w:r>
          </w:p>
          <w:p w14:paraId="1A9F5668">
            <w:pPr>
              <w:adjustRightInd w:val="0"/>
              <w:snapToGrid w:val="0"/>
              <w:spacing w:line="400" w:lineRule="exact"/>
              <w:rPr>
                <w:rFonts w:ascii="宋体" w:hAnsi="宋体" w:cs="宋体"/>
                <w:b/>
                <w:bCs/>
                <w:color w:val="auto"/>
                <w:szCs w:val="21"/>
                <w:highlight w:val="none"/>
              </w:rPr>
            </w:pPr>
            <w:r>
              <w:rPr>
                <w:rFonts w:hint="eastAsia" w:ascii="宋体" w:hAnsi="宋体" w:cs="宋体"/>
                <w:color w:val="auto"/>
                <w:szCs w:val="21"/>
                <w:highlight w:val="none"/>
              </w:rPr>
              <w:t>注：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评标方法及评定标准》中的推荐原则确定一个投标人获得中标人推荐资格，其他同品牌投标人不作为中标候选人。</w:t>
            </w:r>
          </w:p>
        </w:tc>
      </w:tr>
      <w:tr w14:paraId="0B86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03E55AFE">
            <w:pPr>
              <w:spacing w:line="400" w:lineRule="exact"/>
              <w:ind w:firstLine="211" w:firstLineChars="100"/>
              <w:jc w:val="center"/>
              <w:rPr>
                <w:rFonts w:ascii="宋体" w:hAnsi="宋体" w:cs="宋体"/>
                <w:b/>
                <w:color w:val="auto"/>
                <w:szCs w:val="21"/>
                <w:highlight w:val="none"/>
              </w:rPr>
            </w:pPr>
            <w:r>
              <w:rPr>
                <w:rFonts w:hint="eastAsia" w:ascii="宋体" w:hAnsi="宋体" w:cs="宋体"/>
                <w:b/>
                <w:bCs/>
                <w:color w:val="auto"/>
                <w:szCs w:val="21"/>
                <w:highlight w:val="none"/>
              </w:rPr>
              <w:t>验收方式</w:t>
            </w:r>
          </w:p>
        </w:tc>
        <w:tc>
          <w:tcPr>
            <w:tcW w:w="8164" w:type="dxa"/>
            <w:gridSpan w:val="4"/>
            <w:tcBorders>
              <w:top w:val="single" w:color="auto" w:sz="4" w:space="0"/>
              <w:left w:val="single" w:color="auto" w:sz="4" w:space="0"/>
              <w:bottom w:val="single" w:color="auto" w:sz="4" w:space="0"/>
              <w:right w:val="single" w:color="auto" w:sz="4" w:space="0"/>
            </w:tcBorders>
            <w:vAlign w:val="center"/>
          </w:tcPr>
          <w:p w14:paraId="26B5B6FF">
            <w:pPr>
              <w:spacing w:line="360" w:lineRule="auto"/>
              <w:rPr>
                <w:rFonts w:ascii="宋体" w:hAnsi="宋体" w:cs="宋体"/>
                <w:color w:val="auto"/>
                <w:szCs w:val="21"/>
                <w:highlight w:val="none"/>
              </w:rPr>
            </w:pPr>
            <w:r>
              <w:rPr>
                <w:rFonts w:hint="eastAsia" w:ascii="宋体" w:hAnsi="宋体" w:cs="宋体"/>
                <w:color w:val="auto"/>
                <w:szCs w:val="21"/>
                <w:highlight w:val="none"/>
              </w:rPr>
              <w:t>1、货物到达现场后，投标人应在招标单位人员在场情况下当面开箱，共同清点、检查外观，作出开箱记录，双方签字确认。</w:t>
            </w:r>
          </w:p>
          <w:p w14:paraId="3B35BCD0">
            <w:pPr>
              <w:spacing w:line="360" w:lineRule="auto"/>
              <w:rPr>
                <w:rFonts w:ascii="宋体" w:hAnsi="宋体" w:cs="宋体"/>
                <w:color w:val="auto"/>
                <w:szCs w:val="21"/>
                <w:highlight w:val="none"/>
              </w:rPr>
            </w:pPr>
            <w:r>
              <w:rPr>
                <w:rFonts w:hint="eastAsia" w:ascii="宋体" w:hAnsi="宋体" w:cs="宋体"/>
                <w:color w:val="auto"/>
                <w:szCs w:val="21"/>
                <w:highlight w:val="none"/>
              </w:rPr>
              <w:t>2、投标人应保证货物到达招标人所在地完好无损，如有缺漏、损坏，由投标人负责调换、补齐或赔偿。</w:t>
            </w:r>
          </w:p>
          <w:p w14:paraId="1B7C627A">
            <w:pPr>
              <w:spacing w:line="360" w:lineRule="auto"/>
              <w:rPr>
                <w:rFonts w:ascii="宋体" w:hAnsi="宋体" w:cs="宋体"/>
                <w:color w:val="auto"/>
                <w:szCs w:val="21"/>
                <w:highlight w:val="none"/>
              </w:rPr>
            </w:pPr>
            <w:r>
              <w:rPr>
                <w:rFonts w:hint="eastAsia" w:ascii="宋体" w:hAnsi="宋体" w:cs="宋体"/>
                <w:color w:val="auto"/>
                <w:szCs w:val="21"/>
                <w:highlight w:val="none"/>
              </w:rPr>
              <w:t>3、投标人应提供完备的技术资料、装箱单和合格证等，在交货时应附上原产地的产地营业执照复印件、装箱单、商检证明等并派遣专业技术人员进行现场安装调试。验收合格条件如下:</w:t>
            </w:r>
          </w:p>
          <w:p w14:paraId="02A667E0">
            <w:pPr>
              <w:spacing w:line="360" w:lineRule="auto"/>
              <w:rPr>
                <w:rFonts w:ascii="宋体" w:hAnsi="宋体" w:cs="宋体"/>
                <w:color w:val="auto"/>
                <w:szCs w:val="21"/>
                <w:highlight w:val="none"/>
              </w:rPr>
            </w:pPr>
            <w:r>
              <w:rPr>
                <w:rFonts w:hint="eastAsia" w:ascii="宋体" w:hAnsi="宋体" w:cs="宋体"/>
                <w:color w:val="auto"/>
                <w:szCs w:val="21"/>
                <w:highlight w:val="none"/>
              </w:rPr>
              <w:t>4、设备运行结果须符合产品标准和技术规格书及合同要求，性能指标达到规定的标准。</w:t>
            </w:r>
          </w:p>
          <w:p w14:paraId="08690245">
            <w:pPr>
              <w:spacing w:line="360" w:lineRule="auto"/>
              <w:rPr>
                <w:rFonts w:ascii="宋体" w:hAnsi="宋体" w:cs="宋体"/>
                <w:color w:val="auto"/>
                <w:szCs w:val="21"/>
                <w:highlight w:val="none"/>
              </w:rPr>
            </w:pPr>
            <w:r>
              <w:rPr>
                <w:rFonts w:hint="eastAsia" w:ascii="宋体" w:hAnsi="宋体" w:cs="宋体"/>
                <w:color w:val="auto"/>
                <w:szCs w:val="21"/>
                <w:highlight w:val="none"/>
              </w:rPr>
              <w:t>5、货物技术资料、装箱单、合格证等资料齐全并与投标时所提供的技术资料一致。</w:t>
            </w:r>
          </w:p>
          <w:p w14:paraId="2F12EF8A">
            <w:pPr>
              <w:spacing w:line="360" w:lineRule="auto"/>
              <w:rPr>
                <w:rFonts w:ascii="宋体" w:hAnsi="宋体" w:cs="宋体"/>
                <w:color w:val="auto"/>
                <w:szCs w:val="21"/>
                <w:highlight w:val="none"/>
              </w:rPr>
            </w:pPr>
            <w:r>
              <w:rPr>
                <w:rFonts w:hint="eastAsia" w:ascii="宋体" w:hAnsi="宋体" w:cs="宋体"/>
                <w:color w:val="auto"/>
                <w:szCs w:val="21"/>
                <w:highlight w:val="none"/>
              </w:rPr>
              <w:t>6、整套设备图纸及技术文件都已提交并得到接受确认。</w:t>
            </w:r>
          </w:p>
          <w:p w14:paraId="1E61BA50">
            <w:pPr>
              <w:spacing w:line="360" w:lineRule="auto"/>
              <w:rPr>
                <w:rFonts w:ascii="宋体" w:hAnsi="宋体" w:cs="宋体"/>
                <w:color w:val="auto"/>
                <w:szCs w:val="21"/>
                <w:highlight w:val="none"/>
              </w:rPr>
            </w:pPr>
            <w:r>
              <w:rPr>
                <w:rFonts w:hint="eastAsia" w:ascii="宋体" w:hAnsi="宋体" w:cs="宋体"/>
                <w:color w:val="auto"/>
                <w:szCs w:val="21"/>
                <w:highlight w:val="none"/>
              </w:rPr>
              <w:t>7、设备交付招标人时拿到政府质量管理部门和质检部门的验收证书，并取得使用证书。</w:t>
            </w:r>
          </w:p>
          <w:p w14:paraId="46C623ED">
            <w:pPr>
              <w:spacing w:line="360" w:lineRule="auto"/>
              <w:rPr>
                <w:rFonts w:ascii="宋体" w:hAnsi="宋体" w:cs="宋体"/>
                <w:color w:val="auto"/>
                <w:szCs w:val="21"/>
                <w:highlight w:val="none"/>
              </w:rPr>
            </w:pPr>
            <w:r>
              <w:rPr>
                <w:rFonts w:hint="eastAsia" w:ascii="宋体" w:hAnsi="宋体" w:cs="宋体"/>
                <w:color w:val="auto"/>
                <w:szCs w:val="21"/>
                <w:highlight w:val="none"/>
              </w:rPr>
              <w:t>8、成品保护的相关材料并安装到位(部分载货电梯需要配置轿厢保护装置一套，并根据物业的要求进行拆除)。</w:t>
            </w:r>
          </w:p>
          <w:p w14:paraId="79482F19">
            <w:pPr>
              <w:spacing w:line="360" w:lineRule="auto"/>
              <w:rPr>
                <w:rFonts w:ascii="宋体" w:hAnsi="宋体" w:cs="宋体"/>
                <w:color w:val="auto"/>
                <w:szCs w:val="21"/>
                <w:highlight w:val="none"/>
              </w:rPr>
            </w:pPr>
            <w:r>
              <w:rPr>
                <w:rFonts w:hint="eastAsia" w:ascii="宋体" w:hAnsi="宋体" w:cs="宋体"/>
                <w:color w:val="auto"/>
                <w:szCs w:val="21"/>
                <w:highlight w:val="none"/>
              </w:rPr>
              <w:t>9、投标人提供的货物未达到招标文件规定要求，且对招标人造成损失的，由投标人承担一切责任，并赔偿所造成的损失。</w:t>
            </w:r>
          </w:p>
          <w:p w14:paraId="3A7DDD65">
            <w:pPr>
              <w:adjustRightInd w:val="0"/>
              <w:snapToGrid w:val="0"/>
              <w:spacing w:line="400" w:lineRule="exact"/>
              <w:rPr>
                <w:rFonts w:ascii="宋体" w:hAnsi="宋体" w:cs="宋体"/>
                <w:color w:val="auto"/>
                <w:szCs w:val="21"/>
                <w:highlight w:val="none"/>
              </w:rPr>
            </w:pPr>
            <w:r>
              <w:rPr>
                <w:rFonts w:hint="eastAsia" w:ascii="宋体" w:hAnsi="宋体" w:cs="宋体"/>
                <w:color w:val="auto"/>
                <w:szCs w:val="21"/>
                <w:highlight w:val="none"/>
              </w:rPr>
              <w:t>10、招标人需要厂家对中标人交付的产品(包括质量、技术参数等)进行确认的，厂家应予以配合，并出具书面意见。</w:t>
            </w:r>
          </w:p>
          <w:p w14:paraId="161F9CA0">
            <w:pPr>
              <w:adjustRightInd w:val="0"/>
              <w:snapToGrid w:val="0"/>
              <w:spacing w:line="400" w:lineRule="exact"/>
              <w:rPr>
                <w:rFonts w:ascii="宋体" w:hAnsi="宋体" w:cs="宋体"/>
                <w:color w:val="auto"/>
                <w:szCs w:val="21"/>
                <w:highlight w:val="none"/>
              </w:rPr>
            </w:pPr>
            <w:r>
              <w:rPr>
                <w:rFonts w:hint="eastAsia" w:ascii="宋体" w:hAnsi="宋体" w:cs="宋体"/>
                <w:color w:val="auto"/>
                <w:szCs w:val="21"/>
                <w:highlight w:val="none"/>
              </w:rPr>
              <w:t>11、安装前，采购方有权聘请专家及第三方专业机构进行核查。核查费用由采购方支付，若出现弄虚作假情况，一经查实，采购方将予以退货或换货，核查费用由中标人支付，并将追究中标人法律责任并要求供应商赔偿相关损失。</w:t>
            </w:r>
          </w:p>
        </w:tc>
      </w:tr>
      <w:tr w14:paraId="4CFE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701" w:type="dxa"/>
            <w:gridSpan w:val="2"/>
            <w:tcBorders>
              <w:top w:val="single" w:color="auto" w:sz="4" w:space="0"/>
              <w:left w:val="single" w:color="auto" w:sz="4" w:space="0"/>
              <w:bottom w:val="single" w:color="auto" w:sz="4" w:space="0"/>
              <w:right w:val="single" w:color="auto" w:sz="4" w:space="0"/>
            </w:tcBorders>
            <w:vAlign w:val="center"/>
          </w:tcPr>
          <w:p w14:paraId="5388A416">
            <w:pPr>
              <w:snapToGrid w:val="0"/>
              <w:spacing w:line="400" w:lineRule="exact"/>
              <w:jc w:val="center"/>
              <w:rPr>
                <w:rFonts w:ascii="宋体" w:hAnsi="宋体" w:cs="宋体"/>
                <w:b/>
                <w:color w:val="auto"/>
                <w:szCs w:val="21"/>
                <w:highlight w:val="none"/>
              </w:rPr>
            </w:pPr>
            <w:r>
              <w:rPr>
                <w:rFonts w:hint="eastAsia" w:ascii="宋体" w:hAnsi="宋体" w:cs="宋体"/>
                <w:b/>
                <w:color w:val="auto"/>
                <w:szCs w:val="21"/>
                <w:highlight w:val="none"/>
              </w:rPr>
              <w:t>其他要求及说明</w:t>
            </w:r>
          </w:p>
        </w:tc>
        <w:tc>
          <w:tcPr>
            <w:tcW w:w="8164" w:type="dxa"/>
            <w:gridSpan w:val="4"/>
            <w:tcBorders>
              <w:top w:val="single" w:color="auto" w:sz="4" w:space="0"/>
              <w:left w:val="single" w:color="auto" w:sz="4" w:space="0"/>
              <w:bottom w:val="single" w:color="auto" w:sz="4" w:space="0"/>
              <w:right w:val="single" w:color="auto" w:sz="4" w:space="0"/>
            </w:tcBorders>
          </w:tcPr>
          <w:p w14:paraId="519F1C84">
            <w:pPr>
              <w:snapToGrid w:val="0"/>
              <w:spacing w:before="156" w:beforeLines="50" w:after="156" w:afterLines="50" w:line="360" w:lineRule="exact"/>
              <w:ind w:left="316" w:hanging="316" w:hangingChars="150"/>
              <w:rPr>
                <w:rFonts w:ascii="仿宋" w:hAnsi="仿宋" w:eastAsia="仿宋"/>
                <w:color w:val="auto"/>
                <w:szCs w:val="21"/>
                <w:highlight w:val="none"/>
              </w:rPr>
            </w:pPr>
            <w:r>
              <w:rPr>
                <w:rFonts w:hint="eastAsia" w:ascii="宋体" w:hAnsi="宋体"/>
                <w:b/>
                <w:bCs/>
                <w:color w:val="auto"/>
                <w:szCs w:val="21"/>
                <w:highlight w:val="none"/>
              </w:rPr>
              <w:t>▲</w:t>
            </w:r>
            <w:r>
              <w:rPr>
                <w:rFonts w:hint="eastAsia" w:ascii="仿宋" w:hAnsi="仿宋" w:eastAsia="仿宋"/>
                <w:color w:val="auto"/>
                <w:szCs w:val="21"/>
                <w:highlight w:val="none"/>
              </w:rPr>
              <w:t>1</w:t>
            </w:r>
            <w:r>
              <w:rPr>
                <w:rFonts w:hint="eastAsia" w:ascii="宋体" w:hAnsi="宋体" w:cs="仿宋_GB2312"/>
                <w:b/>
                <w:color w:val="auto"/>
                <w:szCs w:val="21"/>
                <w:highlight w:val="none"/>
              </w:rPr>
              <w:t>、本项目的采购电梯产品要求为同一品牌产品</w:t>
            </w:r>
            <w:r>
              <w:rPr>
                <w:rFonts w:hint="eastAsia" w:ascii="仿宋" w:hAnsi="仿宋" w:eastAsia="仿宋"/>
                <w:color w:val="auto"/>
                <w:szCs w:val="21"/>
                <w:highlight w:val="none"/>
              </w:rPr>
              <w:t xml:space="preserve">。  </w:t>
            </w:r>
          </w:p>
          <w:p w14:paraId="2934203D">
            <w:pPr>
              <w:snapToGrid w:val="0"/>
              <w:spacing w:before="156" w:beforeLines="50" w:after="156" w:afterLines="50" w:line="360" w:lineRule="exact"/>
              <w:ind w:left="315" w:hanging="315" w:hangingChars="150"/>
              <w:rPr>
                <w:rFonts w:ascii="宋体" w:hAnsi="宋体" w:cs="仿宋_GB2312"/>
                <w:color w:val="auto"/>
                <w:szCs w:val="21"/>
                <w:highlight w:val="none"/>
              </w:rPr>
            </w:pPr>
            <w:r>
              <w:rPr>
                <w:rFonts w:hint="eastAsia" w:ascii="宋体" w:hAnsi="宋体" w:cs="仿宋_GB2312"/>
                <w:color w:val="auto"/>
                <w:szCs w:val="21"/>
                <w:highlight w:val="none"/>
              </w:rPr>
              <w:t>2、所投电梯产品必须是原厂生产的全新的、未使用过的、检验合格的优质产品，电梯产品质量符合国家相关规定。</w:t>
            </w:r>
          </w:p>
          <w:p w14:paraId="452BA351">
            <w:pPr>
              <w:snapToGrid w:val="0"/>
              <w:spacing w:before="156" w:beforeLines="50" w:after="156" w:afterLines="50" w:line="360" w:lineRule="exact"/>
              <w:ind w:left="315" w:hanging="315" w:hangingChars="150"/>
              <w:rPr>
                <w:rFonts w:ascii="宋体" w:hAnsi="宋体" w:cs="仿宋_GB2312"/>
                <w:b/>
                <w:color w:val="auto"/>
                <w:szCs w:val="21"/>
                <w:highlight w:val="none"/>
              </w:rPr>
            </w:pPr>
            <w:r>
              <w:rPr>
                <w:rFonts w:hint="eastAsia" w:ascii="宋体" w:hAnsi="宋体" w:cs="仿宋_GB2312"/>
                <w:color w:val="auto"/>
                <w:szCs w:val="21"/>
                <w:highlight w:val="none"/>
              </w:rPr>
              <w:t>3、</w:t>
            </w:r>
            <w:r>
              <w:rPr>
                <w:rFonts w:hint="eastAsia" w:ascii="宋体" w:hAnsi="宋体"/>
                <w:color w:val="auto"/>
                <w:szCs w:val="21"/>
                <w:highlight w:val="none"/>
              </w:rPr>
              <w:t>投标前，投标人可根据自身的情况决定是否参加采购人统一组织的现场考察。现场考察须携带的资料：持投标人授权委托书、个人身份证原件。</w:t>
            </w:r>
            <w:r>
              <w:rPr>
                <w:rFonts w:hint="eastAsia" w:ascii="宋体" w:hAnsi="宋体"/>
                <w:b/>
                <w:bCs/>
                <w:color w:val="auto"/>
                <w:szCs w:val="21"/>
                <w:highlight w:val="none"/>
              </w:rPr>
              <w:t>现场考察</w:t>
            </w:r>
            <w:r>
              <w:rPr>
                <w:rFonts w:hint="eastAsia" w:ascii="宋体" w:hAnsi="宋体" w:cs="仿宋_GB2312"/>
                <w:b/>
                <w:bCs/>
                <w:color w:val="auto"/>
                <w:szCs w:val="21"/>
                <w:highlight w:val="none"/>
              </w:rPr>
              <w:t>集中时间：</w:t>
            </w:r>
            <w:r>
              <w:rPr>
                <w:rFonts w:ascii="宋体" w:hAnsi="宋体" w:cs="仿宋_GB2312"/>
                <w:b/>
                <w:bCs/>
                <w:color w:val="auto"/>
                <w:szCs w:val="21"/>
                <w:highlight w:val="none"/>
                <w:u w:val="single"/>
                <w:lang w:val="en"/>
              </w:rPr>
              <w:t>202</w:t>
            </w:r>
            <w:r>
              <w:rPr>
                <w:rFonts w:hint="eastAsia" w:ascii="宋体" w:hAnsi="宋体" w:cs="仿宋_GB2312"/>
                <w:b/>
                <w:bCs/>
                <w:color w:val="auto"/>
                <w:szCs w:val="21"/>
                <w:highlight w:val="none"/>
                <w:u w:val="single"/>
              </w:rPr>
              <w:t>6年5月1</w:t>
            </w:r>
            <w:r>
              <w:rPr>
                <w:rFonts w:hint="eastAsia" w:ascii="宋体" w:hAnsi="宋体" w:cs="仿宋_GB2312"/>
                <w:b/>
                <w:bCs/>
                <w:color w:val="auto"/>
                <w:szCs w:val="21"/>
                <w:highlight w:val="none"/>
                <w:u w:val="single"/>
                <w:lang w:val="en-US" w:eastAsia="zh-CN"/>
              </w:rPr>
              <w:t>3</w:t>
            </w:r>
            <w:r>
              <w:rPr>
                <w:rFonts w:hint="eastAsia" w:ascii="宋体" w:hAnsi="宋体" w:cs="仿宋_GB2312"/>
                <w:b/>
                <w:bCs/>
                <w:color w:val="auto"/>
                <w:szCs w:val="21"/>
                <w:highlight w:val="none"/>
                <w:u w:val="single"/>
              </w:rPr>
              <w:t>日</w:t>
            </w:r>
            <w:r>
              <w:rPr>
                <w:rFonts w:hint="eastAsia" w:ascii="宋体" w:hAnsi="宋体" w:cs="仿宋_GB2312"/>
                <w:b/>
                <w:bCs/>
                <w:color w:val="auto"/>
                <w:szCs w:val="21"/>
                <w:highlight w:val="none"/>
              </w:rPr>
              <w:t>上午10时，过期不候。集中地点：</w:t>
            </w:r>
            <w:r>
              <w:rPr>
                <w:rFonts w:hint="eastAsia" w:ascii="宋体" w:hAnsi="宋体" w:cs="仿宋_GB2312"/>
                <w:b/>
                <w:bCs/>
                <w:color w:val="auto"/>
                <w:szCs w:val="21"/>
                <w:highlight w:val="none"/>
                <w:u w:val="single"/>
              </w:rPr>
              <w:t>桃源路69号财政大厦正门门卫室</w:t>
            </w:r>
            <w:r>
              <w:rPr>
                <w:rFonts w:hint="eastAsia" w:ascii="宋体" w:hAnsi="宋体" w:cs="仿宋_GB2312"/>
                <w:b/>
                <w:bCs/>
                <w:color w:val="auto"/>
                <w:szCs w:val="21"/>
                <w:highlight w:val="none"/>
              </w:rPr>
              <w:t>；联系人：</w:t>
            </w:r>
            <w:r>
              <w:rPr>
                <w:rFonts w:hint="eastAsia" w:ascii="宋体" w:hAnsi="宋体" w:cs="仿宋_GB2312"/>
                <w:b/>
                <w:bCs/>
                <w:color w:val="auto"/>
                <w:szCs w:val="21"/>
                <w:highlight w:val="none"/>
                <w:u w:val="single"/>
              </w:rPr>
              <w:t>杨宣波</w:t>
            </w:r>
            <w:r>
              <w:rPr>
                <w:rFonts w:hint="eastAsia" w:ascii="宋体" w:hAnsi="宋体" w:cs="仿宋_GB2312"/>
                <w:b/>
                <w:bCs/>
                <w:color w:val="auto"/>
                <w:szCs w:val="21"/>
                <w:highlight w:val="none"/>
              </w:rPr>
              <w:t>；联系电话：</w:t>
            </w:r>
            <w:r>
              <w:rPr>
                <w:rFonts w:hint="eastAsia" w:ascii="宋体" w:hAnsi="宋体" w:cs="仿宋_GB2312"/>
                <w:b/>
                <w:bCs/>
                <w:color w:val="auto"/>
                <w:szCs w:val="21"/>
                <w:highlight w:val="none"/>
                <w:u w:val="single"/>
              </w:rPr>
              <w:t xml:space="preserve"> 13978870121</w:t>
            </w:r>
            <w:r>
              <w:rPr>
                <w:rFonts w:hint="eastAsia" w:ascii="宋体" w:hAnsi="宋体" w:cs="仿宋_GB2312"/>
                <w:b/>
                <w:bCs/>
                <w:color w:val="auto"/>
                <w:szCs w:val="21"/>
                <w:highlight w:val="none"/>
              </w:rPr>
              <w:t>。</w:t>
            </w:r>
          </w:p>
          <w:p w14:paraId="7379E409">
            <w:pPr>
              <w:snapToGrid w:val="0"/>
              <w:spacing w:before="156" w:beforeLines="50" w:after="156" w:afterLines="50" w:line="360" w:lineRule="exact"/>
              <w:ind w:left="315" w:hanging="315" w:hangingChars="150"/>
              <w:rPr>
                <w:color w:val="auto"/>
                <w:szCs w:val="21"/>
                <w:highlight w:val="none"/>
              </w:rPr>
            </w:pPr>
            <w:r>
              <w:rPr>
                <w:rFonts w:hint="eastAsia"/>
                <w:color w:val="auto"/>
                <w:szCs w:val="21"/>
                <w:highlight w:val="none"/>
              </w:rPr>
              <w:t>4、</w:t>
            </w:r>
            <w:r>
              <w:rPr>
                <w:rFonts w:hint="eastAsia" w:ascii="宋体" w:hAnsi="宋体"/>
                <w:color w:val="auto"/>
                <w:szCs w:val="21"/>
                <w:highlight w:val="none"/>
              </w:rPr>
              <w:t>投标人请在</w:t>
            </w:r>
            <w:r>
              <w:rPr>
                <w:rFonts w:hint="eastAsia"/>
                <w:color w:val="auto"/>
                <w:szCs w:val="21"/>
                <w:highlight w:val="none"/>
              </w:rPr>
              <w:t>投标文件里提供</w:t>
            </w:r>
            <w:r>
              <w:rPr>
                <w:rFonts w:hint="eastAsia"/>
                <w:b/>
                <w:bCs/>
                <w:color w:val="auto"/>
                <w:szCs w:val="21"/>
                <w:highlight w:val="none"/>
              </w:rPr>
              <w:t>安装施工方案</w:t>
            </w:r>
            <w:r>
              <w:rPr>
                <w:rFonts w:hint="eastAsia"/>
                <w:color w:val="auto"/>
                <w:szCs w:val="21"/>
                <w:highlight w:val="none"/>
              </w:rPr>
              <w:t>（内容包含有：施工组织机构、人员配备、施工机械、检测设备、施工进度计划及保证工期</w:t>
            </w:r>
            <w:r>
              <w:rPr>
                <w:rFonts w:hint="eastAsia" w:hAnsi="宋体"/>
                <w:color w:val="auto"/>
                <w:szCs w:val="21"/>
                <w:highlight w:val="none"/>
              </w:rPr>
              <w:t>、质量的技术措施，</w:t>
            </w:r>
            <w:r>
              <w:rPr>
                <w:rFonts w:hint="eastAsia"/>
                <w:color w:val="auto"/>
                <w:szCs w:val="21"/>
                <w:highlight w:val="none"/>
              </w:rPr>
              <w:t>安全、文明施工措施、</w:t>
            </w:r>
            <w:r>
              <w:rPr>
                <w:rFonts w:hint="eastAsia" w:hAnsi="宋体"/>
                <w:color w:val="auto"/>
                <w:szCs w:val="21"/>
                <w:highlight w:val="none"/>
              </w:rPr>
              <w:t>设备的安装调试等方面</w:t>
            </w:r>
            <w:r>
              <w:rPr>
                <w:rFonts w:hint="eastAsia"/>
                <w:color w:val="auto"/>
                <w:szCs w:val="21"/>
                <w:highlight w:val="none"/>
              </w:rPr>
              <w:t>）</w:t>
            </w:r>
            <w:r>
              <w:rPr>
                <w:rFonts w:hint="eastAsia" w:hAnsi="宋体"/>
                <w:color w:val="auto"/>
                <w:szCs w:val="21"/>
                <w:highlight w:val="none"/>
              </w:rPr>
              <w:t>。</w:t>
            </w:r>
          </w:p>
          <w:p w14:paraId="2CFBFC68">
            <w:pPr>
              <w:widowControl/>
              <w:spacing w:line="360" w:lineRule="exact"/>
              <w:ind w:left="143" w:leftChars="-227" w:hanging="620" w:hangingChars="294"/>
              <w:jc w:val="left"/>
              <w:rPr>
                <w:rFonts w:ascii="宋体" w:hAnsi="宋体" w:cs="仿宋_GB2312"/>
                <w:color w:val="auto"/>
                <w:szCs w:val="21"/>
                <w:highlight w:val="none"/>
              </w:rPr>
            </w:pPr>
            <w:r>
              <w:rPr>
                <w:rFonts w:hint="eastAsia" w:ascii="仿宋" w:hAnsi="仿宋" w:eastAsia="仿宋"/>
                <w:b/>
                <w:color w:val="auto"/>
                <w:szCs w:val="21"/>
                <w:highlight w:val="none"/>
              </w:rPr>
              <w:t xml:space="preserve">      </w:t>
            </w:r>
            <w:r>
              <w:rPr>
                <w:rFonts w:hint="eastAsia" w:ascii="宋体" w:hAnsi="宋体" w:cs="仿宋_GB2312"/>
                <w:color w:val="auto"/>
                <w:szCs w:val="21"/>
                <w:highlight w:val="none"/>
              </w:rPr>
              <w:t>5、政策功能：</w:t>
            </w:r>
          </w:p>
          <w:p w14:paraId="3FF322E3">
            <w:pPr>
              <w:widowControl/>
              <w:spacing w:line="360" w:lineRule="exact"/>
              <w:ind w:left="140" w:leftChars="23" w:hanging="92" w:hangingChars="44"/>
              <w:jc w:val="left"/>
              <w:rPr>
                <w:rFonts w:ascii="仿宋" w:hAnsi="仿宋" w:eastAsia="仿宋"/>
                <w:b/>
                <w:color w:val="auto"/>
                <w:szCs w:val="21"/>
                <w:highlight w:val="none"/>
              </w:rPr>
            </w:pPr>
            <w:r>
              <w:rPr>
                <w:rFonts w:hint="eastAsia" w:ascii="宋体" w:hAnsi="宋体" w:cs="仿宋_GB2312"/>
                <w:color w:val="auto"/>
                <w:szCs w:val="21"/>
                <w:highlight w:val="none"/>
              </w:rPr>
              <w:t>（1）</w:t>
            </w:r>
            <w:r>
              <w:rPr>
                <w:rFonts w:hint="eastAsia" w:ascii="宋体" w:cs="宋体"/>
                <w:color w:val="auto"/>
                <w:szCs w:val="21"/>
                <w:highlight w:val="none"/>
                <w:lang w:val="zh-CN"/>
              </w:rPr>
              <w:t>严格执行（财库〔2019〕9号）及（财库〔2019〕19号），本次投标产品类别属于政府强制采购产品类别的，须按照《市场监管总局关于发布参与实施政府采购节能产品、环境标志产品认证机构名录的公告》（2019年第16号）要求提供依据国家确定的认证机构出具的、处于有效期之内的节能产品认证证书扫描件或其他电子文件并加盖投标人公章，否则投标无效</w:t>
            </w:r>
            <w:r>
              <w:rPr>
                <w:rFonts w:hint="eastAsia" w:ascii="仿宋" w:hAnsi="仿宋" w:eastAsia="仿宋"/>
                <w:b/>
                <w:color w:val="auto"/>
                <w:szCs w:val="21"/>
                <w:highlight w:val="none"/>
              </w:rPr>
              <w:t>。</w:t>
            </w:r>
          </w:p>
          <w:p w14:paraId="2EBD7165">
            <w:pPr>
              <w:widowControl/>
              <w:spacing w:line="360" w:lineRule="exact"/>
              <w:ind w:left="141" w:leftChars="23" w:hanging="93" w:hangingChars="44"/>
              <w:jc w:val="left"/>
              <w:rPr>
                <w:rFonts w:hAnsi="宋体" w:cs="宋体"/>
                <w:color w:val="auto"/>
                <w:kern w:val="0"/>
                <w:szCs w:val="21"/>
                <w:highlight w:val="none"/>
              </w:rPr>
            </w:pPr>
            <w:r>
              <w:rPr>
                <w:rFonts w:hint="eastAsia" w:ascii="仿宋" w:hAnsi="仿宋" w:eastAsia="仿宋"/>
                <w:b/>
                <w:color w:val="auto"/>
                <w:szCs w:val="21"/>
                <w:highlight w:val="none"/>
              </w:rPr>
              <w:t>（2）</w:t>
            </w:r>
            <w:r>
              <w:rPr>
                <w:rFonts w:hint="eastAsia" w:ascii="宋体" w:cs="宋体"/>
                <w:color w:val="auto"/>
                <w:szCs w:val="21"/>
                <w:highlight w:val="none"/>
                <w:lang w:val="zh-CN"/>
              </w:rPr>
              <w:t>执行《财政部 发展改革委 生态环境部 市场监管总局关于调整优化节能产品、环境标志产品政府采购执行机制的通知》（财库〔2019〕9号）、《关于印发节能产品政府采购品目清单的通知》（财库〔2019〕19号）及《关于印发环境标志产品政府采购品目清单的通知》（财库〔2019〕18号），属于政府优先采购产品类别的，磋商供应商按照《市场监管总局关于发布参与实施政府采购节能产品、环境标志产品认证机构名录的公告》（2019年第16号）要求提供依据国家确定的认证机构出具的、处于有效期之内的节能产品或环境标志产品认证证书扫描件或其他电子文件并加盖磋商供应商公章，否则不予认定。</w:t>
            </w:r>
          </w:p>
          <w:p w14:paraId="2DE2A3EF">
            <w:pPr>
              <w:widowControl/>
              <w:shd w:val="clear" w:color="auto" w:fill="FFFFFF"/>
              <w:spacing w:line="400" w:lineRule="exact"/>
              <w:jc w:val="left"/>
              <w:rPr>
                <w:rFonts w:ascii="宋体" w:hAnsi="宋体" w:cs="宋体"/>
                <w:b/>
                <w:color w:val="auto"/>
                <w:szCs w:val="21"/>
                <w:highlight w:val="none"/>
              </w:rPr>
            </w:pPr>
            <w:r>
              <w:rPr>
                <w:rFonts w:hint="eastAsia" w:ascii="宋体" w:hAnsi="宋体"/>
                <w:b/>
                <w:bCs/>
                <w:color w:val="auto"/>
                <w:szCs w:val="21"/>
                <w:highlight w:val="none"/>
              </w:rPr>
              <w:t>▲</w:t>
            </w:r>
            <w:r>
              <w:rPr>
                <w:rFonts w:hint="eastAsia" w:ascii="仿宋" w:hAnsi="仿宋" w:eastAsia="仿宋"/>
                <w:b/>
                <w:color w:val="auto"/>
                <w:szCs w:val="21"/>
                <w:highlight w:val="none"/>
              </w:rPr>
              <w:t>6、</w:t>
            </w:r>
            <w:r>
              <w:rPr>
                <w:rFonts w:hint="eastAsia" w:ascii="宋体" w:hAnsi="宋体" w:cs="仿宋_GB2312"/>
                <w:b/>
                <w:color w:val="auto"/>
                <w:szCs w:val="21"/>
                <w:highlight w:val="none"/>
              </w:rPr>
              <w:t>本项目不接受整套进口电梯产品投标</w:t>
            </w:r>
            <w:r>
              <w:rPr>
                <w:rFonts w:hint="eastAsia" w:ascii="仿宋" w:hAnsi="仿宋" w:eastAsia="仿宋"/>
                <w:b/>
                <w:color w:val="auto"/>
                <w:szCs w:val="21"/>
                <w:highlight w:val="none"/>
              </w:rPr>
              <w:t>。</w:t>
            </w:r>
          </w:p>
        </w:tc>
      </w:tr>
    </w:tbl>
    <w:p w14:paraId="37372CCC">
      <w:pPr>
        <w:snapToGrid w:val="0"/>
        <w:rPr>
          <w:rFonts w:ascii="仿宋_GB2312" w:eastAsia="仿宋_GB2312"/>
          <w:b/>
          <w:color w:val="auto"/>
          <w:szCs w:val="21"/>
          <w:highlight w:val="none"/>
        </w:rPr>
      </w:pPr>
      <w:r>
        <w:rPr>
          <w:color w:val="auto"/>
          <w:highlight w:val="none"/>
        </w:rPr>
        <w:br w:type="page"/>
      </w:r>
    </w:p>
    <w:p w14:paraId="24167713">
      <w:pPr>
        <w:snapToGrid w:val="0"/>
        <w:rPr>
          <w:rFonts w:ascii="仿宋_GB2312" w:eastAsia="仿宋_GB2312"/>
          <w:b/>
          <w:color w:val="auto"/>
          <w:szCs w:val="21"/>
          <w:highlight w:val="none"/>
        </w:rPr>
      </w:pPr>
      <w:r>
        <w:rPr>
          <w:rFonts w:hint="eastAsia" w:ascii="仿宋_GB2312" w:eastAsia="仿宋_GB2312"/>
          <w:b/>
          <w:color w:val="auto"/>
          <w:szCs w:val="21"/>
          <w:highlight w:val="none"/>
        </w:rPr>
        <w:t xml:space="preserve">                   </w:t>
      </w:r>
    </w:p>
    <w:p w14:paraId="38A856C3">
      <w:pPr>
        <w:snapToGrid w:val="0"/>
        <w:rPr>
          <w:rFonts w:ascii="仿宋_GB2312" w:eastAsia="仿宋_GB2312"/>
          <w:b/>
          <w:color w:val="auto"/>
          <w:szCs w:val="21"/>
          <w:highlight w:val="none"/>
        </w:rPr>
      </w:pPr>
    </w:p>
    <w:p w14:paraId="399B0B50">
      <w:pPr>
        <w:snapToGrid w:val="0"/>
        <w:rPr>
          <w:rFonts w:ascii="仿宋_GB2312" w:eastAsia="仿宋_GB2312"/>
          <w:b/>
          <w:color w:val="auto"/>
          <w:szCs w:val="21"/>
          <w:highlight w:val="none"/>
        </w:rPr>
      </w:pPr>
    </w:p>
    <w:p w14:paraId="7857A9A9">
      <w:pPr>
        <w:snapToGrid w:val="0"/>
        <w:rPr>
          <w:rFonts w:ascii="仿宋_GB2312" w:eastAsia="仿宋_GB2312"/>
          <w:b/>
          <w:color w:val="auto"/>
          <w:szCs w:val="21"/>
          <w:highlight w:val="none"/>
        </w:rPr>
      </w:pPr>
    </w:p>
    <w:p w14:paraId="16468CDB">
      <w:pPr>
        <w:snapToGrid w:val="0"/>
        <w:rPr>
          <w:rFonts w:ascii="仿宋_GB2312" w:eastAsia="仿宋_GB2312"/>
          <w:b/>
          <w:color w:val="auto"/>
          <w:szCs w:val="21"/>
          <w:highlight w:val="none"/>
        </w:rPr>
      </w:pPr>
    </w:p>
    <w:p w14:paraId="507D7A60">
      <w:pPr>
        <w:snapToGrid w:val="0"/>
        <w:rPr>
          <w:rFonts w:ascii="仿宋_GB2312" w:eastAsia="仿宋_GB2312"/>
          <w:b/>
          <w:color w:val="auto"/>
          <w:szCs w:val="21"/>
          <w:highlight w:val="none"/>
        </w:rPr>
      </w:pPr>
    </w:p>
    <w:p w14:paraId="4B8D520A">
      <w:pPr>
        <w:snapToGrid w:val="0"/>
        <w:rPr>
          <w:rFonts w:ascii="仿宋_GB2312" w:eastAsia="仿宋_GB2312"/>
          <w:b/>
          <w:color w:val="auto"/>
          <w:szCs w:val="21"/>
          <w:highlight w:val="none"/>
        </w:rPr>
      </w:pPr>
    </w:p>
    <w:p w14:paraId="47BE809B">
      <w:pPr>
        <w:snapToGrid w:val="0"/>
        <w:rPr>
          <w:rFonts w:ascii="仿宋_GB2312" w:eastAsia="仿宋_GB2312"/>
          <w:b/>
          <w:color w:val="auto"/>
          <w:szCs w:val="21"/>
          <w:highlight w:val="none"/>
        </w:rPr>
      </w:pPr>
    </w:p>
    <w:p w14:paraId="7CDD2449">
      <w:pPr>
        <w:snapToGrid w:val="0"/>
        <w:rPr>
          <w:rFonts w:ascii="仿宋_GB2312" w:eastAsia="仿宋_GB2312"/>
          <w:b/>
          <w:color w:val="auto"/>
          <w:szCs w:val="21"/>
          <w:highlight w:val="none"/>
        </w:rPr>
      </w:pPr>
    </w:p>
    <w:p w14:paraId="57DDA9B5">
      <w:pPr>
        <w:snapToGrid w:val="0"/>
        <w:rPr>
          <w:rFonts w:ascii="仿宋_GB2312" w:eastAsia="仿宋_GB2312"/>
          <w:b/>
          <w:color w:val="auto"/>
          <w:szCs w:val="21"/>
          <w:highlight w:val="none"/>
        </w:rPr>
      </w:pPr>
    </w:p>
    <w:p w14:paraId="0F1C7209">
      <w:pPr>
        <w:snapToGrid w:val="0"/>
        <w:rPr>
          <w:rFonts w:ascii="仿宋_GB2312" w:eastAsia="仿宋_GB2312"/>
          <w:b/>
          <w:color w:val="auto"/>
          <w:szCs w:val="21"/>
          <w:highlight w:val="none"/>
        </w:rPr>
      </w:pPr>
    </w:p>
    <w:p w14:paraId="083A683A">
      <w:pPr>
        <w:snapToGrid w:val="0"/>
        <w:rPr>
          <w:rFonts w:ascii="仿宋_GB2312" w:eastAsia="仿宋_GB2312"/>
          <w:b/>
          <w:color w:val="auto"/>
          <w:szCs w:val="21"/>
          <w:highlight w:val="none"/>
        </w:rPr>
      </w:pPr>
    </w:p>
    <w:p w14:paraId="15825C81">
      <w:pPr>
        <w:snapToGrid w:val="0"/>
        <w:rPr>
          <w:rFonts w:ascii="仿宋_GB2312" w:eastAsia="仿宋_GB2312"/>
          <w:b/>
          <w:color w:val="auto"/>
          <w:szCs w:val="21"/>
          <w:highlight w:val="none"/>
        </w:rPr>
      </w:pPr>
    </w:p>
    <w:p w14:paraId="286F0649">
      <w:pPr>
        <w:snapToGrid w:val="0"/>
        <w:rPr>
          <w:rFonts w:ascii="仿宋_GB2312" w:eastAsia="仿宋_GB2312"/>
          <w:b/>
          <w:color w:val="auto"/>
          <w:szCs w:val="21"/>
          <w:highlight w:val="none"/>
        </w:rPr>
      </w:pPr>
    </w:p>
    <w:p w14:paraId="1E118B75">
      <w:pPr>
        <w:snapToGrid w:val="0"/>
        <w:jc w:val="center"/>
        <w:rPr>
          <w:rFonts w:ascii="宋体" w:hAnsi="宋体" w:cs="Courier New"/>
          <w:b/>
          <w:color w:val="auto"/>
          <w:sz w:val="44"/>
          <w:szCs w:val="44"/>
          <w:highlight w:val="none"/>
        </w:rPr>
      </w:pPr>
      <w:r>
        <w:rPr>
          <w:rFonts w:hint="eastAsia" w:ascii="宋体" w:hAnsi="宋体" w:cs="Courier New"/>
          <w:b/>
          <w:color w:val="auto"/>
          <w:sz w:val="44"/>
          <w:szCs w:val="44"/>
          <w:highlight w:val="none"/>
        </w:rPr>
        <w:t>第三章  投标人须知</w:t>
      </w:r>
    </w:p>
    <w:p w14:paraId="004E2EAF">
      <w:pPr>
        <w:spacing w:line="360" w:lineRule="exact"/>
        <w:jc w:val="center"/>
        <w:rPr>
          <w:rFonts w:ascii="仿宋_GB2312" w:eastAsia="仿宋_GB2312"/>
          <w:b/>
          <w:color w:val="auto"/>
          <w:szCs w:val="21"/>
          <w:highlight w:val="none"/>
        </w:rPr>
      </w:pPr>
      <w:r>
        <w:rPr>
          <w:rFonts w:ascii="仿宋_GB2312" w:eastAsia="仿宋_GB2312"/>
          <w:b/>
          <w:color w:val="auto"/>
          <w:szCs w:val="21"/>
          <w:highlight w:val="none"/>
        </w:rPr>
        <w:br w:type="page"/>
      </w:r>
    </w:p>
    <w:p w14:paraId="7E32645E">
      <w:pPr>
        <w:spacing w:line="360" w:lineRule="exact"/>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投标</w:t>
      </w:r>
      <w:bookmarkStart w:id="5" w:name="_Toc254970526"/>
      <w:bookmarkStart w:id="6" w:name="_Toc254970667"/>
      <w:r>
        <w:rPr>
          <w:rFonts w:hint="eastAsia" w:ascii="仿宋_GB2312" w:eastAsia="仿宋_GB2312"/>
          <w:b/>
          <w:color w:val="auto"/>
          <w:sz w:val="32"/>
          <w:szCs w:val="32"/>
          <w:highlight w:val="none"/>
        </w:rPr>
        <w:t>人须知及前附表</w:t>
      </w:r>
      <w:bookmarkEnd w:id="5"/>
      <w:bookmarkEnd w:id="6"/>
    </w:p>
    <w:p w14:paraId="46D1B35F">
      <w:pPr>
        <w:spacing w:line="360" w:lineRule="exact"/>
        <w:jc w:val="center"/>
        <w:rPr>
          <w:rFonts w:ascii="仿宋_GB2312" w:eastAsia="仿宋_GB2312"/>
          <w:b/>
          <w:color w:val="auto"/>
          <w:szCs w:val="21"/>
          <w:highlight w:val="none"/>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8"/>
        <w:gridCol w:w="8820"/>
      </w:tblGrid>
      <w:tr w14:paraId="7089E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31444961">
            <w:pPr>
              <w:snapToGrid w:val="0"/>
              <w:spacing w:line="360" w:lineRule="exact"/>
              <w:jc w:val="center"/>
              <w:rPr>
                <w:rFonts w:ascii="宋体"/>
                <w:b/>
                <w:bCs/>
                <w:color w:val="auto"/>
                <w:szCs w:val="21"/>
                <w:highlight w:val="none"/>
              </w:rPr>
            </w:pPr>
            <w:r>
              <w:rPr>
                <w:rFonts w:hint="eastAsia" w:ascii="宋体"/>
                <w:b/>
                <w:bCs/>
                <w:color w:val="auto"/>
                <w:szCs w:val="21"/>
                <w:highlight w:val="none"/>
              </w:rPr>
              <w:t>序号</w:t>
            </w:r>
          </w:p>
        </w:tc>
        <w:tc>
          <w:tcPr>
            <w:tcW w:w="8820" w:type="dxa"/>
            <w:tcBorders>
              <w:top w:val="single" w:color="auto" w:sz="4" w:space="0"/>
              <w:left w:val="single" w:color="auto" w:sz="4" w:space="0"/>
              <w:bottom w:val="single" w:color="auto" w:sz="4" w:space="0"/>
              <w:right w:val="single" w:color="auto" w:sz="4" w:space="0"/>
            </w:tcBorders>
            <w:vAlign w:val="center"/>
          </w:tcPr>
          <w:p w14:paraId="1A9FD419">
            <w:pPr>
              <w:snapToGrid w:val="0"/>
              <w:spacing w:line="360" w:lineRule="exact"/>
              <w:jc w:val="center"/>
              <w:rPr>
                <w:rFonts w:ascii="宋体"/>
                <w:b/>
                <w:bCs/>
                <w:color w:val="auto"/>
                <w:szCs w:val="21"/>
                <w:highlight w:val="none"/>
              </w:rPr>
            </w:pPr>
            <w:r>
              <w:rPr>
                <w:rFonts w:hint="eastAsia" w:ascii="宋体"/>
                <w:b/>
                <w:bCs/>
                <w:color w:val="auto"/>
                <w:szCs w:val="21"/>
                <w:highlight w:val="none"/>
              </w:rPr>
              <w:t>内容、要求</w:t>
            </w:r>
          </w:p>
        </w:tc>
      </w:tr>
      <w:tr w14:paraId="35812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2D12FE3E">
            <w:pPr>
              <w:snapToGrid w:val="0"/>
              <w:spacing w:line="360" w:lineRule="exact"/>
              <w:jc w:val="center"/>
              <w:rPr>
                <w:rFonts w:ascii="宋体"/>
                <w:bCs/>
                <w:color w:val="auto"/>
                <w:szCs w:val="21"/>
                <w:highlight w:val="none"/>
              </w:rPr>
            </w:pPr>
            <w:r>
              <w:rPr>
                <w:rFonts w:hint="eastAsia" w:ascii="宋体"/>
                <w:bCs/>
                <w:color w:val="auto"/>
                <w:szCs w:val="21"/>
                <w:highlight w:val="none"/>
              </w:rPr>
              <w:t>1</w:t>
            </w:r>
          </w:p>
        </w:tc>
        <w:tc>
          <w:tcPr>
            <w:tcW w:w="8820" w:type="dxa"/>
            <w:tcBorders>
              <w:top w:val="single" w:color="auto" w:sz="4" w:space="0"/>
              <w:left w:val="single" w:color="auto" w:sz="4" w:space="0"/>
              <w:bottom w:val="single" w:color="auto" w:sz="4" w:space="0"/>
              <w:right w:val="single" w:color="auto" w:sz="4" w:space="0"/>
            </w:tcBorders>
            <w:vAlign w:val="center"/>
          </w:tcPr>
          <w:p w14:paraId="3844A453">
            <w:pPr>
              <w:snapToGrid w:val="0"/>
              <w:spacing w:line="300" w:lineRule="exact"/>
              <w:rPr>
                <w:rFonts w:ascii="宋体"/>
                <w:color w:val="auto"/>
                <w:szCs w:val="21"/>
                <w:highlight w:val="none"/>
                <w:lang w:val="en"/>
              </w:rPr>
            </w:pPr>
            <w:r>
              <w:rPr>
                <w:rFonts w:hint="eastAsia" w:ascii="宋体"/>
                <w:b/>
                <w:bCs/>
                <w:color w:val="auto"/>
                <w:szCs w:val="21"/>
                <w:highlight w:val="none"/>
              </w:rPr>
              <w:t>项目名称：</w:t>
            </w:r>
            <w:r>
              <w:rPr>
                <w:rFonts w:hint="eastAsia"/>
                <w:b/>
                <w:bCs/>
                <w:color w:val="auto"/>
                <w:highlight w:val="none"/>
              </w:rPr>
              <w:t xml:space="preserve"> 电梯采购及安装</w:t>
            </w:r>
          </w:p>
        </w:tc>
      </w:tr>
      <w:tr w14:paraId="174CB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3FB19231">
            <w:pPr>
              <w:snapToGrid w:val="0"/>
              <w:spacing w:line="360" w:lineRule="exact"/>
              <w:jc w:val="center"/>
              <w:rPr>
                <w:rFonts w:ascii="宋体"/>
                <w:bCs/>
                <w:color w:val="auto"/>
                <w:szCs w:val="21"/>
                <w:highlight w:val="none"/>
              </w:rPr>
            </w:pPr>
            <w:r>
              <w:rPr>
                <w:rFonts w:hint="eastAsia" w:ascii="宋体"/>
                <w:bCs/>
                <w:color w:val="auto"/>
                <w:szCs w:val="21"/>
                <w:highlight w:val="none"/>
              </w:rPr>
              <w:t>2</w:t>
            </w:r>
          </w:p>
        </w:tc>
        <w:tc>
          <w:tcPr>
            <w:tcW w:w="8820" w:type="dxa"/>
            <w:tcBorders>
              <w:top w:val="single" w:color="auto" w:sz="4" w:space="0"/>
              <w:left w:val="single" w:color="auto" w:sz="4" w:space="0"/>
              <w:bottom w:val="single" w:color="auto" w:sz="4" w:space="0"/>
              <w:right w:val="single" w:color="auto" w:sz="4" w:space="0"/>
            </w:tcBorders>
            <w:vAlign w:val="center"/>
          </w:tcPr>
          <w:p w14:paraId="5E439921">
            <w:pPr>
              <w:snapToGrid w:val="0"/>
              <w:spacing w:line="300" w:lineRule="exact"/>
              <w:rPr>
                <w:rFonts w:ascii="宋体"/>
                <w:color w:val="auto"/>
                <w:szCs w:val="21"/>
                <w:highlight w:val="none"/>
              </w:rPr>
            </w:pPr>
            <w:r>
              <w:rPr>
                <w:rFonts w:hint="eastAsia" w:ascii="宋体"/>
                <w:color w:val="auto"/>
                <w:szCs w:val="21"/>
                <w:highlight w:val="none"/>
              </w:rPr>
              <w:t>投标报价及费用：1.本项目投标应以人民币报价；2.不论投标结果如何，投标人均应自行承担所有与投标有关的全部费用；</w:t>
            </w:r>
          </w:p>
        </w:tc>
      </w:tr>
      <w:tr w14:paraId="2265C2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21D7C90A">
            <w:pPr>
              <w:snapToGrid w:val="0"/>
              <w:spacing w:line="360" w:lineRule="exact"/>
              <w:jc w:val="center"/>
              <w:rPr>
                <w:bCs/>
                <w:color w:val="auto"/>
                <w:highlight w:val="none"/>
              </w:rPr>
            </w:pPr>
            <w:r>
              <w:rPr>
                <w:rFonts w:hint="eastAsia"/>
                <w:bCs/>
                <w:color w:val="auto"/>
                <w:highlight w:val="none"/>
              </w:rPr>
              <w:t>3</w:t>
            </w:r>
          </w:p>
        </w:tc>
        <w:tc>
          <w:tcPr>
            <w:tcW w:w="8820" w:type="dxa"/>
            <w:tcBorders>
              <w:top w:val="single" w:color="auto" w:sz="4" w:space="0"/>
              <w:left w:val="single" w:color="auto" w:sz="4" w:space="0"/>
              <w:bottom w:val="single" w:color="auto" w:sz="4" w:space="0"/>
              <w:right w:val="single" w:color="auto" w:sz="4" w:space="0"/>
            </w:tcBorders>
            <w:vAlign w:val="center"/>
          </w:tcPr>
          <w:p w14:paraId="074274D2">
            <w:pPr>
              <w:snapToGrid w:val="0"/>
              <w:spacing w:line="300" w:lineRule="exact"/>
              <w:rPr>
                <w:bCs/>
                <w:color w:val="auto"/>
                <w:highlight w:val="none"/>
              </w:rPr>
            </w:pPr>
            <w:r>
              <w:rPr>
                <w:rFonts w:hint="eastAsia"/>
                <w:bCs/>
                <w:color w:val="auto"/>
                <w:highlight w:val="none"/>
              </w:rPr>
              <w:t>详见公开招标公告</w:t>
            </w:r>
          </w:p>
          <w:p w14:paraId="2FC6D26F">
            <w:pPr>
              <w:snapToGrid w:val="0"/>
              <w:spacing w:line="300" w:lineRule="exact"/>
              <w:rPr>
                <w:bCs/>
                <w:color w:val="auto"/>
                <w:highlight w:val="none"/>
              </w:rPr>
            </w:pPr>
            <w:r>
              <w:rPr>
                <w:rFonts w:hint="eastAsia"/>
                <w:bCs/>
                <w:color w:val="auto"/>
                <w:highlight w:val="none"/>
              </w:rPr>
              <w:t>实际交纳的保证金须按要求交纳，否则视为未交纳保证金。</w:t>
            </w:r>
          </w:p>
        </w:tc>
      </w:tr>
      <w:tr w14:paraId="5C493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6EEEF3A4">
            <w:pPr>
              <w:snapToGrid w:val="0"/>
              <w:spacing w:line="360" w:lineRule="exact"/>
              <w:jc w:val="center"/>
              <w:rPr>
                <w:bCs/>
                <w:color w:val="auto"/>
                <w:highlight w:val="none"/>
              </w:rPr>
            </w:pPr>
            <w:r>
              <w:rPr>
                <w:rFonts w:hint="eastAsia"/>
                <w:bCs/>
                <w:color w:val="auto"/>
                <w:highlight w:val="none"/>
              </w:rPr>
              <w:t>4</w:t>
            </w:r>
          </w:p>
        </w:tc>
        <w:tc>
          <w:tcPr>
            <w:tcW w:w="8820" w:type="dxa"/>
            <w:tcBorders>
              <w:top w:val="single" w:color="auto" w:sz="4" w:space="0"/>
              <w:left w:val="single" w:color="auto" w:sz="4" w:space="0"/>
              <w:bottom w:val="single" w:color="auto" w:sz="4" w:space="0"/>
              <w:right w:val="single" w:color="auto" w:sz="4" w:space="0"/>
            </w:tcBorders>
            <w:vAlign w:val="center"/>
          </w:tcPr>
          <w:p w14:paraId="79FC3433">
            <w:pPr>
              <w:snapToGrid w:val="0"/>
              <w:spacing w:line="300" w:lineRule="exact"/>
              <w:rPr>
                <w:b/>
                <w:bCs/>
                <w:color w:val="auto"/>
                <w:highlight w:val="none"/>
              </w:rPr>
            </w:pPr>
            <w:r>
              <w:rPr>
                <w:rFonts w:hint="eastAsia" w:ascii="宋体"/>
                <w:b/>
                <w:color w:val="auto"/>
                <w:szCs w:val="21"/>
                <w:highlight w:val="none"/>
              </w:rPr>
              <w:t>现场勘查：详见“第二章招标项目采购需求”。</w:t>
            </w:r>
          </w:p>
        </w:tc>
      </w:tr>
      <w:tr w14:paraId="52922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036B70C5">
            <w:pPr>
              <w:snapToGrid w:val="0"/>
              <w:spacing w:line="360" w:lineRule="exact"/>
              <w:jc w:val="center"/>
              <w:rPr>
                <w:rFonts w:ascii="宋体"/>
                <w:color w:val="auto"/>
                <w:szCs w:val="21"/>
                <w:highlight w:val="none"/>
              </w:rPr>
            </w:pPr>
            <w:r>
              <w:rPr>
                <w:rFonts w:hint="eastAsia" w:ascii="宋体"/>
                <w:color w:val="auto"/>
                <w:szCs w:val="21"/>
                <w:highlight w:val="none"/>
              </w:rPr>
              <w:t>5</w:t>
            </w:r>
          </w:p>
        </w:tc>
        <w:tc>
          <w:tcPr>
            <w:tcW w:w="8820" w:type="dxa"/>
            <w:tcBorders>
              <w:top w:val="single" w:color="auto" w:sz="4" w:space="0"/>
              <w:left w:val="single" w:color="auto" w:sz="4" w:space="0"/>
              <w:bottom w:val="single" w:color="auto" w:sz="4" w:space="0"/>
              <w:right w:val="single" w:color="auto" w:sz="4" w:space="0"/>
            </w:tcBorders>
            <w:vAlign w:val="center"/>
          </w:tcPr>
          <w:p w14:paraId="6F41C398">
            <w:pPr>
              <w:spacing w:line="300" w:lineRule="exact"/>
              <w:jc w:val="left"/>
              <w:rPr>
                <w:rFonts w:ascii="宋体"/>
                <w:color w:val="auto"/>
                <w:szCs w:val="21"/>
                <w:highlight w:val="none"/>
              </w:rPr>
            </w:pPr>
            <w:r>
              <w:rPr>
                <w:rFonts w:hint="eastAsia" w:ascii="宋体"/>
                <w:color w:val="auto"/>
                <w:szCs w:val="21"/>
                <w:highlight w:val="none"/>
              </w:rPr>
              <w:t>演示时间及地点：无</w:t>
            </w:r>
            <w:r>
              <w:rPr>
                <w:color w:val="auto"/>
                <w:highlight w:val="none"/>
              </w:rPr>
              <w:t>。</w:t>
            </w:r>
          </w:p>
        </w:tc>
      </w:tr>
      <w:tr w14:paraId="7AB330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5EC24DFB">
            <w:pPr>
              <w:snapToGrid w:val="0"/>
              <w:spacing w:line="360" w:lineRule="exact"/>
              <w:jc w:val="center"/>
              <w:rPr>
                <w:rFonts w:ascii="宋体"/>
                <w:color w:val="auto"/>
                <w:szCs w:val="21"/>
                <w:highlight w:val="none"/>
              </w:rPr>
            </w:pPr>
            <w:r>
              <w:rPr>
                <w:rFonts w:hint="eastAsia" w:ascii="宋体"/>
                <w:color w:val="auto"/>
                <w:szCs w:val="21"/>
                <w:highlight w:val="none"/>
              </w:rPr>
              <w:t>6</w:t>
            </w:r>
          </w:p>
        </w:tc>
        <w:tc>
          <w:tcPr>
            <w:tcW w:w="8820" w:type="dxa"/>
            <w:tcBorders>
              <w:top w:val="single" w:color="auto" w:sz="4" w:space="0"/>
              <w:left w:val="single" w:color="auto" w:sz="4" w:space="0"/>
              <w:bottom w:val="single" w:color="auto" w:sz="4" w:space="0"/>
              <w:right w:val="single" w:color="auto" w:sz="4" w:space="0"/>
            </w:tcBorders>
            <w:vAlign w:val="center"/>
          </w:tcPr>
          <w:p w14:paraId="787D63AF">
            <w:pPr>
              <w:snapToGrid w:val="0"/>
              <w:spacing w:line="300" w:lineRule="exact"/>
              <w:rPr>
                <w:color w:val="auto"/>
                <w:szCs w:val="21"/>
                <w:highlight w:val="none"/>
              </w:rPr>
            </w:pPr>
            <w:r>
              <w:rPr>
                <w:rFonts w:hint="eastAsia"/>
                <w:color w:val="auto"/>
                <w:szCs w:val="21"/>
                <w:highlight w:val="none"/>
              </w:rPr>
              <w:t>（1）答疑、澄清：</w:t>
            </w:r>
            <w:r>
              <w:rPr>
                <w:rFonts w:hint="eastAsia"/>
                <w:b/>
                <w:color w:val="auto"/>
                <w:szCs w:val="21"/>
                <w:highlight w:val="none"/>
                <w:u w:val="single"/>
              </w:rPr>
              <w:t>投标人如认为招标文件表述不清晰、</w:t>
            </w:r>
            <w:r>
              <w:rPr>
                <w:rFonts w:hint="eastAsia"/>
                <w:b/>
                <w:bCs/>
                <w:color w:val="auto"/>
                <w:highlight w:val="none"/>
                <w:u w:val="single"/>
              </w:rPr>
              <w:t>有误或有不合理要求的</w:t>
            </w:r>
            <w:r>
              <w:rPr>
                <w:rFonts w:hint="eastAsia"/>
                <w:color w:val="auto"/>
                <w:szCs w:val="21"/>
                <w:highlight w:val="none"/>
              </w:rPr>
              <w:t>，</w:t>
            </w:r>
            <w:r>
              <w:rPr>
                <w:color w:val="auto"/>
                <w:szCs w:val="21"/>
                <w:highlight w:val="none"/>
              </w:rPr>
              <w:t>应当以书面形式要求采购人或者本中心作出书面答疑、澄清</w:t>
            </w:r>
            <w:r>
              <w:rPr>
                <w:rFonts w:hint="eastAsia"/>
                <w:color w:val="auto"/>
                <w:szCs w:val="21"/>
                <w:highlight w:val="none"/>
              </w:rPr>
              <w:t>；</w:t>
            </w:r>
          </w:p>
          <w:p w14:paraId="2426F473">
            <w:pPr>
              <w:snapToGrid w:val="0"/>
              <w:spacing w:line="300" w:lineRule="exact"/>
              <w:rPr>
                <w:rFonts w:hAnsi="宋体"/>
                <w:color w:val="auto"/>
                <w:szCs w:val="21"/>
                <w:highlight w:val="none"/>
              </w:rPr>
            </w:pPr>
            <w:r>
              <w:rPr>
                <w:rFonts w:hint="eastAsia" w:hAnsi="宋体"/>
                <w:color w:val="auto"/>
                <w:szCs w:val="21"/>
                <w:highlight w:val="none"/>
              </w:rPr>
              <w:t>（2）询问、质疑：</w:t>
            </w:r>
            <w:r>
              <w:rPr>
                <w:rFonts w:hint="eastAsia" w:hAnsi="宋体"/>
                <w:b/>
                <w:color w:val="auto"/>
                <w:szCs w:val="21"/>
                <w:highlight w:val="none"/>
                <w:u w:val="single"/>
              </w:rPr>
              <w:t>如投标人认为招标文件存在歧视性、排他性或者其他违法内容的</w:t>
            </w:r>
            <w:r>
              <w:rPr>
                <w:rFonts w:hint="eastAsia" w:hAnsi="宋体"/>
                <w:color w:val="auto"/>
                <w:szCs w:val="21"/>
                <w:highlight w:val="none"/>
              </w:rPr>
              <w:t>，按投标人须知“一、总则（九）询问、质疑和投诉”中的要求向</w:t>
            </w:r>
            <w:r>
              <w:rPr>
                <w:rFonts w:ascii="宋体" w:hAnsi="宋体"/>
                <w:color w:val="auto"/>
                <w:szCs w:val="21"/>
                <w:highlight w:val="none"/>
              </w:rPr>
              <w:t>采购人或者采购代理机构</w:t>
            </w:r>
            <w:r>
              <w:rPr>
                <w:rFonts w:hint="eastAsia" w:hAnsi="宋体"/>
                <w:color w:val="auto"/>
                <w:szCs w:val="21"/>
                <w:highlight w:val="none"/>
              </w:rPr>
              <w:t>提出书面询问、质疑，并提供必要的证明材料。</w:t>
            </w:r>
          </w:p>
          <w:p w14:paraId="4891A525">
            <w:pPr>
              <w:snapToGrid w:val="0"/>
              <w:spacing w:line="300" w:lineRule="exact"/>
              <w:ind w:firstLine="420" w:firstLineChars="200"/>
              <w:rPr>
                <w:rFonts w:ascii="宋体"/>
                <w:color w:val="auto"/>
                <w:szCs w:val="21"/>
                <w:highlight w:val="none"/>
              </w:rPr>
            </w:pPr>
            <w:r>
              <w:rPr>
                <w:rFonts w:hint="eastAsia" w:hAnsi="宋体"/>
                <w:color w:val="auto"/>
                <w:szCs w:val="21"/>
                <w:highlight w:val="none"/>
              </w:rPr>
              <w:t>答疑、澄清内容是招标文件的组成部份，本中心将以书面形式送达所有已报名的投标人。</w:t>
            </w:r>
            <w:r>
              <w:rPr>
                <w:rFonts w:hint="eastAsia" w:hAnsi="宋体"/>
                <w:color w:val="auto"/>
                <w:highlight w:val="none"/>
              </w:rPr>
              <w:t>本中心可以视采购具体情况，延长招标文件或者资格预审文件提供期限，并在财政部门指定的政府采购信息发布媒体及本中心网站上发布公告。</w:t>
            </w:r>
          </w:p>
        </w:tc>
      </w:tr>
      <w:tr w14:paraId="3CC97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74370446">
            <w:pPr>
              <w:snapToGrid w:val="0"/>
              <w:spacing w:line="360" w:lineRule="exact"/>
              <w:jc w:val="center"/>
              <w:rPr>
                <w:rFonts w:ascii="宋体"/>
                <w:color w:val="auto"/>
                <w:szCs w:val="21"/>
                <w:highlight w:val="none"/>
              </w:rPr>
            </w:pPr>
            <w:r>
              <w:rPr>
                <w:rFonts w:hint="eastAsia" w:ascii="宋体"/>
                <w:color w:val="auto"/>
                <w:szCs w:val="21"/>
                <w:highlight w:val="none"/>
              </w:rPr>
              <w:t>7</w:t>
            </w:r>
          </w:p>
        </w:tc>
        <w:tc>
          <w:tcPr>
            <w:tcW w:w="8820" w:type="dxa"/>
            <w:tcBorders>
              <w:top w:val="single" w:color="auto" w:sz="4" w:space="0"/>
              <w:left w:val="single" w:color="auto" w:sz="4" w:space="0"/>
              <w:bottom w:val="single" w:color="auto" w:sz="4" w:space="0"/>
              <w:right w:val="single" w:color="auto" w:sz="4" w:space="0"/>
            </w:tcBorders>
            <w:vAlign w:val="center"/>
          </w:tcPr>
          <w:p w14:paraId="41D04BA4">
            <w:pPr>
              <w:spacing w:line="300" w:lineRule="exact"/>
              <w:rPr>
                <w:rFonts w:ascii="宋体"/>
                <w:snapToGrid w:val="0"/>
                <w:color w:val="auto"/>
                <w:sz w:val="22"/>
                <w:highlight w:val="none"/>
              </w:rPr>
            </w:pPr>
            <w:r>
              <w:rPr>
                <w:rFonts w:hint="eastAsia" w:ascii="宋体" w:hAnsi="宋体"/>
                <w:color w:val="auto"/>
                <w:szCs w:val="21"/>
                <w:highlight w:val="none"/>
              </w:rPr>
              <w:t>投标文件形式：</w:t>
            </w:r>
            <w:r>
              <w:rPr>
                <w:rFonts w:hint="eastAsia" w:ascii="宋体"/>
                <w:snapToGrid w:val="0"/>
                <w:color w:val="auto"/>
                <w:sz w:val="22"/>
                <w:highlight w:val="none"/>
              </w:rPr>
              <w:t>投标供应商应准备电子投标文件。</w:t>
            </w:r>
          </w:p>
          <w:p w14:paraId="75616617">
            <w:pPr>
              <w:autoSpaceDE w:val="0"/>
              <w:autoSpaceDN w:val="0"/>
              <w:snapToGrid w:val="0"/>
              <w:spacing w:line="300" w:lineRule="exact"/>
              <w:textAlignment w:val="bottom"/>
              <w:rPr>
                <w:rFonts w:ascii="宋体"/>
                <w:color w:val="auto"/>
                <w:szCs w:val="21"/>
                <w:highlight w:val="none"/>
              </w:rPr>
            </w:pPr>
            <w:r>
              <w:rPr>
                <w:rFonts w:hint="eastAsia" w:ascii="宋体"/>
                <w:snapToGrid w:val="0"/>
                <w:color w:val="auto"/>
                <w:sz w:val="22"/>
                <w:highlight w:val="none"/>
              </w:rPr>
              <w:t>电子投标文件是指通过“</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客户端”完成投标文件编制后生成并加密的数据电文形式的电子加密投标文件。</w:t>
            </w:r>
          </w:p>
        </w:tc>
      </w:tr>
      <w:tr w14:paraId="42A99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686794E1">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8</w:t>
            </w:r>
          </w:p>
        </w:tc>
        <w:tc>
          <w:tcPr>
            <w:tcW w:w="8820" w:type="dxa"/>
            <w:tcBorders>
              <w:top w:val="single" w:color="auto" w:sz="4" w:space="0"/>
              <w:left w:val="single" w:color="auto" w:sz="4" w:space="0"/>
              <w:bottom w:val="single" w:color="auto" w:sz="4" w:space="0"/>
              <w:right w:val="single" w:color="auto" w:sz="4" w:space="0"/>
            </w:tcBorders>
            <w:vAlign w:val="center"/>
          </w:tcPr>
          <w:p w14:paraId="547F8CA6">
            <w:pPr>
              <w:spacing w:line="300" w:lineRule="exact"/>
              <w:rPr>
                <w:rFonts w:ascii="宋体" w:hAnsi="宋体"/>
                <w:color w:val="auto"/>
                <w:szCs w:val="21"/>
                <w:highlight w:val="none"/>
              </w:rPr>
            </w:pPr>
            <w:r>
              <w:rPr>
                <w:rFonts w:hint="eastAsia" w:ascii="宋体"/>
                <w:snapToGrid w:val="0"/>
                <w:color w:val="auto"/>
                <w:sz w:val="22"/>
                <w:highlight w:val="none"/>
              </w:rPr>
              <w:t>投标文件的编制：供应商应先安装“</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客户端”，并按照本招标文件和“</w:t>
            </w:r>
            <w:r>
              <w:rPr>
                <w:rFonts w:ascii="宋体"/>
                <w:snapToGrid w:val="0"/>
                <w:color w:val="auto"/>
                <w:sz w:val="22"/>
                <w:highlight w:val="none"/>
                <w:lang w:val="en"/>
              </w:rPr>
              <w:t>广西政府采购云平台</w:t>
            </w:r>
            <w:r>
              <w:rPr>
                <w:rFonts w:hint="eastAsia" w:ascii="宋体"/>
                <w:snapToGrid w:val="0"/>
                <w:color w:val="auto"/>
                <w:sz w:val="22"/>
                <w:highlight w:val="none"/>
              </w:rPr>
              <w:t>”的要求，通过“</w:t>
            </w:r>
            <w:r>
              <w:rPr>
                <w:rFonts w:ascii="宋体"/>
                <w:snapToGrid w:val="0"/>
                <w:color w:val="auto"/>
                <w:sz w:val="22"/>
                <w:highlight w:val="none"/>
                <w:lang w:val="en"/>
              </w:rPr>
              <w:t>广西政府采购云</w:t>
            </w:r>
            <w:r>
              <w:rPr>
                <w:color w:val="auto"/>
                <w:highlight w:val="none"/>
              </w:rPr>
              <w:t>电子投标</w:t>
            </w:r>
            <w:r>
              <w:rPr>
                <w:rFonts w:hint="eastAsia" w:ascii="宋体"/>
                <w:snapToGrid w:val="0"/>
                <w:color w:val="auto"/>
                <w:sz w:val="22"/>
                <w:highlight w:val="none"/>
              </w:rPr>
              <w:t>客户端”编制并加密投标文件。</w:t>
            </w:r>
          </w:p>
        </w:tc>
      </w:tr>
      <w:tr w14:paraId="2CB99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5E593A55">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9</w:t>
            </w:r>
          </w:p>
        </w:tc>
        <w:tc>
          <w:tcPr>
            <w:tcW w:w="8820" w:type="dxa"/>
            <w:tcBorders>
              <w:top w:val="single" w:color="auto" w:sz="4" w:space="0"/>
              <w:left w:val="single" w:color="auto" w:sz="4" w:space="0"/>
              <w:bottom w:val="single" w:color="auto" w:sz="4" w:space="0"/>
              <w:right w:val="single" w:color="auto" w:sz="4" w:space="0"/>
            </w:tcBorders>
            <w:vAlign w:val="center"/>
          </w:tcPr>
          <w:p w14:paraId="294621ED">
            <w:pPr>
              <w:spacing w:line="300" w:lineRule="exact"/>
              <w:rPr>
                <w:rFonts w:ascii="宋体"/>
                <w:snapToGrid w:val="0"/>
                <w:color w:val="auto"/>
                <w:sz w:val="22"/>
                <w:highlight w:val="none"/>
              </w:rPr>
            </w:pPr>
            <w:r>
              <w:rPr>
                <w:rFonts w:hint="eastAsia" w:ascii="宋体"/>
                <w:snapToGrid w:val="0"/>
                <w:color w:val="auto"/>
                <w:sz w:val="22"/>
                <w:highlight w:val="none"/>
              </w:rPr>
              <w:t>投标文件的盖章：投标文件中所涉及的加盖公章均采用CA电子签章。</w:t>
            </w:r>
          </w:p>
        </w:tc>
      </w:tr>
      <w:tr w14:paraId="107EF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73EAD64B">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10</w:t>
            </w:r>
          </w:p>
        </w:tc>
        <w:tc>
          <w:tcPr>
            <w:tcW w:w="8820" w:type="dxa"/>
            <w:tcBorders>
              <w:top w:val="single" w:color="auto" w:sz="4" w:space="0"/>
              <w:left w:val="single" w:color="auto" w:sz="4" w:space="0"/>
              <w:bottom w:val="single" w:color="auto" w:sz="4" w:space="0"/>
              <w:right w:val="single" w:color="auto" w:sz="4" w:space="0"/>
            </w:tcBorders>
            <w:vAlign w:val="center"/>
          </w:tcPr>
          <w:p w14:paraId="2CCFAD6D">
            <w:pPr>
              <w:spacing w:line="300" w:lineRule="exact"/>
              <w:rPr>
                <w:rFonts w:ascii="宋体"/>
                <w:snapToGrid w:val="0"/>
                <w:color w:val="auto"/>
                <w:sz w:val="22"/>
                <w:highlight w:val="none"/>
              </w:rPr>
            </w:pPr>
            <w:r>
              <w:rPr>
                <w:rFonts w:hint="eastAsia" w:ascii="宋体"/>
                <w:snapToGrid w:val="0"/>
                <w:color w:val="auto"/>
                <w:sz w:val="22"/>
                <w:highlight w:val="none"/>
              </w:rPr>
              <w:t>法定代表人或其</w:t>
            </w:r>
            <w:r>
              <w:rPr>
                <w:rFonts w:ascii="宋体"/>
                <w:snapToGrid w:val="0"/>
                <w:color w:val="auto"/>
                <w:sz w:val="22"/>
                <w:highlight w:val="none"/>
                <w:lang w:val="en"/>
              </w:rPr>
              <w:t>委托代理人</w:t>
            </w:r>
            <w:r>
              <w:rPr>
                <w:rFonts w:hint="eastAsia" w:ascii="宋体"/>
                <w:snapToGrid w:val="0"/>
                <w:color w:val="auto"/>
                <w:sz w:val="22"/>
                <w:highlight w:val="none"/>
              </w:rPr>
              <w:t>签字或签章：本招标文件所涉及的法定代表人或其</w:t>
            </w:r>
            <w:r>
              <w:rPr>
                <w:rFonts w:ascii="宋体"/>
                <w:snapToGrid w:val="0"/>
                <w:color w:val="auto"/>
                <w:sz w:val="22"/>
                <w:highlight w:val="none"/>
                <w:lang w:val="en"/>
              </w:rPr>
              <w:t>委托代理人</w:t>
            </w:r>
            <w:r>
              <w:rPr>
                <w:rFonts w:hint="eastAsia" w:ascii="宋体"/>
                <w:snapToGrid w:val="0"/>
                <w:color w:val="auto"/>
                <w:sz w:val="22"/>
                <w:highlight w:val="none"/>
              </w:rPr>
              <w:t>签字或签章的内容，如果投标单位没有法定代表人电子签章，涉及到法定代表人或其</w:t>
            </w:r>
            <w:r>
              <w:rPr>
                <w:rFonts w:ascii="宋体"/>
                <w:snapToGrid w:val="0"/>
                <w:color w:val="auto"/>
                <w:sz w:val="22"/>
                <w:highlight w:val="none"/>
                <w:lang w:val="en"/>
              </w:rPr>
              <w:t>委托代理人</w:t>
            </w:r>
            <w:r>
              <w:rPr>
                <w:rFonts w:hint="eastAsia" w:ascii="宋体"/>
                <w:snapToGrid w:val="0"/>
                <w:color w:val="auto"/>
                <w:sz w:val="22"/>
                <w:highlight w:val="none"/>
              </w:rPr>
              <w:t>签字或签章的内容，投标单位可以线下签字或签章后扫描上传。</w:t>
            </w:r>
          </w:p>
        </w:tc>
      </w:tr>
      <w:tr w14:paraId="2A7C93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2F597521">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11</w:t>
            </w:r>
          </w:p>
        </w:tc>
        <w:tc>
          <w:tcPr>
            <w:tcW w:w="8820" w:type="dxa"/>
            <w:tcBorders>
              <w:top w:val="single" w:color="auto" w:sz="4" w:space="0"/>
              <w:left w:val="single" w:color="auto" w:sz="4" w:space="0"/>
              <w:bottom w:val="single" w:color="auto" w:sz="4" w:space="0"/>
              <w:right w:val="single" w:color="auto" w:sz="4" w:space="0"/>
            </w:tcBorders>
            <w:vAlign w:val="center"/>
          </w:tcPr>
          <w:p w14:paraId="62C4E703">
            <w:pPr>
              <w:spacing w:line="300" w:lineRule="exact"/>
              <w:rPr>
                <w:rFonts w:ascii="宋体"/>
                <w:snapToGrid w:val="0"/>
                <w:color w:val="auto"/>
                <w:sz w:val="22"/>
                <w:highlight w:val="none"/>
              </w:rPr>
            </w:pPr>
            <w:r>
              <w:rPr>
                <w:rFonts w:hint="eastAsia" w:ascii="宋体"/>
                <w:snapToGrid w:val="0"/>
                <w:color w:val="auto"/>
                <w:sz w:val="22"/>
                <w:highlight w:val="none"/>
              </w:rPr>
              <w:t>投标文件份数：电子加密投标文件在线上传提交一份。</w:t>
            </w:r>
          </w:p>
        </w:tc>
      </w:tr>
      <w:tr w14:paraId="1AFD34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4E703D99">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12</w:t>
            </w:r>
          </w:p>
        </w:tc>
        <w:tc>
          <w:tcPr>
            <w:tcW w:w="8820" w:type="dxa"/>
            <w:tcBorders>
              <w:top w:val="single" w:color="auto" w:sz="4" w:space="0"/>
              <w:left w:val="single" w:color="auto" w:sz="4" w:space="0"/>
              <w:bottom w:val="single" w:color="auto" w:sz="4" w:space="0"/>
              <w:right w:val="single" w:color="auto" w:sz="4" w:space="0"/>
            </w:tcBorders>
            <w:vAlign w:val="center"/>
          </w:tcPr>
          <w:p w14:paraId="6C4D57D0">
            <w:pPr>
              <w:spacing w:line="300" w:lineRule="exact"/>
              <w:rPr>
                <w:rFonts w:ascii="宋体"/>
                <w:snapToGrid w:val="0"/>
                <w:color w:val="auto"/>
                <w:sz w:val="22"/>
                <w:highlight w:val="none"/>
              </w:rPr>
            </w:pPr>
            <w:r>
              <w:rPr>
                <w:rFonts w:hint="eastAsia" w:ascii="宋体"/>
                <w:snapToGrid w:val="0"/>
                <w:color w:val="auto"/>
                <w:sz w:val="22"/>
                <w:highlight w:val="none"/>
              </w:rPr>
              <w:t>投标文件的上传和提交：本项目通过“</w:t>
            </w:r>
            <w:r>
              <w:rPr>
                <w:rFonts w:ascii="宋体"/>
                <w:snapToGrid w:val="0"/>
                <w:color w:val="auto"/>
                <w:sz w:val="22"/>
                <w:highlight w:val="none"/>
                <w:lang w:val="en"/>
              </w:rPr>
              <w:t>广西政府采购云平台（http://www.gcy.zfcg.gxzf.gov.cn）</w:t>
            </w:r>
            <w:r>
              <w:rPr>
                <w:rFonts w:ascii="宋体"/>
                <w:snapToGrid w:val="0"/>
                <w:color w:val="auto"/>
                <w:sz w:val="22"/>
                <w:highlight w:val="none"/>
              </w:rPr>
              <w:t>”实行在线投标响应（电子投标），投标供应商应当在投标截止时间前，将生成的“电子加密投标文件”上传提交至“</w:t>
            </w:r>
            <w:r>
              <w:rPr>
                <w:rFonts w:hint="eastAsia" w:ascii="宋体"/>
                <w:snapToGrid w:val="0"/>
                <w:color w:val="auto"/>
                <w:sz w:val="22"/>
                <w:highlight w:val="none"/>
              </w:rPr>
              <w:t>广西政府采购云平台</w:t>
            </w:r>
            <w:r>
              <w:rPr>
                <w:rFonts w:ascii="宋体"/>
                <w:snapToGrid w:val="0"/>
                <w:color w:val="auto"/>
                <w:sz w:val="22"/>
                <w:highlight w:val="none"/>
              </w:rPr>
              <w:t>”。</w:t>
            </w:r>
          </w:p>
          <w:p w14:paraId="230418F2">
            <w:pPr>
              <w:spacing w:line="300" w:lineRule="exact"/>
              <w:rPr>
                <w:rFonts w:ascii="宋体"/>
                <w:snapToGrid w:val="0"/>
                <w:color w:val="auto"/>
                <w:sz w:val="22"/>
                <w:highlight w:val="none"/>
              </w:rPr>
            </w:pPr>
            <w:r>
              <w:rPr>
                <w:rFonts w:hint="eastAsia" w:ascii="宋体"/>
                <w:snapToGrid w:val="0"/>
                <w:color w:val="auto"/>
                <w:sz w:val="22"/>
                <w:highlight w:val="none"/>
              </w:rPr>
              <w:t>“电子加密投标文件”的上传、提交：</w:t>
            </w:r>
          </w:p>
          <w:p w14:paraId="1DBD4962">
            <w:pPr>
              <w:spacing w:line="300" w:lineRule="exact"/>
              <w:rPr>
                <w:rFonts w:ascii="宋体"/>
                <w:snapToGrid w:val="0"/>
                <w:color w:val="auto"/>
                <w:sz w:val="22"/>
                <w:highlight w:val="none"/>
              </w:rPr>
            </w:pPr>
            <w:r>
              <w:rPr>
                <w:rFonts w:hint="eastAsia" w:ascii="宋体"/>
                <w:snapToGrid w:val="0"/>
                <w:color w:val="auto"/>
                <w:sz w:val="22"/>
                <w:highlight w:val="none"/>
              </w:rPr>
              <w:t>a.投标供应商应在投标截止时间前将“电子加密投标文件”成功上传提交至“广西政府采购云平台”，否则投标无效。</w:t>
            </w:r>
          </w:p>
          <w:p w14:paraId="7CBE52E4">
            <w:pPr>
              <w:spacing w:line="300" w:lineRule="exact"/>
              <w:rPr>
                <w:rFonts w:ascii="宋体"/>
                <w:snapToGrid w:val="0"/>
                <w:color w:val="auto"/>
                <w:sz w:val="22"/>
                <w:highlight w:val="none"/>
              </w:rPr>
            </w:pPr>
            <w:r>
              <w:rPr>
                <w:rFonts w:hint="eastAsia" w:ascii="宋体"/>
                <w:snapToGrid w:val="0"/>
                <w:color w:val="auto"/>
                <w:sz w:val="22"/>
                <w:highlight w:val="none"/>
              </w:rPr>
              <w:t>b.“电子加密投标文件”成功上传提交后，供应商可自行打印投标文件接收回执。</w:t>
            </w:r>
          </w:p>
        </w:tc>
      </w:tr>
      <w:tr w14:paraId="66542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8" w:type="dxa"/>
            <w:tcBorders>
              <w:top w:val="single" w:color="auto" w:sz="4" w:space="0"/>
              <w:left w:val="single" w:color="auto" w:sz="4" w:space="0"/>
              <w:bottom w:val="single" w:color="auto" w:sz="4" w:space="0"/>
              <w:right w:val="single" w:color="auto" w:sz="4" w:space="0"/>
            </w:tcBorders>
            <w:vAlign w:val="center"/>
          </w:tcPr>
          <w:p w14:paraId="4D427751">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13</w:t>
            </w:r>
          </w:p>
        </w:tc>
        <w:tc>
          <w:tcPr>
            <w:tcW w:w="8820" w:type="dxa"/>
            <w:tcBorders>
              <w:top w:val="single" w:color="auto" w:sz="4" w:space="0"/>
              <w:left w:val="single" w:color="auto" w:sz="4" w:space="0"/>
              <w:bottom w:val="single" w:color="auto" w:sz="4" w:space="0"/>
              <w:right w:val="single" w:color="auto" w:sz="4" w:space="0"/>
            </w:tcBorders>
            <w:vAlign w:val="center"/>
          </w:tcPr>
          <w:p w14:paraId="568D83AA">
            <w:pPr>
              <w:spacing w:line="300" w:lineRule="exact"/>
              <w:rPr>
                <w:rFonts w:ascii="宋体"/>
                <w:snapToGrid w:val="0"/>
                <w:color w:val="auto"/>
                <w:sz w:val="22"/>
                <w:highlight w:val="none"/>
              </w:rPr>
            </w:pPr>
            <w:r>
              <w:rPr>
                <w:rFonts w:hint="eastAsia" w:ascii="宋体"/>
                <w:snapToGrid w:val="0"/>
                <w:color w:val="auto"/>
                <w:sz w:val="22"/>
                <w:highlight w:val="none"/>
              </w:rPr>
              <w:t>电子加密投标文件的解密：</w:t>
            </w:r>
          </w:p>
          <w:p w14:paraId="43716530">
            <w:pPr>
              <w:spacing w:line="300" w:lineRule="exact"/>
              <w:rPr>
                <w:rFonts w:ascii="宋体"/>
                <w:snapToGrid w:val="0"/>
                <w:color w:val="auto"/>
                <w:sz w:val="22"/>
                <w:highlight w:val="none"/>
              </w:rPr>
            </w:pPr>
            <w:r>
              <w:rPr>
                <w:rFonts w:hint="eastAsia" w:ascii="宋体"/>
                <w:snapToGrid w:val="0"/>
                <w:color w:val="auto"/>
                <w:sz w:val="22"/>
                <w:highlight w:val="none"/>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14:paraId="4E82AF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3CE8E5BC">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14</w:t>
            </w:r>
          </w:p>
        </w:tc>
        <w:tc>
          <w:tcPr>
            <w:tcW w:w="8820" w:type="dxa"/>
            <w:tcBorders>
              <w:top w:val="single" w:color="auto" w:sz="4" w:space="0"/>
              <w:left w:val="single" w:color="auto" w:sz="4" w:space="0"/>
              <w:bottom w:val="single" w:color="auto" w:sz="4" w:space="0"/>
              <w:right w:val="single" w:color="auto" w:sz="4" w:space="0"/>
            </w:tcBorders>
            <w:vAlign w:val="center"/>
          </w:tcPr>
          <w:p w14:paraId="4A09A8EE">
            <w:pPr>
              <w:snapToGrid w:val="0"/>
              <w:spacing w:line="300" w:lineRule="exact"/>
              <w:rPr>
                <w:rFonts w:ascii="宋体" w:hAnsi="宋体"/>
                <w:color w:val="auto"/>
                <w:szCs w:val="21"/>
                <w:highlight w:val="none"/>
              </w:rPr>
            </w:pPr>
            <w:r>
              <w:rPr>
                <w:rFonts w:hint="eastAsia" w:ascii="宋体" w:hAnsi="宋体"/>
                <w:color w:val="auto"/>
                <w:szCs w:val="21"/>
                <w:highlight w:val="none"/>
              </w:rPr>
              <w:t>投标截止时间及地点：</w:t>
            </w:r>
            <w:r>
              <w:rPr>
                <w:rFonts w:hint="eastAsia"/>
                <w:color w:val="auto"/>
                <w:highlight w:val="none"/>
              </w:rPr>
              <w:t xml:space="preserve"> </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5</w:t>
            </w:r>
            <w:r>
              <w:rPr>
                <w:b/>
                <w:bCs/>
                <w:color w:val="auto"/>
                <w:highlight w:val="none"/>
                <w:lang w:val="en"/>
              </w:rPr>
              <w:t>月</w:t>
            </w:r>
            <w:r>
              <w:rPr>
                <w:rFonts w:hint="eastAsia"/>
                <w:b/>
                <w:bCs/>
                <w:color w:val="auto"/>
                <w:highlight w:val="none"/>
                <w:lang w:val="en-US" w:eastAsia="zh-CN"/>
              </w:rPr>
              <w:t>2</w:t>
            </w:r>
            <w:r>
              <w:rPr>
                <w:rFonts w:hint="default"/>
                <w:b/>
                <w:bCs/>
                <w:color w:val="auto"/>
                <w:highlight w:val="none"/>
                <w:lang w:val="en" w:eastAsia="zh-CN"/>
              </w:rPr>
              <w:t>7</w:t>
            </w:r>
            <w:r>
              <w:rPr>
                <w:b/>
                <w:bCs/>
                <w:color w:val="auto"/>
                <w:highlight w:val="none"/>
                <w:lang w:val="en"/>
              </w:rPr>
              <w:t>日</w:t>
            </w:r>
            <w:r>
              <w:rPr>
                <w:rFonts w:hint="eastAsia"/>
                <w:b/>
                <w:color w:val="auto"/>
                <w:highlight w:val="none"/>
              </w:rPr>
              <w:t>上午10时整，</w:t>
            </w:r>
            <w:r>
              <w:rPr>
                <w:rFonts w:ascii="宋体" w:hAnsi="宋体" w:cs="Arial"/>
                <w:b/>
                <w:color w:val="auto"/>
                <w:szCs w:val="21"/>
                <w:highlight w:val="none"/>
                <w:u w:val="single"/>
                <w:lang w:val="en"/>
              </w:rPr>
              <w:t>南宁市星湖路22号</w:t>
            </w:r>
            <w:r>
              <w:rPr>
                <w:rFonts w:hint="eastAsia" w:ascii="宋体" w:hAnsi="宋体" w:cs="Arial"/>
                <w:b/>
                <w:color w:val="auto"/>
                <w:szCs w:val="21"/>
                <w:highlight w:val="none"/>
                <w:u w:val="single"/>
              </w:rPr>
              <w:t>广西壮族自治区政府采购中心开标大厅</w:t>
            </w:r>
            <w:r>
              <w:rPr>
                <w:rFonts w:hint="eastAsia"/>
                <w:b/>
                <w:color w:val="auto"/>
                <w:highlight w:val="none"/>
                <w:u w:val="single"/>
              </w:rPr>
              <w:t>。</w:t>
            </w:r>
            <w:r>
              <w:rPr>
                <w:rFonts w:hint="eastAsia"/>
                <w:b/>
                <w:color w:val="auto"/>
                <w:highlight w:val="none"/>
              </w:rPr>
              <w:t>（</w:t>
            </w:r>
            <w:r>
              <w:rPr>
                <w:rFonts w:hint="eastAsia" w:ascii="宋体"/>
                <w:color w:val="auto"/>
                <w:sz w:val="22"/>
                <w:highlight w:val="none"/>
              </w:rPr>
              <w:t>本项目采用在线开评标方式，投标供应商无须前往开标现场</w:t>
            </w:r>
            <w:r>
              <w:rPr>
                <w:rFonts w:hint="eastAsia"/>
                <w:b/>
                <w:color w:val="auto"/>
                <w:highlight w:val="none"/>
              </w:rPr>
              <w:t>）</w:t>
            </w:r>
          </w:p>
        </w:tc>
      </w:tr>
      <w:tr w14:paraId="6E27E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38534D31">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15</w:t>
            </w:r>
          </w:p>
        </w:tc>
        <w:tc>
          <w:tcPr>
            <w:tcW w:w="8820" w:type="dxa"/>
            <w:tcBorders>
              <w:top w:val="single" w:color="auto" w:sz="4" w:space="0"/>
              <w:left w:val="single" w:color="auto" w:sz="4" w:space="0"/>
              <w:bottom w:val="single" w:color="auto" w:sz="4" w:space="0"/>
              <w:right w:val="single" w:color="auto" w:sz="4" w:space="0"/>
            </w:tcBorders>
            <w:vAlign w:val="center"/>
          </w:tcPr>
          <w:p w14:paraId="4BA768F0">
            <w:pPr>
              <w:snapToGrid w:val="0"/>
              <w:spacing w:line="300" w:lineRule="exact"/>
              <w:rPr>
                <w:rFonts w:ascii="宋体" w:hAnsi="宋体"/>
                <w:color w:val="auto"/>
                <w:szCs w:val="21"/>
                <w:highlight w:val="none"/>
              </w:rPr>
            </w:pPr>
            <w:r>
              <w:rPr>
                <w:rFonts w:hint="eastAsia" w:ascii="宋体" w:hAnsi="宋体"/>
                <w:color w:val="auto"/>
                <w:szCs w:val="21"/>
                <w:highlight w:val="none"/>
              </w:rPr>
              <w:t>开标时间及地点：</w:t>
            </w:r>
            <w:r>
              <w:rPr>
                <w:rFonts w:hint="eastAsia"/>
                <w:b/>
                <w:bCs/>
                <w:color w:val="auto"/>
                <w:highlight w:val="none"/>
              </w:rPr>
              <w:t xml:space="preserve"> </w:t>
            </w:r>
            <w:r>
              <w:rPr>
                <w:b/>
                <w:bCs/>
                <w:color w:val="auto"/>
                <w:highlight w:val="none"/>
                <w:lang w:val="en"/>
              </w:rPr>
              <w:t>202</w:t>
            </w:r>
            <w:r>
              <w:rPr>
                <w:rFonts w:hint="eastAsia"/>
                <w:b/>
                <w:bCs/>
                <w:color w:val="auto"/>
                <w:highlight w:val="none"/>
              </w:rPr>
              <w:t>6</w:t>
            </w:r>
            <w:r>
              <w:rPr>
                <w:b/>
                <w:bCs/>
                <w:color w:val="auto"/>
                <w:highlight w:val="none"/>
                <w:lang w:val="en"/>
              </w:rPr>
              <w:t>年</w:t>
            </w:r>
            <w:r>
              <w:rPr>
                <w:rFonts w:hint="eastAsia"/>
                <w:b/>
                <w:bCs/>
                <w:color w:val="auto"/>
                <w:highlight w:val="none"/>
                <w:lang w:val="en-US" w:eastAsia="zh-CN"/>
              </w:rPr>
              <w:t>5</w:t>
            </w:r>
            <w:r>
              <w:rPr>
                <w:b/>
                <w:bCs/>
                <w:color w:val="auto"/>
                <w:highlight w:val="none"/>
                <w:lang w:val="en"/>
              </w:rPr>
              <w:t>月</w:t>
            </w:r>
            <w:r>
              <w:rPr>
                <w:rFonts w:hint="eastAsia"/>
                <w:b/>
                <w:bCs/>
                <w:color w:val="auto"/>
                <w:highlight w:val="none"/>
                <w:lang w:val="en-US" w:eastAsia="zh-CN"/>
              </w:rPr>
              <w:t>2</w:t>
            </w:r>
            <w:r>
              <w:rPr>
                <w:rFonts w:hint="default"/>
                <w:b/>
                <w:bCs/>
                <w:color w:val="auto"/>
                <w:highlight w:val="none"/>
                <w:lang w:val="en" w:eastAsia="zh-CN"/>
              </w:rPr>
              <w:t>7</w:t>
            </w:r>
            <w:r>
              <w:rPr>
                <w:b/>
                <w:bCs/>
                <w:color w:val="auto"/>
                <w:highlight w:val="none"/>
                <w:lang w:val="en"/>
              </w:rPr>
              <w:t>日</w:t>
            </w:r>
            <w:r>
              <w:rPr>
                <w:rFonts w:hint="eastAsia"/>
                <w:b/>
                <w:color w:val="auto"/>
                <w:highlight w:val="none"/>
              </w:rPr>
              <w:t>上午10时整，</w:t>
            </w:r>
            <w:r>
              <w:rPr>
                <w:rFonts w:ascii="宋体" w:hAnsi="宋体" w:cs="Arial"/>
                <w:b/>
                <w:color w:val="auto"/>
                <w:szCs w:val="21"/>
                <w:highlight w:val="none"/>
                <w:u w:val="single"/>
                <w:lang w:val="en"/>
              </w:rPr>
              <w:t>南宁市星湖路22号</w:t>
            </w:r>
            <w:r>
              <w:rPr>
                <w:rFonts w:hint="eastAsia" w:ascii="宋体" w:hAnsi="宋体" w:cs="Arial"/>
                <w:b/>
                <w:color w:val="auto"/>
                <w:szCs w:val="21"/>
                <w:highlight w:val="none"/>
                <w:u w:val="single"/>
              </w:rPr>
              <w:t>广西壮族自治区政府采购中心开标大厅</w:t>
            </w:r>
            <w:r>
              <w:rPr>
                <w:rFonts w:hint="eastAsia"/>
                <w:b/>
                <w:color w:val="auto"/>
                <w:highlight w:val="none"/>
                <w:u w:val="single"/>
              </w:rPr>
              <w:t>。</w:t>
            </w:r>
            <w:r>
              <w:rPr>
                <w:rFonts w:hint="eastAsia"/>
                <w:b/>
                <w:color w:val="auto"/>
                <w:highlight w:val="none"/>
              </w:rPr>
              <w:t>（</w:t>
            </w:r>
            <w:r>
              <w:rPr>
                <w:rFonts w:hint="eastAsia" w:ascii="宋体"/>
                <w:color w:val="auto"/>
                <w:sz w:val="22"/>
                <w:highlight w:val="none"/>
              </w:rPr>
              <w:t>本项目采用在线开评标方式，投标供应商无须前往开标现场</w:t>
            </w:r>
            <w:r>
              <w:rPr>
                <w:rFonts w:hint="eastAsia"/>
                <w:b/>
                <w:color w:val="auto"/>
                <w:highlight w:val="none"/>
              </w:rPr>
              <w:t>）</w:t>
            </w:r>
          </w:p>
        </w:tc>
      </w:tr>
      <w:tr w14:paraId="508EA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51585627">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16</w:t>
            </w:r>
          </w:p>
        </w:tc>
        <w:tc>
          <w:tcPr>
            <w:tcW w:w="8820" w:type="dxa"/>
            <w:tcBorders>
              <w:top w:val="single" w:color="auto" w:sz="4" w:space="0"/>
              <w:left w:val="single" w:color="auto" w:sz="4" w:space="0"/>
              <w:bottom w:val="single" w:color="auto" w:sz="4" w:space="0"/>
              <w:right w:val="single" w:color="auto" w:sz="4" w:space="0"/>
            </w:tcBorders>
            <w:vAlign w:val="center"/>
          </w:tcPr>
          <w:p w14:paraId="59358883">
            <w:pPr>
              <w:autoSpaceDE w:val="0"/>
              <w:autoSpaceDN w:val="0"/>
              <w:snapToGrid w:val="0"/>
              <w:spacing w:line="360" w:lineRule="exact"/>
              <w:textAlignment w:val="bottom"/>
              <w:rPr>
                <w:rFonts w:ascii="宋体" w:hAnsi="宋体"/>
                <w:color w:val="auto"/>
                <w:szCs w:val="21"/>
                <w:highlight w:val="none"/>
              </w:rPr>
            </w:pPr>
            <w:r>
              <w:rPr>
                <w:rFonts w:ascii="宋体" w:hAnsi="宋体"/>
                <w:b/>
                <w:bCs/>
                <w:color w:val="auto"/>
                <w:szCs w:val="21"/>
                <w:highlight w:val="none"/>
                <w:lang w:val="en"/>
              </w:rPr>
              <w:t>评标</w:t>
            </w:r>
            <w:r>
              <w:rPr>
                <w:rFonts w:hint="eastAsia" w:ascii="宋体" w:hAnsi="宋体"/>
                <w:b/>
                <w:bCs/>
                <w:color w:val="auto"/>
                <w:szCs w:val="21"/>
                <w:highlight w:val="none"/>
                <w:lang w:val="en"/>
              </w:rPr>
              <w:t>方</w:t>
            </w:r>
            <w:r>
              <w:rPr>
                <w:rFonts w:ascii="宋体" w:hAnsi="宋体"/>
                <w:b/>
                <w:bCs/>
                <w:color w:val="auto"/>
                <w:szCs w:val="21"/>
                <w:highlight w:val="none"/>
                <w:lang w:val="en"/>
              </w:rPr>
              <w:t>法</w:t>
            </w:r>
            <w:r>
              <w:rPr>
                <w:rFonts w:hint="eastAsia" w:ascii="宋体" w:hAnsi="宋体"/>
                <w:b/>
                <w:bCs/>
                <w:color w:val="auto"/>
                <w:szCs w:val="21"/>
                <w:highlight w:val="none"/>
              </w:rPr>
              <w:t>：综合评分法</w:t>
            </w:r>
          </w:p>
        </w:tc>
      </w:tr>
      <w:tr w14:paraId="7A081B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1E2C53A5">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17</w:t>
            </w:r>
          </w:p>
        </w:tc>
        <w:tc>
          <w:tcPr>
            <w:tcW w:w="8820" w:type="dxa"/>
            <w:tcBorders>
              <w:top w:val="single" w:color="auto" w:sz="4" w:space="0"/>
              <w:left w:val="single" w:color="auto" w:sz="4" w:space="0"/>
              <w:bottom w:val="single" w:color="auto" w:sz="4" w:space="0"/>
              <w:right w:val="single" w:color="auto" w:sz="4" w:space="0"/>
            </w:tcBorders>
            <w:vAlign w:val="center"/>
          </w:tcPr>
          <w:p w14:paraId="4FD71BD8">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中标公告及中标通知书：本中心在采购人依法确认中标人后二个工作日内发布中标公告和中标通知书，中标公告发布于上述媒体</w:t>
            </w:r>
            <w:r>
              <w:rPr>
                <w:rFonts w:hint="eastAsia" w:ascii="宋体" w:hAnsi="宋体" w:cs="Courier New"/>
                <w:color w:val="auto"/>
                <w:szCs w:val="21"/>
                <w:highlight w:val="none"/>
              </w:rPr>
              <w:t>（详细见公告中公布的网站）</w:t>
            </w:r>
            <w:r>
              <w:rPr>
                <w:rFonts w:hint="eastAsia" w:ascii="宋体" w:hAnsi="宋体"/>
                <w:color w:val="auto"/>
                <w:szCs w:val="21"/>
                <w:highlight w:val="none"/>
              </w:rPr>
              <w:t>。</w:t>
            </w:r>
          </w:p>
        </w:tc>
      </w:tr>
      <w:tr w14:paraId="635E14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059A7F10">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18</w:t>
            </w:r>
          </w:p>
        </w:tc>
        <w:tc>
          <w:tcPr>
            <w:tcW w:w="8820" w:type="dxa"/>
            <w:tcBorders>
              <w:top w:val="single" w:color="auto" w:sz="4" w:space="0"/>
              <w:left w:val="single" w:color="auto" w:sz="4" w:space="0"/>
              <w:bottom w:val="single" w:color="auto" w:sz="4" w:space="0"/>
              <w:right w:val="single" w:color="auto" w:sz="4" w:space="0"/>
            </w:tcBorders>
            <w:vAlign w:val="center"/>
          </w:tcPr>
          <w:p w14:paraId="3DB68F2F">
            <w:pPr>
              <w:autoSpaceDE w:val="0"/>
              <w:autoSpaceDN w:val="0"/>
              <w:snapToGrid w:val="0"/>
              <w:spacing w:line="320" w:lineRule="exact"/>
              <w:textAlignment w:val="bottom"/>
              <w:rPr>
                <w:rFonts w:ascii="宋体" w:hAnsi="宋体"/>
                <w:color w:val="auto"/>
                <w:szCs w:val="21"/>
                <w:highlight w:val="none"/>
              </w:rPr>
            </w:pPr>
            <w:r>
              <w:rPr>
                <w:rFonts w:hint="eastAsia" w:ascii="宋体" w:hAnsi="宋体"/>
                <w:color w:val="auto"/>
                <w:szCs w:val="21"/>
                <w:highlight w:val="none"/>
              </w:rPr>
              <w:t>采购资金来源：财政性资金。</w:t>
            </w:r>
          </w:p>
        </w:tc>
      </w:tr>
      <w:tr w14:paraId="314097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08A2A7BE">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19</w:t>
            </w:r>
          </w:p>
        </w:tc>
        <w:tc>
          <w:tcPr>
            <w:tcW w:w="8820" w:type="dxa"/>
            <w:tcBorders>
              <w:top w:val="single" w:color="auto" w:sz="4" w:space="0"/>
              <w:left w:val="single" w:color="auto" w:sz="4" w:space="0"/>
              <w:bottom w:val="single" w:color="auto" w:sz="4" w:space="0"/>
              <w:right w:val="single" w:color="auto" w:sz="4" w:space="0"/>
            </w:tcBorders>
            <w:vAlign w:val="center"/>
          </w:tcPr>
          <w:p w14:paraId="471C4D0B">
            <w:pPr>
              <w:widowControl/>
              <w:spacing w:line="400" w:lineRule="exact"/>
              <w:rPr>
                <w:rFonts w:ascii="宋体" w:hAnsi="宋体" w:cs="宋体"/>
                <w:color w:val="auto"/>
                <w:kern w:val="0"/>
                <w:szCs w:val="21"/>
                <w:highlight w:val="none"/>
              </w:rPr>
            </w:pPr>
            <w:r>
              <w:rPr>
                <w:rFonts w:hint="eastAsia" w:ascii="宋体" w:hAnsi="宋体"/>
                <w:color w:val="auto"/>
                <w:szCs w:val="21"/>
                <w:highlight w:val="none"/>
              </w:rPr>
              <w:t>付款方式：</w:t>
            </w:r>
            <w:r>
              <w:rPr>
                <w:rFonts w:hint="eastAsia" w:ascii="宋体" w:hAnsi="宋体" w:cs="宋体"/>
                <w:color w:val="auto"/>
                <w:kern w:val="0"/>
                <w:szCs w:val="21"/>
                <w:highlight w:val="none"/>
              </w:rPr>
              <w:t>见招标项目采购需求。</w:t>
            </w:r>
          </w:p>
        </w:tc>
      </w:tr>
      <w:tr w14:paraId="551C4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234780AA">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20</w:t>
            </w:r>
          </w:p>
        </w:tc>
        <w:tc>
          <w:tcPr>
            <w:tcW w:w="8820" w:type="dxa"/>
            <w:tcBorders>
              <w:top w:val="single" w:color="auto" w:sz="4" w:space="0"/>
              <w:left w:val="single" w:color="auto" w:sz="4" w:space="0"/>
              <w:bottom w:val="single" w:color="auto" w:sz="4" w:space="0"/>
              <w:right w:val="single" w:color="auto" w:sz="4" w:space="0"/>
            </w:tcBorders>
            <w:vAlign w:val="center"/>
          </w:tcPr>
          <w:p w14:paraId="6E8FB83C">
            <w:pPr>
              <w:snapToGrid w:val="0"/>
              <w:spacing w:line="360" w:lineRule="exact"/>
              <w:rPr>
                <w:rFonts w:ascii="宋体" w:hAnsi="宋体"/>
                <w:color w:val="auto"/>
                <w:szCs w:val="21"/>
                <w:highlight w:val="none"/>
              </w:rPr>
            </w:pPr>
            <w:r>
              <w:rPr>
                <w:rFonts w:hint="eastAsia" w:ascii="宋体" w:hAnsi="宋体"/>
                <w:color w:val="auto"/>
                <w:szCs w:val="21"/>
                <w:highlight w:val="none"/>
              </w:rPr>
              <w:t>投标文件有效期：</w:t>
            </w:r>
            <w:r>
              <w:rPr>
                <w:rFonts w:hint="eastAsia" w:ascii="宋体" w:hAnsi="宋体" w:cs="Arial"/>
                <w:color w:val="auto"/>
                <w:szCs w:val="21"/>
                <w:highlight w:val="none"/>
                <w:u w:val="single"/>
              </w:rPr>
              <w:t xml:space="preserve"> 六十日。</w:t>
            </w:r>
          </w:p>
        </w:tc>
      </w:tr>
      <w:tr w14:paraId="2FEF0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4F2BAA7B">
            <w:pPr>
              <w:snapToGrid w:val="0"/>
              <w:spacing w:line="360" w:lineRule="exact"/>
              <w:jc w:val="center"/>
              <w:rPr>
                <w:rFonts w:ascii="宋体" w:hAnsi="宋体"/>
                <w:color w:val="auto"/>
                <w:szCs w:val="21"/>
                <w:highlight w:val="none"/>
                <w:lang w:val="en"/>
              </w:rPr>
            </w:pPr>
            <w:r>
              <w:rPr>
                <w:rFonts w:ascii="宋体" w:hAnsi="宋体"/>
                <w:color w:val="auto"/>
                <w:szCs w:val="21"/>
                <w:highlight w:val="none"/>
                <w:lang w:val="en"/>
              </w:rPr>
              <w:t>21</w:t>
            </w:r>
          </w:p>
        </w:tc>
        <w:tc>
          <w:tcPr>
            <w:tcW w:w="8820" w:type="dxa"/>
            <w:tcBorders>
              <w:top w:val="single" w:color="auto" w:sz="4" w:space="0"/>
              <w:left w:val="single" w:color="auto" w:sz="4" w:space="0"/>
              <w:bottom w:val="single" w:color="auto" w:sz="4" w:space="0"/>
              <w:right w:val="single" w:color="auto" w:sz="4" w:space="0"/>
            </w:tcBorders>
            <w:vAlign w:val="center"/>
          </w:tcPr>
          <w:p w14:paraId="1DEC4D66">
            <w:pPr>
              <w:rPr>
                <w:rFonts w:ascii="宋体" w:hAnsi="宋体"/>
                <w:b/>
                <w:bCs/>
                <w:snapToGrid w:val="0"/>
                <w:color w:val="auto"/>
                <w:szCs w:val="21"/>
                <w:highlight w:val="none"/>
              </w:rPr>
            </w:pPr>
            <w:r>
              <w:rPr>
                <w:rFonts w:hint="eastAsia" w:ascii="宋体" w:hAnsi="宋体"/>
                <w:b/>
                <w:bCs/>
                <w:snapToGrid w:val="0"/>
                <w:color w:val="auto"/>
                <w:szCs w:val="21"/>
                <w:highlight w:val="none"/>
              </w:rPr>
              <w:t>对招标文件、采购过程或者中标结果的质疑由采购人接收或采购代理机构代为接收，由采购人负责答复。</w:t>
            </w:r>
          </w:p>
          <w:p w14:paraId="20A82953">
            <w:pPr>
              <w:rPr>
                <w:rFonts w:ascii="宋体" w:hAnsi="宋体"/>
                <w:b/>
                <w:bCs/>
                <w:snapToGrid w:val="0"/>
                <w:color w:val="auto"/>
                <w:szCs w:val="21"/>
                <w:highlight w:val="none"/>
              </w:rPr>
            </w:pPr>
            <w:r>
              <w:rPr>
                <w:rFonts w:hint="eastAsia" w:ascii="宋体" w:hAnsi="宋体"/>
                <w:b/>
                <w:bCs/>
                <w:snapToGrid w:val="0"/>
                <w:color w:val="auto"/>
                <w:szCs w:val="21"/>
                <w:highlight w:val="none"/>
              </w:rPr>
              <w:t>接收质疑函方式：以书面形式。</w:t>
            </w:r>
          </w:p>
          <w:p w14:paraId="5E329336">
            <w:pPr>
              <w:rPr>
                <w:rFonts w:ascii="宋体" w:hAnsi="宋体"/>
                <w:b/>
                <w:bCs/>
                <w:snapToGrid w:val="0"/>
                <w:color w:val="auto"/>
                <w:szCs w:val="21"/>
                <w:highlight w:val="none"/>
              </w:rPr>
            </w:pPr>
            <w:r>
              <w:rPr>
                <w:rFonts w:hint="eastAsia" w:ascii="宋体" w:hAnsi="宋体"/>
                <w:b/>
                <w:bCs/>
                <w:snapToGrid w:val="0"/>
                <w:color w:val="auto"/>
                <w:szCs w:val="21"/>
                <w:highlight w:val="none"/>
              </w:rPr>
              <w:t>质疑联系部门及联系方式：</w:t>
            </w:r>
          </w:p>
          <w:p w14:paraId="6B9A3F9A">
            <w:pPr>
              <w:rPr>
                <w:rFonts w:ascii="宋体" w:hAnsi="宋体"/>
                <w:b/>
                <w:bCs/>
                <w:snapToGrid w:val="0"/>
                <w:color w:val="auto"/>
                <w:szCs w:val="21"/>
                <w:highlight w:val="none"/>
              </w:rPr>
            </w:pPr>
            <w:r>
              <w:rPr>
                <w:rFonts w:hint="eastAsia" w:ascii="宋体" w:hAnsi="宋体"/>
                <w:b/>
                <w:bCs/>
                <w:snapToGrid w:val="0"/>
                <w:color w:val="auto"/>
                <w:szCs w:val="21"/>
                <w:highlight w:val="none"/>
              </w:rPr>
              <w:t xml:space="preserve">（1）广西壮族自治区政府采购中心内审科     </w:t>
            </w:r>
          </w:p>
          <w:p w14:paraId="313C4D7B">
            <w:pPr>
              <w:rPr>
                <w:rFonts w:ascii="宋体" w:hAnsi="宋体"/>
                <w:b/>
                <w:bCs/>
                <w:snapToGrid w:val="0"/>
                <w:color w:val="auto"/>
                <w:szCs w:val="21"/>
                <w:highlight w:val="none"/>
              </w:rPr>
            </w:pPr>
            <w:r>
              <w:rPr>
                <w:rFonts w:hint="eastAsia" w:ascii="宋体" w:hAnsi="宋体"/>
                <w:b/>
                <w:bCs/>
                <w:snapToGrid w:val="0"/>
                <w:color w:val="auto"/>
                <w:szCs w:val="21"/>
                <w:highlight w:val="none"/>
              </w:rPr>
              <w:t xml:space="preserve">    电话：0771-8600453</w:t>
            </w:r>
          </w:p>
          <w:p w14:paraId="6BA848E9">
            <w:pPr>
              <w:rPr>
                <w:rFonts w:ascii="宋体" w:hAnsi="宋体"/>
                <w:b/>
                <w:bCs/>
                <w:snapToGrid w:val="0"/>
                <w:color w:val="auto"/>
                <w:szCs w:val="21"/>
                <w:highlight w:val="none"/>
              </w:rPr>
            </w:pPr>
            <w:r>
              <w:rPr>
                <w:rFonts w:hint="eastAsia" w:ascii="宋体" w:hAnsi="宋体"/>
                <w:b/>
                <w:bCs/>
                <w:snapToGrid w:val="0"/>
                <w:color w:val="auto"/>
                <w:szCs w:val="21"/>
                <w:highlight w:val="none"/>
              </w:rPr>
              <w:t xml:space="preserve">    地址：广西南宁市星湖路22号</w:t>
            </w:r>
          </w:p>
          <w:p w14:paraId="77C325A0">
            <w:pPr>
              <w:rPr>
                <w:rFonts w:ascii="宋体" w:hAnsi="宋体"/>
                <w:b/>
                <w:bCs/>
                <w:snapToGrid w:val="0"/>
                <w:color w:val="auto"/>
                <w:szCs w:val="21"/>
                <w:highlight w:val="none"/>
                <w:lang w:val="en"/>
              </w:rPr>
            </w:pPr>
            <w:r>
              <w:rPr>
                <w:rFonts w:hint="eastAsia" w:ascii="宋体" w:hAnsi="宋体"/>
                <w:b/>
                <w:bCs/>
                <w:snapToGrid w:val="0"/>
                <w:color w:val="auto"/>
                <w:szCs w:val="21"/>
                <w:highlight w:val="none"/>
              </w:rPr>
              <w:t>（2）采购单位名称：广西壮族自治区财政厅机关服务中心</w:t>
            </w:r>
          </w:p>
          <w:p w14:paraId="6C91FAFA">
            <w:pPr>
              <w:rPr>
                <w:rFonts w:ascii="宋体" w:hAnsi="宋体"/>
                <w:b/>
                <w:bCs/>
                <w:snapToGrid w:val="0"/>
                <w:color w:val="auto"/>
                <w:szCs w:val="21"/>
                <w:highlight w:val="none"/>
              </w:rPr>
            </w:pPr>
            <w:r>
              <w:rPr>
                <w:rFonts w:hint="eastAsia" w:ascii="宋体" w:hAnsi="宋体"/>
                <w:b/>
                <w:bCs/>
                <w:snapToGrid w:val="0"/>
                <w:color w:val="auto"/>
                <w:szCs w:val="21"/>
                <w:highlight w:val="none"/>
              </w:rPr>
              <w:t xml:space="preserve">    电话：0771-5331625</w:t>
            </w:r>
          </w:p>
          <w:p w14:paraId="6401EA4C">
            <w:pPr>
              <w:rPr>
                <w:rFonts w:ascii="宋体" w:hAnsi="宋体"/>
                <w:b/>
                <w:bCs/>
                <w:snapToGrid w:val="0"/>
                <w:color w:val="auto"/>
                <w:szCs w:val="21"/>
                <w:highlight w:val="none"/>
              </w:rPr>
            </w:pPr>
            <w:r>
              <w:rPr>
                <w:rFonts w:hint="eastAsia" w:ascii="宋体" w:hAnsi="宋体"/>
                <w:b/>
                <w:bCs/>
                <w:snapToGrid w:val="0"/>
                <w:color w:val="auto"/>
                <w:szCs w:val="21"/>
                <w:highlight w:val="none"/>
              </w:rPr>
              <w:t xml:space="preserve">    地址：</w:t>
            </w:r>
            <w:r>
              <w:rPr>
                <w:rFonts w:hint="eastAsia"/>
                <w:b/>
                <w:bCs/>
                <w:color w:val="auto"/>
                <w:highlight w:val="none"/>
              </w:rPr>
              <w:t>南宁市青秀区桃源路69号</w:t>
            </w:r>
          </w:p>
          <w:p w14:paraId="332C726B">
            <w:pPr>
              <w:rPr>
                <w:rFonts w:ascii="宋体" w:hAnsi="宋体"/>
                <w:color w:val="auto"/>
                <w:szCs w:val="21"/>
                <w:highlight w:val="none"/>
              </w:rPr>
            </w:pPr>
            <w:r>
              <w:rPr>
                <w:rFonts w:hint="eastAsia" w:ascii="宋体" w:hAnsi="宋体"/>
                <w:b/>
                <w:bCs/>
                <w:snapToGrid w:val="0"/>
                <w:color w:val="auto"/>
                <w:szCs w:val="21"/>
                <w:highlight w:val="none"/>
              </w:rPr>
              <w:t xml:space="preserve">    现场提交质疑办理业务时间：质疑期内每个工作日采购人或采购代理机构正常工作时间，其中采购代理机构为9：00到12：00，14：00到17：00</w:t>
            </w:r>
          </w:p>
        </w:tc>
      </w:tr>
      <w:tr w14:paraId="65A353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648" w:type="dxa"/>
            <w:tcBorders>
              <w:top w:val="single" w:color="auto" w:sz="4" w:space="0"/>
              <w:left w:val="single" w:color="auto" w:sz="4" w:space="0"/>
              <w:bottom w:val="single" w:color="auto" w:sz="4" w:space="0"/>
              <w:right w:val="single" w:color="auto" w:sz="4" w:space="0"/>
            </w:tcBorders>
            <w:vAlign w:val="center"/>
          </w:tcPr>
          <w:p w14:paraId="3BD1248A">
            <w:pPr>
              <w:snapToGrid w:val="0"/>
              <w:spacing w:line="360" w:lineRule="exact"/>
              <w:jc w:val="center"/>
              <w:rPr>
                <w:rFonts w:ascii="宋体" w:hAnsi="宋体"/>
                <w:b/>
                <w:bCs/>
                <w:color w:val="auto"/>
                <w:szCs w:val="21"/>
                <w:highlight w:val="none"/>
                <w:lang w:val="en"/>
              </w:rPr>
            </w:pPr>
            <w:r>
              <w:rPr>
                <w:rFonts w:hint="eastAsia" w:ascii="宋体" w:hAnsi="宋体"/>
                <w:b/>
                <w:bCs/>
                <w:color w:val="auto"/>
                <w:szCs w:val="21"/>
                <w:highlight w:val="none"/>
              </w:rPr>
              <w:t>2</w:t>
            </w:r>
            <w:r>
              <w:rPr>
                <w:rFonts w:ascii="宋体" w:hAnsi="宋体"/>
                <w:b/>
                <w:bCs/>
                <w:color w:val="auto"/>
                <w:szCs w:val="21"/>
                <w:highlight w:val="none"/>
                <w:lang w:val="en"/>
              </w:rPr>
              <w:t>2</w:t>
            </w:r>
          </w:p>
        </w:tc>
        <w:tc>
          <w:tcPr>
            <w:tcW w:w="8820" w:type="dxa"/>
            <w:tcBorders>
              <w:top w:val="single" w:color="auto" w:sz="4" w:space="0"/>
              <w:left w:val="single" w:color="auto" w:sz="4" w:space="0"/>
              <w:bottom w:val="single" w:color="auto" w:sz="4" w:space="0"/>
              <w:right w:val="single" w:color="auto" w:sz="4" w:space="0"/>
            </w:tcBorders>
            <w:vAlign w:val="center"/>
          </w:tcPr>
          <w:p w14:paraId="22A18789">
            <w:pPr>
              <w:snapToGrid w:val="0"/>
              <w:spacing w:line="360" w:lineRule="exact"/>
              <w:rPr>
                <w:rFonts w:ascii="宋体" w:hAnsi="宋体"/>
                <w:b/>
                <w:bCs/>
                <w:color w:val="auto"/>
                <w:szCs w:val="21"/>
                <w:highlight w:val="none"/>
              </w:rPr>
            </w:pPr>
            <w:r>
              <w:rPr>
                <w:rFonts w:hint="eastAsia" w:hAnsi="宋体"/>
                <w:b/>
                <w:bCs/>
                <w:color w:val="auto"/>
                <w:highlight w:val="none"/>
              </w:rPr>
              <w:t>本招标文件解释权属广西壮族自治区政府采购中心。</w:t>
            </w:r>
          </w:p>
        </w:tc>
      </w:tr>
    </w:tbl>
    <w:p w14:paraId="0FAACD71">
      <w:pPr>
        <w:pStyle w:val="28"/>
        <w:snapToGrid w:val="0"/>
        <w:spacing w:before="120" w:after="120" w:line="360" w:lineRule="exact"/>
        <w:jc w:val="center"/>
        <w:rPr>
          <w:rFonts w:ascii="仿宋_GB2312" w:eastAsia="仿宋_GB2312"/>
          <w:b/>
          <w:color w:val="auto"/>
          <w:sz w:val="32"/>
          <w:szCs w:val="32"/>
          <w:highlight w:val="none"/>
        </w:rPr>
      </w:pPr>
    </w:p>
    <w:p w14:paraId="5C425F73">
      <w:pPr>
        <w:pStyle w:val="28"/>
        <w:snapToGrid w:val="0"/>
        <w:spacing w:before="120" w:after="120" w:line="360" w:lineRule="exact"/>
        <w:jc w:val="center"/>
        <w:rPr>
          <w:b/>
          <w:color w:val="auto"/>
          <w:highlight w:val="none"/>
        </w:rPr>
      </w:pPr>
      <w:r>
        <w:rPr>
          <w:rFonts w:ascii="仿宋_GB2312" w:eastAsia="仿宋_GB2312"/>
          <w:b/>
          <w:color w:val="auto"/>
          <w:sz w:val="32"/>
          <w:szCs w:val="32"/>
          <w:highlight w:val="none"/>
        </w:rPr>
        <w:br w:type="page"/>
      </w:r>
      <w:r>
        <w:rPr>
          <w:rFonts w:hint="eastAsia" w:ascii="仿宋_GB2312" w:eastAsia="仿宋_GB2312"/>
          <w:b/>
          <w:color w:val="auto"/>
          <w:sz w:val="32"/>
          <w:szCs w:val="32"/>
          <w:highlight w:val="none"/>
        </w:rPr>
        <w:t>投标人须知</w:t>
      </w:r>
    </w:p>
    <w:p w14:paraId="6D4A0914">
      <w:pPr>
        <w:pStyle w:val="28"/>
        <w:snapToGrid w:val="0"/>
        <w:spacing w:before="120" w:after="120" w:line="360" w:lineRule="exact"/>
        <w:rPr>
          <w:b/>
          <w:color w:val="auto"/>
          <w:highlight w:val="none"/>
        </w:rPr>
      </w:pPr>
      <w:r>
        <w:rPr>
          <w:rFonts w:hint="eastAsia"/>
          <w:b/>
          <w:color w:val="auto"/>
          <w:highlight w:val="none"/>
        </w:rPr>
        <w:t>一、总  则</w:t>
      </w:r>
    </w:p>
    <w:p w14:paraId="02626B87">
      <w:pPr>
        <w:snapToGrid w:val="0"/>
        <w:spacing w:line="360" w:lineRule="exact"/>
        <w:ind w:firstLine="411" w:firstLineChars="196"/>
        <w:jc w:val="left"/>
        <w:outlineLvl w:val="1"/>
        <w:rPr>
          <w:rFonts w:ascii="宋体"/>
          <w:color w:val="auto"/>
          <w:szCs w:val="21"/>
          <w:highlight w:val="none"/>
        </w:rPr>
      </w:pPr>
      <w:r>
        <w:rPr>
          <w:rFonts w:hint="eastAsia" w:ascii="宋体"/>
          <w:color w:val="auto"/>
          <w:szCs w:val="21"/>
          <w:highlight w:val="none"/>
        </w:rPr>
        <w:t>（一） 适用范围</w:t>
      </w:r>
    </w:p>
    <w:p w14:paraId="52F9BB66">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本招标文件适用本项目的招标、投标、评标、定标、验收、合同履约、付款等行为（法律、法规另有规定的，从其规定）。</w:t>
      </w:r>
    </w:p>
    <w:p w14:paraId="455A53D9">
      <w:pPr>
        <w:snapToGrid w:val="0"/>
        <w:spacing w:before="156" w:beforeLines="50" w:line="360" w:lineRule="exact"/>
        <w:ind w:firstLine="310" w:firstLineChars="147"/>
        <w:jc w:val="left"/>
        <w:outlineLvl w:val="0"/>
        <w:rPr>
          <w:b/>
          <w:color w:val="auto"/>
          <w:highlight w:val="none"/>
        </w:rPr>
      </w:pPr>
      <w:r>
        <w:rPr>
          <w:rFonts w:hint="eastAsia"/>
          <w:b/>
          <w:color w:val="auto"/>
          <w:highlight w:val="none"/>
        </w:rPr>
        <w:t>（二）定义</w:t>
      </w:r>
    </w:p>
    <w:p w14:paraId="5C48C7A5">
      <w:pPr>
        <w:snapToGrid w:val="0"/>
        <w:spacing w:line="360" w:lineRule="exact"/>
        <w:ind w:firstLine="420" w:firstLineChars="200"/>
        <w:jc w:val="left"/>
        <w:rPr>
          <w:rFonts w:hAnsi="宋体"/>
          <w:color w:val="auto"/>
          <w:highlight w:val="none"/>
        </w:rPr>
      </w:pPr>
      <w:r>
        <w:rPr>
          <w:rFonts w:hint="eastAsia" w:ascii="宋体" w:hAnsi="宋体"/>
          <w:color w:val="auto"/>
          <w:szCs w:val="21"/>
          <w:highlight w:val="none"/>
        </w:rPr>
        <w:t>1.</w:t>
      </w:r>
      <w:r>
        <w:rPr>
          <w:rFonts w:hint="eastAsia" w:hAnsi="宋体"/>
          <w:color w:val="auto"/>
          <w:highlight w:val="none"/>
        </w:rPr>
        <w:t xml:space="preserve"> “采购人”系指组织本次招标的采购单位。</w:t>
      </w:r>
    </w:p>
    <w:p w14:paraId="028D267F">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hAnsi="宋体"/>
          <w:color w:val="auto"/>
          <w:highlight w:val="none"/>
        </w:rPr>
        <w:t xml:space="preserve"> “采购代理机构”系指广西壮族自治区政府采购中心（以下简称“本中心</w:t>
      </w:r>
      <w:r>
        <w:rPr>
          <w:rFonts w:hAnsi="宋体"/>
          <w:color w:val="auto"/>
          <w:highlight w:val="none"/>
        </w:rPr>
        <w:t>”</w:t>
      </w:r>
      <w:r>
        <w:rPr>
          <w:rFonts w:hint="eastAsia" w:hAnsi="宋体"/>
          <w:color w:val="auto"/>
          <w:highlight w:val="none"/>
        </w:rPr>
        <w:t>）。</w:t>
      </w:r>
    </w:p>
    <w:p w14:paraId="1F598519">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w:t>
      </w:r>
      <w:r>
        <w:rPr>
          <w:rFonts w:hint="eastAsia" w:hAnsi="宋体"/>
          <w:color w:val="auto"/>
          <w:highlight w:val="none"/>
        </w:rPr>
        <w:t xml:space="preserve"> “投标人”系指响应招标、参加投标竞争的法人、其他组织或者自然人。</w:t>
      </w:r>
    </w:p>
    <w:p w14:paraId="5A241524">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 “产品”系指供方按招标文件规定，须向采购人提供的一切设备、保险、税金、备品备件、工具、手册及其它有关技术资料和材料。</w:t>
      </w:r>
    </w:p>
    <w:p w14:paraId="70B6AA72">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5.“服务”系指招标文件规定投标人须承担的安装、调试、技术协助、校准、培训、技术指导以及其他类似的义务。</w:t>
      </w:r>
    </w:p>
    <w:p w14:paraId="55264FFC">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6.“项目”系指投标人按招标文件规定向采购人提供的产品和服务。</w:t>
      </w:r>
    </w:p>
    <w:p w14:paraId="3B723CC6">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7.“书面形式”包括信函、传真、电报等。</w:t>
      </w:r>
    </w:p>
    <w:p w14:paraId="5E589265">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8.“▲”系指在投标人须知中的实质性要求条款。</w:t>
      </w:r>
    </w:p>
    <w:p w14:paraId="7AF489F6">
      <w:pPr>
        <w:snapToGrid w:val="0"/>
        <w:spacing w:before="156" w:beforeLines="50" w:line="360" w:lineRule="exact"/>
        <w:ind w:firstLine="413" w:firstLineChars="196"/>
        <w:jc w:val="left"/>
        <w:outlineLvl w:val="1"/>
        <w:rPr>
          <w:rFonts w:ascii="宋体"/>
          <w:b/>
          <w:color w:val="auto"/>
          <w:szCs w:val="21"/>
          <w:highlight w:val="none"/>
        </w:rPr>
      </w:pPr>
      <w:r>
        <w:rPr>
          <w:rFonts w:hint="eastAsia" w:ascii="宋体"/>
          <w:b/>
          <w:color w:val="auto"/>
          <w:szCs w:val="21"/>
          <w:highlight w:val="none"/>
        </w:rPr>
        <w:t>（三）招标方式</w:t>
      </w:r>
    </w:p>
    <w:p w14:paraId="685EE0A8">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公开招标方式。</w:t>
      </w:r>
    </w:p>
    <w:p w14:paraId="5B6A7A58">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（四）投标委托</w:t>
      </w:r>
    </w:p>
    <w:p w14:paraId="39666766">
      <w:pPr>
        <w:pStyle w:val="21"/>
        <w:snapToGrid w:val="0"/>
        <w:spacing w:line="360" w:lineRule="exact"/>
        <w:ind w:firstLine="420" w:firstLineChars="200"/>
        <w:jc w:val="left"/>
        <w:rPr>
          <w:rFonts w:ascii="宋体" w:eastAsia="宋体"/>
          <w:color w:val="auto"/>
          <w:sz w:val="21"/>
          <w:szCs w:val="21"/>
          <w:highlight w:val="none"/>
        </w:rPr>
      </w:pPr>
      <w:r>
        <w:rPr>
          <w:rFonts w:hint="eastAsia" w:ascii="宋体" w:hAnsi="宋体" w:eastAsia="宋体"/>
          <w:color w:val="auto"/>
          <w:sz w:val="21"/>
          <w:szCs w:val="21"/>
          <w:highlight w:val="none"/>
        </w:rPr>
        <w:t>如投标人代表不是法定代表人(负责人)，须有法定代表人(负责人)出具的授权委托书，格式见第六章《投标文件格式》。</w:t>
      </w:r>
    </w:p>
    <w:p w14:paraId="0821AFCB">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（五）投标费用</w:t>
      </w:r>
    </w:p>
    <w:p w14:paraId="34B33289">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投标人均应自行承担所有与投标有关的全部费用（招标文件有相关的规定除外）。</w:t>
      </w:r>
    </w:p>
    <w:p w14:paraId="08ADAD60">
      <w:pPr>
        <w:snapToGrid w:val="0"/>
        <w:spacing w:line="360" w:lineRule="exact"/>
        <w:ind w:firstLine="422" w:firstLineChars="200"/>
        <w:jc w:val="left"/>
        <w:rPr>
          <w:rFonts w:ascii="宋体"/>
          <w:b/>
          <w:color w:val="auto"/>
          <w:szCs w:val="21"/>
          <w:highlight w:val="none"/>
        </w:rPr>
      </w:pPr>
      <w:r>
        <w:rPr>
          <w:rFonts w:hint="eastAsia" w:ascii="宋体"/>
          <w:b/>
          <w:color w:val="auto"/>
          <w:szCs w:val="21"/>
          <w:highlight w:val="none"/>
        </w:rPr>
        <w:t>（六）</w:t>
      </w:r>
      <w:r>
        <w:rPr>
          <w:rFonts w:hint="eastAsia"/>
          <w:b/>
          <w:color w:val="auto"/>
          <w:highlight w:val="none"/>
        </w:rPr>
        <w:t>本项目不接受联合体投标</w:t>
      </w:r>
    </w:p>
    <w:p w14:paraId="0B38FD3C">
      <w:pPr>
        <w:snapToGrid w:val="0"/>
        <w:spacing w:before="156" w:beforeLines="50" w:line="360" w:lineRule="exact"/>
        <w:ind w:firstLine="413" w:firstLineChars="196"/>
        <w:outlineLvl w:val="0"/>
        <w:rPr>
          <w:rFonts w:ascii="宋体" w:cs="宋体"/>
          <w:b/>
          <w:color w:val="auto"/>
          <w:kern w:val="0"/>
          <w:szCs w:val="21"/>
          <w:highlight w:val="none"/>
        </w:rPr>
      </w:pPr>
      <w:r>
        <w:rPr>
          <w:rFonts w:hint="eastAsia" w:ascii="宋体"/>
          <w:b/>
          <w:color w:val="auto"/>
          <w:szCs w:val="21"/>
          <w:highlight w:val="none"/>
        </w:rPr>
        <w:t>（七）</w:t>
      </w:r>
      <w:r>
        <w:rPr>
          <w:rFonts w:hint="eastAsia" w:ascii="宋体" w:cs="宋体"/>
          <w:b/>
          <w:color w:val="auto"/>
          <w:kern w:val="0"/>
          <w:szCs w:val="21"/>
          <w:highlight w:val="none"/>
        </w:rPr>
        <w:t>转包与分包</w:t>
      </w:r>
    </w:p>
    <w:p w14:paraId="6B81729C">
      <w:pPr>
        <w:snapToGrid w:val="0"/>
        <w:spacing w:line="360" w:lineRule="exact"/>
        <w:ind w:firstLine="420" w:firstLineChars="200"/>
        <w:rPr>
          <w:rFonts w:ascii="宋体" w:cs="宋体"/>
          <w:color w:val="auto"/>
          <w:kern w:val="0"/>
          <w:szCs w:val="21"/>
          <w:highlight w:val="none"/>
        </w:rPr>
      </w:pPr>
      <w:r>
        <w:rPr>
          <w:rFonts w:hint="eastAsia" w:ascii="宋体" w:cs="宋体"/>
          <w:color w:val="auto"/>
          <w:kern w:val="0"/>
          <w:szCs w:val="21"/>
          <w:highlight w:val="none"/>
        </w:rPr>
        <w:t>1.本项目不允许转包。</w:t>
      </w:r>
    </w:p>
    <w:p w14:paraId="777FD3CE">
      <w:pPr>
        <w:snapToGrid w:val="0"/>
        <w:spacing w:line="360" w:lineRule="exact"/>
        <w:ind w:firstLine="420" w:firstLineChars="200"/>
        <w:rPr>
          <w:rFonts w:ascii="宋体"/>
          <w:color w:val="auto"/>
          <w:szCs w:val="21"/>
          <w:highlight w:val="none"/>
        </w:rPr>
      </w:pPr>
      <w:r>
        <w:rPr>
          <w:rFonts w:hint="eastAsia" w:ascii="宋体" w:cs="宋体"/>
          <w:color w:val="auto"/>
          <w:kern w:val="0"/>
          <w:szCs w:val="21"/>
          <w:highlight w:val="none"/>
        </w:rPr>
        <w:t>2.本项目不可以分包。</w:t>
      </w:r>
    </w:p>
    <w:p w14:paraId="64FB1184">
      <w:pPr>
        <w:snapToGrid w:val="0"/>
        <w:spacing w:before="156" w:beforeLines="50" w:line="360" w:lineRule="exact"/>
        <w:ind w:firstLine="413" w:firstLineChars="196"/>
        <w:jc w:val="left"/>
        <w:outlineLvl w:val="0"/>
        <w:rPr>
          <w:rFonts w:ascii="宋体" w:hAnsi="宋体"/>
          <w:b/>
          <w:color w:val="auto"/>
          <w:szCs w:val="21"/>
          <w:highlight w:val="none"/>
        </w:rPr>
      </w:pPr>
      <w:r>
        <w:rPr>
          <w:rFonts w:hint="eastAsia" w:ascii="宋体" w:hAnsi="宋体"/>
          <w:b/>
          <w:color w:val="auto"/>
          <w:szCs w:val="21"/>
          <w:highlight w:val="none"/>
        </w:rPr>
        <w:t>（八）特别说明：</w:t>
      </w:r>
    </w:p>
    <w:p w14:paraId="267AF1DF">
      <w:pPr>
        <w:snapToGrid w:val="0"/>
        <w:spacing w:line="36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▲1.单位负责人为同一人或者存在直接控股、管理关系的不同供应商，不得参加同一合同项下的政府采购活动。</w:t>
      </w:r>
    </w:p>
    <w:p w14:paraId="4BC8E3CC">
      <w:pPr>
        <w:snapToGrid w:val="0"/>
        <w:spacing w:line="36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olor w:val="auto"/>
          <w:szCs w:val="21"/>
          <w:highlight w:val="none"/>
        </w:rPr>
        <w:t>使用综合评分法的采购项目，</w:t>
      </w:r>
      <w:r>
        <w:rPr>
          <w:rFonts w:hint="eastAsia"/>
          <w:color w:val="auto"/>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color w:val="auto"/>
          <w:highlight w:val="none"/>
          <w:lang w:val="en"/>
        </w:rPr>
        <w:t>评标方法</w:t>
      </w:r>
      <w:r>
        <w:rPr>
          <w:color w:val="auto"/>
          <w:highlight w:val="none"/>
          <w:lang w:val="en"/>
        </w:rPr>
        <w:t>及评分标准</w:t>
      </w:r>
      <w:r>
        <w:rPr>
          <w:rFonts w:hint="eastAsia"/>
          <w:color w:val="auto"/>
          <w:highlight w:val="none"/>
        </w:rPr>
        <w:t>》中的推荐原则确定一个投标人获得中标人推荐资格，其他同品牌投标人不作为中标候选人。</w:t>
      </w:r>
    </w:p>
    <w:p w14:paraId="0DCA5153">
      <w:pPr>
        <w:rPr>
          <w:rFonts w:ascii="宋体" w:hAnsi="宋体" w:cs="宋体"/>
          <w:color w:val="auto"/>
          <w:kern w:val="0"/>
          <w:szCs w:val="21"/>
          <w:highlight w:val="none"/>
        </w:rPr>
      </w:pPr>
      <w:r>
        <w:rPr>
          <w:rFonts w:hint="eastAsia" w:ascii="宋体" w:hAnsi="宋体" w:cs="宋体"/>
          <w:color w:val="auto"/>
          <w:kern w:val="0"/>
          <w:szCs w:val="21"/>
          <w:highlight w:val="none"/>
        </w:rPr>
        <w:t xml:space="preserve">    非单一产品采购项目中，多家投标人提供的招标文件中载明的核心产品品牌相同的，视为提供相同品牌产品。</w:t>
      </w:r>
    </w:p>
    <w:p w14:paraId="31539EBB">
      <w:pPr>
        <w:snapToGrid w:val="0"/>
        <w:spacing w:line="36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▲3.投标人应仔细阅读招标文件的所有内容，按照招标文件的要求提交投标文件，并对所提供的全部资料的真实性承担法律责任。</w:t>
      </w:r>
    </w:p>
    <w:p w14:paraId="5CC9B906">
      <w:pPr>
        <w:snapToGrid w:val="0"/>
        <w:spacing w:line="36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▲4.投标人在投标活动中提供任何虚假材料、互相串通投标，其投标无效，并报监管部门查处。</w:t>
      </w:r>
    </w:p>
    <w:p w14:paraId="5EA66737">
      <w:pPr>
        <w:pStyle w:val="28"/>
        <w:snapToGrid w:val="0"/>
        <w:spacing w:line="360" w:lineRule="exact"/>
        <w:ind w:left="2" w:leftChars="1" w:firstLine="420" w:firstLineChars="200"/>
        <w:rPr>
          <w:rFonts w:hAnsi="宋体" w:cs="宋体"/>
          <w:color w:val="auto"/>
          <w:kern w:val="0"/>
          <w:highlight w:val="none"/>
        </w:rPr>
      </w:pPr>
      <w:r>
        <w:rPr>
          <w:rFonts w:hint="eastAsia" w:hAnsi="宋体" w:cs="宋体"/>
          <w:color w:val="auto"/>
          <w:kern w:val="0"/>
          <w:highlight w:val="none"/>
        </w:rPr>
        <w:t>▲5.投标截止时间前三天，报名登记的供应商不足三家的，本中心将延迟截标和开标时间不少于十日，并书面通知已报名登记的供应商，并在财政部门指定的政府采购信息发布媒体及本中心网站上发布变更公告。</w:t>
      </w:r>
    </w:p>
    <w:p w14:paraId="30E44844">
      <w:pPr>
        <w:pStyle w:val="72"/>
        <w:ind w:firstLine="420" w:firstLineChars="200"/>
        <w:rPr>
          <w:rFonts w:hAnsi="宋体"/>
          <w:b/>
          <w:bCs/>
          <w:color w:val="auto"/>
          <w:sz w:val="21"/>
          <w:szCs w:val="21"/>
          <w:highlight w:val="none"/>
        </w:rPr>
      </w:pPr>
      <w:r>
        <w:rPr>
          <w:rFonts w:hint="eastAsia" w:hAnsi="宋体"/>
          <w:color w:val="auto"/>
          <w:sz w:val="21"/>
          <w:szCs w:val="21"/>
          <w:highlight w:val="none"/>
        </w:rPr>
        <w:t>▲</w:t>
      </w:r>
      <w:r>
        <w:rPr>
          <w:rFonts w:hint="eastAsia" w:hAnsi="宋体"/>
          <w:b/>
          <w:bCs/>
          <w:color w:val="auto"/>
          <w:sz w:val="21"/>
          <w:szCs w:val="21"/>
          <w:highlight w:val="none"/>
        </w:rPr>
        <w:t>6.中小企业价格评审优惠：根据《政府采购促进中小企业发展管理办法》（财库〔2020〕46号）的规定，本项目非专门面向中小企业采购：对符合条件的小型、微型企业（以下简称“中小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14:paraId="258B9A1C">
      <w:pPr>
        <w:snapToGrid w:val="0"/>
        <w:spacing w:line="360" w:lineRule="exact"/>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7.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标方法及评分标准。投标人如申请享受此项价格扣除，必须按本文件“投标文件格式”要求，填写并提交《关于符合本国产品标准的声明函》。未提交或提交不符合要求的，不享受扣除，按其原报价计算价格分。</w:t>
      </w:r>
    </w:p>
    <w:p w14:paraId="6DE0A5AD">
      <w:pPr>
        <w:snapToGrid w:val="0"/>
        <w:spacing w:line="360" w:lineRule="exact"/>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▲8. 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14:paraId="2F9950A0">
      <w:pPr>
        <w:pStyle w:val="28"/>
        <w:snapToGrid w:val="0"/>
        <w:spacing w:line="360" w:lineRule="exact"/>
        <w:ind w:firstLine="310" w:firstLineChars="147"/>
        <w:outlineLvl w:val="0"/>
        <w:rPr>
          <w:b/>
          <w:bCs/>
          <w:color w:val="auto"/>
          <w:highlight w:val="none"/>
        </w:rPr>
      </w:pPr>
      <w:r>
        <w:rPr>
          <w:rFonts w:hint="eastAsia"/>
          <w:b/>
          <w:bCs/>
          <w:color w:val="auto"/>
          <w:highlight w:val="none"/>
        </w:rPr>
        <w:t>（九）</w:t>
      </w:r>
      <w:r>
        <w:rPr>
          <w:rFonts w:hint="eastAsia"/>
          <w:b/>
          <w:color w:val="auto"/>
          <w:highlight w:val="none"/>
        </w:rPr>
        <w:t>询问、质疑和投诉</w:t>
      </w:r>
    </w:p>
    <w:p w14:paraId="3ECF8E91">
      <w:pPr>
        <w:pStyle w:val="28"/>
        <w:snapToGrid w:val="0"/>
        <w:spacing w:line="360" w:lineRule="exact"/>
        <w:ind w:firstLine="420" w:firstLineChars="200"/>
        <w:rPr>
          <w:color w:val="auto"/>
          <w:highlight w:val="none"/>
        </w:rPr>
      </w:pPr>
      <w:r>
        <w:rPr>
          <w:rFonts w:hint="eastAsia"/>
          <w:color w:val="auto"/>
          <w:highlight w:val="none"/>
        </w:rPr>
        <w:t>1．投标人对政府采购活动事项有疑问的，可以向采购人、采购代理机构提出询问。</w:t>
      </w:r>
    </w:p>
    <w:p w14:paraId="66B52E53">
      <w:pPr>
        <w:pStyle w:val="28"/>
        <w:snapToGrid w:val="0"/>
        <w:spacing w:line="360" w:lineRule="exact"/>
        <w:ind w:firstLine="420" w:firstLineChars="200"/>
        <w:rPr>
          <w:color w:val="auto"/>
          <w:highlight w:val="none"/>
        </w:rPr>
      </w:pPr>
      <w:r>
        <w:rPr>
          <w:rFonts w:hint="eastAsia"/>
          <w:color w:val="auto"/>
          <w:highlight w:val="none"/>
        </w:rPr>
        <w:t>2.投标人认为招标文件、招标过程或中标结果使自己的合法权益受到损害的，应当在知道或者应知其权益受到损害之日起七个工作日内，以书面形式向采购人提出质疑。具体计算时间如下：</w:t>
      </w:r>
    </w:p>
    <w:p w14:paraId="1FDE3909">
      <w:pPr>
        <w:pStyle w:val="28"/>
        <w:snapToGrid w:val="0"/>
        <w:spacing w:line="360" w:lineRule="exact"/>
        <w:ind w:firstLine="310" w:firstLineChars="147"/>
        <w:rPr>
          <w:bCs/>
          <w:color w:val="auto"/>
          <w:highlight w:val="none"/>
        </w:rPr>
      </w:pPr>
      <w:r>
        <w:rPr>
          <w:rFonts w:hint="eastAsia"/>
          <w:b/>
          <w:color w:val="auto"/>
          <w:highlight w:val="none"/>
        </w:rPr>
        <w:t>（一）对可以质疑的招标采购文件提出质疑的，为收到采购文件之日；</w:t>
      </w:r>
    </w:p>
    <w:p w14:paraId="358589F1">
      <w:pPr>
        <w:widowControl/>
        <w:spacing w:line="360" w:lineRule="exact"/>
        <w:jc w:val="left"/>
        <w:rPr>
          <w:rFonts w:ascii="宋体" w:cs="Courier New"/>
          <w:b/>
          <w:color w:val="auto"/>
          <w:szCs w:val="21"/>
          <w:highlight w:val="none"/>
        </w:rPr>
      </w:pPr>
      <w:r>
        <w:rPr>
          <w:rFonts w:hint="eastAsia" w:ascii="宋体" w:cs="Courier New"/>
          <w:color w:val="auto"/>
          <w:szCs w:val="21"/>
          <w:highlight w:val="none"/>
        </w:rPr>
        <w:t xml:space="preserve">　 </w:t>
      </w:r>
      <w:r>
        <w:rPr>
          <w:rFonts w:hint="eastAsia" w:ascii="宋体" w:cs="Courier New"/>
          <w:b/>
          <w:color w:val="auto"/>
          <w:szCs w:val="21"/>
          <w:highlight w:val="none"/>
        </w:rPr>
        <w:t>（二）对招标采购过程提出质疑的，为各采购程序环节结束之日；</w:t>
      </w:r>
    </w:p>
    <w:p w14:paraId="1AA37C55">
      <w:pPr>
        <w:widowControl/>
        <w:spacing w:line="360" w:lineRule="exact"/>
        <w:ind w:firstLine="310" w:firstLineChars="147"/>
        <w:jc w:val="left"/>
        <w:rPr>
          <w:rFonts w:ascii="宋体" w:cs="Courier New"/>
          <w:b/>
          <w:color w:val="auto"/>
          <w:szCs w:val="21"/>
          <w:highlight w:val="none"/>
        </w:rPr>
      </w:pPr>
      <w:r>
        <w:rPr>
          <w:rFonts w:hint="eastAsia" w:cs="Courier New"/>
          <w:b/>
          <w:color w:val="auto"/>
          <w:szCs w:val="21"/>
          <w:highlight w:val="none"/>
        </w:rPr>
        <w:t>（三）对中标结果提出质疑的，为中标结果公告期限届满之日。投标人对采购单位的质疑答复不满意或者</w:t>
      </w:r>
      <w:r>
        <w:rPr>
          <w:rFonts w:hint="eastAsia" w:ascii="宋体" w:hAnsi="宋体" w:cs="Courier New"/>
          <w:b/>
          <w:color w:val="auto"/>
          <w:szCs w:val="21"/>
          <w:highlight w:val="none"/>
        </w:rPr>
        <w:t>采购人</w:t>
      </w:r>
      <w:r>
        <w:rPr>
          <w:rFonts w:hint="eastAsia" w:cs="Courier New"/>
          <w:b/>
          <w:color w:val="auto"/>
          <w:szCs w:val="21"/>
          <w:highlight w:val="none"/>
        </w:rPr>
        <w:t>未在规定时间内作出答复的，可以在答复期满后十五个工作日内向同级采购监管部门投诉。</w:t>
      </w:r>
    </w:p>
    <w:p w14:paraId="7C8F3D5D">
      <w:pPr>
        <w:pStyle w:val="28"/>
        <w:snapToGrid w:val="0"/>
        <w:spacing w:line="360" w:lineRule="exact"/>
        <w:ind w:firstLine="420" w:firstLineChars="200"/>
        <w:rPr>
          <w:bCs/>
          <w:color w:val="auto"/>
          <w:highlight w:val="none"/>
        </w:rPr>
      </w:pPr>
      <w:r>
        <w:rPr>
          <w:rFonts w:hint="eastAsia"/>
          <w:bCs/>
          <w:color w:val="auto"/>
          <w:highlight w:val="none"/>
        </w:rPr>
        <w:t>3.质疑、投诉应当采用书面形式，质疑书、投诉书均应明确阐述招标采购文件、招标采购过程、中标结果中使自己合法权益受到损害的实质性内容，提供相关事实、明确的请求、必要的证明材料，便于有关单位调查、答复和处理。</w:t>
      </w:r>
    </w:p>
    <w:p w14:paraId="1834569F">
      <w:pPr>
        <w:pStyle w:val="28"/>
        <w:spacing w:line="360" w:lineRule="exact"/>
        <w:ind w:firstLine="422" w:firstLineChars="200"/>
        <w:rPr>
          <w:b/>
          <w:color w:val="auto"/>
          <w:highlight w:val="none"/>
          <w:lang w:val="en"/>
        </w:rPr>
      </w:pPr>
      <w:r>
        <w:rPr>
          <w:b/>
          <w:color w:val="auto"/>
          <w:highlight w:val="none"/>
          <w:lang w:val="en"/>
        </w:rPr>
        <w:t>4.采购人、采购代理机构接收质疑函的方式、联系部门、联系电话和地址等信息详见“投标人须知前附表”。</w:t>
      </w:r>
    </w:p>
    <w:p w14:paraId="06612AE4">
      <w:pPr>
        <w:pStyle w:val="28"/>
        <w:snapToGrid w:val="0"/>
        <w:spacing w:line="360" w:lineRule="auto"/>
        <w:ind w:firstLine="422" w:firstLineChars="200"/>
        <w:rPr>
          <w:rFonts w:hAnsi="宋体"/>
          <w:color w:val="auto"/>
          <w:highlight w:val="none"/>
        </w:rPr>
      </w:pPr>
      <w:r>
        <w:rPr>
          <w:rFonts w:hint="eastAsia"/>
          <w:b/>
          <w:color w:val="auto"/>
          <w:highlight w:val="none"/>
        </w:rPr>
        <w:t>5.</w:t>
      </w:r>
      <w:r>
        <w:rPr>
          <w:rFonts w:hint="eastAsia" w:hAnsi="宋体"/>
          <w:color w:val="auto"/>
          <w:highlight w:val="none"/>
        </w:rPr>
        <w:t>质疑供应商提起质疑应当符合下列条件：</w:t>
      </w:r>
    </w:p>
    <w:p w14:paraId="6067AA58">
      <w:pPr>
        <w:pStyle w:val="28"/>
        <w:snapToGrid w:val="0"/>
        <w:spacing w:line="360" w:lineRule="auto"/>
        <w:ind w:firstLine="420" w:firstLineChars="200"/>
        <w:rPr>
          <w:rFonts w:hAnsi="宋体"/>
          <w:color w:val="auto"/>
          <w:highlight w:val="none"/>
        </w:rPr>
      </w:pPr>
      <w:r>
        <w:rPr>
          <w:rFonts w:hint="eastAsia" w:hAnsi="宋体"/>
          <w:color w:val="auto"/>
          <w:highlight w:val="none"/>
        </w:rPr>
        <w:t>（1）质疑供应商是参与所质疑项目采购活动的供应商（潜在供应商已依法获取可之一的采购文件的，可以对该采购文件质疑）；</w:t>
      </w:r>
    </w:p>
    <w:p w14:paraId="76B27305">
      <w:pPr>
        <w:pStyle w:val="28"/>
        <w:snapToGrid w:val="0"/>
        <w:spacing w:line="360" w:lineRule="auto"/>
        <w:ind w:firstLine="420" w:firstLineChars="200"/>
        <w:rPr>
          <w:rFonts w:hAnsi="宋体"/>
          <w:color w:val="auto"/>
          <w:highlight w:val="none"/>
        </w:rPr>
      </w:pPr>
      <w:r>
        <w:rPr>
          <w:rFonts w:hint="eastAsia" w:hAnsi="宋体"/>
          <w:color w:val="auto"/>
          <w:highlight w:val="none"/>
        </w:rPr>
        <w:t>（2）质疑函内容符合本章第3项的规定；</w:t>
      </w:r>
    </w:p>
    <w:p w14:paraId="6758C45C">
      <w:pPr>
        <w:pStyle w:val="28"/>
        <w:snapToGrid w:val="0"/>
        <w:spacing w:line="360" w:lineRule="auto"/>
        <w:ind w:firstLine="420" w:firstLineChars="200"/>
        <w:rPr>
          <w:rFonts w:hAnsi="宋体"/>
          <w:color w:val="auto"/>
          <w:highlight w:val="none"/>
        </w:rPr>
      </w:pPr>
      <w:r>
        <w:rPr>
          <w:rFonts w:hint="eastAsia" w:hAnsi="宋体"/>
          <w:color w:val="auto"/>
          <w:highlight w:val="none"/>
        </w:rPr>
        <w:t>（3）在质疑有效期限内提起质疑；</w:t>
      </w:r>
    </w:p>
    <w:p w14:paraId="030CBBF0">
      <w:pPr>
        <w:pStyle w:val="28"/>
        <w:snapToGrid w:val="0"/>
        <w:spacing w:line="360" w:lineRule="auto"/>
        <w:ind w:firstLine="420" w:firstLineChars="200"/>
        <w:rPr>
          <w:rFonts w:hAnsi="宋体"/>
          <w:color w:val="auto"/>
          <w:highlight w:val="none"/>
        </w:rPr>
      </w:pPr>
      <w:r>
        <w:rPr>
          <w:rFonts w:hint="eastAsia" w:hAnsi="宋体"/>
          <w:color w:val="auto"/>
          <w:highlight w:val="none"/>
        </w:rPr>
        <w:t>（4）属于所质疑的采购人或采购人委托的采购代理机构组织的采购活动；</w:t>
      </w:r>
    </w:p>
    <w:p w14:paraId="0C49F994">
      <w:pPr>
        <w:pStyle w:val="28"/>
        <w:snapToGrid w:val="0"/>
        <w:spacing w:line="360" w:lineRule="auto"/>
        <w:ind w:firstLine="420" w:firstLineChars="200"/>
        <w:rPr>
          <w:rFonts w:hAnsi="宋体"/>
          <w:color w:val="auto"/>
          <w:highlight w:val="none"/>
        </w:rPr>
      </w:pPr>
      <w:r>
        <w:rPr>
          <w:rFonts w:hint="eastAsia" w:hAnsi="宋体"/>
          <w:color w:val="auto"/>
          <w:highlight w:val="none"/>
        </w:rPr>
        <w:t xml:space="preserve">（5）同一质疑事项未经采购人或采购人委托的采购代理机构质疑处理； </w:t>
      </w:r>
    </w:p>
    <w:p w14:paraId="4D8BADDE">
      <w:pPr>
        <w:pStyle w:val="28"/>
        <w:snapToGrid w:val="0"/>
        <w:spacing w:line="360" w:lineRule="auto"/>
        <w:ind w:firstLine="420" w:firstLineChars="200"/>
        <w:rPr>
          <w:rFonts w:hAnsi="宋体"/>
          <w:color w:val="auto"/>
          <w:highlight w:val="none"/>
        </w:rPr>
      </w:pPr>
      <w:r>
        <w:rPr>
          <w:rFonts w:hint="eastAsia" w:hAnsi="宋体"/>
          <w:color w:val="auto"/>
          <w:highlight w:val="none"/>
        </w:rPr>
        <w:t>（6）供应商对同一采购程序环节的质疑应当在质疑有效期内一次性提出；</w:t>
      </w:r>
    </w:p>
    <w:p w14:paraId="1B092ABB">
      <w:pPr>
        <w:pStyle w:val="28"/>
        <w:snapToGrid w:val="0"/>
        <w:spacing w:line="360" w:lineRule="auto"/>
        <w:ind w:firstLine="420" w:firstLineChars="200"/>
        <w:rPr>
          <w:rFonts w:hAnsi="宋体"/>
          <w:color w:val="auto"/>
          <w:highlight w:val="none"/>
        </w:rPr>
      </w:pPr>
      <w:r>
        <w:rPr>
          <w:rFonts w:hint="eastAsia" w:hAnsi="宋体"/>
          <w:color w:val="auto"/>
          <w:highlight w:val="none"/>
        </w:rPr>
        <w:t>（7）供应商提交质疑应当提交必要的证明材料，证明材料应以合法手段取得；</w:t>
      </w:r>
    </w:p>
    <w:p w14:paraId="4275B275">
      <w:pPr>
        <w:pStyle w:val="28"/>
        <w:spacing w:line="360" w:lineRule="exact"/>
        <w:ind w:firstLine="420" w:firstLineChars="200"/>
        <w:rPr>
          <w:b/>
          <w:color w:val="auto"/>
          <w:highlight w:val="none"/>
        </w:rPr>
      </w:pPr>
      <w:r>
        <w:rPr>
          <w:rFonts w:hint="eastAsia" w:hAnsi="宋体"/>
          <w:color w:val="auto"/>
          <w:highlight w:val="none"/>
        </w:rPr>
        <w:t>（8）财政部门规定的其他条件。</w:t>
      </w:r>
    </w:p>
    <w:p w14:paraId="601CC064">
      <w:pPr>
        <w:pStyle w:val="28"/>
        <w:snapToGrid w:val="0"/>
        <w:spacing w:line="360" w:lineRule="exact"/>
        <w:ind w:firstLine="413" w:firstLineChars="196"/>
        <w:outlineLvl w:val="0"/>
        <w:rPr>
          <w:b/>
          <w:color w:val="auto"/>
          <w:highlight w:val="none"/>
        </w:rPr>
      </w:pPr>
      <w:r>
        <w:rPr>
          <w:rFonts w:hint="eastAsia"/>
          <w:b/>
          <w:color w:val="auto"/>
          <w:highlight w:val="none"/>
        </w:rPr>
        <w:t>二、招标文件</w:t>
      </w:r>
    </w:p>
    <w:p w14:paraId="5AE84A53">
      <w:pPr>
        <w:snapToGrid w:val="0"/>
        <w:spacing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（一）招标文件的构成。</w:t>
      </w:r>
    </w:p>
    <w:p w14:paraId="136FB6A4">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1.公开招标公告；</w:t>
      </w:r>
    </w:p>
    <w:p w14:paraId="5EDF9A1E">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2.招标项目采购需求</w:t>
      </w:r>
    </w:p>
    <w:p w14:paraId="4620FF26">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3.投标人须知；</w:t>
      </w:r>
    </w:p>
    <w:p w14:paraId="71E2CD83">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4.</w:t>
      </w:r>
      <w:r>
        <w:rPr>
          <w:rFonts w:hint="eastAsia" w:ascii="宋体"/>
          <w:color w:val="auto"/>
          <w:szCs w:val="21"/>
          <w:highlight w:val="none"/>
          <w:lang w:val="en"/>
        </w:rPr>
        <w:t>评标方法</w:t>
      </w:r>
      <w:r>
        <w:rPr>
          <w:rFonts w:ascii="宋体"/>
          <w:color w:val="auto"/>
          <w:szCs w:val="21"/>
          <w:highlight w:val="none"/>
          <w:lang w:val="en"/>
        </w:rPr>
        <w:t>及评分标准</w:t>
      </w:r>
      <w:r>
        <w:rPr>
          <w:rFonts w:hint="eastAsia" w:ascii="宋体"/>
          <w:color w:val="auto"/>
          <w:szCs w:val="21"/>
          <w:highlight w:val="none"/>
        </w:rPr>
        <w:t>；</w:t>
      </w:r>
    </w:p>
    <w:p w14:paraId="5FBD5986">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5.政府采购合同主要条款；</w:t>
      </w:r>
    </w:p>
    <w:p w14:paraId="7E19F4E3">
      <w:pPr>
        <w:snapToGrid w:val="0"/>
        <w:spacing w:line="360" w:lineRule="exact"/>
        <w:ind w:firstLine="420" w:firstLineChars="200"/>
        <w:jc w:val="left"/>
        <w:rPr>
          <w:rFonts w:ascii="宋体"/>
          <w:color w:val="auto"/>
          <w:szCs w:val="21"/>
          <w:highlight w:val="none"/>
        </w:rPr>
      </w:pPr>
      <w:r>
        <w:rPr>
          <w:rFonts w:hint="eastAsia" w:ascii="宋体"/>
          <w:color w:val="auto"/>
          <w:szCs w:val="21"/>
          <w:highlight w:val="none"/>
        </w:rPr>
        <w:t>6.投标文件格式。</w:t>
      </w:r>
    </w:p>
    <w:p w14:paraId="75A08AEA">
      <w:pPr>
        <w:snapToGrid w:val="0"/>
        <w:spacing w:before="156" w:beforeLines="50" w:line="360" w:lineRule="exact"/>
        <w:ind w:firstLine="413" w:firstLineChars="196"/>
        <w:jc w:val="left"/>
        <w:outlineLvl w:val="0"/>
        <w:rPr>
          <w:rFonts w:ascii="宋体"/>
          <w:b/>
          <w:color w:val="auto"/>
          <w:szCs w:val="21"/>
          <w:highlight w:val="none"/>
        </w:rPr>
      </w:pPr>
      <w:r>
        <w:rPr>
          <w:rFonts w:hint="eastAsia" w:ascii="宋体"/>
          <w:b/>
          <w:color w:val="auto"/>
          <w:szCs w:val="21"/>
          <w:highlight w:val="none"/>
        </w:rPr>
        <w:t>（二）投标人的风险</w:t>
      </w:r>
    </w:p>
    <w:p w14:paraId="76ADBE95">
      <w:pPr>
        <w:tabs>
          <w:tab w:val="left" w:pos="180"/>
          <w:tab w:val="left" w:pos="1620"/>
        </w:tabs>
        <w:spacing w:line="400" w:lineRule="exact"/>
        <w:ind w:firstLine="420" w:firstLineChars="200"/>
        <w:rPr>
          <w:rFonts w:ascii="宋体" w:cs="Courier New"/>
          <w:color w:val="auto"/>
          <w:szCs w:val="21"/>
          <w:highlight w:val="none"/>
        </w:rPr>
      </w:pPr>
      <w:r>
        <w:rPr>
          <w:rFonts w:hint="eastAsia" w:ascii="宋体" w:hAnsi="宋体" w:cs="Courier New"/>
          <w:color w:val="auto"/>
          <w:szCs w:val="21"/>
          <w:highlight w:val="none"/>
        </w:rPr>
        <w:t>1．投标人应认真阅读招标文件，按照招标文件的要求编制投标文件。投标文件应对招标文件提出的要求和条件作出明确响应。投标人没有按照招标文件要求提供全部资料，或者投标人没有对招标文件在各方面作出明确响应是投标人的风险，并可能导致其投标被拒绝。</w:t>
      </w:r>
      <w:r>
        <w:rPr>
          <w:rFonts w:hint="eastAsia" w:ascii="宋体" w:hAnsi="宋体" w:cs="Courier New"/>
          <w:color w:val="auto"/>
          <w:szCs w:val="21"/>
          <w:highlight w:val="none"/>
        </w:rPr>
        <w:cr/>
      </w:r>
      <w:r>
        <w:rPr>
          <w:rFonts w:hint="eastAsia" w:ascii="宋体" w:hAnsi="宋体" w:cs="Courier New"/>
          <w:color w:val="auto"/>
          <w:szCs w:val="21"/>
          <w:highlight w:val="none"/>
        </w:rPr>
        <w:t xml:space="preserve">   2.对招标文件提出的实质性要求和条件作出明确响应是指投标人必须对招标文件中涉及招标项目的价格、采购货物的主要技术参数和性能配置、数量、交货（或竣工）时间、售后服务及其它要求、合同主要条款等内容作出明确响应。</w:t>
      </w:r>
      <w:r>
        <w:rPr>
          <w:rFonts w:hint="eastAsia" w:ascii="宋体" w:cs="Courier New"/>
          <w:color w:val="auto"/>
          <w:szCs w:val="21"/>
          <w:highlight w:val="none"/>
        </w:rPr>
        <w:t xml:space="preserve"> </w:t>
      </w:r>
    </w:p>
    <w:p w14:paraId="1166F497">
      <w:pPr>
        <w:pStyle w:val="13"/>
        <w:widowControl w:val="0"/>
        <w:tabs>
          <w:tab w:val="clear" w:pos="454"/>
        </w:tabs>
        <w:snapToGrid w:val="0"/>
        <w:spacing w:before="156" w:beforeLines="50" w:afterLines="0" w:line="400" w:lineRule="exact"/>
        <w:ind w:left="0" w:firstLine="411" w:firstLineChars="196"/>
        <w:rPr>
          <w:rFonts w:ascii="宋体" w:cs="Courier New"/>
          <w:color w:val="auto"/>
          <w:kern w:val="2"/>
          <w:sz w:val="21"/>
          <w:szCs w:val="21"/>
          <w:highlight w:val="none"/>
        </w:rPr>
      </w:pPr>
      <w:r>
        <w:rPr>
          <w:rFonts w:hint="eastAsia" w:ascii="宋体" w:cs="Courier New"/>
          <w:color w:val="auto"/>
          <w:kern w:val="2"/>
          <w:sz w:val="21"/>
          <w:szCs w:val="21"/>
          <w:highlight w:val="none"/>
        </w:rPr>
        <w:t xml:space="preserve"> 3.采购货物的主要技术参数和性能配置由评标委员会在评标前评定，但不能改变实质性内容。</w:t>
      </w:r>
    </w:p>
    <w:p w14:paraId="2492633F">
      <w:pPr>
        <w:pStyle w:val="13"/>
        <w:widowControl w:val="0"/>
        <w:tabs>
          <w:tab w:val="clear" w:pos="454"/>
        </w:tabs>
        <w:snapToGrid w:val="0"/>
        <w:spacing w:before="156" w:beforeLines="50" w:afterLines="0" w:line="360" w:lineRule="exact"/>
        <w:ind w:left="0" w:firstLine="413" w:firstLineChars="196"/>
        <w:outlineLvl w:val="0"/>
        <w:rPr>
          <w:rFonts w:ascii="宋体"/>
          <w:b/>
          <w:color w:val="auto"/>
          <w:sz w:val="21"/>
          <w:szCs w:val="21"/>
          <w:highlight w:val="none"/>
        </w:rPr>
      </w:pPr>
      <w:r>
        <w:rPr>
          <w:rFonts w:hint="eastAsia" w:ascii="宋体"/>
          <w:b/>
          <w:color w:val="auto"/>
          <w:sz w:val="21"/>
          <w:szCs w:val="21"/>
          <w:highlight w:val="none"/>
        </w:rPr>
        <w:t xml:space="preserve">（三）招标文件的澄清与修改 </w:t>
      </w:r>
    </w:p>
    <w:p w14:paraId="0BDAEF9E">
      <w:pPr>
        <w:pStyle w:val="28"/>
        <w:snapToGrid w:val="0"/>
        <w:spacing w:line="360" w:lineRule="exact"/>
        <w:ind w:firstLine="420" w:firstLineChars="200"/>
        <w:rPr>
          <w:rFonts w:hAnsi="宋体"/>
          <w:color w:val="auto"/>
          <w:highlight w:val="none"/>
        </w:rPr>
      </w:pPr>
      <w:r>
        <w:rPr>
          <w:rFonts w:hint="eastAsia" w:hAnsi="宋体"/>
          <w:color w:val="auto"/>
          <w:highlight w:val="none"/>
        </w:rPr>
        <w:t>1.</w:t>
      </w:r>
      <w:r>
        <w:rPr>
          <w:rFonts w:hint="eastAsia" w:hAnsi="宋体"/>
          <w:bCs/>
          <w:color w:val="auto"/>
          <w:highlight w:val="none"/>
        </w:rPr>
        <w:t xml:space="preserve"> 投标人应认真阅读本招标文件，发现其中有误或有不合理要求的，投标人</w:t>
      </w:r>
      <w:r>
        <w:rPr>
          <w:rFonts w:hint="eastAsia" w:hAnsi="宋体"/>
          <w:b/>
          <w:bCs/>
          <w:color w:val="auto"/>
          <w:highlight w:val="none"/>
        </w:rPr>
        <w:t>应当</w:t>
      </w:r>
      <w:r>
        <w:rPr>
          <w:rFonts w:hint="eastAsia" w:hAnsi="宋体"/>
          <w:bCs/>
          <w:color w:val="auto"/>
          <w:highlight w:val="none"/>
        </w:rPr>
        <w:t>在</w:t>
      </w:r>
      <w:r>
        <w:rPr>
          <w:rFonts w:hint="eastAsia" w:hAnsi="宋体"/>
          <w:bCs/>
          <w:color w:val="auto"/>
          <w:highlight w:val="none"/>
          <w:u w:val="single"/>
        </w:rPr>
        <w:t>“采购文件：第三章 《投标人须知及前附表》序号6”规定的时间</w:t>
      </w:r>
      <w:r>
        <w:rPr>
          <w:rFonts w:hint="eastAsia" w:hAnsi="宋体"/>
          <w:bCs/>
          <w:color w:val="auto"/>
          <w:highlight w:val="none"/>
        </w:rPr>
        <w:t>前以书面形式要求招标采购单位</w:t>
      </w:r>
      <w:r>
        <w:rPr>
          <w:rFonts w:hint="eastAsia" w:hAnsi="宋体"/>
          <w:color w:val="auto"/>
          <w:highlight w:val="none"/>
        </w:rPr>
        <w:t>答疑、澄清</w:t>
      </w:r>
      <w:r>
        <w:rPr>
          <w:rFonts w:hint="eastAsia" w:hAnsi="宋体"/>
          <w:bCs/>
          <w:color w:val="auto"/>
          <w:highlight w:val="none"/>
        </w:rPr>
        <w:t>。本中心对已发出的招标文件进行必要澄清或者修改</w:t>
      </w:r>
      <w:r>
        <w:rPr>
          <w:rFonts w:hint="eastAsia" w:hAnsi="宋体"/>
          <w:b/>
          <w:bCs/>
          <w:color w:val="auto"/>
          <w:highlight w:val="none"/>
        </w:rPr>
        <w:t>可能影响投标文件编制的</w:t>
      </w:r>
      <w:r>
        <w:rPr>
          <w:rFonts w:hint="eastAsia" w:hAnsi="宋体"/>
          <w:bCs/>
          <w:color w:val="auto"/>
          <w:highlight w:val="none"/>
        </w:rPr>
        <w:t>，应当在招标文件要求提交投标文件截止时间15日前，在财政部门指定的政府采购信息发布媒体及本中心网站上发布更正公告，并以书面形式通知所有招标文件收受人。该澄清或者修改的内容为招标文件的组成部分</w:t>
      </w:r>
      <w:r>
        <w:rPr>
          <w:rFonts w:hint="eastAsia" w:hAnsi="宋体"/>
          <w:color w:val="auto"/>
          <w:highlight w:val="none"/>
        </w:rPr>
        <w:t>。</w:t>
      </w:r>
    </w:p>
    <w:p w14:paraId="61456BA8">
      <w:pPr>
        <w:pStyle w:val="28"/>
        <w:snapToGrid w:val="0"/>
        <w:spacing w:line="360" w:lineRule="exact"/>
        <w:ind w:firstLine="420" w:firstLineChars="200"/>
        <w:rPr>
          <w:rFonts w:hAnsi="宋体"/>
          <w:color w:val="auto"/>
          <w:highlight w:val="none"/>
        </w:rPr>
      </w:pPr>
      <w:r>
        <w:rPr>
          <w:rFonts w:hint="eastAsia" w:hAnsi="宋体"/>
          <w:color w:val="auto"/>
          <w:highlight w:val="none"/>
        </w:rPr>
        <w:t>2.本中心必须以书面形式答复投标人要求澄清的问题，并将不包含问题来源的答复书面通知所有报名登记的投标人；除书面答复以外的其他澄清方式及澄清内容均无效。</w:t>
      </w:r>
    </w:p>
    <w:p w14:paraId="589FF374">
      <w:pPr>
        <w:pStyle w:val="28"/>
        <w:snapToGrid w:val="0"/>
        <w:spacing w:line="360" w:lineRule="exact"/>
        <w:ind w:firstLine="420" w:firstLineChars="200"/>
        <w:rPr>
          <w:rFonts w:hAnsi="宋体"/>
          <w:color w:val="auto"/>
          <w:highlight w:val="none"/>
        </w:rPr>
      </w:pPr>
      <w:r>
        <w:rPr>
          <w:rFonts w:hint="eastAsia" w:hAnsi="宋体"/>
          <w:color w:val="auto"/>
          <w:highlight w:val="none"/>
        </w:rPr>
        <w:t>3.招标文件的答疑、澄清、修改、补充的内容为招标文件的组成部分。当招标文件与招标文件的答疑、澄清、修改、补充通知就同一内容的表述不一致时，以最后发出的书面文件为准。</w:t>
      </w:r>
    </w:p>
    <w:p w14:paraId="72E77979">
      <w:pPr>
        <w:pStyle w:val="28"/>
        <w:snapToGrid w:val="0"/>
        <w:spacing w:line="360" w:lineRule="exact"/>
        <w:ind w:firstLine="420" w:firstLineChars="200"/>
        <w:rPr>
          <w:rFonts w:hAnsi="宋体"/>
          <w:color w:val="auto"/>
          <w:highlight w:val="none"/>
        </w:rPr>
      </w:pPr>
      <w:r>
        <w:rPr>
          <w:rFonts w:hint="eastAsia" w:hAnsi="宋体"/>
          <w:color w:val="auto"/>
          <w:highlight w:val="none"/>
        </w:rPr>
        <w:t>4.招标文件的答疑、澄清、修改、补充都应该通过本中心以法定形式发布，采购人非通过本机构，不得擅自答疑、澄清、修改、补充招标文件。</w:t>
      </w:r>
    </w:p>
    <w:p w14:paraId="0A70C487">
      <w:pPr>
        <w:pStyle w:val="28"/>
        <w:snapToGrid w:val="0"/>
        <w:spacing w:line="360" w:lineRule="exact"/>
        <w:ind w:firstLine="420" w:firstLineChars="200"/>
        <w:rPr>
          <w:color w:val="auto"/>
          <w:highlight w:val="none"/>
        </w:rPr>
      </w:pPr>
      <w:r>
        <w:rPr>
          <w:rFonts w:hint="eastAsia" w:hAnsi="宋体"/>
          <w:color w:val="auto"/>
          <w:highlight w:val="none"/>
        </w:rPr>
        <w:t>5.本中心可以视采购具体情况，延长招标文件或者资格预审文件提供期限，并在财政部门指定的政府采购信息发布媒体及本中心网站上发布公告。</w:t>
      </w:r>
    </w:p>
    <w:p w14:paraId="0BBFBB47">
      <w:pPr>
        <w:pStyle w:val="28"/>
        <w:snapToGrid w:val="0"/>
        <w:spacing w:line="360" w:lineRule="exact"/>
        <w:ind w:firstLine="413" w:firstLineChars="196"/>
        <w:outlineLvl w:val="1"/>
        <w:rPr>
          <w:b/>
          <w:color w:val="auto"/>
          <w:highlight w:val="none"/>
        </w:rPr>
      </w:pPr>
      <w:r>
        <w:rPr>
          <w:rFonts w:hint="eastAsia"/>
          <w:b/>
          <w:color w:val="auto"/>
          <w:highlight w:val="none"/>
        </w:rPr>
        <w:t>三、投标文件的编制</w:t>
      </w:r>
    </w:p>
    <w:p w14:paraId="0E529767">
      <w:pPr>
        <w:snapToGrid w:val="0"/>
        <w:spacing w:line="360" w:lineRule="exact"/>
        <w:ind w:firstLine="413" w:firstLineChars="196"/>
        <w:jc w:val="left"/>
        <w:outlineLvl w:val="0"/>
        <w:rPr>
          <w:rFonts w:ascii="宋体" w:hAnsi="宋体"/>
          <w:b/>
          <w:color w:val="auto"/>
          <w:szCs w:val="21"/>
          <w:highlight w:val="none"/>
        </w:rPr>
      </w:pPr>
      <w:r>
        <w:rPr>
          <w:rFonts w:hint="eastAsia" w:ascii="宋体" w:hAnsi="宋体"/>
          <w:b/>
          <w:color w:val="auto"/>
          <w:szCs w:val="21"/>
          <w:highlight w:val="none"/>
        </w:rPr>
        <w:t>（一）投标文件的组成</w:t>
      </w:r>
    </w:p>
    <w:p w14:paraId="39ACA3A5">
      <w:pPr>
        <w:snapToGrid w:val="0"/>
        <w:spacing w:line="360" w:lineRule="exact"/>
        <w:ind w:firstLine="420" w:firstLineChars="200"/>
        <w:jc w:val="left"/>
        <w:rPr>
          <w:rFonts w:ascii="宋体" w:hAnsi="宋体"/>
          <w:color w:val="auto"/>
          <w:szCs w:val="21"/>
          <w:highlight w:val="none"/>
        </w:rPr>
      </w:pPr>
      <w:r>
        <w:rPr>
          <w:rFonts w:hint="eastAsia" w:ascii="宋体"/>
          <w:color w:val="auto"/>
          <w:szCs w:val="21"/>
          <w:highlight w:val="none"/>
        </w:rPr>
        <w:t>投标文件由</w:t>
      </w:r>
      <w:r>
        <w:rPr>
          <w:rFonts w:hint="eastAsia" w:ascii="宋体"/>
          <w:b/>
          <w:bCs/>
          <w:color w:val="auto"/>
          <w:szCs w:val="21"/>
          <w:highlight w:val="none"/>
        </w:rPr>
        <w:t>资格文件、资信及商务文件、技术文件、投标报价文件</w:t>
      </w:r>
      <w:r>
        <w:rPr>
          <w:rFonts w:hint="eastAsia" w:ascii="宋体"/>
          <w:bCs/>
          <w:color w:val="auto"/>
          <w:szCs w:val="21"/>
          <w:highlight w:val="none"/>
        </w:rPr>
        <w:t>四部份组成</w:t>
      </w:r>
      <w:r>
        <w:rPr>
          <w:rFonts w:hint="eastAsia" w:ascii="宋体"/>
          <w:color w:val="auto"/>
          <w:szCs w:val="21"/>
          <w:highlight w:val="none"/>
        </w:rPr>
        <w:t>。</w:t>
      </w:r>
    </w:p>
    <w:p w14:paraId="50CBF579">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1.资格文件：</w:t>
      </w:r>
    </w:p>
    <w:p w14:paraId="6E4E7A5C">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14:paraId="42D848D9">
      <w:pPr>
        <w:pStyle w:val="28"/>
        <w:adjustRightInd w:val="0"/>
        <w:snapToGrid w:val="0"/>
        <w:spacing w:line="400" w:lineRule="exact"/>
        <w:ind w:firstLine="424" w:firstLineChars="202"/>
        <w:rPr>
          <w:rFonts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14:paraId="18A07D3A">
      <w:pPr>
        <w:snapToGrid w:val="0"/>
        <w:spacing w:line="360" w:lineRule="exact"/>
        <w:ind w:firstLine="424" w:firstLineChars="202"/>
        <w:jc w:val="left"/>
        <w:rPr>
          <w:rFonts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14:paraId="631E8AF5">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14:paraId="50834EE8">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14:paraId="2A4EBD62">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14:paraId="4539E754">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14:paraId="2EF5E8D6">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14:paraId="6A090A33">
      <w:pPr>
        <w:snapToGrid w:val="0"/>
        <w:spacing w:line="360" w:lineRule="exact"/>
        <w:ind w:firstLine="411" w:firstLineChars="196"/>
        <w:jc w:val="left"/>
        <w:rPr>
          <w:rFonts w:hAnsi="宋体"/>
          <w:b/>
          <w:color w:val="auto"/>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61CD3ECC">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2.资信及商务文件：</w:t>
      </w:r>
    </w:p>
    <w:p w14:paraId="7B0D0062">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（1）投标保证金的相关证明扫描件或其他电子文件（</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w:t>
      </w:r>
    </w:p>
    <w:p w14:paraId="745274FE">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（2）投标声明书 (格式见第六章)（必须提供）</w:t>
      </w:r>
      <w:r>
        <w:rPr>
          <w:rFonts w:hint="eastAsia" w:ascii="宋体" w:hAnsi="宋体"/>
          <w:color w:val="auto"/>
          <w:szCs w:val="21"/>
          <w:highlight w:val="none"/>
        </w:rPr>
        <w:t>；</w:t>
      </w:r>
    </w:p>
    <w:p w14:paraId="7E4AA85C">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（3）法定代表人授权委托书和委托代理人身份证扫描件或其他电子文件（格式见第六章)（必须提供）</w:t>
      </w:r>
      <w:r>
        <w:rPr>
          <w:rFonts w:hint="eastAsia" w:ascii="宋体" w:hAnsi="宋体"/>
          <w:color w:val="auto"/>
          <w:szCs w:val="21"/>
          <w:highlight w:val="none"/>
        </w:rPr>
        <w:t>；（格式见第六章)；</w:t>
      </w:r>
      <w:r>
        <w:rPr>
          <w:rFonts w:hint="eastAsia" w:ascii="宋体" w:hAnsi="宋体"/>
          <w:b/>
          <w:color w:val="auto"/>
          <w:szCs w:val="21"/>
          <w:highlight w:val="none"/>
        </w:rPr>
        <w:t>当法定代表人参加投标时，必须提供法定代表人身份证扫描件或其他电子文件</w:t>
      </w:r>
      <w:r>
        <w:rPr>
          <w:rFonts w:hint="eastAsia" w:ascii="宋体" w:hAnsi="宋体"/>
          <w:color w:val="auto"/>
          <w:szCs w:val="21"/>
          <w:highlight w:val="none"/>
        </w:rPr>
        <w:t>；</w:t>
      </w:r>
    </w:p>
    <w:p w14:paraId="6A774B8D">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14:paraId="21FF6188">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14:paraId="1F770DC5">
      <w:pPr>
        <w:snapToGrid w:val="0"/>
        <w:spacing w:line="360" w:lineRule="exact"/>
        <w:ind w:firstLine="422" w:firstLineChars="200"/>
        <w:jc w:val="left"/>
        <w:rPr>
          <w:rFonts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14:paraId="250AB6C2">
      <w:pPr>
        <w:snapToGrid w:val="0"/>
        <w:spacing w:line="360" w:lineRule="exact"/>
        <w:ind w:firstLine="413" w:firstLineChars="196"/>
        <w:jc w:val="left"/>
        <w:rPr>
          <w:rFonts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14:paraId="5C1D824E">
      <w:pPr>
        <w:snapToGrid w:val="0"/>
        <w:spacing w:line="360" w:lineRule="exact"/>
        <w:ind w:firstLine="413" w:firstLineChars="196"/>
        <w:jc w:val="left"/>
        <w:rPr>
          <w:rFonts w:hAnsi="宋体"/>
          <w:b/>
          <w:color w:val="auto"/>
          <w:szCs w:val="21"/>
          <w:highlight w:val="none"/>
        </w:rPr>
      </w:pPr>
      <w:r>
        <w:rPr>
          <w:rFonts w:hint="eastAsia" w:hAnsi="宋体"/>
          <w:b/>
          <w:color w:val="auto"/>
          <w:szCs w:val="21"/>
          <w:highlight w:val="none"/>
        </w:rPr>
        <w:t>（8）商务响应表</w:t>
      </w:r>
      <w:r>
        <w:rPr>
          <w:rFonts w:hint="eastAsia" w:hAnsi="宋体"/>
          <w:color w:val="auto"/>
          <w:szCs w:val="21"/>
          <w:highlight w:val="none"/>
        </w:rPr>
        <w:t>（格式见第六章）</w:t>
      </w:r>
      <w:r>
        <w:rPr>
          <w:rFonts w:hint="eastAsia" w:hAnsi="宋体"/>
          <w:b/>
          <w:color w:val="auto"/>
          <w:szCs w:val="21"/>
          <w:highlight w:val="none"/>
        </w:rPr>
        <w:t>（</w:t>
      </w:r>
      <w:r>
        <w:rPr>
          <w:rFonts w:hint="eastAsia" w:hAnsi="宋体"/>
          <w:b/>
          <w:color w:val="auto"/>
          <w:szCs w:val="21"/>
          <w:highlight w:val="none"/>
          <w:u w:val="single"/>
        </w:rPr>
        <w:t>必须提供</w:t>
      </w:r>
      <w:r>
        <w:rPr>
          <w:rFonts w:hint="eastAsia" w:hAnsi="宋体"/>
          <w:b/>
          <w:color w:val="auto"/>
          <w:szCs w:val="21"/>
          <w:highlight w:val="none"/>
        </w:rPr>
        <w:t>）；</w:t>
      </w:r>
    </w:p>
    <w:p w14:paraId="30182806">
      <w:pPr>
        <w:snapToGrid w:val="0"/>
        <w:spacing w:line="360" w:lineRule="exact"/>
        <w:jc w:val="left"/>
        <w:rPr>
          <w:rFonts w:hAnsi="宋体"/>
          <w:b/>
          <w:color w:val="auto"/>
          <w:szCs w:val="21"/>
          <w:highlight w:val="none"/>
        </w:rPr>
      </w:pPr>
      <w:r>
        <w:rPr>
          <w:rFonts w:hint="eastAsia" w:hAnsi="宋体"/>
          <w:color w:val="auto"/>
          <w:highlight w:val="none"/>
        </w:rPr>
        <w:t xml:space="preserve">  ▲</w:t>
      </w:r>
      <w:r>
        <w:rPr>
          <w:rFonts w:hint="eastAsia" w:hAnsi="宋体"/>
          <w:color w:val="auto"/>
          <w:szCs w:val="21"/>
          <w:highlight w:val="none"/>
        </w:rPr>
        <w:t>（9）</w:t>
      </w:r>
      <w:r>
        <w:rPr>
          <w:rFonts w:hint="eastAsia" w:hAnsi="宋体"/>
          <w:b/>
          <w:color w:val="auto"/>
          <w:szCs w:val="21"/>
          <w:highlight w:val="none"/>
        </w:rPr>
        <w:t>招标项目采购需求中要求必须提供的材料等；</w:t>
      </w:r>
    </w:p>
    <w:p w14:paraId="05F6C7BF">
      <w:pPr>
        <w:snapToGrid w:val="0"/>
        <w:spacing w:line="360" w:lineRule="exact"/>
        <w:ind w:firstLine="411" w:firstLineChars="196"/>
        <w:jc w:val="left"/>
        <w:rPr>
          <w:rFonts w:hAnsi="宋体"/>
          <w:b/>
          <w:color w:val="auto"/>
          <w:szCs w:val="21"/>
          <w:highlight w:val="none"/>
        </w:rPr>
      </w:pPr>
      <w:r>
        <w:rPr>
          <w:rFonts w:hint="eastAsia" w:hAnsi="宋体"/>
          <w:color w:val="auto"/>
          <w:szCs w:val="21"/>
          <w:highlight w:val="none"/>
        </w:rPr>
        <w:t>（10）具备法律、行政法规规定的其他条件的证明材料</w:t>
      </w:r>
      <w:r>
        <w:rPr>
          <w:rFonts w:hint="eastAsia" w:hAnsi="宋体"/>
          <w:b/>
          <w:color w:val="auto"/>
          <w:szCs w:val="21"/>
          <w:highlight w:val="none"/>
        </w:rPr>
        <w:t>(如有规定，则必须提供)。</w:t>
      </w:r>
    </w:p>
    <w:p w14:paraId="2B8DF4E9">
      <w:pPr>
        <w:snapToGrid w:val="0"/>
        <w:spacing w:line="360" w:lineRule="exact"/>
        <w:ind w:firstLine="413" w:firstLineChars="196"/>
        <w:jc w:val="left"/>
        <w:rPr>
          <w:rFonts w:hAnsi="宋体"/>
          <w:b/>
          <w:color w:val="auto"/>
          <w:szCs w:val="21"/>
          <w:highlight w:val="none"/>
        </w:rPr>
      </w:pPr>
      <w:r>
        <w:rPr>
          <w:rFonts w:hint="eastAsia" w:hAnsi="宋体"/>
          <w:b/>
          <w:bCs/>
          <w:color w:val="auto"/>
          <w:szCs w:val="21"/>
          <w:highlight w:val="none"/>
        </w:rPr>
        <w:t xml:space="preserve">可作为投标人资信评分的资质证明材料（可选）  </w:t>
      </w:r>
    </w:p>
    <w:p w14:paraId="34C3BC1D">
      <w:pPr>
        <w:snapToGrid w:val="0"/>
        <w:spacing w:line="360" w:lineRule="exact"/>
        <w:ind w:left="937" w:leftChars="196" w:hanging="525" w:hangingChars="250"/>
        <w:jc w:val="left"/>
        <w:rPr>
          <w:rFonts w:hAnsi="宋体"/>
          <w:color w:val="auto"/>
          <w:szCs w:val="21"/>
          <w:highlight w:val="none"/>
        </w:rPr>
      </w:pPr>
      <w:r>
        <w:rPr>
          <w:rFonts w:hint="eastAsia" w:hAnsi="宋体"/>
          <w:color w:val="auto"/>
          <w:szCs w:val="21"/>
          <w:highlight w:val="none"/>
        </w:rPr>
        <w:t>（11）类似案例成功的业绩（投标人同类项目实施情况一览表、合同扫描件）；</w:t>
      </w:r>
    </w:p>
    <w:p w14:paraId="5D5A1B4A">
      <w:pPr>
        <w:snapToGrid w:val="0"/>
        <w:spacing w:line="360" w:lineRule="exact"/>
        <w:ind w:firstLine="422" w:firstLineChars="200"/>
        <w:jc w:val="left"/>
        <w:rPr>
          <w:rFonts w:hAnsi="宋体"/>
          <w:color w:val="auto"/>
          <w:szCs w:val="21"/>
          <w:highlight w:val="none"/>
        </w:rPr>
      </w:pPr>
      <w:r>
        <w:rPr>
          <w:rFonts w:hint="eastAsia" w:hAnsi="宋体"/>
          <w:b/>
          <w:color w:val="auto"/>
          <w:szCs w:val="21"/>
          <w:highlight w:val="none"/>
        </w:rPr>
        <w:t>（</w:t>
      </w:r>
      <w:r>
        <w:rPr>
          <w:rFonts w:hint="eastAsia" w:hAnsi="宋体"/>
          <w:color w:val="auto"/>
          <w:szCs w:val="21"/>
          <w:highlight w:val="none"/>
        </w:rPr>
        <w:t>12</w:t>
      </w:r>
      <w:r>
        <w:rPr>
          <w:rFonts w:hint="eastAsia" w:hAnsi="宋体"/>
          <w:b/>
          <w:color w:val="auto"/>
          <w:szCs w:val="21"/>
          <w:highlight w:val="none"/>
        </w:rPr>
        <w:t>）</w:t>
      </w:r>
      <w:r>
        <w:rPr>
          <w:rFonts w:hint="eastAsia" w:hAnsi="宋体"/>
          <w:color w:val="auto"/>
          <w:szCs w:val="21"/>
          <w:highlight w:val="none"/>
        </w:rPr>
        <w:t>其他特殊资质证书（如本地化服务能力等）；</w:t>
      </w:r>
    </w:p>
    <w:p w14:paraId="6B4F99CF">
      <w:pPr>
        <w:snapToGrid w:val="0"/>
        <w:spacing w:line="360" w:lineRule="exact"/>
        <w:ind w:firstLine="411" w:firstLineChars="196"/>
        <w:jc w:val="left"/>
        <w:rPr>
          <w:rFonts w:hAnsi="宋体"/>
          <w:b/>
          <w:color w:val="auto"/>
          <w:szCs w:val="21"/>
          <w:highlight w:val="none"/>
        </w:rPr>
      </w:pPr>
      <w:r>
        <w:rPr>
          <w:rFonts w:hint="eastAsia" w:hAnsi="宋体"/>
          <w:color w:val="auto"/>
          <w:szCs w:val="21"/>
          <w:highlight w:val="none"/>
        </w:rPr>
        <w:t>（13）节能环保产品或政府强制采购节能产品清单证书</w:t>
      </w:r>
      <w:r>
        <w:rPr>
          <w:rFonts w:hint="eastAsia" w:hAnsi="宋体"/>
          <w:b/>
          <w:color w:val="auto"/>
          <w:szCs w:val="21"/>
          <w:highlight w:val="none"/>
        </w:rPr>
        <w:t>；</w:t>
      </w:r>
    </w:p>
    <w:p w14:paraId="04892EDA">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（14）投标人质量管理和质量保证体系等方面的认证证书；</w:t>
      </w:r>
    </w:p>
    <w:p w14:paraId="61DA9F88">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（15）投标人认为可以证明其能力或业绩的其他材料；</w:t>
      </w:r>
    </w:p>
    <w:p w14:paraId="605258C0">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14:paraId="3CC3F117">
      <w:pPr>
        <w:adjustRightInd w:val="0"/>
        <w:snapToGrid w:val="0"/>
        <w:spacing w:line="440" w:lineRule="exact"/>
        <w:ind w:left="3368" w:leftChars="200" w:hanging="2948" w:hangingChars="1404"/>
        <w:jc w:val="left"/>
        <w:rPr>
          <w:rFonts w:ascii="宋体" w:hAnsi="宋体"/>
          <w:color w:val="auto"/>
          <w:szCs w:val="21"/>
          <w:highlight w:val="none"/>
        </w:rPr>
      </w:pPr>
      <w:r>
        <w:rPr>
          <w:rFonts w:hint="eastAsia" w:hAnsi="宋体"/>
          <w:color w:val="auto"/>
          <w:szCs w:val="21"/>
          <w:highlight w:val="none"/>
        </w:rPr>
        <w:t>（17）</w:t>
      </w:r>
      <w:r>
        <w:rPr>
          <w:rFonts w:hint="eastAsia" w:ascii="宋体" w:hAnsi="宋体"/>
          <w:color w:val="auto"/>
          <w:szCs w:val="21"/>
          <w:highlight w:val="none"/>
        </w:rPr>
        <w:t>中小企业声明函（格式见第六章，如有请提供）；</w:t>
      </w:r>
    </w:p>
    <w:p w14:paraId="2C08D5D9">
      <w:pPr>
        <w:adjustRightInd w:val="0"/>
        <w:snapToGrid w:val="0"/>
        <w:spacing w:line="440" w:lineRule="exact"/>
        <w:ind w:left="3368" w:leftChars="200" w:hanging="2948" w:hangingChars="1404"/>
        <w:jc w:val="left"/>
        <w:rPr>
          <w:rFonts w:ascii="宋体" w:hAnsi="宋体"/>
          <w:color w:val="auto"/>
          <w:szCs w:val="21"/>
          <w:highlight w:val="none"/>
        </w:rPr>
      </w:pPr>
      <w:r>
        <w:rPr>
          <w:rFonts w:hint="eastAsia" w:ascii="宋体" w:hAnsi="宋体"/>
          <w:color w:val="auto"/>
          <w:szCs w:val="21"/>
          <w:highlight w:val="none"/>
        </w:rPr>
        <w:t>（18）</w:t>
      </w:r>
      <w:r>
        <w:rPr>
          <w:rFonts w:hint="eastAsia" w:hAnsi="宋体"/>
          <w:color w:val="auto"/>
          <w:szCs w:val="21"/>
          <w:highlight w:val="none"/>
        </w:rPr>
        <w:t>关于符合本国产品标准的声明函（格式见第六章，如有请提供）；</w:t>
      </w:r>
    </w:p>
    <w:p w14:paraId="5A2A5632">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（19）投标人情况介绍。</w:t>
      </w:r>
    </w:p>
    <w:p w14:paraId="5B9A15F6">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3.技术文件</w:t>
      </w:r>
    </w:p>
    <w:p w14:paraId="1E8BC2C6">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（1）对本项目系统总体要求的理解；</w:t>
      </w:r>
    </w:p>
    <w:p w14:paraId="0D607A11">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技术响应表（</w:t>
      </w:r>
      <w:r>
        <w:rPr>
          <w:rFonts w:hint="eastAsia" w:ascii="宋体" w:hAnsi="宋体"/>
          <w:b/>
          <w:color w:val="auto"/>
          <w:szCs w:val="21"/>
          <w:highlight w:val="none"/>
          <w:u w:val="single"/>
        </w:rPr>
        <w:t>必须提供</w:t>
      </w:r>
      <w:r>
        <w:rPr>
          <w:rFonts w:hint="eastAsia" w:ascii="宋体" w:hAnsi="宋体"/>
          <w:b/>
          <w:color w:val="auto"/>
          <w:szCs w:val="21"/>
          <w:highlight w:val="none"/>
        </w:rPr>
        <w:t>）；</w:t>
      </w:r>
    </w:p>
    <w:p w14:paraId="3FA47F35">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（3）设备配置清单（均不含报价）；</w:t>
      </w:r>
    </w:p>
    <w:p w14:paraId="5CE14A2D">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w:t>
      </w:r>
      <w:r>
        <w:rPr>
          <w:rFonts w:hint="eastAsia"/>
          <w:b/>
          <w:color w:val="auto"/>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w:t>
      </w:r>
      <w:r>
        <w:rPr>
          <w:rFonts w:hint="eastAsia" w:ascii="宋体" w:hAnsi="宋体"/>
          <w:b/>
          <w:color w:val="auto"/>
          <w:szCs w:val="21"/>
          <w:highlight w:val="none"/>
          <w:u w:val="single"/>
        </w:rPr>
        <w:t>格式自拟，必须提供</w:t>
      </w:r>
      <w:r>
        <w:rPr>
          <w:rFonts w:hint="eastAsia" w:ascii="宋体" w:hAnsi="宋体"/>
          <w:b/>
          <w:color w:val="auto"/>
          <w:szCs w:val="21"/>
          <w:highlight w:val="none"/>
        </w:rPr>
        <w:t>)</w:t>
      </w:r>
      <w:r>
        <w:rPr>
          <w:rFonts w:hint="eastAsia" w:ascii="宋体" w:hAnsi="宋体"/>
          <w:color w:val="auto"/>
          <w:szCs w:val="21"/>
          <w:highlight w:val="none"/>
        </w:rPr>
        <w:t>；</w:t>
      </w:r>
    </w:p>
    <w:p w14:paraId="5C2E87CD">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（5）投标人拥有主要装备和检测设施的情况和现状（格式自拟）及项目实施人员一览表； </w:t>
      </w:r>
    </w:p>
    <w:p w14:paraId="36B35891">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14:paraId="5A20B8F3">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（7）投标人对本项目的合理化建议和改进措施；</w:t>
      </w:r>
    </w:p>
    <w:p w14:paraId="7DFA8356">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（8）投标人需要说明的其他文件和说明（格式略）；</w:t>
      </w:r>
    </w:p>
    <w:p w14:paraId="11FD08E5">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▲（9）招标项目采购需求中要求必须提供的材料。</w:t>
      </w:r>
    </w:p>
    <w:p w14:paraId="13F1A256">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4.报价文件：</w:t>
      </w:r>
    </w:p>
    <w:p w14:paraId="5E1825B6">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（1）投标函（</w:t>
      </w:r>
      <w:r>
        <w:rPr>
          <w:rFonts w:hint="eastAsia" w:ascii="宋体" w:hAnsi="宋体"/>
          <w:b/>
          <w:color w:val="auto"/>
          <w:szCs w:val="21"/>
          <w:highlight w:val="none"/>
        </w:rPr>
        <w:t>必须提供</w:t>
      </w:r>
      <w:r>
        <w:rPr>
          <w:rFonts w:hint="eastAsia" w:ascii="宋体" w:hAnsi="宋体"/>
          <w:color w:val="auto"/>
          <w:szCs w:val="21"/>
          <w:highlight w:val="none"/>
        </w:rPr>
        <w:t xml:space="preserve">，格式见第六章）； </w:t>
      </w:r>
    </w:p>
    <w:p w14:paraId="4433164E">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（2）投标报价明细表（</w:t>
      </w:r>
      <w:r>
        <w:rPr>
          <w:rFonts w:hint="eastAsia" w:ascii="宋体" w:hAnsi="宋体"/>
          <w:b/>
          <w:color w:val="auto"/>
          <w:szCs w:val="21"/>
          <w:highlight w:val="none"/>
        </w:rPr>
        <w:t>必须提供</w:t>
      </w:r>
      <w:r>
        <w:rPr>
          <w:rFonts w:hint="eastAsia" w:ascii="宋体" w:hAnsi="宋体"/>
          <w:color w:val="auto"/>
          <w:szCs w:val="21"/>
          <w:highlight w:val="none"/>
        </w:rPr>
        <w:t>，格式见第六章）；</w:t>
      </w:r>
    </w:p>
    <w:p w14:paraId="17C5C5E8">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（3）投标人针对报价需要说明的其他文件和说明（格式自拟）；</w:t>
      </w:r>
    </w:p>
    <w:p w14:paraId="23378DA0">
      <w:pPr>
        <w:tabs>
          <w:tab w:val="left" w:pos="3870"/>
          <w:tab w:val="left" w:pos="4085"/>
        </w:tabs>
        <w:snapToGrid w:val="0"/>
        <w:spacing w:line="360" w:lineRule="exact"/>
        <w:ind w:firstLine="420" w:firstLineChars="200"/>
        <w:jc w:val="left"/>
        <w:rPr>
          <w:rFonts w:ascii="宋体" w:hAnsi="宋体" w:eastAsia="等线"/>
          <w:color w:val="auto"/>
          <w:szCs w:val="21"/>
          <w:highlight w:val="none"/>
        </w:rPr>
      </w:pPr>
      <w:r>
        <w:rPr>
          <w:rFonts w:hint="eastAsia" w:ascii="宋体" w:hAnsi="宋体"/>
          <w:color w:val="auto"/>
          <w:szCs w:val="21"/>
          <w:highlight w:val="none"/>
        </w:rPr>
        <w:t>（4）开标一览表（</w:t>
      </w:r>
      <w:r>
        <w:rPr>
          <w:rFonts w:hint="eastAsia" w:ascii="宋体" w:hAnsi="宋体"/>
          <w:b/>
          <w:color w:val="auto"/>
          <w:szCs w:val="21"/>
          <w:highlight w:val="none"/>
        </w:rPr>
        <w:t>必须提供</w:t>
      </w:r>
      <w:r>
        <w:rPr>
          <w:rFonts w:hint="eastAsia" w:ascii="宋体" w:hAnsi="宋体"/>
          <w:color w:val="auto"/>
          <w:szCs w:val="21"/>
          <w:highlight w:val="none"/>
        </w:rPr>
        <w:t>，格式见第六章）。</w:t>
      </w:r>
    </w:p>
    <w:p w14:paraId="65A28258">
      <w:pPr>
        <w:pStyle w:val="45"/>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b/>
          <w:bCs/>
          <w:color w:val="auto"/>
          <w:szCs w:val="21"/>
          <w:highlight w:val="none"/>
        </w:rPr>
        <w:t>注：法定代表人授权委托书、投标声明书、投标函、开标一览表必须按</w:t>
      </w:r>
      <w:r>
        <w:rPr>
          <w:rFonts w:hint="eastAsia" w:ascii="宋体" w:hAnsi="宋体"/>
          <w:b/>
          <w:color w:val="auto"/>
          <w:szCs w:val="21"/>
          <w:highlight w:val="none"/>
        </w:rPr>
        <w:t>招标文件格式要求</w:t>
      </w:r>
      <w:r>
        <w:rPr>
          <w:rFonts w:ascii="宋体" w:hAnsi="宋体"/>
          <w:b/>
          <w:color w:val="auto"/>
          <w:szCs w:val="21"/>
          <w:highlight w:val="none"/>
          <w:lang w:val="en"/>
        </w:rPr>
        <w:t>签字或签章</w:t>
      </w:r>
      <w:r>
        <w:rPr>
          <w:rFonts w:hint="eastAsia" w:ascii="宋体" w:hAnsi="宋体"/>
          <w:b/>
          <w:bCs/>
          <w:color w:val="auto"/>
          <w:szCs w:val="21"/>
          <w:highlight w:val="none"/>
        </w:rPr>
        <w:t>并加盖单位公章。</w:t>
      </w:r>
    </w:p>
    <w:p w14:paraId="07FEE11F">
      <w:pPr>
        <w:snapToGrid w:val="0"/>
        <w:spacing w:line="360" w:lineRule="exact"/>
        <w:ind w:firstLine="413" w:firstLineChars="196"/>
        <w:jc w:val="left"/>
        <w:outlineLvl w:val="0"/>
        <w:rPr>
          <w:rFonts w:ascii="宋体" w:hAnsi="宋体"/>
          <w:b/>
          <w:color w:val="auto"/>
          <w:szCs w:val="21"/>
          <w:highlight w:val="none"/>
        </w:rPr>
      </w:pPr>
      <w:r>
        <w:rPr>
          <w:rFonts w:hint="eastAsia" w:ascii="宋体" w:hAnsi="宋体"/>
          <w:b/>
          <w:color w:val="auto"/>
          <w:szCs w:val="21"/>
          <w:highlight w:val="none"/>
        </w:rPr>
        <w:t>（二）投标文件的语言及计量</w:t>
      </w:r>
    </w:p>
    <w:p w14:paraId="45AFC072">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▲1投标文件以及投标方与招标方就有关投标事宜的所有来往函电，均应以中文汉语书写。除签名、盖章、专用名称等特殊情形外，以中文汉语以外的文字表述的投标文件视同未提供。</w:t>
      </w:r>
    </w:p>
    <w:p w14:paraId="4E5DB5BD">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▲2投标计量单位，招标文件已有明确规定的，使用招标文件规定的计量单位；招标文件没有规定的，应采用中华人民共和国法定计量单位（货币单位：人民币元），否则视同未响应。</w:t>
      </w:r>
    </w:p>
    <w:p w14:paraId="7EF7F593">
      <w:pPr>
        <w:snapToGrid w:val="0"/>
        <w:spacing w:before="156" w:beforeLines="50" w:line="360" w:lineRule="exact"/>
        <w:ind w:firstLine="413" w:firstLineChars="196"/>
        <w:jc w:val="left"/>
        <w:outlineLvl w:val="0"/>
        <w:rPr>
          <w:rFonts w:ascii="宋体" w:hAnsi="宋体"/>
          <w:b/>
          <w:color w:val="auto"/>
          <w:szCs w:val="21"/>
          <w:highlight w:val="none"/>
        </w:rPr>
      </w:pPr>
      <w:r>
        <w:rPr>
          <w:rFonts w:hint="eastAsia" w:ascii="宋体" w:hAnsi="宋体"/>
          <w:b/>
          <w:color w:val="auto"/>
          <w:szCs w:val="21"/>
          <w:highlight w:val="none"/>
        </w:rPr>
        <w:t>（三）投标报价</w:t>
      </w:r>
    </w:p>
    <w:p w14:paraId="3EC22ADB">
      <w:pPr>
        <w:pStyle w:val="28"/>
        <w:snapToGrid w:val="0"/>
        <w:spacing w:line="360" w:lineRule="exact"/>
        <w:ind w:firstLine="420" w:firstLineChars="200"/>
        <w:jc w:val="left"/>
        <w:rPr>
          <w:rFonts w:hAnsi="宋体"/>
          <w:color w:val="auto"/>
          <w:highlight w:val="none"/>
        </w:rPr>
      </w:pPr>
      <w:r>
        <w:rPr>
          <w:rFonts w:hint="eastAsia" w:hAnsi="宋体"/>
          <w:color w:val="auto"/>
          <w:highlight w:val="none"/>
        </w:rPr>
        <w:t>1.投标报价应按招标文件中相关附表格式填写。</w:t>
      </w:r>
      <w:r>
        <w:rPr>
          <w:rFonts w:hint="eastAsia" w:hAnsi="宋体"/>
          <w:b/>
          <w:bCs/>
          <w:color w:val="auto"/>
          <w:highlight w:val="none"/>
        </w:rPr>
        <w:t>投标人可就《项目采购需求》中货物和服务内容作完整唯一报价。</w:t>
      </w:r>
    </w:p>
    <w:p w14:paraId="10D3AE4D">
      <w:pPr>
        <w:pStyle w:val="28"/>
        <w:snapToGrid w:val="0"/>
        <w:spacing w:line="360" w:lineRule="exact"/>
        <w:ind w:firstLine="420" w:firstLineChars="200"/>
        <w:jc w:val="left"/>
        <w:rPr>
          <w:rFonts w:hAnsi="宋体"/>
          <w:color w:val="auto"/>
          <w:highlight w:val="none"/>
        </w:rPr>
      </w:pPr>
      <w:r>
        <w:rPr>
          <w:rFonts w:hint="eastAsia" w:hAnsi="宋体"/>
          <w:color w:val="auto"/>
          <w:highlight w:val="none"/>
        </w:rPr>
        <w:t>2.投标报价是履行合同的最终价格，应包括货款、标准附件、备品备件、专用工具、包装、运输、装卸、保险、税金、货到就位以及安装、调试、培训、保修等一切税金和费用。</w:t>
      </w:r>
    </w:p>
    <w:p w14:paraId="1E8E10B6">
      <w:pPr>
        <w:tabs>
          <w:tab w:val="left" w:pos="52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3.投标文件只允许有一个报价，有选择的或有条件的报价将不予接受。</w:t>
      </w:r>
    </w:p>
    <w:p w14:paraId="628DAEA9">
      <w:pPr>
        <w:pStyle w:val="13"/>
        <w:widowControl w:val="0"/>
        <w:tabs>
          <w:tab w:val="clear" w:pos="454"/>
        </w:tabs>
        <w:snapToGrid w:val="0"/>
        <w:spacing w:before="156" w:beforeLines="50" w:after="120" w:afterLines="0" w:line="360" w:lineRule="exact"/>
        <w:ind w:left="0" w:firstLine="413" w:firstLineChars="196"/>
        <w:outlineLvl w:val="0"/>
        <w:rPr>
          <w:rFonts w:ascii="宋体" w:hAnsi="宋体"/>
          <w:b/>
          <w:color w:val="auto"/>
          <w:sz w:val="21"/>
          <w:szCs w:val="21"/>
          <w:highlight w:val="none"/>
        </w:rPr>
      </w:pPr>
      <w:r>
        <w:rPr>
          <w:rFonts w:hint="eastAsia" w:ascii="宋体" w:hAnsi="宋体"/>
          <w:b/>
          <w:color w:val="auto"/>
          <w:sz w:val="21"/>
          <w:szCs w:val="21"/>
          <w:highlight w:val="none"/>
        </w:rPr>
        <w:t>（四）投标文件的有效期</w:t>
      </w:r>
    </w:p>
    <w:p w14:paraId="16841552">
      <w:pPr>
        <w:pStyle w:val="13"/>
        <w:widowControl w:val="0"/>
        <w:tabs>
          <w:tab w:val="clear" w:pos="454"/>
        </w:tabs>
        <w:snapToGrid w:val="0"/>
        <w:spacing w:after="120" w:afterLines="0" w:line="360" w:lineRule="exact"/>
        <w:ind w:left="0" w:firstLine="420" w:firstLineChars="200"/>
        <w:rPr>
          <w:rFonts w:ascii="宋体" w:hAnsi="宋体"/>
          <w:color w:val="auto"/>
          <w:sz w:val="21"/>
          <w:szCs w:val="21"/>
          <w:highlight w:val="none"/>
        </w:rPr>
      </w:pPr>
      <w:r>
        <w:rPr>
          <w:rFonts w:hint="eastAsia" w:ascii="宋体" w:hAnsi="宋体"/>
          <w:color w:val="auto"/>
          <w:sz w:val="21"/>
          <w:szCs w:val="21"/>
          <w:highlight w:val="none"/>
        </w:rPr>
        <w:t>1.自投标截止日起</w:t>
      </w:r>
      <w:r>
        <w:rPr>
          <w:rFonts w:hint="eastAsia" w:ascii="宋体" w:hAnsi="宋体"/>
          <w:b/>
          <w:color w:val="auto"/>
          <w:sz w:val="21"/>
          <w:szCs w:val="21"/>
          <w:highlight w:val="none"/>
          <w:u w:val="single"/>
        </w:rPr>
        <w:t>六十日</w:t>
      </w:r>
      <w:r>
        <w:rPr>
          <w:rFonts w:hint="eastAsia" w:ascii="宋体" w:hAnsi="宋体"/>
          <w:color w:val="auto"/>
          <w:sz w:val="21"/>
          <w:szCs w:val="21"/>
          <w:highlight w:val="none"/>
        </w:rPr>
        <w:t>投标文件应保持有效。有效期不足的投标文件将被拒绝。</w:t>
      </w:r>
    </w:p>
    <w:p w14:paraId="2DDD5E4F">
      <w:pPr>
        <w:pStyle w:val="13"/>
        <w:widowControl w:val="0"/>
        <w:tabs>
          <w:tab w:val="clear" w:pos="454"/>
        </w:tabs>
        <w:snapToGrid w:val="0"/>
        <w:spacing w:after="120" w:afterLines="0" w:line="360" w:lineRule="exact"/>
        <w:ind w:left="0" w:firstLine="420" w:firstLineChars="200"/>
        <w:rPr>
          <w:rFonts w:ascii="宋体" w:hAnsi="宋体"/>
          <w:color w:val="auto"/>
          <w:sz w:val="21"/>
          <w:szCs w:val="21"/>
          <w:highlight w:val="none"/>
        </w:rPr>
      </w:pPr>
      <w:r>
        <w:rPr>
          <w:rFonts w:hint="eastAsia" w:ascii="宋体" w:hAnsi="宋体"/>
          <w:color w:val="auto"/>
          <w:sz w:val="21"/>
          <w:szCs w:val="21"/>
          <w:highlight w:val="none"/>
        </w:rPr>
        <w:t>2.在特殊情况下，招标人可与投标人协商延长投标书的有效期，这种要求和答复均以书面形式进行。</w:t>
      </w:r>
    </w:p>
    <w:p w14:paraId="10B2C81D">
      <w:pPr>
        <w:snapToGrid w:val="0"/>
        <w:spacing w:line="360" w:lineRule="exact"/>
        <w:ind w:firstLine="420" w:firstLineChars="200"/>
        <w:jc w:val="left"/>
        <w:outlineLvl w:val="0"/>
        <w:rPr>
          <w:rFonts w:ascii="宋体" w:hAnsi="宋体"/>
          <w:b/>
          <w:color w:val="auto"/>
          <w:szCs w:val="21"/>
          <w:highlight w:val="none"/>
        </w:rPr>
      </w:pPr>
      <w:r>
        <w:rPr>
          <w:rFonts w:hint="eastAsia" w:ascii="宋体" w:hAnsi="宋体"/>
          <w:color w:val="auto"/>
          <w:szCs w:val="21"/>
          <w:highlight w:val="none"/>
        </w:rPr>
        <w:t>3.投标人可拒绝接受延期要求而不会导致投标保证金被没收。同意延长有效期的投标人需要相应延长投标保证金的有效期，但不能修改投标文件。</w:t>
      </w:r>
      <w:r>
        <w:rPr>
          <w:rFonts w:hint="eastAsia" w:ascii="宋体" w:hAnsi="宋体"/>
          <w:b/>
          <w:color w:val="auto"/>
          <w:szCs w:val="21"/>
          <w:highlight w:val="none"/>
        </w:rPr>
        <w:t xml:space="preserve"> </w:t>
      </w:r>
    </w:p>
    <w:p w14:paraId="7C27119E">
      <w:pPr>
        <w:snapToGrid w:val="0"/>
        <w:spacing w:line="360" w:lineRule="exact"/>
        <w:ind w:firstLine="420" w:firstLineChars="200"/>
        <w:jc w:val="left"/>
        <w:outlineLvl w:val="0"/>
        <w:rPr>
          <w:rFonts w:ascii="宋体" w:hAnsi="宋体"/>
          <w:b/>
          <w:color w:val="auto"/>
          <w:szCs w:val="21"/>
          <w:highlight w:val="none"/>
        </w:rPr>
      </w:pPr>
      <w:r>
        <w:rPr>
          <w:rFonts w:hint="eastAsia" w:ascii="宋体" w:hAnsi="宋体"/>
          <w:color w:val="auto"/>
          <w:szCs w:val="21"/>
          <w:highlight w:val="none"/>
        </w:rPr>
        <w:t>4.中标人的投标文件自开标之日起至合同履行完毕止均应保持有效。</w:t>
      </w:r>
    </w:p>
    <w:p w14:paraId="53FE1DF2">
      <w:pPr>
        <w:snapToGrid w:val="0"/>
        <w:spacing w:before="156" w:beforeLines="50" w:line="360" w:lineRule="exact"/>
        <w:ind w:firstLine="413" w:firstLineChars="196"/>
        <w:jc w:val="left"/>
        <w:outlineLvl w:val="0"/>
        <w:rPr>
          <w:rFonts w:ascii="宋体" w:hAnsi="宋体"/>
          <w:b/>
          <w:color w:val="auto"/>
          <w:szCs w:val="21"/>
          <w:highlight w:val="none"/>
        </w:rPr>
      </w:pPr>
      <w:r>
        <w:rPr>
          <w:rFonts w:hint="eastAsia" w:ascii="宋体" w:hAnsi="宋体"/>
          <w:b/>
          <w:color w:val="auto"/>
          <w:szCs w:val="21"/>
          <w:highlight w:val="none"/>
        </w:rPr>
        <w:t>（五）投标保证金</w:t>
      </w:r>
    </w:p>
    <w:p w14:paraId="27E1B4F9">
      <w:pPr>
        <w:pStyle w:val="28"/>
        <w:spacing w:line="420" w:lineRule="exact"/>
        <w:ind w:left="840" w:leftChars="200" w:hanging="420" w:hangingChars="200"/>
        <w:rPr>
          <w:rFonts w:hAnsi="宋体"/>
          <w:color w:val="auto"/>
          <w:highlight w:val="none"/>
        </w:rPr>
      </w:pPr>
      <w:r>
        <w:rPr>
          <w:rFonts w:hint="eastAsia" w:hAnsi="宋体"/>
          <w:color w:val="auto"/>
          <w:highlight w:val="none"/>
        </w:rPr>
        <w:t>1. 投标保证金应用人民币，投标人须按规定提交投标保证金。否则，其投标将被拒绝。</w:t>
      </w:r>
    </w:p>
    <w:p w14:paraId="5320330A">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2.保证金交纳形式：</w:t>
      </w:r>
      <w:r>
        <w:rPr>
          <w:rFonts w:hint="eastAsia" w:ascii="宋体" w:hAnsi="宋体"/>
          <w:color w:val="auto"/>
          <w:highlight w:val="none"/>
        </w:rPr>
        <w:t>支票、汇票、本票、金融机构、担保机构</w:t>
      </w:r>
      <w:r>
        <w:rPr>
          <w:rFonts w:ascii="宋体" w:hAnsi="宋体"/>
          <w:color w:val="auto"/>
          <w:highlight w:val="none"/>
        </w:rPr>
        <w:t>出具的保函等非现金形式</w:t>
      </w:r>
      <w:r>
        <w:rPr>
          <w:rFonts w:hint="eastAsia" w:ascii="宋体" w:hAnsi="宋体"/>
          <w:color w:val="auto"/>
          <w:szCs w:val="21"/>
          <w:highlight w:val="none"/>
        </w:rPr>
        <w:t>。</w:t>
      </w:r>
    </w:p>
    <w:p w14:paraId="6901D893">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投标人应按本须知</w:t>
      </w:r>
      <w:r>
        <w:rPr>
          <w:rFonts w:hint="eastAsia" w:ascii="宋体" w:hAnsi="宋体"/>
          <w:color w:val="auto"/>
          <w:szCs w:val="21"/>
          <w:highlight w:val="none"/>
        </w:rPr>
        <w:t>及</w:t>
      </w:r>
      <w:r>
        <w:rPr>
          <w:rFonts w:ascii="宋体" w:hAnsi="宋体"/>
          <w:color w:val="auto"/>
          <w:szCs w:val="21"/>
          <w:highlight w:val="none"/>
        </w:rPr>
        <w:t>招标公告中所明确的开户名称、开户银行、账号，于投标截止前交到本中心账户上（投标人交纳投标保证金时应充分考虑保证金到达本中心账户上的</w:t>
      </w:r>
      <w:r>
        <w:rPr>
          <w:rFonts w:hint="eastAsia" w:ascii="宋体" w:hAnsi="宋体"/>
          <w:color w:val="auto"/>
          <w:szCs w:val="21"/>
          <w:highlight w:val="none"/>
        </w:rPr>
        <w:t>清算</w:t>
      </w:r>
      <w:r>
        <w:rPr>
          <w:rFonts w:ascii="宋体" w:hAnsi="宋体"/>
          <w:color w:val="auto"/>
          <w:szCs w:val="21"/>
          <w:highlight w:val="none"/>
        </w:rPr>
        <w:t>时间）。</w:t>
      </w:r>
    </w:p>
    <w:p w14:paraId="7C94B3AD">
      <w:pPr>
        <w:snapToGrid w:val="0"/>
        <w:spacing w:line="360" w:lineRule="exact"/>
        <w:jc w:val="left"/>
        <w:rPr>
          <w:rFonts w:ascii="宋体" w:hAnsi="宋体"/>
          <w:color w:val="auto"/>
          <w:szCs w:val="21"/>
          <w:highlight w:val="none"/>
        </w:rPr>
      </w:pPr>
      <w:r>
        <w:rPr>
          <w:rFonts w:hint="eastAsia"/>
          <w:b/>
          <w:color w:val="auto"/>
          <w:highlight w:val="none"/>
          <w:u w:val="single"/>
        </w:rPr>
        <w:t>本中心财务（</w:t>
      </w:r>
      <w:r>
        <w:rPr>
          <w:b/>
          <w:color w:val="auto"/>
          <w:highlight w:val="none"/>
          <w:u w:val="single"/>
          <w:lang w:val="en"/>
        </w:rPr>
        <w:t>地址：</w:t>
      </w:r>
    </w:p>
    <w:p w14:paraId="6E44AE8A">
      <w:pPr>
        <w:pStyle w:val="28"/>
        <w:spacing w:line="420" w:lineRule="exact"/>
        <w:ind w:left="1" w:firstLine="631" w:firstLineChars="349"/>
        <w:rPr>
          <w:b/>
          <w:color w:val="auto"/>
          <w:sz w:val="18"/>
          <w:szCs w:val="18"/>
          <w:highlight w:val="none"/>
        </w:rPr>
      </w:pPr>
      <w:r>
        <w:rPr>
          <w:rFonts w:hint="eastAsia" w:hAnsi="宋体"/>
          <w:b/>
          <w:color w:val="auto"/>
          <w:sz w:val="18"/>
          <w:szCs w:val="18"/>
          <w:highlight w:val="none"/>
        </w:rPr>
        <w:t>注：①</w:t>
      </w:r>
      <w:r>
        <w:rPr>
          <w:rFonts w:hint="eastAsia"/>
          <w:b/>
          <w:color w:val="auto"/>
          <w:sz w:val="18"/>
          <w:szCs w:val="18"/>
          <w:highlight w:val="none"/>
        </w:rPr>
        <w:t>办理投标保证金手续时，请务必在保证金凭据上注明或写明项目名称及项目编号，以免耽误投标。</w:t>
      </w:r>
    </w:p>
    <w:p w14:paraId="1CE46600">
      <w:pPr>
        <w:snapToGrid w:val="0"/>
        <w:spacing w:line="360" w:lineRule="exact"/>
        <w:ind w:firstLine="985" w:firstLineChars="545"/>
        <w:jc w:val="left"/>
        <w:rPr>
          <w:rFonts w:hAnsi="宋体"/>
          <w:b/>
          <w:color w:val="auto"/>
          <w:sz w:val="18"/>
          <w:szCs w:val="18"/>
          <w:highlight w:val="none"/>
        </w:rPr>
      </w:pPr>
      <w:r>
        <w:rPr>
          <w:rFonts w:hint="eastAsia" w:hAnsi="宋体"/>
          <w:b/>
          <w:color w:val="auto"/>
          <w:sz w:val="18"/>
          <w:szCs w:val="18"/>
          <w:highlight w:val="none"/>
        </w:rPr>
        <w:t>②</w:t>
      </w:r>
      <w:r>
        <w:rPr>
          <w:rFonts w:hint="eastAsia" w:ascii="宋体" w:hAnsi="宋体"/>
          <w:b/>
          <w:color w:val="auto"/>
          <w:sz w:val="18"/>
          <w:szCs w:val="18"/>
          <w:highlight w:val="none"/>
        </w:rPr>
        <w:t>未中标人的投标保证金在中标通知书发出后4个工作日内退还，</w:t>
      </w:r>
      <w:r>
        <w:rPr>
          <w:rFonts w:hint="eastAsia" w:hAnsi="宋体"/>
          <w:b/>
          <w:color w:val="auto"/>
          <w:sz w:val="18"/>
          <w:szCs w:val="18"/>
          <w:highlight w:val="none"/>
        </w:rPr>
        <w:t>不计利息。</w:t>
      </w:r>
    </w:p>
    <w:p w14:paraId="6A02410B">
      <w:pPr>
        <w:snapToGrid w:val="0"/>
        <w:spacing w:line="360" w:lineRule="exact"/>
        <w:ind w:firstLine="990" w:firstLineChars="548"/>
        <w:jc w:val="left"/>
        <w:rPr>
          <w:rFonts w:ascii="宋体" w:hAnsi="宋体"/>
          <w:b/>
          <w:color w:val="auto"/>
          <w:sz w:val="18"/>
          <w:szCs w:val="18"/>
          <w:highlight w:val="none"/>
        </w:rPr>
      </w:pPr>
      <w:r>
        <w:rPr>
          <w:rFonts w:hint="eastAsia" w:hAnsi="宋体"/>
          <w:b/>
          <w:color w:val="auto"/>
          <w:sz w:val="18"/>
          <w:szCs w:val="18"/>
          <w:highlight w:val="none"/>
        </w:rPr>
        <w:t>③</w:t>
      </w:r>
      <w:r>
        <w:rPr>
          <w:rFonts w:hint="eastAsia" w:ascii="宋体" w:hAnsi="宋体"/>
          <w:b/>
          <w:color w:val="auto"/>
          <w:spacing w:val="-4"/>
          <w:sz w:val="18"/>
          <w:szCs w:val="18"/>
          <w:highlight w:val="none"/>
        </w:rPr>
        <w:t>中标人的</w:t>
      </w:r>
      <w:r>
        <w:rPr>
          <w:rFonts w:ascii="宋体" w:hAnsi="宋体"/>
          <w:b/>
          <w:color w:val="auto"/>
          <w:spacing w:val="-4"/>
          <w:sz w:val="18"/>
          <w:szCs w:val="18"/>
          <w:highlight w:val="none"/>
        </w:rPr>
        <w:t>投标保证金自政府采购合同签订之日起</w:t>
      </w:r>
      <w:r>
        <w:rPr>
          <w:rFonts w:hint="eastAsia" w:ascii="宋体" w:hAnsi="宋体"/>
          <w:b/>
          <w:color w:val="auto"/>
          <w:spacing w:val="-4"/>
          <w:sz w:val="18"/>
          <w:szCs w:val="18"/>
          <w:highlight w:val="none"/>
        </w:rPr>
        <w:t>4个工作日</w:t>
      </w:r>
      <w:r>
        <w:rPr>
          <w:rFonts w:ascii="宋体" w:hAnsi="宋体"/>
          <w:b/>
          <w:color w:val="auto"/>
          <w:spacing w:val="-4"/>
          <w:sz w:val="18"/>
          <w:szCs w:val="18"/>
          <w:highlight w:val="none"/>
        </w:rPr>
        <w:t>内</w:t>
      </w:r>
      <w:r>
        <w:rPr>
          <w:rFonts w:hint="eastAsia" w:ascii="宋体" w:hAnsi="宋体"/>
          <w:b/>
          <w:color w:val="auto"/>
          <w:spacing w:val="-4"/>
          <w:sz w:val="18"/>
          <w:szCs w:val="18"/>
          <w:highlight w:val="none"/>
        </w:rPr>
        <w:t>（合同签订后送达本中心)后</w:t>
      </w:r>
      <w:r>
        <w:rPr>
          <w:rFonts w:ascii="宋体" w:hAnsi="宋体"/>
          <w:b/>
          <w:color w:val="auto"/>
          <w:spacing w:val="-4"/>
          <w:sz w:val="18"/>
          <w:szCs w:val="18"/>
          <w:highlight w:val="none"/>
        </w:rPr>
        <w:t>退还</w:t>
      </w:r>
      <w:r>
        <w:rPr>
          <w:rFonts w:hint="eastAsia" w:ascii="宋体" w:hAnsi="宋体"/>
          <w:b/>
          <w:color w:val="auto"/>
          <w:spacing w:val="-4"/>
          <w:sz w:val="18"/>
          <w:szCs w:val="18"/>
          <w:highlight w:val="none"/>
        </w:rPr>
        <w:t>，不计利息。</w:t>
      </w:r>
    </w:p>
    <w:p w14:paraId="40BE0677">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4. </w:t>
      </w:r>
      <w:r>
        <w:rPr>
          <w:rFonts w:ascii="宋体" w:hAnsi="宋体" w:cs="宋体"/>
          <w:color w:val="auto"/>
          <w:kern w:val="0"/>
          <w:szCs w:val="21"/>
          <w:highlight w:val="none"/>
        </w:rPr>
        <w:t>中标人应在中标通知书发出</w:t>
      </w:r>
      <w:r>
        <w:rPr>
          <w:rFonts w:hint="eastAsia" w:ascii="宋体" w:hAnsi="宋体" w:cs="宋体"/>
          <w:color w:val="auto"/>
          <w:kern w:val="0"/>
          <w:szCs w:val="21"/>
          <w:highlight w:val="none"/>
        </w:rPr>
        <w:t>之日起</w:t>
      </w:r>
      <w:r>
        <w:rPr>
          <w:rFonts w:hint="eastAsia" w:ascii="宋体" w:hAnsi="宋体"/>
          <w:color w:val="auto"/>
          <w:szCs w:val="21"/>
          <w:highlight w:val="none"/>
          <w:u w:val="single"/>
        </w:rPr>
        <w:t>25</w:t>
      </w:r>
      <w:r>
        <w:rPr>
          <w:rFonts w:hint="eastAsia" w:ascii="宋体" w:hAnsi="宋体"/>
          <w:color w:val="auto"/>
          <w:szCs w:val="21"/>
          <w:highlight w:val="none"/>
        </w:rPr>
        <w:t>日内与采购人签订合同。</w:t>
      </w:r>
      <w:r>
        <w:rPr>
          <w:rFonts w:hint="eastAsia" w:hAnsi="宋体"/>
          <w:bCs/>
          <w:color w:val="auto"/>
          <w:highlight w:val="none"/>
        </w:rPr>
        <w:t>采购需求另有要求的，按照其要求执行。</w:t>
      </w:r>
    </w:p>
    <w:p w14:paraId="6B0FA316">
      <w:pPr>
        <w:pStyle w:val="28"/>
        <w:spacing w:line="400" w:lineRule="exact"/>
        <w:ind w:firstLine="420" w:firstLineChars="200"/>
        <w:rPr>
          <w:rFonts w:hAnsi="宋体"/>
          <w:color w:val="auto"/>
          <w:highlight w:val="none"/>
        </w:rPr>
      </w:pPr>
      <w:r>
        <w:rPr>
          <w:rFonts w:hint="eastAsia"/>
          <w:color w:val="auto"/>
          <w:highlight w:val="none"/>
        </w:rPr>
        <w:t>5.投标保证金不计息。</w:t>
      </w:r>
    </w:p>
    <w:p w14:paraId="7AB97E0C">
      <w:pPr>
        <w:snapToGrid w:val="0"/>
        <w:spacing w:line="360" w:lineRule="exact"/>
        <w:ind w:firstLine="413" w:firstLineChars="196"/>
        <w:jc w:val="left"/>
        <w:rPr>
          <w:rFonts w:ascii="宋体" w:hAnsi="宋体"/>
          <w:b/>
          <w:bCs/>
          <w:color w:val="auto"/>
          <w:szCs w:val="21"/>
          <w:highlight w:val="none"/>
        </w:rPr>
      </w:pPr>
      <w:r>
        <w:rPr>
          <w:rFonts w:hint="eastAsia" w:ascii="宋体" w:hAnsi="宋体"/>
          <w:b/>
          <w:bCs/>
          <w:color w:val="auto"/>
          <w:szCs w:val="21"/>
          <w:highlight w:val="none"/>
        </w:rPr>
        <w:t>6.投标人有下列情形之一的，投标保证金将不予退还：</w:t>
      </w:r>
    </w:p>
    <w:p w14:paraId="39300E63">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（1）投标人在投标有效期内撤回投标文件的；</w:t>
      </w:r>
    </w:p>
    <w:p w14:paraId="16F23184">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（2）投标人在投标过程中弄虚作假，提供虚假材料的；</w:t>
      </w:r>
    </w:p>
    <w:p w14:paraId="4D14A412">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（3）中标人无正当理由不与采购人签订合同的；</w:t>
      </w:r>
    </w:p>
    <w:p w14:paraId="33ED75C9">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bCs/>
          <w:color w:val="auto"/>
          <w:spacing w:val="-6"/>
          <w:szCs w:val="21"/>
          <w:highlight w:val="none"/>
        </w:rPr>
        <w:t>将中标项目转让给他人或者在投标文件中未说明且未经招标采购人同意，将中标项目分包给他人的；</w:t>
      </w:r>
    </w:p>
    <w:p w14:paraId="1BF1831D">
      <w:pPr>
        <w:snapToGrid w:val="0"/>
        <w:spacing w:line="360" w:lineRule="exact"/>
        <w:ind w:firstLine="411" w:firstLineChars="196"/>
        <w:rPr>
          <w:rFonts w:ascii="宋体" w:hAnsi="宋体"/>
          <w:b/>
          <w:color w:val="auto"/>
          <w:szCs w:val="21"/>
          <w:highlight w:val="none"/>
        </w:rPr>
      </w:pPr>
      <w:r>
        <w:rPr>
          <w:rFonts w:hint="eastAsia" w:ascii="宋体" w:hAnsi="宋体"/>
          <w:color w:val="auto"/>
          <w:szCs w:val="21"/>
          <w:highlight w:val="none"/>
        </w:rPr>
        <w:t>（5）拒绝履行合同义务的；</w:t>
      </w:r>
    </w:p>
    <w:p w14:paraId="525BFD24">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（6）其他严重扰乱招投标程序的。</w:t>
      </w:r>
    </w:p>
    <w:p w14:paraId="67A61A5F">
      <w:pPr>
        <w:snapToGrid w:val="0"/>
        <w:spacing w:line="360" w:lineRule="exact"/>
        <w:ind w:firstLine="422" w:firstLineChars="200"/>
        <w:rPr>
          <w:rFonts w:ascii="宋体" w:hAnsi="宋体"/>
          <w:b/>
          <w:color w:val="auto"/>
          <w:szCs w:val="21"/>
          <w:highlight w:val="none"/>
        </w:rPr>
      </w:pPr>
      <w:r>
        <w:rPr>
          <w:rFonts w:hint="eastAsia" w:ascii="宋体" w:hAnsi="宋体"/>
          <w:b/>
          <w:color w:val="auto"/>
          <w:szCs w:val="21"/>
          <w:highlight w:val="none"/>
        </w:rPr>
        <w:t>（六）投标文件的签署和份数</w:t>
      </w:r>
    </w:p>
    <w:p w14:paraId="6360BC1C">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1.投标人应按本招标文件规定的格式和顺序编制投标文件并标注页码，投标文件内容不完整、编排混乱导致投标文件被误读、漏读或者查找不到相关内容的，是投标人的责任。</w:t>
      </w:r>
    </w:p>
    <w:p w14:paraId="196C4DC7">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 投标文件份数：见投标人须知及前附表。</w:t>
      </w:r>
    </w:p>
    <w:p w14:paraId="22ECC04A">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3.投标文件须由投标人在规定位置盖章并由法定代表人或法定代表人的授权委托人签字或签章，投标人应写全称。</w:t>
      </w:r>
    </w:p>
    <w:p w14:paraId="48D482E2">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4.投标文件不得涂改，若有修改错漏处，须加盖单位公章或者法定代表人或授权委托人签字或签章。投标文件扫描不清晰或乱码或表达不清所引起的后果由投标人负责。</w:t>
      </w:r>
    </w:p>
    <w:p w14:paraId="6ADB1465">
      <w:pPr>
        <w:snapToGrid w:val="0"/>
        <w:spacing w:before="156" w:beforeLines="50" w:line="360" w:lineRule="exact"/>
        <w:ind w:firstLine="310" w:firstLineChars="147"/>
        <w:jc w:val="left"/>
        <w:outlineLvl w:val="0"/>
        <w:rPr>
          <w:rFonts w:ascii="宋体" w:hAnsi="宋体"/>
          <w:b/>
          <w:color w:val="auto"/>
          <w:szCs w:val="21"/>
          <w:highlight w:val="none"/>
        </w:rPr>
      </w:pPr>
      <w:r>
        <w:rPr>
          <w:rFonts w:hint="eastAsia" w:ascii="宋体" w:hAnsi="宋体"/>
          <w:b/>
          <w:color w:val="auto"/>
          <w:szCs w:val="21"/>
          <w:highlight w:val="none"/>
        </w:rPr>
        <w:t>（七）</w:t>
      </w:r>
      <w:r>
        <w:rPr>
          <w:rFonts w:hint="eastAsia"/>
          <w:b/>
          <w:color w:val="auto"/>
          <w:highlight w:val="none"/>
        </w:rPr>
        <w:t>投标文件的上传、提交、修改、撤回和解密</w:t>
      </w:r>
    </w:p>
    <w:p w14:paraId="1B86AD33">
      <w:pPr>
        <w:adjustRightInd w:val="0"/>
        <w:snapToGrid w:val="0"/>
        <w:spacing w:line="400" w:lineRule="exact"/>
        <w:ind w:firstLine="420"/>
        <w:jc w:val="left"/>
        <w:rPr>
          <w:b/>
          <w:color w:val="auto"/>
          <w:highlight w:val="none"/>
        </w:rPr>
      </w:pPr>
      <w:r>
        <w:rPr>
          <w:rFonts w:hint="eastAsia" w:hAnsi="宋体"/>
          <w:color w:val="auto"/>
          <w:highlight w:val="none"/>
        </w:rPr>
        <w:t>▲</w:t>
      </w:r>
      <w:r>
        <w:rPr>
          <w:rFonts w:hint="eastAsia" w:ascii="宋体" w:hAnsi="宋体"/>
          <w:color w:val="auto"/>
          <w:szCs w:val="21"/>
          <w:highlight w:val="none"/>
        </w:rPr>
        <w:t xml:space="preserve">1. </w:t>
      </w:r>
      <w:r>
        <w:rPr>
          <w:rFonts w:hint="eastAsia"/>
          <w:b/>
          <w:color w:val="auto"/>
          <w:highlight w:val="none"/>
        </w:rPr>
        <w:t>投标文件的上传、提交：见投标人须知及前附表。</w:t>
      </w:r>
    </w:p>
    <w:p w14:paraId="048F54FF">
      <w:pPr>
        <w:adjustRightInd w:val="0"/>
        <w:snapToGrid w:val="0"/>
        <w:spacing w:line="400" w:lineRule="exact"/>
        <w:ind w:firstLine="42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s="仿宋_GB2312"/>
          <w:color w:val="auto"/>
          <w:kern w:val="0"/>
          <w:szCs w:val="21"/>
          <w:highlight w:val="none"/>
          <w:lang w:val="zh-CN"/>
        </w:rPr>
        <w:t xml:space="preserve"> 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14:paraId="51FB8B0C">
      <w:pPr>
        <w:adjustRightInd w:val="0"/>
        <w:snapToGrid w:val="0"/>
        <w:spacing w:line="400" w:lineRule="exact"/>
        <w:ind w:firstLine="424" w:firstLineChars="210"/>
        <w:rPr>
          <w:rFonts w:ascii="宋体" w:hAnsi="宋体"/>
          <w:color w:val="auto"/>
          <w:spacing w:val="-4"/>
          <w:szCs w:val="21"/>
          <w:highlight w:val="none"/>
        </w:rPr>
      </w:pPr>
      <w:r>
        <w:rPr>
          <w:rFonts w:hint="eastAsia" w:ascii="宋体" w:hAnsi="宋体"/>
          <w:color w:val="auto"/>
          <w:spacing w:val="-4"/>
          <w:szCs w:val="21"/>
          <w:highlight w:val="none"/>
        </w:rPr>
        <w:t>3.</w:t>
      </w:r>
      <w:r>
        <w:rPr>
          <w:rFonts w:hint="eastAsia" w:ascii="宋体"/>
          <w:snapToGrid w:val="0"/>
          <w:color w:val="auto"/>
          <w:szCs w:val="21"/>
          <w:highlight w:val="none"/>
        </w:rPr>
        <w:t xml:space="preserve"> 电子加密投标文件的解密：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p w14:paraId="61D86D70">
      <w:pPr>
        <w:snapToGrid w:val="0"/>
        <w:spacing w:line="360" w:lineRule="exact"/>
        <w:ind w:firstLine="420"/>
        <w:jc w:val="left"/>
        <w:rPr>
          <w:rFonts w:ascii="宋体" w:hAnsi="宋体"/>
          <w:color w:val="auto"/>
          <w:spacing w:val="-4"/>
          <w:szCs w:val="21"/>
          <w:highlight w:val="none"/>
        </w:rPr>
      </w:pPr>
      <w:r>
        <w:rPr>
          <w:rFonts w:hint="eastAsia" w:ascii="宋体" w:hAnsi="宋体"/>
          <w:color w:val="auto"/>
          <w:spacing w:val="-4"/>
          <w:szCs w:val="21"/>
          <w:highlight w:val="none"/>
        </w:rPr>
        <w:t>4.投标人已经被推荐为第一中标候选供应商后撤回投标或放弃中标的，其投标保证金将不予退还，并上缴国库，给采购人造成损失的，还应当赔偿损失，并作为不良行为记录在案。</w:t>
      </w:r>
    </w:p>
    <w:p w14:paraId="38E7E1FD">
      <w:pPr>
        <w:snapToGrid w:val="0"/>
        <w:spacing w:line="360" w:lineRule="exact"/>
        <w:ind w:firstLine="420"/>
        <w:jc w:val="left"/>
        <w:outlineLvl w:val="0"/>
        <w:rPr>
          <w:rFonts w:ascii="宋体" w:hAnsi="宋体"/>
          <w:b/>
          <w:color w:val="auto"/>
          <w:szCs w:val="21"/>
          <w:highlight w:val="none"/>
        </w:rPr>
      </w:pPr>
      <w:r>
        <w:rPr>
          <w:rFonts w:hint="eastAsia" w:ascii="宋体" w:hAnsi="宋体"/>
          <w:b/>
          <w:color w:val="auto"/>
          <w:szCs w:val="21"/>
          <w:highlight w:val="none"/>
        </w:rPr>
        <w:t>（八）投标无效的情形</w:t>
      </w:r>
    </w:p>
    <w:p w14:paraId="090A0373">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14:paraId="41724E9B">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1.在符合性审查和资格性审查时，如发现下列情形之一的，投标文件将被视为无效：</w:t>
      </w:r>
    </w:p>
    <w:p w14:paraId="038ACA71">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（1）超越了按照法律法规规定必须获得行政许可或者行政审批的经营范围的；</w:t>
      </w:r>
    </w:p>
    <w:p w14:paraId="40D43A56">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（2）资格证明文件不全的，或者不符合招标文件标明的资格要求的；</w:t>
      </w:r>
    </w:p>
    <w:p w14:paraId="6154ED72">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（3）投标文件无法定代表人（负责人）或其授权委托代理人</w:t>
      </w:r>
      <w:r>
        <w:rPr>
          <w:rFonts w:ascii="宋体" w:hAnsi="宋体" w:eastAsia="宋体"/>
          <w:color w:val="auto"/>
          <w:spacing w:val="-4"/>
          <w:sz w:val="21"/>
          <w:szCs w:val="21"/>
          <w:highlight w:val="none"/>
          <w:lang w:val="en"/>
        </w:rPr>
        <w:t>签字或签章</w:t>
      </w:r>
      <w:r>
        <w:rPr>
          <w:rFonts w:hint="eastAsia" w:ascii="宋体" w:hAnsi="宋体" w:eastAsia="宋体"/>
          <w:color w:val="auto"/>
          <w:spacing w:val="-4"/>
          <w:sz w:val="21"/>
          <w:szCs w:val="21"/>
          <w:highlight w:val="none"/>
        </w:rPr>
        <w:t>，或未提供法定代表人（负责人）授权委托书、投标声明书或者填写项目不齐全的；</w:t>
      </w:r>
    </w:p>
    <w:p w14:paraId="4D8F89CF">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（4）投标代表人未能出具身份证明或与法定代表人（负责人）授权委托人身份不符的；</w:t>
      </w:r>
    </w:p>
    <w:p w14:paraId="0981482B">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（5）项目不齐全或者内容虚假的；</w:t>
      </w:r>
    </w:p>
    <w:p w14:paraId="595CA9D6">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（6）投标文件的实质性内容未使用中文表述、意思表述不明确、前后矛盾或者使用计量单位不符合投标文件要求的（经评标委员会认定并允许其当场更正的笔误除外）；</w:t>
      </w:r>
    </w:p>
    <w:p w14:paraId="38780EF4">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（7）投标有效期、交付使用时间、质保期等商务条款不能满足招标文件要求的；</w:t>
      </w:r>
    </w:p>
    <w:p w14:paraId="46111A1B">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（8）未实质性响应招标文件要求或者投标文件有招标方不能接受的附加条件的；</w:t>
      </w:r>
    </w:p>
    <w:p w14:paraId="642B7711">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（9）</w:t>
      </w:r>
      <w:r>
        <w:rPr>
          <w:rFonts w:ascii="宋体" w:hAnsi="宋体" w:eastAsia="宋体"/>
          <w:color w:val="auto"/>
          <w:spacing w:val="-4"/>
          <w:sz w:val="21"/>
          <w:szCs w:val="21"/>
          <w:highlight w:val="none"/>
        </w:rPr>
        <w:t>未按照招标文件的规定提交投标保证金的</w:t>
      </w:r>
      <w:r>
        <w:rPr>
          <w:rFonts w:hint="eastAsia" w:ascii="宋体" w:hAnsi="宋体" w:eastAsia="宋体"/>
          <w:color w:val="auto"/>
          <w:spacing w:val="-4"/>
          <w:sz w:val="21"/>
          <w:szCs w:val="21"/>
          <w:highlight w:val="none"/>
        </w:rPr>
        <w:t>（说明：评标时，评标委员会将以本中心财务室编制的《采购文件购买名单及保证金收缴情况表》作为评审依据）。</w:t>
      </w:r>
    </w:p>
    <w:p w14:paraId="3EE49007">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2.在技术评审时，如发现下列情形之一的，投标文件将被视为无效：</w:t>
      </w:r>
    </w:p>
    <w:p w14:paraId="7DEA2C70">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（1）未提供或未如实提供投标货物的技术参数，或者投标文件标明的响应或偏离与事实不符或虚假投标的；</w:t>
      </w:r>
    </w:p>
    <w:p w14:paraId="689F5BA3">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（2）明显不符合招标文件要求的规格型号、质量标准，或者与招标文件中的技术指标、主要功能项目发生实质性偏离的；</w:t>
      </w:r>
    </w:p>
    <w:p w14:paraId="2FEDB3C8">
      <w:pPr>
        <w:pStyle w:val="21"/>
        <w:snapToGrid w:val="0"/>
        <w:spacing w:line="360" w:lineRule="exact"/>
        <w:ind w:firstLine="398" w:firstLineChars="196"/>
        <w:outlineLvl w:val="0"/>
        <w:rPr>
          <w:rFonts w:ascii="宋体" w:hAnsi="宋体" w:eastAsia="宋体"/>
          <w:b/>
          <w:bCs/>
          <w:color w:val="auto"/>
          <w:spacing w:val="-4"/>
          <w:sz w:val="21"/>
          <w:szCs w:val="21"/>
          <w:highlight w:val="none"/>
        </w:rPr>
      </w:pPr>
      <w:r>
        <w:rPr>
          <w:rFonts w:hint="eastAsia" w:ascii="宋体" w:hAnsi="宋体" w:eastAsia="宋体"/>
          <w:b/>
          <w:bCs/>
          <w:color w:val="auto"/>
          <w:spacing w:val="-4"/>
          <w:sz w:val="21"/>
          <w:szCs w:val="21"/>
          <w:highlight w:val="none"/>
        </w:rPr>
        <w:t>（3）标星号“</w:t>
      </w:r>
      <w:r>
        <w:rPr>
          <w:rFonts w:hint="eastAsia" w:ascii="宋体" w:hAnsi="宋体" w:cs="宋体"/>
          <w:b/>
          <w:bCs/>
          <w:color w:val="auto"/>
          <w:kern w:val="0"/>
          <w:sz w:val="21"/>
          <w:szCs w:val="21"/>
          <w:highlight w:val="none"/>
        </w:rPr>
        <w:t>▲</w:t>
      </w:r>
      <w:r>
        <w:rPr>
          <w:rFonts w:hint="eastAsia" w:ascii="宋体" w:hAnsi="宋体" w:eastAsia="宋体"/>
          <w:b/>
          <w:bCs/>
          <w:color w:val="auto"/>
          <w:spacing w:val="-4"/>
          <w:sz w:val="21"/>
          <w:szCs w:val="21"/>
          <w:highlight w:val="none"/>
        </w:rPr>
        <w:t>”的技术、性能指标发生负偏离达</w:t>
      </w:r>
      <w:r>
        <w:rPr>
          <w:rFonts w:hint="eastAsia" w:ascii="宋体" w:hAnsi="宋体" w:eastAsia="宋体"/>
          <w:b/>
          <w:bCs/>
          <w:color w:val="auto"/>
          <w:spacing w:val="-4"/>
          <w:sz w:val="21"/>
          <w:szCs w:val="21"/>
          <w:highlight w:val="none"/>
          <w:u w:val="single"/>
        </w:rPr>
        <w:t xml:space="preserve">  1  </w:t>
      </w:r>
      <w:r>
        <w:rPr>
          <w:rFonts w:hint="eastAsia" w:ascii="宋体" w:hAnsi="宋体" w:eastAsia="宋体"/>
          <w:b/>
          <w:bCs/>
          <w:color w:val="auto"/>
          <w:spacing w:val="-4"/>
          <w:sz w:val="21"/>
          <w:szCs w:val="21"/>
          <w:highlight w:val="none"/>
        </w:rPr>
        <w:t>项（含）以上的；</w:t>
      </w:r>
    </w:p>
    <w:p w14:paraId="470D75D0">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（4）投标技术方案不明确，存在一个或一个以上备选（替换）投标方案的；</w:t>
      </w:r>
    </w:p>
    <w:p w14:paraId="7267A480">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（5）与其他参加本次投标供应商的投标文件（技术文件）的文字表述内容差错相同二处以上的。</w:t>
      </w:r>
    </w:p>
    <w:p w14:paraId="17F7ECC0">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3.在报价评审时，如发现下列情形之一的，投标文件将被视为无效：</w:t>
      </w:r>
    </w:p>
    <w:p w14:paraId="3BC09398">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（1）未采用人民币报价或者未按照招标文件标明的币种报价的；</w:t>
      </w:r>
    </w:p>
    <w:p w14:paraId="6D22AC02">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（2）报价超出最高限价，或者超出采购预算金额，采购人不能支付的；</w:t>
      </w:r>
    </w:p>
    <w:p w14:paraId="5CB89416">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（3）投标报价具有选择性，或者开标价格与投标文件承诺的优惠（折扣）价格不一致的。</w:t>
      </w:r>
    </w:p>
    <w:p w14:paraId="02CDB827">
      <w:pPr>
        <w:adjustRightInd w:val="0"/>
        <w:snapToGrid w:val="0"/>
        <w:spacing w:line="400" w:lineRule="exact"/>
        <w:ind w:firstLine="422" w:firstLineChars="200"/>
        <w:jc w:val="left"/>
        <w:rPr>
          <w:rFonts w:ascii="宋体" w:hAnsi="宋体" w:cs="仿宋_GB2312"/>
          <w:b/>
          <w:bCs/>
          <w:color w:val="auto"/>
          <w:kern w:val="0"/>
          <w:szCs w:val="21"/>
          <w:highlight w:val="none"/>
          <w:lang w:val="zh-CN"/>
        </w:rPr>
      </w:pPr>
      <w:bookmarkStart w:id="7" w:name="_Toc40864952"/>
      <w:bookmarkStart w:id="8" w:name="_Toc40864676"/>
      <w:bookmarkStart w:id="9" w:name="_Toc40865068"/>
      <w:r>
        <w:rPr>
          <w:rFonts w:hint="eastAsia" w:ascii="宋体" w:hAnsi="宋体" w:cs="仿宋_GB2312"/>
          <w:b/>
          <w:bCs/>
          <w:color w:val="auto"/>
          <w:kern w:val="0"/>
          <w:szCs w:val="21"/>
          <w:highlight w:val="none"/>
          <w:lang w:val="zh-CN"/>
        </w:rPr>
        <w:t>（4）评标委员会在评审中，经启动异常低价审查程序后供应商未能</w:t>
      </w:r>
      <w:r>
        <w:rPr>
          <w:rFonts w:hint="eastAsia"/>
          <w:b/>
          <w:bCs/>
          <w:color w:val="auto"/>
          <w:highlight w:val="none"/>
        </w:rPr>
        <w:t>证明其报价合理性的</w:t>
      </w:r>
      <w:r>
        <w:rPr>
          <w:rFonts w:hint="eastAsia" w:ascii="宋体" w:hAnsi="宋体" w:cs="仿宋_GB2312"/>
          <w:b/>
          <w:bCs/>
          <w:color w:val="auto"/>
          <w:kern w:val="0"/>
          <w:szCs w:val="21"/>
          <w:highlight w:val="none"/>
          <w:lang w:val="zh-CN"/>
        </w:rPr>
        <w:t>。</w:t>
      </w:r>
      <w:bookmarkEnd w:id="7"/>
      <w:bookmarkEnd w:id="8"/>
      <w:bookmarkEnd w:id="9"/>
    </w:p>
    <w:p w14:paraId="5F0C4DBE">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4.有下列情形之一的视为投标人相互串通投标，投标文件将被视为无效:</w:t>
      </w:r>
    </w:p>
    <w:p w14:paraId="5A8A276C">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（1）不同投标人的投标文件由同一单位或者个人编制；或不同投标人报名的IP地址一致的；</w:t>
      </w:r>
    </w:p>
    <w:p w14:paraId="77FA173D">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（2）不同投标人委托同一单位或者个人办理投标事宜；</w:t>
      </w:r>
    </w:p>
    <w:p w14:paraId="2401B2B8">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（3）不同投标人的投标文件载明的项目管理成员或者联系人员为同一人；</w:t>
      </w:r>
    </w:p>
    <w:p w14:paraId="1959E7F4">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（4）不同投标人的投标文件异常一致或投标报价呈规律性差异；</w:t>
      </w:r>
    </w:p>
    <w:p w14:paraId="28816D51">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（5）不同投标人的投标文件相互混装；</w:t>
      </w:r>
    </w:p>
    <w:p w14:paraId="43E91F43">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hint="eastAsia" w:ascii="宋体" w:hAnsi="宋体" w:eastAsia="宋体"/>
          <w:color w:val="auto"/>
          <w:spacing w:val="-4"/>
          <w:sz w:val="21"/>
          <w:szCs w:val="21"/>
          <w:highlight w:val="none"/>
        </w:rPr>
        <w:t>（6）不同投标人的投标保证金从同一个单位或者个人账户转出。</w:t>
      </w:r>
    </w:p>
    <w:p w14:paraId="46B9D2C7">
      <w:pPr>
        <w:pStyle w:val="21"/>
        <w:adjustRightInd w:val="0"/>
        <w:snapToGrid w:val="0"/>
        <w:spacing w:line="400" w:lineRule="exact"/>
        <w:ind w:firstLine="395" w:firstLineChars="196"/>
        <w:rPr>
          <w:rFonts w:ascii="宋体" w:hAnsi="宋体" w:eastAsia="宋体"/>
          <w:bCs/>
          <w:color w:val="auto"/>
          <w:sz w:val="21"/>
          <w:szCs w:val="21"/>
          <w:highlight w:val="none"/>
        </w:rPr>
      </w:pPr>
      <w:r>
        <w:rPr>
          <w:rFonts w:ascii="宋体" w:hAnsi="宋体" w:eastAsia="宋体"/>
          <w:color w:val="auto"/>
          <w:spacing w:val="-4"/>
          <w:sz w:val="21"/>
          <w:szCs w:val="21"/>
          <w:highlight w:val="none"/>
          <w:lang w:val="en"/>
        </w:rPr>
        <w:t>5</w:t>
      </w:r>
      <w:r>
        <w:rPr>
          <w:rFonts w:hint="eastAsia" w:ascii="宋体" w:hAnsi="宋体" w:eastAsia="宋体"/>
          <w:color w:val="auto"/>
          <w:spacing w:val="-4"/>
          <w:sz w:val="21"/>
          <w:szCs w:val="21"/>
          <w:highlight w:val="none"/>
        </w:rPr>
        <w:t>.</w:t>
      </w:r>
      <w:r>
        <w:rPr>
          <w:rFonts w:hint="eastAsia" w:ascii="宋体" w:hAnsi="宋体"/>
          <w:bCs/>
          <w:color w:val="auto"/>
          <w:sz w:val="21"/>
          <w:szCs w:val="21"/>
          <w:highlight w:val="none"/>
        </w:rPr>
        <w:t xml:space="preserve"> </w:t>
      </w:r>
      <w:r>
        <w:rPr>
          <w:rFonts w:hint="eastAsia" w:ascii="宋体" w:hAnsi="宋体" w:eastAsia="宋体"/>
          <w:bCs/>
          <w:color w:val="auto"/>
          <w:sz w:val="21"/>
          <w:szCs w:val="21"/>
          <w:highlight w:val="none"/>
        </w:rPr>
        <w:t>其他投标无效的情形：</w:t>
      </w:r>
    </w:p>
    <w:p w14:paraId="0CBFE279">
      <w:pPr>
        <w:pStyle w:val="21"/>
        <w:adjustRightInd w:val="0"/>
        <w:snapToGrid w:val="0"/>
        <w:spacing w:line="400" w:lineRule="exact"/>
        <w:ind w:firstLine="413" w:firstLineChars="196"/>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（1）</w:t>
      </w:r>
      <w:r>
        <w:rPr>
          <w:rFonts w:ascii="宋体" w:hAnsi="宋体" w:eastAsia="宋体"/>
          <w:b/>
          <w:bCs/>
          <w:color w:val="auto"/>
          <w:sz w:val="21"/>
          <w:szCs w:val="21"/>
          <w:highlight w:val="none"/>
        </w:rPr>
        <w:t>投标文件未按招标文件要求签署</w:t>
      </w:r>
      <w:r>
        <w:rPr>
          <w:rFonts w:hint="eastAsia" w:ascii="宋体" w:hAnsi="宋体" w:eastAsia="宋体"/>
          <w:b/>
          <w:bCs/>
          <w:color w:val="auto"/>
          <w:sz w:val="21"/>
          <w:szCs w:val="21"/>
          <w:highlight w:val="none"/>
        </w:rPr>
        <w:t>或</w:t>
      </w:r>
      <w:r>
        <w:rPr>
          <w:rFonts w:ascii="宋体" w:hAnsi="宋体" w:eastAsia="宋体"/>
          <w:b/>
          <w:bCs/>
          <w:color w:val="auto"/>
          <w:sz w:val="21"/>
          <w:szCs w:val="21"/>
          <w:highlight w:val="none"/>
        </w:rPr>
        <w:t>CA电子签章的；</w:t>
      </w:r>
    </w:p>
    <w:p w14:paraId="3AB7AA62">
      <w:pPr>
        <w:pStyle w:val="21"/>
        <w:adjustRightInd w:val="0"/>
        <w:snapToGrid w:val="0"/>
        <w:spacing w:line="400" w:lineRule="exact"/>
        <w:ind w:firstLine="413" w:firstLineChars="196"/>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（2）</w:t>
      </w:r>
      <w:r>
        <w:rPr>
          <w:rFonts w:ascii="宋体" w:hAnsi="宋体" w:eastAsia="宋体"/>
          <w:b/>
          <w:bCs/>
          <w:color w:val="auto"/>
          <w:sz w:val="21"/>
          <w:szCs w:val="21"/>
          <w:highlight w:val="none"/>
        </w:rPr>
        <w:t>供应商提交两份或两份以上内容不同的投标文件；</w:t>
      </w:r>
    </w:p>
    <w:p w14:paraId="37A49AC8">
      <w:pPr>
        <w:pStyle w:val="28"/>
        <w:adjustRightInd w:val="0"/>
        <w:snapToGrid w:val="0"/>
        <w:spacing w:line="400" w:lineRule="exact"/>
        <w:ind w:firstLine="422" w:firstLineChars="200"/>
        <w:rPr>
          <w:rFonts w:hAnsi="宋体"/>
          <w:b/>
          <w:bCs/>
          <w:color w:val="auto"/>
          <w:highlight w:val="none"/>
        </w:rPr>
      </w:pPr>
      <w:r>
        <w:rPr>
          <w:rFonts w:hint="eastAsia" w:hAnsi="宋体"/>
          <w:b/>
          <w:bCs/>
          <w:color w:val="auto"/>
          <w:highlight w:val="none"/>
        </w:rPr>
        <w:t>（3）</w:t>
      </w:r>
      <w:r>
        <w:rPr>
          <w:rFonts w:hAnsi="宋体"/>
          <w:b/>
          <w:bCs/>
          <w:color w:val="auto"/>
          <w:highlight w:val="none"/>
        </w:rPr>
        <w:t>投标供应商在线制作投标文件时</w:t>
      </w:r>
      <w:r>
        <w:rPr>
          <w:rFonts w:hint="eastAsia" w:hAnsi="宋体"/>
          <w:b/>
          <w:bCs/>
          <w:color w:val="auto"/>
          <w:highlight w:val="none"/>
        </w:rPr>
        <w:t>填写的报价金额</w:t>
      </w:r>
      <w:r>
        <w:rPr>
          <w:rFonts w:hAnsi="宋体"/>
          <w:b/>
          <w:bCs/>
          <w:color w:val="auto"/>
          <w:highlight w:val="none"/>
        </w:rPr>
        <w:t>与解密后“电子加密投标文件”中《开标一览表》填写的金额不一致并拒绝按招标文件要求接受调整的；</w:t>
      </w:r>
    </w:p>
    <w:p w14:paraId="358BE1B8">
      <w:pPr>
        <w:pStyle w:val="21"/>
        <w:snapToGrid w:val="0"/>
        <w:spacing w:line="360" w:lineRule="exact"/>
        <w:ind w:firstLine="413" w:firstLineChars="196"/>
        <w:outlineLvl w:val="0"/>
        <w:rPr>
          <w:rFonts w:ascii="宋体" w:hAnsi="宋体" w:eastAsia="宋体"/>
          <w:color w:val="auto"/>
          <w:spacing w:val="-4"/>
          <w:sz w:val="21"/>
          <w:szCs w:val="21"/>
          <w:highlight w:val="none"/>
        </w:rPr>
      </w:pPr>
      <w:r>
        <w:rPr>
          <w:rFonts w:hint="eastAsia" w:ascii="宋体" w:hAnsi="宋体" w:eastAsia="宋体" w:cs="Courier New"/>
          <w:b/>
          <w:bCs/>
          <w:color w:val="auto"/>
          <w:sz w:val="21"/>
          <w:szCs w:val="21"/>
          <w:highlight w:val="none"/>
        </w:rPr>
        <w:t>（4）</w:t>
      </w:r>
      <w:r>
        <w:rPr>
          <w:rFonts w:ascii="宋体" w:hAnsi="宋体" w:eastAsia="宋体" w:cs="Courier New"/>
          <w:b/>
          <w:bCs/>
          <w:color w:val="auto"/>
          <w:sz w:val="21"/>
          <w:szCs w:val="21"/>
          <w:highlight w:val="none"/>
        </w:rPr>
        <w:t>法律、法规和招标文件规定的其他无效情形（或出现重大偏差）。</w:t>
      </w:r>
    </w:p>
    <w:p w14:paraId="39055581">
      <w:pPr>
        <w:pStyle w:val="21"/>
        <w:snapToGrid w:val="0"/>
        <w:spacing w:line="360" w:lineRule="exact"/>
        <w:ind w:firstLine="395" w:firstLineChars="196"/>
        <w:outlineLvl w:val="0"/>
        <w:rPr>
          <w:rFonts w:ascii="宋体" w:hAnsi="宋体" w:eastAsia="宋体"/>
          <w:color w:val="auto"/>
          <w:spacing w:val="-4"/>
          <w:sz w:val="21"/>
          <w:szCs w:val="21"/>
          <w:highlight w:val="none"/>
        </w:rPr>
      </w:pPr>
      <w:r>
        <w:rPr>
          <w:rFonts w:ascii="宋体" w:hAnsi="宋体" w:eastAsia="宋体"/>
          <w:color w:val="auto"/>
          <w:spacing w:val="-4"/>
          <w:sz w:val="21"/>
          <w:szCs w:val="21"/>
          <w:highlight w:val="none"/>
          <w:lang w:val="en"/>
        </w:rPr>
        <w:t>6</w:t>
      </w:r>
      <w:r>
        <w:rPr>
          <w:rFonts w:hint="eastAsia" w:ascii="宋体" w:hAnsi="宋体" w:eastAsia="宋体"/>
          <w:color w:val="auto"/>
          <w:spacing w:val="-4"/>
          <w:sz w:val="21"/>
          <w:szCs w:val="21"/>
          <w:highlight w:val="none"/>
        </w:rPr>
        <w:t>.被拒绝的投标文件为无效。</w:t>
      </w:r>
    </w:p>
    <w:p w14:paraId="5A26865C">
      <w:pPr>
        <w:pStyle w:val="21"/>
        <w:snapToGrid w:val="0"/>
        <w:spacing w:line="360" w:lineRule="exact"/>
        <w:ind w:firstLine="413" w:firstLineChars="196"/>
        <w:outlineLvl w:val="0"/>
        <w:rPr>
          <w:rFonts w:ascii="宋体" w:hAnsi="宋体" w:eastAsia="宋体"/>
          <w:b/>
          <w:snapToGrid w:val="0"/>
          <w:color w:val="auto"/>
          <w:sz w:val="21"/>
          <w:szCs w:val="21"/>
          <w:highlight w:val="none"/>
        </w:rPr>
      </w:pPr>
      <w:r>
        <w:rPr>
          <w:rFonts w:hint="eastAsia" w:ascii="宋体" w:hAnsi="宋体" w:eastAsia="宋体"/>
          <w:b/>
          <w:color w:val="auto"/>
          <w:sz w:val="21"/>
          <w:szCs w:val="21"/>
          <w:highlight w:val="none"/>
        </w:rPr>
        <w:t>四、开标</w:t>
      </w:r>
    </w:p>
    <w:p w14:paraId="0E6D8567">
      <w:pPr>
        <w:pStyle w:val="28"/>
        <w:snapToGrid w:val="0"/>
        <w:spacing w:line="360" w:lineRule="exact"/>
        <w:ind w:firstLine="413" w:firstLineChars="196"/>
        <w:outlineLvl w:val="0"/>
        <w:rPr>
          <w:rFonts w:hAnsi="宋体"/>
          <w:b/>
          <w:color w:val="auto"/>
          <w:highlight w:val="none"/>
        </w:rPr>
      </w:pPr>
      <w:r>
        <w:rPr>
          <w:rFonts w:hint="eastAsia" w:hAnsi="宋体"/>
          <w:b/>
          <w:color w:val="auto"/>
          <w:highlight w:val="none"/>
        </w:rPr>
        <w:t>（一）开标准备</w:t>
      </w:r>
    </w:p>
    <w:p w14:paraId="403D643C">
      <w:pPr>
        <w:pStyle w:val="28"/>
        <w:snapToGrid w:val="0"/>
        <w:spacing w:line="360" w:lineRule="exact"/>
        <w:ind w:firstLine="420" w:firstLineChars="200"/>
        <w:rPr>
          <w:rFonts w:hAnsi="宋体"/>
          <w:bCs/>
          <w:color w:val="auto"/>
          <w:highlight w:val="none"/>
        </w:rPr>
      </w:pPr>
      <w:r>
        <w:rPr>
          <w:rFonts w:hint="eastAsia" w:hAnsi="宋体"/>
          <w:bCs/>
          <w:color w:val="auto"/>
          <w:highlight w:val="none"/>
        </w:rPr>
        <w:t>本中心将</w:t>
      </w:r>
      <w:r>
        <w:rPr>
          <w:rFonts w:hint="eastAsia"/>
          <w:color w:val="auto"/>
          <w:sz w:val="22"/>
          <w:highlight w:val="none"/>
        </w:rPr>
        <w:t>按招标文件规定的时间、地点通过“广西政府采购云平台”组织开标、开启投标文件，所有供应商均应当准时在线参加。投</w:t>
      </w:r>
      <w:r>
        <w:rPr>
          <w:color w:val="auto"/>
          <w:sz w:val="22"/>
          <w:highlight w:val="none"/>
        </w:rPr>
        <w:t>标供应商因未在线参加开标而导致投标文件无法按时解密等一切后果由供应商自</w:t>
      </w:r>
      <w:r>
        <w:rPr>
          <w:rFonts w:hint="eastAsia"/>
          <w:color w:val="auto"/>
          <w:sz w:val="22"/>
          <w:highlight w:val="none"/>
        </w:rPr>
        <w:t>行</w:t>
      </w:r>
      <w:r>
        <w:rPr>
          <w:color w:val="auto"/>
          <w:sz w:val="22"/>
          <w:highlight w:val="none"/>
        </w:rPr>
        <w:t>承担。</w:t>
      </w:r>
    </w:p>
    <w:p w14:paraId="0937EC77">
      <w:pPr>
        <w:pStyle w:val="28"/>
        <w:snapToGrid w:val="0"/>
        <w:spacing w:line="360" w:lineRule="exact"/>
        <w:ind w:firstLine="413" w:firstLineChars="196"/>
        <w:outlineLvl w:val="0"/>
        <w:rPr>
          <w:rFonts w:hAnsi="宋体"/>
          <w:b/>
          <w:color w:val="auto"/>
          <w:highlight w:val="none"/>
        </w:rPr>
      </w:pPr>
      <w:r>
        <w:rPr>
          <w:rFonts w:hint="eastAsia" w:hAnsi="宋体"/>
          <w:b/>
          <w:color w:val="auto"/>
          <w:highlight w:val="none"/>
        </w:rPr>
        <w:t>（二） 开标程序：</w:t>
      </w:r>
    </w:p>
    <w:p w14:paraId="1718313D">
      <w:pPr>
        <w:pStyle w:val="28"/>
        <w:adjustRightInd w:val="0"/>
        <w:snapToGrid w:val="0"/>
        <w:spacing w:line="400" w:lineRule="exact"/>
        <w:ind w:firstLine="420" w:firstLineChars="200"/>
        <w:rPr>
          <w:rFonts w:hAnsi="宋体"/>
          <w:color w:val="auto"/>
          <w:highlight w:val="none"/>
        </w:rPr>
      </w:pPr>
      <w:r>
        <w:rPr>
          <w:rFonts w:hint="eastAsia" w:hAnsi="宋体"/>
          <w:color w:val="auto"/>
          <w:highlight w:val="none"/>
        </w:rPr>
        <w:t>1.电子开标会由本中心主持</w:t>
      </w:r>
    </w:p>
    <w:p w14:paraId="2B29CED5">
      <w:pPr>
        <w:pStyle w:val="28"/>
        <w:adjustRightInd w:val="0"/>
        <w:snapToGrid w:val="0"/>
        <w:spacing w:line="400" w:lineRule="exact"/>
        <w:ind w:firstLine="420" w:firstLineChars="200"/>
        <w:rPr>
          <w:color w:val="auto"/>
          <w:highlight w:val="none"/>
        </w:rPr>
      </w:pPr>
      <w:r>
        <w:rPr>
          <w:rFonts w:hint="eastAsia" w:hAnsi="宋体"/>
          <w:color w:val="auto"/>
          <w:highlight w:val="none"/>
        </w:rPr>
        <w:t>2.本中心工作人员</w:t>
      </w:r>
      <w:r>
        <w:rPr>
          <w:rFonts w:hint="eastAsia"/>
          <w:color w:val="auto"/>
          <w:highlight w:val="none"/>
        </w:rPr>
        <w:t>向各投标供应商发出电子加密投标文件【开始解密】通知，由供应商按招标文件规定的时间内自行进行投标文件解密。</w:t>
      </w:r>
      <w:r>
        <w:rPr>
          <w:rFonts w:hint="eastAsia"/>
          <w:snapToGrid w:val="0"/>
          <w:color w:val="auto"/>
          <w:highlight w:val="none"/>
        </w:rPr>
        <w:t>投标供应商未在规定时间内完成解密的，系统默认自动放弃。</w:t>
      </w:r>
    </w:p>
    <w:p w14:paraId="2C24CF13">
      <w:pPr>
        <w:pStyle w:val="28"/>
        <w:adjustRightInd w:val="0"/>
        <w:snapToGrid w:val="0"/>
        <w:spacing w:line="400" w:lineRule="exact"/>
        <w:ind w:firstLine="420" w:firstLineChars="200"/>
        <w:rPr>
          <w:rFonts w:hAnsi="宋体"/>
          <w:color w:val="auto"/>
          <w:highlight w:val="none"/>
        </w:rPr>
      </w:pPr>
      <w:r>
        <w:rPr>
          <w:rFonts w:hint="eastAsia" w:hAnsi="宋体"/>
          <w:color w:val="auto"/>
          <w:highlight w:val="none"/>
        </w:rPr>
        <w:t>3.</w:t>
      </w:r>
      <w:r>
        <w:rPr>
          <w:rFonts w:hAnsi="宋体"/>
          <w:color w:val="auto"/>
          <w:highlight w:val="none"/>
        </w:rPr>
        <w:t>投标文件解密结束，开启</w:t>
      </w:r>
      <w:r>
        <w:rPr>
          <w:rFonts w:hint="eastAsia" w:hAnsi="宋体"/>
          <w:color w:val="auto"/>
          <w:highlight w:val="none"/>
        </w:rPr>
        <w:t>报价文件。投标供应商在线制作投标文件时填写的报价金额</w:t>
      </w:r>
      <w:r>
        <w:rPr>
          <w:rFonts w:hAnsi="宋体"/>
          <w:color w:val="auto"/>
          <w:highlight w:val="none"/>
        </w:rPr>
        <w:t>与解密后“电子加密投标文件”中《开标一览表》填写的金额不一致的，以解密后“电子加密投标文件”中《开标一览表》填写的金额为准，投标供应商拒绝接受此调整的，按无效投标处理。</w:t>
      </w:r>
    </w:p>
    <w:p w14:paraId="1EF9181B">
      <w:pPr>
        <w:pStyle w:val="28"/>
        <w:adjustRightInd w:val="0"/>
        <w:snapToGrid w:val="0"/>
        <w:spacing w:line="400" w:lineRule="exact"/>
        <w:ind w:firstLine="420" w:firstLineChars="200"/>
        <w:rPr>
          <w:rFonts w:hAnsi="宋体"/>
          <w:color w:val="auto"/>
          <w:highlight w:val="none"/>
        </w:rPr>
      </w:pPr>
      <w:r>
        <w:rPr>
          <w:rFonts w:hint="eastAsia" w:hAnsi="宋体"/>
          <w:color w:val="auto"/>
          <w:highlight w:val="none"/>
        </w:rPr>
        <w:t>4.进入</w:t>
      </w:r>
      <w:r>
        <w:rPr>
          <w:rFonts w:hAnsi="宋体"/>
          <w:color w:val="auto"/>
          <w:highlight w:val="none"/>
        </w:rPr>
        <w:t>资格文件</w:t>
      </w:r>
      <w:r>
        <w:rPr>
          <w:rFonts w:hint="eastAsia" w:hAnsi="宋体"/>
          <w:color w:val="auto"/>
          <w:highlight w:val="none"/>
        </w:rPr>
        <w:t>审查环节</w:t>
      </w:r>
      <w:r>
        <w:rPr>
          <w:rFonts w:hAnsi="宋体"/>
          <w:color w:val="auto"/>
          <w:highlight w:val="none"/>
        </w:rPr>
        <w:t>，</w:t>
      </w:r>
      <w:r>
        <w:rPr>
          <w:rFonts w:hint="eastAsia" w:hAnsi="宋体"/>
          <w:color w:val="auto"/>
          <w:highlight w:val="none"/>
        </w:rPr>
        <w:t>本中心或者招标采购单位</w:t>
      </w:r>
      <w:r>
        <w:rPr>
          <w:rFonts w:hAnsi="宋体"/>
          <w:color w:val="auto"/>
          <w:highlight w:val="none"/>
        </w:rPr>
        <w:t>依法对投标供应商的资格进行审查。</w:t>
      </w:r>
    </w:p>
    <w:p w14:paraId="1EFBDC77">
      <w:pPr>
        <w:pStyle w:val="28"/>
        <w:adjustRightInd w:val="0"/>
        <w:snapToGrid w:val="0"/>
        <w:spacing w:line="400" w:lineRule="exact"/>
        <w:ind w:firstLine="420" w:firstLineChars="200"/>
        <w:rPr>
          <w:rFonts w:hAnsi="宋体"/>
          <w:color w:val="auto"/>
          <w:highlight w:val="none"/>
        </w:rPr>
      </w:pPr>
      <w:r>
        <w:rPr>
          <w:rFonts w:hint="eastAsia" w:hAnsi="宋体"/>
          <w:color w:val="auto"/>
          <w:highlight w:val="none"/>
        </w:rPr>
        <w:t>5.</w:t>
      </w:r>
      <w:r>
        <w:rPr>
          <w:rFonts w:hAnsi="宋体"/>
          <w:color w:val="auto"/>
          <w:highlight w:val="none"/>
        </w:rPr>
        <w:t>开启资格审查通过的投标供应商的商务技术文件进入符合性审查及商务技术评审</w:t>
      </w:r>
      <w:r>
        <w:rPr>
          <w:rFonts w:hint="eastAsia" w:hAnsi="宋体"/>
          <w:color w:val="auto"/>
          <w:highlight w:val="none"/>
        </w:rPr>
        <w:t>。</w:t>
      </w:r>
    </w:p>
    <w:p w14:paraId="7A9B27E1">
      <w:pPr>
        <w:pStyle w:val="28"/>
        <w:adjustRightInd w:val="0"/>
        <w:snapToGrid w:val="0"/>
        <w:spacing w:line="400" w:lineRule="exact"/>
        <w:ind w:firstLine="420"/>
        <w:rPr>
          <w:rFonts w:hAnsi="宋体"/>
          <w:color w:val="auto"/>
          <w:highlight w:val="none"/>
        </w:rPr>
      </w:pPr>
      <w:r>
        <w:rPr>
          <w:rFonts w:hint="eastAsia" w:hAnsi="宋体"/>
          <w:color w:val="auto"/>
          <w:highlight w:val="none"/>
        </w:rPr>
        <w:t>注：①当整个招标项目的投标人不足3家的不开标，本中心将按政府采购管理的有关规定处理。</w:t>
      </w:r>
    </w:p>
    <w:p w14:paraId="16844598">
      <w:pPr>
        <w:pStyle w:val="28"/>
        <w:adjustRightInd w:val="0"/>
        <w:snapToGrid w:val="0"/>
        <w:spacing w:line="400" w:lineRule="exact"/>
        <w:ind w:firstLine="840" w:firstLineChars="400"/>
        <w:rPr>
          <w:rFonts w:hAnsi="宋体"/>
          <w:color w:val="auto"/>
          <w:highlight w:val="none"/>
        </w:rPr>
      </w:pPr>
      <w:r>
        <w:rPr>
          <w:rFonts w:hint="eastAsia" w:hAnsi="宋体"/>
          <w:color w:val="auto"/>
          <w:highlight w:val="none"/>
        </w:rPr>
        <w:t>②开标后,某分标投标人不足3家的，本中心将按政府采购管理的有关规定处理。</w:t>
      </w:r>
    </w:p>
    <w:p w14:paraId="74B45367">
      <w:pPr>
        <w:pStyle w:val="28"/>
        <w:snapToGrid w:val="0"/>
        <w:spacing w:line="360" w:lineRule="exact"/>
        <w:ind w:left="690" w:leftChars="228" w:hanging="211" w:hangingChars="100"/>
        <w:rPr>
          <w:rFonts w:hAnsi="宋体"/>
          <w:color w:val="auto"/>
          <w:highlight w:val="none"/>
        </w:rPr>
      </w:pPr>
      <w:r>
        <w:rPr>
          <w:rFonts w:hAnsi="宋体"/>
          <w:b/>
          <w:bCs/>
          <w:color w:val="auto"/>
          <w:highlight w:val="none"/>
        </w:rPr>
        <w:t>特别说明：如遇“</w:t>
      </w:r>
      <w:r>
        <w:rPr>
          <w:rFonts w:hAnsi="宋体"/>
          <w:b/>
          <w:bCs/>
          <w:color w:val="auto"/>
          <w:highlight w:val="none"/>
          <w:lang w:val="en"/>
        </w:rPr>
        <w:t>广西政府采购云平台</w:t>
      </w:r>
      <w:r>
        <w:rPr>
          <w:rFonts w:hAnsi="宋体"/>
          <w:b/>
          <w:bCs/>
          <w:color w:val="auto"/>
          <w:highlight w:val="none"/>
        </w:rPr>
        <w:t>”电子化开标或评审程序调整的，按调整后程序执行。</w:t>
      </w:r>
    </w:p>
    <w:p w14:paraId="17D29DDF">
      <w:pPr>
        <w:pStyle w:val="28"/>
        <w:snapToGrid w:val="0"/>
        <w:spacing w:line="360" w:lineRule="exact"/>
        <w:ind w:left="772" w:leftChars="267" w:hanging="211" w:hangingChars="100"/>
        <w:outlineLvl w:val="1"/>
        <w:rPr>
          <w:rFonts w:hAnsi="宋体"/>
          <w:b/>
          <w:color w:val="auto"/>
          <w:highlight w:val="none"/>
        </w:rPr>
      </w:pPr>
      <w:r>
        <w:rPr>
          <w:rFonts w:hint="eastAsia" w:hAnsi="宋体"/>
          <w:b/>
          <w:color w:val="auto"/>
          <w:highlight w:val="none"/>
        </w:rPr>
        <w:t>五、</w:t>
      </w:r>
      <w:r>
        <w:rPr>
          <w:rFonts w:hint="eastAsia" w:hAnsi="宋体"/>
          <w:b/>
          <w:bCs/>
          <w:color w:val="auto"/>
          <w:highlight w:val="none"/>
        </w:rPr>
        <w:t>资格审查</w:t>
      </w:r>
    </w:p>
    <w:p w14:paraId="1BBFD328">
      <w:pPr>
        <w:pStyle w:val="28"/>
        <w:snapToGrid w:val="0"/>
        <w:spacing w:line="360" w:lineRule="exact"/>
        <w:ind w:left="771" w:leftChars="267" w:hanging="210" w:hangingChars="100"/>
        <w:outlineLvl w:val="1"/>
        <w:rPr>
          <w:rFonts w:hAnsi="宋体"/>
          <w:b/>
          <w:color w:val="auto"/>
          <w:highlight w:val="none"/>
        </w:rPr>
      </w:pPr>
      <w:r>
        <w:rPr>
          <w:rFonts w:hint="eastAsia"/>
          <w:color w:val="auto"/>
          <w:highlight w:val="none"/>
        </w:rPr>
        <w:t>采购人</w:t>
      </w:r>
      <w:r>
        <w:rPr>
          <w:rFonts w:hint="eastAsia"/>
          <w:color w:val="auto"/>
          <w:spacing w:val="-4"/>
          <w:highlight w:val="none"/>
        </w:rPr>
        <w:t>或本中心工作人员</w:t>
      </w:r>
      <w:r>
        <w:rPr>
          <w:rFonts w:hint="eastAsia"/>
          <w:color w:val="auto"/>
          <w:highlight w:val="none"/>
        </w:rPr>
        <w:t>依法对投标人的资格进行审查。合格投标人不足3家的，不得评标。</w:t>
      </w:r>
    </w:p>
    <w:p w14:paraId="667ECB32">
      <w:pPr>
        <w:pStyle w:val="28"/>
        <w:snapToGrid w:val="0"/>
        <w:spacing w:line="360" w:lineRule="exact"/>
        <w:ind w:left="772" w:leftChars="267" w:hanging="211" w:hangingChars="100"/>
        <w:outlineLvl w:val="1"/>
        <w:rPr>
          <w:rFonts w:hAnsi="宋体"/>
          <w:b/>
          <w:color w:val="auto"/>
          <w:highlight w:val="none"/>
        </w:rPr>
      </w:pPr>
      <w:r>
        <w:rPr>
          <w:rFonts w:hint="eastAsia" w:hAnsi="宋体"/>
          <w:b/>
          <w:color w:val="auto"/>
          <w:highlight w:val="none"/>
        </w:rPr>
        <w:t>六、评标</w:t>
      </w:r>
    </w:p>
    <w:p w14:paraId="78F24B62">
      <w:pPr>
        <w:pStyle w:val="28"/>
        <w:snapToGrid w:val="0"/>
        <w:spacing w:line="360" w:lineRule="exact"/>
        <w:ind w:left="690" w:leftChars="228" w:hanging="211" w:hangingChars="100"/>
        <w:rPr>
          <w:rFonts w:hAnsi="宋体"/>
          <w:b/>
          <w:color w:val="auto"/>
          <w:highlight w:val="none"/>
        </w:rPr>
      </w:pPr>
      <w:r>
        <w:rPr>
          <w:rFonts w:hint="eastAsia" w:hAnsi="宋体"/>
          <w:b/>
          <w:color w:val="auto"/>
          <w:highlight w:val="none"/>
        </w:rPr>
        <w:t>（一）组建评标委员会</w:t>
      </w:r>
    </w:p>
    <w:p w14:paraId="10E90BEE">
      <w:pPr>
        <w:pStyle w:val="28"/>
        <w:snapToGrid w:val="0"/>
        <w:spacing w:line="360" w:lineRule="exact"/>
        <w:ind w:firstLine="420" w:firstLineChars="200"/>
        <w:rPr>
          <w:color w:val="auto"/>
          <w:spacing w:val="-4"/>
          <w:highlight w:val="none"/>
        </w:rPr>
      </w:pPr>
      <w:r>
        <w:rPr>
          <w:rFonts w:hint="eastAsia" w:hAnsi="宋体"/>
          <w:bCs/>
          <w:color w:val="auto"/>
          <w:highlight w:val="none"/>
        </w:rPr>
        <w:t>本招标采购项目的</w:t>
      </w:r>
      <w:r>
        <w:rPr>
          <w:color w:val="auto"/>
          <w:spacing w:val="-4"/>
          <w:highlight w:val="none"/>
        </w:rPr>
        <w:t>评标委员会由采购人代表和评审专家组成，成员人数应当为5人以上单数，其中评审专家不得少于成员总数的三分之二。</w:t>
      </w:r>
    </w:p>
    <w:p w14:paraId="24123C8F">
      <w:pPr>
        <w:pStyle w:val="28"/>
        <w:snapToGrid w:val="0"/>
        <w:spacing w:line="360" w:lineRule="exact"/>
        <w:ind w:left="690" w:leftChars="228" w:hanging="211" w:hangingChars="100"/>
        <w:rPr>
          <w:rFonts w:hAnsi="宋体"/>
          <w:b/>
          <w:color w:val="auto"/>
          <w:highlight w:val="none"/>
        </w:rPr>
      </w:pPr>
      <w:r>
        <w:rPr>
          <w:rFonts w:hint="eastAsia" w:hAnsi="宋体"/>
          <w:b/>
          <w:color w:val="auto"/>
          <w:highlight w:val="none"/>
        </w:rPr>
        <w:t>（二）评标的方式</w:t>
      </w:r>
    </w:p>
    <w:p w14:paraId="23AADF98">
      <w:pPr>
        <w:pStyle w:val="28"/>
        <w:snapToGrid w:val="0"/>
        <w:spacing w:line="360" w:lineRule="exact"/>
        <w:ind w:left="689" w:leftChars="228" w:hanging="210" w:hangingChars="100"/>
        <w:rPr>
          <w:rFonts w:hAnsi="宋体"/>
          <w:color w:val="auto"/>
          <w:highlight w:val="none"/>
        </w:rPr>
      </w:pPr>
      <w:r>
        <w:rPr>
          <w:rFonts w:hint="eastAsia" w:hAnsi="宋体"/>
          <w:color w:val="auto"/>
          <w:highlight w:val="none"/>
        </w:rPr>
        <w:t>本项目采用不公开方式评标，评标的依据为招标文件和投标文件。</w:t>
      </w:r>
    </w:p>
    <w:p w14:paraId="0366C770">
      <w:pPr>
        <w:pStyle w:val="28"/>
        <w:snapToGrid w:val="0"/>
        <w:spacing w:line="360" w:lineRule="exact"/>
        <w:ind w:left="690" w:leftChars="228" w:hanging="211" w:hangingChars="1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7CA22E3D">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评标委员会仅对通过资格审查的投标文件进行后续评审，程序如下：</w:t>
      </w:r>
    </w:p>
    <w:p w14:paraId="294A387A">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（1）符合性审查：评标委员会审查投标文件是否实质性响应招标文件要求。未通过审查的投标，不进入详细评审。</w:t>
      </w:r>
    </w:p>
    <w:p w14:paraId="50AEDC36">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2）询标与澄清：在评标过程中，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14:paraId="58659FBB">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（3）商务与技术评审：评标委员会依据评分标准，对通过符合性审查的投标进行详细评审。</w:t>
      </w:r>
    </w:p>
    <w:p w14:paraId="46DB108B">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（4）报价评审</w:t>
      </w:r>
    </w:p>
    <w:p w14:paraId="7745F8F7">
      <w:pPr>
        <w:snapToGrid w:val="0"/>
        <w:spacing w:line="360" w:lineRule="exact"/>
        <w:ind w:left="420" w:leftChars="200" w:firstLine="210" w:firstLineChars="100"/>
        <w:rPr>
          <w:rFonts w:ascii="宋体" w:hAnsi="宋体"/>
          <w:color w:val="auto"/>
          <w:szCs w:val="21"/>
          <w:highlight w:val="none"/>
        </w:rPr>
      </w:pPr>
      <w:r>
        <w:rPr>
          <w:rFonts w:ascii="宋体" w:hAnsi="宋体"/>
          <w:color w:val="auto"/>
          <w:szCs w:val="21"/>
          <w:highlight w:val="none"/>
          <w:lang w:val="en"/>
        </w:rPr>
        <w:t>a)</w:t>
      </w:r>
      <w:r>
        <w:rPr>
          <w:rFonts w:hint="eastAsia" w:ascii="宋体" w:hAnsi="宋体"/>
          <w:color w:val="auto"/>
          <w:szCs w:val="21"/>
          <w:highlight w:val="none"/>
        </w:rPr>
        <w:t xml:space="preserve"> 报价符合性审查：评标委员会审查投标报价是否符合招标文件关于报价的格式、币种、范围（如报价是否完全响应并覆盖招标文件“采购需求”及“货物</w:t>
      </w:r>
      <w:r>
        <w:rPr>
          <w:rFonts w:ascii="宋体" w:hAnsi="宋体"/>
          <w:color w:val="auto"/>
          <w:szCs w:val="21"/>
          <w:highlight w:val="none"/>
          <w:lang w:val="en"/>
        </w:rPr>
        <w:t>/</w:t>
      </w:r>
      <w:r>
        <w:rPr>
          <w:rFonts w:hint="eastAsia" w:ascii="宋体" w:hAnsi="宋体"/>
          <w:color w:val="auto"/>
          <w:szCs w:val="21"/>
          <w:highlight w:val="none"/>
        </w:rPr>
        <w:t>服务</w:t>
      </w:r>
      <w:r>
        <w:rPr>
          <w:rFonts w:ascii="宋体" w:hAnsi="宋体"/>
          <w:color w:val="auto"/>
          <w:szCs w:val="21"/>
          <w:highlight w:val="none"/>
          <w:lang w:val="en"/>
        </w:rPr>
        <w:t>”</w:t>
      </w:r>
      <w:r>
        <w:rPr>
          <w:rFonts w:hint="eastAsia" w:ascii="宋体" w:hAnsi="宋体"/>
          <w:color w:val="auto"/>
          <w:szCs w:val="21"/>
          <w:highlight w:val="none"/>
        </w:rPr>
        <w:t>清单中所列全部内容、是否超采购预算或最高限价）等基础要求。</w:t>
      </w:r>
    </w:p>
    <w:p w14:paraId="4473BF4F">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w:t>
      </w:r>
      <w:r>
        <w:rPr>
          <w:rFonts w:ascii="宋体" w:hAnsi="宋体"/>
          <w:color w:val="auto"/>
          <w:szCs w:val="21"/>
          <w:highlight w:val="none"/>
          <w:lang w:val="en"/>
        </w:rPr>
        <w:t>b)</w:t>
      </w:r>
      <w:r>
        <w:rPr>
          <w:rFonts w:hint="eastAsia" w:ascii="宋体" w:hAnsi="宋体"/>
          <w:color w:val="auto"/>
          <w:szCs w:val="21"/>
          <w:highlight w:val="none"/>
        </w:rPr>
        <w:t xml:space="preserve"> 异常低价甄别与说明：对通过报价符合性审查的投标，如触发下列情形，评标委员会应当启动异常低价审查程序：</w:t>
      </w:r>
    </w:p>
    <w:p w14:paraId="593708C5">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１）报价低于全部通过符合性审查投标人投标报价平均值50%的；</w:t>
      </w:r>
    </w:p>
    <w:p w14:paraId="4E965EC9">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２）报价低于通过符合性审查的次低报价投标人投标报价50%的；</w:t>
      </w:r>
    </w:p>
    <w:p w14:paraId="2E486237">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３）报价低于采购项目最高限价45%的；</w:t>
      </w:r>
    </w:p>
    <w:p w14:paraId="397076AD">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４）评标委员会基于专业判断，认为投标人报价过低，有可能影响产品质量或者不能诚信履约的其他情形。</w:t>
      </w:r>
    </w:p>
    <w:p w14:paraId="453195D2">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通过电子询标方式，要求相关投标人在规定时间内提供有关书面说明及必要的证明材料。投标人不能提供书面说明、证明材料，或者提供的提供书面说明、证明材料不能证明其报价合理性的，评标委员会应将其作为无效投标处理。</w:t>
      </w:r>
    </w:p>
    <w:p w14:paraId="751AB56D">
      <w:pPr>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　</w:t>
      </w:r>
      <w:r>
        <w:rPr>
          <w:rFonts w:ascii="宋体" w:hAnsi="宋体"/>
          <w:color w:val="auto"/>
          <w:szCs w:val="21"/>
          <w:highlight w:val="none"/>
          <w:lang w:val="en"/>
        </w:rPr>
        <w:t>c)</w:t>
      </w:r>
      <w:r>
        <w:rPr>
          <w:rFonts w:hint="eastAsia" w:ascii="宋体" w:hAnsi="宋体"/>
          <w:color w:val="auto"/>
          <w:szCs w:val="21"/>
          <w:highlight w:val="none"/>
        </w:rPr>
        <w:t xml:space="preserve"> 价格评分：对通过上述全部审查的有效报价，由系统按招标文件规定计算价格分。</w:t>
      </w:r>
    </w:p>
    <w:p w14:paraId="5F37F71F">
      <w:pPr>
        <w:snapToGrid w:val="0"/>
        <w:spacing w:line="360" w:lineRule="exact"/>
        <w:ind w:firstLine="420" w:firstLineChars="200"/>
        <w:outlineLvl w:val="0"/>
        <w:rPr>
          <w:rFonts w:ascii="宋体" w:hAnsi="宋体"/>
          <w:color w:val="auto"/>
          <w:szCs w:val="21"/>
          <w:highlight w:val="none"/>
        </w:rPr>
      </w:pPr>
      <w:r>
        <w:rPr>
          <w:rFonts w:hint="eastAsia" w:ascii="宋体" w:hAnsi="宋体"/>
          <w:color w:val="auto"/>
          <w:szCs w:val="21"/>
          <w:highlight w:val="none"/>
        </w:rPr>
        <w:t>（5）评分汇总与推荐：评标委员会在评审系统内完成评审后，系统将自动计算、汇总得分并生成排序结果。评标委员会据此集体审议推荐中标候选人，并对《评标报告》予以确认。</w:t>
      </w:r>
    </w:p>
    <w:p w14:paraId="59C0A7BD">
      <w:pPr>
        <w:pStyle w:val="28"/>
        <w:snapToGrid w:val="0"/>
        <w:spacing w:line="360" w:lineRule="exact"/>
        <w:ind w:left="689" w:leftChars="228" w:hanging="210" w:hangingChars="100"/>
        <w:outlineLvl w:val="0"/>
        <w:rPr>
          <w:rFonts w:hAnsi="宋体"/>
          <w:b/>
          <w:color w:val="auto"/>
          <w:highlight w:val="none"/>
        </w:rPr>
      </w:pPr>
      <w:r>
        <w:rPr>
          <w:rFonts w:hint="eastAsia" w:hAnsi="宋体"/>
          <w:color w:val="auto"/>
          <w:highlight w:val="none"/>
        </w:rPr>
        <w:t>（四）</w:t>
      </w:r>
      <w:r>
        <w:rPr>
          <w:rFonts w:hint="eastAsia" w:hAnsi="宋体"/>
          <w:b/>
          <w:color w:val="auto"/>
          <w:highlight w:val="none"/>
        </w:rPr>
        <w:t>错误修正</w:t>
      </w:r>
    </w:p>
    <w:p w14:paraId="7C6F6421">
      <w:pPr>
        <w:pStyle w:val="28"/>
        <w:snapToGrid w:val="0"/>
        <w:spacing w:line="360" w:lineRule="exact"/>
        <w:ind w:left="689" w:leftChars="228" w:hanging="210" w:hangingChars="100"/>
        <w:rPr>
          <w:rFonts w:hAnsi="宋体"/>
          <w:color w:val="auto"/>
          <w:highlight w:val="none"/>
        </w:rPr>
      </w:pPr>
      <w:r>
        <w:rPr>
          <w:rFonts w:hint="eastAsia" w:hAnsi="宋体"/>
          <w:color w:val="auto"/>
          <w:highlight w:val="none"/>
        </w:rPr>
        <w:t>投标文件如果出现计算或表达上的错误，修正错误的原则如下：</w:t>
      </w:r>
    </w:p>
    <w:p w14:paraId="0E0D9421">
      <w:pPr>
        <w:pStyle w:val="28"/>
        <w:snapToGrid w:val="0"/>
        <w:spacing w:line="360" w:lineRule="exact"/>
        <w:ind w:firstLine="420" w:firstLineChars="200"/>
        <w:rPr>
          <w:color w:val="auto"/>
          <w:highlight w:val="none"/>
        </w:rPr>
      </w:pPr>
      <w:r>
        <w:rPr>
          <w:rFonts w:hint="eastAsia"/>
          <w:color w:val="auto"/>
          <w:highlight w:val="none"/>
        </w:rPr>
        <w:t>1.投标文件中开标一览表（报价表）内容与投标文件中相应内容不一致的，以开标一览表（报价表）为准；</w:t>
      </w:r>
    </w:p>
    <w:p w14:paraId="696B0817">
      <w:pPr>
        <w:pStyle w:val="28"/>
        <w:snapToGrid w:val="0"/>
        <w:spacing w:line="360" w:lineRule="exact"/>
        <w:ind w:firstLine="420" w:firstLineChars="200"/>
        <w:rPr>
          <w:color w:val="auto"/>
          <w:highlight w:val="none"/>
        </w:rPr>
      </w:pPr>
      <w:r>
        <w:rPr>
          <w:rFonts w:hint="eastAsia"/>
          <w:color w:val="auto"/>
          <w:highlight w:val="none"/>
        </w:rPr>
        <w:t>2.大写金额和小写金额不一致的，以大写金额为准；</w:t>
      </w:r>
    </w:p>
    <w:p w14:paraId="30189358">
      <w:pPr>
        <w:pStyle w:val="28"/>
        <w:snapToGrid w:val="0"/>
        <w:spacing w:line="360" w:lineRule="exact"/>
        <w:ind w:firstLine="420" w:firstLineChars="200"/>
        <w:rPr>
          <w:color w:val="auto"/>
          <w:highlight w:val="none"/>
        </w:rPr>
      </w:pPr>
      <w:r>
        <w:rPr>
          <w:rFonts w:hint="eastAsia"/>
          <w:color w:val="auto"/>
          <w:highlight w:val="none"/>
        </w:rPr>
        <w:t>3.单价金额小数点或者百分比有明显错位的，以开标一览表的总价为准，并修改单价；</w:t>
      </w:r>
    </w:p>
    <w:p w14:paraId="764E2096">
      <w:pPr>
        <w:pStyle w:val="28"/>
        <w:snapToGrid w:val="0"/>
        <w:spacing w:line="360" w:lineRule="exact"/>
        <w:ind w:firstLine="420" w:firstLineChars="200"/>
        <w:rPr>
          <w:color w:val="auto"/>
          <w:highlight w:val="none"/>
        </w:rPr>
      </w:pPr>
      <w:r>
        <w:rPr>
          <w:rFonts w:hint="eastAsia"/>
          <w:color w:val="auto"/>
          <w:highlight w:val="none"/>
        </w:rPr>
        <w:t>4.总价金额与按单价汇总金额不一致的，以单价金额计算结果为准。</w:t>
      </w:r>
    </w:p>
    <w:p w14:paraId="3BDCA1EA">
      <w:pPr>
        <w:pStyle w:val="28"/>
        <w:snapToGrid w:val="0"/>
        <w:spacing w:line="360" w:lineRule="exact"/>
        <w:ind w:firstLine="420" w:firstLineChars="200"/>
        <w:rPr>
          <w:color w:val="auto"/>
          <w:highlight w:val="none"/>
        </w:rPr>
      </w:pPr>
      <w:r>
        <w:rPr>
          <w:rFonts w:hint="eastAsia"/>
          <w:color w:val="auto"/>
          <w:highlight w:val="none"/>
        </w:rPr>
        <w:t>5.对不同文字文本投标文件的解释发生异议的，以中文文本为准。</w:t>
      </w:r>
    </w:p>
    <w:p w14:paraId="1F8A2A20">
      <w:pPr>
        <w:pStyle w:val="28"/>
        <w:snapToGrid w:val="0"/>
        <w:spacing w:line="360" w:lineRule="exact"/>
        <w:ind w:firstLine="420" w:firstLineChars="200"/>
        <w:rPr>
          <w:rFonts w:hAnsi="宋体"/>
          <w:color w:val="auto"/>
          <w:highlight w:val="none"/>
        </w:rPr>
      </w:pPr>
      <w:r>
        <w:rPr>
          <w:rFonts w:hint="eastAsia"/>
          <w:color w:val="auto"/>
          <w:highlight w:val="none"/>
        </w:rPr>
        <w:t>同时出现两种以上不一致的，按照前款规定的顺序修正。</w:t>
      </w:r>
    </w:p>
    <w:p w14:paraId="3B221E30">
      <w:pPr>
        <w:pStyle w:val="28"/>
        <w:snapToGrid w:val="0"/>
        <w:spacing w:line="360" w:lineRule="exact"/>
        <w:ind w:firstLine="422" w:firstLineChars="200"/>
        <w:rPr>
          <w:rFonts w:hAnsi="宋体"/>
          <w:b/>
          <w:bCs/>
          <w:color w:val="auto"/>
          <w:highlight w:val="none"/>
        </w:rPr>
      </w:pPr>
      <w:r>
        <w:rPr>
          <w:rFonts w:hint="eastAsia" w:hAnsi="宋体"/>
          <w:b/>
          <w:bCs/>
          <w:color w:val="auto"/>
          <w:highlight w:val="none"/>
        </w:rPr>
        <w:t>按上述修正错误的原则及方法调整或修正投标文件的投标报价，投标人同意并</w:t>
      </w:r>
      <w:r>
        <w:rPr>
          <w:rFonts w:hAnsi="宋体"/>
          <w:b/>
          <w:bCs/>
          <w:color w:val="auto"/>
          <w:highlight w:val="none"/>
          <w:lang w:val="en"/>
        </w:rPr>
        <w:t>签字或签章</w:t>
      </w:r>
      <w:r>
        <w:rPr>
          <w:rFonts w:hint="eastAsia" w:hAnsi="宋体"/>
          <w:b/>
          <w:bCs/>
          <w:color w:val="auto"/>
          <w:highlight w:val="none"/>
        </w:rPr>
        <w:t>确认后，调整后的投标报价对投标人具有约束作用。如果投标人不接受修正后的报价，则其投标将作为无效投标处理。</w:t>
      </w:r>
    </w:p>
    <w:p w14:paraId="60AC1B3D">
      <w:pPr>
        <w:pStyle w:val="28"/>
        <w:tabs>
          <w:tab w:val="left" w:pos="630"/>
        </w:tabs>
        <w:snapToGrid w:val="0"/>
        <w:spacing w:line="360" w:lineRule="exact"/>
        <w:ind w:firstLine="413" w:firstLineChars="196"/>
        <w:outlineLvl w:val="0"/>
        <w:rPr>
          <w:rFonts w:hAnsi="宋体"/>
          <w:b/>
          <w:color w:val="auto"/>
          <w:highlight w:val="none"/>
        </w:rPr>
      </w:pPr>
      <w:r>
        <w:rPr>
          <w:rFonts w:hint="eastAsia" w:hAnsi="宋体"/>
          <w:b/>
          <w:color w:val="auto"/>
          <w:highlight w:val="none"/>
        </w:rPr>
        <w:t>（五）评标原则和评标方法</w:t>
      </w:r>
    </w:p>
    <w:p w14:paraId="6548D062">
      <w:pPr>
        <w:pStyle w:val="28"/>
        <w:snapToGrid w:val="0"/>
        <w:spacing w:line="440" w:lineRule="exact"/>
        <w:ind w:firstLine="42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AAE61C4">
      <w:pPr>
        <w:pStyle w:val="28"/>
        <w:snapToGrid w:val="0"/>
        <w:spacing w:line="440" w:lineRule="exact"/>
        <w:ind w:firstLine="420" w:firstLineChars="200"/>
        <w:rPr>
          <w:rFonts w:hAnsi="宋体"/>
          <w:color w:val="auto"/>
          <w:highlight w:val="none"/>
        </w:rPr>
      </w:pPr>
      <w:r>
        <w:rPr>
          <w:rFonts w:hint="eastAsia" w:hAnsi="宋体"/>
          <w:color w:val="auto"/>
          <w:highlight w:val="none"/>
        </w:rPr>
        <w:t>2.评标方法。本项目评标方法是</w:t>
      </w:r>
      <w:r>
        <w:rPr>
          <w:rFonts w:hint="eastAsia" w:hAnsi="宋体"/>
          <w:b/>
          <w:color w:val="auto"/>
          <w:highlight w:val="none"/>
          <w:u w:val="single"/>
        </w:rPr>
        <w:t>综合评分法</w:t>
      </w:r>
      <w:r>
        <w:rPr>
          <w:rFonts w:hint="eastAsia" w:hAnsi="宋体"/>
          <w:color w:val="auto"/>
          <w:highlight w:val="none"/>
        </w:rPr>
        <w:t>，具体评标内容及评分标准等详见第四章：</w:t>
      </w:r>
      <w:r>
        <w:rPr>
          <w:rFonts w:hint="eastAsia" w:hAnsi="宋体"/>
          <w:color w:val="auto"/>
          <w:highlight w:val="none"/>
          <w:lang w:val="en"/>
        </w:rPr>
        <w:t>评标方法</w:t>
      </w:r>
      <w:r>
        <w:rPr>
          <w:rFonts w:hAnsi="宋体"/>
          <w:color w:val="auto"/>
          <w:highlight w:val="none"/>
          <w:lang w:val="en"/>
        </w:rPr>
        <w:t>及评分标准</w:t>
      </w:r>
      <w:r>
        <w:rPr>
          <w:rFonts w:hint="eastAsia" w:hAnsi="宋体"/>
          <w:color w:val="auto"/>
          <w:highlight w:val="none"/>
        </w:rPr>
        <w:t>。</w:t>
      </w:r>
    </w:p>
    <w:p w14:paraId="5834D580">
      <w:pPr>
        <w:pStyle w:val="28"/>
        <w:snapToGrid w:val="0"/>
        <w:spacing w:line="440" w:lineRule="exact"/>
        <w:ind w:firstLine="413" w:firstLineChars="196"/>
        <w:outlineLvl w:val="0"/>
        <w:rPr>
          <w:rFonts w:hAnsi="宋体"/>
          <w:b/>
          <w:color w:val="auto"/>
          <w:highlight w:val="none"/>
        </w:rPr>
      </w:pPr>
      <w:r>
        <w:rPr>
          <w:rFonts w:hint="eastAsia" w:hAnsi="宋体"/>
          <w:b/>
          <w:color w:val="auto"/>
          <w:highlight w:val="none"/>
        </w:rPr>
        <w:t>（六）评标过程的监控</w:t>
      </w:r>
    </w:p>
    <w:p w14:paraId="1662DBC3">
      <w:pPr>
        <w:pStyle w:val="28"/>
        <w:snapToGrid w:val="0"/>
        <w:spacing w:line="440" w:lineRule="exact"/>
        <w:ind w:firstLine="420" w:firstLineChars="200"/>
        <w:rPr>
          <w:rFonts w:hAnsi="宋体"/>
          <w:color w:val="auto"/>
          <w:highlight w:val="none"/>
        </w:rPr>
      </w:pPr>
      <w:r>
        <w:rPr>
          <w:rFonts w:hint="eastAsia" w:hAnsi="宋体"/>
          <w:color w:val="auto"/>
          <w:highlight w:val="none"/>
        </w:rPr>
        <w:t>本项目评标过程实行全程录音、录像监控，投标人在评标过程中所进行的试图影响评标结果的不公正活动，可能导致其投标被拒绝。</w:t>
      </w:r>
    </w:p>
    <w:p w14:paraId="14169E7C">
      <w:pPr>
        <w:pStyle w:val="28"/>
        <w:snapToGrid w:val="0"/>
        <w:spacing w:line="440" w:lineRule="exact"/>
        <w:ind w:firstLine="413" w:firstLineChars="196"/>
        <w:outlineLvl w:val="1"/>
        <w:rPr>
          <w:rFonts w:hAnsi="宋体"/>
          <w:b/>
          <w:color w:val="auto"/>
          <w:highlight w:val="none"/>
        </w:rPr>
      </w:pPr>
      <w:r>
        <w:rPr>
          <w:rFonts w:hint="eastAsia" w:hAnsi="宋体"/>
          <w:b/>
          <w:color w:val="auto"/>
          <w:highlight w:val="none"/>
        </w:rPr>
        <w:t>七、评标结果</w:t>
      </w:r>
    </w:p>
    <w:p w14:paraId="40C1AC7D">
      <w:pPr>
        <w:pStyle w:val="28"/>
        <w:spacing w:line="440" w:lineRule="exact"/>
        <w:ind w:firstLine="420"/>
        <w:rPr>
          <w:rFonts w:hAnsi="宋体"/>
          <w:color w:val="auto"/>
          <w:highlight w:val="none"/>
        </w:rPr>
      </w:pPr>
      <w:r>
        <w:rPr>
          <w:rFonts w:hint="eastAsia" w:hAnsi="宋体"/>
          <w:b/>
          <w:bCs/>
          <w:color w:val="auto"/>
          <w:highlight w:val="none"/>
        </w:rPr>
        <w:t>（一）</w:t>
      </w:r>
      <w:r>
        <w:rPr>
          <w:rFonts w:hint="eastAsia" w:hAnsi="宋体"/>
          <w:color w:val="auto"/>
          <w:highlight w:val="none"/>
        </w:rPr>
        <w:t>本中心将在评标结束后2个工作日内将评标报告送采购人，采购人在5个工作日内按照评标报告中推荐的中标候选供应商顺序确定中标供应商。</w:t>
      </w:r>
    </w:p>
    <w:p w14:paraId="7512F872">
      <w:pPr>
        <w:pStyle w:val="28"/>
        <w:spacing w:line="440" w:lineRule="exact"/>
        <w:ind w:firstLine="420"/>
        <w:rPr>
          <w:rFonts w:hAnsi="宋体"/>
          <w:color w:val="auto"/>
          <w:highlight w:val="none"/>
        </w:rPr>
      </w:pPr>
      <w:r>
        <w:rPr>
          <w:rFonts w:hint="eastAsia" w:hAnsi="宋体"/>
          <w:color w:val="auto"/>
          <w:highlight w:val="none"/>
        </w:rPr>
        <w:t>（二）中标供应商确定后，本中心在中国政府采购网、广西财政网、</w:t>
      </w:r>
      <w:r>
        <w:rPr>
          <w:rFonts w:hint="eastAsia"/>
          <w:color w:val="auto"/>
          <w:highlight w:val="none"/>
        </w:rPr>
        <w:t>广西壮族自治区政府采购中心网站</w:t>
      </w:r>
      <w:r>
        <w:rPr>
          <w:rFonts w:hint="eastAsia" w:hAnsi="宋体"/>
          <w:color w:val="auto"/>
          <w:highlight w:val="none"/>
        </w:rPr>
        <w:t>发布中标结果公告。</w:t>
      </w:r>
    </w:p>
    <w:p w14:paraId="309538C6">
      <w:pPr>
        <w:pStyle w:val="28"/>
        <w:spacing w:line="440" w:lineRule="exact"/>
        <w:ind w:firstLine="420"/>
        <w:rPr>
          <w:rFonts w:hAnsi="宋体"/>
          <w:color w:val="auto"/>
          <w:highlight w:val="none"/>
        </w:rPr>
      </w:pPr>
      <w:r>
        <w:rPr>
          <w:rFonts w:hint="eastAsia" w:hAnsi="宋体"/>
          <w:color w:val="auto"/>
          <w:highlight w:val="none"/>
        </w:rPr>
        <w:t>（三）</w:t>
      </w:r>
      <w:r>
        <w:rPr>
          <w:rFonts w:hint="eastAsia"/>
          <w:color w:val="auto"/>
          <w:highlight w:val="none"/>
        </w:rPr>
        <w:t>在发布中标结果公告的同时，本中心向中标供应商发出中标通知书。</w:t>
      </w:r>
    </w:p>
    <w:p w14:paraId="0AEA60EB">
      <w:pPr>
        <w:pStyle w:val="28"/>
        <w:snapToGrid w:val="0"/>
        <w:spacing w:line="440" w:lineRule="exact"/>
        <w:ind w:firstLine="413" w:firstLineChars="196"/>
        <w:outlineLvl w:val="1"/>
        <w:rPr>
          <w:rFonts w:hAnsi="宋体"/>
          <w:b/>
          <w:color w:val="auto"/>
          <w:highlight w:val="none"/>
        </w:rPr>
      </w:pPr>
      <w:r>
        <w:rPr>
          <w:rFonts w:hint="eastAsia" w:hAnsi="宋体"/>
          <w:b/>
          <w:color w:val="auto"/>
          <w:highlight w:val="none"/>
        </w:rPr>
        <w:t>八、签订合同</w:t>
      </w:r>
    </w:p>
    <w:p w14:paraId="7CF68B0A">
      <w:pPr>
        <w:pStyle w:val="28"/>
        <w:snapToGrid w:val="0"/>
        <w:spacing w:line="440" w:lineRule="exact"/>
        <w:ind w:firstLine="413" w:firstLineChars="196"/>
        <w:outlineLvl w:val="1"/>
        <w:rPr>
          <w:rFonts w:hAnsi="宋体"/>
          <w:b/>
          <w:color w:val="auto"/>
          <w:highlight w:val="none"/>
        </w:rPr>
      </w:pPr>
      <w:r>
        <w:rPr>
          <w:rFonts w:hint="eastAsia" w:hAnsi="宋体"/>
          <w:b/>
          <w:color w:val="auto"/>
          <w:highlight w:val="none"/>
        </w:rPr>
        <w:t>（一）合同授予标准</w:t>
      </w:r>
    </w:p>
    <w:p w14:paraId="27D90CBA">
      <w:pPr>
        <w:pStyle w:val="28"/>
        <w:spacing w:line="440" w:lineRule="exact"/>
        <w:ind w:firstLine="420"/>
        <w:rPr>
          <w:rFonts w:hAnsi="宋体"/>
          <w:color w:val="auto"/>
          <w:highlight w:val="none"/>
        </w:rPr>
      </w:pPr>
      <w:r>
        <w:rPr>
          <w:rFonts w:hint="eastAsia" w:hAnsi="宋体"/>
          <w:color w:val="auto"/>
          <w:highlight w:val="none"/>
        </w:rPr>
        <w:t>合同将授予被确定投标文件满足招标文件全部实质性要求，具备履行合同能力，评审得分最高，综合评分排名第一的供应商。</w:t>
      </w:r>
    </w:p>
    <w:p w14:paraId="32B75C34">
      <w:pPr>
        <w:pStyle w:val="28"/>
        <w:snapToGrid w:val="0"/>
        <w:spacing w:line="440" w:lineRule="exact"/>
        <w:ind w:firstLine="413" w:firstLineChars="196"/>
        <w:outlineLvl w:val="1"/>
        <w:rPr>
          <w:rFonts w:hAnsi="宋体"/>
          <w:color w:val="auto"/>
          <w:highlight w:val="none"/>
        </w:rPr>
      </w:pPr>
      <w:r>
        <w:rPr>
          <w:rFonts w:hint="eastAsia" w:hAnsi="宋体"/>
          <w:b/>
          <w:color w:val="auto"/>
          <w:highlight w:val="none"/>
        </w:rPr>
        <w:t>（二）签订合同</w:t>
      </w:r>
    </w:p>
    <w:p w14:paraId="4F57DD7E">
      <w:pPr>
        <w:pStyle w:val="28"/>
        <w:spacing w:line="440" w:lineRule="exact"/>
        <w:ind w:firstLine="420"/>
        <w:rPr>
          <w:rFonts w:hAnsi="宋体"/>
          <w:color w:val="auto"/>
          <w:highlight w:val="none"/>
        </w:rPr>
      </w:pPr>
      <w:r>
        <w:rPr>
          <w:rFonts w:hint="eastAsia" w:hAnsi="宋体"/>
          <w:color w:val="auto"/>
          <w:highlight w:val="none"/>
        </w:rPr>
        <w:t>（1）</w:t>
      </w:r>
      <w:r>
        <w:rPr>
          <w:rFonts w:hint="eastAsia"/>
          <w:color w:val="auto"/>
          <w:highlight w:val="none"/>
        </w:rPr>
        <w:t>投标人接到中标通知书后，应按中标通知书规定的时间、地点与采购人签订合同。中标人无正当理由不得放弃中标。</w:t>
      </w:r>
    </w:p>
    <w:p w14:paraId="57DA59A5">
      <w:pPr>
        <w:pStyle w:val="28"/>
        <w:spacing w:line="440" w:lineRule="exact"/>
        <w:ind w:firstLine="420"/>
        <w:rPr>
          <w:rFonts w:hAnsi="宋体"/>
          <w:color w:val="auto"/>
          <w:highlight w:val="none"/>
        </w:rPr>
      </w:pPr>
      <w:r>
        <w:rPr>
          <w:rFonts w:hint="eastAsia" w:hAnsi="宋体"/>
          <w:color w:val="auto"/>
          <w:highlight w:val="none"/>
        </w:rPr>
        <w:t>（2）如中标供应商不按中标通知书的规定签订合同，则按中标供应商违约处理，本中心将没收中标供应商投标的全部投标保证金。</w:t>
      </w:r>
    </w:p>
    <w:p w14:paraId="79B8F679">
      <w:pPr>
        <w:pStyle w:val="28"/>
        <w:spacing w:line="440" w:lineRule="exact"/>
        <w:ind w:firstLine="420" w:firstLineChars="200"/>
        <w:rPr>
          <w:b/>
          <w:color w:val="auto"/>
          <w:highlight w:val="none"/>
        </w:rPr>
      </w:pPr>
      <w:r>
        <w:rPr>
          <w:rFonts w:hint="eastAsia" w:hAnsi="宋体"/>
          <w:color w:val="auto"/>
          <w:highlight w:val="none"/>
        </w:rPr>
        <w:t>（3）中标供应商拒绝与采购人签订合同或因不可抗力或者自身原因不能履行采购合同的，采购人可以与中标供应商之后排名第一的中标候选供应商签订采购合同，以此类推,也可以重新招标。</w:t>
      </w:r>
      <w:r>
        <w:rPr>
          <w:color w:val="auto"/>
          <w:highlight w:val="none"/>
        </w:rPr>
        <w:t>中标供应商放弃中标项目，拒绝与采购人签订合同的，其投标保证金</w:t>
      </w:r>
      <w:r>
        <w:rPr>
          <w:rFonts w:hint="eastAsia"/>
          <w:color w:val="auto"/>
          <w:highlight w:val="none"/>
        </w:rPr>
        <w:t>将不予退还，</w:t>
      </w:r>
      <w:r>
        <w:rPr>
          <w:color w:val="auto"/>
          <w:highlight w:val="none"/>
        </w:rPr>
        <w:t>并上缴国库，</w:t>
      </w:r>
      <w:r>
        <w:rPr>
          <w:rFonts w:hint="eastAsia"/>
          <w:color w:val="auto"/>
          <w:highlight w:val="none"/>
        </w:rPr>
        <w:t>给</w:t>
      </w:r>
      <w:r>
        <w:rPr>
          <w:color w:val="auto"/>
          <w:highlight w:val="none"/>
        </w:rPr>
        <w:t>采购人造成损失的，还应当赔偿损失，并作为不良行为记录在案</w:t>
      </w:r>
      <w:r>
        <w:rPr>
          <w:rFonts w:hint="eastAsia" w:hAnsi="宋体"/>
          <w:color w:val="auto"/>
          <w:highlight w:val="none"/>
        </w:rPr>
        <w:t>。</w:t>
      </w:r>
    </w:p>
    <w:p w14:paraId="549CF573">
      <w:pPr>
        <w:pStyle w:val="28"/>
        <w:spacing w:line="440" w:lineRule="exact"/>
        <w:ind w:firstLine="413" w:firstLineChars="196"/>
        <w:rPr>
          <w:b/>
          <w:color w:val="auto"/>
          <w:highlight w:val="none"/>
        </w:rPr>
      </w:pPr>
      <w:r>
        <w:rPr>
          <w:rFonts w:hint="eastAsia" w:hAnsi="宋体"/>
          <w:b/>
          <w:color w:val="auto"/>
          <w:highlight w:val="none"/>
        </w:rPr>
        <w:t>九、其他事项</w:t>
      </w:r>
    </w:p>
    <w:p w14:paraId="454F3DE9">
      <w:pPr>
        <w:pStyle w:val="28"/>
        <w:spacing w:line="440" w:lineRule="exact"/>
        <w:ind w:firstLine="207" w:firstLineChars="98"/>
        <w:rPr>
          <w:b/>
          <w:color w:val="auto"/>
          <w:highlight w:val="none"/>
        </w:rPr>
      </w:pPr>
      <w:r>
        <w:rPr>
          <w:rFonts w:hint="eastAsia"/>
          <w:b/>
          <w:color w:val="auto"/>
          <w:highlight w:val="none"/>
        </w:rPr>
        <w:t>（1）解释权：</w:t>
      </w:r>
      <w:r>
        <w:rPr>
          <w:rFonts w:hint="eastAsia"/>
          <w:color w:val="auto"/>
          <w:spacing w:val="-4"/>
          <w:highlight w:val="none"/>
        </w:rPr>
        <w:t>本招标文件解释权属本中心。</w:t>
      </w:r>
    </w:p>
    <w:p w14:paraId="03C3DAC2">
      <w:pPr>
        <w:pStyle w:val="28"/>
        <w:spacing w:line="440" w:lineRule="exact"/>
        <w:ind w:firstLine="207" w:firstLineChars="98"/>
        <w:rPr>
          <w:color w:val="auto"/>
          <w:highlight w:val="none"/>
        </w:rPr>
      </w:pPr>
      <w:r>
        <w:rPr>
          <w:rFonts w:hint="eastAsia"/>
          <w:b/>
          <w:color w:val="auto"/>
          <w:highlight w:val="none"/>
        </w:rPr>
        <w:t>（2）有关事宜</w:t>
      </w:r>
    </w:p>
    <w:p w14:paraId="4F5C9C60">
      <w:pPr>
        <w:pStyle w:val="28"/>
        <w:spacing w:line="440" w:lineRule="exact"/>
        <w:ind w:firstLine="728" w:firstLineChars="347"/>
        <w:rPr>
          <w:color w:val="auto"/>
          <w:highlight w:val="none"/>
        </w:rPr>
      </w:pPr>
      <w:bookmarkStart w:id="10" w:name="_Toc254970548"/>
      <w:bookmarkStart w:id="11" w:name="_Toc254970689"/>
      <w:r>
        <w:rPr>
          <w:rFonts w:hint="eastAsia"/>
          <w:color w:val="auto"/>
          <w:highlight w:val="none"/>
        </w:rPr>
        <w:t>所有与本招标文件有关的函件请按下列通讯地址联系：</w:t>
      </w:r>
    </w:p>
    <w:p w14:paraId="7E6ACE35">
      <w:pPr>
        <w:pStyle w:val="28"/>
        <w:tabs>
          <w:tab w:val="left" w:pos="1990"/>
        </w:tabs>
        <w:spacing w:line="440" w:lineRule="exact"/>
        <w:ind w:firstLine="709"/>
        <w:rPr>
          <w:color w:val="auto"/>
          <w:highlight w:val="none"/>
          <w:u w:val="single"/>
        </w:rPr>
      </w:pPr>
      <w:r>
        <w:rPr>
          <w:rFonts w:hint="eastAsia"/>
          <w:color w:val="auto"/>
          <w:highlight w:val="none"/>
        </w:rPr>
        <w:t>邮政编码：530022</w:t>
      </w:r>
    </w:p>
    <w:p w14:paraId="743E22EC">
      <w:pPr>
        <w:pStyle w:val="28"/>
        <w:tabs>
          <w:tab w:val="left" w:pos="1990"/>
        </w:tabs>
        <w:spacing w:line="440" w:lineRule="exact"/>
        <w:ind w:firstLine="709"/>
        <w:rPr>
          <w:color w:val="auto"/>
          <w:spacing w:val="-4"/>
          <w:highlight w:val="none"/>
          <w:lang w:val="en"/>
        </w:rPr>
      </w:pPr>
      <w:r>
        <w:rPr>
          <w:rFonts w:hint="eastAsia"/>
          <w:color w:val="auto"/>
          <w:highlight w:val="none"/>
        </w:rPr>
        <w:t xml:space="preserve">通讯地址：广西南宁市星湖路22号 </w:t>
      </w:r>
    </w:p>
    <w:p w14:paraId="7DC4E156">
      <w:pPr>
        <w:pStyle w:val="28"/>
        <w:spacing w:line="440" w:lineRule="exact"/>
        <w:ind w:firstLine="710" w:firstLineChars="337"/>
        <w:rPr>
          <w:b/>
          <w:bCs/>
          <w:color w:val="auto"/>
          <w:highlight w:val="none"/>
        </w:rPr>
      </w:pPr>
      <w:r>
        <w:rPr>
          <w:rFonts w:hint="eastAsia"/>
          <w:b/>
          <w:bCs/>
          <w:color w:val="auto"/>
          <w:highlight w:val="none"/>
        </w:rPr>
        <w:t xml:space="preserve">电    话：0771-8600343 </w:t>
      </w:r>
    </w:p>
    <w:p w14:paraId="22412E3A">
      <w:pPr>
        <w:pStyle w:val="28"/>
        <w:spacing w:line="360" w:lineRule="exact"/>
        <w:ind w:firstLine="824"/>
        <w:rPr>
          <w:color w:val="auto"/>
          <w:highlight w:val="none"/>
        </w:rPr>
      </w:pPr>
    </w:p>
    <w:p w14:paraId="7D2EE242">
      <w:pPr>
        <w:pStyle w:val="28"/>
        <w:snapToGrid w:val="0"/>
        <w:spacing w:before="120" w:after="120"/>
        <w:jc w:val="center"/>
        <w:outlineLvl w:val="0"/>
        <w:rPr>
          <w:rFonts w:ascii="黑体" w:eastAsia="黑体"/>
          <w:b/>
          <w:color w:val="auto"/>
          <w:sz w:val="44"/>
          <w:szCs w:val="44"/>
          <w:highlight w:val="none"/>
        </w:rPr>
      </w:pPr>
      <w:r>
        <w:rPr>
          <w:rFonts w:hint="eastAsia" w:ascii="黑体" w:eastAsia="黑体"/>
          <w:b/>
          <w:color w:val="auto"/>
          <w:sz w:val="44"/>
          <w:szCs w:val="44"/>
          <w:highlight w:val="none"/>
        </w:rPr>
        <w:br w:type="page"/>
      </w:r>
    </w:p>
    <w:p w14:paraId="199E06A3">
      <w:pPr>
        <w:pStyle w:val="28"/>
        <w:snapToGrid w:val="0"/>
        <w:spacing w:before="120" w:after="120"/>
        <w:jc w:val="center"/>
        <w:outlineLvl w:val="0"/>
        <w:rPr>
          <w:rFonts w:ascii="黑体" w:eastAsia="黑体"/>
          <w:b/>
          <w:color w:val="auto"/>
          <w:sz w:val="32"/>
          <w:szCs w:val="32"/>
          <w:highlight w:val="none"/>
        </w:rPr>
      </w:pPr>
    </w:p>
    <w:p w14:paraId="11E70F6D">
      <w:pPr>
        <w:pStyle w:val="28"/>
        <w:snapToGrid w:val="0"/>
        <w:spacing w:before="120" w:after="120"/>
        <w:jc w:val="center"/>
        <w:outlineLvl w:val="0"/>
        <w:rPr>
          <w:rFonts w:ascii="黑体" w:eastAsia="黑体"/>
          <w:b/>
          <w:color w:val="auto"/>
          <w:sz w:val="44"/>
          <w:szCs w:val="44"/>
          <w:highlight w:val="none"/>
        </w:rPr>
      </w:pPr>
    </w:p>
    <w:p w14:paraId="59408378">
      <w:pPr>
        <w:pStyle w:val="28"/>
        <w:snapToGrid w:val="0"/>
        <w:spacing w:before="120" w:after="120"/>
        <w:jc w:val="center"/>
        <w:outlineLvl w:val="0"/>
        <w:rPr>
          <w:rFonts w:ascii="黑体" w:eastAsia="黑体"/>
          <w:b/>
          <w:color w:val="auto"/>
          <w:sz w:val="44"/>
          <w:szCs w:val="44"/>
          <w:highlight w:val="none"/>
        </w:rPr>
      </w:pPr>
    </w:p>
    <w:p w14:paraId="00B322F5">
      <w:pPr>
        <w:pStyle w:val="28"/>
        <w:snapToGrid w:val="0"/>
        <w:spacing w:before="120" w:after="120"/>
        <w:jc w:val="center"/>
        <w:outlineLvl w:val="0"/>
        <w:rPr>
          <w:rFonts w:ascii="黑体" w:eastAsia="黑体"/>
          <w:b/>
          <w:color w:val="auto"/>
          <w:sz w:val="44"/>
          <w:szCs w:val="44"/>
          <w:highlight w:val="none"/>
        </w:rPr>
      </w:pPr>
    </w:p>
    <w:p w14:paraId="602EC139">
      <w:pPr>
        <w:pStyle w:val="28"/>
        <w:snapToGrid w:val="0"/>
        <w:spacing w:before="120" w:after="120"/>
        <w:jc w:val="center"/>
        <w:outlineLvl w:val="0"/>
        <w:rPr>
          <w:rFonts w:ascii="黑体" w:eastAsia="黑体"/>
          <w:b/>
          <w:color w:val="auto"/>
          <w:sz w:val="44"/>
          <w:szCs w:val="44"/>
          <w:highlight w:val="none"/>
        </w:rPr>
      </w:pPr>
    </w:p>
    <w:p w14:paraId="5ADEB4C2">
      <w:pPr>
        <w:pStyle w:val="28"/>
        <w:snapToGrid w:val="0"/>
        <w:spacing w:before="120" w:after="120"/>
        <w:jc w:val="center"/>
        <w:outlineLvl w:val="0"/>
        <w:rPr>
          <w:rFonts w:ascii="黑体" w:eastAsia="黑体"/>
          <w:b/>
          <w:color w:val="auto"/>
          <w:sz w:val="44"/>
          <w:szCs w:val="44"/>
          <w:highlight w:val="none"/>
        </w:rPr>
      </w:pPr>
    </w:p>
    <w:p w14:paraId="106A6A14">
      <w:pPr>
        <w:pStyle w:val="28"/>
        <w:snapToGrid w:val="0"/>
        <w:spacing w:before="120" w:after="120"/>
        <w:jc w:val="center"/>
        <w:outlineLvl w:val="0"/>
        <w:rPr>
          <w:rFonts w:ascii="黑体" w:eastAsia="黑体"/>
          <w:b/>
          <w:color w:val="auto"/>
          <w:sz w:val="44"/>
          <w:szCs w:val="44"/>
          <w:highlight w:val="none"/>
        </w:rPr>
      </w:pPr>
    </w:p>
    <w:p w14:paraId="557A3CA1">
      <w:pPr>
        <w:pStyle w:val="5"/>
        <w:rPr>
          <w:color w:val="auto"/>
          <w:highlight w:val="none"/>
        </w:rPr>
      </w:pPr>
    </w:p>
    <w:bookmarkEnd w:id="10"/>
    <w:bookmarkEnd w:id="11"/>
    <w:p w14:paraId="7A199BD9">
      <w:pPr>
        <w:pStyle w:val="28"/>
        <w:snapToGrid w:val="0"/>
        <w:spacing w:before="120" w:after="120"/>
        <w:jc w:val="center"/>
        <w:outlineLvl w:val="0"/>
        <w:rPr>
          <w:rFonts w:ascii="黑体" w:eastAsia="黑体"/>
          <w:b/>
          <w:color w:val="auto"/>
          <w:sz w:val="44"/>
          <w:szCs w:val="44"/>
          <w:highlight w:val="none"/>
        </w:rPr>
      </w:pPr>
      <w:r>
        <w:rPr>
          <w:rFonts w:hint="eastAsia" w:ascii="仿宋_GB2312" w:eastAsia="仿宋_GB2312"/>
          <w:b/>
          <w:color w:val="auto"/>
          <w:sz w:val="44"/>
          <w:szCs w:val="44"/>
          <w:highlight w:val="none"/>
        </w:rPr>
        <w:t>第四章  评标方法及评分标准</w:t>
      </w:r>
    </w:p>
    <w:p w14:paraId="4DBABB57">
      <w:pPr>
        <w:spacing w:line="340" w:lineRule="exact"/>
        <w:ind w:firstLine="420" w:firstLineChars="200"/>
        <w:jc w:val="center"/>
        <w:rPr>
          <w:bCs/>
          <w:color w:val="auto"/>
          <w:highlight w:val="none"/>
        </w:rPr>
      </w:pPr>
      <w:r>
        <w:rPr>
          <w:bCs/>
          <w:color w:val="auto"/>
          <w:highlight w:val="none"/>
        </w:rPr>
        <w:br w:type="page"/>
      </w:r>
    </w:p>
    <w:p w14:paraId="1DDFC2B2">
      <w:pPr>
        <w:spacing w:line="340" w:lineRule="exact"/>
        <w:ind w:firstLine="643" w:firstLineChars="200"/>
        <w:rPr>
          <w:rFonts w:ascii="仿宋_GB2312" w:hAnsi="宋体" w:eastAsia="仿宋_GB2312"/>
          <w:b/>
          <w:color w:val="auto"/>
          <w:sz w:val="32"/>
          <w:szCs w:val="32"/>
          <w:highlight w:val="none"/>
          <w:lang w:val="en"/>
        </w:rPr>
      </w:pPr>
      <w:r>
        <w:rPr>
          <w:rFonts w:hint="eastAsia" w:ascii="仿宋_GB2312" w:hAnsi="宋体" w:eastAsia="仿宋_GB2312"/>
          <w:b/>
          <w:color w:val="auto"/>
          <w:sz w:val="32"/>
          <w:szCs w:val="32"/>
          <w:highlight w:val="none"/>
        </w:rPr>
        <w:t xml:space="preserve">               </w:t>
      </w:r>
      <w:r>
        <w:rPr>
          <w:rFonts w:hint="eastAsia" w:ascii="仿宋_GB2312" w:hAnsi="宋体" w:eastAsia="仿宋_GB2312"/>
          <w:b/>
          <w:color w:val="auto"/>
          <w:sz w:val="32"/>
          <w:szCs w:val="32"/>
          <w:highlight w:val="none"/>
          <w:lang w:val="en"/>
        </w:rPr>
        <w:t>评标方法</w:t>
      </w:r>
      <w:r>
        <w:rPr>
          <w:rFonts w:ascii="仿宋_GB2312" w:hAnsi="宋体" w:eastAsia="仿宋_GB2312"/>
          <w:b/>
          <w:color w:val="auto"/>
          <w:sz w:val="32"/>
          <w:szCs w:val="32"/>
          <w:highlight w:val="none"/>
          <w:lang w:val="en"/>
        </w:rPr>
        <w:t>及评分标准</w:t>
      </w:r>
    </w:p>
    <w:p w14:paraId="70676B15">
      <w:pPr>
        <w:pStyle w:val="28"/>
        <w:spacing w:line="400" w:lineRule="exact"/>
        <w:ind w:firstLine="517" w:firstLineChars="245"/>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一、评标原则</w:t>
      </w:r>
    </w:p>
    <w:p w14:paraId="10735827">
      <w:pPr>
        <w:pStyle w:val="28"/>
        <w:spacing w:line="400" w:lineRule="exact"/>
        <w:ind w:firstLine="482" w:firstLineChars="230"/>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(一)评委组成：本招标采购项目的</w:t>
      </w:r>
      <w:r>
        <w:rPr>
          <w:rFonts w:hint="eastAsia" w:asciiTheme="minorEastAsia" w:hAnsiTheme="minorEastAsia" w:eastAsiaTheme="minorEastAsia" w:cstheme="minorEastAsia"/>
          <w:color w:val="auto"/>
          <w:spacing w:val="-4"/>
          <w:highlight w:val="none"/>
        </w:rPr>
        <w:t>评标委员会由采购人代表和评审专家组成，</w:t>
      </w:r>
      <w:r>
        <w:rPr>
          <w:rFonts w:hint="eastAsia" w:asciiTheme="minorEastAsia" w:hAnsiTheme="minorEastAsia" w:eastAsiaTheme="minorEastAsia" w:cstheme="minorEastAsia"/>
          <w:b/>
          <w:bCs/>
          <w:color w:val="auto"/>
          <w:spacing w:val="-4"/>
          <w:highlight w:val="none"/>
        </w:rPr>
        <w:t>成员人数应当为5人以上单数，其中评审专家不得少于成员总数的三分之二</w:t>
      </w:r>
      <w:r>
        <w:rPr>
          <w:rFonts w:hint="eastAsia" w:asciiTheme="minorEastAsia" w:hAnsiTheme="minorEastAsia" w:eastAsiaTheme="minorEastAsia" w:cstheme="minorEastAsia"/>
          <w:color w:val="auto"/>
          <w:spacing w:val="-4"/>
          <w:highlight w:val="none"/>
        </w:rPr>
        <w:t>。</w:t>
      </w:r>
    </w:p>
    <w:p w14:paraId="3AE28C87">
      <w:pPr>
        <w:pStyle w:val="28"/>
        <w:spacing w:line="400" w:lineRule="exact"/>
        <w:ind w:firstLine="499" w:firstLineChars="238"/>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(二)评标依据：评委将以招投标文件为评标依据，对投标人的投标内容按百分制打分。</w:t>
      </w:r>
    </w:p>
    <w:p w14:paraId="04DD4FE0">
      <w:pPr>
        <w:pStyle w:val="28"/>
        <w:spacing w:line="400" w:lineRule="exact"/>
        <w:ind w:firstLine="510" w:firstLineChars="243"/>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(三)评标方式：以封闭方式进行。</w:t>
      </w:r>
    </w:p>
    <w:p w14:paraId="748BE473">
      <w:pPr>
        <w:pStyle w:val="5"/>
        <w:spacing w:line="400" w:lineRule="exact"/>
        <w:jc w:val="lef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（四）无效投标处理原则：在评标过程中，包括在异常低价认定程序中被认定为无效的投标，其投标文件不再进入后续评审阶段，也不参与得分计算与汇总排名。</w:t>
      </w:r>
    </w:p>
    <w:p w14:paraId="2181824E">
      <w:pPr>
        <w:pStyle w:val="28"/>
        <w:spacing w:line="400" w:lineRule="exact"/>
        <w:ind w:firstLine="510" w:firstLineChars="24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二</w:t>
      </w:r>
      <w:r>
        <w:rPr>
          <w:rFonts w:hint="eastAsia" w:asciiTheme="minorEastAsia" w:hAnsiTheme="minorEastAsia" w:eastAsiaTheme="minorEastAsia" w:cstheme="minorEastAsia"/>
          <w:b/>
          <w:color w:val="auto"/>
          <w:highlight w:val="none"/>
        </w:rPr>
        <w:t>、评标方法</w:t>
      </w:r>
    </w:p>
    <w:p w14:paraId="2D341C61">
      <w:pPr>
        <w:pStyle w:val="28"/>
        <w:spacing w:line="400" w:lineRule="exact"/>
        <w:ind w:firstLine="420" w:firstLineChars="200"/>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（一）对进入详评的，采用百分制综合评分法。</w:t>
      </w:r>
    </w:p>
    <w:p w14:paraId="1C31E6FD">
      <w:pPr>
        <w:pStyle w:val="28"/>
        <w:spacing w:line="400" w:lineRule="exact"/>
        <w:ind w:firstLine="420" w:firstLineChars="200"/>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（二）计分办法（按四舍五入取至百分位）：</w:t>
      </w:r>
    </w:p>
    <w:p w14:paraId="2F33B9FD">
      <w:pPr>
        <w:pStyle w:val="28"/>
        <w:spacing w:line="400" w:lineRule="exact"/>
        <w:ind w:firstLine="502" w:firstLineChars="238"/>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1、价格分</w:t>
      </w:r>
      <w:r>
        <w:rPr>
          <w:rFonts w:hint="eastAsia" w:asciiTheme="minorEastAsia" w:hAnsiTheme="minorEastAsia" w:eastAsiaTheme="minorEastAsia" w:cstheme="minorEastAsia"/>
          <w:b/>
          <w:bCs/>
          <w:color w:val="auto"/>
          <w:spacing w:val="-8"/>
          <w:highlight w:val="none"/>
        </w:rPr>
        <w:t>………………………………………………………………………………………</w:t>
      </w:r>
      <w:r>
        <w:rPr>
          <w:rFonts w:hint="eastAsia" w:asciiTheme="minorEastAsia" w:hAnsiTheme="minorEastAsia" w:eastAsiaTheme="minorEastAsia" w:cstheme="minorEastAsia"/>
          <w:b/>
          <w:color w:val="auto"/>
          <w:highlight w:val="none"/>
        </w:rPr>
        <w:t>30分</w:t>
      </w:r>
    </w:p>
    <w:p w14:paraId="1925C473">
      <w:pPr>
        <w:pStyle w:val="229"/>
        <w:adjustRightInd w:val="0"/>
        <w:snapToGrid w:val="0"/>
        <w:spacing w:line="400" w:lineRule="exact"/>
        <w:ind w:firstLine="378" w:firstLineChars="1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bCs/>
          <w:color w:val="auto"/>
          <w:highlight w:val="none"/>
        </w:rPr>
        <w:t>符合《政府采购促进中小企业发展管理办法》（财库〔2020〕46号）规定条件且按该办法中规定的格式提供了《中小企业声明函》的小型和微型企业参与投标，对其投标报价给予10%的扣除，</w:t>
      </w:r>
      <w:r>
        <w:rPr>
          <w:rFonts w:hint="eastAsia" w:asciiTheme="minorEastAsia" w:hAnsiTheme="minorEastAsia" w:eastAsiaTheme="minorEastAsia" w:cstheme="minorEastAsia"/>
          <w:color w:val="auto"/>
          <w:highlight w:val="none"/>
        </w:rPr>
        <w:t>扣除后的价格为评标价，即评标价=投标价×（1-10%）；符合《国务院办公厅关于在政府采购中实施本国产品标准及相关政策的通知》（国办发〔2025〕34号）规定</w:t>
      </w:r>
      <w:r>
        <w:rPr>
          <w:rFonts w:hint="eastAsia" w:asciiTheme="minorEastAsia" w:hAnsiTheme="minorEastAsia" w:eastAsiaTheme="minorEastAsia" w:cstheme="minorEastAsia"/>
          <w:bCs/>
          <w:color w:val="auto"/>
          <w:highlight w:val="none"/>
        </w:rPr>
        <w:t>条件且按该通知中规定的格式提供了《关于符合本国产品标准的声明函》的供应商参与投标，对其投标报价给予20%的扣除，</w:t>
      </w:r>
      <w:r>
        <w:rPr>
          <w:rFonts w:hint="eastAsia" w:asciiTheme="minorEastAsia" w:hAnsiTheme="minorEastAsia" w:eastAsiaTheme="minorEastAsia" w:cstheme="minorEastAsia"/>
          <w:color w:val="auto"/>
          <w:highlight w:val="none"/>
        </w:rPr>
        <w:t>扣除后的价格为评标价，即评标价=投标价×（1-20%）；除上述情况外，评标价=投标价。</w:t>
      </w:r>
    </w:p>
    <w:p w14:paraId="36C001CC">
      <w:pPr>
        <w:pStyle w:val="28"/>
        <w:spacing w:line="400" w:lineRule="exact"/>
        <w:ind w:firstLine="420" w:firstLineChars="200"/>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投标产品生产企业</w:t>
      </w:r>
      <w:r>
        <w:rPr>
          <w:rFonts w:hint="eastAsia" w:asciiTheme="minorEastAsia" w:hAnsiTheme="minorEastAsia" w:eastAsiaTheme="minorEastAsia" w:cstheme="minorEastAsia"/>
          <w:color w:val="auto"/>
          <w:highlight w:val="none"/>
        </w:rPr>
        <w:t>提供企业按《关于政府采购支持监狱企业发展有关问题的通知》(财库[2014]68号)认定为监狱企业的，在政府采购活动中，监狱企业视同小型、微型企业。监狱企业参加政府采购活动时，应当提供由省级以上监狱管理局、戒毒管理局(含新疆生产建设兵团)出具的属于监狱企业的证明文件。</w:t>
      </w:r>
    </w:p>
    <w:p w14:paraId="18E83AA9">
      <w:pPr>
        <w:pStyle w:val="28"/>
        <w:spacing w:line="400" w:lineRule="exact"/>
        <w:ind w:firstLine="420" w:firstLineChars="200"/>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w:t>
      </w:r>
      <w:r>
        <w:rPr>
          <w:rFonts w:hint="eastAsia" w:asciiTheme="minorEastAsia" w:hAnsiTheme="minorEastAsia" w:eastAsiaTheme="minorEastAsia" w:cstheme="minorEastAsia"/>
          <w:b/>
          <w:color w:val="auto"/>
          <w:highlight w:val="none"/>
        </w:rPr>
        <w:t>产品</w:t>
      </w:r>
      <w:r>
        <w:rPr>
          <w:rFonts w:hint="eastAsia" w:asciiTheme="minorEastAsia" w:hAnsiTheme="minorEastAsia" w:eastAsiaTheme="minorEastAsia" w:cstheme="minorEastAsia"/>
          <w:color w:val="auto"/>
          <w:highlight w:val="none"/>
        </w:rPr>
        <w:t>提供企业按《关于促进残疾人就业政府采购政策的通知》(财库〔2017〕141号)认定为残疾人福利性单位的，在政府采购活动中，残疾人福利性单位视同小型、微型企业。残疾人福利性单位参加政府采购活动时，应当提供该通知规定的《残疾人福利性单位声明函》，并对声明的真实性负责。</w:t>
      </w:r>
    </w:p>
    <w:p w14:paraId="7066F410">
      <w:pPr>
        <w:pStyle w:val="28"/>
        <w:spacing w:line="400" w:lineRule="exact"/>
        <w:ind w:firstLine="210" w:firstLineChars="100"/>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（2）以满足招标文件要求且评标价最低的投标人的评标价为评标基准价，其价格分为</w:t>
      </w:r>
      <w:r>
        <w:rPr>
          <w:rFonts w:hint="eastAsia" w:asciiTheme="minorEastAsia" w:hAnsiTheme="minorEastAsia" w:eastAsiaTheme="minorEastAsia" w:cstheme="minorEastAsia"/>
          <w:b/>
          <w:color w:val="auto"/>
          <w:highlight w:val="none"/>
        </w:rPr>
        <w:t>30</w:t>
      </w:r>
      <w:r>
        <w:rPr>
          <w:rFonts w:hint="eastAsia" w:asciiTheme="minorEastAsia" w:hAnsiTheme="minorEastAsia" w:eastAsiaTheme="minorEastAsia" w:cstheme="minorEastAsia"/>
          <w:color w:val="auto"/>
          <w:highlight w:val="none"/>
        </w:rPr>
        <w:t>分。</w:t>
      </w:r>
    </w:p>
    <w:p w14:paraId="429F2EF9">
      <w:pPr>
        <w:pStyle w:val="28"/>
        <w:spacing w:line="400" w:lineRule="exact"/>
        <w:outlineLvl w:val="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color w:val="auto"/>
          <w:highlight w:val="none"/>
        </w:rPr>
        <w:t xml:space="preserve">   （3）某投标人价格分</w:t>
      </w:r>
      <w:r>
        <w:rPr>
          <w:rFonts w:hint="eastAsia" w:asciiTheme="minorEastAsia" w:hAnsiTheme="minorEastAsia" w:eastAsiaTheme="minorEastAsia" w:cstheme="minorEastAsia"/>
          <w:b/>
          <w:color w:val="auto"/>
          <w:highlight w:val="none"/>
        </w:rPr>
        <w:t xml:space="preserve"> =评标基准价（金额）/某投标人评标价（金额）×30分</w:t>
      </w:r>
    </w:p>
    <w:p w14:paraId="66726B76">
      <w:pPr>
        <w:pStyle w:val="28"/>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    2、</w:t>
      </w:r>
      <w:r>
        <w:rPr>
          <w:rFonts w:hint="eastAsia" w:asciiTheme="minorEastAsia" w:hAnsiTheme="minorEastAsia" w:eastAsiaTheme="minorEastAsia" w:cstheme="minorEastAsia"/>
          <w:b/>
          <w:color w:val="auto"/>
          <w:highlight w:val="none"/>
          <w:lang w:val="en"/>
        </w:rPr>
        <w:t>技术分</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b/>
          <w:bCs/>
          <w:color w:val="auto"/>
          <w:spacing w:val="-8"/>
          <w:highlight w:val="none"/>
        </w:rPr>
        <w:t>………………………………………………………………………………………62</w:t>
      </w:r>
      <w:r>
        <w:rPr>
          <w:rFonts w:hint="eastAsia" w:asciiTheme="minorEastAsia" w:hAnsiTheme="minorEastAsia" w:eastAsiaTheme="minorEastAsia" w:cstheme="minorEastAsia"/>
          <w:b/>
          <w:color w:val="auto"/>
          <w:highlight w:val="none"/>
        </w:rPr>
        <w:t>分</w:t>
      </w:r>
    </w:p>
    <w:p w14:paraId="419680D5">
      <w:pPr>
        <w:pStyle w:val="204"/>
        <w:widowControl/>
        <w:spacing w:line="400" w:lineRule="exact"/>
        <w:ind w:right="-15" w:firstLine="420" w:firstLineChars="20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w:t>
      </w:r>
      <w:r>
        <w:rPr>
          <w:rFonts w:hint="eastAsia" w:asciiTheme="minorEastAsia" w:hAnsiTheme="minorEastAsia" w:eastAsiaTheme="minorEastAsia" w:cstheme="minorEastAsia"/>
          <w:color w:val="auto"/>
          <w:szCs w:val="21"/>
          <w:highlight w:val="none"/>
          <w:lang w:val="en-US"/>
        </w:rPr>
        <w:t>采购需求“技术参数及性能（配置）要求”中</w:t>
      </w:r>
      <w:r>
        <w:rPr>
          <w:rFonts w:hint="eastAsia" w:asciiTheme="minorEastAsia" w:hAnsiTheme="minorEastAsia" w:eastAsiaTheme="minorEastAsia" w:cstheme="minorEastAsia"/>
          <w:color w:val="auto"/>
          <w:szCs w:val="21"/>
          <w:highlight w:val="none"/>
        </w:rPr>
        <w:t>标注★号的作为加分项。投标产品的技术参数及性能(备置)有正偏离的，可作为加分，本项满分30分</w:t>
      </w:r>
      <w:r>
        <w:rPr>
          <w:rFonts w:hint="eastAsia" w:asciiTheme="minorEastAsia" w:hAnsiTheme="minorEastAsia" w:eastAsiaTheme="minorEastAsia" w:cstheme="minorEastAsia"/>
          <w:color w:val="auto"/>
          <w:szCs w:val="21"/>
          <w:highlight w:val="none"/>
          <w:lang w:val="en-US"/>
        </w:rPr>
        <w:t>。内容如下：</w:t>
      </w:r>
    </w:p>
    <w:p w14:paraId="5E9A01E1">
      <w:pPr>
        <w:spacing w:line="400" w:lineRule="exact"/>
        <w:ind w:firstLine="420"/>
        <w:rPr>
          <w:rFonts w:asciiTheme="minorEastAsia" w:hAnsiTheme="minorEastAsia" w:eastAsiaTheme="minorEastAsia" w:cstheme="minorEastAsia"/>
          <w:color w:val="auto"/>
          <w:szCs w:val="21"/>
          <w:highlight w:val="none"/>
        </w:rPr>
      </w:pPr>
      <w:bookmarkStart w:id="12" w:name="OLE_LINK70"/>
      <w:r>
        <w:rPr>
          <w:rFonts w:hint="eastAsia" w:asciiTheme="minorEastAsia" w:hAnsiTheme="minorEastAsia" w:eastAsiaTheme="minorEastAsia" w:cstheme="minorEastAsia"/>
          <w:color w:val="auto"/>
          <w:szCs w:val="21"/>
          <w:highlight w:val="none"/>
        </w:rPr>
        <w:t>①轿厢尺寸正偏离：轿厢尺寸：DT1-DT3：≥1800mm(宽)×1650mm（深），DT4：≥1700mm(宽）×1650mm（深）的，得3分。本项满分3分。（请按采购需求提供相应证明文件）</w:t>
      </w:r>
    </w:p>
    <w:p w14:paraId="21F4F23F">
      <w:pPr>
        <w:adjustRightInd w:val="0"/>
        <w:spacing w:line="400" w:lineRule="exact"/>
        <w:ind w:firstLine="422"/>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b/>
          <w:bCs/>
          <w:color w:val="auto"/>
          <w:szCs w:val="21"/>
          <w:highlight w:val="none"/>
        </w:rPr>
        <w:t>②</w:t>
      </w:r>
      <w:r>
        <w:rPr>
          <w:rFonts w:hint="eastAsia" w:asciiTheme="minorEastAsia" w:hAnsiTheme="minorEastAsia" w:eastAsiaTheme="minorEastAsia" w:cstheme="minorEastAsia"/>
          <w:color w:val="auto"/>
          <w:szCs w:val="21"/>
          <w:highlight w:val="none"/>
          <w:lang w:val="zh-CN" w:bidi="zh-CN"/>
        </w:rPr>
        <w:t>曳引机：永磁同步主机，曳引机制动器的结构形式采用内扩块式，驱动主机制动力矩≥</w:t>
      </w:r>
      <w:r>
        <w:rPr>
          <w:rFonts w:hint="eastAsia" w:asciiTheme="minorEastAsia" w:hAnsiTheme="minorEastAsia" w:eastAsiaTheme="minorEastAsia" w:cstheme="minorEastAsia"/>
          <w:color w:val="auto"/>
          <w:szCs w:val="21"/>
          <w:highlight w:val="none"/>
          <w:lang w:bidi="zh-CN"/>
        </w:rPr>
        <w:t>9</w:t>
      </w:r>
      <w:r>
        <w:rPr>
          <w:rFonts w:hint="eastAsia" w:asciiTheme="minorEastAsia" w:hAnsiTheme="minorEastAsia" w:eastAsiaTheme="minorEastAsia" w:cstheme="minorEastAsia"/>
          <w:color w:val="auto"/>
          <w:szCs w:val="21"/>
          <w:highlight w:val="none"/>
          <w:lang w:val="zh-CN" w:bidi="zh-CN"/>
        </w:rPr>
        <w:t>000N.m的，得</w:t>
      </w:r>
      <w:r>
        <w:rPr>
          <w:rFonts w:hint="eastAsia" w:asciiTheme="minorEastAsia" w:hAnsiTheme="minorEastAsia" w:eastAsiaTheme="minorEastAsia" w:cstheme="minorEastAsia"/>
          <w:color w:val="auto"/>
          <w:szCs w:val="21"/>
          <w:highlight w:val="none"/>
          <w:lang w:bidi="zh-CN"/>
        </w:rPr>
        <w:t>2</w:t>
      </w:r>
      <w:r>
        <w:rPr>
          <w:rFonts w:hint="eastAsia" w:asciiTheme="minorEastAsia" w:hAnsiTheme="minorEastAsia" w:eastAsiaTheme="minorEastAsia" w:cstheme="minorEastAsia"/>
          <w:color w:val="auto"/>
          <w:szCs w:val="21"/>
          <w:highlight w:val="none"/>
          <w:lang w:val="zh-CN" w:bidi="zh-CN"/>
        </w:rPr>
        <w:t>分；曳引机定子绕组及制动器线圈升温均≤</w:t>
      </w:r>
      <w:r>
        <w:rPr>
          <w:rFonts w:hint="eastAsia" w:asciiTheme="minorEastAsia" w:hAnsiTheme="minorEastAsia" w:eastAsiaTheme="minorEastAsia" w:cstheme="minorEastAsia"/>
          <w:color w:val="auto"/>
          <w:szCs w:val="21"/>
          <w:highlight w:val="none"/>
          <w:lang w:bidi="zh-CN"/>
        </w:rPr>
        <w:t>3</w:t>
      </w:r>
      <w:r>
        <w:rPr>
          <w:rFonts w:hint="eastAsia" w:asciiTheme="minorEastAsia" w:hAnsiTheme="minorEastAsia" w:eastAsiaTheme="minorEastAsia" w:cstheme="minorEastAsia"/>
          <w:color w:val="auto"/>
          <w:szCs w:val="21"/>
          <w:highlight w:val="none"/>
          <w:lang w:val="zh-CN" w:bidi="zh-CN"/>
        </w:rPr>
        <w:t>0K的，得</w:t>
      </w:r>
      <w:r>
        <w:rPr>
          <w:rFonts w:hint="eastAsia" w:asciiTheme="minorEastAsia" w:hAnsiTheme="minorEastAsia" w:eastAsiaTheme="minorEastAsia" w:cstheme="minorEastAsia"/>
          <w:color w:val="auto"/>
          <w:szCs w:val="21"/>
          <w:highlight w:val="none"/>
          <w:lang w:bidi="zh-CN"/>
        </w:rPr>
        <w:t>2</w:t>
      </w:r>
      <w:r>
        <w:rPr>
          <w:rFonts w:hint="eastAsia" w:asciiTheme="minorEastAsia" w:hAnsiTheme="minorEastAsia" w:eastAsiaTheme="minorEastAsia" w:cstheme="minorEastAsia"/>
          <w:color w:val="auto"/>
          <w:szCs w:val="21"/>
          <w:highlight w:val="none"/>
          <w:lang w:val="zh-CN" w:bidi="zh-CN"/>
        </w:rPr>
        <w:t>分。该项满分</w:t>
      </w:r>
      <w:r>
        <w:rPr>
          <w:rFonts w:hint="eastAsia" w:asciiTheme="minorEastAsia" w:hAnsiTheme="minorEastAsia" w:eastAsiaTheme="minorEastAsia" w:cstheme="minorEastAsia"/>
          <w:color w:val="auto"/>
          <w:szCs w:val="21"/>
          <w:highlight w:val="none"/>
          <w:lang w:bidi="zh-CN"/>
        </w:rPr>
        <w:t>4</w:t>
      </w:r>
      <w:r>
        <w:rPr>
          <w:rFonts w:hint="eastAsia" w:asciiTheme="minorEastAsia" w:hAnsiTheme="minorEastAsia" w:eastAsiaTheme="minorEastAsia" w:cstheme="minorEastAsia"/>
          <w:color w:val="auto"/>
          <w:szCs w:val="21"/>
          <w:highlight w:val="none"/>
          <w:lang w:val="zh-CN" w:bidi="zh-CN"/>
        </w:rPr>
        <w:t>分。（提供第三方检测机构出具电梯的驱动主机（曳引机）型式试验报告及证书作为证明材料）</w:t>
      </w:r>
    </w:p>
    <w:p w14:paraId="15E50BDC">
      <w:pPr>
        <w:pStyle w:val="660"/>
        <w:adjustRightInd w:val="0"/>
        <w:spacing w:line="400" w:lineRule="exact"/>
        <w:ind w:firstLine="420"/>
        <w:textAlignment w:val="baseline"/>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③</w:t>
      </w:r>
      <w:r>
        <w:rPr>
          <w:rFonts w:hint="eastAsia" w:ascii="宋体" w:hAnsi="宋体" w:eastAsia="宋体"/>
          <w:color w:val="auto"/>
          <w:sz w:val="21"/>
          <w:szCs w:val="21"/>
          <w:highlight w:val="none"/>
        </w:rPr>
        <w:t>层门锁</w:t>
      </w:r>
      <w:r>
        <w:rPr>
          <w:rFonts w:hint="eastAsia" w:asciiTheme="minorEastAsia" w:hAnsiTheme="minorEastAsia" w:eastAsiaTheme="minorEastAsia" w:cstheme="minorEastAsia"/>
          <w:color w:val="auto"/>
          <w:sz w:val="21"/>
          <w:szCs w:val="21"/>
          <w:highlight w:val="none"/>
          <w:lang w:bidi="ar"/>
        </w:rPr>
        <w:t>：所投电梯产品</w:t>
      </w:r>
      <w:r>
        <w:rPr>
          <w:rFonts w:hint="eastAsia" w:asciiTheme="minorEastAsia" w:hAnsiTheme="minorEastAsia" w:eastAsiaTheme="minorEastAsia" w:cstheme="minorEastAsia"/>
          <w:b/>
          <w:bCs/>
          <w:color w:val="auto"/>
          <w:sz w:val="21"/>
          <w:szCs w:val="21"/>
          <w:highlight w:val="none"/>
          <w:lang w:bidi="ar"/>
        </w:rPr>
        <w:t>层门锁动作寿命</w:t>
      </w:r>
      <w:r>
        <w:rPr>
          <w:rFonts w:hint="eastAsia" w:asciiTheme="minorEastAsia" w:hAnsiTheme="minorEastAsia" w:eastAsiaTheme="minorEastAsia" w:cstheme="minorEastAsia"/>
          <w:color w:val="auto"/>
          <w:sz w:val="21"/>
          <w:szCs w:val="21"/>
          <w:highlight w:val="none"/>
          <w:lang w:bidi="ar"/>
        </w:rPr>
        <w:t>≥1000万次的，得1分</w:t>
      </w:r>
      <w:r>
        <w:rPr>
          <w:rFonts w:hint="eastAsia" w:asciiTheme="minorEastAsia" w:hAnsiTheme="minorEastAsia" w:eastAsiaTheme="minorEastAsia" w:cstheme="minorEastAsia"/>
          <w:color w:val="auto"/>
          <w:sz w:val="21"/>
          <w:szCs w:val="21"/>
          <w:highlight w:val="none"/>
          <w:lang w:val="zh-CN" w:bidi="zh-CN"/>
        </w:rPr>
        <w:t>。本项满分1分。</w:t>
      </w:r>
      <w:r>
        <w:rPr>
          <w:rFonts w:hint="eastAsia" w:asciiTheme="minorEastAsia" w:hAnsiTheme="minorEastAsia" w:eastAsiaTheme="minorEastAsia" w:cstheme="minorEastAsia"/>
          <w:color w:val="auto"/>
          <w:sz w:val="21"/>
          <w:szCs w:val="21"/>
          <w:highlight w:val="none"/>
          <w:lang w:bidi="ar"/>
        </w:rPr>
        <w:t>(提供第三方检测机构出具的“层门锁”试验报告复印件作为证明材料)</w:t>
      </w:r>
    </w:p>
    <w:p w14:paraId="70FA19BC">
      <w:pPr>
        <w:adjustRightInd w:val="0"/>
        <w:spacing w:line="400" w:lineRule="exact"/>
        <w:ind w:firstLine="420"/>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④</w:t>
      </w:r>
      <w:r>
        <w:rPr>
          <w:rFonts w:hint="eastAsia" w:asciiTheme="minorEastAsia" w:hAnsiTheme="minorEastAsia" w:eastAsiaTheme="minorEastAsia" w:cstheme="minorEastAsia"/>
          <w:b/>
          <w:bCs/>
          <w:color w:val="auto"/>
          <w:szCs w:val="21"/>
          <w:highlight w:val="none"/>
          <w:lang w:bidi="ar"/>
        </w:rPr>
        <w:t>轿门：</w:t>
      </w:r>
      <w:r>
        <w:rPr>
          <w:rFonts w:hint="eastAsia" w:asciiTheme="minorEastAsia" w:hAnsiTheme="minorEastAsia" w:eastAsiaTheme="minorEastAsia" w:cstheme="minorEastAsia"/>
          <w:color w:val="auto"/>
          <w:szCs w:val="21"/>
          <w:highlight w:val="none"/>
          <w:lang w:bidi="ar"/>
        </w:rPr>
        <w:t>轿门</w:t>
      </w:r>
      <w:r>
        <w:rPr>
          <w:rFonts w:hint="eastAsia" w:asciiTheme="minorEastAsia" w:hAnsiTheme="minorEastAsia" w:eastAsiaTheme="minorEastAsia" w:cstheme="minorEastAsia"/>
          <w:b/>
          <w:bCs/>
          <w:color w:val="auto"/>
          <w:szCs w:val="21"/>
          <w:highlight w:val="none"/>
          <w:lang w:bidi="ar"/>
        </w:rPr>
        <w:t>开门</w:t>
      </w:r>
      <w:r>
        <w:rPr>
          <w:rFonts w:hint="eastAsia" w:asciiTheme="minorEastAsia" w:hAnsiTheme="minorEastAsia" w:eastAsiaTheme="minorEastAsia" w:cstheme="minorEastAsia"/>
          <w:color w:val="auto"/>
          <w:szCs w:val="21"/>
          <w:highlight w:val="none"/>
          <w:lang w:bidi="ar"/>
        </w:rPr>
        <w:t>装置动作寿命≥1350万次的，得1分</w:t>
      </w:r>
      <w:r>
        <w:rPr>
          <w:rFonts w:hint="eastAsia" w:asciiTheme="minorEastAsia" w:hAnsiTheme="minorEastAsia" w:eastAsiaTheme="minorEastAsia" w:cstheme="minorEastAsia"/>
          <w:color w:val="auto"/>
          <w:szCs w:val="21"/>
          <w:highlight w:val="none"/>
          <w:lang w:val="zh-CN" w:bidi="zh-CN"/>
        </w:rPr>
        <w:t>。本项满分1分。</w:t>
      </w:r>
      <w:r>
        <w:rPr>
          <w:rFonts w:hint="eastAsia" w:asciiTheme="minorEastAsia" w:hAnsiTheme="minorEastAsia" w:eastAsiaTheme="minorEastAsia" w:cstheme="minorEastAsia"/>
          <w:color w:val="auto"/>
          <w:szCs w:val="21"/>
          <w:highlight w:val="none"/>
          <w:lang w:bidi="ar"/>
        </w:rPr>
        <w:t>(提供第三方检测机构出具的“轿门开门装置”试验报告复印件作为证明材料)</w:t>
      </w:r>
    </w:p>
    <w:p w14:paraId="77443877">
      <w:pPr>
        <w:adjustRightInd w:val="0"/>
        <w:spacing w:line="400" w:lineRule="exact"/>
        <w:ind w:firstLine="420" w:firstLineChars="200"/>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⑤门开关：电梯门开关为投标整梯同品牌，其动作寿命≥1500万次的，得1分。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1</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lang w:bidi="ar"/>
        </w:rPr>
        <w:t>（提供第三方检测机构出具的“门开关”试验报告复印件作为证明材料）</w:t>
      </w:r>
    </w:p>
    <w:p w14:paraId="1B44BB1B">
      <w:pPr>
        <w:adjustRightInd w:val="0"/>
        <w:spacing w:line="400" w:lineRule="exact"/>
        <w:ind w:firstLine="420" w:firstLineChars="200"/>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⑥光电开关性能：</w:t>
      </w:r>
      <w:r>
        <w:rPr>
          <w:rFonts w:hint="eastAsia" w:asciiTheme="minorEastAsia" w:hAnsiTheme="minorEastAsia" w:eastAsiaTheme="minorEastAsia" w:cstheme="minorEastAsia"/>
          <w:color w:val="auto"/>
          <w:szCs w:val="21"/>
          <w:highlight w:val="none"/>
        </w:rPr>
        <w:t>电梯光电开关即使发射光减弱至正常工作的</w:t>
      </w:r>
      <w:r>
        <w:rPr>
          <w:rFonts w:hint="eastAsia" w:asciiTheme="minorEastAsia" w:hAnsiTheme="minorEastAsia" w:eastAsiaTheme="minorEastAsia" w:cstheme="minorEastAsia"/>
          <w:color w:val="auto"/>
          <w:szCs w:val="21"/>
          <w:highlight w:val="none"/>
          <w:lang w:val="zh-CN" w:bidi="zh-CN"/>
        </w:rPr>
        <w:t>≤</w:t>
      </w:r>
      <w:r>
        <w:rPr>
          <w:rFonts w:hint="eastAsia" w:asciiTheme="minorEastAsia" w:hAnsiTheme="minorEastAsia" w:eastAsiaTheme="minorEastAsia" w:cstheme="minorEastAsia"/>
          <w:color w:val="auto"/>
          <w:szCs w:val="21"/>
          <w:highlight w:val="none"/>
        </w:rPr>
        <w:t>3%，也能保证光电开关正常工作的，得2分。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2</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rPr>
        <w:t>（提供第三方检测机构出具的“光电开关”</w:t>
      </w:r>
      <w:r>
        <w:rPr>
          <w:rFonts w:hint="eastAsia" w:asciiTheme="minorEastAsia" w:hAnsiTheme="minorEastAsia" w:eastAsiaTheme="minorEastAsia" w:cstheme="minorEastAsia"/>
          <w:color w:val="auto"/>
          <w:szCs w:val="21"/>
          <w:highlight w:val="none"/>
          <w:lang w:bidi="ar"/>
        </w:rPr>
        <w:t>试验报告复印件作为证明材料</w:t>
      </w:r>
      <w:r>
        <w:rPr>
          <w:rFonts w:hint="eastAsia" w:asciiTheme="minorEastAsia" w:hAnsiTheme="minorEastAsia" w:eastAsiaTheme="minorEastAsia" w:cstheme="minorEastAsia"/>
          <w:color w:val="auto"/>
          <w:szCs w:val="21"/>
          <w:highlight w:val="none"/>
        </w:rPr>
        <w:t>）</w:t>
      </w:r>
    </w:p>
    <w:p w14:paraId="73825636">
      <w:pPr>
        <w:adjustRightInd w:val="0"/>
        <w:spacing w:line="400" w:lineRule="exact"/>
        <w:ind w:firstLine="420" w:firstLineChars="200"/>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⑦</w:t>
      </w:r>
      <w:r>
        <w:rPr>
          <w:rFonts w:hint="eastAsia" w:asciiTheme="minorEastAsia" w:hAnsiTheme="minorEastAsia" w:eastAsiaTheme="minorEastAsia" w:cstheme="minorEastAsia"/>
          <w:color w:val="auto"/>
          <w:szCs w:val="21"/>
          <w:highlight w:val="none"/>
        </w:rPr>
        <w:t>终端开关性能：投标电梯的终端开关在正常的工作条件（DC125V，0.21A）下，以1次/秒的速度，动作1500万次后，满足：（1）开关结构完整，开关动作顺畅的，得2分；（2）开关触点的接触电阻≤60mΩ的，得2分。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4</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rPr>
        <w:t>。（提供第三方检测机构出具的 “终端开关”</w:t>
      </w:r>
      <w:r>
        <w:rPr>
          <w:rFonts w:hint="eastAsia" w:asciiTheme="minorEastAsia" w:hAnsiTheme="minorEastAsia" w:eastAsiaTheme="minorEastAsia" w:cstheme="minorEastAsia"/>
          <w:color w:val="auto"/>
          <w:szCs w:val="21"/>
          <w:highlight w:val="none"/>
          <w:lang w:bidi="ar"/>
        </w:rPr>
        <w:t>试验报告复印件作为证明材料</w:t>
      </w:r>
      <w:r>
        <w:rPr>
          <w:rFonts w:hint="eastAsia" w:asciiTheme="minorEastAsia" w:hAnsiTheme="minorEastAsia" w:eastAsiaTheme="minorEastAsia" w:cstheme="minorEastAsia"/>
          <w:color w:val="auto"/>
          <w:szCs w:val="21"/>
          <w:highlight w:val="none"/>
        </w:rPr>
        <w:t>）</w:t>
      </w:r>
    </w:p>
    <w:p w14:paraId="30B9556A">
      <w:pPr>
        <w:adjustRightInd w:val="0"/>
        <w:spacing w:line="400" w:lineRule="exact"/>
        <w:ind w:firstLine="420" w:firstLineChars="200"/>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rPr>
        <w:t>⑧呼梯按钮：按钮在DC12V，动作力25N的条件下，以3.5次/秒的速率，动作500万次后，应满足：（1）按钮动作正常，发光亮度正常，无裂痕、无变形，且接触电阻≤40mΩ的，得1分；（2）按钮在4.9J的冲击载荷下，经过3次冲击试验后，按钮未破损，电气部分未露出，动作正常，外观无明显裂纹及变形的，得2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3</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rPr>
        <w:t>（提供第三方检测机构出具的“按钮”</w:t>
      </w:r>
      <w:r>
        <w:rPr>
          <w:rFonts w:hint="eastAsia" w:asciiTheme="minorEastAsia" w:hAnsiTheme="minorEastAsia" w:eastAsiaTheme="minorEastAsia" w:cstheme="minorEastAsia"/>
          <w:color w:val="auto"/>
          <w:szCs w:val="21"/>
          <w:highlight w:val="none"/>
          <w:lang w:bidi="ar"/>
        </w:rPr>
        <w:t>试验报告复印件作为证明材料</w:t>
      </w:r>
      <w:r>
        <w:rPr>
          <w:rFonts w:hint="eastAsia" w:asciiTheme="minorEastAsia" w:hAnsiTheme="minorEastAsia" w:eastAsiaTheme="minorEastAsia" w:cstheme="minorEastAsia"/>
          <w:color w:val="auto"/>
          <w:szCs w:val="21"/>
          <w:highlight w:val="none"/>
        </w:rPr>
        <w:t>）</w:t>
      </w:r>
    </w:p>
    <w:p w14:paraId="6C1F70B8">
      <w:pPr>
        <w:adjustRightInd w:val="0"/>
        <w:spacing w:line="400" w:lineRule="exact"/>
        <w:ind w:firstLine="420" w:firstLineChars="200"/>
        <w:textAlignment w:val="baseline"/>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⑨</w:t>
      </w:r>
      <w:r>
        <w:rPr>
          <w:rFonts w:hint="eastAsia" w:asciiTheme="minorEastAsia" w:hAnsiTheme="minorEastAsia" w:eastAsiaTheme="minorEastAsia" w:cstheme="minorEastAsia"/>
          <w:color w:val="auto"/>
          <w:szCs w:val="21"/>
          <w:highlight w:val="none"/>
          <w:lang w:bidi="ar"/>
        </w:rPr>
        <w:t>制动器：投标品牌电梯制动器的动作次数（使用寿命）≥2100万次，得2分。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2</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lang w:bidi="ar"/>
        </w:rPr>
        <w:t>（</w:t>
      </w:r>
      <w:r>
        <w:rPr>
          <w:rFonts w:hint="eastAsia" w:asciiTheme="minorEastAsia" w:hAnsiTheme="minorEastAsia" w:eastAsiaTheme="minorEastAsia" w:cstheme="minorEastAsia"/>
          <w:color w:val="auto"/>
          <w:szCs w:val="21"/>
          <w:highlight w:val="none"/>
        </w:rPr>
        <w:t>提供具有第三方检测机构出具的“制动器”</w:t>
      </w:r>
      <w:r>
        <w:rPr>
          <w:rFonts w:hint="eastAsia" w:asciiTheme="minorEastAsia" w:hAnsiTheme="minorEastAsia" w:eastAsiaTheme="minorEastAsia" w:cstheme="minorEastAsia"/>
          <w:color w:val="auto"/>
          <w:szCs w:val="21"/>
          <w:highlight w:val="none"/>
          <w:lang w:bidi="ar"/>
        </w:rPr>
        <w:t>试验报告复印件作为证明材料</w:t>
      </w:r>
      <w:r>
        <w:rPr>
          <w:rFonts w:hint="eastAsia" w:asciiTheme="minorEastAsia" w:hAnsiTheme="minorEastAsia" w:eastAsiaTheme="minorEastAsia" w:cstheme="minorEastAsia"/>
          <w:color w:val="auto"/>
          <w:szCs w:val="21"/>
          <w:highlight w:val="none"/>
        </w:rPr>
        <w:t>）</w:t>
      </w:r>
    </w:p>
    <w:p w14:paraId="24C13B2A">
      <w:pPr>
        <w:adjustRightInd w:val="0"/>
        <w:spacing w:after="120" w:line="400" w:lineRule="exact"/>
        <w:ind w:firstLine="420" w:firstLineChars="200"/>
        <w:textAlignment w:val="baseline"/>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⑩导靴：主导轨配置</w:t>
      </w:r>
      <w:bookmarkStart w:id="13" w:name="OLE_LINK1"/>
      <w:bookmarkStart w:id="14" w:name="OLE_LINK2"/>
      <w:r>
        <w:rPr>
          <w:rFonts w:hint="eastAsia" w:asciiTheme="minorEastAsia" w:hAnsiTheme="minorEastAsia" w:eastAsiaTheme="minorEastAsia" w:cstheme="minorEastAsia"/>
          <w:color w:val="auto"/>
          <w:szCs w:val="21"/>
          <w:highlight w:val="none"/>
        </w:rPr>
        <w:t>滚轮导</w:t>
      </w:r>
      <w:bookmarkEnd w:id="13"/>
      <w:bookmarkEnd w:id="14"/>
      <w:r>
        <w:rPr>
          <w:rFonts w:hint="eastAsia" w:asciiTheme="minorEastAsia" w:hAnsiTheme="minorEastAsia" w:eastAsiaTheme="minorEastAsia" w:cstheme="minorEastAsia"/>
          <w:color w:val="auto"/>
          <w:szCs w:val="21"/>
          <w:highlight w:val="none"/>
        </w:rPr>
        <w:t>靴，滚轮直径≥150mm，配置防护板，且配置摩擦阻尼，得3分。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3</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rPr>
        <w:t>(提供投标型号导靴的产品结构图说明资料为证明材料)</w:t>
      </w:r>
    </w:p>
    <w:p w14:paraId="70DDF533">
      <w:pPr>
        <w:adjustRightInd w:val="0"/>
        <w:spacing w:after="120" w:line="400" w:lineRule="exact"/>
        <w:ind w:firstLine="420" w:firstLineChars="200"/>
        <w:textAlignment w:val="baseline"/>
        <w:rPr>
          <w:rFonts w:asciiTheme="minorEastAsia" w:hAnsiTheme="minorEastAsia" w:eastAsiaTheme="minorEastAsia" w:cstheme="minorEastAsia"/>
          <w:color w:val="auto"/>
          <w:szCs w:val="21"/>
          <w:highlight w:val="none"/>
        </w:rPr>
      </w:pPr>
      <w:r>
        <w:rPr>
          <w:rFonts w:ascii="Cambria Math" w:hAnsi="Cambria Math" w:cs="Cambria Math" w:eastAsiaTheme="minorEastAsia"/>
          <w:color w:val="auto"/>
          <w:szCs w:val="21"/>
          <w:highlight w:val="none"/>
        </w:rPr>
        <w:t>⑪</w:t>
      </w:r>
      <w:r>
        <w:rPr>
          <w:rFonts w:hint="eastAsia" w:asciiTheme="minorEastAsia" w:hAnsiTheme="minorEastAsia" w:eastAsiaTheme="minorEastAsia" w:cstheme="minorEastAsia"/>
          <w:color w:val="auto"/>
          <w:szCs w:val="21"/>
          <w:highlight w:val="none"/>
        </w:rPr>
        <w:t>安全钳：轿厢安全钳采用安全钳体与轿厢构件一体式设计，且该部件整体由整梯品牌国外原厂生产及调试出厂，可适用的最大额定速度≥3.0m/s，得3分。</w:t>
      </w:r>
      <w:r>
        <w:rPr>
          <w:rFonts w:hint="eastAsia" w:asciiTheme="minorEastAsia" w:hAnsiTheme="minorEastAsia" w:eastAsiaTheme="minorEastAsia" w:cstheme="minorEastAsia"/>
          <w:color w:val="auto"/>
          <w:szCs w:val="21"/>
          <w:highlight w:val="none"/>
          <w:lang w:val="zh-CN" w:bidi="zh-CN"/>
        </w:rPr>
        <w:t>本项满分</w:t>
      </w:r>
      <w:r>
        <w:rPr>
          <w:rFonts w:hint="eastAsia" w:asciiTheme="minorEastAsia" w:hAnsiTheme="minorEastAsia" w:eastAsiaTheme="minorEastAsia" w:cstheme="minorEastAsia"/>
          <w:color w:val="auto"/>
          <w:szCs w:val="21"/>
          <w:highlight w:val="none"/>
          <w:lang w:bidi="zh-CN"/>
        </w:rPr>
        <w:t>3</w:t>
      </w:r>
      <w:r>
        <w:rPr>
          <w:rFonts w:hint="eastAsia" w:asciiTheme="minorEastAsia" w:hAnsiTheme="minorEastAsia" w:eastAsiaTheme="minorEastAsia" w:cstheme="minorEastAsia"/>
          <w:color w:val="auto"/>
          <w:szCs w:val="21"/>
          <w:highlight w:val="none"/>
          <w:lang w:val="zh-CN" w:bidi="zh-CN"/>
        </w:rPr>
        <w:t>分</w:t>
      </w:r>
      <w:r>
        <w:rPr>
          <w:rFonts w:hint="eastAsia" w:asciiTheme="minorEastAsia" w:hAnsiTheme="minorEastAsia" w:eastAsiaTheme="minorEastAsia" w:cstheme="minorEastAsia"/>
          <w:color w:val="auto"/>
          <w:szCs w:val="21"/>
          <w:highlight w:val="none"/>
          <w:lang w:bidi="zh-CN"/>
        </w:rPr>
        <w:t>。</w:t>
      </w:r>
      <w:r>
        <w:rPr>
          <w:rFonts w:hint="eastAsia" w:asciiTheme="minorEastAsia" w:hAnsiTheme="minorEastAsia" w:eastAsiaTheme="minorEastAsia" w:cstheme="minorEastAsia"/>
          <w:color w:val="auto"/>
          <w:szCs w:val="21"/>
          <w:highlight w:val="none"/>
        </w:rPr>
        <w:t>（提供投标型号安全钳的型式试验报告及证书、结构图说明资料为证明材料)</w:t>
      </w:r>
    </w:p>
    <w:p w14:paraId="518359D4">
      <w:pPr>
        <w:adjustRightInd w:val="0"/>
        <w:spacing w:after="120" w:line="400" w:lineRule="exact"/>
        <w:ind w:firstLine="420" w:firstLineChars="200"/>
        <w:textAlignment w:val="baseline"/>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⑫电梯控制柜控制主板(印板)：投标型号电梯印板耐高温高湿、抗粉尘、抗振动，进行连续必要的环境试验：①热冲击试验；②高温高湿度试验；③正弦振动试验；④温度变动试验；⑤砂尘试验；⑥恒定湿热试验，每提供1项试验正常的，得0.5分，满分3分。（提供具有CNAS认证的检测机构出具的试验报告作为证明材料）</w:t>
      </w:r>
    </w:p>
    <w:p w14:paraId="075EA703">
      <w:pPr>
        <w:widowControl/>
        <w:spacing w:line="400" w:lineRule="exact"/>
        <w:ind w:left="7" w:right="-15" w:firstLine="420"/>
        <w:rPr>
          <w:rFonts w:asciiTheme="minorEastAsia" w:hAnsiTheme="minorEastAsia" w:eastAsiaTheme="minorEastAsia" w:cstheme="minorEastAsia"/>
          <w:b/>
          <w:bCs/>
          <w:color w:val="auto"/>
          <w:szCs w:val="21"/>
          <w:highlight w:val="none"/>
          <w:lang w:val="zh-CN" w:bidi="zh-CN"/>
        </w:rPr>
      </w:pPr>
      <w:r>
        <w:rPr>
          <w:rFonts w:hint="eastAsia" w:asciiTheme="minorEastAsia" w:hAnsiTheme="minorEastAsia" w:eastAsiaTheme="minorEastAsia" w:cstheme="minorEastAsia"/>
          <w:b/>
          <w:bCs/>
          <w:color w:val="auto"/>
          <w:szCs w:val="21"/>
          <w:highlight w:val="none"/>
          <w:lang w:val="zh-CN" w:bidi="zh-CN"/>
        </w:rPr>
        <w:t>（备注：①在“技术参数及性能（配置）要求”标注有</w:t>
      </w:r>
      <w:r>
        <w:rPr>
          <w:rFonts w:hint="eastAsia" w:asciiTheme="minorEastAsia" w:hAnsiTheme="minorEastAsia" w:eastAsiaTheme="minorEastAsia" w:cstheme="minorEastAsia"/>
          <w:b/>
          <w:bCs/>
          <w:color w:val="auto"/>
          <w:szCs w:val="21"/>
          <w:highlight w:val="none"/>
          <w:lang w:val="en" w:bidi="zh-CN"/>
        </w:rPr>
        <w:t>★</w:t>
      </w:r>
      <w:r>
        <w:rPr>
          <w:rFonts w:hint="eastAsia" w:asciiTheme="minorEastAsia" w:hAnsiTheme="minorEastAsia" w:eastAsiaTheme="minorEastAsia" w:cstheme="minorEastAsia"/>
          <w:b/>
          <w:bCs/>
          <w:color w:val="auto"/>
          <w:szCs w:val="21"/>
          <w:highlight w:val="none"/>
          <w:lang w:val="zh-CN" w:bidi="zh-CN"/>
        </w:rPr>
        <w:t>项的，要求≥时，响应＞为优于（正偏离）；要求≤时；响应＜为优于（正偏离）。②投标产品提供相同的技术参数，只能算一项加分。）</w:t>
      </w:r>
    </w:p>
    <w:p w14:paraId="03D15B0B">
      <w:pPr>
        <w:adjustRightInd w:val="0"/>
        <w:spacing w:line="400" w:lineRule="exact"/>
        <w:textAlignment w:val="baseline"/>
        <w:rPr>
          <w:rFonts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   （2）安装施工方案</w:t>
      </w:r>
      <w:bookmarkEnd w:id="12"/>
      <w:r>
        <w:rPr>
          <w:rFonts w:hint="eastAsia" w:asciiTheme="minorEastAsia" w:hAnsiTheme="minorEastAsia" w:eastAsiaTheme="minorEastAsia" w:cstheme="minorEastAsia"/>
          <w:color w:val="auto"/>
          <w:szCs w:val="21"/>
          <w:highlight w:val="none"/>
          <w:lang w:bidi="ar"/>
        </w:rPr>
        <w:t>分（满分17分）</w:t>
      </w:r>
    </w:p>
    <w:p w14:paraId="5812FB09">
      <w:pPr>
        <w:pStyle w:val="28"/>
        <w:spacing w:line="400" w:lineRule="exact"/>
        <w:ind w:firstLine="420" w:firstLineChars="200"/>
        <w:jc w:val="left"/>
        <w:rPr>
          <w:rFonts w:asciiTheme="minorEastAsia" w:hAnsiTheme="minorEastAsia" w:eastAsiaTheme="minorEastAsia" w:cstheme="minorEastAsia"/>
          <w:color w:val="auto"/>
          <w:highlight w:val="none"/>
        </w:rPr>
      </w:pPr>
      <w:bookmarkStart w:id="15" w:name="OLE_LINK71"/>
      <w:r>
        <w:rPr>
          <w:rFonts w:hint="eastAsia" w:asciiTheme="minorEastAsia" w:hAnsiTheme="minorEastAsia" w:eastAsiaTheme="minorEastAsia" w:cstheme="minorEastAsia"/>
          <w:color w:val="auto"/>
          <w:highlight w:val="none"/>
        </w:rPr>
        <w:t>根据投标人投标文件提供的</w:t>
      </w:r>
      <w:r>
        <w:rPr>
          <w:rFonts w:hint="eastAsia" w:asciiTheme="minorEastAsia" w:hAnsiTheme="minorEastAsia" w:eastAsiaTheme="minorEastAsia" w:cstheme="minorEastAsia"/>
          <w:b/>
          <w:bCs/>
          <w:color w:val="auto"/>
          <w:highlight w:val="none"/>
        </w:rPr>
        <w:t>安装施工方案</w:t>
      </w:r>
      <w:r>
        <w:rPr>
          <w:rFonts w:hint="eastAsia" w:asciiTheme="minorEastAsia" w:hAnsiTheme="minorEastAsia" w:eastAsiaTheme="minorEastAsia" w:cstheme="minorEastAsia"/>
          <w:color w:val="auto"/>
          <w:highlight w:val="none"/>
        </w:rPr>
        <w:t>内容包括但不限：施工组织机构、人员配备，施工机械、检测设备，施工进度计划及保证工期、质量的技术措施，安全、文明施工措施、设备的安装调试等方面分为以下五档：</w:t>
      </w:r>
    </w:p>
    <w:p w14:paraId="15EA2928">
      <w:pPr>
        <w:pStyle w:val="28"/>
        <w:spacing w:line="40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一档（5分）</w:t>
      </w:r>
      <w:r>
        <w:rPr>
          <w:rFonts w:hint="eastAsia" w:asciiTheme="minorEastAsia" w:hAnsiTheme="minorEastAsia" w:eastAsiaTheme="minorEastAsia" w:cstheme="minorEastAsia"/>
          <w:bCs/>
          <w:color w:val="auto"/>
          <w:highlight w:val="none"/>
        </w:rPr>
        <w:t>：安装施工</w:t>
      </w:r>
      <w:r>
        <w:rPr>
          <w:rFonts w:hint="eastAsia" w:asciiTheme="minorEastAsia" w:hAnsiTheme="minorEastAsia" w:eastAsiaTheme="minorEastAsia" w:cstheme="minorEastAsia"/>
          <w:color w:val="auto"/>
          <w:spacing w:val="-3"/>
          <w:highlight w:val="none"/>
        </w:rPr>
        <w:t>方案</w:t>
      </w:r>
      <w:r>
        <w:rPr>
          <w:rFonts w:hint="eastAsia" w:asciiTheme="minorEastAsia" w:hAnsiTheme="minorEastAsia" w:eastAsiaTheme="minorEastAsia" w:cstheme="minorEastAsia"/>
          <w:color w:val="auto"/>
          <w:highlight w:val="none"/>
        </w:rPr>
        <w:t>简略</w:t>
      </w:r>
      <w:r>
        <w:rPr>
          <w:rFonts w:hint="eastAsia" w:asciiTheme="minorEastAsia" w:hAnsiTheme="minorEastAsia" w:eastAsiaTheme="minorEastAsia" w:cstheme="minorEastAsia"/>
          <w:color w:val="auto"/>
          <w:spacing w:val="-3"/>
          <w:highlight w:val="none"/>
        </w:rPr>
        <w:t>，各项施工方案措施内容</w:t>
      </w:r>
      <w:r>
        <w:rPr>
          <w:rFonts w:hint="eastAsia" w:asciiTheme="minorEastAsia" w:hAnsiTheme="minorEastAsia" w:eastAsiaTheme="minorEastAsia" w:cstheme="minorEastAsia"/>
          <w:color w:val="auto"/>
          <w:highlight w:val="none"/>
        </w:rPr>
        <w:t>简略</w:t>
      </w:r>
      <w:r>
        <w:rPr>
          <w:rFonts w:hint="eastAsia" w:asciiTheme="minorEastAsia" w:hAnsiTheme="minorEastAsia" w:eastAsiaTheme="minorEastAsia" w:cstheme="minorEastAsia"/>
          <w:bCs/>
          <w:color w:val="auto"/>
          <w:highlight w:val="none"/>
        </w:rPr>
        <w:t>。</w:t>
      </w:r>
    </w:p>
    <w:p w14:paraId="1E033801">
      <w:pPr>
        <w:pStyle w:val="28"/>
        <w:spacing w:line="40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二档（8分）：安装施工方案详细，各项施工技术措施基本具备，有实施日程表和人员安排，有基本的安装工艺方法、安装进度计划、调试和验收措施。</w:t>
      </w:r>
    </w:p>
    <w:p w14:paraId="5454BBF2">
      <w:pPr>
        <w:pStyle w:val="28"/>
        <w:spacing w:line="40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档（11分）：安装施工方案有针对性，工序安排简略，安全措施、质量控制简略，有施工组织机构和充足施工人员配备；投标人拥有自己的安装工程队伍：投标人拟投入项目负责人、现场技术负责人各1名：均具有特种设备电梯作业证（T）；拟投入不低于2名的现场安装人员，具有特种设备电梯作业证（T），投标文件中提供以上人员证书复印件及社保证明或劳动合同复印件</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确保安全、文明施工措施详细可靠，有可行的调试及验收方案。</w:t>
      </w:r>
    </w:p>
    <w:p w14:paraId="5F179F30">
      <w:pPr>
        <w:pStyle w:val="28"/>
        <w:spacing w:line="40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档（14分）：安装施工方案有针对性，工序安排详实，安全措施、质量控制详实，施工组织机构和充足施工人员配备，投标人拥有自己的安装工程队伍。投标人拟投入项目负责人1名：具有特种设备电梯作业证（T）、中级工程师及以上职称；现场技术负责人1名：具有特种设备电梯作业证（T）、中级工程师及以上职称；投入不低于6名的现场安装人员，均具有特种设备电梯作业证（T），投标文件中提供以上人员证书复印件及社保证明或劳动合同复印件，工具仪器充足，有合理的施工进度计划，有保证工期、质量的技术措施，确保安全、文明施工措施详细可靠，有合理可行的调试及验收方案。</w:t>
      </w:r>
    </w:p>
    <w:p w14:paraId="7B7BEBE3">
      <w:pPr>
        <w:pStyle w:val="660"/>
        <w:spacing w:before="0" w:beforeAutospacing="0" w:after="160" w:afterAutospacing="0" w:line="400" w:lineRule="exact"/>
        <w:ind w:firstLine="420" w:firstLineChars="200"/>
        <w:jc w:val="lef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档（17分）：安装施工方案有针对性，方案内容对项目情况了解全面，切合项目全盘施工实际状况，工序配合安排合理，安全措施、质量控制严格有效，有完善的施工现场组织机构和满足本项目需要的机械设备、工具仪器。投标人有专业齐全的管理团队和施工人员安排，投标人拟投入项目负责人1名：具有特种设备电梯作业证（T）、中级工程师及以上职称；现场技术负责人1名：具有特种设备电梯作业证（T）、机电工程专业的中级工程师及以上职称、专职安全生产管理人员安全生产考核合格证书（C类）、特种设备安全管理人员证（A）、特种设备焊接作业证；投入不低于10名的现场安装人员，均具有特种设备电梯作业证（T），投标文件中提供以上人员证书复印件及社保证明复印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具有合理的施工进度计划和保证工期的措施、质量控制的技术措施，具有施工过程应急处理及救援、防控等预案，确保安全、文明施工的措施，详细可行的调试及验收方案。</w:t>
      </w:r>
    </w:p>
    <w:p w14:paraId="3AB893BE">
      <w:pPr>
        <w:pStyle w:val="34"/>
        <w:spacing w:line="400" w:lineRule="exact"/>
        <w:ind w:left="63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（注：达不到一档要求的得0分）</w:t>
      </w:r>
    </w:p>
    <w:p w14:paraId="7FA4D8C7">
      <w:pPr>
        <w:pStyle w:val="34"/>
        <w:spacing w:line="400" w:lineRule="exact"/>
        <w:rPr>
          <w:rFonts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bidi="ar"/>
        </w:rPr>
        <w:t xml:space="preserve"> （3）售后服务方案</w:t>
      </w:r>
      <w:bookmarkEnd w:id="15"/>
      <w:r>
        <w:rPr>
          <w:rFonts w:hint="eastAsia" w:asciiTheme="minorEastAsia" w:hAnsiTheme="minorEastAsia" w:eastAsiaTheme="minorEastAsia" w:cstheme="minorEastAsia"/>
          <w:color w:val="auto"/>
          <w:sz w:val="21"/>
          <w:szCs w:val="21"/>
          <w:highlight w:val="none"/>
          <w:lang w:bidi="ar"/>
        </w:rPr>
        <w:t>分（满分15分）</w:t>
      </w:r>
    </w:p>
    <w:p w14:paraId="76359DBF">
      <w:pPr>
        <w:pStyle w:val="204"/>
        <w:widowControl/>
        <w:spacing w:line="400" w:lineRule="exact"/>
        <w:ind w:left="7" w:right="-15" w:firstLine="42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评标委员会根据投标人的售后服务方案的维保计划书、安装维保能力、项目实施人员能力及经验、故障响应时间，备品备件供应、服务体系、人员培训、售后服务点、技术人员情况、回访维护及其他售后服务承诺等内容进行独立打分：</w:t>
      </w:r>
    </w:p>
    <w:p w14:paraId="373FDA81">
      <w:pPr>
        <w:pStyle w:val="204"/>
        <w:widowControl/>
        <w:spacing w:line="400" w:lineRule="exact"/>
        <w:ind w:left="7" w:right="-15" w:firstLine="42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一档（6分）：满足招标文件售后服务要求，有售后服务体系，有定期检查、保养安排，有培训计划，故障响应及维修满足基本要求诺，拟投入维保人员工作经验满足要求，有备品备件供应。</w:t>
      </w:r>
    </w:p>
    <w:p w14:paraId="14E5F197">
      <w:pPr>
        <w:pStyle w:val="204"/>
        <w:widowControl/>
        <w:spacing w:line="400" w:lineRule="exact"/>
        <w:ind w:left="7" w:right="-15" w:firstLine="42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二档（9分）：售后服务体系完善，定期检查、保养安排详细，培训计划合理可行，故障响应及维修时间较短，拟投入维保人员经验丰富、信誉良好，备品备件供应较充裕，投标人拟投入持有</w:t>
      </w:r>
      <w:r>
        <w:rPr>
          <w:rFonts w:hint="eastAsia" w:asciiTheme="minorEastAsia" w:hAnsiTheme="minorEastAsia" w:eastAsiaTheme="minorEastAsia" w:cstheme="minorEastAsia"/>
          <w:color w:val="auto"/>
          <w:szCs w:val="21"/>
          <w:highlight w:val="none"/>
        </w:rPr>
        <w:t>特种设备电梯作业证（T）</w:t>
      </w:r>
      <w:r>
        <w:rPr>
          <w:rFonts w:hint="eastAsia" w:asciiTheme="minorEastAsia" w:hAnsiTheme="minorEastAsia" w:eastAsiaTheme="minorEastAsia" w:cstheme="minorEastAsia"/>
          <w:color w:val="auto"/>
          <w:szCs w:val="21"/>
          <w:highlight w:val="none"/>
          <w:lang w:val="en-US"/>
        </w:rPr>
        <w:t>的维保人员不低于2名（与现场安装人员不重复），并配备1名拥有中华人民共和国特种设备检验检测人员证的电梯检测人员</w:t>
      </w:r>
      <w:r>
        <w:rPr>
          <w:rFonts w:hint="eastAsia" w:asciiTheme="minorEastAsia" w:hAnsiTheme="minorEastAsia" w:eastAsiaTheme="minorEastAsia" w:cstheme="minorEastAsia"/>
          <w:color w:val="auto"/>
          <w:szCs w:val="21"/>
          <w:highlight w:val="none"/>
        </w:rPr>
        <w:t>，投标文件中提供人员证书复印件及社保证明或劳动合同复印件）</w:t>
      </w:r>
    </w:p>
    <w:p w14:paraId="47197E33">
      <w:pPr>
        <w:pStyle w:val="204"/>
        <w:widowControl/>
        <w:spacing w:line="400" w:lineRule="exact"/>
        <w:ind w:left="7" w:right="-15" w:firstLine="42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三档（12分）：售后服务体系完善，定期检查、保养安排详细，培训计划合理可行，故障响应及维修时间较短，拟投入维保人员经验丰富、信誉良好，备品备件供应较充裕。投标人拟投入持有</w:t>
      </w:r>
      <w:r>
        <w:rPr>
          <w:rFonts w:hint="eastAsia" w:asciiTheme="minorEastAsia" w:hAnsiTheme="minorEastAsia" w:eastAsiaTheme="minorEastAsia" w:cstheme="minorEastAsia"/>
          <w:color w:val="auto"/>
          <w:szCs w:val="21"/>
          <w:highlight w:val="none"/>
        </w:rPr>
        <w:t>特种设备电梯作业证（T）</w:t>
      </w:r>
      <w:r>
        <w:rPr>
          <w:rFonts w:hint="eastAsia" w:asciiTheme="minorEastAsia" w:hAnsiTheme="minorEastAsia" w:eastAsiaTheme="minorEastAsia" w:cstheme="minorEastAsia"/>
          <w:color w:val="auto"/>
          <w:szCs w:val="21"/>
          <w:highlight w:val="none"/>
          <w:lang w:val="en-US"/>
        </w:rPr>
        <w:t>的维保人员不低于2名（与现场安装人员不重复），并配备1名拥有中华人民共和国特种设备检验检测人员证的电梯检测人员</w:t>
      </w:r>
      <w:r>
        <w:rPr>
          <w:rFonts w:hint="eastAsia" w:asciiTheme="minorEastAsia" w:hAnsiTheme="minorEastAsia" w:eastAsiaTheme="minorEastAsia" w:cstheme="minorEastAsia"/>
          <w:color w:val="auto"/>
          <w:szCs w:val="21"/>
          <w:highlight w:val="none"/>
        </w:rPr>
        <w:t>，投标文件中提供人员证书复印件及社保证明或劳动合同复印件</w:t>
      </w:r>
      <w:r>
        <w:rPr>
          <w:rFonts w:hint="eastAsia" w:asciiTheme="minorEastAsia" w:hAnsiTheme="minorEastAsia" w:eastAsiaTheme="minorEastAsia" w:cstheme="minorEastAsia"/>
          <w:color w:val="auto"/>
          <w:szCs w:val="21"/>
          <w:highlight w:val="none"/>
          <w:lang w:val="en-US"/>
        </w:rPr>
        <w:t>。投标人具备有与提升电梯保养服务的仪器（装置）【包含但不限：</w:t>
      </w:r>
      <w:r>
        <w:rPr>
          <w:rFonts w:hint="eastAsia" w:asciiTheme="minorEastAsia" w:hAnsiTheme="minorEastAsia" w:eastAsiaTheme="minorEastAsia" w:cstheme="minorEastAsia"/>
          <w:color w:val="auto"/>
          <w:szCs w:val="21"/>
          <w:highlight w:val="none"/>
        </w:rPr>
        <w:t>投标人具有与提升电梯保养服务或工艺的方法或办法：投标人具有电梯振动及加减速度测试仪、电梯导轨自动清理机构、电梯门冲击力测试仪、楼宇电梯噪音检测或同功能的仪器（装置）（须第三方机构出具的证明材料复印件，否则不予计分）</w:t>
      </w:r>
      <w:r>
        <w:rPr>
          <w:rFonts w:hint="eastAsia" w:asciiTheme="minorEastAsia" w:hAnsiTheme="minorEastAsia" w:eastAsiaTheme="minorEastAsia" w:cstheme="minorEastAsia"/>
          <w:color w:val="auto"/>
          <w:szCs w:val="21"/>
          <w:highlight w:val="none"/>
          <w:lang w:val="en-US"/>
        </w:rPr>
        <w:t>】。</w:t>
      </w:r>
    </w:p>
    <w:p w14:paraId="036E7E2F">
      <w:pPr>
        <w:pStyle w:val="204"/>
        <w:widowControl/>
        <w:spacing w:line="400" w:lineRule="exact"/>
        <w:ind w:left="7" w:right="-15" w:firstLine="420"/>
        <w:rPr>
          <w:rFonts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四档（15分）：售后服务体系全面、具体，定期检查、保养安排详细，培训计划详尽，故障响应及维修时间短，有零配件储备供应（需提供零配件清单及库存照片），拟投入维保人员经验丰富、信誉好。投标人拟投入持有</w:t>
      </w:r>
      <w:r>
        <w:rPr>
          <w:rFonts w:hint="eastAsia" w:asciiTheme="minorEastAsia" w:hAnsiTheme="minorEastAsia" w:eastAsiaTheme="minorEastAsia" w:cstheme="minorEastAsia"/>
          <w:color w:val="auto"/>
          <w:szCs w:val="21"/>
          <w:highlight w:val="none"/>
        </w:rPr>
        <w:t>特种设备电梯作业证（T）</w:t>
      </w:r>
      <w:r>
        <w:rPr>
          <w:rFonts w:hint="eastAsia" w:asciiTheme="minorEastAsia" w:hAnsiTheme="minorEastAsia" w:eastAsiaTheme="minorEastAsia" w:cstheme="minorEastAsia"/>
          <w:color w:val="auto"/>
          <w:szCs w:val="21"/>
          <w:highlight w:val="none"/>
          <w:lang w:val="en-US"/>
        </w:rPr>
        <w:t>的维保人员不低于4名（与现场安装人员不重复），并配备1名拥有中华人民共和国特种设备检验检测人员证的电梯检测人员</w:t>
      </w:r>
      <w:r>
        <w:rPr>
          <w:rFonts w:hint="eastAsia" w:asciiTheme="minorEastAsia" w:hAnsiTheme="minorEastAsia" w:eastAsiaTheme="minorEastAsia" w:cstheme="minorEastAsia"/>
          <w:color w:val="auto"/>
          <w:szCs w:val="21"/>
          <w:highlight w:val="none"/>
        </w:rPr>
        <w:t>，投标文件中提供人员证书复印件及社保证明复印件</w:t>
      </w:r>
      <w:r>
        <w:rPr>
          <w:rFonts w:hint="eastAsia" w:asciiTheme="minorEastAsia" w:hAnsiTheme="minorEastAsia" w:eastAsiaTheme="minorEastAsia" w:cstheme="minorEastAsia"/>
          <w:color w:val="auto"/>
          <w:szCs w:val="21"/>
          <w:highlight w:val="none"/>
          <w:lang w:val="en-US"/>
        </w:rPr>
        <w:t>。投标人具备有与提升电梯保养服务的仪器（装置）【包含但不限：</w:t>
      </w:r>
      <w:r>
        <w:rPr>
          <w:rFonts w:hint="eastAsia" w:asciiTheme="minorEastAsia" w:hAnsiTheme="minorEastAsia" w:eastAsiaTheme="minorEastAsia" w:cstheme="minorEastAsia"/>
          <w:color w:val="auto"/>
          <w:szCs w:val="21"/>
          <w:highlight w:val="none"/>
        </w:rPr>
        <w:t>投标人具有电梯振动及加减速度测试仪、电梯导轨自动清理机构、电梯门冲击力测试仪、楼宇电梯噪音检测、钢丝绳探伤仪、钢丝绳张力检测仪、电梯导轨校正仪或同功能的仪器（装置）（须第三方机构出具的证明材料复印件，否则不予计分）</w:t>
      </w:r>
      <w:r>
        <w:rPr>
          <w:rFonts w:hint="eastAsia" w:asciiTheme="minorEastAsia" w:hAnsiTheme="minorEastAsia" w:eastAsiaTheme="minorEastAsia" w:cstheme="minorEastAsia"/>
          <w:color w:val="auto"/>
          <w:szCs w:val="21"/>
          <w:highlight w:val="none"/>
          <w:lang w:val="en-US"/>
        </w:rPr>
        <w:t>】。</w:t>
      </w:r>
    </w:p>
    <w:p w14:paraId="4E60A3C3">
      <w:pPr>
        <w:pStyle w:val="34"/>
        <w:spacing w:line="400" w:lineRule="exact"/>
        <w:ind w:left="63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（注：达不到一档要求的得0分）</w:t>
      </w:r>
    </w:p>
    <w:p w14:paraId="4F3195B5">
      <w:pPr>
        <w:widowControl/>
        <w:spacing w:line="400" w:lineRule="exact"/>
        <w:ind w:left="420" w:leftChars="200"/>
        <w:jc w:val="lef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 3、商务分 </w:t>
      </w:r>
      <w:r>
        <w:rPr>
          <w:rFonts w:hint="eastAsia" w:asciiTheme="minorEastAsia" w:hAnsiTheme="minorEastAsia" w:eastAsiaTheme="minorEastAsia" w:cstheme="minorEastAsia"/>
          <w:b/>
          <w:bCs/>
          <w:color w:val="auto"/>
          <w:spacing w:val="-8"/>
          <w:szCs w:val="21"/>
          <w:highlight w:val="none"/>
        </w:rPr>
        <w:t>………………………………………………………………………………………8</w:t>
      </w:r>
      <w:r>
        <w:rPr>
          <w:rFonts w:hint="eastAsia" w:asciiTheme="minorEastAsia" w:hAnsiTheme="minorEastAsia" w:eastAsiaTheme="minorEastAsia" w:cstheme="minorEastAsia"/>
          <w:b/>
          <w:color w:val="auto"/>
          <w:szCs w:val="21"/>
          <w:highlight w:val="none"/>
        </w:rPr>
        <w:t>分</w:t>
      </w:r>
    </w:p>
    <w:p w14:paraId="5407D24B">
      <w:pPr>
        <w:pStyle w:val="204"/>
        <w:widowControl/>
        <w:spacing w:line="400" w:lineRule="exact"/>
        <w:ind w:left="7" w:right="-15" w:firstLine="42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（1）信誉分（满分</w:t>
      </w:r>
      <w:r>
        <w:rPr>
          <w:rFonts w:hint="eastAsia" w:asciiTheme="minorEastAsia" w:hAnsiTheme="minorEastAsia" w:eastAsiaTheme="minorEastAsia" w:cstheme="minorEastAsia"/>
          <w:b/>
          <w:bCs/>
          <w:color w:val="auto"/>
          <w:szCs w:val="21"/>
          <w:highlight w:val="none"/>
          <w:lang w:val="en-US"/>
        </w:rPr>
        <w:t>3</w:t>
      </w:r>
      <w:r>
        <w:rPr>
          <w:rFonts w:hint="eastAsia" w:asciiTheme="minorEastAsia" w:hAnsiTheme="minorEastAsia" w:eastAsiaTheme="minorEastAsia" w:cstheme="minorEastAsia"/>
          <w:b/>
          <w:bCs/>
          <w:color w:val="auto"/>
          <w:szCs w:val="21"/>
          <w:highlight w:val="none"/>
        </w:rPr>
        <w:t>分）</w:t>
      </w:r>
    </w:p>
    <w:p w14:paraId="0301EBE0">
      <w:pPr>
        <w:pStyle w:val="204"/>
        <w:widowControl/>
        <w:spacing w:line="400" w:lineRule="exact"/>
        <w:ind w:left="7" w:right="-15"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投标人或所投产品制造厂家通过ISO9001国际质量体系认证、ISO14001环境管理体系认证、ISO45001职业健康管理体系认证的，每提供一项得</w:t>
      </w:r>
      <w:r>
        <w:rPr>
          <w:rFonts w:hint="eastAsia" w:asciiTheme="minorEastAsia" w:hAnsiTheme="minorEastAsia" w:eastAsiaTheme="minorEastAsia" w:cstheme="minorEastAsia"/>
          <w:color w:val="auto"/>
          <w:szCs w:val="21"/>
          <w:highlight w:val="none"/>
          <w:lang w:val="en-US"/>
        </w:rPr>
        <w:t>1</w:t>
      </w:r>
      <w:r>
        <w:rPr>
          <w:rFonts w:hint="eastAsia" w:asciiTheme="minorEastAsia" w:hAnsiTheme="minorEastAsia" w:eastAsiaTheme="minorEastAsia" w:cstheme="minorEastAsia"/>
          <w:color w:val="auto"/>
          <w:szCs w:val="21"/>
          <w:highlight w:val="none"/>
        </w:rPr>
        <w:t>分，本项满分</w:t>
      </w:r>
      <w:r>
        <w:rPr>
          <w:rFonts w:hint="eastAsia" w:asciiTheme="minorEastAsia" w:hAnsiTheme="minorEastAsia" w:eastAsiaTheme="minorEastAsia" w:cstheme="minorEastAsia"/>
          <w:color w:val="auto"/>
          <w:szCs w:val="21"/>
          <w:highlight w:val="none"/>
          <w:lang w:val="en-US"/>
        </w:rPr>
        <w:t>3分。</w:t>
      </w:r>
      <w:r>
        <w:rPr>
          <w:rFonts w:hint="eastAsia" w:asciiTheme="minorEastAsia" w:hAnsiTheme="minorEastAsia" w:eastAsiaTheme="minorEastAsia" w:cstheme="minorEastAsia"/>
          <w:b/>
          <w:bCs/>
          <w:color w:val="auto"/>
          <w:szCs w:val="21"/>
          <w:highlight w:val="none"/>
        </w:rPr>
        <w:t>（投标文件中提供证书复印件并加盖公章，原件备查）</w:t>
      </w:r>
    </w:p>
    <w:p w14:paraId="2F816A52">
      <w:pPr>
        <w:pStyle w:val="34"/>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（2）业绩分（满分3分）</w:t>
      </w:r>
    </w:p>
    <w:p w14:paraId="6D527F79">
      <w:pPr>
        <w:pStyle w:val="34"/>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投标人提供自2024年1月1日起电梯销售业绩的【同一采购单位（小区）的多份合同，算一份业绩】，每提供一份业绩的得1分，本项满分3分。（投标文件提供中标/成交通知书复印件或有效合同复印件，原件备查）。</w:t>
      </w:r>
    </w:p>
    <w:p w14:paraId="56BD1F70">
      <w:pPr>
        <w:pStyle w:val="655"/>
        <w:spacing w:line="400" w:lineRule="exact"/>
        <w:ind w:firstLine="0"/>
        <w:rPr>
          <w:rFonts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    </w:t>
      </w:r>
      <w:r>
        <w:rPr>
          <w:rFonts w:hint="eastAsia" w:asciiTheme="minorEastAsia" w:hAnsiTheme="minorEastAsia" w:eastAsiaTheme="minorEastAsia" w:cstheme="minorEastAsia"/>
          <w:b/>
          <w:bCs/>
          <w:color w:val="auto"/>
          <w:kern w:val="2"/>
          <w:sz w:val="21"/>
          <w:szCs w:val="21"/>
          <w:highlight w:val="none"/>
        </w:rPr>
        <w:t>（3）政策功能分（满分2分）</w:t>
      </w:r>
    </w:p>
    <w:p w14:paraId="36B5C8FF">
      <w:pPr>
        <w:pStyle w:val="229"/>
        <w:adjustRightInd w:val="0"/>
        <w:snapToGrid w:val="0"/>
        <w:spacing w:line="400" w:lineRule="exact"/>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①投标产品纳入（财库[2019]19号）中节能产品政府采购清单的（适用于非强制采购节能产品，依据《市场监管总局关于发布参与实施政府采购节能产品、环境标志产品认证机构名录的公告》，提供所投相应型号产品有效的认证证书扫描件或其他电子文件），得1分，满分1分。</w:t>
      </w:r>
    </w:p>
    <w:p w14:paraId="387C7AEF">
      <w:pPr>
        <w:spacing w:line="400" w:lineRule="exact"/>
        <w:ind w:firstLine="420" w:firstLineChars="200"/>
        <w:outlineLvl w:val="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kern w:val="0"/>
          <w:szCs w:val="21"/>
          <w:highlight w:val="none"/>
          <w:lang w:bidi="ar"/>
        </w:rPr>
        <w:t xml:space="preserve"> </w:t>
      </w:r>
      <w:r>
        <w:rPr>
          <w:rFonts w:hint="eastAsia" w:asciiTheme="minorEastAsia" w:hAnsiTheme="minorEastAsia" w:eastAsiaTheme="minorEastAsia" w:cstheme="minorEastAsia"/>
          <w:bCs/>
          <w:color w:val="auto"/>
          <w:kern w:val="0"/>
          <w:szCs w:val="21"/>
          <w:highlight w:val="none"/>
          <w:lang w:bidi="ar"/>
        </w:rPr>
        <w:fldChar w:fldCharType="begin"/>
      </w:r>
      <w:r>
        <w:rPr>
          <w:rFonts w:hint="eastAsia" w:asciiTheme="minorEastAsia" w:hAnsiTheme="minorEastAsia" w:eastAsiaTheme="minorEastAsia" w:cstheme="minorEastAsia"/>
          <w:bCs/>
          <w:color w:val="auto"/>
          <w:kern w:val="0"/>
          <w:szCs w:val="21"/>
          <w:highlight w:val="none"/>
          <w:lang w:bidi="ar"/>
        </w:rPr>
        <w:instrText xml:space="preserve"> = 2 \* GB3 \* MERGEFORMAT </w:instrText>
      </w:r>
      <w:r>
        <w:rPr>
          <w:rFonts w:hint="eastAsia" w:asciiTheme="minorEastAsia" w:hAnsiTheme="minorEastAsia" w:eastAsiaTheme="minorEastAsia" w:cstheme="minorEastAsia"/>
          <w:bCs/>
          <w:color w:val="auto"/>
          <w:kern w:val="0"/>
          <w:szCs w:val="21"/>
          <w:highlight w:val="none"/>
          <w:lang w:bidi="ar"/>
        </w:rPr>
        <w:fldChar w:fldCharType="separate"/>
      </w:r>
      <w:r>
        <w:rPr>
          <w:rFonts w:hint="eastAsia" w:asciiTheme="minorEastAsia" w:hAnsiTheme="minorEastAsia" w:eastAsiaTheme="minorEastAsia" w:cstheme="minorEastAsia"/>
          <w:color w:val="auto"/>
          <w:szCs w:val="21"/>
          <w:highlight w:val="none"/>
        </w:rPr>
        <w:t>②</w:t>
      </w:r>
      <w:r>
        <w:rPr>
          <w:rFonts w:hint="eastAsia" w:asciiTheme="minorEastAsia" w:hAnsiTheme="minorEastAsia" w:eastAsiaTheme="minorEastAsia" w:cstheme="minorEastAsia"/>
          <w:bCs/>
          <w:color w:val="auto"/>
          <w:kern w:val="0"/>
          <w:szCs w:val="21"/>
          <w:highlight w:val="none"/>
          <w:lang w:bidi="ar"/>
        </w:rPr>
        <w:fldChar w:fldCharType="end"/>
      </w:r>
      <w:r>
        <w:rPr>
          <w:rFonts w:hint="eastAsia" w:asciiTheme="minorEastAsia" w:hAnsiTheme="minorEastAsia" w:eastAsiaTheme="minorEastAsia" w:cstheme="minorEastAsia"/>
          <w:color w:val="auto"/>
          <w:szCs w:val="21"/>
          <w:highlight w:val="none"/>
        </w:rPr>
        <w:t>投标产品纳入（财库[2019]18号）中环境标志产品政府采购清单的（依据《市场监管总局关于发布参与实施政府采购节能产品、环境标志产品认证机构名录的公告》，提供所投相应型号产品有效的认证证书扫描件或其他电子文件），得1分，满分1分。</w:t>
      </w:r>
    </w:p>
    <w:p w14:paraId="11CC7E9F">
      <w:pPr>
        <w:spacing w:line="400" w:lineRule="exact"/>
        <w:ind w:firstLine="405"/>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pacing w:val="-2"/>
          <w:szCs w:val="21"/>
          <w:highlight w:val="none"/>
        </w:rPr>
        <w:t>（三）总得分=</w:t>
      </w:r>
      <w:r>
        <w:rPr>
          <w:rFonts w:hint="eastAsia"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b/>
          <w:bCs/>
          <w:color w:val="auto"/>
          <w:szCs w:val="21"/>
          <w:highlight w:val="none"/>
        </w:rPr>
        <w:t xml:space="preserve">1 + 2 + 3。 </w:t>
      </w:r>
    </w:p>
    <w:p w14:paraId="56A8C1DE">
      <w:pPr>
        <w:spacing w:line="400" w:lineRule="exact"/>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三、中标候选人推荐原则</w:t>
      </w:r>
    </w:p>
    <w:p w14:paraId="004C7955">
      <w:pPr>
        <w:spacing w:line="40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一）评标委员会将根据得分由高到低排列次序（得分相同时，以评标价由低到高顺序排列；得分相同且评标价相同的，按技术指标优劣顺序排列）并推荐中标候选供应商。采购人应当确定评审委员会推荐排名第一的中标候选人为中标人。</w:t>
      </w:r>
    </w:p>
    <w:p w14:paraId="53B1B398">
      <w:pPr>
        <w:spacing w:line="40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二）排名第一的中标候选人放弃中标、拒绝签订政府采购合同的，采购人可以确定排名第二的中标候选人为中标人。排名第二的中标候选人因前款规定的同样原因不能签订合同的，采购人可以确定排名第三的中标候选人为中标人，其余以此类推。</w:t>
      </w:r>
    </w:p>
    <w:p w14:paraId="644DC09B">
      <w:pPr>
        <w:spacing w:before="120" w:after="120" w:line="420" w:lineRule="exact"/>
        <w:ind w:firstLine="883" w:firstLineChars="200"/>
        <w:jc w:val="left"/>
        <w:outlineLvl w:val="0"/>
        <w:rPr>
          <w:rFonts w:ascii="黑体" w:eastAsia="黑体"/>
          <w:b/>
          <w:color w:val="auto"/>
          <w:sz w:val="44"/>
          <w:szCs w:val="44"/>
          <w:highlight w:val="none"/>
        </w:rPr>
      </w:pPr>
    </w:p>
    <w:p w14:paraId="49FBC01C">
      <w:pPr>
        <w:rPr>
          <w:rFonts w:ascii="黑体" w:eastAsia="黑体"/>
          <w:b/>
          <w:color w:val="auto"/>
          <w:sz w:val="44"/>
          <w:szCs w:val="44"/>
          <w:highlight w:val="none"/>
        </w:rPr>
      </w:pPr>
    </w:p>
    <w:p w14:paraId="62EADBD5">
      <w:pPr>
        <w:pStyle w:val="4"/>
        <w:rPr>
          <w:rFonts w:ascii="黑体" w:eastAsia="黑体"/>
          <w:color w:val="auto"/>
          <w:sz w:val="44"/>
          <w:szCs w:val="44"/>
          <w:highlight w:val="none"/>
        </w:rPr>
      </w:pPr>
    </w:p>
    <w:p w14:paraId="634667C6">
      <w:pPr>
        <w:rPr>
          <w:color w:val="auto"/>
          <w:highlight w:val="none"/>
        </w:rPr>
      </w:pPr>
    </w:p>
    <w:p w14:paraId="0656A208">
      <w:pPr>
        <w:pStyle w:val="28"/>
        <w:snapToGrid w:val="0"/>
        <w:spacing w:before="120" w:after="120"/>
        <w:jc w:val="center"/>
        <w:outlineLvl w:val="0"/>
        <w:rPr>
          <w:rFonts w:ascii="黑体" w:eastAsia="黑体"/>
          <w:b/>
          <w:color w:val="auto"/>
          <w:sz w:val="44"/>
          <w:szCs w:val="44"/>
          <w:highlight w:val="none"/>
        </w:rPr>
      </w:pPr>
    </w:p>
    <w:p w14:paraId="44F18442">
      <w:pPr>
        <w:pStyle w:val="5"/>
        <w:rPr>
          <w:rFonts w:ascii="黑体"/>
          <w:b/>
          <w:color w:val="auto"/>
          <w:sz w:val="44"/>
          <w:szCs w:val="44"/>
          <w:highlight w:val="none"/>
        </w:rPr>
      </w:pPr>
    </w:p>
    <w:p w14:paraId="336282C4">
      <w:pPr>
        <w:rPr>
          <w:rFonts w:ascii="黑体" w:eastAsia="黑体"/>
          <w:b/>
          <w:color w:val="auto"/>
          <w:sz w:val="44"/>
          <w:szCs w:val="44"/>
          <w:highlight w:val="none"/>
        </w:rPr>
      </w:pPr>
    </w:p>
    <w:p w14:paraId="6995FD69">
      <w:pPr>
        <w:pStyle w:val="70"/>
        <w:ind w:firstLine="442"/>
        <w:rPr>
          <w:rFonts w:ascii="黑体" w:eastAsia="黑体"/>
          <w:b/>
          <w:color w:val="auto"/>
          <w:sz w:val="44"/>
          <w:szCs w:val="44"/>
          <w:highlight w:val="none"/>
        </w:rPr>
      </w:pPr>
    </w:p>
    <w:p w14:paraId="528AADCC">
      <w:pPr>
        <w:rPr>
          <w:color w:val="auto"/>
          <w:highlight w:val="none"/>
        </w:rPr>
      </w:pPr>
    </w:p>
    <w:p w14:paraId="1040E7FF">
      <w:pPr>
        <w:pStyle w:val="28"/>
        <w:snapToGrid w:val="0"/>
        <w:spacing w:before="120" w:after="120"/>
        <w:jc w:val="center"/>
        <w:outlineLvl w:val="0"/>
        <w:rPr>
          <w:rFonts w:ascii="黑体" w:eastAsia="黑体"/>
          <w:b/>
          <w:color w:val="auto"/>
          <w:sz w:val="44"/>
          <w:szCs w:val="44"/>
          <w:highlight w:val="none"/>
        </w:rPr>
      </w:pPr>
    </w:p>
    <w:p w14:paraId="1576DFB5">
      <w:pPr>
        <w:jc w:val="center"/>
        <w:rPr>
          <w:rFonts w:ascii="宋体" w:hAnsi="宋体"/>
          <w:b/>
          <w:dstrike/>
          <w:color w:val="auto"/>
          <w:sz w:val="36"/>
          <w:szCs w:val="36"/>
          <w:highlight w:val="none"/>
        </w:rPr>
      </w:pPr>
      <w:r>
        <w:rPr>
          <w:rFonts w:hint="eastAsia" w:ascii="仿宋_GB2312" w:eastAsia="仿宋_GB2312"/>
          <w:b/>
          <w:color w:val="auto"/>
          <w:sz w:val="36"/>
          <w:szCs w:val="36"/>
          <w:highlight w:val="none"/>
        </w:rPr>
        <w:t>第五章    政府采购合同主要条款</w:t>
      </w:r>
    </w:p>
    <w:p w14:paraId="552D5D05">
      <w:pPr>
        <w:pStyle w:val="28"/>
        <w:snapToGrid w:val="0"/>
        <w:spacing w:before="120" w:after="120"/>
        <w:jc w:val="center"/>
        <w:outlineLvl w:val="0"/>
        <w:rPr>
          <w:rFonts w:ascii="黑体" w:eastAsia="黑体"/>
          <w:b/>
          <w:color w:val="auto"/>
          <w:sz w:val="44"/>
          <w:szCs w:val="44"/>
          <w:highlight w:val="none"/>
        </w:rPr>
      </w:pPr>
    </w:p>
    <w:p w14:paraId="7D7F3541">
      <w:pPr>
        <w:pStyle w:val="28"/>
        <w:jc w:val="center"/>
        <w:rPr>
          <w:color w:val="auto"/>
          <w:highlight w:val="none"/>
        </w:rPr>
      </w:pPr>
      <w:r>
        <w:rPr>
          <w:color w:val="auto"/>
          <w:highlight w:val="none"/>
        </w:rPr>
        <w:br w:type="page"/>
      </w:r>
    </w:p>
    <w:p w14:paraId="383B9C39">
      <w:pPr>
        <w:pStyle w:val="28"/>
        <w:jc w:val="center"/>
        <w:rPr>
          <w:color w:val="auto"/>
          <w:highlight w:val="none"/>
        </w:rPr>
      </w:pPr>
    </w:p>
    <w:p w14:paraId="07E099CC">
      <w:pPr>
        <w:pStyle w:val="28"/>
        <w:jc w:val="center"/>
        <w:rPr>
          <w:color w:val="auto"/>
          <w:highlight w:val="none"/>
        </w:rPr>
      </w:pPr>
    </w:p>
    <w:p w14:paraId="1872990F">
      <w:pPr>
        <w:pStyle w:val="28"/>
        <w:jc w:val="center"/>
        <w:rPr>
          <w:rFonts w:hAnsi="宋体"/>
          <w:b/>
          <w:color w:val="auto"/>
          <w:sz w:val="52"/>
          <w:szCs w:val="52"/>
          <w:highlight w:val="none"/>
        </w:rPr>
      </w:pPr>
      <w:r>
        <w:rPr>
          <w:rFonts w:hint="eastAsia" w:hAnsi="宋体"/>
          <w:b/>
          <w:color w:val="auto"/>
          <w:sz w:val="52"/>
          <w:szCs w:val="52"/>
          <w:highlight w:val="none"/>
        </w:rPr>
        <w:t>广西壮族自治区政府采购合同</w:t>
      </w:r>
    </w:p>
    <w:p w14:paraId="1CDB6D34">
      <w:pPr>
        <w:pStyle w:val="28"/>
        <w:rPr>
          <w:rFonts w:hAnsi="宋体"/>
          <w:color w:val="auto"/>
          <w:highlight w:val="none"/>
        </w:rPr>
      </w:pPr>
    </w:p>
    <w:p w14:paraId="2329AE0E">
      <w:pPr>
        <w:pStyle w:val="28"/>
        <w:rPr>
          <w:rFonts w:hAnsi="宋体"/>
          <w:color w:val="auto"/>
          <w:highlight w:val="none"/>
        </w:rPr>
      </w:pPr>
    </w:p>
    <w:p w14:paraId="7EE57102">
      <w:pPr>
        <w:pStyle w:val="28"/>
        <w:rPr>
          <w:rFonts w:hAnsi="宋体"/>
          <w:color w:val="auto"/>
          <w:highlight w:val="none"/>
        </w:rPr>
      </w:pPr>
    </w:p>
    <w:p w14:paraId="270D3CA3">
      <w:pPr>
        <w:pStyle w:val="28"/>
        <w:ind w:firstLine="1590" w:firstLineChars="495"/>
        <w:rPr>
          <w:rFonts w:hAnsi="宋体"/>
          <w:b/>
          <w:color w:val="auto"/>
          <w:sz w:val="32"/>
          <w:szCs w:val="32"/>
          <w:highlight w:val="none"/>
          <w:u w:val="single"/>
        </w:rPr>
      </w:pPr>
      <w:r>
        <w:rPr>
          <w:rFonts w:hint="eastAsia" w:hAnsi="宋体"/>
          <w:b/>
          <w:color w:val="auto"/>
          <w:sz w:val="32"/>
          <w:szCs w:val="32"/>
          <w:highlight w:val="none"/>
        </w:rPr>
        <w:t>合同名称：</w:t>
      </w:r>
      <w:r>
        <w:rPr>
          <w:rFonts w:hint="eastAsia" w:hAnsi="宋体"/>
          <w:b/>
          <w:color w:val="auto"/>
          <w:sz w:val="32"/>
          <w:szCs w:val="32"/>
          <w:highlight w:val="none"/>
          <w:u w:val="single"/>
        </w:rPr>
        <w:t xml:space="preserve">                            </w:t>
      </w:r>
    </w:p>
    <w:p w14:paraId="3E373F19">
      <w:pPr>
        <w:pStyle w:val="28"/>
        <w:ind w:firstLine="1590" w:firstLineChars="495"/>
        <w:rPr>
          <w:rFonts w:hAnsi="宋体"/>
          <w:b/>
          <w:color w:val="auto"/>
          <w:sz w:val="32"/>
          <w:szCs w:val="32"/>
          <w:highlight w:val="none"/>
          <w:u w:val="single"/>
        </w:rPr>
      </w:pPr>
      <w:r>
        <w:rPr>
          <w:rFonts w:hint="eastAsia" w:hAnsi="宋体"/>
          <w:b/>
          <w:color w:val="auto"/>
          <w:sz w:val="32"/>
          <w:szCs w:val="32"/>
          <w:highlight w:val="none"/>
        </w:rPr>
        <w:t>合同编号：</w:t>
      </w:r>
      <w:r>
        <w:rPr>
          <w:rFonts w:hint="eastAsia" w:hAnsi="宋体"/>
          <w:b/>
          <w:color w:val="auto"/>
          <w:sz w:val="32"/>
          <w:szCs w:val="32"/>
          <w:highlight w:val="none"/>
          <w:u w:val="single"/>
        </w:rPr>
        <w:t xml:space="preserve">                            </w:t>
      </w:r>
    </w:p>
    <w:p w14:paraId="072E2E55">
      <w:pPr>
        <w:pStyle w:val="28"/>
        <w:jc w:val="center"/>
        <w:rPr>
          <w:rFonts w:hAnsi="宋体"/>
          <w:color w:val="auto"/>
          <w:highlight w:val="none"/>
        </w:rPr>
      </w:pPr>
    </w:p>
    <w:p w14:paraId="39AFB121">
      <w:pPr>
        <w:pStyle w:val="28"/>
        <w:spacing w:after="156" w:afterLines="50" w:line="340" w:lineRule="exact"/>
        <w:ind w:firstLine="1590" w:firstLineChars="495"/>
        <w:rPr>
          <w:rFonts w:hAnsi="宋体"/>
          <w:b/>
          <w:color w:val="auto"/>
          <w:sz w:val="32"/>
          <w:szCs w:val="32"/>
          <w:highlight w:val="none"/>
          <w:u w:val="single"/>
        </w:rPr>
      </w:pPr>
      <w:r>
        <w:rPr>
          <w:rFonts w:hint="eastAsia" w:hAnsi="宋体"/>
          <w:b/>
          <w:color w:val="auto"/>
          <w:sz w:val="32"/>
          <w:szCs w:val="32"/>
          <w:highlight w:val="none"/>
        </w:rPr>
        <w:t>采购单位（甲方）</w:t>
      </w:r>
      <w:r>
        <w:rPr>
          <w:rFonts w:hint="eastAsia" w:hAnsi="宋体"/>
          <w:b/>
          <w:color w:val="auto"/>
          <w:sz w:val="32"/>
          <w:szCs w:val="32"/>
          <w:highlight w:val="none"/>
          <w:u w:val="single"/>
        </w:rPr>
        <w:t xml:space="preserve">                      </w:t>
      </w:r>
    </w:p>
    <w:p w14:paraId="0C3D4C3A">
      <w:pPr>
        <w:pStyle w:val="28"/>
        <w:spacing w:line="340" w:lineRule="exact"/>
        <w:ind w:firstLine="1590" w:firstLineChars="495"/>
        <w:rPr>
          <w:rFonts w:hAnsi="宋体"/>
          <w:b/>
          <w:color w:val="auto"/>
          <w:sz w:val="32"/>
          <w:szCs w:val="32"/>
          <w:highlight w:val="none"/>
          <w:u w:val="single"/>
        </w:rPr>
      </w:pPr>
      <w:r>
        <w:rPr>
          <w:rFonts w:hint="eastAsia" w:hAnsi="宋体"/>
          <w:b/>
          <w:color w:val="auto"/>
          <w:sz w:val="32"/>
          <w:szCs w:val="32"/>
          <w:highlight w:val="none"/>
        </w:rPr>
        <w:t>住   所：</w:t>
      </w:r>
      <w:r>
        <w:rPr>
          <w:rFonts w:hint="eastAsia" w:hAnsi="宋体"/>
          <w:b/>
          <w:color w:val="auto"/>
          <w:sz w:val="32"/>
          <w:szCs w:val="32"/>
          <w:highlight w:val="none"/>
          <w:u w:val="single"/>
        </w:rPr>
        <w:t xml:space="preserve">                            </w:t>
      </w:r>
    </w:p>
    <w:p w14:paraId="7E23725D">
      <w:pPr>
        <w:pStyle w:val="28"/>
        <w:spacing w:line="340" w:lineRule="exact"/>
        <w:ind w:firstLine="1590" w:firstLineChars="495"/>
        <w:rPr>
          <w:rFonts w:hAnsi="宋体"/>
          <w:b/>
          <w:color w:val="auto"/>
          <w:sz w:val="32"/>
          <w:szCs w:val="32"/>
          <w:highlight w:val="none"/>
        </w:rPr>
      </w:pPr>
    </w:p>
    <w:p w14:paraId="33A53A95">
      <w:pPr>
        <w:pStyle w:val="28"/>
        <w:spacing w:after="156" w:afterLines="50" w:line="340" w:lineRule="exact"/>
        <w:ind w:firstLine="1590" w:firstLineChars="495"/>
        <w:rPr>
          <w:rFonts w:hAnsi="宋体"/>
          <w:b/>
          <w:color w:val="auto"/>
          <w:sz w:val="32"/>
          <w:szCs w:val="32"/>
          <w:highlight w:val="none"/>
          <w:u w:val="single"/>
        </w:rPr>
      </w:pPr>
      <w:r>
        <w:rPr>
          <w:rFonts w:hint="eastAsia" w:hAnsi="宋体"/>
          <w:b/>
          <w:color w:val="auto"/>
          <w:sz w:val="32"/>
          <w:szCs w:val="32"/>
          <w:highlight w:val="none"/>
        </w:rPr>
        <w:t>供 应 商（乙方）</w:t>
      </w:r>
      <w:r>
        <w:rPr>
          <w:rFonts w:hint="eastAsia" w:hAnsi="宋体"/>
          <w:b/>
          <w:color w:val="auto"/>
          <w:sz w:val="32"/>
          <w:szCs w:val="32"/>
          <w:highlight w:val="none"/>
          <w:u w:val="single"/>
        </w:rPr>
        <w:t xml:space="preserve">                      </w:t>
      </w:r>
    </w:p>
    <w:p w14:paraId="317DB009">
      <w:pPr>
        <w:pStyle w:val="28"/>
        <w:spacing w:line="340" w:lineRule="exact"/>
        <w:ind w:firstLine="1590" w:firstLineChars="495"/>
        <w:rPr>
          <w:rFonts w:hAnsi="宋体"/>
          <w:b/>
          <w:color w:val="auto"/>
          <w:sz w:val="32"/>
          <w:szCs w:val="32"/>
          <w:highlight w:val="none"/>
          <w:u w:val="single"/>
        </w:rPr>
      </w:pPr>
      <w:r>
        <w:rPr>
          <w:rFonts w:hint="eastAsia" w:hAnsi="宋体"/>
          <w:b/>
          <w:color w:val="auto"/>
          <w:sz w:val="32"/>
          <w:szCs w:val="32"/>
          <w:highlight w:val="none"/>
        </w:rPr>
        <w:t>住   所：</w:t>
      </w:r>
      <w:r>
        <w:rPr>
          <w:rFonts w:hint="eastAsia" w:hAnsi="宋体"/>
          <w:b/>
          <w:color w:val="auto"/>
          <w:sz w:val="32"/>
          <w:szCs w:val="32"/>
          <w:highlight w:val="none"/>
          <w:u w:val="single"/>
        </w:rPr>
        <w:t xml:space="preserve">                            </w:t>
      </w:r>
    </w:p>
    <w:p w14:paraId="437717BC">
      <w:pPr>
        <w:pStyle w:val="28"/>
        <w:jc w:val="center"/>
        <w:rPr>
          <w:rFonts w:hAnsi="宋体"/>
          <w:color w:val="auto"/>
          <w:highlight w:val="none"/>
        </w:rPr>
      </w:pPr>
    </w:p>
    <w:p w14:paraId="720AAD13">
      <w:pPr>
        <w:pStyle w:val="28"/>
        <w:ind w:firstLine="1590" w:firstLineChars="495"/>
        <w:rPr>
          <w:rFonts w:hAnsi="宋体"/>
          <w:b/>
          <w:color w:val="auto"/>
          <w:sz w:val="32"/>
          <w:szCs w:val="32"/>
          <w:highlight w:val="none"/>
          <w:u w:val="single"/>
        </w:rPr>
      </w:pPr>
      <w:r>
        <w:rPr>
          <w:rFonts w:hint="eastAsia" w:hAnsi="宋体"/>
          <w:b/>
          <w:color w:val="auto"/>
          <w:sz w:val="32"/>
          <w:szCs w:val="32"/>
          <w:highlight w:val="none"/>
        </w:rPr>
        <w:t>签订合同地点：</w:t>
      </w:r>
      <w:r>
        <w:rPr>
          <w:rFonts w:hint="eastAsia" w:hAnsi="宋体"/>
          <w:b/>
          <w:color w:val="auto"/>
          <w:sz w:val="32"/>
          <w:szCs w:val="32"/>
          <w:highlight w:val="none"/>
          <w:u w:val="single"/>
        </w:rPr>
        <w:t xml:space="preserve">                       </w:t>
      </w:r>
    </w:p>
    <w:p w14:paraId="2430359B">
      <w:pPr>
        <w:pStyle w:val="28"/>
        <w:ind w:firstLine="1590" w:firstLineChars="495"/>
        <w:rPr>
          <w:rFonts w:hAnsi="宋体"/>
          <w:b/>
          <w:color w:val="auto"/>
          <w:sz w:val="32"/>
          <w:szCs w:val="32"/>
          <w:highlight w:val="none"/>
        </w:rPr>
      </w:pPr>
      <w:r>
        <w:rPr>
          <w:rFonts w:hint="eastAsia" w:hAnsi="宋体"/>
          <w:b/>
          <w:color w:val="auto"/>
          <w:sz w:val="32"/>
          <w:szCs w:val="32"/>
          <w:highlight w:val="none"/>
        </w:rPr>
        <w:t>签订合同时间：</w:t>
      </w:r>
      <w:r>
        <w:rPr>
          <w:rFonts w:hint="eastAsia" w:hAnsi="宋体"/>
          <w:b/>
          <w:color w:val="auto"/>
          <w:sz w:val="32"/>
          <w:szCs w:val="32"/>
          <w:highlight w:val="none"/>
          <w:u w:val="single"/>
        </w:rPr>
        <w:t xml:space="preserve">                       </w:t>
      </w:r>
    </w:p>
    <w:p w14:paraId="1F93C174">
      <w:pPr>
        <w:pStyle w:val="28"/>
        <w:jc w:val="center"/>
        <w:rPr>
          <w:rFonts w:hAnsi="宋体"/>
          <w:color w:val="auto"/>
          <w:highlight w:val="none"/>
        </w:rPr>
      </w:pPr>
    </w:p>
    <w:p w14:paraId="1F8E7809">
      <w:pPr>
        <w:pStyle w:val="5"/>
        <w:rPr>
          <w:color w:val="auto"/>
          <w:highlight w:val="none"/>
        </w:rPr>
      </w:pPr>
    </w:p>
    <w:p w14:paraId="50C4BC31">
      <w:pPr>
        <w:pStyle w:val="28"/>
        <w:spacing w:line="420" w:lineRule="exact"/>
        <w:jc w:val="center"/>
        <w:rPr>
          <w:rFonts w:hAnsi="宋体"/>
          <w:color w:val="auto"/>
          <w:highlight w:val="none"/>
        </w:rPr>
      </w:pPr>
      <w:r>
        <w:rPr>
          <w:rFonts w:hint="eastAsia" w:hAnsi="宋体"/>
          <w:color w:val="auto"/>
          <w:highlight w:val="none"/>
        </w:rPr>
        <w:t>合同使用说明：根据《中华人民共和国政府采购法》、《中华人民共和国民法典》等法律、法规规定，</w:t>
      </w:r>
    </w:p>
    <w:p w14:paraId="33F60BC5">
      <w:pPr>
        <w:pStyle w:val="28"/>
        <w:snapToGrid w:val="0"/>
        <w:spacing w:before="120" w:after="120"/>
        <w:jc w:val="center"/>
        <w:outlineLvl w:val="0"/>
        <w:rPr>
          <w:rFonts w:hAnsi="宋体"/>
          <w:color w:val="auto"/>
          <w:highlight w:val="none"/>
        </w:rPr>
      </w:pPr>
      <w:r>
        <w:rPr>
          <w:rFonts w:hint="eastAsia" w:hAnsi="宋体"/>
          <w:color w:val="auto"/>
          <w:highlight w:val="none"/>
        </w:rPr>
        <w:t xml:space="preserve">        按照招标文件规定条款和中标供应商投标文件及其承诺，甲乙双方签订本合同。</w:t>
      </w:r>
    </w:p>
    <w:p w14:paraId="6AA6BE12">
      <w:pPr>
        <w:pStyle w:val="28"/>
        <w:snapToGrid w:val="0"/>
        <w:spacing w:before="120" w:after="120"/>
        <w:jc w:val="center"/>
        <w:outlineLvl w:val="0"/>
        <w:rPr>
          <w:rFonts w:hAnsi="宋体"/>
          <w:color w:val="auto"/>
          <w:highlight w:val="none"/>
        </w:rPr>
      </w:pPr>
    </w:p>
    <w:p w14:paraId="09461B21">
      <w:pPr>
        <w:pStyle w:val="28"/>
        <w:snapToGrid w:val="0"/>
        <w:spacing w:before="120" w:after="120"/>
        <w:jc w:val="center"/>
        <w:outlineLvl w:val="0"/>
        <w:rPr>
          <w:rFonts w:hAnsi="宋体"/>
          <w:color w:val="auto"/>
          <w:highlight w:val="none"/>
        </w:rPr>
      </w:pPr>
    </w:p>
    <w:p w14:paraId="171B46B7">
      <w:pPr>
        <w:spacing w:line="300" w:lineRule="auto"/>
        <w:ind w:left="420" w:hanging="420"/>
        <w:jc w:val="center"/>
        <w:rPr>
          <w:rFonts w:hint="eastAsia" w:ascii="黑体" w:eastAsia="黑体"/>
          <w:b/>
          <w:color w:val="auto"/>
          <w:sz w:val="44"/>
          <w:szCs w:val="44"/>
          <w:highlight w:val="none"/>
        </w:rPr>
      </w:pPr>
    </w:p>
    <w:p w14:paraId="3F9E5822">
      <w:pPr>
        <w:spacing w:line="300" w:lineRule="auto"/>
        <w:ind w:left="420" w:hanging="420"/>
        <w:jc w:val="center"/>
        <w:rPr>
          <w:rFonts w:ascii="黑体" w:eastAsia="黑体"/>
          <w:b/>
          <w:bCs/>
          <w:color w:val="auto"/>
          <w:sz w:val="44"/>
          <w:szCs w:val="44"/>
          <w:highlight w:val="none"/>
        </w:rPr>
      </w:pPr>
      <w:bookmarkStart w:id="21" w:name="_GoBack"/>
      <w:bookmarkEnd w:id="21"/>
      <w:r>
        <w:rPr>
          <w:rFonts w:hint="eastAsia" w:ascii="黑体" w:eastAsia="黑体"/>
          <w:b/>
          <w:color w:val="auto"/>
          <w:sz w:val="44"/>
          <w:szCs w:val="44"/>
          <w:highlight w:val="none"/>
        </w:rPr>
        <w:t>采购</w:t>
      </w:r>
      <w:r>
        <w:rPr>
          <w:rFonts w:hint="eastAsia" w:ascii="黑体" w:eastAsia="黑体"/>
          <w:b/>
          <w:bCs/>
          <w:color w:val="auto"/>
          <w:sz w:val="44"/>
          <w:szCs w:val="44"/>
          <w:highlight w:val="none"/>
        </w:rPr>
        <w:t>合同文本</w:t>
      </w:r>
    </w:p>
    <w:p w14:paraId="378A64C5">
      <w:pPr>
        <w:snapToGrid w:val="0"/>
        <w:spacing w:line="300" w:lineRule="exact"/>
        <w:jc w:val="center"/>
        <w:rPr>
          <w:rFonts w:ascii="宋体"/>
          <w:b/>
          <w:bCs/>
          <w:color w:val="auto"/>
          <w:szCs w:val="21"/>
          <w:highlight w:val="none"/>
        </w:rPr>
      </w:pPr>
      <w:r>
        <w:rPr>
          <w:rFonts w:hint="eastAsia" w:ascii="宋体"/>
          <w:b/>
          <w:bCs/>
          <w:color w:val="auto"/>
          <w:szCs w:val="21"/>
          <w:highlight w:val="none"/>
        </w:rPr>
        <w:t>广西壮族自治区政府采购合同</w:t>
      </w:r>
    </w:p>
    <w:p w14:paraId="05156484">
      <w:pPr>
        <w:snapToGrid w:val="0"/>
        <w:spacing w:line="300" w:lineRule="exact"/>
        <w:ind w:right="480" w:firstLine="5985" w:firstLineChars="2850"/>
        <w:rPr>
          <w:rFonts w:ascii="宋体"/>
          <w:bCs/>
          <w:color w:val="auto"/>
          <w:szCs w:val="21"/>
          <w:highlight w:val="none"/>
          <w:u w:val="single"/>
        </w:rPr>
      </w:pPr>
      <w:r>
        <w:rPr>
          <w:rFonts w:hint="eastAsia" w:ascii="宋体"/>
          <w:bCs/>
          <w:color w:val="auto"/>
          <w:szCs w:val="21"/>
          <w:highlight w:val="none"/>
        </w:rPr>
        <w:t>合同编号：</w:t>
      </w:r>
    </w:p>
    <w:p w14:paraId="14471E6F">
      <w:pPr>
        <w:snapToGrid w:val="0"/>
        <w:spacing w:line="360" w:lineRule="exact"/>
        <w:rPr>
          <w:rFonts w:ascii="宋体"/>
          <w:color w:val="auto"/>
          <w:szCs w:val="21"/>
          <w:highlight w:val="none"/>
        </w:rPr>
      </w:pPr>
    </w:p>
    <w:p w14:paraId="6804CACB">
      <w:pPr>
        <w:snapToGrid w:val="0"/>
        <w:spacing w:line="360" w:lineRule="exact"/>
        <w:rPr>
          <w:rFonts w:ascii="宋体"/>
          <w:color w:val="auto"/>
          <w:szCs w:val="21"/>
          <w:highlight w:val="none"/>
          <w:u w:val="single"/>
        </w:rPr>
      </w:pPr>
      <w:r>
        <w:rPr>
          <w:rFonts w:hint="eastAsia" w:ascii="宋体"/>
          <w:color w:val="auto"/>
          <w:szCs w:val="21"/>
          <w:highlight w:val="none"/>
        </w:rPr>
        <w:t>采购单位（甲方）</w:t>
      </w:r>
      <w:r>
        <w:rPr>
          <w:rFonts w:hint="eastAsia" w:ascii="宋体"/>
          <w:color w:val="auto"/>
          <w:szCs w:val="21"/>
          <w:highlight w:val="none"/>
          <w:u w:val="single"/>
        </w:rPr>
        <w:t xml:space="preserve">                          </w:t>
      </w:r>
      <w:r>
        <w:rPr>
          <w:rFonts w:hint="eastAsia" w:ascii="宋体"/>
          <w:color w:val="auto"/>
          <w:szCs w:val="21"/>
          <w:highlight w:val="none"/>
        </w:rPr>
        <w:t xml:space="preserve">  </w:t>
      </w:r>
      <w:r>
        <w:rPr>
          <w:rFonts w:hint="eastAsia" w:ascii="宋体"/>
          <w:color w:val="auto"/>
          <w:spacing w:val="-20"/>
          <w:szCs w:val="21"/>
          <w:highlight w:val="none"/>
        </w:rPr>
        <w:t>采 购 计 划 号</w:t>
      </w:r>
      <w:r>
        <w:rPr>
          <w:rFonts w:hint="eastAsia" w:ascii="宋体"/>
          <w:color w:val="auto"/>
          <w:szCs w:val="21"/>
          <w:highlight w:val="none"/>
          <w:u w:val="single"/>
        </w:rPr>
        <w:t xml:space="preserve">                              </w:t>
      </w:r>
    </w:p>
    <w:p w14:paraId="42B022DB">
      <w:pPr>
        <w:snapToGrid w:val="0"/>
        <w:spacing w:line="360" w:lineRule="exact"/>
        <w:rPr>
          <w:rFonts w:ascii="宋体"/>
          <w:color w:val="auto"/>
          <w:szCs w:val="21"/>
          <w:highlight w:val="none"/>
        </w:rPr>
      </w:pPr>
    </w:p>
    <w:p w14:paraId="4177EF1E">
      <w:pPr>
        <w:snapToGrid w:val="0"/>
        <w:spacing w:line="360" w:lineRule="exact"/>
        <w:rPr>
          <w:rFonts w:ascii="宋体"/>
          <w:color w:val="auto"/>
          <w:szCs w:val="21"/>
          <w:highlight w:val="none"/>
          <w:u w:val="single"/>
        </w:rPr>
      </w:pPr>
      <w:r>
        <w:rPr>
          <w:rFonts w:hint="eastAsia" w:ascii="宋体"/>
          <w:color w:val="auto"/>
          <w:szCs w:val="21"/>
          <w:highlight w:val="none"/>
        </w:rPr>
        <w:t>供 应 商（乙方）</w:t>
      </w:r>
      <w:r>
        <w:rPr>
          <w:rFonts w:hint="eastAsia" w:ascii="宋体"/>
          <w:color w:val="auto"/>
          <w:szCs w:val="21"/>
          <w:highlight w:val="none"/>
          <w:u w:val="single"/>
        </w:rPr>
        <w:t xml:space="preserve">                          </w:t>
      </w:r>
      <w:r>
        <w:rPr>
          <w:rFonts w:hint="eastAsia" w:ascii="宋体"/>
          <w:color w:val="auto"/>
          <w:szCs w:val="21"/>
          <w:highlight w:val="none"/>
        </w:rPr>
        <w:t xml:space="preserve">  项目名称</w:t>
      </w:r>
      <w:r>
        <w:rPr>
          <w:rFonts w:hint="eastAsia" w:ascii="宋体"/>
          <w:color w:val="auto"/>
          <w:spacing w:val="-20"/>
          <w:szCs w:val="21"/>
          <w:highlight w:val="none"/>
        </w:rPr>
        <w:t>编号</w:t>
      </w:r>
      <w:r>
        <w:rPr>
          <w:rFonts w:hint="eastAsia" w:ascii="宋体"/>
          <w:color w:val="auto"/>
          <w:szCs w:val="21"/>
          <w:highlight w:val="none"/>
          <w:u w:val="single"/>
        </w:rPr>
        <w:t xml:space="preserve">                             </w:t>
      </w:r>
    </w:p>
    <w:p w14:paraId="00944516">
      <w:pPr>
        <w:snapToGrid w:val="0"/>
        <w:spacing w:line="360" w:lineRule="exact"/>
        <w:rPr>
          <w:rFonts w:ascii="宋体"/>
          <w:color w:val="auto"/>
          <w:szCs w:val="21"/>
          <w:highlight w:val="none"/>
          <w:u w:val="single"/>
        </w:rPr>
      </w:pPr>
      <w:r>
        <w:rPr>
          <w:rFonts w:hint="eastAsia" w:ascii="宋体"/>
          <w:color w:val="auto"/>
          <w:szCs w:val="21"/>
          <w:highlight w:val="none"/>
        </w:rPr>
        <w:t xml:space="preserve">签  订  地  点  </w:t>
      </w:r>
      <w:r>
        <w:rPr>
          <w:rFonts w:hint="eastAsia" w:ascii="宋体"/>
          <w:color w:val="auto"/>
          <w:szCs w:val="21"/>
          <w:highlight w:val="none"/>
          <w:u w:val="single"/>
        </w:rPr>
        <w:t xml:space="preserve">                          </w:t>
      </w:r>
      <w:r>
        <w:rPr>
          <w:rFonts w:hint="eastAsia" w:ascii="宋体"/>
          <w:color w:val="auto"/>
          <w:szCs w:val="21"/>
          <w:highlight w:val="none"/>
        </w:rPr>
        <w:t xml:space="preserve">  签 订 时 间</w:t>
      </w:r>
      <w:r>
        <w:rPr>
          <w:rFonts w:hint="eastAsia" w:ascii="宋体"/>
          <w:color w:val="auto"/>
          <w:szCs w:val="21"/>
          <w:highlight w:val="none"/>
          <w:u w:val="single"/>
        </w:rPr>
        <w:t xml:space="preserve">                              </w:t>
      </w:r>
    </w:p>
    <w:p w14:paraId="2F659337">
      <w:pPr>
        <w:snapToGrid w:val="0"/>
        <w:spacing w:line="360" w:lineRule="exact"/>
        <w:ind w:firstLine="420" w:firstLineChars="200"/>
        <w:rPr>
          <w:rFonts w:ascii="宋体"/>
          <w:color w:val="auto"/>
          <w:szCs w:val="21"/>
          <w:highlight w:val="none"/>
        </w:rPr>
      </w:pPr>
    </w:p>
    <w:p w14:paraId="02D75CD5">
      <w:pPr>
        <w:pStyle w:val="28"/>
        <w:spacing w:line="360" w:lineRule="exact"/>
        <w:ind w:firstLine="420" w:firstLineChars="200"/>
        <w:rPr>
          <w:color w:val="auto"/>
          <w:highlight w:val="none"/>
        </w:rPr>
      </w:pPr>
      <w:r>
        <w:rPr>
          <w:rFonts w:hint="eastAsia"/>
          <w:color w:val="auto"/>
          <w:highlight w:val="none"/>
        </w:rPr>
        <w:t>根据《中华人民共和国政府采购法》、《中华人民共和国民法典》等法律、法规规定，按照招标文件规定条款和中标供应商投标文件及其承诺，甲乙双方签订本合同。</w:t>
      </w:r>
    </w:p>
    <w:p w14:paraId="370FD19B">
      <w:pPr>
        <w:snapToGrid w:val="0"/>
        <w:spacing w:line="360" w:lineRule="exact"/>
        <w:ind w:firstLine="422" w:firstLineChars="200"/>
        <w:rPr>
          <w:rFonts w:ascii="宋体"/>
          <w:b/>
          <w:color w:val="auto"/>
          <w:szCs w:val="21"/>
          <w:highlight w:val="none"/>
        </w:rPr>
      </w:pPr>
      <w:r>
        <w:rPr>
          <w:rFonts w:hint="eastAsia" w:ascii="宋体"/>
          <w:b/>
          <w:color w:val="auto"/>
          <w:szCs w:val="21"/>
          <w:highlight w:val="none"/>
        </w:rPr>
        <w:t>第一条　合同标的</w:t>
      </w:r>
    </w:p>
    <w:p w14:paraId="776A373B">
      <w:pPr>
        <w:snapToGrid w:val="0"/>
        <w:spacing w:line="360" w:lineRule="exact"/>
        <w:ind w:firstLine="420" w:firstLineChars="200"/>
        <w:rPr>
          <w:rFonts w:ascii="宋体"/>
          <w:color w:val="auto"/>
          <w:szCs w:val="21"/>
          <w:highlight w:val="none"/>
        </w:rPr>
      </w:pPr>
      <w:r>
        <w:rPr>
          <w:rFonts w:hint="eastAsia" w:ascii="宋体"/>
          <w:color w:val="auto"/>
          <w:szCs w:val="21"/>
          <w:highlight w:val="none"/>
        </w:rPr>
        <w:t>1、供货一览表</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304"/>
        <w:gridCol w:w="1081"/>
        <w:gridCol w:w="1194"/>
        <w:gridCol w:w="1193"/>
        <w:gridCol w:w="672"/>
        <w:gridCol w:w="1080"/>
        <w:gridCol w:w="1080"/>
        <w:gridCol w:w="1440"/>
      </w:tblGrid>
      <w:tr w14:paraId="60ED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14:paraId="0B0902F5">
            <w:pPr>
              <w:snapToGrid w:val="0"/>
              <w:jc w:val="center"/>
              <w:rPr>
                <w:rFonts w:ascii="宋体"/>
                <w:color w:val="auto"/>
                <w:szCs w:val="21"/>
                <w:highlight w:val="none"/>
              </w:rPr>
            </w:pPr>
            <w:r>
              <w:rPr>
                <w:rFonts w:hint="eastAsia" w:ascii="宋体"/>
                <w:color w:val="auto"/>
                <w:szCs w:val="21"/>
                <w:highlight w:val="none"/>
              </w:rPr>
              <w:t>序号</w:t>
            </w:r>
          </w:p>
        </w:tc>
        <w:tc>
          <w:tcPr>
            <w:tcW w:w="1304" w:type="dxa"/>
            <w:tcBorders>
              <w:top w:val="single" w:color="auto" w:sz="4" w:space="0"/>
              <w:left w:val="single" w:color="auto" w:sz="4" w:space="0"/>
              <w:bottom w:val="single" w:color="auto" w:sz="4" w:space="0"/>
              <w:right w:val="single" w:color="auto" w:sz="4" w:space="0"/>
            </w:tcBorders>
            <w:vAlign w:val="center"/>
          </w:tcPr>
          <w:p w14:paraId="3CFF27AB">
            <w:pPr>
              <w:snapToGrid w:val="0"/>
              <w:jc w:val="center"/>
              <w:rPr>
                <w:rFonts w:ascii="宋体"/>
                <w:color w:val="auto"/>
                <w:szCs w:val="21"/>
                <w:highlight w:val="none"/>
              </w:rPr>
            </w:pPr>
            <w:r>
              <w:rPr>
                <w:rFonts w:hint="eastAsia" w:ascii="宋体"/>
                <w:color w:val="auto"/>
                <w:szCs w:val="21"/>
                <w:highlight w:val="none"/>
              </w:rPr>
              <w:t>产品</w:t>
            </w:r>
          </w:p>
          <w:p w14:paraId="3D1928C4">
            <w:pPr>
              <w:snapToGrid w:val="0"/>
              <w:jc w:val="center"/>
              <w:rPr>
                <w:rFonts w:ascii="宋体"/>
                <w:color w:val="auto"/>
                <w:szCs w:val="21"/>
                <w:highlight w:val="none"/>
              </w:rPr>
            </w:pPr>
            <w:r>
              <w:rPr>
                <w:rFonts w:hint="eastAsia" w:ascii="宋体"/>
                <w:color w:val="auto"/>
                <w:szCs w:val="21"/>
                <w:highlight w:val="none"/>
              </w:rPr>
              <w:t>名称</w:t>
            </w:r>
          </w:p>
        </w:tc>
        <w:tc>
          <w:tcPr>
            <w:tcW w:w="1081" w:type="dxa"/>
            <w:tcBorders>
              <w:top w:val="single" w:color="auto" w:sz="4" w:space="0"/>
              <w:left w:val="single" w:color="auto" w:sz="4" w:space="0"/>
              <w:bottom w:val="single" w:color="auto" w:sz="4" w:space="0"/>
              <w:right w:val="single" w:color="auto" w:sz="4" w:space="0"/>
            </w:tcBorders>
            <w:vAlign w:val="center"/>
          </w:tcPr>
          <w:p w14:paraId="0C1F4E97">
            <w:pPr>
              <w:snapToGrid w:val="0"/>
              <w:jc w:val="center"/>
              <w:rPr>
                <w:rFonts w:ascii="宋体"/>
                <w:color w:val="auto"/>
                <w:szCs w:val="21"/>
                <w:highlight w:val="none"/>
              </w:rPr>
            </w:pPr>
            <w:r>
              <w:rPr>
                <w:rFonts w:hint="eastAsia" w:ascii="宋体"/>
                <w:color w:val="auto"/>
                <w:szCs w:val="21"/>
                <w:highlight w:val="none"/>
              </w:rPr>
              <w:t>商标</w:t>
            </w:r>
          </w:p>
          <w:p w14:paraId="606D7EE7">
            <w:pPr>
              <w:snapToGrid w:val="0"/>
              <w:jc w:val="center"/>
              <w:rPr>
                <w:rFonts w:ascii="宋体"/>
                <w:color w:val="auto"/>
                <w:szCs w:val="21"/>
                <w:highlight w:val="none"/>
              </w:rPr>
            </w:pPr>
            <w:r>
              <w:rPr>
                <w:rFonts w:hint="eastAsia" w:ascii="宋体"/>
                <w:color w:val="auto"/>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A94C985">
            <w:pPr>
              <w:snapToGrid w:val="0"/>
              <w:jc w:val="center"/>
              <w:rPr>
                <w:rFonts w:ascii="宋体"/>
                <w:color w:val="auto"/>
                <w:szCs w:val="21"/>
                <w:highlight w:val="none"/>
              </w:rPr>
            </w:pPr>
            <w:r>
              <w:rPr>
                <w:rFonts w:hint="eastAsia" w:ascii="宋体"/>
                <w:color w:val="auto"/>
                <w:szCs w:val="21"/>
                <w:highlight w:val="none"/>
              </w:rPr>
              <w:t>规格</w:t>
            </w:r>
          </w:p>
          <w:p w14:paraId="40BF01E4">
            <w:pPr>
              <w:snapToGrid w:val="0"/>
              <w:jc w:val="center"/>
              <w:rPr>
                <w:rFonts w:ascii="宋体"/>
                <w:color w:val="auto"/>
                <w:szCs w:val="21"/>
                <w:highlight w:val="none"/>
              </w:rPr>
            </w:pPr>
            <w:r>
              <w:rPr>
                <w:rFonts w:hint="eastAsia" w:ascii="宋体"/>
                <w:color w:val="auto"/>
                <w:szCs w:val="21"/>
                <w:highlight w:val="none"/>
              </w:rPr>
              <w:t>型号</w:t>
            </w:r>
          </w:p>
        </w:tc>
        <w:tc>
          <w:tcPr>
            <w:tcW w:w="1193" w:type="dxa"/>
            <w:tcBorders>
              <w:top w:val="single" w:color="auto" w:sz="4" w:space="0"/>
              <w:left w:val="single" w:color="auto" w:sz="4" w:space="0"/>
              <w:bottom w:val="single" w:color="auto" w:sz="4" w:space="0"/>
              <w:right w:val="single" w:color="auto" w:sz="4" w:space="0"/>
            </w:tcBorders>
            <w:vAlign w:val="center"/>
          </w:tcPr>
          <w:p w14:paraId="00EA619A">
            <w:pPr>
              <w:snapToGrid w:val="0"/>
              <w:jc w:val="center"/>
              <w:rPr>
                <w:rFonts w:ascii="宋体"/>
                <w:color w:val="auto"/>
                <w:szCs w:val="21"/>
                <w:highlight w:val="none"/>
              </w:rPr>
            </w:pPr>
            <w:r>
              <w:rPr>
                <w:rFonts w:hint="eastAsia" w:ascii="宋体"/>
                <w:color w:val="auto"/>
                <w:szCs w:val="21"/>
                <w:highlight w:val="none"/>
              </w:rPr>
              <w:t>生产</w:t>
            </w:r>
          </w:p>
          <w:p w14:paraId="435397AE">
            <w:pPr>
              <w:snapToGrid w:val="0"/>
              <w:jc w:val="center"/>
              <w:rPr>
                <w:rFonts w:ascii="宋体"/>
                <w:color w:val="auto"/>
                <w:szCs w:val="21"/>
                <w:highlight w:val="none"/>
              </w:rPr>
            </w:pPr>
            <w:r>
              <w:rPr>
                <w:rFonts w:hint="eastAsia" w:ascii="宋体"/>
                <w:color w:val="auto"/>
                <w:szCs w:val="21"/>
                <w:highlight w:val="none"/>
              </w:rPr>
              <w:t>厂家</w:t>
            </w:r>
          </w:p>
        </w:tc>
        <w:tc>
          <w:tcPr>
            <w:tcW w:w="672" w:type="dxa"/>
            <w:tcBorders>
              <w:top w:val="single" w:color="auto" w:sz="4" w:space="0"/>
              <w:left w:val="single" w:color="auto" w:sz="4" w:space="0"/>
              <w:bottom w:val="single" w:color="auto" w:sz="4" w:space="0"/>
              <w:right w:val="single" w:color="auto" w:sz="4" w:space="0"/>
            </w:tcBorders>
            <w:vAlign w:val="center"/>
          </w:tcPr>
          <w:p w14:paraId="47866812">
            <w:pPr>
              <w:snapToGrid w:val="0"/>
              <w:jc w:val="center"/>
              <w:rPr>
                <w:rFonts w:ascii="宋体"/>
                <w:color w:val="auto"/>
                <w:szCs w:val="21"/>
                <w:highlight w:val="none"/>
              </w:rPr>
            </w:pPr>
            <w:r>
              <w:rPr>
                <w:rFonts w:hint="eastAsia" w:ascii="宋体"/>
                <w:color w:val="auto"/>
                <w:szCs w:val="21"/>
                <w:highlight w:val="none"/>
              </w:rPr>
              <w:t>数  量</w:t>
            </w:r>
          </w:p>
        </w:tc>
        <w:tc>
          <w:tcPr>
            <w:tcW w:w="1080" w:type="dxa"/>
            <w:tcBorders>
              <w:top w:val="single" w:color="auto" w:sz="4" w:space="0"/>
              <w:left w:val="single" w:color="auto" w:sz="4" w:space="0"/>
              <w:bottom w:val="single" w:color="auto" w:sz="4" w:space="0"/>
              <w:right w:val="single" w:color="auto" w:sz="4" w:space="0"/>
            </w:tcBorders>
            <w:vAlign w:val="center"/>
          </w:tcPr>
          <w:p w14:paraId="3237F915">
            <w:pPr>
              <w:snapToGrid w:val="0"/>
              <w:jc w:val="center"/>
              <w:rPr>
                <w:rFonts w:ascii="宋体"/>
                <w:color w:val="auto"/>
                <w:szCs w:val="21"/>
                <w:highlight w:val="none"/>
              </w:rPr>
            </w:pPr>
            <w:r>
              <w:rPr>
                <w:rFonts w:hint="eastAsia" w:ascii="宋体"/>
                <w:color w:val="auto"/>
                <w:szCs w:val="21"/>
                <w:highlight w:val="none"/>
              </w:rPr>
              <w:t>单位</w:t>
            </w:r>
          </w:p>
        </w:tc>
        <w:tc>
          <w:tcPr>
            <w:tcW w:w="1080" w:type="dxa"/>
            <w:tcBorders>
              <w:top w:val="single" w:color="auto" w:sz="4" w:space="0"/>
              <w:left w:val="single" w:color="auto" w:sz="4" w:space="0"/>
              <w:bottom w:val="single" w:color="auto" w:sz="4" w:space="0"/>
              <w:right w:val="single" w:color="auto" w:sz="4" w:space="0"/>
            </w:tcBorders>
            <w:vAlign w:val="center"/>
          </w:tcPr>
          <w:p w14:paraId="5762D7EE">
            <w:pPr>
              <w:snapToGrid w:val="0"/>
              <w:jc w:val="center"/>
              <w:rPr>
                <w:rFonts w:ascii="宋体"/>
                <w:color w:val="auto"/>
                <w:szCs w:val="21"/>
                <w:highlight w:val="none"/>
              </w:rPr>
            </w:pPr>
            <w:r>
              <w:rPr>
                <w:rFonts w:hint="eastAsia" w:ascii="宋体"/>
                <w:color w:val="auto"/>
                <w:szCs w:val="21"/>
                <w:highlight w:val="none"/>
              </w:rPr>
              <w:t>单  价</w:t>
            </w:r>
          </w:p>
          <w:p w14:paraId="50C052B3">
            <w:pPr>
              <w:snapToGrid w:val="0"/>
              <w:jc w:val="center"/>
              <w:rPr>
                <w:rFonts w:ascii="宋体"/>
                <w:color w:val="auto"/>
                <w:szCs w:val="21"/>
                <w:highlight w:val="none"/>
              </w:rPr>
            </w:pPr>
            <w:r>
              <w:rPr>
                <w:rFonts w:hint="eastAsia" w:ascii="宋体"/>
                <w:color w:val="auto"/>
                <w:szCs w:val="21"/>
                <w:highlight w:val="none"/>
              </w:rPr>
              <w:t>（元）</w:t>
            </w:r>
          </w:p>
        </w:tc>
        <w:tc>
          <w:tcPr>
            <w:tcW w:w="1440" w:type="dxa"/>
            <w:tcBorders>
              <w:top w:val="single" w:color="auto" w:sz="4" w:space="0"/>
              <w:left w:val="single" w:color="auto" w:sz="4" w:space="0"/>
              <w:bottom w:val="single" w:color="auto" w:sz="4" w:space="0"/>
              <w:right w:val="single" w:color="auto" w:sz="4" w:space="0"/>
            </w:tcBorders>
            <w:vAlign w:val="center"/>
          </w:tcPr>
          <w:p w14:paraId="7142374F">
            <w:pPr>
              <w:snapToGrid w:val="0"/>
              <w:jc w:val="center"/>
              <w:rPr>
                <w:rFonts w:ascii="宋体"/>
                <w:color w:val="auto"/>
                <w:szCs w:val="21"/>
                <w:highlight w:val="none"/>
              </w:rPr>
            </w:pPr>
            <w:r>
              <w:rPr>
                <w:rFonts w:hint="eastAsia" w:ascii="宋体"/>
                <w:color w:val="auto"/>
                <w:szCs w:val="21"/>
                <w:highlight w:val="none"/>
              </w:rPr>
              <w:t>金  额</w:t>
            </w:r>
          </w:p>
          <w:p w14:paraId="5AA50078">
            <w:pPr>
              <w:snapToGrid w:val="0"/>
              <w:jc w:val="center"/>
              <w:rPr>
                <w:rFonts w:ascii="宋体"/>
                <w:color w:val="auto"/>
                <w:szCs w:val="21"/>
                <w:highlight w:val="none"/>
              </w:rPr>
            </w:pPr>
            <w:r>
              <w:rPr>
                <w:rFonts w:hint="eastAsia" w:ascii="宋体"/>
                <w:color w:val="auto"/>
                <w:szCs w:val="21"/>
                <w:highlight w:val="none"/>
              </w:rPr>
              <w:t>（元）</w:t>
            </w:r>
          </w:p>
        </w:tc>
      </w:tr>
      <w:tr w14:paraId="56A1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14:paraId="0D7905D3">
            <w:pPr>
              <w:snapToGrid w:val="0"/>
              <w:spacing w:line="360" w:lineRule="exact"/>
              <w:jc w:val="center"/>
              <w:rPr>
                <w:rFonts w:ascii="宋体"/>
                <w:color w:val="auto"/>
                <w:szCs w:val="21"/>
                <w:highlight w:val="none"/>
              </w:rPr>
            </w:pPr>
          </w:p>
        </w:tc>
        <w:tc>
          <w:tcPr>
            <w:tcW w:w="9044" w:type="dxa"/>
            <w:gridSpan w:val="8"/>
            <w:tcBorders>
              <w:top w:val="single" w:color="auto" w:sz="4" w:space="0"/>
              <w:left w:val="single" w:color="auto" w:sz="4" w:space="0"/>
              <w:bottom w:val="single" w:color="auto" w:sz="4" w:space="0"/>
              <w:right w:val="single" w:color="auto" w:sz="4" w:space="0"/>
            </w:tcBorders>
            <w:vAlign w:val="center"/>
          </w:tcPr>
          <w:p w14:paraId="5E544F94">
            <w:pPr>
              <w:snapToGrid w:val="0"/>
              <w:spacing w:line="360" w:lineRule="exact"/>
              <w:jc w:val="center"/>
              <w:rPr>
                <w:rFonts w:ascii="宋体"/>
                <w:color w:val="auto"/>
                <w:szCs w:val="21"/>
                <w:highlight w:val="none"/>
              </w:rPr>
            </w:pPr>
            <w:r>
              <w:rPr>
                <w:rFonts w:hint="eastAsia" w:ascii="宋体"/>
                <w:color w:val="auto"/>
                <w:szCs w:val="21"/>
                <w:highlight w:val="none"/>
              </w:rPr>
              <w:t>详见投标报价明细表</w:t>
            </w:r>
          </w:p>
        </w:tc>
      </w:tr>
      <w:tr w14:paraId="1806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540" w:type="dxa"/>
            <w:gridSpan w:val="9"/>
            <w:tcBorders>
              <w:top w:val="single" w:color="auto" w:sz="4" w:space="0"/>
              <w:left w:val="single" w:color="auto" w:sz="4" w:space="0"/>
              <w:bottom w:val="single" w:color="auto" w:sz="4" w:space="0"/>
              <w:right w:val="single" w:color="auto" w:sz="4" w:space="0"/>
            </w:tcBorders>
            <w:vAlign w:val="center"/>
          </w:tcPr>
          <w:p w14:paraId="119A5A05">
            <w:pPr>
              <w:snapToGrid w:val="0"/>
              <w:spacing w:line="360" w:lineRule="exact"/>
              <w:rPr>
                <w:rFonts w:ascii="宋体"/>
                <w:color w:val="auto"/>
                <w:szCs w:val="21"/>
                <w:highlight w:val="none"/>
              </w:rPr>
            </w:pPr>
            <w:r>
              <w:rPr>
                <w:rFonts w:hint="eastAsia" w:ascii="宋体"/>
                <w:color w:val="auto"/>
                <w:szCs w:val="21"/>
                <w:highlight w:val="none"/>
              </w:rPr>
              <w:t xml:space="preserve">人民币合计金额（大写）                          （小写）                 </w:t>
            </w:r>
          </w:p>
        </w:tc>
      </w:tr>
    </w:tbl>
    <w:p w14:paraId="4C0F5852">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合同合计金额包括货物价款，标准附件、备品配件、专用工具、包装、运输、装卸、保险、税金、货物到就位以及安装、调试、检验、技术培训及技术资料、软件费、保修等全部费用。如招投标文件对其另有规定的，从其规定。</w:t>
      </w:r>
    </w:p>
    <w:p w14:paraId="0A306E67">
      <w:pPr>
        <w:snapToGrid w:val="0"/>
        <w:spacing w:line="390" w:lineRule="exact"/>
        <w:ind w:firstLine="422" w:firstLineChars="200"/>
        <w:rPr>
          <w:rFonts w:ascii="宋体"/>
          <w:color w:val="auto"/>
          <w:szCs w:val="21"/>
          <w:highlight w:val="none"/>
        </w:rPr>
      </w:pPr>
      <w:r>
        <w:rPr>
          <w:rFonts w:hint="eastAsia" w:ascii="宋体"/>
          <w:b/>
          <w:color w:val="auto"/>
          <w:szCs w:val="21"/>
          <w:highlight w:val="none"/>
        </w:rPr>
        <w:t>第二条　质量保证</w:t>
      </w:r>
    </w:p>
    <w:p w14:paraId="035C1F41">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1.乙方所提供的货物型号、技术规格、技术参数等质量必须与招投标文件和承诺相一致。乙方提供的节能和环保产品必须是列入政府采购清单的产品。</w:t>
      </w:r>
    </w:p>
    <w:p w14:paraId="6CD26EEA">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2.乙方所提供的货物必须是全新、未使用的原装产品，且在正常安装、使用和保养条件下，其使用寿命期内各项指标均达到质量要求。</w:t>
      </w:r>
    </w:p>
    <w:p w14:paraId="710EEE2F">
      <w:pPr>
        <w:snapToGrid w:val="0"/>
        <w:spacing w:line="390" w:lineRule="exact"/>
        <w:ind w:firstLine="422" w:firstLineChars="200"/>
        <w:rPr>
          <w:rFonts w:ascii="宋体"/>
          <w:color w:val="auto"/>
          <w:szCs w:val="21"/>
          <w:highlight w:val="none"/>
        </w:rPr>
      </w:pPr>
      <w:r>
        <w:rPr>
          <w:rFonts w:hint="eastAsia" w:ascii="宋体"/>
          <w:b/>
          <w:color w:val="auto"/>
          <w:szCs w:val="21"/>
          <w:highlight w:val="none"/>
        </w:rPr>
        <w:t>第三条　权利保证</w:t>
      </w:r>
    </w:p>
    <w:p w14:paraId="09426D9D">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乙方应保证所提供货物在使用时不会侵犯任何第三方的专利权、商标权、工业设计权或其他权利。</w:t>
      </w:r>
    </w:p>
    <w:p w14:paraId="1B3AC80B">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乙方应按招标文件规定的时间向甲方提供使用货物的有关技术资料。</w:t>
      </w:r>
    </w:p>
    <w:p w14:paraId="7CEA3DD5">
      <w:pPr>
        <w:snapToGrid w:val="0"/>
        <w:spacing w:line="390" w:lineRule="exact"/>
        <w:ind w:firstLine="420" w:firstLineChars="200"/>
        <w:rPr>
          <w:rFonts w:ascii="宋体"/>
          <w:color w:val="auto"/>
          <w:szCs w:val="21"/>
          <w:highlight w:val="none"/>
        </w:rPr>
      </w:pPr>
      <w:r>
        <w:rPr>
          <w:rFonts w:hint="eastAsia" w:ascii="宋体"/>
          <w:color w:val="auto"/>
          <w:szCs w:val="21"/>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041D8A">
      <w:pPr>
        <w:snapToGrid w:val="0"/>
        <w:spacing w:line="390" w:lineRule="exact"/>
        <w:ind w:firstLine="420" w:firstLineChars="200"/>
        <w:rPr>
          <w:rFonts w:ascii="宋体"/>
          <w:color w:val="auto"/>
          <w:szCs w:val="21"/>
          <w:highlight w:val="none"/>
        </w:rPr>
      </w:pPr>
      <w:r>
        <w:rPr>
          <w:rFonts w:hint="eastAsia" w:ascii="宋体"/>
          <w:color w:val="auto"/>
          <w:szCs w:val="21"/>
          <w:highlight w:val="none"/>
        </w:rPr>
        <w:t>乙方保证所交付的货物的所有权完全属于乙方且无任何抵押、质押、查封等产权瑕疵。</w:t>
      </w:r>
    </w:p>
    <w:p w14:paraId="16C880B7">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第四条　包装和运输</w:t>
      </w:r>
    </w:p>
    <w:p w14:paraId="4C45C021">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1.乙方提供的货物均应按招投标文件要求的包装材料、包装标准、包装方式进行包装，每一包装单元内应附详细的装箱单和质量合格证。</w:t>
      </w:r>
    </w:p>
    <w:p w14:paraId="5525B162">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2.货物的运输方式：</w:t>
      </w:r>
      <w:r>
        <w:rPr>
          <w:rFonts w:hint="eastAsia" w:ascii="宋体"/>
          <w:color w:val="auto"/>
          <w:szCs w:val="21"/>
          <w:highlight w:val="none"/>
          <w:u w:val="single"/>
        </w:rPr>
        <w:t xml:space="preserve">             。</w:t>
      </w:r>
    </w:p>
    <w:p w14:paraId="24463FC6">
      <w:pPr>
        <w:snapToGrid w:val="0"/>
        <w:spacing w:line="390" w:lineRule="exact"/>
        <w:ind w:firstLine="422" w:firstLineChars="200"/>
        <w:rPr>
          <w:rFonts w:ascii="宋体"/>
          <w:color w:val="auto"/>
          <w:szCs w:val="21"/>
          <w:highlight w:val="none"/>
        </w:rPr>
      </w:pPr>
      <w:r>
        <w:rPr>
          <w:rFonts w:hint="eastAsia" w:ascii="宋体"/>
          <w:b/>
          <w:color w:val="auto"/>
          <w:szCs w:val="21"/>
          <w:highlight w:val="none"/>
        </w:rPr>
        <w:t>第五条　交付和验收</w:t>
      </w:r>
    </w:p>
    <w:p w14:paraId="683A3B42">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1.交付使用时间、地点。</w:t>
      </w:r>
    </w:p>
    <w:p w14:paraId="6733F47F">
      <w:pPr>
        <w:spacing w:line="390" w:lineRule="exact"/>
        <w:ind w:firstLine="525" w:firstLineChars="249"/>
        <w:rPr>
          <w:rFonts w:ascii="宋体"/>
          <w:b/>
          <w:color w:val="auto"/>
          <w:szCs w:val="21"/>
          <w:highlight w:val="none"/>
        </w:rPr>
      </w:pPr>
      <w:r>
        <w:rPr>
          <w:rFonts w:hint="eastAsia" w:ascii="宋体"/>
          <w:b/>
          <w:color w:val="auto"/>
          <w:szCs w:val="21"/>
          <w:highlight w:val="none"/>
        </w:rPr>
        <w:t>交付使用时间：按乙方投标文件中所承诺的时间；交付使用地点：采购人指定地点。</w:t>
      </w:r>
    </w:p>
    <w:p w14:paraId="2DCF230A">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2.乙方提供不符合招投标文件和本合同规定的货物，甲方有权拒绝接受。</w:t>
      </w:r>
    </w:p>
    <w:p w14:paraId="5D32D8F4">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3.乙方应将所提供货物的装箱清单、用户手册、原厂保修卡、随机资料、工具和备品、备件等交付给甲方，如有缺失应及时补齐，否则视为逾期交货。</w:t>
      </w:r>
    </w:p>
    <w:p w14:paraId="3901CBAA">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第六条　安装和培训</w:t>
      </w:r>
    </w:p>
    <w:p w14:paraId="0649A215">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1.甲方应提供必要安装条件（如场地、电源、水源等）。</w:t>
      </w:r>
    </w:p>
    <w:p w14:paraId="24D7E2AE">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2.乙方负责甲方有关人员的培训。培训时间、地点：</w:t>
      </w:r>
      <w:r>
        <w:rPr>
          <w:rFonts w:hint="eastAsia"/>
          <w:b/>
          <w:color w:val="auto"/>
          <w:szCs w:val="21"/>
          <w:highlight w:val="none"/>
          <w:u w:val="single"/>
        </w:rPr>
        <w:t>按交付使用时间、地点培训</w:t>
      </w:r>
      <w:r>
        <w:rPr>
          <w:rFonts w:hint="eastAsia" w:ascii="宋体"/>
          <w:color w:val="auto"/>
          <w:szCs w:val="21"/>
          <w:highlight w:val="none"/>
        </w:rPr>
        <w:t>。</w:t>
      </w:r>
    </w:p>
    <w:p w14:paraId="6408E6B1">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第七条  售后服务、保修期</w:t>
      </w:r>
    </w:p>
    <w:p w14:paraId="3D0FD9C3">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1.乙方应按照国家有关法律法规和“三包”规定以及招投标文件和本合同所附的《服务承诺》，为甲方提供售后服务。</w:t>
      </w:r>
    </w:p>
    <w:p w14:paraId="0E6AD8F3">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2.货物保修期：</w:t>
      </w:r>
      <w:r>
        <w:rPr>
          <w:rFonts w:hint="eastAsia"/>
          <w:b/>
          <w:color w:val="auto"/>
          <w:szCs w:val="21"/>
          <w:highlight w:val="none"/>
          <w:u w:val="single"/>
        </w:rPr>
        <w:t>分项有要求的按分项要求，分项无要求的按国家标准实行</w:t>
      </w:r>
      <w:r>
        <w:rPr>
          <w:b/>
          <w:color w:val="auto"/>
          <w:szCs w:val="21"/>
          <w:highlight w:val="none"/>
          <w:u w:val="single"/>
        </w:rPr>
        <w:t>“</w:t>
      </w:r>
      <w:r>
        <w:rPr>
          <w:rFonts w:hint="eastAsia"/>
          <w:b/>
          <w:color w:val="auto"/>
          <w:szCs w:val="21"/>
          <w:highlight w:val="none"/>
          <w:u w:val="single"/>
        </w:rPr>
        <w:t>三包</w:t>
      </w:r>
      <w:r>
        <w:rPr>
          <w:b/>
          <w:color w:val="auto"/>
          <w:szCs w:val="21"/>
          <w:highlight w:val="none"/>
          <w:u w:val="single"/>
        </w:rPr>
        <w:t>”</w:t>
      </w:r>
      <w:r>
        <w:rPr>
          <w:rFonts w:hint="eastAsia" w:ascii="宋体"/>
          <w:color w:val="auto"/>
          <w:szCs w:val="21"/>
          <w:highlight w:val="none"/>
        </w:rPr>
        <w:t>。</w:t>
      </w:r>
    </w:p>
    <w:p w14:paraId="32B4E90E">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3.乙方提供的服务承诺和售后服务及保修期责任等其它具体约定事项。（见合同附件）</w:t>
      </w:r>
    </w:p>
    <w:p w14:paraId="36A80256">
      <w:pPr>
        <w:snapToGrid w:val="0"/>
        <w:spacing w:line="390" w:lineRule="exact"/>
        <w:ind w:firstLine="422" w:firstLineChars="200"/>
        <w:rPr>
          <w:rFonts w:ascii="宋体"/>
          <w:color w:val="auto"/>
          <w:szCs w:val="21"/>
          <w:highlight w:val="none"/>
        </w:rPr>
      </w:pPr>
      <w:r>
        <w:rPr>
          <w:rFonts w:hint="eastAsia" w:ascii="宋体"/>
          <w:b/>
          <w:color w:val="auto"/>
          <w:szCs w:val="21"/>
          <w:highlight w:val="none"/>
        </w:rPr>
        <w:t>第八条　付款方式和保证金</w:t>
      </w:r>
    </w:p>
    <w:p w14:paraId="1553022D">
      <w:pPr>
        <w:pStyle w:val="28"/>
        <w:snapToGrid w:val="0"/>
        <w:spacing w:line="390" w:lineRule="exact"/>
        <w:rPr>
          <w:color w:val="auto"/>
          <w:highlight w:val="none"/>
        </w:rPr>
      </w:pPr>
      <w:r>
        <w:rPr>
          <w:rFonts w:hint="eastAsia"/>
          <w:bCs/>
          <w:color w:val="auto"/>
          <w:highlight w:val="none"/>
        </w:rPr>
        <w:t xml:space="preserve">    1.</w:t>
      </w:r>
      <w:r>
        <w:rPr>
          <w:rFonts w:hint="eastAsia"/>
          <w:color w:val="auto"/>
          <w:highlight w:val="none"/>
        </w:rPr>
        <w:t>当采购数量与实际使用数量不一致时，乙方应根据实际使用量供货，合同的最终结算金额按实际使用量乘以成交单价进行计算。</w:t>
      </w:r>
    </w:p>
    <w:p w14:paraId="273FBF7E">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2.资金性质：</w:t>
      </w:r>
      <w:r>
        <w:rPr>
          <w:rFonts w:hint="eastAsia" w:ascii="宋体"/>
          <w:b/>
          <w:color w:val="auto"/>
          <w:szCs w:val="21"/>
          <w:highlight w:val="none"/>
          <w:u w:val="single"/>
        </w:rPr>
        <w:t>财政性资金</w:t>
      </w:r>
      <w:r>
        <w:rPr>
          <w:rFonts w:hint="eastAsia" w:ascii="宋体"/>
          <w:b/>
          <w:color w:val="auto"/>
          <w:szCs w:val="21"/>
          <w:highlight w:val="none"/>
        </w:rPr>
        <w:t>。</w:t>
      </w:r>
    </w:p>
    <w:p w14:paraId="15C4C176">
      <w:pPr>
        <w:snapToGrid w:val="0"/>
        <w:spacing w:line="390" w:lineRule="exact"/>
        <w:rPr>
          <w:rFonts w:ascii="宋体" w:hAnsi="宋体" w:cs="宋体"/>
          <w:color w:val="auto"/>
          <w:szCs w:val="21"/>
          <w:highlight w:val="none"/>
        </w:rPr>
      </w:pPr>
      <w:r>
        <w:rPr>
          <w:rFonts w:hint="eastAsia" w:ascii="宋体"/>
          <w:color w:val="auto"/>
          <w:highlight w:val="none"/>
        </w:rPr>
        <w:t xml:space="preserve">    3.付款方式：</w:t>
      </w:r>
      <w:r>
        <w:rPr>
          <w:rFonts w:hint="eastAsia" w:ascii="宋体" w:cs="宋体"/>
          <w:color w:val="auto"/>
          <w:highlight w:val="none"/>
        </w:rPr>
        <w:t>（1）合同签订之日起15天内，支付合同总价款的30%为预付款；（2）货物生产完发运出厂前六十天，支付合同总价款的40%；（3）进场安装前15天，支付合同总价款的20%为安装款；（4）电梯全部安装、调试验收合格后15天内，支付合同总价款的10%。每次付款前，甲方需收到乙方合法有效发票以及书面请款函后15天内，完成支付。</w:t>
      </w:r>
    </w:p>
    <w:p w14:paraId="0B9B8165">
      <w:pPr>
        <w:snapToGrid w:val="0"/>
        <w:spacing w:line="390" w:lineRule="exact"/>
        <w:ind w:firstLine="517" w:firstLineChars="245"/>
        <w:rPr>
          <w:rFonts w:ascii="宋体"/>
          <w:b/>
          <w:color w:val="auto"/>
          <w:szCs w:val="21"/>
          <w:highlight w:val="none"/>
        </w:rPr>
      </w:pPr>
      <w:r>
        <w:rPr>
          <w:rFonts w:hint="eastAsia" w:ascii="宋体"/>
          <w:b/>
          <w:color w:val="auto"/>
          <w:szCs w:val="21"/>
          <w:highlight w:val="none"/>
        </w:rPr>
        <w:t>第九条　履约保证金</w:t>
      </w:r>
    </w:p>
    <w:p w14:paraId="1DB83F56">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1.履约保证金金额：按本项目中标总金额的5%（如中标供应商为中小企业的，按本项目中标总金额2%）收取；中标供应商在签订合同前交至制定账户。</w:t>
      </w:r>
    </w:p>
    <w:p w14:paraId="0625F28B">
      <w:pPr>
        <w:pStyle w:val="70"/>
        <w:ind w:firstLine="210"/>
        <w:rPr>
          <w:color w:val="auto"/>
          <w:highlight w:val="none"/>
        </w:rPr>
      </w:pPr>
      <w:r>
        <w:rPr>
          <w:rFonts w:hint="eastAsia"/>
          <w:color w:val="auto"/>
          <w:highlight w:val="none"/>
        </w:rPr>
        <w:t xml:space="preserve">  2.履约保证金退付方式、时间及条件：乙方若不能完全履行合同，履约保证金不返还；乙方若完全履行合同，货物验收合格后，乙方向甲方递交退保申请函及凭履约保证金财务凭证，甲方按规定办理无息退还手续</w:t>
      </w:r>
      <w:r>
        <w:rPr>
          <w:rFonts w:hint="eastAsia" w:ascii="宋体" w:hAnsi="宋体" w:cs="宋体"/>
          <w:color w:val="auto"/>
          <w:szCs w:val="21"/>
          <w:highlight w:val="none"/>
        </w:rPr>
        <w:t>。</w:t>
      </w:r>
    </w:p>
    <w:p w14:paraId="63CE9C0A">
      <w:pPr>
        <w:snapToGrid w:val="0"/>
        <w:spacing w:line="390" w:lineRule="exact"/>
        <w:ind w:firstLine="422" w:firstLineChars="200"/>
        <w:rPr>
          <w:rFonts w:ascii="宋体" w:hAnsi="Courier New" w:cs="Courier New"/>
          <w:color w:val="auto"/>
          <w:szCs w:val="21"/>
          <w:highlight w:val="none"/>
        </w:rPr>
      </w:pPr>
      <w:r>
        <w:rPr>
          <w:rFonts w:hint="eastAsia" w:ascii="宋体" w:hAnsi="Courier New" w:cs="Courier New"/>
          <w:b/>
          <w:color w:val="auto"/>
          <w:szCs w:val="21"/>
          <w:highlight w:val="none"/>
        </w:rPr>
        <w:t>第十条 税费</w:t>
      </w:r>
    </w:p>
    <w:p w14:paraId="0CC802AD">
      <w:pPr>
        <w:snapToGrid w:val="0"/>
        <w:spacing w:line="390" w:lineRule="exact"/>
        <w:ind w:firstLine="420" w:firstLineChars="200"/>
        <w:rPr>
          <w:rFonts w:ascii="宋体" w:hAnsi="Courier New" w:cs="Courier New"/>
          <w:color w:val="auto"/>
          <w:szCs w:val="21"/>
          <w:highlight w:val="none"/>
        </w:rPr>
      </w:pPr>
      <w:r>
        <w:rPr>
          <w:rFonts w:hint="eastAsia" w:ascii="宋体" w:hAnsi="Courier New" w:cs="Courier New"/>
          <w:color w:val="auto"/>
          <w:szCs w:val="21"/>
          <w:highlight w:val="none"/>
        </w:rPr>
        <w:t>本合同执行中相关的一切税费均由乙方负担。</w:t>
      </w:r>
    </w:p>
    <w:p w14:paraId="489319D6">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第十一条  质量保证及售后服务</w:t>
      </w:r>
    </w:p>
    <w:p w14:paraId="3649807F">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 乙方应按招标文件规定的货物性能、技术要求、质量标准向甲方提供未经使用的全新产品。</w:t>
      </w:r>
      <w:r>
        <w:rPr>
          <w:rFonts w:hint="eastAsia" w:ascii="宋体"/>
          <w:color w:val="auto"/>
          <w:highlight w:val="none"/>
        </w:rPr>
        <w:t>乙方提供货物的质量保证期按交货验收合格之日起计（期限见《招标项目采购需求》中各分标的要求）。在保证期内因货物本身的质量问题发生故障，乙方应负责免费修理和更换零部件。对达不到技术要求者，根据实际情况，甲方有权按以下办法处理</w:t>
      </w:r>
      <w:r>
        <w:rPr>
          <w:rFonts w:hint="eastAsia" w:ascii="宋体"/>
          <w:color w:val="auto"/>
          <w:szCs w:val="21"/>
          <w:highlight w:val="none"/>
        </w:rPr>
        <w:t>：</w:t>
      </w:r>
    </w:p>
    <w:p w14:paraId="760FB5E9">
      <w:pPr>
        <w:pStyle w:val="28"/>
        <w:snapToGrid w:val="0"/>
        <w:spacing w:line="390" w:lineRule="exact"/>
        <w:ind w:firstLine="315" w:firstLineChars="150"/>
        <w:rPr>
          <w:color w:val="auto"/>
          <w:highlight w:val="none"/>
        </w:rPr>
      </w:pPr>
      <w:r>
        <w:rPr>
          <w:rFonts w:hint="eastAsia"/>
          <w:color w:val="auto"/>
          <w:highlight w:val="none"/>
        </w:rPr>
        <w:t xml:space="preserve"> ⑴更换：由乙方承担所发生的全部费用。</w:t>
      </w:r>
    </w:p>
    <w:p w14:paraId="1B6DDEA4">
      <w:pPr>
        <w:pStyle w:val="28"/>
        <w:snapToGrid w:val="0"/>
        <w:spacing w:line="390" w:lineRule="exact"/>
        <w:ind w:firstLine="420"/>
        <w:rPr>
          <w:color w:val="auto"/>
          <w:highlight w:val="none"/>
        </w:rPr>
      </w:pPr>
      <w:r>
        <w:rPr>
          <w:rFonts w:hint="eastAsia"/>
          <w:color w:val="auto"/>
          <w:highlight w:val="none"/>
        </w:rPr>
        <w:t>⑵贬值处理：由甲乙双方合议定价。</w:t>
      </w:r>
    </w:p>
    <w:p w14:paraId="4248FA02">
      <w:pPr>
        <w:pStyle w:val="28"/>
        <w:snapToGrid w:val="0"/>
        <w:spacing w:line="390" w:lineRule="exact"/>
        <w:rPr>
          <w:color w:val="auto"/>
          <w:highlight w:val="none"/>
        </w:rPr>
      </w:pPr>
      <w:r>
        <w:rPr>
          <w:rFonts w:hint="eastAsia"/>
          <w:color w:val="auto"/>
          <w:highlight w:val="none"/>
        </w:rPr>
        <w:t>⑶退货处理：乙方应退还甲方支付的合同款，同时应承担该货物的直接费用（运输、保险、检验、货款利息及银行手续费等）。</w:t>
      </w:r>
    </w:p>
    <w:p w14:paraId="38966077">
      <w:pPr>
        <w:pStyle w:val="28"/>
        <w:snapToGrid w:val="0"/>
        <w:spacing w:line="390" w:lineRule="exact"/>
        <w:ind w:firstLine="420" w:firstLineChars="200"/>
        <w:rPr>
          <w:color w:val="auto"/>
          <w:highlight w:val="none"/>
        </w:rPr>
      </w:pPr>
      <w:r>
        <w:rPr>
          <w:rFonts w:hint="eastAsia"/>
          <w:color w:val="auto"/>
          <w:highlight w:val="none"/>
        </w:rPr>
        <w:t>2. 如在使用过程中发生质量问题，乙方在接到甲方通知后在</w:t>
      </w:r>
      <w:r>
        <w:rPr>
          <w:rFonts w:hint="eastAsia"/>
          <w:color w:val="auto"/>
          <w:highlight w:val="none"/>
          <w:u w:val="single"/>
        </w:rPr>
        <w:t xml:space="preserve">        </w:t>
      </w:r>
      <w:r>
        <w:rPr>
          <w:rFonts w:hint="eastAsia"/>
          <w:color w:val="auto"/>
          <w:highlight w:val="none"/>
        </w:rPr>
        <w:t>小时内到达甲方现场。</w:t>
      </w:r>
    </w:p>
    <w:p w14:paraId="65574ADE">
      <w:pPr>
        <w:pStyle w:val="28"/>
        <w:snapToGrid w:val="0"/>
        <w:spacing w:line="390" w:lineRule="exact"/>
        <w:ind w:firstLine="420" w:firstLineChars="200"/>
        <w:rPr>
          <w:color w:val="auto"/>
          <w:highlight w:val="none"/>
        </w:rPr>
      </w:pPr>
      <w:r>
        <w:rPr>
          <w:rFonts w:hint="eastAsia"/>
          <w:color w:val="auto"/>
          <w:highlight w:val="none"/>
        </w:rPr>
        <w:t>3. 在质保期内，乙方应对货物出现的质量及安全问题负责处理解决并承担一切费用。</w:t>
      </w:r>
    </w:p>
    <w:p w14:paraId="1D2ACA33">
      <w:pPr>
        <w:pStyle w:val="28"/>
        <w:snapToGrid w:val="0"/>
        <w:spacing w:line="390" w:lineRule="exact"/>
        <w:ind w:firstLine="420" w:firstLineChars="200"/>
        <w:rPr>
          <w:color w:val="auto"/>
          <w:highlight w:val="none"/>
        </w:rPr>
      </w:pPr>
      <w:r>
        <w:rPr>
          <w:rFonts w:hint="eastAsia"/>
          <w:color w:val="auto"/>
          <w:highlight w:val="none"/>
        </w:rPr>
        <w:t>4.上述的货物免费保修期为</w:t>
      </w:r>
      <w:r>
        <w:rPr>
          <w:rFonts w:hint="eastAsia"/>
          <w:color w:val="auto"/>
          <w:highlight w:val="none"/>
          <w:u w:val="single"/>
        </w:rPr>
        <w:t xml:space="preserve">         </w:t>
      </w:r>
      <w:r>
        <w:rPr>
          <w:rFonts w:hint="eastAsia"/>
          <w:color w:val="auto"/>
          <w:highlight w:val="none"/>
        </w:rPr>
        <w:t>年，因人为因素出现的故障不在免费保修范围内。超过保修期的机器设备，终生维修，维修时只收部件成本费。</w:t>
      </w:r>
    </w:p>
    <w:p w14:paraId="54EC64BF">
      <w:pPr>
        <w:pStyle w:val="28"/>
        <w:snapToGrid w:val="0"/>
        <w:spacing w:line="390" w:lineRule="exact"/>
        <w:ind w:firstLine="413" w:firstLineChars="196"/>
        <w:rPr>
          <w:b/>
          <w:color w:val="auto"/>
          <w:highlight w:val="none"/>
        </w:rPr>
      </w:pPr>
      <w:r>
        <w:rPr>
          <w:rFonts w:hint="eastAsia"/>
          <w:b/>
          <w:color w:val="auto"/>
          <w:highlight w:val="none"/>
        </w:rPr>
        <w:t>第十二条  调试和验收</w:t>
      </w:r>
    </w:p>
    <w:p w14:paraId="6C3FA03D">
      <w:pPr>
        <w:pStyle w:val="28"/>
        <w:snapToGrid w:val="0"/>
        <w:spacing w:line="390" w:lineRule="exact"/>
        <w:ind w:firstLine="420" w:firstLineChars="200"/>
        <w:rPr>
          <w:color w:val="auto"/>
          <w:highlight w:val="none"/>
        </w:rPr>
      </w:pPr>
      <w:r>
        <w:rPr>
          <w:rFonts w:hint="eastAsia"/>
          <w:color w:val="auto"/>
          <w:highlight w:val="none"/>
        </w:rPr>
        <w:t>1. 甲方对乙方提交的货物依据招标文件上的技术规格要求和国家有关质量标准进行现场初步验收，外观、说明书符合招标文件技术要求的，给予签收，初步验收不合格的不予签收。货到后，</w:t>
      </w:r>
      <w:r>
        <w:rPr>
          <w:rFonts w:hint="eastAsia"/>
          <w:bCs/>
          <w:color w:val="auto"/>
          <w:highlight w:val="none"/>
        </w:rPr>
        <w:t>甲方应当在到货（安装、调试完）后十个工作日内进行初步验收</w:t>
      </w:r>
      <w:r>
        <w:rPr>
          <w:rFonts w:hint="eastAsia"/>
          <w:color w:val="auto"/>
          <w:highlight w:val="none"/>
        </w:rPr>
        <w:t>。</w:t>
      </w:r>
    </w:p>
    <w:p w14:paraId="1FA09C59">
      <w:pPr>
        <w:pStyle w:val="28"/>
        <w:snapToGrid w:val="0"/>
        <w:spacing w:line="390" w:lineRule="exact"/>
        <w:ind w:firstLine="420" w:firstLineChars="200"/>
        <w:rPr>
          <w:color w:val="auto"/>
          <w:highlight w:val="none"/>
        </w:rPr>
      </w:pPr>
      <w:r>
        <w:rPr>
          <w:rFonts w:hint="eastAsia"/>
          <w:color w:val="auto"/>
          <w:highlight w:val="none"/>
        </w:rPr>
        <w:t>2. 乙方交货前应对产品作出全面检查和对验收文件进行整理，并列出清单，作为甲方收货验收和使用的技术条件依据，检验的结果应随货物交甲方。</w:t>
      </w:r>
    </w:p>
    <w:p w14:paraId="0C3787FE">
      <w:pPr>
        <w:pStyle w:val="28"/>
        <w:snapToGrid w:val="0"/>
        <w:spacing w:line="390" w:lineRule="exact"/>
        <w:ind w:firstLine="420" w:firstLineChars="200"/>
        <w:rPr>
          <w:color w:val="auto"/>
          <w:highlight w:val="none"/>
        </w:rPr>
      </w:pPr>
      <w:r>
        <w:rPr>
          <w:rFonts w:hint="eastAsia"/>
          <w:color w:val="auto"/>
          <w:highlight w:val="none"/>
        </w:rPr>
        <w:t>3. 甲方对乙方提供的货物在使用前进行调试时，乙方需负责安装并培训甲方的使用操作人员，并协助甲方一起调试，直到符合技术要求，甲方才做最终验收。</w:t>
      </w:r>
    </w:p>
    <w:p w14:paraId="080E65E8">
      <w:pPr>
        <w:pStyle w:val="28"/>
        <w:snapToGrid w:val="0"/>
        <w:spacing w:line="390" w:lineRule="exact"/>
        <w:ind w:firstLine="420" w:firstLineChars="200"/>
        <w:rPr>
          <w:color w:val="auto"/>
          <w:highlight w:val="none"/>
        </w:rPr>
      </w:pPr>
      <w:r>
        <w:rPr>
          <w:rFonts w:hint="eastAsia" w:hAnsi="宋体"/>
          <w:color w:val="auto"/>
          <w:highlight w:val="none"/>
        </w:rPr>
        <w:t>4. 对技术复杂的货物，甲方应请国家认可的专业检测机构参与初步验收及最终验收，并由其出具质量检测报告，检测相关费用由</w:t>
      </w:r>
      <w:r>
        <w:rPr>
          <w:rFonts w:hint="eastAsia" w:hAnsi="宋体"/>
          <w:color w:val="auto"/>
          <w:highlight w:val="none"/>
          <w:u w:val="single"/>
        </w:rPr>
        <w:t xml:space="preserve">    乙  </w:t>
      </w:r>
      <w:r>
        <w:rPr>
          <w:rFonts w:hint="eastAsia" w:hAnsi="宋体"/>
          <w:color w:val="auto"/>
          <w:highlight w:val="none"/>
        </w:rPr>
        <w:t>方承担。</w:t>
      </w:r>
    </w:p>
    <w:p w14:paraId="309AFEC2">
      <w:pPr>
        <w:pStyle w:val="28"/>
        <w:snapToGrid w:val="0"/>
        <w:spacing w:line="390" w:lineRule="exact"/>
        <w:ind w:firstLine="420" w:firstLineChars="200"/>
        <w:rPr>
          <w:color w:val="auto"/>
          <w:highlight w:val="none"/>
        </w:rPr>
      </w:pPr>
      <w:r>
        <w:rPr>
          <w:rFonts w:hint="eastAsia"/>
          <w:color w:val="auto"/>
          <w:highlight w:val="none"/>
        </w:rPr>
        <w:t>5. 对技术复杂的货物，甲方应请国家认可的专业检测机构参与初步验收及最终验收，并由其出具质量检测报告。</w:t>
      </w:r>
    </w:p>
    <w:p w14:paraId="714C0945">
      <w:pPr>
        <w:pStyle w:val="28"/>
        <w:snapToGrid w:val="0"/>
        <w:spacing w:line="390" w:lineRule="exact"/>
        <w:ind w:firstLine="420" w:firstLineChars="200"/>
        <w:rPr>
          <w:color w:val="auto"/>
          <w:highlight w:val="none"/>
        </w:rPr>
      </w:pPr>
      <w:r>
        <w:rPr>
          <w:rFonts w:hint="eastAsia"/>
          <w:color w:val="auto"/>
          <w:highlight w:val="none"/>
        </w:rPr>
        <w:t>6. 验收时乙方必须在现场，验收完毕后作出验收结果报告；验收费用由乙方负责。</w:t>
      </w:r>
    </w:p>
    <w:p w14:paraId="371A3BD4">
      <w:pPr>
        <w:pStyle w:val="28"/>
        <w:snapToGrid w:val="0"/>
        <w:spacing w:line="390" w:lineRule="exact"/>
        <w:ind w:firstLine="413" w:firstLineChars="196"/>
        <w:rPr>
          <w:b/>
          <w:color w:val="auto"/>
          <w:highlight w:val="none"/>
        </w:rPr>
      </w:pPr>
      <w:r>
        <w:rPr>
          <w:rFonts w:hint="eastAsia"/>
          <w:b/>
          <w:color w:val="auto"/>
          <w:highlight w:val="none"/>
        </w:rPr>
        <w:t>第十三条 货物包装、发运及运输</w:t>
      </w:r>
    </w:p>
    <w:p w14:paraId="1EED54A0">
      <w:pPr>
        <w:pStyle w:val="28"/>
        <w:snapToGrid w:val="0"/>
        <w:spacing w:line="390" w:lineRule="exact"/>
        <w:rPr>
          <w:color w:val="auto"/>
          <w:highlight w:val="none"/>
        </w:rPr>
      </w:pPr>
      <w:r>
        <w:rPr>
          <w:rFonts w:hint="eastAsia"/>
          <w:color w:val="auto"/>
          <w:highlight w:val="none"/>
        </w:rPr>
        <w:t xml:space="preserve">    1. 乙方应在货物发运前对其进行满足运输距离、防潮、防震、防锈和防破损装卸等要求包装，以保证货物安全运达甲方指定地点。</w:t>
      </w:r>
    </w:p>
    <w:p w14:paraId="78774AB2">
      <w:pPr>
        <w:pStyle w:val="28"/>
        <w:snapToGrid w:val="0"/>
        <w:spacing w:line="390" w:lineRule="exact"/>
        <w:rPr>
          <w:color w:val="auto"/>
          <w:highlight w:val="none"/>
        </w:rPr>
      </w:pPr>
      <w:r>
        <w:rPr>
          <w:rFonts w:hint="eastAsia"/>
          <w:color w:val="auto"/>
          <w:highlight w:val="none"/>
        </w:rPr>
        <w:t xml:space="preserve">    2. 使用说明书、质量检验证明书、随配附件和工具以及清单一并附于货物内。</w:t>
      </w:r>
    </w:p>
    <w:p w14:paraId="416BAC94">
      <w:pPr>
        <w:pStyle w:val="28"/>
        <w:snapToGrid w:val="0"/>
        <w:spacing w:line="390" w:lineRule="exact"/>
        <w:rPr>
          <w:color w:val="auto"/>
          <w:highlight w:val="none"/>
        </w:rPr>
      </w:pPr>
      <w:r>
        <w:rPr>
          <w:rFonts w:hint="eastAsia"/>
          <w:color w:val="auto"/>
          <w:highlight w:val="none"/>
        </w:rPr>
        <w:t xml:space="preserve">    3. 乙方在货物发运手续办理完毕后二十四小时内或货到甲方四十八小时前通知甲方，以准备接货。</w:t>
      </w:r>
    </w:p>
    <w:p w14:paraId="441B48B0">
      <w:pPr>
        <w:pStyle w:val="28"/>
        <w:snapToGrid w:val="0"/>
        <w:spacing w:line="390" w:lineRule="exact"/>
        <w:rPr>
          <w:color w:val="auto"/>
          <w:highlight w:val="none"/>
        </w:rPr>
      </w:pPr>
      <w:r>
        <w:rPr>
          <w:rFonts w:hint="eastAsia"/>
          <w:color w:val="auto"/>
          <w:highlight w:val="none"/>
        </w:rPr>
        <w:t xml:space="preserve">    4. 货物在交付甲方前发生的风险均由乙方负责。</w:t>
      </w:r>
    </w:p>
    <w:p w14:paraId="789FE284">
      <w:pPr>
        <w:pStyle w:val="28"/>
        <w:snapToGrid w:val="0"/>
        <w:spacing w:line="390" w:lineRule="exact"/>
        <w:rPr>
          <w:color w:val="auto"/>
          <w:spacing w:val="-8"/>
          <w:highlight w:val="none"/>
        </w:rPr>
      </w:pPr>
      <w:r>
        <w:rPr>
          <w:rFonts w:hint="eastAsia"/>
          <w:color w:val="auto"/>
          <w:highlight w:val="none"/>
        </w:rPr>
        <w:t xml:space="preserve">    5. 货</w:t>
      </w:r>
      <w:r>
        <w:rPr>
          <w:rFonts w:hint="eastAsia"/>
          <w:color w:val="auto"/>
          <w:spacing w:val="-8"/>
          <w:highlight w:val="none"/>
        </w:rPr>
        <w:t>物在规定的交付期限内由乙方送达甲方指定的地点视为交付，乙方同时需通知甲方货物已送达。</w:t>
      </w:r>
    </w:p>
    <w:p w14:paraId="0110E130">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第十四条　违约责任</w:t>
      </w:r>
    </w:p>
    <w:p w14:paraId="28787A81">
      <w:pPr>
        <w:snapToGrid w:val="0"/>
        <w:spacing w:line="390" w:lineRule="exact"/>
        <w:ind w:firstLine="525" w:firstLineChars="250"/>
        <w:rPr>
          <w:rFonts w:ascii="宋体"/>
          <w:color w:val="auto"/>
          <w:szCs w:val="21"/>
          <w:highlight w:val="none"/>
        </w:rPr>
      </w:pPr>
      <w:r>
        <w:rPr>
          <w:rFonts w:hint="eastAsia" w:ascii="宋体"/>
          <w:color w:val="auto"/>
          <w:szCs w:val="21"/>
          <w:highlight w:val="none"/>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14:paraId="7FF1017C">
      <w:pPr>
        <w:snapToGrid w:val="0"/>
        <w:spacing w:line="390" w:lineRule="exact"/>
        <w:ind w:firstLine="472" w:firstLineChars="225"/>
        <w:rPr>
          <w:rFonts w:ascii="宋体"/>
          <w:color w:val="auto"/>
          <w:szCs w:val="21"/>
          <w:highlight w:val="none"/>
        </w:rPr>
      </w:pPr>
      <w:r>
        <w:rPr>
          <w:rFonts w:hint="eastAsia" w:ascii="宋体"/>
          <w:color w:val="auto"/>
          <w:szCs w:val="21"/>
          <w:highlight w:val="none"/>
        </w:rPr>
        <w:t>2．乙方提供的货物如侵犯了第三方合法权益而引发的任何纠纷或诉讼，均由乙方负责交涉并承担全部责任。</w:t>
      </w:r>
    </w:p>
    <w:p w14:paraId="306AD42C">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3．因包装、运输引起的货物损坏，按质量不合格处罚。</w:t>
      </w:r>
    </w:p>
    <w:p w14:paraId="30560299">
      <w:pPr>
        <w:snapToGrid w:val="0"/>
        <w:spacing w:line="390" w:lineRule="exact"/>
        <w:ind w:firstLine="420" w:firstLineChars="200"/>
        <w:rPr>
          <w:rFonts w:ascii="宋体"/>
          <w:color w:val="auto"/>
          <w:szCs w:val="21"/>
          <w:highlight w:val="none"/>
        </w:rPr>
      </w:pPr>
      <w:r>
        <w:rPr>
          <w:rFonts w:hint="eastAsia" w:ascii="宋体"/>
          <w:color w:val="auto"/>
          <w:szCs w:val="21"/>
          <w:highlight w:val="none"/>
        </w:rPr>
        <w:t>4．乙方逾期交货的，每天向对方偿付违约货款额3‰违约金，但违约金累计不得超过违约货款额</w:t>
      </w:r>
      <w:r>
        <w:rPr>
          <w:rFonts w:hint="eastAsia" w:ascii="宋体"/>
          <w:color w:val="auto"/>
          <w:szCs w:val="21"/>
          <w:highlight w:val="none"/>
          <w:u w:val="single"/>
        </w:rPr>
        <w:t>5%</w:t>
      </w:r>
      <w:r>
        <w:rPr>
          <w:rFonts w:hint="eastAsia" w:ascii="宋体"/>
          <w:color w:val="auto"/>
          <w:szCs w:val="21"/>
          <w:highlight w:val="none"/>
        </w:rPr>
        <w:t>，超过</w:t>
      </w:r>
      <w:r>
        <w:rPr>
          <w:rFonts w:hint="eastAsia" w:ascii="宋体"/>
          <w:color w:val="auto"/>
          <w:szCs w:val="21"/>
          <w:highlight w:val="none"/>
          <w:u w:val="single"/>
        </w:rPr>
        <w:t xml:space="preserve">   </w:t>
      </w:r>
      <w:r>
        <w:rPr>
          <w:rFonts w:hint="eastAsia" w:ascii="宋体"/>
          <w:color w:val="auto"/>
          <w:szCs w:val="21"/>
          <w:highlight w:val="none"/>
        </w:rPr>
        <w:t>天对方有权解除合同，违约方承担因此给对方造成经济损失；甲方延期付货款的，每天向乙方偿付延期货款额</w:t>
      </w:r>
      <w:r>
        <w:rPr>
          <w:rFonts w:hint="eastAsia" w:ascii="宋体"/>
          <w:color w:val="auto"/>
          <w:szCs w:val="21"/>
          <w:highlight w:val="none"/>
          <w:u w:val="single"/>
        </w:rPr>
        <w:t xml:space="preserve">3‰ </w:t>
      </w:r>
      <w:r>
        <w:rPr>
          <w:rFonts w:hint="eastAsia" w:ascii="宋体"/>
          <w:color w:val="auto"/>
          <w:szCs w:val="21"/>
          <w:highlight w:val="none"/>
        </w:rPr>
        <w:t>滞纳金，但滞纳金累计不得超过延期货款额</w:t>
      </w:r>
      <w:r>
        <w:rPr>
          <w:rFonts w:hint="eastAsia" w:ascii="宋体"/>
          <w:color w:val="auto"/>
          <w:szCs w:val="21"/>
          <w:highlight w:val="none"/>
          <w:u w:val="single"/>
        </w:rPr>
        <w:t>5%</w:t>
      </w:r>
      <w:r>
        <w:rPr>
          <w:rFonts w:hint="eastAsia" w:ascii="宋体"/>
          <w:color w:val="auto"/>
          <w:szCs w:val="21"/>
          <w:highlight w:val="none"/>
        </w:rPr>
        <w:t>。</w:t>
      </w:r>
    </w:p>
    <w:p w14:paraId="1722EDE5">
      <w:pPr>
        <w:snapToGrid w:val="0"/>
        <w:spacing w:line="390" w:lineRule="exact"/>
        <w:ind w:firstLine="420" w:firstLineChars="200"/>
        <w:rPr>
          <w:rFonts w:ascii="宋体"/>
          <w:color w:val="auto"/>
          <w:szCs w:val="21"/>
          <w:highlight w:val="none"/>
        </w:rPr>
      </w:pPr>
      <w:r>
        <w:rPr>
          <w:rFonts w:hint="eastAsia" w:ascii="宋体"/>
          <w:color w:val="auto"/>
          <w:szCs w:val="21"/>
          <w:highlight w:val="none"/>
        </w:rPr>
        <w:t>5．乙方未按本合同和投标文件中规定的服务承诺提供售后服务的，乙方应按本合同合计金额</w:t>
      </w:r>
      <w:r>
        <w:rPr>
          <w:rFonts w:hint="eastAsia" w:ascii="宋体"/>
          <w:color w:val="auto"/>
          <w:szCs w:val="21"/>
          <w:highlight w:val="none"/>
          <w:u w:val="single"/>
        </w:rPr>
        <w:t xml:space="preserve"> 5%</w:t>
      </w:r>
      <w:r>
        <w:rPr>
          <w:rFonts w:hint="eastAsia" w:ascii="宋体"/>
          <w:color w:val="auto"/>
          <w:szCs w:val="21"/>
          <w:highlight w:val="none"/>
        </w:rPr>
        <w:t>向甲方支付违约金。</w:t>
      </w:r>
    </w:p>
    <w:p w14:paraId="32743FA9">
      <w:pPr>
        <w:snapToGrid w:val="0"/>
        <w:spacing w:line="390" w:lineRule="exact"/>
        <w:ind w:firstLine="420" w:firstLineChars="200"/>
        <w:rPr>
          <w:rFonts w:ascii="宋体"/>
          <w:color w:val="auto"/>
          <w:szCs w:val="21"/>
          <w:highlight w:val="none"/>
        </w:rPr>
      </w:pPr>
      <w:r>
        <w:rPr>
          <w:rFonts w:hint="eastAsia" w:ascii="宋体"/>
          <w:color w:val="auto"/>
          <w:szCs w:val="21"/>
          <w:highlight w:val="none"/>
        </w:rPr>
        <w:t>6．乙方提供的货物在质量保证期内，因设计、工艺或材料的缺陷和其它质量原因造成的问题，由乙方负责，费用从</w:t>
      </w:r>
      <w:r>
        <w:rPr>
          <w:rFonts w:hint="eastAsia"/>
          <w:color w:val="auto"/>
          <w:highlight w:val="none"/>
        </w:rPr>
        <w:t>履</w:t>
      </w:r>
      <w:r>
        <w:rPr>
          <w:rFonts w:hint="eastAsia" w:ascii="宋体"/>
          <w:color w:val="auto"/>
          <w:szCs w:val="21"/>
          <w:highlight w:val="none"/>
        </w:rPr>
        <w:t>约保证金中扣除，履约保证金不足以支付的，由乙方另行支付。</w:t>
      </w:r>
    </w:p>
    <w:p w14:paraId="207E7CC3">
      <w:pPr>
        <w:snapToGrid w:val="0"/>
        <w:spacing w:line="390" w:lineRule="exact"/>
        <w:ind w:firstLine="420" w:firstLineChars="200"/>
        <w:rPr>
          <w:rFonts w:ascii="宋体"/>
          <w:color w:val="auto"/>
          <w:szCs w:val="21"/>
          <w:highlight w:val="none"/>
        </w:rPr>
      </w:pPr>
      <w:r>
        <w:rPr>
          <w:rFonts w:hint="eastAsia" w:ascii="宋体"/>
          <w:color w:val="auto"/>
          <w:szCs w:val="21"/>
          <w:highlight w:val="none"/>
        </w:rPr>
        <w:t>7．其它违约行为按违约货款额5%收取违约金并赔偿经济损失。</w:t>
      </w:r>
    </w:p>
    <w:p w14:paraId="5D513F1B">
      <w:pPr>
        <w:pStyle w:val="28"/>
        <w:snapToGrid w:val="0"/>
        <w:spacing w:line="390" w:lineRule="exact"/>
        <w:ind w:firstLine="413" w:firstLineChars="196"/>
        <w:rPr>
          <w:b/>
          <w:color w:val="auto"/>
          <w:highlight w:val="none"/>
        </w:rPr>
      </w:pPr>
      <w:r>
        <w:rPr>
          <w:rFonts w:hint="eastAsia"/>
          <w:b/>
          <w:color w:val="auto"/>
          <w:highlight w:val="none"/>
        </w:rPr>
        <w:t>第十五条  不可抗力事件处理</w:t>
      </w:r>
    </w:p>
    <w:p w14:paraId="3428D3AF">
      <w:pPr>
        <w:pStyle w:val="28"/>
        <w:snapToGrid w:val="0"/>
        <w:spacing w:line="390" w:lineRule="exact"/>
        <w:ind w:firstLine="420" w:firstLineChars="200"/>
        <w:rPr>
          <w:color w:val="auto"/>
          <w:highlight w:val="none"/>
        </w:rPr>
      </w:pPr>
      <w:r>
        <w:rPr>
          <w:rFonts w:hint="eastAsia"/>
          <w:color w:val="auto"/>
          <w:highlight w:val="none"/>
        </w:rPr>
        <w:t>1. 在合同有效期内，任何一方因不可抗力事件导致不能履行合同，则合同履行期可延长，其延长期与不可抗力影响期相同。</w:t>
      </w:r>
    </w:p>
    <w:p w14:paraId="0EE90D8B">
      <w:pPr>
        <w:pStyle w:val="28"/>
        <w:snapToGrid w:val="0"/>
        <w:spacing w:line="390" w:lineRule="exact"/>
        <w:ind w:firstLine="420" w:firstLineChars="200"/>
        <w:rPr>
          <w:color w:val="auto"/>
          <w:highlight w:val="none"/>
        </w:rPr>
      </w:pPr>
      <w:r>
        <w:rPr>
          <w:rFonts w:hint="eastAsia"/>
          <w:color w:val="auto"/>
          <w:highlight w:val="none"/>
        </w:rPr>
        <w:t>2. 不可抗力事件发生后，应立即通知对方，并寄送有关权威机构出具的证明。</w:t>
      </w:r>
    </w:p>
    <w:p w14:paraId="6C9C5C7D">
      <w:pPr>
        <w:pStyle w:val="28"/>
        <w:snapToGrid w:val="0"/>
        <w:spacing w:line="390" w:lineRule="exact"/>
        <w:ind w:firstLine="420" w:firstLineChars="200"/>
        <w:rPr>
          <w:color w:val="auto"/>
          <w:highlight w:val="none"/>
        </w:rPr>
      </w:pPr>
      <w:r>
        <w:rPr>
          <w:rFonts w:hint="eastAsia"/>
          <w:color w:val="auto"/>
          <w:highlight w:val="none"/>
        </w:rPr>
        <w:t>3. 不可抗力事件延续一百二十天以上，双方应通过友好协商，确定是否继续履行合同。</w:t>
      </w:r>
    </w:p>
    <w:p w14:paraId="56E74B4D">
      <w:pPr>
        <w:snapToGrid w:val="0"/>
        <w:spacing w:line="390" w:lineRule="exact"/>
        <w:ind w:firstLine="422" w:firstLineChars="200"/>
        <w:rPr>
          <w:rFonts w:ascii="宋体"/>
          <w:color w:val="auto"/>
          <w:szCs w:val="21"/>
          <w:highlight w:val="none"/>
        </w:rPr>
      </w:pPr>
      <w:r>
        <w:rPr>
          <w:rFonts w:hint="eastAsia" w:ascii="宋体"/>
          <w:b/>
          <w:color w:val="auto"/>
          <w:szCs w:val="21"/>
          <w:highlight w:val="none"/>
        </w:rPr>
        <w:t>第十六条  合同争议解决</w:t>
      </w:r>
    </w:p>
    <w:p w14:paraId="20178D80">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1．因货物质量问题发生争议的，应邀请国家认可的质量检测机构对货物质量进行鉴定。货物符合标准的，鉴定费由甲方承担；货物不符合标准的，鉴定费由乙方承担。</w:t>
      </w:r>
    </w:p>
    <w:p w14:paraId="539CB3E3">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2．因履行本合同引起的或与本合同有关的争议，甲乙双方应首先通过友好协商解决，如果协商不能解决，可向甲方所在地的有管辖权人民法院提起诉讼。</w:t>
      </w:r>
    </w:p>
    <w:p w14:paraId="7F15CE6A">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3．诉讼期间，本合同继续履行。</w:t>
      </w:r>
    </w:p>
    <w:p w14:paraId="147645B7">
      <w:pPr>
        <w:pStyle w:val="28"/>
        <w:snapToGrid w:val="0"/>
        <w:spacing w:line="390" w:lineRule="exact"/>
        <w:rPr>
          <w:b/>
          <w:color w:val="auto"/>
          <w:highlight w:val="none"/>
        </w:rPr>
      </w:pPr>
      <w:r>
        <w:rPr>
          <w:rFonts w:hint="eastAsia"/>
          <w:b/>
          <w:color w:val="auto"/>
          <w:highlight w:val="none"/>
        </w:rPr>
        <w:t xml:space="preserve">    第十七条  合同生效及其它</w:t>
      </w:r>
    </w:p>
    <w:p w14:paraId="789E6587">
      <w:pPr>
        <w:pStyle w:val="28"/>
        <w:snapToGrid w:val="0"/>
        <w:spacing w:line="390" w:lineRule="exact"/>
        <w:rPr>
          <w:color w:val="auto"/>
          <w:highlight w:val="none"/>
        </w:rPr>
      </w:pPr>
      <w:r>
        <w:rPr>
          <w:rFonts w:hint="eastAsia"/>
          <w:b/>
          <w:color w:val="auto"/>
          <w:highlight w:val="none"/>
        </w:rPr>
        <w:t xml:space="preserve">   </w:t>
      </w:r>
      <w:r>
        <w:rPr>
          <w:rFonts w:hint="eastAsia"/>
          <w:color w:val="auto"/>
          <w:highlight w:val="none"/>
        </w:rPr>
        <w:t xml:space="preserve"> 1．合同经双方法定代表人或委托代理人签字并加盖单位公章后生效。</w:t>
      </w:r>
    </w:p>
    <w:p w14:paraId="5E389D25">
      <w:pPr>
        <w:pStyle w:val="28"/>
        <w:snapToGrid w:val="0"/>
        <w:spacing w:line="390" w:lineRule="exact"/>
        <w:rPr>
          <w:color w:val="auto"/>
          <w:highlight w:val="none"/>
        </w:rPr>
      </w:pPr>
      <w:r>
        <w:rPr>
          <w:rFonts w:hint="eastAsia"/>
          <w:color w:val="auto"/>
          <w:highlight w:val="none"/>
        </w:rPr>
        <w:t xml:space="preserve">    2．合同执行中涉及采购资金和采购内容修改或补充的，须经财政部门审批，并签书面补充协议报财政部门备案，方可作为主合同不可分割的一部分。</w:t>
      </w:r>
    </w:p>
    <w:p w14:paraId="25D68C27">
      <w:pPr>
        <w:pStyle w:val="28"/>
        <w:snapToGrid w:val="0"/>
        <w:spacing w:line="390" w:lineRule="exact"/>
        <w:rPr>
          <w:color w:val="auto"/>
          <w:highlight w:val="none"/>
        </w:rPr>
      </w:pPr>
      <w:r>
        <w:rPr>
          <w:rFonts w:hint="eastAsia"/>
          <w:color w:val="auto"/>
          <w:highlight w:val="none"/>
        </w:rPr>
        <w:t xml:space="preserve">    3．</w:t>
      </w:r>
      <w:r>
        <w:rPr>
          <w:rFonts w:hint="eastAsia" w:hAnsi="宋体" w:cs="宋体"/>
          <w:color w:val="auto"/>
          <w:highlight w:val="none"/>
        </w:rPr>
        <w:t>本合同未尽事宜</w:t>
      </w:r>
      <w:r>
        <w:rPr>
          <w:rFonts w:hint="eastAsia" w:hAnsi="宋体" w:cs="宋体"/>
          <w:color w:val="auto"/>
          <w:kern w:val="1"/>
          <w:highlight w:val="none"/>
        </w:rPr>
        <w:t>（包括采购文件及投标文件）</w:t>
      </w:r>
      <w:r>
        <w:rPr>
          <w:rFonts w:hint="eastAsia"/>
          <w:color w:val="auto"/>
          <w:highlight w:val="none"/>
        </w:rPr>
        <w:t>，遵照《中华人民共和国民法典》有关条文执行。</w:t>
      </w:r>
    </w:p>
    <w:p w14:paraId="7B5CE5E0">
      <w:pPr>
        <w:pStyle w:val="28"/>
        <w:snapToGrid w:val="0"/>
        <w:spacing w:line="390" w:lineRule="exact"/>
        <w:rPr>
          <w:b/>
          <w:color w:val="auto"/>
          <w:highlight w:val="none"/>
        </w:rPr>
      </w:pPr>
      <w:r>
        <w:rPr>
          <w:rFonts w:hint="eastAsia" w:hAnsi="宋体"/>
          <w:color w:val="auto"/>
          <w:highlight w:val="none"/>
        </w:rPr>
        <w:t xml:space="preserve">    4.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14:paraId="6968A6CC">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第十八条　合同的变更、终止与转让</w:t>
      </w:r>
    </w:p>
    <w:p w14:paraId="3D567285">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1．除《中华人民共和国政府采购法》第五十条规定的情形外，本合同一经签订，甲乙双方不得擅自变更、中止或终止。</w:t>
      </w:r>
    </w:p>
    <w:p w14:paraId="0800087C">
      <w:pPr>
        <w:pStyle w:val="28"/>
        <w:snapToGrid w:val="0"/>
        <w:spacing w:line="390" w:lineRule="exact"/>
        <w:ind w:firstLine="411" w:firstLineChars="196"/>
        <w:rPr>
          <w:b/>
          <w:color w:val="auto"/>
          <w:highlight w:val="none"/>
        </w:rPr>
      </w:pPr>
      <w:r>
        <w:rPr>
          <w:rFonts w:hint="eastAsia"/>
          <w:color w:val="auto"/>
          <w:highlight w:val="none"/>
        </w:rPr>
        <w:t>2．乙方不得擅自转让（无进口资格的供应商委托进口货物除外）其应履行的合同义务。</w:t>
      </w:r>
    </w:p>
    <w:p w14:paraId="5E39473B">
      <w:pPr>
        <w:snapToGrid w:val="0"/>
        <w:spacing w:line="390" w:lineRule="exact"/>
        <w:ind w:firstLine="422" w:firstLineChars="200"/>
        <w:rPr>
          <w:rFonts w:ascii="宋体"/>
          <w:b/>
          <w:color w:val="auto"/>
          <w:szCs w:val="21"/>
          <w:highlight w:val="none"/>
        </w:rPr>
      </w:pPr>
      <w:r>
        <w:rPr>
          <w:rFonts w:hint="eastAsia" w:ascii="宋体"/>
          <w:b/>
          <w:color w:val="auto"/>
          <w:szCs w:val="21"/>
          <w:highlight w:val="none"/>
        </w:rPr>
        <w:t>第十九条　签订本合同依据</w:t>
      </w:r>
    </w:p>
    <w:p w14:paraId="1FA0E6CD">
      <w:pPr>
        <w:snapToGrid w:val="0"/>
        <w:spacing w:line="390" w:lineRule="exact"/>
        <w:ind w:firstLine="420" w:firstLineChars="200"/>
        <w:rPr>
          <w:rFonts w:ascii="宋体"/>
          <w:color w:val="auto"/>
          <w:szCs w:val="21"/>
          <w:highlight w:val="none"/>
        </w:rPr>
      </w:pPr>
      <w:r>
        <w:rPr>
          <w:rFonts w:hint="eastAsia" w:ascii="宋体"/>
          <w:color w:val="auto"/>
          <w:szCs w:val="21"/>
          <w:highlight w:val="none"/>
        </w:rPr>
        <w:t>1．政府采购招标文件；</w:t>
      </w:r>
    </w:p>
    <w:p w14:paraId="01F21F6B">
      <w:pPr>
        <w:snapToGrid w:val="0"/>
        <w:spacing w:line="390" w:lineRule="exact"/>
        <w:ind w:firstLine="420" w:firstLineChars="200"/>
        <w:rPr>
          <w:rFonts w:ascii="宋体"/>
          <w:color w:val="auto"/>
          <w:szCs w:val="21"/>
          <w:highlight w:val="none"/>
        </w:rPr>
      </w:pPr>
      <w:r>
        <w:rPr>
          <w:rFonts w:hint="eastAsia" w:ascii="宋体"/>
          <w:color w:val="auto"/>
          <w:szCs w:val="21"/>
          <w:highlight w:val="none"/>
        </w:rPr>
        <w:t>2．乙方提供的投标文件；</w:t>
      </w:r>
    </w:p>
    <w:p w14:paraId="72F6718E">
      <w:pPr>
        <w:snapToGrid w:val="0"/>
        <w:spacing w:line="390" w:lineRule="exact"/>
        <w:ind w:firstLine="420" w:firstLineChars="200"/>
        <w:rPr>
          <w:rFonts w:ascii="宋体"/>
          <w:color w:val="auto"/>
          <w:szCs w:val="21"/>
          <w:highlight w:val="none"/>
        </w:rPr>
      </w:pPr>
      <w:r>
        <w:rPr>
          <w:rFonts w:hint="eastAsia" w:ascii="宋体"/>
          <w:color w:val="auto"/>
          <w:szCs w:val="21"/>
          <w:highlight w:val="none"/>
        </w:rPr>
        <w:t>3．投标承诺书；</w:t>
      </w:r>
    </w:p>
    <w:p w14:paraId="1B5A5B4D">
      <w:pPr>
        <w:snapToGrid w:val="0"/>
        <w:spacing w:line="390" w:lineRule="exact"/>
        <w:ind w:firstLine="420" w:firstLineChars="200"/>
        <w:rPr>
          <w:rFonts w:ascii="宋体"/>
          <w:color w:val="auto"/>
          <w:szCs w:val="21"/>
          <w:highlight w:val="none"/>
          <w:u w:val="single"/>
        </w:rPr>
      </w:pPr>
      <w:r>
        <w:rPr>
          <w:rFonts w:hint="eastAsia" w:ascii="宋体"/>
          <w:color w:val="auto"/>
          <w:szCs w:val="21"/>
          <w:highlight w:val="none"/>
        </w:rPr>
        <w:t>4．中标通知书。</w:t>
      </w:r>
    </w:p>
    <w:p w14:paraId="4DDD8413">
      <w:pPr>
        <w:snapToGrid w:val="0"/>
        <w:spacing w:line="390" w:lineRule="exact"/>
        <w:ind w:firstLine="422" w:firstLineChars="200"/>
        <w:rPr>
          <w:rFonts w:ascii="宋体"/>
          <w:bCs/>
          <w:color w:val="auto"/>
          <w:szCs w:val="21"/>
          <w:highlight w:val="none"/>
          <w:lang w:val="en"/>
        </w:rPr>
      </w:pPr>
      <w:r>
        <w:rPr>
          <w:rFonts w:hint="eastAsia" w:ascii="宋体"/>
          <w:b/>
          <w:color w:val="auto"/>
          <w:szCs w:val="21"/>
          <w:highlight w:val="none"/>
        </w:rPr>
        <w:t>第二十条　</w:t>
      </w:r>
      <w:r>
        <w:rPr>
          <w:rFonts w:hint="eastAsia" w:ascii="宋体"/>
          <w:bCs/>
          <w:color w:val="auto"/>
          <w:szCs w:val="21"/>
          <w:highlight w:val="none"/>
          <w:lang w:val="en"/>
        </w:rPr>
        <w:t>本合同一式六份，具有同等法律效力。广西壮族自治区财政厅政府采购监督管理处、代理机构各一份，甲方三份，乙方一份。</w:t>
      </w:r>
    </w:p>
    <w:p w14:paraId="54BBFE90">
      <w:pPr>
        <w:snapToGrid w:val="0"/>
        <w:spacing w:line="390" w:lineRule="exact"/>
        <w:ind w:firstLine="420" w:firstLineChars="200"/>
        <w:rPr>
          <w:rFonts w:ascii="宋体"/>
          <w:color w:val="auto"/>
          <w:szCs w:val="21"/>
          <w:highlight w:val="none"/>
        </w:rPr>
      </w:pPr>
      <w:r>
        <w:rPr>
          <w:rFonts w:hint="eastAsia" w:ascii="宋体"/>
          <w:bCs/>
          <w:color w:val="auto"/>
          <w:szCs w:val="21"/>
          <w:highlight w:val="none"/>
          <w:lang w:val="en"/>
        </w:rPr>
        <w:t>自签订之日起两个工作日内，甲方应当将合同通过广西政府采购云平台上传完成合同网上公示。</w:t>
      </w:r>
    </w:p>
    <w:tbl>
      <w:tblPr>
        <w:tblStyle w:val="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0"/>
        <w:gridCol w:w="4946"/>
      </w:tblGrid>
      <w:tr w14:paraId="753F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rPr>
        <w:tc>
          <w:tcPr>
            <w:tcW w:w="2431" w:type="pct"/>
            <w:tcBorders>
              <w:top w:val="single" w:color="auto" w:sz="4" w:space="0"/>
              <w:left w:val="single" w:color="auto" w:sz="4" w:space="0"/>
              <w:bottom w:val="single" w:color="auto" w:sz="4" w:space="0"/>
              <w:right w:val="single" w:color="auto" w:sz="4" w:space="0"/>
            </w:tcBorders>
            <w:vAlign w:val="center"/>
          </w:tcPr>
          <w:p w14:paraId="1E780CD8">
            <w:pPr>
              <w:snapToGrid w:val="0"/>
              <w:spacing w:line="360" w:lineRule="exact"/>
              <w:rPr>
                <w:rFonts w:ascii="宋体"/>
                <w:color w:val="auto"/>
                <w:szCs w:val="21"/>
                <w:highlight w:val="none"/>
              </w:rPr>
            </w:pPr>
            <w:r>
              <w:rPr>
                <w:rFonts w:hint="eastAsia" w:ascii="宋体"/>
                <w:color w:val="auto"/>
                <w:szCs w:val="21"/>
                <w:highlight w:val="none"/>
              </w:rPr>
              <w:t xml:space="preserve">甲方（章）           </w:t>
            </w:r>
          </w:p>
          <w:p w14:paraId="0AE3DCB8">
            <w:pPr>
              <w:snapToGrid w:val="0"/>
              <w:spacing w:line="360" w:lineRule="exact"/>
              <w:rPr>
                <w:rFonts w:ascii="宋体"/>
                <w:color w:val="auto"/>
                <w:szCs w:val="21"/>
                <w:highlight w:val="none"/>
              </w:rPr>
            </w:pPr>
          </w:p>
          <w:p w14:paraId="675EF83B">
            <w:pPr>
              <w:snapToGrid w:val="0"/>
              <w:spacing w:line="360" w:lineRule="exact"/>
              <w:ind w:firstLine="945" w:firstLineChars="450"/>
              <w:jc w:val="right"/>
              <w:rPr>
                <w:rFonts w:ascii="宋体"/>
                <w:color w:val="auto"/>
                <w:szCs w:val="21"/>
                <w:highlight w:val="none"/>
              </w:rPr>
            </w:pPr>
            <w:r>
              <w:rPr>
                <w:rFonts w:hint="eastAsia" w:ascii="宋体"/>
                <w:color w:val="auto"/>
                <w:szCs w:val="21"/>
                <w:highlight w:val="none"/>
              </w:rPr>
              <w:t>年   月   日</w:t>
            </w:r>
          </w:p>
        </w:tc>
        <w:tc>
          <w:tcPr>
            <w:tcW w:w="2568" w:type="pct"/>
            <w:tcBorders>
              <w:top w:val="single" w:color="auto" w:sz="4" w:space="0"/>
              <w:left w:val="single" w:color="auto" w:sz="4" w:space="0"/>
              <w:bottom w:val="single" w:color="auto" w:sz="4" w:space="0"/>
              <w:right w:val="single" w:color="auto" w:sz="4" w:space="0"/>
            </w:tcBorders>
            <w:vAlign w:val="center"/>
          </w:tcPr>
          <w:p w14:paraId="68B11B55">
            <w:pPr>
              <w:snapToGrid w:val="0"/>
              <w:spacing w:line="360" w:lineRule="exact"/>
              <w:rPr>
                <w:rFonts w:ascii="宋体"/>
                <w:color w:val="auto"/>
                <w:szCs w:val="21"/>
                <w:highlight w:val="none"/>
              </w:rPr>
            </w:pPr>
            <w:r>
              <w:rPr>
                <w:rFonts w:hint="eastAsia" w:ascii="宋体"/>
                <w:color w:val="auto"/>
                <w:szCs w:val="21"/>
                <w:highlight w:val="none"/>
              </w:rPr>
              <w:t xml:space="preserve">乙方（章）         </w:t>
            </w:r>
          </w:p>
          <w:p w14:paraId="16D6A9B7">
            <w:pPr>
              <w:snapToGrid w:val="0"/>
              <w:spacing w:line="360" w:lineRule="exact"/>
              <w:rPr>
                <w:rFonts w:ascii="宋体"/>
                <w:color w:val="auto"/>
                <w:szCs w:val="21"/>
                <w:highlight w:val="none"/>
              </w:rPr>
            </w:pPr>
          </w:p>
          <w:p w14:paraId="0928A59F">
            <w:pPr>
              <w:snapToGrid w:val="0"/>
              <w:spacing w:line="360" w:lineRule="exact"/>
              <w:jc w:val="right"/>
              <w:rPr>
                <w:rFonts w:ascii="宋体"/>
                <w:color w:val="auto"/>
                <w:szCs w:val="21"/>
                <w:highlight w:val="none"/>
              </w:rPr>
            </w:pPr>
            <w:r>
              <w:rPr>
                <w:rFonts w:hint="eastAsia" w:ascii="宋体"/>
                <w:color w:val="auto"/>
                <w:szCs w:val="21"/>
                <w:highlight w:val="none"/>
              </w:rPr>
              <w:t xml:space="preserve"> 年   月   日</w:t>
            </w:r>
          </w:p>
        </w:tc>
      </w:tr>
      <w:tr w14:paraId="2D0B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2431" w:type="pct"/>
            <w:tcBorders>
              <w:top w:val="single" w:color="auto" w:sz="4" w:space="0"/>
              <w:left w:val="single" w:color="auto" w:sz="4" w:space="0"/>
              <w:bottom w:val="single" w:color="auto" w:sz="4" w:space="0"/>
              <w:right w:val="single" w:color="auto" w:sz="4" w:space="0"/>
            </w:tcBorders>
            <w:vAlign w:val="center"/>
          </w:tcPr>
          <w:p w14:paraId="71F6BF93">
            <w:pPr>
              <w:snapToGrid w:val="0"/>
              <w:spacing w:line="360" w:lineRule="exact"/>
              <w:rPr>
                <w:rFonts w:ascii="宋体" w:hAnsi="宋体"/>
                <w:color w:val="auto"/>
                <w:szCs w:val="21"/>
                <w:highlight w:val="none"/>
              </w:rPr>
            </w:pPr>
            <w:r>
              <w:rPr>
                <w:rFonts w:hint="eastAsia" w:ascii="宋体" w:hAnsi="宋体"/>
                <w:color w:val="auto"/>
                <w:szCs w:val="21"/>
                <w:highlight w:val="none"/>
              </w:rPr>
              <w:t>通讯地址：</w:t>
            </w:r>
          </w:p>
        </w:tc>
        <w:tc>
          <w:tcPr>
            <w:tcW w:w="2568" w:type="pct"/>
            <w:tcBorders>
              <w:top w:val="single" w:color="auto" w:sz="4" w:space="0"/>
              <w:left w:val="single" w:color="auto" w:sz="4" w:space="0"/>
              <w:bottom w:val="single" w:color="auto" w:sz="4" w:space="0"/>
              <w:right w:val="single" w:color="auto" w:sz="4" w:space="0"/>
            </w:tcBorders>
            <w:vAlign w:val="center"/>
          </w:tcPr>
          <w:p w14:paraId="1F5C589C">
            <w:pPr>
              <w:snapToGrid w:val="0"/>
              <w:spacing w:line="360" w:lineRule="exact"/>
              <w:rPr>
                <w:rFonts w:ascii="宋体" w:hAnsi="宋体"/>
                <w:color w:val="auto"/>
                <w:szCs w:val="21"/>
                <w:highlight w:val="none"/>
              </w:rPr>
            </w:pPr>
            <w:r>
              <w:rPr>
                <w:rFonts w:hint="eastAsia" w:ascii="宋体" w:hAnsi="宋体"/>
                <w:color w:val="auto"/>
                <w:szCs w:val="21"/>
                <w:highlight w:val="none"/>
              </w:rPr>
              <w:t>通讯地址：</w:t>
            </w:r>
          </w:p>
        </w:tc>
      </w:tr>
      <w:tr w14:paraId="3809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2431" w:type="pct"/>
            <w:tcBorders>
              <w:top w:val="single" w:color="auto" w:sz="4" w:space="0"/>
              <w:left w:val="single" w:color="auto" w:sz="4" w:space="0"/>
              <w:bottom w:val="single" w:color="auto" w:sz="4" w:space="0"/>
              <w:right w:val="single" w:color="auto" w:sz="4" w:space="0"/>
            </w:tcBorders>
            <w:vAlign w:val="center"/>
          </w:tcPr>
          <w:p w14:paraId="194567FB">
            <w:pPr>
              <w:snapToGrid w:val="0"/>
              <w:spacing w:line="360" w:lineRule="exact"/>
              <w:rPr>
                <w:color w:val="auto"/>
                <w:highlight w:val="none"/>
              </w:rPr>
            </w:pPr>
            <w:r>
              <w:rPr>
                <w:rFonts w:hint="eastAsia"/>
                <w:color w:val="auto"/>
                <w:highlight w:val="none"/>
              </w:rPr>
              <w:t>法定代表人：</w:t>
            </w:r>
          </w:p>
          <w:p w14:paraId="68B2629C">
            <w:pPr>
              <w:pStyle w:val="70"/>
              <w:ind w:firstLine="210"/>
              <w:rPr>
                <w:color w:val="auto"/>
                <w:highlight w:val="none"/>
              </w:rPr>
            </w:pPr>
          </w:p>
        </w:tc>
        <w:tc>
          <w:tcPr>
            <w:tcW w:w="2568" w:type="pct"/>
            <w:tcBorders>
              <w:top w:val="single" w:color="auto" w:sz="4" w:space="0"/>
              <w:left w:val="single" w:color="auto" w:sz="4" w:space="0"/>
              <w:bottom w:val="single" w:color="auto" w:sz="4" w:space="0"/>
              <w:right w:val="single" w:color="auto" w:sz="4" w:space="0"/>
            </w:tcBorders>
            <w:vAlign w:val="center"/>
          </w:tcPr>
          <w:p w14:paraId="0DB90878">
            <w:pPr>
              <w:snapToGrid w:val="0"/>
              <w:spacing w:line="360" w:lineRule="exact"/>
              <w:rPr>
                <w:color w:val="auto"/>
                <w:highlight w:val="none"/>
              </w:rPr>
            </w:pPr>
            <w:r>
              <w:rPr>
                <w:rFonts w:hint="eastAsia"/>
                <w:color w:val="auto"/>
                <w:highlight w:val="none"/>
              </w:rPr>
              <w:t>法定代表人：</w:t>
            </w:r>
          </w:p>
          <w:p w14:paraId="0CEC88D8">
            <w:pPr>
              <w:pStyle w:val="70"/>
              <w:ind w:firstLine="210"/>
              <w:rPr>
                <w:color w:val="auto"/>
                <w:highlight w:val="none"/>
              </w:rPr>
            </w:pPr>
          </w:p>
        </w:tc>
      </w:tr>
      <w:tr w14:paraId="4563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trPr>
        <w:tc>
          <w:tcPr>
            <w:tcW w:w="2431" w:type="pct"/>
            <w:tcBorders>
              <w:top w:val="single" w:color="auto" w:sz="4" w:space="0"/>
              <w:left w:val="single" w:color="auto" w:sz="4" w:space="0"/>
              <w:bottom w:val="single" w:color="auto" w:sz="4" w:space="0"/>
              <w:right w:val="single" w:color="auto" w:sz="4" w:space="0"/>
            </w:tcBorders>
            <w:vAlign w:val="center"/>
          </w:tcPr>
          <w:p w14:paraId="219E896E">
            <w:pPr>
              <w:snapToGrid w:val="0"/>
              <w:spacing w:line="360" w:lineRule="exact"/>
              <w:rPr>
                <w:color w:val="auto"/>
                <w:highlight w:val="none"/>
              </w:rPr>
            </w:pPr>
            <w:r>
              <w:rPr>
                <w:rFonts w:hint="eastAsia"/>
                <w:color w:val="auto"/>
                <w:highlight w:val="none"/>
              </w:rPr>
              <w:t>委托代理人：</w:t>
            </w:r>
          </w:p>
          <w:p w14:paraId="522B4A79">
            <w:pPr>
              <w:pStyle w:val="70"/>
              <w:ind w:firstLine="210"/>
              <w:rPr>
                <w:color w:val="auto"/>
                <w:highlight w:val="none"/>
              </w:rPr>
            </w:pPr>
          </w:p>
        </w:tc>
        <w:tc>
          <w:tcPr>
            <w:tcW w:w="2568" w:type="pct"/>
            <w:tcBorders>
              <w:top w:val="single" w:color="auto" w:sz="4" w:space="0"/>
              <w:left w:val="single" w:color="auto" w:sz="4" w:space="0"/>
              <w:bottom w:val="single" w:color="auto" w:sz="4" w:space="0"/>
              <w:right w:val="single" w:color="auto" w:sz="4" w:space="0"/>
            </w:tcBorders>
            <w:vAlign w:val="center"/>
          </w:tcPr>
          <w:p w14:paraId="08C3C7B2">
            <w:pPr>
              <w:snapToGrid w:val="0"/>
              <w:spacing w:line="360" w:lineRule="exact"/>
              <w:rPr>
                <w:color w:val="auto"/>
                <w:highlight w:val="none"/>
              </w:rPr>
            </w:pPr>
            <w:r>
              <w:rPr>
                <w:rFonts w:hint="eastAsia"/>
                <w:color w:val="auto"/>
                <w:highlight w:val="none"/>
              </w:rPr>
              <w:t>委托代理人：</w:t>
            </w:r>
          </w:p>
          <w:p w14:paraId="42564715">
            <w:pPr>
              <w:pStyle w:val="70"/>
              <w:ind w:firstLine="210"/>
              <w:rPr>
                <w:color w:val="auto"/>
                <w:highlight w:val="none"/>
              </w:rPr>
            </w:pPr>
          </w:p>
        </w:tc>
      </w:tr>
      <w:tr w14:paraId="769F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2431" w:type="pct"/>
            <w:tcBorders>
              <w:top w:val="single" w:color="auto" w:sz="4" w:space="0"/>
              <w:left w:val="single" w:color="auto" w:sz="4" w:space="0"/>
              <w:bottom w:val="single" w:color="auto" w:sz="4" w:space="0"/>
              <w:right w:val="single" w:color="auto" w:sz="4" w:space="0"/>
            </w:tcBorders>
            <w:vAlign w:val="center"/>
          </w:tcPr>
          <w:p w14:paraId="3BBC4D80">
            <w:pPr>
              <w:snapToGrid w:val="0"/>
              <w:spacing w:line="360" w:lineRule="exact"/>
              <w:rPr>
                <w:color w:val="auto"/>
                <w:highlight w:val="none"/>
              </w:rPr>
            </w:pPr>
            <w:r>
              <w:rPr>
                <w:rFonts w:hint="eastAsia"/>
                <w:color w:val="auto"/>
                <w:highlight w:val="none"/>
              </w:rPr>
              <w:t>电话：</w:t>
            </w:r>
          </w:p>
          <w:p w14:paraId="38C54218">
            <w:pPr>
              <w:pStyle w:val="70"/>
              <w:ind w:firstLine="210"/>
              <w:rPr>
                <w:color w:val="auto"/>
                <w:highlight w:val="none"/>
              </w:rPr>
            </w:pPr>
          </w:p>
        </w:tc>
        <w:tc>
          <w:tcPr>
            <w:tcW w:w="2568" w:type="pct"/>
            <w:tcBorders>
              <w:top w:val="single" w:color="auto" w:sz="4" w:space="0"/>
              <w:left w:val="single" w:color="auto" w:sz="4" w:space="0"/>
              <w:bottom w:val="single" w:color="auto" w:sz="4" w:space="0"/>
              <w:right w:val="single" w:color="auto" w:sz="4" w:space="0"/>
            </w:tcBorders>
            <w:vAlign w:val="center"/>
          </w:tcPr>
          <w:p w14:paraId="25B0E616">
            <w:pPr>
              <w:snapToGrid w:val="0"/>
              <w:spacing w:line="360" w:lineRule="exact"/>
              <w:rPr>
                <w:color w:val="auto"/>
                <w:highlight w:val="none"/>
              </w:rPr>
            </w:pPr>
            <w:r>
              <w:rPr>
                <w:rFonts w:hint="eastAsia"/>
                <w:color w:val="auto"/>
                <w:highlight w:val="none"/>
              </w:rPr>
              <w:t>电话：</w:t>
            </w:r>
          </w:p>
          <w:p w14:paraId="47A3BAD7">
            <w:pPr>
              <w:pStyle w:val="70"/>
              <w:ind w:firstLine="210"/>
              <w:rPr>
                <w:color w:val="auto"/>
                <w:highlight w:val="none"/>
              </w:rPr>
            </w:pPr>
          </w:p>
        </w:tc>
      </w:tr>
      <w:tr w14:paraId="65168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2431" w:type="pct"/>
            <w:tcBorders>
              <w:top w:val="single" w:color="auto" w:sz="4" w:space="0"/>
              <w:left w:val="single" w:color="auto" w:sz="4" w:space="0"/>
              <w:bottom w:val="single" w:color="auto" w:sz="4" w:space="0"/>
              <w:right w:val="single" w:color="auto" w:sz="4" w:space="0"/>
            </w:tcBorders>
            <w:vAlign w:val="center"/>
          </w:tcPr>
          <w:p w14:paraId="05FE4D62">
            <w:pPr>
              <w:snapToGrid w:val="0"/>
              <w:spacing w:line="360" w:lineRule="exact"/>
              <w:rPr>
                <w:rFonts w:ascii="宋体"/>
                <w:color w:val="auto"/>
                <w:szCs w:val="21"/>
                <w:highlight w:val="none"/>
              </w:rPr>
            </w:pPr>
            <w:r>
              <w:rPr>
                <w:rFonts w:hint="eastAsia" w:ascii="宋体"/>
                <w:color w:val="auto"/>
                <w:szCs w:val="21"/>
                <w:highlight w:val="none"/>
              </w:rPr>
              <w:t>电子邮箱：</w:t>
            </w:r>
          </w:p>
        </w:tc>
        <w:tc>
          <w:tcPr>
            <w:tcW w:w="2568" w:type="pct"/>
            <w:tcBorders>
              <w:top w:val="single" w:color="auto" w:sz="4" w:space="0"/>
              <w:left w:val="single" w:color="auto" w:sz="4" w:space="0"/>
              <w:bottom w:val="single" w:color="auto" w:sz="4" w:space="0"/>
              <w:right w:val="single" w:color="auto" w:sz="4" w:space="0"/>
            </w:tcBorders>
            <w:vAlign w:val="center"/>
          </w:tcPr>
          <w:p w14:paraId="086F169C">
            <w:pPr>
              <w:snapToGrid w:val="0"/>
              <w:spacing w:line="360" w:lineRule="exact"/>
              <w:rPr>
                <w:rFonts w:ascii="宋体"/>
                <w:color w:val="auto"/>
                <w:szCs w:val="21"/>
                <w:highlight w:val="none"/>
              </w:rPr>
            </w:pPr>
            <w:r>
              <w:rPr>
                <w:rFonts w:hint="eastAsia" w:ascii="宋体"/>
                <w:color w:val="auto"/>
                <w:szCs w:val="21"/>
                <w:highlight w:val="none"/>
              </w:rPr>
              <w:t>电子邮箱：</w:t>
            </w:r>
          </w:p>
        </w:tc>
      </w:tr>
      <w:tr w14:paraId="71B7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2431" w:type="pct"/>
            <w:tcBorders>
              <w:top w:val="single" w:color="auto" w:sz="4" w:space="0"/>
              <w:left w:val="single" w:color="auto" w:sz="4" w:space="0"/>
              <w:bottom w:val="single" w:color="auto" w:sz="4" w:space="0"/>
              <w:right w:val="single" w:color="auto" w:sz="4" w:space="0"/>
            </w:tcBorders>
            <w:vAlign w:val="center"/>
          </w:tcPr>
          <w:p w14:paraId="5ED954A2">
            <w:pPr>
              <w:snapToGrid w:val="0"/>
              <w:spacing w:line="360" w:lineRule="exact"/>
              <w:rPr>
                <w:color w:val="auto"/>
                <w:highlight w:val="none"/>
              </w:rPr>
            </w:pPr>
            <w:r>
              <w:rPr>
                <w:rFonts w:hint="eastAsia"/>
                <w:color w:val="auto"/>
                <w:highlight w:val="none"/>
              </w:rPr>
              <w:t>开户银行：</w:t>
            </w:r>
          </w:p>
          <w:p w14:paraId="62BD9026">
            <w:pPr>
              <w:pStyle w:val="4"/>
              <w:rPr>
                <w:color w:val="auto"/>
                <w:highlight w:val="none"/>
              </w:rPr>
            </w:pPr>
          </w:p>
        </w:tc>
        <w:tc>
          <w:tcPr>
            <w:tcW w:w="2568" w:type="pct"/>
            <w:tcBorders>
              <w:top w:val="single" w:color="auto" w:sz="4" w:space="0"/>
              <w:left w:val="single" w:color="auto" w:sz="4" w:space="0"/>
              <w:bottom w:val="single" w:color="auto" w:sz="4" w:space="0"/>
              <w:right w:val="single" w:color="auto" w:sz="4" w:space="0"/>
            </w:tcBorders>
            <w:vAlign w:val="center"/>
          </w:tcPr>
          <w:p w14:paraId="6DB816FF">
            <w:pPr>
              <w:snapToGrid w:val="0"/>
              <w:spacing w:line="360" w:lineRule="exact"/>
              <w:rPr>
                <w:color w:val="auto"/>
                <w:highlight w:val="none"/>
              </w:rPr>
            </w:pPr>
            <w:r>
              <w:rPr>
                <w:rFonts w:hint="eastAsia"/>
                <w:color w:val="auto"/>
                <w:highlight w:val="none"/>
              </w:rPr>
              <w:t>开户银行：</w:t>
            </w:r>
          </w:p>
          <w:p w14:paraId="23F0B86D">
            <w:pPr>
              <w:pStyle w:val="4"/>
              <w:rPr>
                <w:color w:val="auto"/>
                <w:highlight w:val="none"/>
              </w:rPr>
            </w:pPr>
          </w:p>
        </w:tc>
      </w:tr>
      <w:tr w14:paraId="60A6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2431" w:type="pct"/>
            <w:tcBorders>
              <w:top w:val="single" w:color="auto" w:sz="4" w:space="0"/>
              <w:left w:val="single" w:color="auto" w:sz="4" w:space="0"/>
              <w:bottom w:val="single" w:color="auto" w:sz="4" w:space="0"/>
              <w:right w:val="single" w:color="auto" w:sz="4" w:space="0"/>
            </w:tcBorders>
            <w:vAlign w:val="center"/>
          </w:tcPr>
          <w:p w14:paraId="33761EE4">
            <w:pPr>
              <w:snapToGrid w:val="0"/>
              <w:spacing w:line="360" w:lineRule="exact"/>
              <w:rPr>
                <w:rFonts w:ascii="宋体"/>
                <w:color w:val="auto"/>
                <w:szCs w:val="21"/>
                <w:highlight w:val="none"/>
              </w:rPr>
            </w:pPr>
            <w:r>
              <w:rPr>
                <w:rFonts w:hint="eastAsia" w:ascii="宋体"/>
                <w:color w:val="auto"/>
                <w:szCs w:val="21"/>
                <w:highlight w:val="none"/>
              </w:rPr>
              <w:t>账号：</w:t>
            </w:r>
          </w:p>
        </w:tc>
        <w:tc>
          <w:tcPr>
            <w:tcW w:w="2568" w:type="pct"/>
            <w:tcBorders>
              <w:top w:val="single" w:color="auto" w:sz="4" w:space="0"/>
              <w:left w:val="single" w:color="auto" w:sz="4" w:space="0"/>
              <w:bottom w:val="single" w:color="auto" w:sz="4" w:space="0"/>
              <w:right w:val="single" w:color="auto" w:sz="4" w:space="0"/>
            </w:tcBorders>
            <w:vAlign w:val="center"/>
          </w:tcPr>
          <w:p w14:paraId="516F1C23">
            <w:pPr>
              <w:snapToGrid w:val="0"/>
              <w:spacing w:line="360" w:lineRule="exact"/>
              <w:rPr>
                <w:color w:val="auto"/>
                <w:highlight w:val="none"/>
              </w:rPr>
            </w:pPr>
            <w:r>
              <w:rPr>
                <w:rFonts w:hint="eastAsia"/>
                <w:color w:val="auto"/>
                <w:highlight w:val="none"/>
              </w:rPr>
              <w:t>账号：</w:t>
            </w:r>
          </w:p>
        </w:tc>
      </w:tr>
      <w:tr w14:paraId="41E2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2431" w:type="pct"/>
            <w:tcBorders>
              <w:top w:val="single" w:color="auto" w:sz="4" w:space="0"/>
              <w:left w:val="single" w:color="auto" w:sz="4" w:space="0"/>
              <w:bottom w:val="single" w:color="auto" w:sz="4" w:space="0"/>
              <w:right w:val="single" w:color="auto" w:sz="4" w:space="0"/>
            </w:tcBorders>
            <w:vAlign w:val="center"/>
          </w:tcPr>
          <w:p w14:paraId="44B75DB2">
            <w:pPr>
              <w:snapToGrid w:val="0"/>
              <w:spacing w:line="360" w:lineRule="exact"/>
              <w:rPr>
                <w:color w:val="auto"/>
                <w:highlight w:val="none"/>
              </w:rPr>
            </w:pPr>
            <w:r>
              <w:rPr>
                <w:rFonts w:hint="eastAsia"/>
                <w:color w:val="auto"/>
                <w:highlight w:val="none"/>
              </w:rPr>
              <w:t>邮政编码：</w:t>
            </w:r>
          </w:p>
          <w:p w14:paraId="57422A22">
            <w:pPr>
              <w:pStyle w:val="4"/>
              <w:rPr>
                <w:color w:val="auto"/>
                <w:highlight w:val="none"/>
              </w:rPr>
            </w:pPr>
          </w:p>
        </w:tc>
        <w:tc>
          <w:tcPr>
            <w:tcW w:w="2568" w:type="pct"/>
            <w:tcBorders>
              <w:top w:val="single" w:color="auto" w:sz="4" w:space="0"/>
              <w:left w:val="single" w:color="auto" w:sz="4" w:space="0"/>
              <w:bottom w:val="single" w:color="auto" w:sz="4" w:space="0"/>
              <w:right w:val="single" w:color="auto" w:sz="4" w:space="0"/>
            </w:tcBorders>
            <w:vAlign w:val="center"/>
          </w:tcPr>
          <w:p w14:paraId="1B07F81A">
            <w:pPr>
              <w:snapToGrid w:val="0"/>
              <w:spacing w:line="360" w:lineRule="exact"/>
              <w:rPr>
                <w:color w:val="auto"/>
                <w:highlight w:val="none"/>
              </w:rPr>
            </w:pPr>
            <w:r>
              <w:rPr>
                <w:rFonts w:hint="eastAsia"/>
                <w:color w:val="auto"/>
                <w:highlight w:val="none"/>
              </w:rPr>
              <w:t>邮政编码：</w:t>
            </w:r>
          </w:p>
          <w:p w14:paraId="11E0D943">
            <w:pPr>
              <w:pStyle w:val="4"/>
              <w:rPr>
                <w:color w:val="auto"/>
                <w:highlight w:val="none"/>
              </w:rPr>
            </w:pPr>
          </w:p>
        </w:tc>
      </w:tr>
      <w:tr w14:paraId="4914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5" w:hRule="atLeast"/>
        </w:trPr>
        <w:tc>
          <w:tcPr>
            <w:tcW w:w="5000" w:type="pct"/>
            <w:gridSpan w:val="2"/>
            <w:tcBorders>
              <w:top w:val="single" w:color="auto" w:sz="4" w:space="0"/>
              <w:left w:val="single" w:color="auto" w:sz="4" w:space="0"/>
              <w:bottom w:val="single" w:color="auto" w:sz="4" w:space="0"/>
              <w:right w:val="single" w:color="auto" w:sz="4" w:space="0"/>
            </w:tcBorders>
          </w:tcPr>
          <w:p w14:paraId="1DEC24D9">
            <w:pPr>
              <w:snapToGrid w:val="0"/>
              <w:spacing w:line="360" w:lineRule="exact"/>
              <w:rPr>
                <w:rFonts w:ascii="宋体"/>
                <w:color w:val="auto"/>
                <w:szCs w:val="21"/>
                <w:highlight w:val="none"/>
              </w:rPr>
            </w:pPr>
            <w:r>
              <w:rPr>
                <w:rFonts w:hint="eastAsia" w:ascii="宋体"/>
                <w:color w:val="auto"/>
                <w:szCs w:val="21"/>
                <w:highlight w:val="none"/>
              </w:rPr>
              <w:t>经办人：</w:t>
            </w:r>
          </w:p>
          <w:p w14:paraId="5CA4EE93">
            <w:pPr>
              <w:snapToGrid w:val="0"/>
              <w:spacing w:line="360" w:lineRule="exact"/>
              <w:ind w:firstLine="630" w:firstLineChars="300"/>
              <w:jc w:val="right"/>
              <w:rPr>
                <w:rFonts w:ascii="宋体"/>
                <w:color w:val="auto"/>
                <w:szCs w:val="21"/>
                <w:highlight w:val="none"/>
              </w:rPr>
            </w:pPr>
          </w:p>
          <w:p w14:paraId="0DEF20BA">
            <w:pPr>
              <w:snapToGrid w:val="0"/>
              <w:spacing w:line="360" w:lineRule="exact"/>
              <w:ind w:firstLine="630" w:firstLineChars="300"/>
              <w:jc w:val="right"/>
              <w:rPr>
                <w:rFonts w:ascii="宋体"/>
                <w:color w:val="auto"/>
                <w:szCs w:val="21"/>
                <w:highlight w:val="none"/>
              </w:rPr>
            </w:pPr>
            <w:r>
              <w:rPr>
                <w:rFonts w:hint="eastAsia" w:ascii="宋体"/>
                <w:color w:val="auto"/>
                <w:szCs w:val="21"/>
                <w:highlight w:val="none"/>
              </w:rPr>
              <w:t>年    月    日</w:t>
            </w:r>
          </w:p>
        </w:tc>
      </w:tr>
    </w:tbl>
    <w:p w14:paraId="6DB2D176">
      <w:pPr>
        <w:snapToGrid w:val="0"/>
        <w:spacing w:line="360" w:lineRule="exact"/>
        <w:jc w:val="center"/>
        <w:rPr>
          <w:rFonts w:ascii="宋体"/>
          <w:b/>
          <w:color w:val="auto"/>
          <w:sz w:val="28"/>
          <w:szCs w:val="28"/>
          <w:highlight w:val="none"/>
        </w:rPr>
      </w:pPr>
    </w:p>
    <w:p w14:paraId="2779FD6A">
      <w:pPr>
        <w:snapToGrid w:val="0"/>
        <w:spacing w:line="360" w:lineRule="exact"/>
        <w:jc w:val="center"/>
        <w:rPr>
          <w:rFonts w:ascii="宋体"/>
          <w:b/>
          <w:color w:val="auto"/>
          <w:sz w:val="28"/>
          <w:szCs w:val="28"/>
          <w:highlight w:val="none"/>
        </w:rPr>
      </w:pPr>
      <w:r>
        <w:rPr>
          <w:rFonts w:hint="eastAsia" w:ascii="宋体"/>
          <w:b/>
          <w:color w:val="auto"/>
          <w:sz w:val="28"/>
          <w:szCs w:val="28"/>
          <w:highlight w:val="none"/>
        </w:rPr>
        <w:t>合 同 附 件</w:t>
      </w:r>
    </w:p>
    <w:p w14:paraId="4555CF1A">
      <w:pPr>
        <w:snapToGrid w:val="0"/>
        <w:spacing w:line="360" w:lineRule="exact"/>
        <w:jc w:val="center"/>
        <w:rPr>
          <w:rFonts w:ascii="宋体"/>
          <w:b/>
          <w:color w:val="auto"/>
          <w:szCs w:val="21"/>
          <w:highlight w:val="none"/>
        </w:rPr>
      </w:pPr>
    </w:p>
    <w:tbl>
      <w:tblPr>
        <w:tblStyle w:val="53"/>
        <w:tblW w:w="5000" w:type="pct"/>
        <w:tblInd w:w="0" w:type="dxa"/>
        <w:tblLayout w:type="autofit"/>
        <w:tblCellMar>
          <w:top w:w="0" w:type="dxa"/>
          <w:left w:w="108" w:type="dxa"/>
          <w:bottom w:w="0" w:type="dxa"/>
          <w:right w:w="108" w:type="dxa"/>
        </w:tblCellMar>
      </w:tblPr>
      <w:tblGrid>
        <w:gridCol w:w="4752"/>
        <w:gridCol w:w="4876"/>
      </w:tblGrid>
      <w:tr w14:paraId="730DDE4E">
        <w:tblPrEx>
          <w:tblCellMar>
            <w:top w:w="0" w:type="dxa"/>
            <w:left w:w="108" w:type="dxa"/>
            <w:bottom w:w="0" w:type="dxa"/>
            <w:right w:w="108" w:type="dxa"/>
          </w:tblCellMar>
        </w:tblPrEx>
        <w:trPr>
          <w:trHeight w:val="1054" w:hRule="atLeast"/>
        </w:trPr>
        <w:tc>
          <w:tcPr>
            <w:tcW w:w="5000" w:type="pct"/>
            <w:gridSpan w:val="2"/>
            <w:tcBorders>
              <w:top w:val="single" w:color="auto" w:sz="4" w:space="0"/>
              <w:left w:val="single" w:color="auto" w:sz="4" w:space="0"/>
              <w:bottom w:val="nil"/>
              <w:right w:val="single" w:color="auto" w:sz="4" w:space="0"/>
            </w:tcBorders>
          </w:tcPr>
          <w:p w14:paraId="60A800DF">
            <w:pPr>
              <w:numPr>
                <w:ilvl w:val="0"/>
                <w:numId w:val="13"/>
              </w:numPr>
              <w:snapToGrid w:val="0"/>
              <w:spacing w:line="360" w:lineRule="exact"/>
              <w:rPr>
                <w:rFonts w:ascii="宋体"/>
                <w:b/>
                <w:color w:val="auto"/>
                <w:szCs w:val="21"/>
                <w:highlight w:val="none"/>
              </w:rPr>
            </w:pPr>
            <w:r>
              <w:rPr>
                <w:rFonts w:hint="eastAsia" w:ascii="宋体"/>
                <w:b/>
                <w:color w:val="auto"/>
                <w:szCs w:val="21"/>
                <w:highlight w:val="none"/>
              </w:rPr>
              <w:t>供应商承诺具体事项：</w:t>
            </w:r>
          </w:p>
          <w:p w14:paraId="662C034A">
            <w:pPr>
              <w:snapToGrid w:val="0"/>
              <w:spacing w:line="360" w:lineRule="exact"/>
              <w:rPr>
                <w:rFonts w:ascii="宋体"/>
                <w:b/>
                <w:color w:val="auto"/>
                <w:szCs w:val="21"/>
                <w:highlight w:val="none"/>
              </w:rPr>
            </w:pPr>
          </w:p>
          <w:p w14:paraId="76C3A8CE">
            <w:pPr>
              <w:snapToGrid w:val="0"/>
              <w:spacing w:line="360" w:lineRule="exact"/>
              <w:rPr>
                <w:rFonts w:ascii="宋体"/>
                <w:b/>
                <w:color w:val="auto"/>
                <w:szCs w:val="21"/>
                <w:highlight w:val="none"/>
              </w:rPr>
            </w:pPr>
          </w:p>
        </w:tc>
      </w:tr>
      <w:tr w14:paraId="40DC779A">
        <w:tblPrEx>
          <w:tblCellMar>
            <w:top w:w="0" w:type="dxa"/>
            <w:left w:w="108" w:type="dxa"/>
            <w:bottom w:w="0" w:type="dxa"/>
            <w:right w:w="108" w:type="dxa"/>
          </w:tblCellMar>
        </w:tblPrEx>
        <w:trPr>
          <w:trHeight w:val="1056" w:hRule="atLeast"/>
        </w:trPr>
        <w:tc>
          <w:tcPr>
            <w:tcW w:w="5000" w:type="pct"/>
            <w:gridSpan w:val="2"/>
            <w:tcBorders>
              <w:top w:val="single" w:color="auto" w:sz="4" w:space="0"/>
              <w:left w:val="single" w:color="auto" w:sz="4" w:space="0"/>
              <w:bottom w:val="nil"/>
              <w:right w:val="single" w:color="auto" w:sz="4" w:space="0"/>
            </w:tcBorders>
          </w:tcPr>
          <w:p w14:paraId="4461780C">
            <w:pPr>
              <w:numPr>
                <w:ilvl w:val="0"/>
                <w:numId w:val="13"/>
              </w:numPr>
              <w:snapToGrid w:val="0"/>
              <w:spacing w:line="360" w:lineRule="exact"/>
              <w:rPr>
                <w:rFonts w:ascii="宋体"/>
                <w:b/>
                <w:color w:val="auto"/>
                <w:szCs w:val="21"/>
                <w:highlight w:val="none"/>
              </w:rPr>
            </w:pPr>
            <w:r>
              <w:rPr>
                <w:rFonts w:hint="eastAsia" w:ascii="宋体"/>
                <w:b/>
                <w:color w:val="auto"/>
                <w:szCs w:val="21"/>
                <w:highlight w:val="none"/>
              </w:rPr>
              <w:t>售后服务具体事项：</w:t>
            </w:r>
          </w:p>
          <w:p w14:paraId="0FF82877">
            <w:pPr>
              <w:snapToGrid w:val="0"/>
              <w:spacing w:line="360" w:lineRule="exact"/>
              <w:rPr>
                <w:rFonts w:ascii="宋体"/>
                <w:b/>
                <w:color w:val="auto"/>
                <w:szCs w:val="21"/>
                <w:highlight w:val="none"/>
              </w:rPr>
            </w:pPr>
          </w:p>
          <w:p w14:paraId="0CEB1C02">
            <w:pPr>
              <w:snapToGrid w:val="0"/>
              <w:spacing w:line="360" w:lineRule="exact"/>
              <w:rPr>
                <w:rFonts w:ascii="宋体"/>
                <w:b/>
                <w:color w:val="auto"/>
                <w:szCs w:val="21"/>
                <w:highlight w:val="none"/>
              </w:rPr>
            </w:pPr>
          </w:p>
        </w:tc>
      </w:tr>
      <w:tr w14:paraId="16D00A0A">
        <w:tblPrEx>
          <w:tblCellMar>
            <w:top w:w="0" w:type="dxa"/>
            <w:left w:w="108" w:type="dxa"/>
            <w:bottom w:w="0" w:type="dxa"/>
            <w:right w:w="108" w:type="dxa"/>
          </w:tblCellMar>
        </w:tblPrEx>
        <w:trPr>
          <w:trHeight w:val="933" w:hRule="atLeast"/>
        </w:trPr>
        <w:tc>
          <w:tcPr>
            <w:tcW w:w="5000" w:type="pct"/>
            <w:gridSpan w:val="2"/>
            <w:tcBorders>
              <w:top w:val="single" w:color="auto" w:sz="4" w:space="0"/>
              <w:left w:val="single" w:color="auto" w:sz="4" w:space="0"/>
              <w:bottom w:val="nil"/>
              <w:right w:val="single" w:color="auto" w:sz="4" w:space="0"/>
            </w:tcBorders>
          </w:tcPr>
          <w:p w14:paraId="564825F6">
            <w:pPr>
              <w:numPr>
                <w:ilvl w:val="0"/>
                <w:numId w:val="13"/>
              </w:numPr>
              <w:snapToGrid w:val="0"/>
              <w:spacing w:line="360" w:lineRule="exact"/>
              <w:rPr>
                <w:rFonts w:ascii="宋体"/>
                <w:b/>
                <w:color w:val="auto"/>
                <w:szCs w:val="21"/>
                <w:highlight w:val="none"/>
              </w:rPr>
            </w:pPr>
            <w:r>
              <w:rPr>
                <w:rFonts w:hint="eastAsia" w:ascii="宋体"/>
                <w:b/>
                <w:color w:val="auto"/>
                <w:szCs w:val="21"/>
                <w:highlight w:val="none"/>
              </w:rPr>
              <w:t>保修期责任：</w:t>
            </w:r>
          </w:p>
          <w:p w14:paraId="412E2EB0">
            <w:pPr>
              <w:snapToGrid w:val="0"/>
              <w:spacing w:line="360" w:lineRule="exact"/>
              <w:rPr>
                <w:rFonts w:ascii="宋体"/>
                <w:b/>
                <w:color w:val="auto"/>
                <w:szCs w:val="21"/>
                <w:highlight w:val="none"/>
              </w:rPr>
            </w:pPr>
          </w:p>
          <w:p w14:paraId="15459960">
            <w:pPr>
              <w:snapToGrid w:val="0"/>
              <w:spacing w:line="360" w:lineRule="exact"/>
              <w:rPr>
                <w:rFonts w:ascii="宋体"/>
                <w:b/>
                <w:color w:val="auto"/>
                <w:szCs w:val="21"/>
                <w:highlight w:val="none"/>
              </w:rPr>
            </w:pPr>
          </w:p>
        </w:tc>
      </w:tr>
      <w:tr w14:paraId="08BDDF3D">
        <w:tblPrEx>
          <w:tblCellMar>
            <w:top w:w="0" w:type="dxa"/>
            <w:left w:w="108" w:type="dxa"/>
            <w:bottom w:w="0" w:type="dxa"/>
            <w:right w:w="108" w:type="dxa"/>
          </w:tblCellMar>
        </w:tblPrEx>
        <w:trPr>
          <w:trHeight w:val="1074" w:hRule="atLeast"/>
        </w:trPr>
        <w:tc>
          <w:tcPr>
            <w:tcW w:w="5000" w:type="pct"/>
            <w:gridSpan w:val="2"/>
            <w:tcBorders>
              <w:top w:val="single" w:color="auto" w:sz="4" w:space="0"/>
              <w:left w:val="single" w:color="auto" w:sz="4" w:space="0"/>
              <w:bottom w:val="nil"/>
              <w:right w:val="single" w:color="auto" w:sz="4" w:space="0"/>
            </w:tcBorders>
          </w:tcPr>
          <w:p w14:paraId="731CB512">
            <w:pPr>
              <w:numPr>
                <w:ilvl w:val="0"/>
                <w:numId w:val="13"/>
              </w:numPr>
              <w:snapToGrid w:val="0"/>
              <w:spacing w:line="360" w:lineRule="exact"/>
              <w:rPr>
                <w:rFonts w:ascii="宋体"/>
                <w:b/>
                <w:color w:val="auto"/>
                <w:szCs w:val="21"/>
                <w:highlight w:val="none"/>
              </w:rPr>
            </w:pPr>
            <w:r>
              <w:rPr>
                <w:rFonts w:hint="eastAsia" w:ascii="宋体"/>
                <w:b/>
                <w:color w:val="auto"/>
                <w:szCs w:val="21"/>
                <w:highlight w:val="none"/>
              </w:rPr>
              <w:t>其他具体事项：</w:t>
            </w:r>
          </w:p>
          <w:p w14:paraId="5A6B60CE">
            <w:pPr>
              <w:snapToGrid w:val="0"/>
              <w:spacing w:line="360" w:lineRule="exact"/>
              <w:rPr>
                <w:rFonts w:ascii="宋体"/>
                <w:b/>
                <w:color w:val="auto"/>
                <w:szCs w:val="21"/>
                <w:highlight w:val="none"/>
              </w:rPr>
            </w:pPr>
          </w:p>
          <w:p w14:paraId="3ECE7BBD">
            <w:pPr>
              <w:snapToGrid w:val="0"/>
              <w:spacing w:line="360" w:lineRule="exact"/>
              <w:rPr>
                <w:rFonts w:ascii="宋体"/>
                <w:b/>
                <w:color w:val="auto"/>
                <w:szCs w:val="21"/>
                <w:highlight w:val="none"/>
              </w:rPr>
            </w:pPr>
          </w:p>
          <w:p w14:paraId="7D4A8615">
            <w:pPr>
              <w:snapToGrid w:val="0"/>
              <w:spacing w:line="360" w:lineRule="exact"/>
              <w:rPr>
                <w:rFonts w:ascii="宋体"/>
                <w:b/>
                <w:color w:val="auto"/>
                <w:szCs w:val="21"/>
                <w:highlight w:val="none"/>
              </w:rPr>
            </w:pPr>
          </w:p>
        </w:tc>
      </w:tr>
      <w:tr w14:paraId="65F223A7">
        <w:tblPrEx>
          <w:tblCellMar>
            <w:top w:w="0" w:type="dxa"/>
            <w:left w:w="108" w:type="dxa"/>
            <w:bottom w:w="0" w:type="dxa"/>
            <w:right w:w="108" w:type="dxa"/>
          </w:tblCellMar>
        </w:tblPrEx>
        <w:trPr>
          <w:trHeight w:val="2268" w:hRule="atLeast"/>
        </w:trPr>
        <w:tc>
          <w:tcPr>
            <w:tcW w:w="2468" w:type="pct"/>
            <w:tcBorders>
              <w:top w:val="single" w:color="auto" w:sz="4" w:space="0"/>
              <w:left w:val="single" w:color="auto" w:sz="4" w:space="0"/>
              <w:bottom w:val="single" w:color="auto" w:sz="4" w:space="0"/>
              <w:right w:val="single" w:color="auto" w:sz="4" w:space="0"/>
            </w:tcBorders>
            <w:vAlign w:val="center"/>
          </w:tcPr>
          <w:p w14:paraId="21337D52">
            <w:pPr>
              <w:snapToGrid w:val="0"/>
              <w:spacing w:line="360" w:lineRule="exact"/>
              <w:ind w:firstLine="422" w:firstLineChars="200"/>
              <w:rPr>
                <w:rFonts w:ascii="宋体"/>
                <w:b/>
                <w:color w:val="auto"/>
                <w:szCs w:val="21"/>
                <w:highlight w:val="none"/>
              </w:rPr>
            </w:pPr>
            <w:r>
              <w:rPr>
                <w:rFonts w:hint="eastAsia" w:ascii="宋体"/>
                <w:b/>
                <w:color w:val="auto"/>
                <w:szCs w:val="21"/>
                <w:highlight w:val="none"/>
              </w:rPr>
              <w:t>甲方（章）</w:t>
            </w:r>
          </w:p>
          <w:p w14:paraId="28DA5F66">
            <w:pPr>
              <w:snapToGrid w:val="0"/>
              <w:spacing w:line="360" w:lineRule="exact"/>
              <w:ind w:firstLine="422" w:firstLineChars="200"/>
              <w:rPr>
                <w:rFonts w:ascii="宋体"/>
                <w:b/>
                <w:color w:val="auto"/>
                <w:szCs w:val="21"/>
                <w:highlight w:val="none"/>
              </w:rPr>
            </w:pPr>
          </w:p>
          <w:p w14:paraId="38A34F97">
            <w:pPr>
              <w:snapToGrid w:val="0"/>
              <w:spacing w:line="360" w:lineRule="exact"/>
              <w:ind w:firstLine="422" w:firstLineChars="200"/>
              <w:rPr>
                <w:rFonts w:ascii="宋体"/>
                <w:b/>
                <w:color w:val="auto"/>
                <w:szCs w:val="21"/>
                <w:highlight w:val="none"/>
              </w:rPr>
            </w:pPr>
          </w:p>
          <w:p w14:paraId="374C6381">
            <w:pPr>
              <w:snapToGrid w:val="0"/>
              <w:spacing w:line="360" w:lineRule="exact"/>
              <w:ind w:firstLine="422" w:firstLineChars="200"/>
              <w:rPr>
                <w:rFonts w:ascii="宋体"/>
                <w:b/>
                <w:color w:val="auto"/>
                <w:szCs w:val="21"/>
                <w:highlight w:val="none"/>
              </w:rPr>
            </w:pPr>
            <w:r>
              <w:rPr>
                <w:rFonts w:hint="eastAsia" w:ascii="宋体"/>
                <w:b/>
                <w:color w:val="auto"/>
                <w:szCs w:val="21"/>
                <w:highlight w:val="none"/>
              </w:rPr>
              <w:t xml:space="preserve">                      年   月   日 </w:t>
            </w:r>
          </w:p>
        </w:tc>
        <w:tc>
          <w:tcPr>
            <w:tcW w:w="2531" w:type="pct"/>
            <w:tcBorders>
              <w:top w:val="single" w:color="auto" w:sz="4" w:space="0"/>
              <w:left w:val="single" w:color="auto" w:sz="4" w:space="0"/>
              <w:bottom w:val="single" w:color="auto" w:sz="4" w:space="0"/>
              <w:right w:val="single" w:color="auto" w:sz="4" w:space="0"/>
            </w:tcBorders>
            <w:vAlign w:val="center"/>
          </w:tcPr>
          <w:p w14:paraId="3D3ABD7F">
            <w:pPr>
              <w:snapToGrid w:val="0"/>
              <w:spacing w:line="360" w:lineRule="exact"/>
              <w:ind w:firstLine="422" w:firstLineChars="200"/>
              <w:rPr>
                <w:rFonts w:ascii="宋体"/>
                <w:b/>
                <w:color w:val="auto"/>
                <w:szCs w:val="21"/>
                <w:highlight w:val="none"/>
              </w:rPr>
            </w:pPr>
            <w:r>
              <w:rPr>
                <w:rFonts w:hint="eastAsia" w:ascii="宋体"/>
                <w:b/>
                <w:color w:val="auto"/>
                <w:szCs w:val="21"/>
                <w:highlight w:val="none"/>
              </w:rPr>
              <w:t>乙方（章）</w:t>
            </w:r>
          </w:p>
          <w:p w14:paraId="4D45835A">
            <w:pPr>
              <w:snapToGrid w:val="0"/>
              <w:spacing w:line="360" w:lineRule="exact"/>
              <w:ind w:firstLine="422" w:firstLineChars="200"/>
              <w:rPr>
                <w:rFonts w:ascii="宋体"/>
                <w:b/>
                <w:color w:val="auto"/>
                <w:szCs w:val="21"/>
                <w:highlight w:val="none"/>
              </w:rPr>
            </w:pPr>
          </w:p>
          <w:p w14:paraId="19024885">
            <w:pPr>
              <w:snapToGrid w:val="0"/>
              <w:spacing w:line="360" w:lineRule="exact"/>
              <w:ind w:firstLine="422" w:firstLineChars="200"/>
              <w:rPr>
                <w:rFonts w:ascii="宋体"/>
                <w:b/>
                <w:color w:val="auto"/>
                <w:szCs w:val="21"/>
                <w:highlight w:val="none"/>
              </w:rPr>
            </w:pPr>
          </w:p>
          <w:p w14:paraId="6555E0A6">
            <w:pPr>
              <w:snapToGrid w:val="0"/>
              <w:spacing w:line="360" w:lineRule="exact"/>
              <w:ind w:firstLine="422" w:firstLineChars="200"/>
              <w:rPr>
                <w:rFonts w:ascii="宋体"/>
                <w:b/>
                <w:color w:val="auto"/>
                <w:szCs w:val="21"/>
                <w:highlight w:val="none"/>
              </w:rPr>
            </w:pPr>
            <w:r>
              <w:rPr>
                <w:rFonts w:hint="eastAsia" w:ascii="宋体"/>
                <w:b/>
                <w:color w:val="auto"/>
                <w:szCs w:val="21"/>
                <w:highlight w:val="none"/>
              </w:rPr>
              <w:t xml:space="preserve">                       年   月   日</w:t>
            </w:r>
          </w:p>
        </w:tc>
      </w:tr>
    </w:tbl>
    <w:p w14:paraId="15B53A89">
      <w:pPr>
        <w:snapToGrid w:val="0"/>
        <w:spacing w:line="360" w:lineRule="exact"/>
        <w:rPr>
          <w:rFonts w:ascii="黑体" w:eastAsia="黑体"/>
          <w:b/>
          <w:color w:val="auto"/>
          <w:sz w:val="44"/>
          <w:szCs w:val="44"/>
          <w:highlight w:val="none"/>
        </w:rPr>
      </w:pPr>
      <w:r>
        <w:rPr>
          <w:rFonts w:hint="eastAsia" w:ascii="宋体"/>
          <w:color w:val="auto"/>
          <w:szCs w:val="21"/>
          <w:highlight w:val="none"/>
        </w:rPr>
        <w:t xml:space="preserve">  </w:t>
      </w:r>
      <w:r>
        <w:rPr>
          <w:rFonts w:hint="eastAsia" w:ascii="宋体"/>
          <w:b/>
          <w:bCs/>
          <w:color w:val="auto"/>
          <w:szCs w:val="21"/>
          <w:highlight w:val="none"/>
        </w:rPr>
        <w:t>注：售后服务事项填不下时可另加附页。</w:t>
      </w:r>
    </w:p>
    <w:p w14:paraId="58BDAED9">
      <w:pPr>
        <w:pStyle w:val="28"/>
        <w:snapToGrid w:val="0"/>
        <w:spacing w:before="120" w:after="120"/>
        <w:jc w:val="center"/>
        <w:outlineLvl w:val="0"/>
        <w:rPr>
          <w:rFonts w:ascii="黑体" w:eastAsia="黑体"/>
          <w:b/>
          <w:color w:val="auto"/>
          <w:sz w:val="44"/>
          <w:szCs w:val="44"/>
          <w:highlight w:val="none"/>
        </w:rPr>
      </w:pPr>
    </w:p>
    <w:p w14:paraId="7DA0EFFF">
      <w:pPr>
        <w:pStyle w:val="28"/>
        <w:snapToGrid w:val="0"/>
        <w:spacing w:before="120" w:after="120"/>
        <w:jc w:val="center"/>
        <w:outlineLvl w:val="0"/>
        <w:rPr>
          <w:rFonts w:ascii="黑体" w:eastAsia="黑体"/>
          <w:b/>
          <w:color w:val="auto"/>
          <w:sz w:val="44"/>
          <w:szCs w:val="44"/>
          <w:highlight w:val="none"/>
        </w:rPr>
      </w:pPr>
    </w:p>
    <w:p w14:paraId="6388DA23">
      <w:pPr>
        <w:pStyle w:val="28"/>
        <w:snapToGrid w:val="0"/>
        <w:spacing w:before="120" w:after="120"/>
        <w:jc w:val="center"/>
        <w:outlineLvl w:val="0"/>
        <w:rPr>
          <w:rFonts w:ascii="黑体" w:eastAsia="黑体"/>
          <w:b/>
          <w:color w:val="auto"/>
          <w:sz w:val="44"/>
          <w:szCs w:val="44"/>
          <w:highlight w:val="none"/>
        </w:rPr>
      </w:pPr>
    </w:p>
    <w:p w14:paraId="15F77EFF">
      <w:pPr>
        <w:pStyle w:val="28"/>
        <w:snapToGrid w:val="0"/>
        <w:spacing w:before="120" w:after="120"/>
        <w:jc w:val="center"/>
        <w:outlineLvl w:val="0"/>
        <w:rPr>
          <w:rFonts w:ascii="黑体" w:eastAsia="黑体"/>
          <w:b/>
          <w:color w:val="auto"/>
          <w:sz w:val="44"/>
          <w:szCs w:val="44"/>
          <w:highlight w:val="none"/>
        </w:rPr>
      </w:pPr>
    </w:p>
    <w:p w14:paraId="6563E19A">
      <w:pPr>
        <w:pStyle w:val="5"/>
        <w:rPr>
          <w:color w:val="auto"/>
          <w:highlight w:val="none"/>
        </w:rPr>
      </w:pPr>
    </w:p>
    <w:p w14:paraId="28157EEF">
      <w:pPr>
        <w:pStyle w:val="28"/>
        <w:snapToGrid w:val="0"/>
        <w:spacing w:before="120" w:after="120"/>
        <w:jc w:val="center"/>
        <w:outlineLvl w:val="0"/>
        <w:rPr>
          <w:rFonts w:ascii="黑体" w:eastAsia="黑体"/>
          <w:b/>
          <w:color w:val="auto"/>
          <w:sz w:val="44"/>
          <w:szCs w:val="44"/>
          <w:highlight w:val="none"/>
        </w:rPr>
      </w:pPr>
    </w:p>
    <w:p w14:paraId="3B3E48BE">
      <w:pPr>
        <w:rPr>
          <w:rFonts w:ascii="黑体" w:eastAsia="黑体"/>
          <w:b/>
          <w:color w:val="auto"/>
          <w:sz w:val="44"/>
          <w:szCs w:val="44"/>
          <w:highlight w:val="none"/>
        </w:rPr>
      </w:pPr>
    </w:p>
    <w:p w14:paraId="3168D56B">
      <w:pPr>
        <w:rPr>
          <w:rFonts w:ascii="黑体" w:eastAsia="黑体"/>
          <w:b/>
          <w:color w:val="auto"/>
          <w:sz w:val="44"/>
          <w:szCs w:val="44"/>
          <w:highlight w:val="none"/>
        </w:rPr>
      </w:pPr>
    </w:p>
    <w:p w14:paraId="4C473359">
      <w:pPr>
        <w:pStyle w:val="28"/>
        <w:snapToGrid w:val="0"/>
        <w:spacing w:before="120" w:after="120"/>
        <w:jc w:val="center"/>
        <w:outlineLvl w:val="0"/>
        <w:rPr>
          <w:rFonts w:ascii="黑体" w:eastAsia="黑体"/>
          <w:b/>
          <w:color w:val="auto"/>
          <w:sz w:val="44"/>
          <w:szCs w:val="44"/>
          <w:highlight w:val="none"/>
        </w:rPr>
      </w:pPr>
    </w:p>
    <w:p w14:paraId="28B522B2">
      <w:pPr>
        <w:pStyle w:val="28"/>
        <w:snapToGrid w:val="0"/>
        <w:spacing w:before="120" w:after="120"/>
        <w:jc w:val="center"/>
        <w:outlineLvl w:val="0"/>
        <w:rPr>
          <w:rFonts w:ascii="黑体" w:eastAsia="黑体"/>
          <w:b/>
          <w:color w:val="auto"/>
          <w:sz w:val="44"/>
          <w:szCs w:val="44"/>
          <w:highlight w:val="none"/>
        </w:rPr>
      </w:pPr>
      <w:r>
        <w:rPr>
          <w:rFonts w:hint="eastAsia" w:ascii="仿宋_GB2312" w:eastAsia="仿宋_GB2312"/>
          <w:b/>
          <w:color w:val="auto"/>
          <w:sz w:val="44"/>
          <w:szCs w:val="44"/>
          <w:highlight w:val="none"/>
        </w:rPr>
        <w:t>第六章　投标文件格式</w:t>
      </w:r>
    </w:p>
    <w:p w14:paraId="326428C7">
      <w:pPr>
        <w:snapToGrid w:val="0"/>
        <w:spacing w:before="50" w:after="50"/>
        <w:outlineLvl w:val="1"/>
        <w:rPr>
          <w:rFonts w:ascii="仿宋_GB2312" w:eastAsia="仿宋_GB2312"/>
          <w:color w:val="auto"/>
          <w:sz w:val="32"/>
          <w:szCs w:val="20"/>
          <w:highlight w:val="none"/>
        </w:rPr>
      </w:pPr>
      <w:r>
        <w:rPr>
          <w:rFonts w:ascii="仿宋_GB2312" w:eastAsia="仿宋_GB2312"/>
          <w:color w:val="auto"/>
          <w:sz w:val="32"/>
          <w:szCs w:val="20"/>
          <w:highlight w:val="none"/>
        </w:rPr>
        <w:br w:type="page"/>
      </w:r>
      <w:bookmarkStart w:id="16" w:name="_Toc254970697"/>
      <w:bookmarkStart w:id="17" w:name="_Toc254970556"/>
    </w:p>
    <w:bookmarkEnd w:id="16"/>
    <w:bookmarkEnd w:id="17"/>
    <w:p w14:paraId="2AE206DD">
      <w:pPr>
        <w:snapToGrid w:val="0"/>
        <w:spacing w:before="156" w:beforeLines="50" w:after="50" w:line="360" w:lineRule="exact"/>
        <w:jc w:val="center"/>
        <w:outlineLvl w:val="1"/>
        <w:rPr>
          <w:rFonts w:ascii="仿宋_GB2312" w:hAnsi="宋体" w:eastAsia="仿宋_GB2312"/>
          <w:b/>
          <w:bCs/>
          <w:color w:val="auto"/>
          <w:sz w:val="32"/>
          <w:szCs w:val="32"/>
          <w:highlight w:val="none"/>
        </w:rPr>
      </w:pPr>
      <w:r>
        <w:rPr>
          <w:rFonts w:hint="eastAsia" w:ascii="仿宋_GB2312" w:hAnsi="宋体" w:eastAsia="仿宋_GB2312"/>
          <w:b/>
          <w:color w:val="auto"/>
          <w:sz w:val="32"/>
          <w:szCs w:val="32"/>
          <w:highlight w:val="none"/>
        </w:rPr>
        <w:t>投标文件格式</w:t>
      </w:r>
    </w:p>
    <w:p w14:paraId="4709671E">
      <w:pPr>
        <w:snapToGrid w:val="0"/>
        <w:spacing w:before="156" w:beforeLines="50" w:after="50" w:line="360" w:lineRule="exact"/>
        <w:jc w:val="center"/>
        <w:outlineLvl w:val="0"/>
        <w:rPr>
          <w:rFonts w:ascii="宋体" w:hAnsi="宋体"/>
          <w:b/>
          <w:bCs/>
          <w:color w:val="auto"/>
          <w:szCs w:val="21"/>
          <w:highlight w:val="none"/>
        </w:rPr>
      </w:pPr>
      <w:r>
        <w:rPr>
          <w:rFonts w:hint="eastAsia" w:ascii="宋体" w:hAnsi="宋体"/>
          <w:b/>
          <w:bCs/>
          <w:color w:val="auto"/>
          <w:szCs w:val="21"/>
          <w:highlight w:val="none"/>
        </w:rPr>
        <w:t>一、</w:t>
      </w:r>
      <w:r>
        <w:rPr>
          <w:rFonts w:hint="eastAsia" w:ascii="宋体" w:hAnsi="宋体"/>
          <w:b/>
          <w:color w:val="auto"/>
          <w:szCs w:val="21"/>
          <w:highlight w:val="none"/>
        </w:rPr>
        <w:t>投标文件封面</w:t>
      </w:r>
      <w:r>
        <w:rPr>
          <w:rFonts w:hint="eastAsia" w:ascii="宋体" w:hAnsi="宋体"/>
          <w:b/>
          <w:bCs/>
          <w:color w:val="auto"/>
          <w:szCs w:val="21"/>
          <w:highlight w:val="none"/>
        </w:rPr>
        <w:t>格式</w:t>
      </w:r>
    </w:p>
    <w:p w14:paraId="420A0248">
      <w:pPr>
        <w:snapToGrid w:val="0"/>
        <w:spacing w:before="156" w:beforeLines="50" w:after="50" w:line="360" w:lineRule="exact"/>
        <w:rPr>
          <w:rFonts w:ascii="宋体" w:hAnsi="宋体"/>
          <w:b/>
          <w:color w:val="auto"/>
          <w:szCs w:val="21"/>
          <w:highlight w:val="none"/>
        </w:rPr>
      </w:pPr>
    </w:p>
    <w:p w14:paraId="07C520E4">
      <w:pPr>
        <w:snapToGrid w:val="0"/>
        <w:spacing w:before="156" w:beforeLines="50" w:after="50" w:line="360" w:lineRule="exact"/>
        <w:rPr>
          <w:rFonts w:ascii="仿宋_GB2312" w:hAnsi="宋体" w:eastAsia="仿宋_GB2312"/>
          <w:color w:val="auto"/>
          <w:sz w:val="24"/>
          <w:highlight w:val="none"/>
        </w:rPr>
      </w:pPr>
    </w:p>
    <w:p w14:paraId="1A7698D3">
      <w:pPr>
        <w:snapToGrid w:val="0"/>
        <w:spacing w:before="156" w:beforeLines="50" w:after="50" w:line="360" w:lineRule="exact"/>
        <w:rPr>
          <w:rFonts w:ascii="仿宋_GB2312" w:hAnsi="宋体" w:eastAsia="仿宋_GB2312"/>
          <w:bCs/>
          <w:color w:val="auto"/>
          <w:sz w:val="24"/>
          <w:highlight w:val="none"/>
        </w:rPr>
      </w:pPr>
      <w:r>
        <w:rPr>
          <w:rFonts w:hint="eastAsia" w:ascii="仿宋_GB2312" w:hAnsi="宋体" w:eastAsia="仿宋_GB2312"/>
          <w:color w:val="auto"/>
          <w:sz w:val="24"/>
          <w:highlight w:val="none"/>
        </w:rPr>
        <w:t xml:space="preserve">                                                   </w:t>
      </w:r>
    </w:p>
    <w:p w14:paraId="1EB04914">
      <w:pPr>
        <w:snapToGrid w:val="0"/>
        <w:spacing w:before="156" w:beforeLines="50" w:after="50" w:line="3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投标文件</w:t>
      </w:r>
    </w:p>
    <w:p w14:paraId="218B4180">
      <w:pPr>
        <w:snapToGrid w:val="0"/>
        <w:spacing w:before="156" w:beforeLines="50" w:after="50" w:line="360" w:lineRule="exact"/>
        <w:rPr>
          <w:rFonts w:ascii="仿宋_GB2312" w:hAnsi="宋体" w:eastAsia="仿宋_GB2312"/>
          <w:bCs/>
          <w:color w:val="auto"/>
          <w:sz w:val="24"/>
          <w:highlight w:val="none"/>
        </w:rPr>
      </w:pPr>
    </w:p>
    <w:p w14:paraId="3AECF42A">
      <w:pPr>
        <w:snapToGrid w:val="0"/>
        <w:spacing w:before="156" w:beforeLines="50" w:after="50" w:line="360" w:lineRule="exact"/>
        <w:ind w:firstLine="630" w:firstLineChars="300"/>
        <w:rPr>
          <w:rFonts w:ascii="宋体" w:hAnsi="宋体"/>
          <w:bCs/>
          <w:color w:val="auto"/>
          <w:szCs w:val="21"/>
          <w:highlight w:val="none"/>
        </w:rPr>
      </w:pPr>
      <w:r>
        <w:rPr>
          <w:rFonts w:hint="eastAsia" w:ascii="宋体" w:hAnsi="宋体"/>
          <w:bCs/>
          <w:color w:val="auto"/>
          <w:szCs w:val="21"/>
          <w:highlight w:val="none"/>
        </w:rPr>
        <w:t xml:space="preserve">项目名称： </w:t>
      </w:r>
    </w:p>
    <w:p w14:paraId="37A8A12B">
      <w:pPr>
        <w:snapToGrid w:val="0"/>
        <w:spacing w:before="156" w:beforeLines="50" w:after="50" w:line="360" w:lineRule="exact"/>
        <w:ind w:firstLine="630" w:firstLineChars="300"/>
        <w:rPr>
          <w:rFonts w:ascii="宋体" w:hAnsi="宋体"/>
          <w:bCs/>
          <w:color w:val="auto"/>
          <w:szCs w:val="21"/>
          <w:highlight w:val="none"/>
        </w:rPr>
      </w:pPr>
      <w:r>
        <w:rPr>
          <w:rFonts w:hint="eastAsia" w:ascii="宋体" w:hAnsi="宋体"/>
          <w:bCs/>
          <w:color w:val="auto"/>
          <w:szCs w:val="21"/>
          <w:highlight w:val="none"/>
        </w:rPr>
        <w:t xml:space="preserve">项目编号： </w:t>
      </w:r>
    </w:p>
    <w:p w14:paraId="5FFECAE8">
      <w:pPr>
        <w:snapToGrid w:val="0"/>
        <w:spacing w:before="156" w:beforeLines="50" w:after="50" w:line="360" w:lineRule="exact"/>
        <w:ind w:firstLine="630" w:firstLineChars="300"/>
        <w:rPr>
          <w:rFonts w:ascii="宋体" w:hAnsi="宋体"/>
          <w:bCs/>
          <w:color w:val="auto"/>
          <w:szCs w:val="21"/>
          <w:highlight w:val="none"/>
        </w:rPr>
      </w:pPr>
      <w:r>
        <w:rPr>
          <w:rFonts w:hint="eastAsia" w:ascii="宋体" w:hAnsi="宋体"/>
          <w:bCs/>
          <w:color w:val="auto"/>
          <w:szCs w:val="21"/>
          <w:highlight w:val="none"/>
        </w:rPr>
        <w:t>所投分标：分标</w:t>
      </w:r>
      <w:r>
        <w:rPr>
          <w:rFonts w:hint="eastAsia" w:ascii="宋体" w:hAnsi="宋体"/>
          <w:bCs/>
          <w:color w:val="auto"/>
          <w:szCs w:val="21"/>
          <w:highlight w:val="none"/>
          <w:u w:val="single"/>
        </w:rPr>
        <w:t xml:space="preserve">       </w:t>
      </w:r>
    </w:p>
    <w:p w14:paraId="43385B60">
      <w:pPr>
        <w:snapToGrid w:val="0"/>
        <w:spacing w:before="156" w:beforeLines="50" w:after="50" w:line="360" w:lineRule="exact"/>
        <w:ind w:firstLine="630" w:firstLineChars="300"/>
        <w:rPr>
          <w:rFonts w:ascii="宋体" w:hAnsi="宋体"/>
          <w:bCs/>
          <w:color w:val="auto"/>
          <w:szCs w:val="21"/>
          <w:highlight w:val="none"/>
        </w:rPr>
      </w:pPr>
      <w:r>
        <w:rPr>
          <w:rFonts w:hint="eastAsia" w:ascii="宋体" w:hAnsi="宋体"/>
          <w:bCs/>
          <w:color w:val="auto"/>
          <w:szCs w:val="21"/>
          <w:highlight w:val="none"/>
        </w:rPr>
        <w:t>投标人名称：（盖章）</w:t>
      </w:r>
    </w:p>
    <w:p w14:paraId="2D8C7C3E">
      <w:pPr>
        <w:snapToGrid w:val="0"/>
        <w:spacing w:before="156" w:beforeLines="50" w:after="50" w:line="360" w:lineRule="exact"/>
        <w:ind w:firstLine="630" w:firstLineChars="300"/>
        <w:rPr>
          <w:rFonts w:ascii="宋体" w:hAnsi="宋体"/>
          <w:bCs/>
          <w:color w:val="auto"/>
          <w:szCs w:val="21"/>
          <w:highlight w:val="none"/>
        </w:rPr>
      </w:pPr>
      <w:r>
        <w:rPr>
          <w:rFonts w:hint="eastAsia" w:ascii="宋体" w:hAnsi="宋体"/>
          <w:bCs/>
          <w:color w:val="auto"/>
          <w:szCs w:val="21"/>
          <w:highlight w:val="none"/>
        </w:rPr>
        <w:t>投标人地址：</w:t>
      </w:r>
    </w:p>
    <w:p w14:paraId="0B24958E">
      <w:pPr>
        <w:snapToGrid w:val="0"/>
        <w:spacing w:before="156" w:beforeLines="50" w:after="50" w:line="360" w:lineRule="exact"/>
        <w:jc w:val="center"/>
        <w:outlineLvl w:val="1"/>
        <w:rPr>
          <w:rFonts w:ascii="宋体" w:hAnsi="宋体"/>
          <w:color w:val="auto"/>
          <w:szCs w:val="21"/>
          <w:highlight w:val="none"/>
        </w:rPr>
      </w:pPr>
      <w:r>
        <w:rPr>
          <w:rFonts w:hint="eastAsia" w:ascii="仿宋_GB2312" w:hAnsi="宋体" w:eastAsia="仿宋_GB2312"/>
          <w:color w:val="auto"/>
          <w:sz w:val="24"/>
          <w:highlight w:val="none"/>
        </w:rPr>
        <w:t xml:space="preserve">                        年  月  日</w:t>
      </w:r>
    </w:p>
    <w:p w14:paraId="0635EC02">
      <w:pPr>
        <w:snapToGrid w:val="0"/>
        <w:spacing w:before="156" w:beforeLines="50" w:after="50" w:line="360" w:lineRule="exact"/>
        <w:jc w:val="center"/>
        <w:outlineLvl w:val="1"/>
        <w:rPr>
          <w:rFonts w:ascii="宋体" w:hAnsi="宋体"/>
          <w:bCs/>
          <w:color w:val="auto"/>
          <w:szCs w:val="21"/>
          <w:highlight w:val="none"/>
        </w:rPr>
      </w:pPr>
      <w:bookmarkStart w:id="18" w:name="_Toc254970698"/>
      <w:bookmarkStart w:id="19" w:name="_Toc254970557"/>
    </w:p>
    <w:p w14:paraId="4FAA251E">
      <w:pPr>
        <w:snapToGrid w:val="0"/>
        <w:spacing w:before="156" w:beforeLines="50" w:after="50" w:line="360" w:lineRule="exact"/>
        <w:outlineLvl w:val="1"/>
        <w:rPr>
          <w:rFonts w:ascii="黑体" w:hAnsi="宋体" w:eastAsia="黑体"/>
          <w:bCs/>
          <w:color w:val="auto"/>
          <w:sz w:val="24"/>
          <w:highlight w:val="none"/>
        </w:rPr>
      </w:pPr>
      <w:r>
        <w:rPr>
          <w:rFonts w:hint="eastAsia" w:ascii="宋体" w:hAnsi="宋体"/>
          <w:bCs/>
          <w:color w:val="auto"/>
          <w:szCs w:val="21"/>
          <w:highlight w:val="none"/>
        </w:rPr>
        <w:t xml:space="preserve">     [注：</w:t>
      </w:r>
      <w:r>
        <w:rPr>
          <w:rFonts w:hint="eastAsia" w:ascii="宋体"/>
          <w:color w:val="auto"/>
          <w:szCs w:val="21"/>
          <w:highlight w:val="none"/>
        </w:rPr>
        <w:t>投标文件由</w:t>
      </w:r>
      <w:r>
        <w:rPr>
          <w:rFonts w:hint="eastAsia" w:ascii="宋体"/>
          <w:b/>
          <w:bCs/>
          <w:color w:val="auto"/>
          <w:szCs w:val="21"/>
          <w:highlight w:val="none"/>
        </w:rPr>
        <w:t>资格文件、资信及商务文件、技术文件、投标报价文件</w:t>
      </w:r>
      <w:r>
        <w:rPr>
          <w:rFonts w:hint="eastAsia" w:ascii="宋体"/>
          <w:b/>
          <w:color w:val="auto"/>
          <w:szCs w:val="21"/>
          <w:highlight w:val="none"/>
        </w:rPr>
        <w:t>四部份</w:t>
      </w:r>
      <w:r>
        <w:rPr>
          <w:rFonts w:hint="eastAsia" w:ascii="宋体"/>
          <w:color w:val="auto"/>
          <w:szCs w:val="21"/>
          <w:highlight w:val="none"/>
        </w:rPr>
        <w:t>组成</w:t>
      </w:r>
      <w:r>
        <w:rPr>
          <w:rFonts w:hint="eastAsia" w:ascii="宋体" w:hAnsi="宋体"/>
          <w:bCs/>
          <w:color w:val="auto"/>
          <w:szCs w:val="21"/>
          <w:highlight w:val="none"/>
        </w:rPr>
        <w:t>]</w:t>
      </w:r>
    </w:p>
    <w:p w14:paraId="1769C9BA">
      <w:pPr>
        <w:snapToGrid w:val="0"/>
        <w:spacing w:before="156" w:beforeLines="50" w:after="50" w:line="360" w:lineRule="exact"/>
        <w:jc w:val="center"/>
        <w:outlineLvl w:val="0"/>
        <w:rPr>
          <w:rFonts w:ascii="黑体" w:hAnsi="宋体" w:eastAsia="黑体"/>
          <w:bCs/>
          <w:color w:val="auto"/>
          <w:sz w:val="32"/>
          <w:szCs w:val="32"/>
          <w:highlight w:val="none"/>
        </w:rPr>
      </w:pPr>
    </w:p>
    <w:p w14:paraId="12F895F9">
      <w:pPr>
        <w:snapToGrid w:val="0"/>
        <w:spacing w:before="156" w:beforeLines="50" w:after="50" w:line="360" w:lineRule="exact"/>
        <w:jc w:val="center"/>
        <w:outlineLvl w:val="0"/>
        <w:rPr>
          <w:rFonts w:ascii="黑体" w:hAnsi="宋体" w:eastAsia="黑体"/>
          <w:bCs/>
          <w:color w:val="auto"/>
          <w:sz w:val="32"/>
          <w:szCs w:val="32"/>
          <w:highlight w:val="none"/>
        </w:rPr>
      </w:pPr>
    </w:p>
    <w:p w14:paraId="7412A9AF">
      <w:pPr>
        <w:snapToGrid w:val="0"/>
        <w:spacing w:before="156" w:beforeLines="50" w:after="50" w:line="360" w:lineRule="exact"/>
        <w:jc w:val="center"/>
        <w:outlineLvl w:val="0"/>
        <w:rPr>
          <w:rFonts w:ascii="黑体" w:hAnsi="宋体" w:eastAsia="黑体"/>
          <w:bCs/>
          <w:color w:val="auto"/>
          <w:sz w:val="32"/>
          <w:szCs w:val="32"/>
          <w:highlight w:val="none"/>
        </w:rPr>
      </w:pPr>
    </w:p>
    <w:p w14:paraId="31E3D2AB">
      <w:pPr>
        <w:snapToGrid w:val="0"/>
        <w:spacing w:before="156" w:beforeLines="50" w:after="50" w:line="360" w:lineRule="exact"/>
        <w:jc w:val="center"/>
        <w:outlineLvl w:val="0"/>
        <w:rPr>
          <w:rFonts w:ascii="黑体" w:hAnsi="宋体" w:eastAsia="黑体"/>
          <w:bCs/>
          <w:color w:val="auto"/>
          <w:sz w:val="32"/>
          <w:szCs w:val="32"/>
          <w:highlight w:val="none"/>
        </w:rPr>
      </w:pPr>
    </w:p>
    <w:p w14:paraId="27A12759">
      <w:pPr>
        <w:snapToGrid w:val="0"/>
        <w:spacing w:before="156" w:beforeLines="50" w:after="50" w:line="360" w:lineRule="exact"/>
        <w:jc w:val="center"/>
        <w:outlineLvl w:val="0"/>
        <w:rPr>
          <w:rFonts w:ascii="黑体" w:hAnsi="宋体" w:eastAsia="黑体"/>
          <w:bCs/>
          <w:color w:val="auto"/>
          <w:sz w:val="32"/>
          <w:szCs w:val="32"/>
          <w:highlight w:val="none"/>
        </w:rPr>
      </w:pPr>
    </w:p>
    <w:p w14:paraId="72E5E8BC">
      <w:pPr>
        <w:snapToGrid w:val="0"/>
        <w:spacing w:before="156" w:beforeLines="50" w:after="50" w:line="360" w:lineRule="exact"/>
        <w:jc w:val="center"/>
        <w:outlineLvl w:val="0"/>
        <w:rPr>
          <w:rFonts w:ascii="黑体" w:hAnsi="宋体" w:eastAsia="黑体"/>
          <w:bCs/>
          <w:color w:val="auto"/>
          <w:sz w:val="32"/>
          <w:szCs w:val="32"/>
          <w:highlight w:val="none"/>
        </w:rPr>
      </w:pPr>
    </w:p>
    <w:p w14:paraId="1B952AFE">
      <w:pPr>
        <w:snapToGrid w:val="0"/>
        <w:spacing w:before="156" w:beforeLines="50" w:after="50" w:line="360" w:lineRule="exact"/>
        <w:jc w:val="center"/>
        <w:outlineLvl w:val="0"/>
        <w:rPr>
          <w:rFonts w:ascii="黑体" w:hAnsi="宋体" w:eastAsia="黑体"/>
          <w:bCs/>
          <w:color w:val="auto"/>
          <w:sz w:val="32"/>
          <w:szCs w:val="32"/>
          <w:highlight w:val="none"/>
        </w:rPr>
      </w:pPr>
    </w:p>
    <w:p w14:paraId="01F990FB">
      <w:pPr>
        <w:snapToGrid w:val="0"/>
        <w:spacing w:before="156" w:beforeLines="50" w:after="50" w:line="360" w:lineRule="exact"/>
        <w:jc w:val="center"/>
        <w:outlineLvl w:val="0"/>
        <w:rPr>
          <w:rFonts w:ascii="黑体" w:hAnsi="宋体" w:eastAsia="黑体"/>
          <w:bCs/>
          <w:color w:val="auto"/>
          <w:sz w:val="32"/>
          <w:szCs w:val="32"/>
          <w:highlight w:val="none"/>
        </w:rPr>
      </w:pPr>
    </w:p>
    <w:p w14:paraId="1932021E">
      <w:pPr>
        <w:snapToGrid w:val="0"/>
        <w:spacing w:before="156" w:beforeLines="50" w:after="50" w:line="360" w:lineRule="exact"/>
        <w:jc w:val="center"/>
        <w:outlineLvl w:val="0"/>
        <w:rPr>
          <w:rFonts w:ascii="黑体" w:hAnsi="宋体" w:eastAsia="黑体"/>
          <w:bCs/>
          <w:color w:val="auto"/>
          <w:sz w:val="32"/>
          <w:szCs w:val="32"/>
          <w:highlight w:val="none"/>
        </w:rPr>
      </w:pPr>
    </w:p>
    <w:p w14:paraId="26D75658">
      <w:pPr>
        <w:pStyle w:val="51"/>
        <w:ind w:firstLine="320"/>
        <w:rPr>
          <w:rFonts w:ascii="黑体" w:hAnsi="宋体" w:eastAsia="黑体"/>
          <w:bCs/>
          <w:color w:val="auto"/>
          <w:sz w:val="32"/>
          <w:szCs w:val="32"/>
          <w:highlight w:val="none"/>
        </w:rPr>
      </w:pPr>
    </w:p>
    <w:p w14:paraId="5B8CAF31">
      <w:pPr>
        <w:pStyle w:val="51"/>
        <w:ind w:firstLine="320"/>
        <w:rPr>
          <w:rFonts w:ascii="黑体" w:hAnsi="宋体" w:eastAsia="黑体"/>
          <w:bCs/>
          <w:color w:val="auto"/>
          <w:sz w:val="32"/>
          <w:szCs w:val="32"/>
          <w:highlight w:val="none"/>
        </w:rPr>
      </w:pPr>
    </w:p>
    <w:p w14:paraId="7CE08B04">
      <w:pPr>
        <w:snapToGrid w:val="0"/>
        <w:spacing w:before="156" w:beforeLines="50" w:after="50" w:line="360" w:lineRule="exact"/>
        <w:jc w:val="center"/>
        <w:outlineLvl w:val="0"/>
        <w:rPr>
          <w:rFonts w:hint="eastAsia" w:ascii="黑体" w:hAnsi="宋体" w:eastAsia="黑体"/>
          <w:bCs/>
          <w:color w:val="auto"/>
          <w:sz w:val="32"/>
          <w:szCs w:val="32"/>
          <w:highlight w:val="none"/>
        </w:rPr>
      </w:pPr>
    </w:p>
    <w:p w14:paraId="159EC9CC">
      <w:pPr>
        <w:snapToGrid w:val="0"/>
        <w:spacing w:before="156" w:beforeLines="50" w:after="50" w:line="360" w:lineRule="exact"/>
        <w:jc w:val="center"/>
        <w:outlineLvl w:val="0"/>
        <w:rPr>
          <w:rFonts w:ascii="黑体" w:hAnsi="宋体" w:eastAsia="黑体"/>
          <w:bCs/>
          <w:color w:val="auto"/>
          <w:sz w:val="32"/>
          <w:szCs w:val="32"/>
          <w:highlight w:val="none"/>
        </w:rPr>
      </w:pPr>
      <w:r>
        <w:rPr>
          <w:rFonts w:hint="eastAsia" w:ascii="黑体" w:hAnsi="宋体" w:eastAsia="黑体"/>
          <w:bCs/>
          <w:color w:val="auto"/>
          <w:sz w:val="32"/>
          <w:szCs w:val="32"/>
          <w:highlight w:val="none"/>
        </w:rPr>
        <w:t>二、投标文件目录</w:t>
      </w:r>
    </w:p>
    <w:p w14:paraId="2E3E864B">
      <w:pPr>
        <w:snapToGrid w:val="0"/>
        <w:spacing w:before="156" w:beforeLines="50" w:after="50" w:line="360" w:lineRule="exact"/>
        <w:jc w:val="center"/>
        <w:outlineLvl w:val="1"/>
        <w:rPr>
          <w:rFonts w:ascii="宋体" w:hAnsi="宋体"/>
          <w:bCs/>
          <w:color w:val="auto"/>
          <w:szCs w:val="21"/>
          <w:highlight w:val="none"/>
        </w:rPr>
      </w:pPr>
    </w:p>
    <w:p w14:paraId="30CECF39">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1.资格文件：</w:t>
      </w:r>
    </w:p>
    <w:p w14:paraId="7BABB8B5">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14:paraId="5001C471">
      <w:pPr>
        <w:pStyle w:val="28"/>
        <w:adjustRightInd w:val="0"/>
        <w:snapToGrid w:val="0"/>
        <w:spacing w:line="400" w:lineRule="exact"/>
        <w:ind w:firstLine="424" w:firstLineChars="202"/>
        <w:rPr>
          <w:rFonts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14:paraId="5BB75A6A">
      <w:pPr>
        <w:snapToGrid w:val="0"/>
        <w:spacing w:line="360" w:lineRule="exact"/>
        <w:ind w:firstLine="424" w:firstLineChars="202"/>
        <w:jc w:val="left"/>
        <w:rPr>
          <w:rFonts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14:paraId="60D8CA9C">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14:paraId="2D9A9DFE">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14:paraId="7923A5C5">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14:paraId="750E4E4D">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14:paraId="03682E34">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14:paraId="1ADD3591">
      <w:pPr>
        <w:snapToGrid w:val="0"/>
        <w:spacing w:line="360" w:lineRule="exact"/>
        <w:ind w:firstLine="411" w:firstLineChars="196"/>
        <w:jc w:val="left"/>
        <w:rPr>
          <w:rFonts w:hAnsi="宋体"/>
          <w:b/>
          <w:color w:val="auto"/>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7AA9FF86">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2.资信及商务文件：</w:t>
      </w:r>
    </w:p>
    <w:p w14:paraId="46386303">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（1）投标保证金的相关证明扫描件或其他电子文件（</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w:t>
      </w:r>
    </w:p>
    <w:p w14:paraId="43161A81">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（2）投标声明书 (格式见第六章)（必须提供）</w:t>
      </w:r>
      <w:r>
        <w:rPr>
          <w:rFonts w:hint="eastAsia" w:ascii="宋体" w:hAnsi="宋体"/>
          <w:color w:val="auto"/>
          <w:szCs w:val="21"/>
          <w:highlight w:val="none"/>
        </w:rPr>
        <w:t>；</w:t>
      </w:r>
    </w:p>
    <w:p w14:paraId="11A9E89D">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（3）法定代表人授权委托书和委托代理人身份证扫描件或其他电子文件（格式见第六章)（必须提供）</w:t>
      </w:r>
      <w:r>
        <w:rPr>
          <w:rFonts w:hint="eastAsia" w:ascii="宋体" w:hAnsi="宋体"/>
          <w:color w:val="auto"/>
          <w:szCs w:val="21"/>
          <w:highlight w:val="none"/>
        </w:rPr>
        <w:t>；（格式见第六章)；</w:t>
      </w:r>
      <w:r>
        <w:rPr>
          <w:rFonts w:hint="eastAsia" w:ascii="宋体" w:hAnsi="宋体"/>
          <w:b/>
          <w:color w:val="auto"/>
          <w:szCs w:val="21"/>
          <w:highlight w:val="none"/>
        </w:rPr>
        <w:t>当法定代表人参加投标时，必须提供法定代表人身份证扫描件或其他电子文件</w:t>
      </w:r>
      <w:r>
        <w:rPr>
          <w:rFonts w:hint="eastAsia" w:ascii="宋体" w:hAnsi="宋体"/>
          <w:color w:val="auto"/>
          <w:szCs w:val="21"/>
          <w:highlight w:val="none"/>
        </w:rPr>
        <w:t>；</w:t>
      </w:r>
    </w:p>
    <w:p w14:paraId="20F115CF">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（4）投标截止之日前半年内投标人连续三个月的依法缴纳税费或依法免缴税费的证明（复印件，，格式自拟）（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无纳税记录的，应提供由投标人所在地主管国税或地税部门出具的《依法纳税或依法免税证明》（格式自拟，复印件，）。</w:t>
      </w:r>
    </w:p>
    <w:p w14:paraId="12517F38">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14:paraId="4665DE9F">
      <w:pPr>
        <w:snapToGrid w:val="0"/>
        <w:spacing w:line="360" w:lineRule="exact"/>
        <w:ind w:firstLine="422" w:firstLineChars="200"/>
        <w:jc w:val="left"/>
        <w:rPr>
          <w:rFonts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14:paraId="364ED1FC">
      <w:pPr>
        <w:snapToGrid w:val="0"/>
        <w:spacing w:line="360" w:lineRule="exact"/>
        <w:ind w:firstLine="413" w:firstLineChars="196"/>
        <w:jc w:val="left"/>
        <w:rPr>
          <w:rFonts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14:paraId="5A9D1EA8">
      <w:pPr>
        <w:snapToGrid w:val="0"/>
        <w:spacing w:line="360" w:lineRule="exact"/>
        <w:ind w:firstLine="413" w:firstLineChars="196"/>
        <w:jc w:val="left"/>
        <w:rPr>
          <w:rFonts w:hAnsi="宋体"/>
          <w:b/>
          <w:color w:val="auto"/>
          <w:szCs w:val="21"/>
          <w:highlight w:val="none"/>
        </w:rPr>
      </w:pPr>
      <w:r>
        <w:rPr>
          <w:rFonts w:hint="eastAsia" w:hAnsi="宋体"/>
          <w:b/>
          <w:color w:val="auto"/>
          <w:szCs w:val="21"/>
          <w:highlight w:val="none"/>
        </w:rPr>
        <w:t>（8）商务响应表</w:t>
      </w:r>
      <w:r>
        <w:rPr>
          <w:rFonts w:hint="eastAsia" w:hAnsi="宋体"/>
          <w:color w:val="auto"/>
          <w:szCs w:val="21"/>
          <w:highlight w:val="none"/>
        </w:rPr>
        <w:t>（格式见第六章）</w:t>
      </w:r>
      <w:r>
        <w:rPr>
          <w:rFonts w:hint="eastAsia" w:hAnsi="宋体"/>
          <w:b/>
          <w:color w:val="auto"/>
          <w:szCs w:val="21"/>
          <w:highlight w:val="none"/>
        </w:rPr>
        <w:t>（</w:t>
      </w:r>
      <w:r>
        <w:rPr>
          <w:rFonts w:hint="eastAsia" w:hAnsi="宋体"/>
          <w:b/>
          <w:color w:val="auto"/>
          <w:szCs w:val="21"/>
          <w:highlight w:val="none"/>
          <w:u w:val="single"/>
        </w:rPr>
        <w:t>必须提供</w:t>
      </w:r>
      <w:r>
        <w:rPr>
          <w:rFonts w:hint="eastAsia" w:hAnsi="宋体"/>
          <w:b/>
          <w:color w:val="auto"/>
          <w:szCs w:val="21"/>
          <w:highlight w:val="none"/>
        </w:rPr>
        <w:t>）；</w:t>
      </w:r>
    </w:p>
    <w:p w14:paraId="112AE5D5">
      <w:pPr>
        <w:snapToGrid w:val="0"/>
        <w:spacing w:line="360" w:lineRule="exact"/>
        <w:ind w:firstLine="411" w:firstLineChars="196"/>
        <w:jc w:val="left"/>
        <w:rPr>
          <w:rFonts w:hAnsi="宋体"/>
          <w:b/>
          <w:color w:val="auto"/>
          <w:szCs w:val="21"/>
          <w:highlight w:val="none"/>
        </w:rPr>
      </w:pPr>
      <w:r>
        <w:rPr>
          <w:rFonts w:hint="eastAsia" w:hAnsi="宋体"/>
          <w:color w:val="auto"/>
          <w:highlight w:val="none"/>
        </w:rPr>
        <w:t>▲</w:t>
      </w:r>
      <w:r>
        <w:rPr>
          <w:rFonts w:hint="eastAsia" w:hAnsi="宋体"/>
          <w:color w:val="auto"/>
          <w:szCs w:val="21"/>
          <w:highlight w:val="none"/>
        </w:rPr>
        <w:t>（9）</w:t>
      </w:r>
      <w:r>
        <w:rPr>
          <w:rFonts w:hint="eastAsia" w:hAnsi="宋体"/>
          <w:b/>
          <w:color w:val="auto"/>
          <w:szCs w:val="21"/>
          <w:highlight w:val="none"/>
        </w:rPr>
        <w:t>招标项目采购需求中要求必须提供的材料等；</w:t>
      </w:r>
    </w:p>
    <w:p w14:paraId="772FC682">
      <w:pPr>
        <w:snapToGrid w:val="0"/>
        <w:spacing w:line="360" w:lineRule="exact"/>
        <w:ind w:firstLine="411" w:firstLineChars="196"/>
        <w:jc w:val="left"/>
        <w:rPr>
          <w:rFonts w:hAnsi="宋体"/>
          <w:b/>
          <w:color w:val="auto"/>
          <w:szCs w:val="21"/>
          <w:highlight w:val="none"/>
        </w:rPr>
      </w:pPr>
      <w:r>
        <w:rPr>
          <w:rFonts w:hint="eastAsia" w:hAnsi="宋体"/>
          <w:color w:val="auto"/>
          <w:szCs w:val="21"/>
          <w:highlight w:val="none"/>
        </w:rPr>
        <w:t>（10）具备法律、行政法规规定的其他条件的证明材料</w:t>
      </w:r>
      <w:r>
        <w:rPr>
          <w:rFonts w:hint="eastAsia" w:hAnsi="宋体"/>
          <w:b/>
          <w:color w:val="auto"/>
          <w:szCs w:val="21"/>
          <w:highlight w:val="none"/>
        </w:rPr>
        <w:t>(如有规定,则必须提供)。</w:t>
      </w:r>
    </w:p>
    <w:p w14:paraId="73E95882">
      <w:pPr>
        <w:snapToGrid w:val="0"/>
        <w:spacing w:line="360" w:lineRule="exact"/>
        <w:ind w:firstLine="413" w:firstLineChars="196"/>
        <w:jc w:val="left"/>
        <w:rPr>
          <w:rFonts w:hAnsi="宋体"/>
          <w:b/>
          <w:color w:val="auto"/>
          <w:szCs w:val="21"/>
          <w:highlight w:val="none"/>
        </w:rPr>
      </w:pPr>
      <w:r>
        <w:rPr>
          <w:rFonts w:hint="eastAsia" w:hAnsi="宋体"/>
          <w:b/>
          <w:bCs/>
          <w:color w:val="auto"/>
          <w:szCs w:val="21"/>
          <w:highlight w:val="none"/>
        </w:rPr>
        <w:t xml:space="preserve">可作为投标人资信评分的资质证明材料（可选）  </w:t>
      </w:r>
    </w:p>
    <w:p w14:paraId="2F183BC8">
      <w:pPr>
        <w:snapToGrid w:val="0"/>
        <w:spacing w:line="360" w:lineRule="exact"/>
        <w:ind w:left="937" w:leftChars="196" w:hanging="525" w:hangingChars="250"/>
        <w:jc w:val="left"/>
        <w:rPr>
          <w:rFonts w:hAnsi="宋体"/>
          <w:color w:val="auto"/>
          <w:szCs w:val="21"/>
          <w:highlight w:val="none"/>
        </w:rPr>
      </w:pPr>
      <w:r>
        <w:rPr>
          <w:rFonts w:hint="eastAsia" w:hAnsi="宋体"/>
          <w:color w:val="auto"/>
          <w:szCs w:val="21"/>
          <w:highlight w:val="none"/>
        </w:rPr>
        <w:t>（11）类似案例成功的业绩（投标人同类项目实施情况一览表、合同扫描件）；</w:t>
      </w:r>
    </w:p>
    <w:p w14:paraId="13C43804">
      <w:pPr>
        <w:snapToGrid w:val="0"/>
        <w:spacing w:line="360" w:lineRule="exact"/>
        <w:ind w:firstLine="422" w:firstLineChars="200"/>
        <w:jc w:val="left"/>
        <w:rPr>
          <w:rFonts w:hAnsi="宋体"/>
          <w:color w:val="auto"/>
          <w:szCs w:val="21"/>
          <w:highlight w:val="none"/>
        </w:rPr>
      </w:pPr>
      <w:r>
        <w:rPr>
          <w:rFonts w:hint="eastAsia" w:hAnsi="宋体"/>
          <w:b/>
          <w:color w:val="auto"/>
          <w:szCs w:val="21"/>
          <w:highlight w:val="none"/>
        </w:rPr>
        <w:t>（</w:t>
      </w:r>
      <w:r>
        <w:rPr>
          <w:rFonts w:hint="eastAsia" w:hAnsi="宋体"/>
          <w:color w:val="auto"/>
          <w:szCs w:val="21"/>
          <w:highlight w:val="none"/>
        </w:rPr>
        <w:t>12</w:t>
      </w:r>
      <w:r>
        <w:rPr>
          <w:rFonts w:hint="eastAsia" w:hAnsi="宋体"/>
          <w:b/>
          <w:color w:val="auto"/>
          <w:szCs w:val="21"/>
          <w:highlight w:val="none"/>
        </w:rPr>
        <w:t>）</w:t>
      </w:r>
      <w:r>
        <w:rPr>
          <w:rFonts w:hint="eastAsia" w:hAnsi="宋体"/>
          <w:color w:val="auto"/>
          <w:szCs w:val="21"/>
          <w:highlight w:val="none"/>
        </w:rPr>
        <w:t>其他特殊资质证书（如本地化服务能力等）；</w:t>
      </w:r>
    </w:p>
    <w:p w14:paraId="24880BFD">
      <w:pPr>
        <w:snapToGrid w:val="0"/>
        <w:spacing w:line="360" w:lineRule="exact"/>
        <w:ind w:firstLine="411" w:firstLineChars="196"/>
        <w:jc w:val="left"/>
        <w:rPr>
          <w:rFonts w:hAnsi="宋体"/>
          <w:b/>
          <w:color w:val="auto"/>
          <w:szCs w:val="21"/>
          <w:highlight w:val="none"/>
        </w:rPr>
      </w:pPr>
      <w:r>
        <w:rPr>
          <w:rFonts w:hint="eastAsia" w:hAnsi="宋体"/>
          <w:color w:val="auto"/>
          <w:szCs w:val="21"/>
          <w:highlight w:val="none"/>
        </w:rPr>
        <w:t>（13）节能环保产品或政府强制采购节能产品清单证书</w:t>
      </w:r>
      <w:r>
        <w:rPr>
          <w:rFonts w:hint="eastAsia" w:hAnsi="宋体"/>
          <w:b/>
          <w:color w:val="auto"/>
          <w:szCs w:val="21"/>
          <w:highlight w:val="none"/>
        </w:rPr>
        <w:t>；</w:t>
      </w:r>
    </w:p>
    <w:p w14:paraId="6CD3B107">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（14）投标人质量管理和质量保证体系等方面的认证证书；</w:t>
      </w:r>
    </w:p>
    <w:p w14:paraId="195A4F44">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（15）投标人认为可以证明其能力或业绩的其他材料；</w:t>
      </w:r>
    </w:p>
    <w:p w14:paraId="38DE90E6">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14:paraId="00C94B9B">
      <w:pPr>
        <w:adjustRightInd w:val="0"/>
        <w:snapToGrid w:val="0"/>
        <w:spacing w:line="440" w:lineRule="exact"/>
        <w:ind w:left="3368" w:leftChars="200" w:hanging="2948" w:hangingChars="1404"/>
        <w:jc w:val="left"/>
        <w:rPr>
          <w:rFonts w:ascii="宋体" w:hAnsi="宋体"/>
          <w:color w:val="auto"/>
          <w:szCs w:val="21"/>
          <w:highlight w:val="none"/>
        </w:rPr>
      </w:pPr>
      <w:r>
        <w:rPr>
          <w:rFonts w:hint="eastAsia" w:hAnsi="宋体"/>
          <w:color w:val="auto"/>
          <w:szCs w:val="21"/>
          <w:highlight w:val="none"/>
        </w:rPr>
        <w:t>（17）</w:t>
      </w:r>
      <w:r>
        <w:rPr>
          <w:rFonts w:hint="eastAsia" w:ascii="宋体" w:hAnsi="宋体"/>
          <w:color w:val="auto"/>
          <w:szCs w:val="21"/>
          <w:highlight w:val="none"/>
        </w:rPr>
        <w:t>中小企业声明函（格式见第六章，如有请提供）；</w:t>
      </w:r>
    </w:p>
    <w:p w14:paraId="29C6FBBC">
      <w:pPr>
        <w:adjustRightInd w:val="0"/>
        <w:snapToGrid w:val="0"/>
        <w:spacing w:line="440" w:lineRule="exact"/>
        <w:ind w:left="3368" w:leftChars="200" w:hanging="2948" w:hangingChars="1404"/>
        <w:jc w:val="left"/>
        <w:rPr>
          <w:rFonts w:ascii="宋体" w:hAnsi="宋体"/>
          <w:color w:val="auto"/>
          <w:szCs w:val="21"/>
          <w:highlight w:val="none"/>
        </w:rPr>
      </w:pPr>
      <w:r>
        <w:rPr>
          <w:rFonts w:hint="eastAsia" w:ascii="宋体" w:hAnsi="宋体"/>
          <w:color w:val="auto"/>
          <w:szCs w:val="21"/>
          <w:highlight w:val="none"/>
        </w:rPr>
        <w:t>（18）</w:t>
      </w:r>
      <w:r>
        <w:rPr>
          <w:rFonts w:hint="eastAsia" w:hAnsi="宋体"/>
          <w:color w:val="auto"/>
          <w:szCs w:val="21"/>
          <w:highlight w:val="none"/>
        </w:rPr>
        <w:t>关于符合本国产品标准的声明函（格式见第六章，如有请提供）；</w:t>
      </w:r>
    </w:p>
    <w:p w14:paraId="23D88570">
      <w:pPr>
        <w:snapToGrid w:val="0"/>
        <w:spacing w:line="360" w:lineRule="exact"/>
        <w:ind w:firstLine="411" w:firstLineChars="196"/>
        <w:jc w:val="left"/>
        <w:rPr>
          <w:rFonts w:hAnsi="宋体"/>
          <w:color w:val="auto"/>
          <w:szCs w:val="21"/>
          <w:highlight w:val="none"/>
        </w:rPr>
      </w:pPr>
      <w:r>
        <w:rPr>
          <w:rFonts w:hint="eastAsia" w:hAnsi="宋体"/>
          <w:color w:val="auto"/>
          <w:szCs w:val="21"/>
          <w:highlight w:val="none"/>
        </w:rPr>
        <w:t>（19）投标人情况介绍。</w:t>
      </w:r>
    </w:p>
    <w:p w14:paraId="2C105F86">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3.技术文件</w:t>
      </w:r>
    </w:p>
    <w:p w14:paraId="04216E2A">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（1）对本项目系统总体要求的理解；</w:t>
      </w:r>
    </w:p>
    <w:p w14:paraId="6AC68E0A">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技术响应表（</w:t>
      </w:r>
      <w:r>
        <w:rPr>
          <w:rFonts w:hint="eastAsia" w:ascii="宋体" w:hAnsi="宋体"/>
          <w:b/>
          <w:color w:val="auto"/>
          <w:szCs w:val="21"/>
          <w:highlight w:val="none"/>
          <w:u w:val="single"/>
        </w:rPr>
        <w:t>必须提供</w:t>
      </w:r>
      <w:r>
        <w:rPr>
          <w:rFonts w:hint="eastAsia" w:ascii="宋体" w:hAnsi="宋体"/>
          <w:b/>
          <w:color w:val="auto"/>
          <w:szCs w:val="21"/>
          <w:highlight w:val="none"/>
        </w:rPr>
        <w:t>）；</w:t>
      </w:r>
    </w:p>
    <w:p w14:paraId="68F91562">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（3）设备配置清单（均不含报价）；</w:t>
      </w:r>
    </w:p>
    <w:p w14:paraId="0EDD5F6A">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w:t>
      </w:r>
      <w:r>
        <w:rPr>
          <w:rFonts w:hint="eastAsia"/>
          <w:b/>
          <w:color w:val="auto"/>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w:t>
      </w:r>
      <w:r>
        <w:rPr>
          <w:rFonts w:hint="eastAsia" w:ascii="宋体" w:hAnsi="宋体"/>
          <w:b/>
          <w:color w:val="auto"/>
          <w:szCs w:val="21"/>
          <w:highlight w:val="none"/>
          <w:u w:val="single"/>
        </w:rPr>
        <w:t>格式自拟,必须提供</w:t>
      </w:r>
      <w:r>
        <w:rPr>
          <w:rFonts w:hint="eastAsia" w:ascii="宋体" w:hAnsi="宋体"/>
          <w:b/>
          <w:color w:val="auto"/>
          <w:szCs w:val="21"/>
          <w:highlight w:val="none"/>
        </w:rPr>
        <w:t>)</w:t>
      </w:r>
      <w:r>
        <w:rPr>
          <w:rFonts w:hint="eastAsia" w:ascii="宋体" w:hAnsi="宋体"/>
          <w:color w:val="auto"/>
          <w:szCs w:val="21"/>
          <w:highlight w:val="none"/>
        </w:rPr>
        <w:t>；</w:t>
      </w:r>
    </w:p>
    <w:p w14:paraId="2827B0BB">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（5）投标人拥有主要装备和检测设施的情况和现状（格式自拟）及项目实施人员一览表； </w:t>
      </w:r>
    </w:p>
    <w:p w14:paraId="6B8EC5BD">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14:paraId="16FEF4B3">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（7）投标人对本项目的合理化建议和改进措施；</w:t>
      </w:r>
    </w:p>
    <w:p w14:paraId="6CC300AF">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（8）投标人需要说明的其他文件和说明（格式略）；</w:t>
      </w:r>
    </w:p>
    <w:p w14:paraId="3C4ABF0C">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▲（9）招标项目采购需求中要求必须提供的材料。</w:t>
      </w:r>
    </w:p>
    <w:p w14:paraId="13A3A7ED">
      <w:pPr>
        <w:snapToGrid w:val="0"/>
        <w:spacing w:before="156" w:beforeLines="5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4.报价文件：</w:t>
      </w:r>
    </w:p>
    <w:p w14:paraId="34DC4185">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（1）投标函（格式见第六章）； </w:t>
      </w:r>
    </w:p>
    <w:p w14:paraId="5B3E6ACB">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（2）投标报价明细表（格式见第六章）；</w:t>
      </w:r>
    </w:p>
    <w:p w14:paraId="3D25EA2E">
      <w:pPr>
        <w:tabs>
          <w:tab w:val="left" w:pos="3870"/>
          <w:tab w:val="left" w:pos="4085"/>
        </w:tabs>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（3）投标人针对报价需要说明的其他文件和说明（格式自拟）；</w:t>
      </w:r>
    </w:p>
    <w:p w14:paraId="67CF545B">
      <w:pPr>
        <w:tabs>
          <w:tab w:val="left" w:pos="3870"/>
          <w:tab w:val="left" w:pos="4085"/>
        </w:tabs>
        <w:snapToGrid w:val="0"/>
        <w:spacing w:line="360" w:lineRule="exact"/>
        <w:ind w:firstLine="420" w:firstLineChars="200"/>
        <w:jc w:val="left"/>
        <w:rPr>
          <w:rFonts w:ascii="宋体" w:hAnsi="宋体" w:eastAsia="等线"/>
          <w:color w:val="auto"/>
          <w:szCs w:val="21"/>
          <w:highlight w:val="none"/>
        </w:rPr>
      </w:pPr>
      <w:r>
        <w:rPr>
          <w:rFonts w:hint="eastAsia" w:ascii="宋体" w:hAnsi="宋体"/>
          <w:color w:val="auto"/>
          <w:szCs w:val="21"/>
          <w:highlight w:val="none"/>
        </w:rPr>
        <w:t>（4）开标一览表（格式见第六章）。</w:t>
      </w:r>
    </w:p>
    <w:p w14:paraId="28D65314">
      <w:pPr>
        <w:pStyle w:val="45"/>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b/>
          <w:bCs/>
          <w:color w:val="auto"/>
          <w:szCs w:val="21"/>
          <w:highlight w:val="none"/>
        </w:rPr>
        <w:t>注：法定代表人授权委托书、投标声明书、投标函、开标一览表必须按</w:t>
      </w:r>
      <w:r>
        <w:rPr>
          <w:rFonts w:hint="eastAsia" w:ascii="宋体" w:hAnsi="宋体"/>
          <w:b/>
          <w:color w:val="auto"/>
          <w:szCs w:val="21"/>
          <w:highlight w:val="none"/>
        </w:rPr>
        <w:t>招标文件格式要求签字或签章</w:t>
      </w:r>
      <w:r>
        <w:rPr>
          <w:rFonts w:hint="eastAsia" w:ascii="宋体" w:hAnsi="宋体"/>
          <w:b/>
          <w:bCs/>
          <w:color w:val="auto"/>
          <w:szCs w:val="21"/>
          <w:highlight w:val="none"/>
        </w:rPr>
        <w:t>并加盖单位公章。</w:t>
      </w:r>
    </w:p>
    <w:p w14:paraId="66AAE886">
      <w:pPr>
        <w:pStyle w:val="45"/>
        <w:spacing w:line="360" w:lineRule="exact"/>
        <w:ind w:firstLine="420" w:firstLineChars="200"/>
        <w:rPr>
          <w:rFonts w:ascii="宋体" w:hAnsi="宋体"/>
          <w:color w:val="auto"/>
          <w:szCs w:val="21"/>
          <w:highlight w:val="none"/>
        </w:rPr>
      </w:pPr>
    </w:p>
    <w:p w14:paraId="4D6AA135">
      <w:pPr>
        <w:snapToGrid w:val="0"/>
        <w:spacing w:before="50" w:after="156" w:afterLines="50" w:line="360" w:lineRule="exact"/>
        <w:ind w:firstLine="3896" w:firstLineChars="1617"/>
        <w:jc w:val="left"/>
        <w:outlineLvl w:val="0"/>
        <w:rPr>
          <w:rFonts w:ascii="宋体" w:hAnsi="宋体"/>
          <w:b/>
          <w:color w:val="auto"/>
          <w:sz w:val="24"/>
          <w:highlight w:val="none"/>
        </w:rPr>
      </w:pPr>
    </w:p>
    <w:p w14:paraId="198EE6DA">
      <w:pPr>
        <w:snapToGrid w:val="0"/>
        <w:spacing w:before="50" w:after="156" w:afterLines="50" w:line="360" w:lineRule="exact"/>
        <w:ind w:firstLine="3896" w:firstLineChars="1617"/>
        <w:jc w:val="left"/>
        <w:outlineLvl w:val="0"/>
        <w:rPr>
          <w:rFonts w:ascii="宋体" w:hAnsi="宋体"/>
          <w:b/>
          <w:color w:val="auto"/>
          <w:sz w:val="24"/>
          <w:highlight w:val="none"/>
        </w:rPr>
      </w:pPr>
    </w:p>
    <w:p w14:paraId="35E308EC">
      <w:pPr>
        <w:snapToGrid w:val="0"/>
        <w:spacing w:before="50" w:after="156" w:afterLines="50" w:line="360" w:lineRule="exact"/>
        <w:ind w:firstLine="3896" w:firstLineChars="1617"/>
        <w:jc w:val="left"/>
        <w:outlineLvl w:val="0"/>
        <w:rPr>
          <w:rFonts w:ascii="宋体" w:hAnsi="宋体"/>
          <w:b/>
          <w:color w:val="auto"/>
          <w:sz w:val="24"/>
          <w:highlight w:val="none"/>
        </w:rPr>
      </w:pPr>
      <w:r>
        <w:rPr>
          <w:rFonts w:hint="eastAsia" w:ascii="宋体" w:hAnsi="宋体"/>
          <w:b/>
          <w:color w:val="auto"/>
          <w:sz w:val="24"/>
          <w:highlight w:val="none"/>
        </w:rPr>
        <w:t>三、投标文件格式</w:t>
      </w:r>
    </w:p>
    <w:p w14:paraId="7B7E55F9">
      <w:pPr>
        <w:snapToGrid w:val="0"/>
        <w:spacing w:before="50" w:after="156" w:afterLines="50" w:line="360" w:lineRule="exact"/>
        <w:jc w:val="left"/>
        <w:outlineLvl w:val="0"/>
        <w:rPr>
          <w:rFonts w:ascii="宋体" w:hAnsi="宋体"/>
          <w:b/>
          <w:color w:val="auto"/>
          <w:szCs w:val="21"/>
          <w:highlight w:val="none"/>
        </w:rPr>
      </w:pPr>
    </w:p>
    <w:p w14:paraId="698B71C1">
      <w:pPr>
        <w:snapToGrid w:val="0"/>
        <w:spacing w:before="50" w:after="156" w:afterLines="50" w:line="360" w:lineRule="exact"/>
        <w:jc w:val="left"/>
        <w:outlineLvl w:val="0"/>
        <w:rPr>
          <w:rFonts w:ascii="宋体" w:hAnsi="宋体"/>
          <w:b/>
          <w:bCs/>
          <w:color w:val="auto"/>
          <w:szCs w:val="21"/>
          <w:highlight w:val="none"/>
        </w:rPr>
      </w:pPr>
      <w:r>
        <w:rPr>
          <w:rFonts w:hint="eastAsia" w:ascii="宋体" w:hAnsi="宋体"/>
          <w:b/>
          <w:color w:val="auto"/>
          <w:szCs w:val="21"/>
          <w:highlight w:val="none"/>
        </w:rPr>
        <w:t xml:space="preserve">  一）</w:t>
      </w:r>
      <w:r>
        <w:rPr>
          <w:rFonts w:hint="eastAsia" w:ascii="宋体" w:hAnsi="宋体"/>
          <w:b/>
          <w:bCs/>
          <w:color w:val="auto"/>
          <w:szCs w:val="21"/>
          <w:highlight w:val="none"/>
        </w:rPr>
        <w:t>资格文件部分（格式）</w:t>
      </w:r>
    </w:p>
    <w:p w14:paraId="4694373B">
      <w:pPr>
        <w:snapToGrid w:val="0"/>
        <w:spacing w:line="360" w:lineRule="exact"/>
        <w:ind w:firstLine="413" w:firstLineChars="196"/>
        <w:jc w:val="left"/>
        <w:rPr>
          <w:rFonts w:ascii="宋体" w:hAnsi="宋体"/>
          <w:color w:val="auto"/>
          <w:szCs w:val="21"/>
          <w:highlight w:val="none"/>
        </w:rPr>
      </w:pPr>
      <w:r>
        <w:rPr>
          <w:rFonts w:hint="eastAsia" w:ascii="宋体" w:hAnsi="宋体"/>
          <w:b/>
          <w:color w:val="auto"/>
          <w:szCs w:val="21"/>
          <w:highlight w:val="none"/>
        </w:rPr>
        <w:t>（1）</w:t>
      </w:r>
      <w:r>
        <w:rPr>
          <w:rFonts w:hint="eastAsia" w:ascii="宋体" w:hAnsi="宋体"/>
          <w:color w:val="auto"/>
          <w:szCs w:val="21"/>
          <w:highlight w:val="none"/>
        </w:rPr>
        <w:t>有效的营业执照等证明文件复印件；</w:t>
      </w:r>
    </w:p>
    <w:p w14:paraId="12486CA2">
      <w:pPr>
        <w:pStyle w:val="28"/>
        <w:adjustRightInd w:val="0"/>
        <w:snapToGrid w:val="0"/>
        <w:spacing w:line="400" w:lineRule="exact"/>
        <w:ind w:firstLine="424" w:firstLineChars="202"/>
        <w:rPr>
          <w:rFonts w:hAnsi="宋体"/>
          <w:b/>
          <w:color w:val="auto"/>
          <w:highlight w:val="none"/>
        </w:rPr>
      </w:pPr>
      <w:r>
        <w:rPr>
          <w:rFonts w:hint="eastAsia" w:hAnsi="宋体"/>
          <w:color w:val="auto"/>
          <w:highlight w:val="none"/>
        </w:rPr>
        <w:t>①投标人有效的营业执照等证明文件扫描件或其他电子文件，同时要加盖单位公章</w:t>
      </w:r>
      <w:r>
        <w:rPr>
          <w:rFonts w:hint="eastAsia" w:hAnsi="宋体"/>
          <w:b/>
          <w:color w:val="auto"/>
          <w:highlight w:val="none"/>
        </w:rPr>
        <w:t>（必须提供）</w:t>
      </w:r>
      <w:r>
        <w:rPr>
          <w:rFonts w:hint="eastAsia" w:hAnsi="宋体"/>
          <w:color w:val="auto"/>
          <w:highlight w:val="none"/>
        </w:rPr>
        <w:t>；</w:t>
      </w:r>
    </w:p>
    <w:p w14:paraId="6822A536">
      <w:pPr>
        <w:snapToGrid w:val="0"/>
        <w:spacing w:line="360" w:lineRule="exact"/>
        <w:ind w:firstLine="424" w:firstLineChars="202"/>
        <w:jc w:val="left"/>
        <w:rPr>
          <w:rFonts w:hAnsi="宋体"/>
          <w:b/>
          <w:color w:val="auto"/>
          <w:highlight w:val="none"/>
        </w:rPr>
      </w:pPr>
      <w:r>
        <w:rPr>
          <w:rFonts w:hint="eastAsia" w:hAnsi="宋体"/>
          <w:color w:val="auto"/>
          <w:highlight w:val="none"/>
        </w:rPr>
        <w:t>②对于有经营资质要求的，投标人必须提供有效的经营资质证书副本内页扫描件或其他电子文件，同时要加盖单位公章。</w:t>
      </w:r>
    </w:p>
    <w:p w14:paraId="2D06B3BE">
      <w:pPr>
        <w:snapToGrid w:val="0"/>
        <w:spacing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b/>
          <w:color w:val="auto"/>
          <w:szCs w:val="21"/>
          <w:highlight w:val="none"/>
        </w:rPr>
        <w:t>和信用记录查询方法；</w:t>
      </w:r>
    </w:p>
    <w:p w14:paraId="6414A335">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①</w:t>
      </w:r>
      <w:r>
        <w:rPr>
          <w:rFonts w:hint="eastAsia" w:ascii="宋体" w:hAnsi="宋体" w:cs="宋体"/>
          <w:color w:val="auto"/>
          <w:kern w:val="0"/>
          <w:szCs w:val="21"/>
          <w:highlight w:val="none"/>
        </w:rPr>
        <w:t>参加政府采购活动前三年内在经营活动中没有</w:t>
      </w:r>
      <w:r>
        <w:rPr>
          <w:rFonts w:hint="eastAsia" w:ascii="宋体" w:hAnsi="宋体" w:cs="宋体"/>
          <w:b/>
          <w:color w:val="auto"/>
          <w:kern w:val="0"/>
          <w:szCs w:val="21"/>
          <w:highlight w:val="none"/>
        </w:rPr>
        <w:t>重大违法记录的书面声明</w:t>
      </w:r>
      <w:r>
        <w:rPr>
          <w:rFonts w:hint="eastAsia" w:ascii="宋体" w:hAnsi="宋体"/>
          <w:color w:val="auto"/>
          <w:szCs w:val="21"/>
          <w:highlight w:val="none"/>
        </w:rPr>
        <w:t>（格式自拟，必须提供）；</w:t>
      </w:r>
    </w:p>
    <w:p w14:paraId="3E7DBF6F">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②供应商可在“信用中国”网站（www.creditchina.gov.cn）、中国政府采购网（www.ccgp.gov.cn）查询相关供应商主体信用记录。</w:t>
      </w:r>
    </w:p>
    <w:p w14:paraId="18C17463">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“信用中国”网站查询方法：投标人在本项目投标截止时间前10日内,进入投标人基本信息页面，点击“下载信用报告”后点击“下载”。</w:t>
      </w:r>
    </w:p>
    <w:p w14:paraId="007DE058">
      <w:pPr>
        <w:snapToGrid w:val="0"/>
        <w:spacing w:line="360" w:lineRule="exact"/>
        <w:ind w:firstLine="411" w:firstLineChars="196"/>
        <w:jc w:val="left"/>
        <w:rPr>
          <w:rFonts w:ascii="宋体" w:hAnsi="宋体"/>
          <w:color w:val="auto"/>
          <w:szCs w:val="21"/>
          <w:highlight w:val="none"/>
        </w:rPr>
      </w:pPr>
      <w:r>
        <w:rPr>
          <w:rFonts w:hint="eastAsia" w:ascii="宋体" w:hAnsi="宋体"/>
          <w:color w:val="auto"/>
          <w:szCs w:val="21"/>
          <w:highlight w:val="none"/>
        </w:rPr>
        <w:t xml:space="preserve"> “中国政府采购网”的查询方法：点击“政府采购严重违法失信行为记录名单”进行查询。截止时间为本项目投标截止时间前10日至投标截止时间中任意一天。</w:t>
      </w:r>
    </w:p>
    <w:p w14:paraId="0584BE9A">
      <w:pPr>
        <w:snapToGrid w:val="0"/>
        <w:spacing w:line="360" w:lineRule="exact"/>
        <w:ind w:firstLine="411" w:firstLineChars="196"/>
        <w:jc w:val="left"/>
        <w:rPr>
          <w:rFonts w:ascii="宋体" w:hAnsi="宋体"/>
          <w:b/>
          <w:color w:val="auto"/>
          <w:szCs w:val="21"/>
          <w:highlight w:val="none"/>
        </w:rPr>
      </w:pPr>
      <w:r>
        <w:rPr>
          <w:rFonts w:hint="eastAsia" w:ascii="宋体" w:hAnsi="宋体"/>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629A24C0">
      <w:pPr>
        <w:snapToGrid w:val="0"/>
        <w:spacing w:line="360" w:lineRule="exact"/>
        <w:jc w:val="center"/>
        <w:rPr>
          <w:rFonts w:ascii="宋体" w:hAnsi="宋体" w:cs="宋体"/>
          <w:b/>
          <w:color w:val="auto"/>
          <w:kern w:val="0"/>
          <w:sz w:val="28"/>
          <w:szCs w:val="28"/>
          <w:highlight w:val="none"/>
        </w:rPr>
      </w:pPr>
      <w:r>
        <w:rPr>
          <w:rFonts w:hint="eastAsia" w:ascii="宋体" w:hAnsi="宋体"/>
          <w:b/>
          <w:color w:val="auto"/>
          <w:szCs w:val="21"/>
          <w:highlight w:val="none"/>
        </w:rPr>
        <w:t xml:space="preserve"> </w:t>
      </w:r>
    </w:p>
    <w:p w14:paraId="7090644D">
      <w:pPr>
        <w:snapToGrid w:val="0"/>
        <w:spacing w:line="360" w:lineRule="exact"/>
        <w:jc w:val="center"/>
        <w:rPr>
          <w:rFonts w:ascii="宋体" w:hAnsi="宋体" w:cs="宋体"/>
          <w:b/>
          <w:color w:val="auto"/>
          <w:kern w:val="0"/>
          <w:sz w:val="28"/>
          <w:szCs w:val="28"/>
          <w:highlight w:val="none"/>
        </w:rPr>
      </w:pPr>
    </w:p>
    <w:p w14:paraId="5AF40FF5">
      <w:pPr>
        <w:snapToGrid w:val="0"/>
        <w:spacing w:line="360" w:lineRule="exact"/>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参加政府采购活动前三年内在经营活动中没有重大违法记录的书面声明</w:t>
      </w:r>
    </w:p>
    <w:p w14:paraId="3BB53A4D">
      <w:pPr>
        <w:snapToGrid w:val="0"/>
        <w:spacing w:line="360" w:lineRule="exact"/>
        <w:jc w:val="center"/>
        <w:rPr>
          <w:rFonts w:ascii="宋体" w:hAnsi="宋体"/>
          <w:b/>
          <w:color w:val="auto"/>
          <w:szCs w:val="21"/>
          <w:highlight w:val="none"/>
        </w:rPr>
      </w:pPr>
      <w:r>
        <w:rPr>
          <w:rFonts w:hint="eastAsia" w:ascii="宋体" w:hAnsi="宋体"/>
          <w:b/>
          <w:color w:val="auto"/>
          <w:szCs w:val="21"/>
          <w:highlight w:val="none"/>
        </w:rPr>
        <w:t>（格式自拟，必须提供）</w:t>
      </w:r>
    </w:p>
    <w:p w14:paraId="6CEA1AE1">
      <w:pPr>
        <w:snapToGrid w:val="0"/>
        <w:spacing w:line="360" w:lineRule="exact"/>
        <w:ind w:firstLine="413" w:firstLineChars="196"/>
        <w:jc w:val="center"/>
        <w:rPr>
          <w:rFonts w:ascii="宋体" w:hAnsi="宋体"/>
          <w:b/>
          <w:color w:val="auto"/>
          <w:szCs w:val="21"/>
          <w:highlight w:val="none"/>
        </w:rPr>
      </w:pPr>
    </w:p>
    <w:p w14:paraId="7555AF7C">
      <w:pPr>
        <w:snapToGrid w:val="0"/>
        <w:spacing w:line="360" w:lineRule="exact"/>
        <w:ind w:firstLine="413" w:firstLineChars="196"/>
        <w:jc w:val="center"/>
        <w:rPr>
          <w:rFonts w:ascii="宋体" w:hAnsi="宋体"/>
          <w:b/>
          <w:color w:val="auto"/>
          <w:szCs w:val="21"/>
          <w:highlight w:val="none"/>
        </w:rPr>
      </w:pPr>
    </w:p>
    <w:p w14:paraId="606BEFA1">
      <w:pPr>
        <w:snapToGrid w:val="0"/>
        <w:spacing w:line="360" w:lineRule="exact"/>
        <w:ind w:firstLine="413" w:firstLineChars="196"/>
        <w:jc w:val="center"/>
        <w:rPr>
          <w:rFonts w:ascii="宋体" w:hAnsi="宋体"/>
          <w:b/>
          <w:color w:val="auto"/>
          <w:szCs w:val="21"/>
          <w:highlight w:val="none"/>
        </w:rPr>
      </w:pPr>
    </w:p>
    <w:p w14:paraId="3C7C2083">
      <w:pPr>
        <w:snapToGrid w:val="0"/>
        <w:spacing w:line="360" w:lineRule="exact"/>
        <w:ind w:firstLine="413" w:firstLineChars="196"/>
        <w:jc w:val="center"/>
        <w:rPr>
          <w:rFonts w:ascii="宋体" w:hAnsi="宋体"/>
          <w:b/>
          <w:color w:val="auto"/>
          <w:szCs w:val="21"/>
          <w:highlight w:val="none"/>
        </w:rPr>
      </w:pPr>
    </w:p>
    <w:p w14:paraId="77FA7476">
      <w:pPr>
        <w:snapToGrid w:val="0"/>
        <w:spacing w:before="156" w:beforeLines="50" w:line="340" w:lineRule="exact"/>
        <w:ind w:firstLine="3509" w:firstLineChars="1671"/>
        <w:rPr>
          <w:rFonts w:ascii="宋体" w:hAnsi="宋体"/>
          <w:color w:val="auto"/>
          <w:szCs w:val="21"/>
          <w:highlight w:val="none"/>
        </w:rPr>
      </w:pPr>
      <w:r>
        <w:rPr>
          <w:rFonts w:hint="eastAsia" w:ascii="宋体" w:hAnsi="宋体"/>
          <w:color w:val="auto"/>
          <w:szCs w:val="21"/>
          <w:highlight w:val="none"/>
        </w:rPr>
        <w:t>法定代表人（或机构负责人）或委托代理人</w:t>
      </w:r>
      <w:r>
        <w:rPr>
          <w:rFonts w:hint="eastAsia" w:ascii="宋体" w:hAnsi="宋体"/>
          <w:color w:val="auto"/>
          <w:sz w:val="24"/>
          <w:highlight w:val="none"/>
        </w:rPr>
        <w:t>签名（或签章）</w:t>
      </w:r>
      <w:r>
        <w:rPr>
          <w:rFonts w:hint="eastAsia" w:ascii="宋体" w:hAnsi="宋体"/>
          <w:color w:val="auto"/>
          <w:szCs w:val="21"/>
          <w:highlight w:val="none"/>
        </w:rPr>
        <w:t xml:space="preserve">：             </w:t>
      </w:r>
    </w:p>
    <w:p w14:paraId="489EC130">
      <w:pPr>
        <w:snapToGrid w:val="0"/>
        <w:spacing w:before="156" w:beforeLines="50" w:after="50" w:line="340" w:lineRule="exact"/>
        <w:ind w:firstLine="3570" w:firstLineChars="1700"/>
        <w:rPr>
          <w:rFonts w:ascii="宋体" w:hAnsi="宋体"/>
          <w:color w:val="auto"/>
          <w:szCs w:val="21"/>
          <w:highlight w:val="none"/>
        </w:rPr>
      </w:pPr>
      <w:r>
        <w:rPr>
          <w:rFonts w:hint="eastAsia" w:ascii="宋体" w:hAnsi="宋体"/>
          <w:color w:val="auto"/>
          <w:szCs w:val="21"/>
          <w:highlight w:val="none"/>
        </w:rPr>
        <w:t xml:space="preserve">投标人公章：                                    </w:t>
      </w:r>
    </w:p>
    <w:p w14:paraId="66C7E19D">
      <w:pPr>
        <w:pStyle w:val="28"/>
        <w:tabs>
          <w:tab w:val="left" w:pos="5580"/>
        </w:tabs>
        <w:spacing w:line="360" w:lineRule="auto"/>
        <w:ind w:left="1080" w:leftChars="257" w:hanging="540"/>
        <w:rPr>
          <w:rFonts w:ascii="仿宋_GB2312" w:hAnsi="宋体" w:eastAsia="仿宋_GB2312"/>
          <w:b/>
          <w:color w:val="auto"/>
          <w:sz w:val="24"/>
          <w:highlight w:val="none"/>
        </w:rPr>
      </w:pPr>
      <w:r>
        <w:rPr>
          <w:rFonts w:hint="eastAsia" w:hAnsi="宋体"/>
          <w:color w:val="auto"/>
          <w:highlight w:val="none"/>
        </w:rPr>
        <w:t xml:space="preserve">                                          年    月    日</w:t>
      </w:r>
    </w:p>
    <w:p w14:paraId="601053BD">
      <w:pPr>
        <w:snapToGrid w:val="0"/>
        <w:spacing w:line="360" w:lineRule="exact"/>
        <w:ind w:firstLine="665" w:firstLineChars="368"/>
        <w:jc w:val="left"/>
        <w:rPr>
          <w:rFonts w:ascii="宋体" w:hAnsi="宋体" w:cs="宋体"/>
          <w:b/>
          <w:color w:val="auto"/>
          <w:kern w:val="0"/>
          <w:sz w:val="18"/>
          <w:szCs w:val="18"/>
          <w:highlight w:val="none"/>
        </w:rPr>
      </w:pPr>
      <w:r>
        <w:rPr>
          <w:rFonts w:hint="eastAsia" w:ascii="宋体" w:hAnsi="宋体" w:cs="宋体"/>
          <w:b/>
          <w:color w:val="auto"/>
          <w:kern w:val="0"/>
          <w:sz w:val="18"/>
          <w:szCs w:val="18"/>
          <w:highlight w:val="none"/>
        </w:rPr>
        <w:t>说明:1.投标人应按照相关法规规定如实做出书面声明。</w:t>
      </w:r>
    </w:p>
    <w:p w14:paraId="509537D7">
      <w:pPr>
        <w:snapToGrid w:val="0"/>
        <w:spacing w:line="360" w:lineRule="exact"/>
        <w:ind w:firstLine="1153" w:firstLineChars="638"/>
        <w:jc w:val="left"/>
        <w:rPr>
          <w:rFonts w:ascii="宋体" w:hAnsi="宋体" w:cs="宋体"/>
          <w:b/>
          <w:color w:val="auto"/>
          <w:kern w:val="0"/>
          <w:sz w:val="18"/>
          <w:szCs w:val="18"/>
          <w:highlight w:val="none"/>
        </w:rPr>
      </w:pPr>
      <w:r>
        <w:rPr>
          <w:rFonts w:hint="eastAsia" w:ascii="宋体" w:hAnsi="宋体" w:cs="宋体"/>
          <w:b/>
          <w:color w:val="auto"/>
          <w:kern w:val="0"/>
          <w:sz w:val="18"/>
          <w:szCs w:val="18"/>
          <w:highlight w:val="none"/>
        </w:rPr>
        <w:t>2．按照采购文件的规定盖章（自然人投标的无需盖章，需要签字或签章）。</w:t>
      </w:r>
    </w:p>
    <w:bookmarkEnd w:id="18"/>
    <w:bookmarkEnd w:id="19"/>
    <w:p w14:paraId="39971907">
      <w:pPr>
        <w:snapToGrid w:val="0"/>
        <w:spacing w:before="50" w:after="156" w:afterLines="50" w:line="360" w:lineRule="exact"/>
        <w:jc w:val="left"/>
        <w:outlineLvl w:val="0"/>
        <w:rPr>
          <w:rFonts w:ascii="宋体" w:hAnsi="宋体"/>
          <w:b/>
          <w:color w:val="auto"/>
          <w:szCs w:val="21"/>
          <w:highlight w:val="none"/>
        </w:rPr>
      </w:pPr>
    </w:p>
    <w:p w14:paraId="0F7F01F9">
      <w:pPr>
        <w:snapToGrid w:val="0"/>
        <w:spacing w:before="50" w:after="156" w:afterLines="50" w:line="360" w:lineRule="exact"/>
        <w:jc w:val="left"/>
        <w:outlineLvl w:val="0"/>
        <w:rPr>
          <w:rFonts w:ascii="宋体" w:hAnsi="宋体"/>
          <w:b/>
          <w:color w:val="auto"/>
          <w:szCs w:val="21"/>
          <w:highlight w:val="none"/>
        </w:rPr>
      </w:pPr>
    </w:p>
    <w:p w14:paraId="2A6A334F">
      <w:pPr>
        <w:snapToGrid w:val="0"/>
        <w:spacing w:before="50" w:after="156" w:afterLines="50" w:line="360" w:lineRule="exact"/>
        <w:jc w:val="left"/>
        <w:outlineLvl w:val="0"/>
        <w:rPr>
          <w:rFonts w:ascii="宋体" w:hAnsi="宋体"/>
          <w:b/>
          <w:color w:val="auto"/>
          <w:szCs w:val="21"/>
          <w:highlight w:val="none"/>
        </w:rPr>
      </w:pPr>
    </w:p>
    <w:p w14:paraId="3390F4BD">
      <w:pPr>
        <w:pStyle w:val="70"/>
        <w:ind w:firstLine="211"/>
        <w:rPr>
          <w:rFonts w:ascii="宋体" w:hAnsi="宋体"/>
          <w:b/>
          <w:color w:val="auto"/>
          <w:szCs w:val="21"/>
          <w:highlight w:val="none"/>
        </w:rPr>
      </w:pPr>
    </w:p>
    <w:p w14:paraId="766F7BBF">
      <w:pPr>
        <w:rPr>
          <w:rFonts w:ascii="宋体" w:hAnsi="宋体"/>
          <w:b/>
          <w:color w:val="auto"/>
          <w:szCs w:val="21"/>
          <w:highlight w:val="none"/>
        </w:rPr>
      </w:pPr>
    </w:p>
    <w:p w14:paraId="2EE2A300">
      <w:pPr>
        <w:pStyle w:val="70"/>
        <w:ind w:firstLine="211"/>
        <w:rPr>
          <w:rFonts w:ascii="宋体" w:hAnsi="宋体"/>
          <w:b/>
          <w:color w:val="auto"/>
          <w:szCs w:val="21"/>
          <w:highlight w:val="none"/>
        </w:rPr>
      </w:pPr>
    </w:p>
    <w:p w14:paraId="71BF7F58">
      <w:pPr>
        <w:rPr>
          <w:rFonts w:ascii="宋体" w:hAnsi="宋体"/>
          <w:b/>
          <w:color w:val="auto"/>
          <w:szCs w:val="21"/>
          <w:highlight w:val="none"/>
        </w:rPr>
      </w:pPr>
    </w:p>
    <w:p w14:paraId="2EBFCB0F">
      <w:pPr>
        <w:pStyle w:val="70"/>
        <w:ind w:firstLine="211"/>
        <w:rPr>
          <w:rFonts w:ascii="宋体" w:hAnsi="宋体"/>
          <w:b/>
          <w:color w:val="auto"/>
          <w:szCs w:val="21"/>
          <w:highlight w:val="none"/>
        </w:rPr>
      </w:pPr>
    </w:p>
    <w:p w14:paraId="502FA385">
      <w:pPr>
        <w:rPr>
          <w:rFonts w:ascii="宋体" w:hAnsi="宋体"/>
          <w:b/>
          <w:color w:val="auto"/>
          <w:szCs w:val="21"/>
          <w:highlight w:val="none"/>
        </w:rPr>
      </w:pPr>
    </w:p>
    <w:p w14:paraId="5FE5A40C">
      <w:pPr>
        <w:pStyle w:val="70"/>
        <w:ind w:firstLine="211"/>
        <w:rPr>
          <w:rFonts w:ascii="宋体" w:hAnsi="宋体"/>
          <w:b/>
          <w:color w:val="auto"/>
          <w:szCs w:val="21"/>
          <w:highlight w:val="none"/>
        </w:rPr>
      </w:pPr>
    </w:p>
    <w:p w14:paraId="5FB709D0">
      <w:pPr>
        <w:rPr>
          <w:rFonts w:ascii="宋体" w:hAnsi="宋体"/>
          <w:b/>
          <w:color w:val="auto"/>
          <w:szCs w:val="21"/>
          <w:highlight w:val="none"/>
        </w:rPr>
      </w:pPr>
    </w:p>
    <w:p w14:paraId="42949B65">
      <w:pPr>
        <w:pStyle w:val="70"/>
        <w:ind w:firstLine="211"/>
        <w:rPr>
          <w:rFonts w:ascii="宋体" w:hAnsi="宋体"/>
          <w:b/>
          <w:color w:val="auto"/>
          <w:szCs w:val="21"/>
          <w:highlight w:val="none"/>
        </w:rPr>
      </w:pPr>
    </w:p>
    <w:p w14:paraId="78A804FB">
      <w:pPr>
        <w:rPr>
          <w:rFonts w:ascii="宋体" w:hAnsi="宋体"/>
          <w:b/>
          <w:color w:val="auto"/>
          <w:szCs w:val="21"/>
          <w:highlight w:val="none"/>
        </w:rPr>
      </w:pPr>
    </w:p>
    <w:p w14:paraId="520D31A3">
      <w:pPr>
        <w:pStyle w:val="70"/>
        <w:ind w:firstLine="211"/>
        <w:rPr>
          <w:rFonts w:ascii="宋体" w:hAnsi="宋体"/>
          <w:b/>
          <w:color w:val="auto"/>
          <w:szCs w:val="21"/>
          <w:highlight w:val="none"/>
        </w:rPr>
      </w:pPr>
    </w:p>
    <w:p w14:paraId="5786F02E">
      <w:pPr>
        <w:rPr>
          <w:rFonts w:ascii="宋体" w:hAnsi="宋体"/>
          <w:b/>
          <w:color w:val="auto"/>
          <w:szCs w:val="21"/>
          <w:highlight w:val="none"/>
        </w:rPr>
      </w:pPr>
    </w:p>
    <w:p w14:paraId="6BD9D427">
      <w:pPr>
        <w:pStyle w:val="70"/>
        <w:ind w:firstLine="211"/>
        <w:rPr>
          <w:rFonts w:ascii="宋体" w:hAnsi="宋体"/>
          <w:b/>
          <w:color w:val="auto"/>
          <w:szCs w:val="21"/>
          <w:highlight w:val="none"/>
        </w:rPr>
      </w:pPr>
    </w:p>
    <w:p w14:paraId="269413F7">
      <w:pPr>
        <w:rPr>
          <w:color w:val="auto"/>
          <w:highlight w:val="none"/>
        </w:rPr>
      </w:pPr>
    </w:p>
    <w:p w14:paraId="648E673E">
      <w:pPr>
        <w:snapToGrid w:val="0"/>
        <w:spacing w:before="50" w:after="156" w:afterLines="50" w:line="360" w:lineRule="exact"/>
        <w:jc w:val="left"/>
        <w:outlineLvl w:val="0"/>
        <w:rPr>
          <w:rFonts w:ascii="宋体" w:hAnsi="宋体"/>
          <w:b/>
          <w:color w:val="auto"/>
          <w:szCs w:val="21"/>
          <w:highlight w:val="none"/>
        </w:rPr>
      </w:pPr>
      <w:r>
        <w:rPr>
          <w:rFonts w:hint="eastAsia" w:ascii="宋体" w:hAnsi="宋体"/>
          <w:b/>
          <w:color w:val="auto"/>
          <w:szCs w:val="21"/>
          <w:highlight w:val="none"/>
        </w:rPr>
        <w:t>二）</w:t>
      </w:r>
      <w:r>
        <w:rPr>
          <w:rFonts w:hint="eastAsia" w:ascii="宋体" w:hAnsi="宋体"/>
          <w:b/>
          <w:bCs/>
          <w:color w:val="auto"/>
          <w:szCs w:val="21"/>
          <w:highlight w:val="none"/>
        </w:rPr>
        <w:t>资信及商务文件部分（格式）</w:t>
      </w:r>
    </w:p>
    <w:p w14:paraId="25EBC671">
      <w:pPr>
        <w:snapToGrid w:val="0"/>
        <w:spacing w:before="50" w:after="156" w:afterLines="50" w:line="360" w:lineRule="exact"/>
        <w:ind w:firstLine="204" w:firstLineChars="97"/>
        <w:jc w:val="left"/>
        <w:rPr>
          <w:rFonts w:ascii="宋体" w:hAnsi="宋体"/>
          <w:b/>
          <w:color w:val="auto"/>
          <w:szCs w:val="21"/>
          <w:highlight w:val="none"/>
        </w:rPr>
      </w:pPr>
      <w:r>
        <w:rPr>
          <w:rFonts w:hint="eastAsia" w:ascii="宋体" w:hAnsi="宋体"/>
          <w:b/>
          <w:bCs/>
          <w:color w:val="auto"/>
          <w:szCs w:val="21"/>
          <w:highlight w:val="none"/>
        </w:rPr>
        <w:t>（1）</w:t>
      </w:r>
      <w:r>
        <w:rPr>
          <w:rFonts w:hint="eastAsia" w:ascii="宋体" w:hAnsi="宋体"/>
          <w:color w:val="auto"/>
          <w:szCs w:val="21"/>
          <w:highlight w:val="none"/>
        </w:rPr>
        <w:t>投标保证金的相关证明扫描件或其他电子文件</w:t>
      </w:r>
    </w:p>
    <w:p w14:paraId="185FC9A9">
      <w:pPr>
        <w:snapToGrid w:val="0"/>
        <w:spacing w:before="50" w:after="156" w:afterLines="50" w:line="360" w:lineRule="exact"/>
        <w:ind w:firstLine="204" w:firstLineChars="97"/>
        <w:jc w:val="left"/>
        <w:rPr>
          <w:rFonts w:ascii="宋体" w:hAnsi="宋体"/>
          <w:b/>
          <w:color w:val="auto"/>
          <w:szCs w:val="21"/>
          <w:highlight w:val="none"/>
        </w:rPr>
      </w:pPr>
    </w:p>
    <w:p w14:paraId="6CC3DEAE">
      <w:pPr>
        <w:snapToGrid w:val="0"/>
        <w:spacing w:before="50" w:after="156" w:afterLines="50" w:line="360" w:lineRule="exact"/>
        <w:ind w:firstLine="204" w:firstLineChars="97"/>
        <w:jc w:val="left"/>
        <w:rPr>
          <w:rFonts w:ascii="宋体" w:hAnsi="宋体"/>
          <w:b/>
          <w:color w:val="auto"/>
          <w:szCs w:val="21"/>
          <w:highlight w:val="none"/>
        </w:rPr>
      </w:pPr>
      <w:r>
        <w:rPr>
          <w:rFonts w:hint="eastAsia" w:ascii="宋体" w:hAnsi="宋体"/>
          <w:b/>
          <w:color w:val="auto"/>
          <w:szCs w:val="21"/>
          <w:highlight w:val="none"/>
        </w:rPr>
        <w:t>（2）投标声明书格式：</w:t>
      </w:r>
    </w:p>
    <w:p w14:paraId="4AB6A824">
      <w:pPr>
        <w:snapToGrid w:val="0"/>
        <w:spacing w:before="156" w:beforeLines="50" w:after="50" w:line="360" w:lineRule="exact"/>
        <w:jc w:val="center"/>
        <w:rPr>
          <w:rFonts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投标声明书</w:t>
      </w:r>
    </w:p>
    <w:p w14:paraId="5778A0CB">
      <w:pPr>
        <w:snapToGrid w:val="0"/>
        <w:spacing w:before="156" w:beforeLines="50" w:after="50" w:line="340" w:lineRule="exact"/>
        <w:rPr>
          <w:rFonts w:ascii="宋体" w:hAnsi="宋体"/>
          <w:color w:val="auto"/>
          <w:szCs w:val="21"/>
          <w:highlight w:val="none"/>
        </w:rPr>
      </w:pPr>
      <w:r>
        <w:rPr>
          <w:rFonts w:hint="eastAsia" w:ascii="宋体" w:hAnsi="宋体"/>
          <w:color w:val="auto"/>
          <w:szCs w:val="21"/>
          <w:highlight w:val="none"/>
        </w:rPr>
        <w:t>致：_</w:t>
      </w:r>
      <w:r>
        <w:rPr>
          <w:rFonts w:hint="eastAsia"/>
          <w:color w:val="auto"/>
          <w:highlight w:val="none"/>
          <w:u w:val="single"/>
        </w:rPr>
        <w:t>广西壮族自治区政府采购中心</w:t>
      </w:r>
      <w:r>
        <w:rPr>
          <w:rFonts w:hint="eastAsia" w:ascii="宋体" w:hAnsi="宋体"/>
          <w:color w:val="auto"/>
          <w:szCs w:val="21"/>
          <w:highlight w:val="none"/>
        </w:rPr>
        <w:t>：</w:t>
      </w:r>
    </w:p>
    <w:p w14:paraId="35141A6E">
      <w:pPr>
        <w:snapToGrid w:val="0"/>
        <w:spacing w:before="156" w:beforeLines="50" w:after="50" w:line="340" w:lineRule="exact"/>
        <w:ind w:firstLine="630" w:firstLineChars="300"/>
        <w:rPr>
          <w:rFonts w:ascii="宋体" w:hAnsi="宋体"/>
          <w:color w:val="auto"/>
          <w:szCs w:val="21"/>
          <w:highlight w:val="none"/>
        </w:rPr>
      </w:pPr>
      <w:r>
        <w:rPr>
          <w:rFonts w:hint="eastAsia" w:ascii="宋体" w:hAnsi="宋体"/>
          <w:color w:val="auto"/>
          <w:szCs w:val="21"/>
          <w:highlight w:val="none"/>
        </w:rPr>
        <w:t>______</w:t>
      </w:r>
      <w:r>
        <w:rPr>
          <w:rFonts w:hint="eastAsia" w:ascii="宋体" w:hAnsi="宋体"/>
          <w:color w:val="auto"/>
          <w:szCs w:val="21"/>
          <w:highlight w:val="none"/>
          <w:u w:val="single"/>
        </w:rPr>
        <w:t>_     _</w:t>
      </w:r>
      <w:r>
        <w:rPr>
          <w:rFonts w:hint="eastAsia" w:ascii="宋体" w:hAnsi="宋体"/>
          <w:color w:val="auto"/>
          <w:szCs w:val="21"/>
          <w:highlight w:val="none"/>
        </w:rPr>
        <w:t>_（投标人名称）系中华人民共和国合法企业，经营地址</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2B02A9B">
      <w:pPr>
        <w:snapToGrid w:val="0"/>
        <w:spacing w:before="156" w:beforeLines="50" w:after="50" w:line="340" w:lineRule="exact"/>
        <w:ind w:firstLine="645"/>
        <w:rPr>
          <w:rFonts w:ascii="宋体" w:hAnsi="宋体"/>
          <w:color w:val="auto"/>
          <w:szCs w:val="21"/>
          <w:highlight w:val="none"/>
        </w:rPr>
      </w:pPr>
      <w:r>
        <w:rPr>
          <w:rFonts w:hint="eastAsia" w:ascii="宋体" w:hAnsi="宋体"/>
          <w:color w:val="auto"/>
          <w:szCs w:val="21"/>
          <w:highlight w:val="none"/>
        </w:rPr>
        <w:t>我___</w:t>
      </w:r>
      <w:r>
        <w:rPr>
          <w:rFonts w:hint="eastAsia" w:ascii="宋体" w:hAnsi="宋体"/>
          <w:color w:val="auto"/>
          <w:szCs w:val="21"/>
          <w:highlight w:val="none"/>
          <w:u w:val="single"/>
        </w:rPr>
        <w:t xml:space="preserve">    _</w:t>
      </w:r>
      <w:r>
        <w:rPr>
          <w:rFonts w:hint="eastAsia" w:ascii="宋体" w:hAnsi="宋体"/>
          <w:color w:val="auto"/>
          <w:szCs w:val="21"/>
          <w:highlight w:val="none"/>
        </w:rPr>
        <w:t>_（姓名）系______</w:t>
      </w:r>
      <w:r>
        <w:rPr>
          <w:rFonts w:hint="eastAsia" w:ascii="宋体" w:hAnsi="宋体"/>
          <w:color w:val="auto"/>
          <w:szCs w:val="21"/>
          <w:highlight w:val="none"/>
          <w:u w:val="single"/>
        </w:rPr>
        <w:t>_     _</w:t>
      </w:r>
      <w:r>
        <w:rPr>
          <w:rFonts w:hint="eastAsia" w:ascii="宋体" w:hAnsi="宋体"/>
          <w:color w:val="auto"/>
          <w:szCs w:val="21"/>
          <w:highlight w:val="none"/>
        </w:rPr>
        <w:t>_（投标人名称）的法定代表人，我方愿意参加贵方组织的_____</w:t>
      </w:r>
      <w:r>
        <w:rPr>
          <w:rFonts w:hint="eastAsia" w:ascii="宋体" w:hAnsi="宋体"/>
          <w:color w:val="auto"/>
          <w:szCs w:val="21"/>
          <w:highlight w:val="none"/>
          <w:u w:val="single"/>
        </w:rPr>
        <w:t>_              _     _</w:t>
      </w:r>
      <w:r>
        <w:rPr>
          <w:rFonts w:hint="eastAsia" w:ascii="宋体" w:hAnsi="宋体"/>
          <w:color w:val="auto"/>
          <w:szCs w:val="21"/>
          <w:highlight w:val="none"/>
        </w:rPr>
        <w:t>_项目的投标，为便于贵方公正、择优地确定中标人及其投标产品和服务，我方就本次投标有关事项郑重声明如下：</w:t>
      </w:r>
    </w:p>
    <w:p w14:paraId="08875F3F">
      <w:pPr>
        <w:snapToGrid w:val="0"/>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1.我方向贵方提交的所有投标文件、资料都是准确的和真实的。</w:t>
      </w:r>
    </w:p>
    <w:p w14:paraId="306C21AB">
      <w:pPr>
        <w:snapToGrid w:val="0"/>
        <w:spacing w:before="156" w:beforeLines="50" w:line="340" w:lineRule="exact"/>
        <w:ind w:firstLine="420" w:firstLineChars="200"/>
        <w:rPr>
          <w:rFonts w:ascii="宋体" w:hAnsi="宋体"/>
          <w:color w:val="auto"/>
          <w:szCs w:val="21"/>
          <w:highlight w:val="none"/>
        </w:rPr>
      </w:pPr>
      <w:r>
        <w:rPr>
          <w:rFonts w:hint="eastAsia" w:ascii="宋体" w:hAnsi="宋体"/>
          <w:color w:val="auto"/>
          <w:szCs w:val="21"/>
          <w:highlight w:val="none"/>
        </w:rPr>
        <w:t>2.我方不是采购人的附属机构；在获知本项目采购信息后，与采购人聘请的为此项目提供咨询服务的公司及其附属机构没有任何联系。</w:t>
      </w:r>
    </w:p>
    <w:p w14:paraId="2D23C4EF">
      <w:pPr>
        <w:snapToGrid w:val="0"/>
        <w:spacing w:before="156" w:beforeLines="50" w:line="340" w:lineRule="exact"/>
        <w:ind w:firstLine="420" w:firstLineChars="200"/>
        <w:rPr>
          <w:rFonts w:ascii="宋体" w:hAnsi="宋体"/>
          <w:color w:val="auto"/>
          <w:szCs w:val="21"/>
          <w:highlight w:val="none"/>
        </w:rPr>
      </w:pPr>
      <w:r>
        <w:rPr>
          <w:rFonts w:hint="eastAsia" w:ascii="宋体" w:hAnsi="宋体"/>
          <w:color w:val="auto"/>
          <w:szCs w:val="21"/>
          <w:highlight w:val="none"/>
        </w:rPr>
        <w:t>3.我方此次向贵方提供的产品名称为：</w:t>
      </w:r>
      <w:r>
        <w:rPr>
          <w:rFonts w:hint="eastAsia" w:ascii="宋体" w:hAnsi="宋体"/>
          <w:color w:val="auto"/>
          <w:szCs w:val="21"/>
          <w:highlight w:val="none"/>
          <w:u w:val="single"/>
        </w:rPr>
        <w:t xml:space="preserve">                 </w:t>
      </w:r>
      <w:r>
        <w:rPr>
          <w:rFonts w:hint="eastAsia" w:ascii="宋体" w:hAnsi="宋体"/>
          <w:color w:val="auto"/>
          <w:szCs w:val="21"/>
          <w:highlight w:val="none"/>
        </w:rPr>
        <w:t>；规格型号：</w:t>
      </w:r>
      <w:r>
        <w:rPr>
          <w:rFonts w:hint="eastAsia" w:ascii="宋体" w:hAnsi="宋体"/>
          <w:color w:val="auto"/>
          <w:szCs w:val="21"/>
          <w:highlight w:val="none"/>
          <w:u w:val="single"/>
        </w:rPr>
        <w:t xml:space="preserve">                     </w:t>
      </w:r>
      <w:r>
        <w:rPr>
          <w:rFonts w:hint="eastAsia" w:ascii="宋体" w:hAnsi="宋体"/>
          <w:color w:val="auto"/>
          <w:szCs w:val="21"/>
          <w:highlight w:val="none"/>
        </w:rPr>
        <w:t>；该型号产品我方有现货可供，并已于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月生产完工或向　</w:t>
      </w:r>
      <w:r>
        <w:rPr>
          <w:rFonts w:hint="eastAsia" w:ascii="宋体" w:hAnsi="宋体"/>
          <w:color w:val="auto"/>
          <w:szCs w:val="21"/>
          <w:highlight w:val="none"/>
          <w:u w:val="single"/>
        </w:rPr>
        <w:t xml:space="preserve">　              </w:t>
      </w:r>
      <w:r>
        <w:rPr>
          <w:rFonts w:hint="eastAsia" w:ascii="宋体" w:hAnsi="宋体"/>
          <w:color w:val="auto"/>
          <w:szCs w:val="21"/>
          <w:highlight w:val="none"/>
        </w:rPr>
        <w:t>（原厂商名称）购进［</w:t>
      </w:r>
      <w:r>
        <w:rPr>
          <w:rFonts w:hint="eastAsia" w:ascii="宋体" w:hAnsi="宋体"/>
          <w:b/>
          <w:bCs/>
          <w:color w:val="auto"/>
          <w:szCs w:val="21"/>
          <w:highlight w:val="none"/>
        </w:rPr>
        <w:t>或</w:t>
      </w:r>
      <w:r>
        <w:rPr>
          <w:rFonts w:hint="eastAsia" w:ascii="宋体" w:hAnsi="宋体"/>
          <w:color w:val="auto"/>
          <w:szCs w:val="21"/>
          <w:highlight w:val="none"/>
        </w:rPr>
        <w:t>需在中标后向</w:t>
      </w:r>
      <w:r>
        <w:rPr>
          <w:rFonts w:hint="eastAsia" w:ascii="宋体" w:hAnsi="宋体"/>
          <w:color w:val="auto"/>
          <w:szCs w:val="21"/>
          <w:highlight w:val="none"/>
          <w:u w:val="single"/>
        </w:rPr>
        <w:t xml:space="preserve">               </w:t>
      </w:r>
      <w:r>
        <w:rPr>
          <w:rFonts w:hint="eastAsia" w:ascii="宋体" w:hAnsi="宋体"/>
          <w:color w:val="auto"/>
          <w:szCs w:val="21"/>
          <w:highlight w:val="none"/>
        </w:rPr>
        <w:t>订购］。</w:t>
      </w:r>
    </w:p>
    <w:p w14:paraId="0E1BE6B9">
      <w:pPr>
        <w:snapToGrid w:val="0"/>
        <w:spacing w:before="156" w:beforeLines="50" w:line="340" w:lineRule="exact"/>
        <w:ind w:firstLine="420" w:firstLineChars="200"/>
        <w:rPr>
          <w:rFonts w:ascii="宋体" w:hAnsi="宋体"/>
          <w:color w:val="auto"/>
          <w:szCs w:val="21"/>
          <w:highlight w:val="none"/>
        </w:rPr>
      </w:pPr>
      <w:r>
        <w:rPr>
          <w:rFonts w:hint="eastAsia" w:ascii="宋体" w:hAnsi="宋体"/>
          <w:color w:val="auto"/>
          <w:szCs w:val="21"/>
          <w:highlight w:val="none"/>
        </w:rPr>
        <w:t>4.我方诚意提请贵方关注：近期有关该型号产品的生产、供货、售后服务以及性能等方面的重大决策和事项有：</w:t>
      </w:r>
    </w:p>
    <w:p w14:paraId="4103FE3E">
      <w:pPr>
        <w:snapToGrid w:val="0"/>
        <w:spacing w:before="156" w:beforeLines="50" w:line="340" w:lineRule="exact"/>
        <w:ind w:firstLine="420" w:firstLineChars="200"/>
        <w:rPr>
          <w:rFonts w:ascii="宋体" w:hAnsi="宋体"/>
          <w:color w:val="auto"/>
          <w:szCs w:val="21"/>
          <w:highlight w:val="none"/>
          <w:u w:val="single"/>
        </w:rPr>
      </w:pPr>
      <w:r>
        <w:rPr>
          <w:rFonts w:hint="eastAsia" w:ascii="宋体" w:hAnsi="宋体"/>
          <w:color w:val="auto"/>
          <w:szCs w:val="21"/>
          <w:highlight w:val="none"/>
          <w:u w:val="single"/>
        </w:rPr>
        <w:t>　　　　　　　　　　　　　　　　　　　　　　　　　　　</w:t>
      </w:r>
    </w:p>
    <w:p w14:paraId="4D82FE4C">
      <w:pPr>
        <w:snapToGrid w:val="0"/>
        <w:spacing w:before="156" w:beforeLines="50" w:line="340" w:lineRule="exact"/>
        <w:ind w:firstLine="420" w:firstLineChars="200"/>
        <w:rPr>
          <w:rFonts w:ascii="宋体" w:hAnsi="宋体"/>
          <w:color w:val="auto"/>
          <w:szCs w:val="21"/>
          <w:highlight w:val="none"/>
        </w:rPr>
      </w:pPr>
      <w:r>
        <w:rPr>
          <w:rFonts w:hint="eastAsia" w:ascii="宋体" w:hAnsi="宋体"/>
          <w:color w:val="auto"/>
          <w:szCs w:val="21"/>
          <w:highlight w:val="none"/>
          <w:u w:val="single"/>
        </w:rPr>
        <w:t>　　　　　　　　　　　　　　　　　　　　　　　　　　　</w:t>
      </w:r>
    </w:p>
    <w:p w14:paraId="2BFC71FB">
      <w:pPr>
        <w:rPr>
          <w:rFonts w:ascii="宋体" w:hAnsi="宋体"/>
          <w:color w:val="auto"/>
          <w:szCs w:val="21"/>
          <w:highlight w:val="none"/>
        </w:rPr>
      </w:pPr>
      <w:r>
        <w:rPr>
          <w:rFonts w:hint="eastAsia" w:ascii="宋体" w:hAnsi="宋体"/>
          <w:color w:val="auto"/>
          <w:szCs w:val="21"/>
          <w:highlight w:val="none"/>
        </w:rPr>
        <w:t>5. 我方参加政府采购活动前三年内在经营活动中重大违法记录和不良信用记录情况：</w:t>
      </w:r>
    </w:p>
    <w:p w14:paraId="702D1203">
      <w:pPr>
        <w:snapToGrid w:val="0"/>
        <w:spacing w:before="156" w:beforeLines="50" w:line="340" w:lineRule="exact"/>
        <w:ind w:firstLine="422" w:firstLineChars="200"/>
        <w:rPr>
          <w:rFonts w:ascii="宋体" w:hAnsi="宋体"/>
          <w:color w:val="auto"/>
          <w:szCs w:val="21"/>
          <w:highlight w:val="none"/>
          <w:u w:val="single"/>
        </w:rPr>
      </w:pPr>
      <w:r>
        <w:rPr>
          <w:rFonts w:hint="eastAsia" w:ascii="宋体" w:hAnsi="宋体"/>
          <w:b/>
          <w:color w:val="auto"/>
          <w:szCs w:val="21"/>
          <w:highlight w:val="none"/>
          <w:u w:val="single"/>
        </w:rPr>
        <w:t>　　　　　　</w:t>
      </w:r>
      <w:r>
        <w:rPr>
          <w:rFonts w:hint="eastAsia" w:ascii="宋体" w:hAnsi="宋体"/>
          <w:color w:val="auto"/>
          <w:szCs w:val="21"/>
          <w:highlight w:val="none"/>
          <w:u w:val="single"/>
        </w:rPr>
        <w:t>　　　　　　　　　　　　　　　　　　　　　</w:t>
      </w:r>
    </w:p>
    <w:p w14:paraId="469CF83A">
      <w:pPr>
        <w:snapToGrid w:val="0"/>
        <w:spacing w:before="156" w:beforeLines="50" w:line="340" w:lineRule="exact"/>
        <w:ind w:firstLine="420" w:firstLineChars="200"/>
        <w:rPr>
          <w:rFonts w:ascii="宋体" w:hAnsi="宋体"/>
          <w:color w:val="auto"/>
          <w:szCs w:val="21"/>
          <w:highlight w:val="none"/>
        </w:rPr>
      </w:pPr>
      <w:r>
        <w:rPr>
          <w:rFonts w:hint="eastAsia" w:ascii="宋体" w:hAnsi="宋体"/>
          <w:color w:val="auto"/>
          <w:szCs w:val="21"/>
          <w:highlight w:val="none"/>
        </w:rPr>
        <w:t>6.以上事项如有虚假或隐瞒，我方愿意承担一切后果。</w:t>
      </w:r>
    </w:p>
    <w:p w14:paraId="4485CAAD">
      <w:pPr>
        <w:snapToGrid w:val="0"/>
        <w:spacing w:before="156" w:beforeLines="50" w:line="340" w:lineRule="exact"/>
        <w:ind w:firstLine="3509" w:firstLineChars="1671"/>
        <w:rPr>
          <w:rFonts w:ascii="宋体" w:hAnsi="宋体"/>
          <w:color w:val="auto"/>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zCs w:val="21"/>
          <w:highlight w:val="none"/>
          <w:u w:val="single"/>
        </w:rPr>
        <w:t xml:space="preserve">             </w:t>
      </w:r>
    </w:p>
    <w:p w14:paraId="068B9876">
      <w:pPr>
        <w:snapToGrid w:val="0"/>
        <w:spacing w:before="156" w:beforeLines="50" w:after="50" w:line="340" w:lineRule="exact"/>
        <w:ind w:firstLine="3570" w:firstLineChars="1700"/>
        <w:rPr>
          <w:rFonts w:ascii="宋体" w:hAnsi="宋体"/>
          <w:color w:val="auto"/>
          <w:szCs w:val="21"/>
          <w:highlight w:val="none"/>
        </w:rPr>
      </w:pPr>
      <w:r>
        <w:rPr>
          <w:rFonts w:hint="eastAsia" w:ascii="宋体" w:hAnsi="宋体"/>
          <w:color w:val="auto"/>
          <w:szCs w:val="21"/>
          <w:highlight w:val="none"/>
        </w:rPr>
        <w:t>投标人公章：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431AC51F">
      <w:pPr>
        <w:snapToGrid w:val="0"/>
        <w:spacing w:before="156" w:beforeLines="50" w:after="50" w:line="340" w:lineRule="exact"/>
        <w:ind w:firstLine="210" w:firstLineChars="100"/>
        <w:rPr>
          <w:rFonts w:ascii="宋体" w:hAnsi="宋体"/>
          <w:color w:val="auto"/>
          <w:szCs w:val="21"/>
          <w:highlight w:val="none"/>
        </w:rPr>
      </w:pPr>
      <w:r>
        <w:rPr>
          <w:rFonts w:hint="eastAsia" w:ascii="宋体" w:hAnsi="宋体"/>
          <w:color w:val="auto"/>
          <w:szCs w:val="21"/>
          <w:highlight w:val="none"/>
        </w:rPr>
        <w:t xml:space="preserve">                                          年    月    日</w:t>
      </w:r>
    </w:p>
    <w:p w14:paraId="2F7514BB">
      <w:pPr>
        <w:widowControl/>
        <w:spacing w:before="100" w:beforeAutospacing="1" w:after="100" w:afterAutospacing="1" w:line="432" w:lineRule="auto"/>
        <w:ind w:firstLine="413" w:firstLineChars="196"/>
        <w:jc w:val="left"/>
        <w:rPr>
          <w:rFonts w:ascii="宋体" w:hAnsi="宋体"/>
          <w:b/>
          <w:color w:val="auto"/>
          <w:szCs w:val="21"/>
          <w:highlight w:val="none"/>
          <w:u w:val="single"/>
        </w:rPr>
      </w:pPr>
      <w:r>
        <w:rPr>
          <w:rFonts w:hint="eastAsia" w:ascii="宋体" w:hAnsi="宋体"/>
          <w:b/>
          <w:color w:val="auto"/>
          <w:szCs w:val="21"/>
          <w:highlight w:val="none"/>
          <w:u w:val="single"/>
        </w:rPr>
        <w:t>（重大违法记录，是指供应商因违法经营受到刑事处罚或者责令停产停业、吊销许可证或者执照、较大数额罚款等行政处罚。）</w:t>
      </w:r>
    </w:p>
    <w:p w14:paraId="1B79E8D0">
      <w:pPr>
        <w:snapToGrid w:val="0"/>
        <w:spacing w:before="50" w:after="156" w:afterLines="50" w:line="340" w:lineRule="exact"/>
        <w:jc w:val="left"/>
        <w:rPr>
          <w:rFonts w:ascii="宋体" w:hAnsi="宋体"/>
          <w:b/>
          <w:color w:val="auto"/>
          <w:szCs w:val="21"/>
          <w:highlight w:val="none"/>
        </w:rPr>
      </w:pPr>
      <w:r>
        <w:rPr>
          <w:rFonts w:hint="eastAsia" w:ascii="宋体" w:hAnsi="宋体"/>
          <w:b/>
          <w:color w:val="auto"/>
          <w:szCs w:val="21"/>
          <w:highlight w:val="none"/>
        </w:rPr>
        <w:t>（3）法定代表人授权委托书格式：</w:t>
      </w:r>
    </w:p>
    <w:p w14:paraId="6F074363">
      <w:pPr>
        <w:snapToGrid w:val="0"/>
        <w:spacing w:before="156" w:beforeLines="50" w:after="50" w:line="340" w:lineRule="exact"/>
        <w:jc w:val="center"/>
        <w:rPr>
          <w:rFonts w:ascii="仿宋_GB2312" w:hAnsi="宋体" w:eastAsia="仿宋_GB2312"/>
          <w:b/>
          <w:color w:val="auto"/>
          <w:sz w:val="30"/>
          <w:szCs w:val="30"/>
          <w:highlight w:val="none"/>
        </w:rPr>
      </w:pPr>
    </w:p>
    <w:p w14:paraId="6014977B">
      <w:pPr>
        <w:snapToGrid w:val="0"/>
        <w:spacing w:before="156" w:beforeLines="50" w:after="50" w:line="340" w:lineRule="exact"/>
        <w:jc w:val="center"/>
        <w:rPr>
          <w:rFonts w:ascii="仿宋_GB2312" w:hAnsi="宋体" w:eastAsia="仿宋_GB2312"/>
          <w:b/>
          <w:color w:val="auto"/>
          <w:sz w:val="30"/>
          <w:szCs w:val="30"/>
          <w:highlight w:val="none"/>
        </w:rPr>
      </w:pPr>
    </w:p>
    <w:p w14:paraId="3627FEC9">
      <w:pPr>
        <w:snapToGrid w:val="0"/>
        <w:spacing w:before="156" w:beforeLines="50" w:after="50" w:line="340" w:lineRule="exact"/>
        <w:jc w:val="center"/>
        <w:rPr>
          <w:rFonts w:ascii="仿宋_GB2312" w:hAnsi="宋体" w:eastAsia="仿宋_GB2312"/>
          <w:b/>
          <w:color w:val="auto"/>
          <w:sz w:val="30"/>
          <w:szCs w:val="30"/>
          <w:highlight w:val="none"/>
        </w:rPr>
      </w:pPr>
      <w:r>
        <w:rPr>
          <w:rFonts w:hint="eastAsia" w:ascii="仿宋_GB2312" w:hAnsi="宋体" w:eastAsia="仿宋_GB2312"/>
          <w:b/>
          <w:color w:val="auto"/>
          <w:sz w:val="30"/>
          <w:szCs w:val="30"/>
          <w:highlight w:val="none"/>
        </w:rPr>
        <w:t>法定代表人授权委托书</w:t>
      </w:r>
    </w:p>
    <w:p w14:paraId="5A923A27">
      <w:pPr>
        <w:snapToGrid w:val="0"/>
        <w:spacing w:before="156" w:beforeLines="50" w:after="50" w:line="480" w:lineRule="auto"/>
        <w:rPr>
          <w:rFonts w:ascii="宋体" w:hAnsi="宋体"/>
          <w:b/>
          <w:bCs/>
          <w:color w:val="auto"/>
          <w:szCs w:val="21"/>
          <w:highlight w:val="none"/>
        </w:rPr>
      </w:pPr>
      <w:r>
        <w:rPr>
          <w:rFonts w:hint="eastAsia" w:ascii="宋体" w:hAnsi="宋体"/>
          <w:bCs/>
          <w:color w:val="auto"/>
          <w:szCs w:val="21"/>
          <w:highlight w:val="none"/>
        </w:rPr>
        <w:t>致：</w:t>
      </w:r>
      <w:r>
        <w:rPr>
          <w:rFonts w:hint="eastAsia" w:ascii="宋体" w:hAnsi="宋体"/>
          <w:color w:val="auto"/>
          <w:szCs w:val="21"/>
          <w:highlight w:val="none"/>
        </w:rPr>
        <w:t>_</w:t>
      </w:r>
      <w:r>
        <w:rPr>
          <w:rFonts w:hint="eastAsia"/>
          <w:color w:val="auto"/>
          <w:highlight w:val="none"/>
          <w:u w:val="single"/>
        </w:rPr>
        <w:t>广西壮族自治区政府采购中心</w:t>
      </w:r>
      <w:r>
        <w:rPr>
          <w:rFonts w:hint="eastAsia" w:ascii="宋体" w:hAnsi="宋体"/>
          <w:color w:val="auto"/>
          <w:szCs w:val="21"/>
          <w:highlight w:val="none"/>
        </w:rPr>
        <w:t>：</w:t>
      </w:r>
    </w:p>
    <w:p w14:paraId="4799C7E3">
      <w:pPr>
        <w:snapToGrid w:val="0"/>
        <w:spacing w:before="156" w:beforeLines="50" w:after="50" w:line="480" w:lineRule="auto"/>
        <w:ind w:firstLine="630" w:firstLineChars="300"/>
        <w:rPr>
          <w:rFonts w:ascii="宋体" w:hAnsi="宋体"/>
          <w:color w:val="auto"/>
          <w:szCs w:val="21"/>
          <w:highlight w:val="none"/>
        </w:rPr>
      </w:pPr>
      <w:r>
        <w:rPr>
          <w:rFonts w:hint="eastAsia" w:ascii="宋体" w:hAnsi="宋体"/>
          <w:color w:val="auto"/>
          <w:szCs w:val="21"/>
          <w:highlight w:val="none"/>
        </w:rPr>
        <w:t>我______</w:t>
      </w:r>
      <w:r>
        <w:rPr>
          <w:rFonts w:hint="eastAsia" w:ascii="宋体" w:hAnsi="宋体"/>
          <w:color w:val="auto"/>
          <w:szCs w:val="21"/>
          <w:highlight w:val="none"/>
          <w:u w:val="single"/>
        </w:rPr>
        <w:t>_     _</w:t>
      </w:r>
      <w:r>
        <w:rPr>
          <w:rFonts w:hint="eastAsia" w:ascii="宋体" w:hAnsi="宋体"/>
          <w:color w:val="auto"/>
          <w:szCs w:val="21"/>
          <w:highlight w:val="none"/>
        </w:rPr>
        <w:t>_（姓名）系______</w:t>
      </w:r>
      <w:r>
        <w:rPr>
          <w:rFonts w:hint="eastAsia" w:ascii="宋体" w:hAnsi="宋体"/>
          <w:color w:val="auto"/>
          <w:szCs w:val="21"/>
          <w:highlight w:val="none"/>
          <w:u w:val="single"/>
        </w:rPr>
        <w:t>_     _</w:t>
      </w:r>
      <w:r>
        <w:rPr>
          <w:rFonts w:hint="eastAsia" w:ascii="宋体" w:hAnsi="宋体"/>
          <w:color w:val="auto"/>
          <w:szCs w:val="21"/>
          <w:highlight w:val="none"/>
        </w:rPr>
        <w:t xml:space="preserve">_（投标人名称）的法定代表人，现授权委托本单位在职职工 </w:t>
      </w:r>
      <w:r>
        <w:rPr>
          <w:rFonts w:hint="eastAsia" w:ascii="宋体" w:hAnsi="宋体"/>
          <w:color w:val="auto"/>
          <w:szCs w:val="21"/>
          <w:highlight w:val="none"/>
          <w:u w:val="single"/>
        </w:rPr>
        <w:t xml:space="preserve">              </w:t>
      </w:r>
      <w:r>
        <w:rPr>
          <w:rFonts w:hint="eastAsia" w:ascii="宋体" w:hAnsi="宋体"/>
          <w:color w:val="auto"/>
          <w:szCs w:val="21"/>
          <w:highlight w:val="none"/>
        </w:rPr>
        <w:t>（姓名）以我方的名义参加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项目的投标活动，并代表我方全权办理针对上述项目的投标、开标、评标、签约等具体事务和签署相关文件。</w:t>
      </w:r>
    </w:p>
    <w:p w14:paraId="4BED89BE">
      <w:pPr>
        <w:snapToGrid w:val="0"/>
        <w:spacing w:before="156" w:beforeLines="50" w:after="50" w:line="480" w:lineRule="auto"/>
        <w:rPr>
          <w:rFonts w:ascii="宋体" w:hAnsi="宋体"/>
          <w:color w:val="auto"/>
          <w:szCs w:val="21"/>
          <w:highlight w:val="none"/>
        </w:rPr>
      </w:pPr>
      <w:r>
        <w:rPr>
          <w:rFonts w:hint="eastAsia" w:ascii="宋体" w:hAnsi="宋体"/>
          <w:color w:val="auto"/>
          <w:szCs w:val="21"/>
          <w:highlight w:val="none"/>
        </w:rPr>
        <w:t xml:space="preserve">    我方对被授权人的签名事项负全部责任。</w:t>
      </w:r>
    </w:p>
    <w:p w14:paraId="63FF8B6C">
      <w:pPr>
        <w:snapToGrid w:val="0"/>
        <w:spacing w:before="156" w:beforeLines="50" w:after="50" w:line="480" w:lineRule="auto"/>
        <w:ind w:firstLine="480"/>
        <w:rPr>
          <w:rFonts w:ascii="宋体" w:hAnsi="宋体"/>
          <w:color w:val="auto"/>
          <w:szCs w:val="21"/>
          <w:highlight w:val="none"/>
        </w:rPr>
      </w:pPr>
      <w:r>
        <w:rPr>
          <w:rFonts w:hint="eastAsia" w:ascii="宋体" w:hAnsi="宋体"/>
          <w:color w:val="auto"/>
          <w:szCs w:val="21"/>
          <w:highlight w:val="none"/>
          <w:u w:val="single"/>
        </w:rPr>
        <w:t>在撤销授权的书面通知以前，本授权书一直有效。</w:t>
      </w:r>
      <w:r>
        <w:rPr>
          <w:rFonts w:hint="eastAsia" w:ascii="宋体" w:hAnsi="宋体"/>
          <w:color w:val="auto"/>
          <w:szCs w:val="21"/>
          <w:highlight w:val="none"/>
        </w:rPr>
        <w:t>被授权人在授权书有效期内签署的所有文件不因授权的撤销而失效。</w:t>
      </w:r>
    </w:p>
    <w:p w14:paraId="73E0C706">
      <w:pPr>
        <w:snapToGrid w:val="0"/>
        <w:spacing w:before="156" w:beforeLines="50" w:after="50" w:line="480" w:lineRule="auto"/>
        <w:ind w:firstLine="480"/>
        <w:rPr>
          <w:rFonts w:ascii="宋体" w:hAnsi="宋体"/>
          <w:color w:val="auto"/>
          <w:szCs w:val="21"/>
          <w:highlight w:val="none"/>
        </w:rPr>
      </w:pPr>
      <w:r>
        <w:rPr>
          <w:rFonts w:hint="eastAsia" w:ascii="宋体" w:hAnsi="宋体"/>
          <w:color w:val="auto"/>
          <w:szCs w:val="21"/>
          <w:highlight w:val="none"/>
        </w:rPr>
        <w:t>被授权人无转委托权，特此委托。</w:t>
      </w:r>
    </w:p>
    <w:p w14:paraId="3C9B0CEA">
      <w:pPr>
        <w:snapToGrid w:val="0"/>
        <w:spacing w:before="156" w:beforeLines="50" w:after="50" w:line="480" w:lineRule="auto"/>
        <w:rPr>
          <w:rFonts w:ascii="宋体" w:hAnsi="宋体"/>
          <w:color w:val="auto"/>
          <w:szCs w:val="21"/>
          <w:highlight w:val="none"/>
          <w:u w:val="single"/>
        </w:rPr>
      </w:pPr>
      <w:r>
        <w:rPr>
          <w:rFonts w:hint="eastAsia" w:ascii="宋体" w:hAnsi="宋体"/>
          <w:color w:val="auto"/>
          <w:szCs w:val="21"/>
          <w:highlight w:val="none"/>
        </w:rPr>
        <w:t>被授权人签名：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法定代表人签字（或签章）：</w:t>
      </w:r>
      <w:r>
        <w:rPr>
          <w:rFonts w:hint="eastAsia" w:ascii="宋体" w:hAnsi="宋体"/>
          <w:color w:val="auto"/>
          <w:szCs w:val="21"/>
          <w:highlight w:val="none"/>
          <w:u w:val="single"/>
        </w:rPr>
        <w:t xml:space="preserve">          </w:t>
      </w:r>
    </w:p>
    <w:p w14:paraId="3E5439DE">
      <w:pPr>
        <w:snapToGrid w:val="0"/>
        <w:spacing w:before="156" w:beforeLines="50" w:after="50" w:line="480" w:lineRule="auto"/>
        <w:rPr>
          <w:rFonts w:ascii="宋体" w:hAnsi="宋体"/>
          <w:color w:val="auto"/>
          <w:szCs w:val="21"/>
          <w:highlight w:val="none"/>
        </w:rPr>
      </w:pPr>
      <w:r>
        <w:rPr>
          <w:rFonts w:hint="eastAsia" w:ascii="宋体" w:hAnsi="宋体"/>
          <w:color w:val="auto"/>
          <w:szCs w:val="21"/>
          <w:highlight w:val="none"/>
        </w:rPr>
        <w:t>所在部门职务：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职务：</w:t>
      </w:r>
      <w:r>
        <w:rPr>
          <w:rFonts w:hint="eastAsia" w:ascii="宋体" w:hAnsi="宋体"/>
          <w:color w:val="auto"/>
          <w:szCs w:val="21"/>
          <w:highlight w:val="none"/>
          <w:u w:val="single"/>
        </w:rPr>
        <w:t xml:space="preserve">           </w:t>
      </w:r>
    </w:p>
    <w:p w14:paraId="4B5E3A66">
      <w:pPr>
        <w:snapToGrid w:val="0"/>
        <w:spacing w:before="156" w:beforeLines="50" w:after="50" w:line="480" w:lineRule="auto"/>
        <w:rPr>
          <w:rFonts w:ascii="宋体" w:hAnsi="宋体"/>
          <w:color w:val="auto"/>
          <w:szCs w:val="21"/>
          <w:highlight w:val="none"/>
        </w:rPr>
      </w:pPr>
      <w:r>
        <w:rPr>
          <w:rFonts w:hint="eastAsia" w:ascii="宋体" w:hAnsi="宋体"/>
          <w:color w:val="auto"/>
          <w:szCs w:val="21"/>
          <w:highlight w:val="none"/>
        </w:rPr>
        <w:t>被授权人身份证号码：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5A6A8E6B">
      <w:pPr>
        <w:snapToGrid w:val="0"/>
        <w:spacing w:before="156" w:beforeLines="50" w:after="50" w:line="480" w:lineRule="auto"/>
        <w:rPr>
          <w:rFonts w:ascii="宋体" w:hAnsi="宋体"/>
          <w:color w:val="auto"/>
          <w:szCs w:val="21"/>
          <w:highlight w:val="none"/>
        </w:rPr>
      </w:pPr>
      <w:r>
        <w:rPr>
          <w:rFonts w:hint="eastAsia" w:ascii="宋体" w:hAnsi="宋体"/>
          <w:color w:val="auto"/>
          <w:szCs w:val="21"/>
          <w:highlight w:val="none"/>
        </w:rPr>
        <w:t>贴附“委托代理人身份证复印件”（正反两面）</w:t>
      </w:r>
    </w:p>
    <w:p w14:paraId="2D995B6D">
      <w:pPr>
        <w:snapToGrid w:val="0"/>
        <w:spacing w:before="156" w:beforeLines="50" w:after="50" w:line="480" w:lineRule="auto"/>
        <w:rPr>
          <w:rFonts w:ascii="宋体" w:hAnsi="宋体"/>
          <w:color w:val="auto"/>
          <w:szCs w:val="21"/>
          <w:highlight w:val="none"/>
        </w:rPr>
      </w:pPr>
    </w:p>
    <w:p w14:paraId="18566B67">
      <w:pPr>
        <w:snapToGrid w:val="0"/>
        <w:spacing w:before="156" w:beforeLines="50" w:after="50" w:line="480" w:lineRule="auto"/>
        <w:rPr>
          <w:rFonts w:ascii="宋体" w:hAnsi="宋体"/>
          <w:color w:val="auto"/>
          <w:szCs w:val="21"/>
          <w:highlight w:val="none"/>
        </w:rPr>
      </w:pPr>
    </w:p>
    <w:p w14:paraId="5AC1250C">
      <w:pPr>
        <w:snapToGrid w:val="0"/>
        <w:spacing w:before="156" w:beforeLines="50" w:after="50" w:line="480" w:lineRule="auto"/>
        <w:rPr>
          <w:rFonts w:ascii="宋体" w:hAnsi="宋体"/>
          <w:color w:val="auto"/>
          <w:szCs w:val="21"/>
          <w:highlight w:val="none"/>
        </w:rPr>
      </w:pPr>
    </w:p>
    <w:p w14:paraId="0382C6D4">
      <w:pPr>
        <w:snapToGrid w:val="0"/>
        <w:spacing w:before="156" w:beforeLines="50" w:after="50" w:line="480" w:lineRule="auto"/>
        <w:ind w:firstLine="4620" w:firstLineChars="2200"/>
        <w:rPr>
          <w:rFonts w:ascii="宋体" w:hAnsi="宋体"/>
          <w:color w:val="auto"/>
          <w:szCs w:val="21"/>
          <w:highlight w:val="none"/>
        </w:rPr>
      </w:pPr>
      <w:r>
        <w:rPr>
          <w:rFonts w:hint="eastAsia" w:ascii="宋体" w:hAnsi="宋体"/>
          <w:color w:val="auto"/>
          <w:szCs w:val="21"/>
          <w:highlight w:val="none"/>
        </w:rPr>
        <w:t xml:space="preserve">  投标人公章：</w:t>
      </w:r>
    </w:p>
    <w:p w14:paraId="183D801B">
      <w:pPr>
        <w:snapToGrid w:val="0"/>
        <w:spacing w:before="156" w:beforeLines="50" w:after="50" w:line="480" w:lineRule="auto"/>
        <w:jc w:val="center"/>
        <w:rPr>
          <w:rFonts w:ascii="宋体" w:hAnsi="宋体"/>
          <w:color w:val="auto"/>
          <w:szCs w:val="21"/>
          <w:highlight w:val="none"/>
        </w:rPr>
      </w:pPr>
      <w:r>
        <w:rPr>
          <w:rFonts w:hint="eastAsia" w:ascii="宋体" w:hAnsi="宋体"/>
          <w:color w:val="auto"/>
          <w:szCs w:val="21"/>
          <w:highlight w:val="none"/>
        </w:rPr>
        <w:t xml:space="preserve">                                        年    月    日</w:t>
      </w:r>
    </w:p>
    <w:p w14:paraId="18C81AFF">
      <w:pPr>
        <w:snapToGrid w:val="0"/>
        <w:spacing w:before="312" w:beforeLines="100" w:after="312" w:afterLines="100" w:line="360" w:lineRule="exact"/>
        <w:ind w:firstLine="413" w:firstLineChars="196"/>
        <w:jc w:val="left"/>
        <w:rPr>
          <w:rFonts w:ascii="宋体" w:hAnsi="宋体"/>
          <w:b/>
          <w:color w:val="auto"/>
          <w:szCs w:val="21"/>
          <w:highlight w:val="none"/>
        </w:rPr>
      </w:pPr>
    </w:p>
    <w:p w14:paraId="03897BE2">
      <w:pPr>
        <w:snapToGrid w:val="0"/>
        <w:spacing w:before="312" w:beforeLines="100" w:after="312" w:afterLines="10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（4）投标截止之日前半年内投标人连续三个月的依法缴纳税费或依法免缴税费的证明（扫描件或其他电子文件，格式自拟）（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无纳税记录的，应提供由投标人所在地主管国税或地税部门出具的《依法纳税或依法免税证明》（格式自拟，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14:paraId="22E8B3E7">
      <w:pPr>
        <w:snapToGrid w:val="0"/>
        <w:spacing w:before="312" w:beforeLines="100" w:after="312" w:afterLines="100" w:line="360" w:lineRule="exact"/>
        <w:ind w:firstLine="413" w:firstLineChars="196"/>
        <w:jc w:val="left"/>
        <w:rPr>
          <w:rFonts w:ascii="宋体" w:hAnsi="宋体"/>
          <w:b/>
          <w:color w:val="auto"/>
          <w:szCs w:val="21"/>
          <w:highlight w:val="none"/>
        </w:rPr>
      </w:pPr>
      <w:r>
        <w:rPr>
          <w:rFonts w:hint="eastAsia" w:ascii="宋体" w:hAnsi="宋体"/>
          <w:b/>
          <w:color w:val="auto"/>
          <w:szCs w:val="21"/>
          <w:highlight w:val="none"/>
        </w:rPr>
        <w:t>（5）投标截止之日前半年内投标人连续三个月的依法缴纳社保费的缴费凭证</w:t>
      </w:r>
      <w:r>
        <w:rPr>
          <w:rFonts w:hint="eastAsia" w:ascii="宋体" w:hAnsi="宋体"/>
          <w:color w:val="auto"/>
          <w:szCs w:val="21"/>
          <w:highlight w:val="none"/>
        </w:rPr>
        <w:t>（</w:t>
      </w:r>
      <w:r>
        <w:rPr>
          <w:rFonts w:hint="eastAsia" w:ascii="宋体" w:hAnsi="宋体"/>
          <w:b/>
          <w:color w:val="auto"/>
          <w:szCs w:val="21"/>
          <w:highlight w:val="none"/>
        </w:rPr>
        <w:t>扫描件或其他电子文件，格式自拟）（</w:t>
      </w:r>
      <w:r>
        <w:rPr>
          <w:rFonts w:hint="eastAsia" w:ascii="宋体" w:hAnsi="宋体"/>
          <w:b/>
          <w:color w:val="auto"/>
          <w:szCs w:val="21"/>
          <w:highlight w:val="none"/>
          <w:u w:val="single"/>
        </w:rPr>
        <w:t>必须提供</w:t>
      </w:r>
      <w:r>
        <w:rPr>
          <w:rFonts w:hint="eastAsia" w:ascii="宋体" w:hAnsi="宋体"/>
          <w:b/>
          <w:color w:val="auto"/>
          <w:szCs w:val="21"/>
          <w:highlight w:val="none"/>
        </w:rPr>
        <w:t>）；</w:t>
      </w:r>
      <w:r>
        <w:rPr>
          <w:rFonts w:hint="eastAsia" w:ascii="宋体" w:hAnsi="宋体"/>
          <w:color w:val="auto"/>
          <w:szCs w:val="21"/>
          <w:highlight w:val="none"/>
        </w:rPr>
        <w:t>无缴费记录的，应提供由投标人所在地社保部门出具的《依法缴纳或依法免缴社保费证明》（格式自拟，</w:t>
      </w:r>
      <w:r>
        <w:rPr>
          <w:rFonts w:hint="eastAsia" w:ascii="宋体" w:hAnsi="宋体"/>
          <w:b/>
          <w:color w:val="auto"/>
          <w:szCs w:val="21"/>
          <w:highlight w:val="none"/>
        </w:rPr>
        <w:t>扫描件或其他电子文件</w:t>
      </w:r>
      <w:r>
        <w:rPr>
          <w:rFonts w:hint="eastAsia" w:ascii="宋体" w:hAnsi="宋体"/>
          <w:color w:val="auto"/>
          <w:szCs w:val="21"/>
          <w:highlight w:val="none"/>
        </w:rPr>
        <w:t>）。</w:t>
      </w:r>
    </w:p>
    <w:p w14:paraId="4F32A7F1">
      <w:pPr>
        <w:snapToGrid w:val="0"/>
        <w:spacing w:before="312" w:beforeLines="100" w:after="312" w:afterLines="100" w:line="360" w:lineRule="exact"/>
        <w:ind w:firstLine="422" w:firstLineChars="200"/>
        <w:jc w:val="left"/>
        <w:rPr>
          <w:rFonts w:hAnsi="宋体"/>
          <w:b/>
          <w:color w:val="auto"/>
          <w:szCs w:val="21"/>
          <w:highlight w:val="none"/>
        </w:rPr>
      </w:pPr>
      <w:r>
        <w:rPr>
          <w:rFonts w:hint="eastAsia" w:hAnsi="宋体"/>
          <w:b/>
          <w:color w:val="auto"/>
          <w:szCs w:val="21"/>
          <w:highlight w:val="none"/>
        </w:rPr>
        <w:t>（6）财务状况报告（</w:t>
      </w:r>
      <w:r>
        <w:rPr>
          <w:rFonts w:hint="eastAsia" w:hAnsi="宋体"/>
          <w:b/>
          <w:color w:val="auto"/>
          <w:szCs w:val="21"/>
          <w:highlight w:val="none"/>
          <w:u w:val="single"/>
        </w:rPr>
        <w:t>格式自拟，必须提供</w:t>
      </w:r>
      <w:r>
        <w:rPr>
          <w:rFonts w:hint="eastAsia" w:hAnsi="宋体"/>
          <w:b/>
          <w:color w:val="auto"/>
          <w:szCs w:val="21"/>
          <w:highlight w:val="none"/>
        </w:rPr>
        <w:t>）；</w:t>
      </w:r>
    </w:p>
    <w:p w14:paraId="15E2D93D">
      <w:pPr>
        <w:snapToGrid w:val="0"/>
        <w:spacing w:before="312" w:beforeLines="100" w:after="312" w:afterLines="100" w:line="360" w:lineRule="exact"/>
        <w:ind w:firstLine="413" w:firstLineChars="196"/>
        <w:jc w:val="left"/>
        <w:rPr>
          <w:rFonts w:hAnsi="宋体"/>
          <w:color w:val="auto"/>
          <w:szCs w:val="21"/>
          <w:highlight w:val="none"/>
        </w:rPr>
      </w:pPr>
      <w:r>
        <w:rPr>
          <w:rFonts w:hint="eastAsia" w:hAnsi="宋体" w:cs="宋体"/>
          <w:b/>
          <w:color w:val="auto"/>
          <w:kern w:val="0"/>
          <w:szCs w:val="21"/>
          <w:highlight w:val="none"/>
        </w:rPr>
        <w:t>（7）</w:t>
      </w:r>
      <w:r>
        <w:rPr>
          <w:rFonts w:hint="eastAsia" w:hAnsi="宋体"/>
          <w:b/>
          <w:color w:val="auto"/>
          <w:szCs w:val="21"/>
          <w:highlight w:val="none"/>
        </w:rPr>
        <w:t>具备履行合同所必需的设备和专业技术能力的证明材料（</w:t>
      </w:r>
      <w:r>
        <w:rPr>
          <w:rFonts w:hint="eastAsia" w:hAnsi="宋体"/>
          <w:b/>
          <w:color w:val="auto"/>
          <w:szCs w:val="21"/>
          <w:highlight w:val="none"/>
          <w:u w:val="single"/>
        </w:rPr>
        <w:t>内容、格式自拟，必须提供</w:t>
      </w:r>
      <w:r>
        <w:rPr>
          <w:rFonts w:hint="eastAsia" w:hAnsi="宋体"/>
          <w:b/>
          <w:color w:val="auto"/>
          <w:szCs w:val="21"/>
          <w:highlight w:val="none"/>
        </w:rPr>
        <w:t>）</w:t>
      </w:r>
      <w:r>
        <w:rPr>
          <w:rFonts w:hint="eastAsia" w:hAnsi="宋体" w:cs="宋体"/>
          <w:b/>
          <w:color w:val="auto"/>
          <w:kern w:val="0"/>
          <w:szCs w:val="21"/>
          <w:highlight w:val="none"/>
        </w:rPr>
        <w:t>；</w:t>
      </w:r>
    </w:p>
    <w:p w14:paraId="40F9C777">
      <w:pPr>
        <w:snapToGrid w:val="0"/>
        <w:spacing w:before="50" w:line="360" w:lineRule="exact"/>
        <w:jc w:val="left"/>
        <w:rPr>
          <w:rFonts w:ascii="宋体" w:hAnsi="宋体"/>
          <w:b/>
          <w:color w:val="auto"/>
          <w:szCs w:val="21"/>
          <w:highlight w:val="none"/>
        </w:rPr>
      </w:pPr>
      <w:r>
        <w:rPr>
          <w:rFonts w:hint="eastAsia" w:ascii="宋体" w:hAnsi="宋体"/>
          <w:b/>
          <w:color w:val="auto"/>
          <w:szCs w:val="21"/>
          <w:highlight w:val="none"/>
        </w:rPr>
        <w:t>（8）商务响应表格式：</w:t>
      </w:r>
    </w:p>
    <w:p w14:paraId="1823CC4B">
      <w:pPr>
        <w:snapToGrid w:val="0"/>
        <w:spacing w:before="50" w:line="360" w:lineRule="exact"/>
        <w:jc w:val="center"/>
        <w:rPr>
          <w:rFonts w:ascii="宋体" w:hAnsi="宋体"/>
          <w:color w:val="auto"/>
          <w:szCs w:val="21"/>
          <w:highlight w:val="none"/>
          <w:u w:val="single"/>
        </w:rPr>
      </w:pPr>
      <w:r>
        <w:rPr>
          <w:rFonts w:hint="eastAsia" w:ascii="宋体" w:hAnsi="宋体"/>
          <w:b/>
          <w:color w:val="auto"/>
          <w:szCs w:val="21"/>
          <w:highlight w:val="none"/>
        </w:rPr>
        <w:t>商务响应表</w:t>
      </w:r>
    </w:p>
    <w:p w14:paraId="37D3D9BC">
      <w:pPr>
        <w:snapToGrid w:val="0"/>
        <w:spacing w:before="50" w:line="360" w:lineRule="exact"/>
        <w:jc w:val="left"/>
        <w:rPr>
          <w:rFonts w:ascii="宋体" w:hAnsi="宋体"/>
          <w:color w:val="auto"/>
          <w:szCs w:val="21"/>
          <w:highlight w:val="none"/>
          <w:u w:val="single"/>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2955"/>
        <w:gridCol w:w="2625"/>
        <w:gridCol w:w="2340"/>
      </w:tblGrid>
      <w:tr w14:paraId="113D92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tcPr>
          <w:p w14:paraId="0A0CEE2F">
            <w:pPr>
              <w:snapToGrid w:val="0"/>
              <w:spacing w:before="156" w:beforeLines="50" w:line="360" w:lineRule="exact"/>
              <w:jc w:val="center"/>
              <w:rPr>
                <w:rFonts w:ascii="宋体" w:hAnsi="宋体"/>
                <w:color w:val="auto"/>
                <w:szCs w:val="21"/>
                <w:highlight w:val="none"/>
              </w:rPr>
            </w:pPr>
            <w:r>
              <w:rPr>
                <w:rFonts w:hint="eastAsia" w:ascii="宋体" w:hAnsi="宋体"/>
                <w:color w:val="auto"/>
                <w:szCs w:val="21"/>
                <w:highlight w:val="none"/>
              </w:rPr>
              <w:t>项号</w:t>
            </w:r>
          </w:p>
        </w:tc>
        <w:tc>
          <w:tcPr>
            <w:tcW w:w="2955" w:type="dxa"/>
            <w:tcBorders>
              <w:top w:val="single" w:color="auto" w:sz="4" w:space="0"/>
              <w:left w:val="single" w:color="auto" w:sz="4" w:space="0"/>
              <w:bottom w:val="single" w:color="auto" w:sz="4" w:space="0"/>
              <w:right w:val="single" w:color="auto" w:sz="4" w:space="0"/>
            </w:tcBorders>
          </w:tcPr>
          <w:p w14:paraId="4782CCBD">
            <w:pPr>
              <w:snapToGrid w:val="0"/>
              <w:spacing w:before="156" w:beforeLines="50" w:line="360" w:lineRule="exact"/>
              <w:jc w:val="center"/>
              <w:rPr>
                <w:rFonts w:ascii="宋体" w:hAnsi="宋体"/>
                <w:color w:val="auto"/>
                <w:szCs w:val="21"/>
                <w:highlight w:val="none"/>
              </w:rPr>
            </w:pPr>
            <w:r>
              <w:rPr>
                <w:rFonts w:hint="eastAsia" w:ascii="宋体" w:hAnsi="宋体"/>
                <w:color w:val="auto"/>
                <w:szCs w:val="21"/>
                <w:highlight w:val="none"/>
              </w:rPr>
              <w:t>招标文件要求</w:t>
            </w:r>
          </w:p>
        </w:tc>
        <w:tc>
          <w:tcPr>
            <w:tcW w:w="2625" w:type="dxa"/>
            <w:tcBorders>
              <w:top w:val="single" w:color="auto" w:sz="4" w:space="0"/>
              <w:left w:val="single" w:color="auto" w:sz="4" w:space="0"/>
              <w:bottom w:val="single" w:color="auto" w:sz="4" w:space="0"/>
              <w:right w:val="single" w:color="auto" w:sz="4" w:space="0"/>
            </w:tcBorders>
          </w:tcPr>
          <w:p w14:paraId="0FD30968">
            <w:pPr>
              <w:snapToGrid w:val="0"/>
              <w:spacing w:before="156" w:beforeLines="50" w:line="360" w:lineRule="exact"/>
              <w:jc w:val="center"/>
              <w:rPr>
                <w:rFonts w:ascii="宋体" w:hAnsi="宋体"/>
                <w:color w:val="auto"/>
                <w:szCs w:val="21"/>
                <w:highlight w:val="none"/>
              </w:rPr>
            </w:pPr>
            <w:r>
              <w:rPr>
                <w:rFonts w:hint="eastAsia" w:ascii="宋体" w:hAnsi="宋体"/>
                <w:color w:val="auto"/>
                <w:szCs w:val="21"/>
                <w:highlight w:val="none"/>
              </w:rPr>
              <w:t>是否提供并响应</w:t>
            </w:r>
          </w:p>
        </w:tc>
        <w:tc>
          <w:tcPr>
            <w:tcW w:w="2340" w:type="dxa"/>
            <w:tcBorders>
              <w:top w:val="single" w:color="auto" w:sz="4" w:space="0"/>
              <w:left w:val="single" w:color="auto" w:sz="4" w:space="0"/>
              <w:bottom w:val="single" w:color="auto" w:sz="4" w:space="0"/>
              <w:right w:val="single" w:color="auto" w:sz="4" w:space="0"/>
            </w:tcBorders>
          </w:tcPr>
          <w:p w14:paraId="0A641DE4">
            <w:pPr>
              <w:snapToGrid w:val="0"/>
              <w:spacing w:before="156" w:beforeLines="50" w:line="360" w:lineRule="exact"/>
              <w:jc w:val="center"/>
              <w:rPr>
                <w:rFonts w:ascii="宋体" w:hAnsi="宋体"/>
                <w:color w:val="auto"/>
                <w:szCs w:val="21"/>
                <w:highlight w:val="none"/>
              </w:rPr>
            </w:pPr>
            <w:r>
              <w:rPr>
                <w:rFonts w:hint="eastAsia" w:ascii="宋体" w:hAnsi="宋体"/>
                <w:color w:val="auto"/>
                <w:szCs w:val="21"/>
                <w:highlight w:val="none"/>
              </w:rPr>
              <w:t>投标人的承诺或说明</w:t>
            </w:r>
          </w:p>
        </w:tc>
      </w:tr>
      <w:tr w14:paraId="3F711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14:paraId="0279D81D">
            <w:pPr>
              <w:snapToGrid w:val="0"/>
              <w:jc w:val="center"/>
              <w:rPr>
                <w:rFonts w:ascii="宋体" w:hAnsi="宋体"/>
                <w:color w:val="auto"/>
                <w:szCs w:val="21"/>
                <w:highlight w:val="none"/>
              </w:rPr>
            </w:pPr>
            <w:r>
              <w:rPr>
                <w:rFonts w:hint="eastAsia" w:ascii="宋体" w:hAnsi="宋体"/>
                <w:color w:val="auto"/>
                <w:szCs w:val="21"/>
                <w:highlight w:val="none"/>
              </w:rPr>
              <w:t>1</w:t>
            </w:r>
          </w:p>
        </w:tc>
        <w:tc>
          <w:tcPr>
            <w:tcW w:w="2955" w:type="dxa"/>
            <w:tcBorders>
              <w:top w:val="single" w:color="auto" w:sz="4" w:space="0"/>
              <w:left w:val="single" w:color="auto" w:sz="4" w:space="0"/>
              <w:bottom w:val="single" w:color="auto" w:sz="4" w:space="0"/>
              <w:right w:val="single" w:color="auto" w:sz="4" w:space="0"/>
            </w:tcBorders>
            <w:vAlign w:val="center"/>
          </w:tcPr>
          <w:p w14:paraId="785ADD45">
            <w:pPr>
              <w:snapToGrid w:val="0"/>
              <w:jc w:val="center"/>
              <w:rPr>
                <w:rFonts w:ascii="宋体" w:hAnsi="宋体"/>
                <w:color w:val="auto"/>
                <w:szCs w:val="21"/>
                <w:highlight w:val="none"/>
              </w:rPr>
            </w:pPr>
            <w:r>
              <w:rPr>
                <w:rFonts w:hint="eastAsia" w:hAnsi="宋体" w:cs="宋体"/>
                <w:color w:val="auto"/>
                <w:szCs w:val="21"/>
                <w:highlight w:val="none"/>
              </w:rPr>
              <w:t>交付使用时间</w:t>
            </w:r>
            <w:r>
              <w:rPr>
                <w:rFonts w:hint="eastAsia" w:ascii="宋体" w:hAnsi="宋体" w:cs="宋体"/>
                <w:color w:val="auto"/>
                <w:kern w:val="0"/>
                <w:szCs w:val="21"/>
                <w:highlight w:val="none"/>
              </w:rPr>
              <w:t>：</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14:paraId="5610E65B">
            <w:pPr>
              <w:snapToGrid w:val="0"/>
              <w:ind w:firstLine="315" w:firstLineChars="150"/>
              <w:rPr>
                <w:rFonts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442FE4DF">
            <w:pPr>
              <w:snapToGrid w:val="0"/>
              <w:rPr>
                <w:rFonts w:ascii="宋体" w:hAnsi="宋体"/>
                <w:color w:val="auto"/>
                <w:szCs w:val="21"/>
                <w:highlight w:val="none"/>
              </w:rPr>
            </w:pPr>
          </w:p>
        </w:tc>
      </w:tr>
      <w:tr w14:paraId="09365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14:paraId="3EED6D9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955" w:type="dxa"/>
            <w:tcBorders>
              <w:top w:val="single" w:color="auto" w:sz="4" w:space="0"/>
              <w:left w:val="single" w:color="auto" w:sz="4" w:space="0"/>
              <w:bottom w:val="single" w:color="auto" w:sz="4" w:space="0"/>
              <w:right w:val="single" w:color="auto" w:sz="4" w:space="0"/>
            </w:tcBorders>
            <w:vAlign w:val="center"/>
          </w:tcPr>
          <w:p w14:paraId="2A46D3F4">
            <w:pPr>
              <w:snapToGrid w:val="0"/>
              <w:jc w:val="center"/>
              <w:rPr>
                <w:rFonts w:ascii="宋体" w:hAnsi="宋体"/>
                <w:color w:val="auto"/>
                <w:szCs w:val="21"/>
                <w:highlight w:val="none"/>
              </w:rPr>
            </w:pPr>
            <w:r>
              <w:rPr>
                <w:rFonts w:hint="eastAsia" w:ascii="宋体" w:hAnsi="宋体" w:cs="宋体"/>
                <w:color w:val="auto"/>
                <w:kern w:val="0"/>
                <w:szCs w:val="21"/>
                <w:highlight w:val="none"/>
              </w:rPr>
              <w:t>交货地点：</w:t>
            </w:r>
            <w:r>
              <w:rPr>
                <w:rFonts w:ascii="宋体" w:hAnsi="宋体"/>
                <w:color w:val="auto"/>
                <w:szCs w:val="21"/>
                <w:highlight w:val="none"/>
              </w:rPr>
              <w:t xml:space="preserve"> </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14:paraId="27EA1304">
            <w:pPr>
              <w:snapToGrid w:val="0"/>
              <w:rPr>
                <w:rFonts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02BD200A">
            <w:pPr>
              <w:snapToGrid w:val="0"/>
              <w:rPr>
                <w:rFonts w:ascii="宋体" w:hAnsi="宋体"/>
                <w:color w:val="auto"/>
                <w:szCs w:val="21"/>
                <w:highlight w:val="none"/>
              </w:rPr>
            </w:pPr>
          </w:p>
        </w:tc>
      </w:tr>
      <w:tr w14:paraId="030B6B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14:paraId="45CB4B3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955" w:type="dxa"/>
            <w:tcBorders>
              <w:top w:val="single" w:color="auto" w:sz="4" w:space="0"/>
              <w:left w:val="single" w:color="auto" w:sz="4" w:space="0"/>
              <w:bottom w:val="single" w:color="auto" w:sz="4" w:space="0"/>
              <w:right w:val="single" w:color="auto" w:sz="4" w:space="0"/>
            </w:tcBorders>
            <w:vAlign w:val="center"/>
          </w:tcPr>
          <w:p w14:paraId="1BF3D2F9">
            <w:pPr>
              <w:snapToGrid w:val="0"/>
              <w:jc w:val="center"/>
              <w:rPr>
                <w:rFonts w:ascii="宋体" w:hAnsi="宋体"/>
                <w:color w:val="auto"/>
                <w:szCs w:val="21"/>
                <w:highlight w:val="none"/>
              </w:rPr>
            </w:pPr>
            <w:r>
              <w:rPr>
                <w:rFonts w:hint="eastAsia" w:ascii="宋体" w:hAnsi="宋体" w:cs="宋体"/>
                <w:color w:val="auto"/>
                <w:kern w:val="0"/>
                <w:szCs w:val="21"/>
                <w:highlight w:val="none"/>
              </w:rPr>
              <w:t>付款方式：</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14:paraId="04BFF407">
            <w:pPr>
              <w:snapToGrid w:val="0"/>
              <w:ind w:left="43"/>
              <w:rPr>
                <w:rFonts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3EEC3546">
            <w:pPr>
              <w:snapToGrid w:val="0"/>
              <w:ind w:left="43"/>
              <w:rPr>
                <w:rFonts w:ascii="宋体" w:hAnsi="宋体"/>
                <w:color w:val="auto"/>
                <w:szCs w:val="21"/>
                <w:highlight w:val="none"/>
              </w:rPr>
            </w:pPr>
          </w:p>
        </w:tc>
      </w:tr>
      <w:tr w14:paraId="345FA0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548" w:type="dxa"/>
            <w:tcBorders>
              <w:top w:val="single" w:color="auto" w:sz="4" w:space="0"/>
              <w:left w:val="single" w:color="auto" w:sz="4" w:space="0"/>
              <w:bottom w:val="single" w:color="auto" w:sz="4" w:space="0"/>
              <w:right w:val="single" w:color="auto" w:sz="4" w:space="0"/>
            </w:tcBorders>
            <w:vAlign w:val="center"/>
          </w:tcPr>
          <w:p w14:paraId="7E01590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955" w:type="dxa"/>
            <w:tcBorders>
              <w:top w:val="single" w:color="auto" w:sz="4" w:space="0"/>
              <w:left w:val="single" w:color="auto" w:sz="4" w:space="0"/>
              <w:bottom w:val="single" w:color="auto" w:sz="4" w:space="0"/>
              <w:right w:val="single" w:color="auto" w:sz="4" w:space="0"/>
            </w:tcBorders>
            <w:vAlign w:val="center"/>
          </w:tcPr>
          <w:p w14:paraId="5C1CDC03">
            <w:pPr>
              <w:snapToGrid w:val="0"/>
              <w:ind w:left="105" w:hanging="105" w:hangingChars="50"/>
              <w:jc w:val="center"/>
              <w:rPr>
                <w:rFonts w:ascii="宋体" w:hAnsi="宋体"/>
                <w:color w:val="auto"/>
                <w:szCs w:val="21"/>
                <w:highlight w:val="none"/>
              </w:rPr>
            </w:pPr>
            <w:r>
              <w:rPr>
                <w:rFonts w:hint="eastAsia" w:ascii="宋体" w:hAnsi="宋体" w:cs="宋体"/>
                <w:color w:val="auto"/>
                <w:kern w:val="0"/>
                <w:szCs w:val="21"/>
                <w:highlight w:val="none"/>
              </w:rPr>
              <w:t>质保期：</w:t>
            </w: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14:paraId="4BD257DD">
            <w:pPr>
              <w:snapToGrid w:val="0"/>
              <w:rPr>
                <w:rFonts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447CDD49">
            <w:pPr>
              <w:snapToGrid w:val="0"/>
              <w:rPr>
                <w:rFonts w:ascii="宋体" w:hAnsi="宋体"/>
                <w:color w:val="auto"/>
                <w:szCs w:val="21"/>
                <w:highlight w:val="none"/>
              </w:rPr>
            </w:pPr>
          </w:p>
        </w:tc>
      </w:tr>
      <w:tr w14:paraId="52C24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1548" w:type="dxa"/>
            <w:tcBorders>
              <w:top w:val="single" w:color="auto" w:sz="4" w:space="0"/>
              <w:left w:val="single" w:color="auto" w:sz="4" w:space="0"/>
              <w:bottom w:val="single" w:color="auto" w:sz="4" w:space="0"/>
              <w:right w:val="single" w:color="auto" w:sz="4" w:space="0"/>
            </w:tcBorders>
            <w:vAlign w:val="center"/>
          </w:tcPr>
          <w:p w14:paraId="727C6543">
            <w:pPr>
              <w:snapToGrid w:val="0"/>
              <w:jc w:val="center"/>
              <w:rPr>
                <w:rFonts w:ascii="宋体" w:hAnsi="宋体"/>
                <w:color w:val="auto"/>
                <w:szCs w:val="21"/>
                <w:highlight w:val="none"/>
              </w:rPr>
            </w:pPr>
            <w:r>
              <w:rPr>
                <w:rFonts w:hint="eastAsia" w:ascii="宋体" w:hAnsi="宋体"/>
                <w:color w:val="auto"/>
                <w:szCs w:val="21"/>
                <w:highlight w:val="none"/>
              </w:rPr>
              <w:t>…</w:t>
            </w:r>
          </w:p>
        </w:tc>
        <w:tc>
          <w:tcPr>
            <w:tcW w:w="2955" w:type="dxa"/>
            <w:tcBorders>
              <w:top w:val="single" w:color="auto" w:sz="4" w:space="0"/>
              <w:left w:val="single" w:color="auto" w:sz="4" w:space="0"/>
              <w:bottom w:val="single" w:color="auto" w:sz="4" w:space="0"/>
              <w:right w:val="single" w:color="auto" w:sz="4" w:space="0"/>
            </w:tcBorders>
            <w:vAlign w:val="center"/>
          </w:tcPr>
          <w:p w14:paraId="1681FB54">
            <w:pPr>
              <w:snapToGrid w:val="0"/>
              <w:jc w:val="center"/>
              <w:rPr>
                <w:rFonts w:ascii="宋体" w:hAnsi="宋体"/>
                <w:color w:val="auto"/>
                <w:szCs w:val="21"/>
                <w:highlight w:val="none"/>
              </w:rPr>
            </w:pPr>
            <w:r>
              <w:rPr>
                <w:rFonts w:hint="eastAsia" w:ascii="宋体" w:hAnsi="宋体"/>
                <w:color w:val="auto"/>
                <w:szCs w:val="21"/>
                <w:highlight w:val="none"/>
              </w:rPr>
              <w:t>…</w:t>
            </w:r>
          </w:p>
        </w:tc>
        <w:tc>
          <w:tcPr>
            <w:tcW w:w="2625" w:type="dxa"/>
            <w:tcBorders>
              <w:top w:val="single" w:color="auto" w:sz="4" w:space="0"/>
              <w:left w:val="single" w:color="auto" w:sz="4" w:space="0"/>
              <w:bottom w:val="single" w:color="auto" w:sz="4" w:space="0"/>
              <w:right w:val="single" w:color="auto" w:sz="4" w:space="0"/>
            </w:tcBorders>
            <w:vAlign w:val="center"/>
          </w:tcPr>
          <w:p w14:paraId="526E6D30">
            <w:pPr>
              <w:snapToGrid w:val="0"/>
              <w:rPr>
                <w:rFonts w:ascii="宋体" w:hAnsi="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5139271A">
            <w:pPr>
              <w:snapToGrid w:val="0"/>
              <w:rPr>
                <w:rFonts w:ascii="宋体" w:hAnsi="宋体"/>
                <w:color w:val="auto"/>
                <w:szCs w:val="21"/>
                <w:highlight w:val="none"/>
              </w:rPr>
            </w:pPr>
          </w:p>
        </w:tc>
      </w:tr>
    </w:tbl>
    <w:p w14:paraId="01B4A190">
      <w:pPr>
        <w:snapToGrid w:val="0"/>
        <w:spacing w:before="50" w:after="50" w:line="360" w:lineRule="exact"/>
        <w:rPr>
          <w:rFonts w:ascii="宋体" w:hAnsi="宋体"/>
          <w:color w:val="auto"/>
          <w:spacing w:val="20"/>
          <w:szCs w:val="21"/>
          <w:highlight w:val="none"/>
        </w:rPr>
      </w:pPr>
    </w:p>
    <w:p w14:paraId="78C279BF">
      <w:pPr>
        <w:snapToGrid w:val="0"/>
        <w:spacing w:before="50" w:after="50" w:line="360" w:lineRule="exact"/>
        <w:ind w:firstLine="210" w:firstLineChars="100"/>
        <w:rPr>
          <w:rFonts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14:paraId="78D1801E">
      <w:pPr>
        <w:snapToGrid w:val="0"/>
        <w:spacing w:line="360" w:lineRule="exact"/>
        <w:ind w:firstLine="245" w:firstLineChars="98"/>
        <w:jc w:val="left"/>
        <w:rPr>
          <w:rFonts w:ascii="宋体" w:hAnsi="宋体"/>
          <w:color w:val="auto"/>
          <w:spacing w:val="20"/>
          <w:szCs w:val="21"/>
          <w:highlight w:val="none"/>
        </w:rPr>
      </w:pPr>
    </w:p>
    <w:p w14:paraId="1A3DFB4E">
      <w:pPr>
        <w:snapToGrid w:val="0"/>
        <w:spacing w:line="360" w:lineRule="exact"/>
        <w:ind w:firstLine="245" w:firstLineChars="98"/>
        <w:jc w:val="left"/>
        <w:rPr>
          <w:rFonts w:ascii="宋体" w:hAnsi="宋体"/>
          <w:b/>
          <w:color w:val="auto"/>
          <w:szCs w:val="21"/>
          <w:highlight w:val="non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14:paraId="77CCE59E">
      <w:pPr>
        <w:snapToGrid w:val="0"/>
        <w:spacing w:line="360" w:lineRule="exact"/>
        <w:ind w:firstLine="207" w:firstLineChars="98"/>
        <w:jc w:val="left"/>
        <w:rPr>
          <w:rFonts w:ascii="宋体" w:hAnsi="宋体"/>
          <w:b/>
          <w:color w:val="auto"/>
          <w:szCs w:val="21"/>
          <w:highlight w:val="none"/>
        </w:rPr>
      </w:pPr>
    </w:p>
    <w:p w14:paraId="0B3F745F">
      <w:pPr>
        <w:snapToGrid w:val="0"/>
        <w:spacing w:line="360" w:lineRule="exact"/>
        <w:ind w:left="840" w:hanging="840" w:hangingChars="400"/>
        <w:jc w:val="left"/>
        <w:rPr>
          <w:rFonts w:ascii="宋体" w:hAnsi="宋体"/>
          <w:b/>
          <w:color w:val="auto"/>
          <w:szCs w:val="21"/>
          <w:highlight w:val="none"/>
        </w:rPr>
      </w:pPr>
      <w:r>
        <w:rPr>
          <w:rFonts w:hAnsi="宋体"/>
          <w:color w:val="auto"/>
          <w:highlight w:val="none"/>
        </w:rPr>
        <w:br w:type="page"/>
      </w:r>
      <w:r>
        <w:rPr>
          <w:rFonts w:hint="eastAsia" w:hAnsi="宋体"/>
          <w:color w:val="auto"/>
          <w:highlight w:val="none"/>
        </w:rPr>
        <w:t>▲</w:t>
      </w:r>
      <w:r>
        <w:rPr>
          <w:rFonts w:hint="eastAsia" w:ascii="宋体" w:hAnsi="宋体"/>
          <w:b/>
          <w:color w:val="auto"/>
          <w:szCs w:val="21"/>
          <w:highlight w:val="none"/>
        </w:rPr>
        <w:t>（9）招标项目采购需求中要求必须提供的材料等；</w:t>
      </w:r>
      <w:r>
        <w:rPr>
          <w:rFonts w:hint="eastAsia" w:ascii="宋体" w:hAnsi="宋体"/>
          <w:color w:val="auto"/>
          <w:szCs w:val="21"/>
          <w:highlight w:val="none"/>
        </w:rPr>
        <w:t>（招标项目采购需求中要求必须提供的材料，据实提供）</w:t>
      </w:r>
    </w:p>
    <w:p w14:paraId="18496B59">
      <w:pPr>
        <w:snapToGrid w:val="0"/>
        <w:spacing w:before="312" w:beforeLines="100" w:after="312" w:afterLines="100" w:line="360" w:lineRule="exact"/>
        <w:ind w:firstLine="205" w:firstLineChars="98"/>
        <w:jc w:val="left"/>
        <w:rPr>
          <w:rFonts w:ascii="宋体" w:hAnsi="宋体"/>
          <w:b/>
          <w:color w:val="auto"/>
          <w:szCs w:val="21"/>
          <w:highlight w:val="none"/>
        </w:rPr>
      </w:pPr>
      <w:r>
        <w:rPr>
          <w:rFonts w:hint="eastAsia" w:ascii="宋体" w:hAnsi="宋体"/>
          <w:color w:val="auto"/>
          <w:szCs w:val="21"/>
          <w:highlight w:val="none"/>
        </w:rPr>
        <w:t xml:space="preserve"> （10）具备法律、行政法规规定的其他条件的证明材料</w:t>
      </w:r>
      <w:r>
        <w:rPr>
          <w:rFonts w:hint="eastAsia" w:ascii="宋体" w:hAnsi="宋体"/>
          <w:b/>
          <w:color w:val="auto"/>
          <w:szCs w:val="21"/>
          <w:highlight w:val="none"/>
        </w:rPr>
        <w:t>；</w:t>
      </w:r>
      <w:r>
        <w:rPr>
          <w:rFonts w:hint="eastAsia" w:ascii="宋体" w:hAnsi="宋体"/>
          <w:color w:val="auto"/>
          <w:szCs w:val="21"/>
          <w:highlight w:val="none"/>
        </w:rPr>
        <w:t>（格式自拟）</w:t>
      </w:r>
    </w:p>
    <w:p w14:paraId="13E0D5B2">
      <w:pPr>
        <w:snapToGrid w:val="0"/>
        <w:spacing w:before="312" w:beforeLines="100" w:after="312" w:afterLines="100" w:line="360" w:lineRule="exact"/>
        <w:ind w:firstLine="205" w:firstLineChars="98"/>
        <w:jc w:val="left"/>
        <w:rPr>
          <w:rFonts w:ascii="宋体" w:hAnsi="宋体"/>
          <w:b/>
          <w:color w:val="auto"/>
          <w:szCs w:val="21"/>
          <w:highlight w:val="none"/>
        </w:rPr>
      </w:pPr>
      <w:r>
        <w:rPr>
          <w:rFonts w:hint="eastAsia" w:ascii="宋体" w:hAnsi="宋体"/>
          <w:color w:val="auto"/>
          <w:szCs w:val="21"/>
          <w:highlight w:val="none"/>
        </w:rPr>
        <w:t xml:space="preserve"> （11）</w:t>
      </w:r>
      <w:r>
        <w:rPr>
          <w:rFonts w:hint="eastAsia" w:hAnsi="宋体"/>
          <w:color w:val="auto"/>
          <w:szCs w:val="21"/>
          <w:highlight w:val="none"/>
        </w:rPr>
        <w:t>类似案例成功的业绩（投标人同类项目实施情况一览表、合同扫描件）；</w:t>
      </w:r>
    </w:p>
    <w:p w14:paraId="765791CD">
      <w:pPr>
        <w:snapToGrid w:val="0"/>
        <w:spacing w:before="312" w:beforeLines="100" w:after="312" w:afterLines="100" w:line="360" w:lineRule="exact"/>
        <w:ind w:firstLine="420" w:firstLineChars="200"/>
        <w:jc w:val="left"/>
        <w:rPr>
          <w:rFonts w:hAnsi="宋体"/>
          <w:color w:val="auto"/>
          <w:szCs w:val="21"/>
          <w:highlight w:val="none"/>
        </w:rPr>
      </w:pPr>
      <w:r>
        <w:rPr>
          <w:rFonts w:hint="eastAsia" w:ascii="宋体" w:hAnsi="宋体" w:cs="宋体"/>
          <w:color w:val="auto"/>
          <w:szCs w:val="21"/>
          <w:highlight w:val="none"/>
        </w:rPr>
        <w:t>（12）</w:t>
      </w:r>
      <w:r>
        <w:rPr>
          <w:rFonts w:hint="eastAsia" w:hAnsi="宋体"/>
          <w:color w:val="auto"/>
          <w:szCs w:val="21"/>
          <w:highlight w:val="none"/>
        </w:rPr>
        <w:t>其他特殊资质证书（如本地化服务能力等）；</w:t>
      </w:r>
    </w:p>
    <w:p w14:paraId="6BCDDBCB">
      <w:pPr>
        <w:snapToGrid w:val="0"/>
        <w:spacing w:before="312" w:beforeLines="100" w:after="312" w:afterLines="100" w:line="360" w:lineRule="exact"/>
        <w:ind w:firstLine="411" w:firstLineChars="196"/>
        <w:jc w:val="left"/>
        <w:rPr>
          <w:rFonts w:hAnsi="宋体"/>
          <w:b/>
          <w:color w:val="auto"/>
          <w:szCs w:val="21"/>
          <w:highlight w:val="none"/>
        </w:rPr>
      </w:pPr>
      <w:r>
        <w:rPr>
          <w:rFonts w:hint="eastAsia" w:ascii="宋体" w:hAnsi="宋体" w:cs="宋体"/>
          <w:color w:val="auto"/>
          <w:szCs w:val="21"/>
          <w:highlight w:val="none"/>
        </w:rPr>
        <w:t>（13）</w:t>
      </w:r>
      <w:r>
        <w:rPr>
          <w:rFonts w:hint="eastAsia" w:hAnsi="宋体"/>
          <w:color w:val="auto"/>
          <w:szCs w:val="21"/>
          <w:highlight w:val="none"/>
        </w:rPr>
        <w:t>节能环保产品或政府强制采购节能产品清单证书</w:t>
      </w:r>
      <w:r>
        <w:rPr>
          <w:rFonts w:hint="eastAsia" w:hAnsi="宋体"/>
          <w:b/>
          <w:color w:val="auto"/>
          <w:szCs w:val="21"/>
          <w:highlight w:val="none"/>
        </w:rPr>
        <w:t>；</w:t>
      </w:r>
    </w:p>
    <w:p w14:paraId="5D2D7E1D">
      <w:pPr>
        <w:snapToGrid w:val="0"/>
        <w:spacing w:before="312" w:beforeLines="100" w:after="312" w:afterLines="100" w:line="360" w:lineRule="exact"/>
        <w:ind w:firstLine="411" w:firstLineChars="196"/>
        <w:jc w:val="left"/>
        <w:rPr>
          <w:rFonts w:hAnsi="宋体"/>
          <w:color w:val="auto"/>
          <w:szCs w:val="21"/>
          <w:highlight w:val="none"/>
        </w:rPr>
      </w:pPr>
      <w:r>
        <w:rPr>
          <w:rFonts w:hint="eastAsia" w:ascii="宋体" w:hAnsi="宋体" w:cs="宋体"/>
          <w:color w:val="auto"/>
          <w:szCs w:val="21"/>
          <w:highlight w:val="none"/>
        </w:rPr>
        <w:t>（14）</w:t>
      </w:r>
      <w:r>
        <w:rPr>
          <w:rFonts w:hint="eastAsia" w:hAnsi="宋体"/>
          <w:color w:val="auto"/>
          <w:szCs w:val="21"/>
          <w:highlight w:val="none"/>
        </w:rPr>
        <w:t>投标人质量管理和质量保证体系等方面的认证证书；</w:t>
      </w:r>
    </w:p>
    <w:p w14:paraId="39A3DA89">
      <w:pPr>
        <w:snapToGrid w:val="0"/>
        <w:spacing w:before="312" w:beforeLines="100" w:after="312" w:afterLines="100" w:line="360" w:lineRule="exact"/>
        <w:ind w:firstLine="411" w:firstLineChars="196"/>
        <w:jc w:val="left"/>
        <w:rPr>
          <w:rFonts w:hAnsi="宋体"/>
          <w:color w:val="auto"/>
          <w:szCs w:val="21"/>
          <w:highlight w:val="none"/>
        </w:rPr>
      </w:pPr>
      <w:r>
        <w:rPr>
          <w:rFonts w:hint="eastAsia" w:hAnsi="宋体"/>
          <w:color w:val="auto"/>
          <w:szCs w:val="21"/>
          <w:highlight w:val="none"/>
        </w:rPr>
        <w:t>（15）投标人认为可以证明其能力或业绩的其他材料；</w:t>
      </w:r>
    </w:p>
    <w:p w14:paraId="7AC15DBC">
      <w:pPr>
        <w:snapToGrid w:val="0"/>
        <w:spacing w:before="312" w:beforeLines="100" w:after="312" w:afterLines="100" w:line="360" w:lineRule="exact"/>
        <w:ind w:firstLine="411" w:firstLineChars="196"/>
        <w:jc w:val="left"/>
        <w:rPr>
          <w:rFonts w:hAnsi="宋体"/>
          <w:color w:val="auto"/>
          <w:szCs w:val="21"/>
          <w:highlight w:val="none"/>
        </w:rPr>
      </w:pPr>
      <w:r>
        <w:rPr>
          <w:rFonts w:hint="eastAsia" w:hAnsi="宋体"/>
          <w:color w:val="auto"/>
          <w:szCs w:val="21"/>
          <w:highlight w:val="none"/>
        </w:rPr>
        <w:t>（16）投标人关于产品生产时间、升级或者更新淘汰计划、配件供应以及本单位债务纠纷、违法违规记录等方面的情况（内容见投标声明书）；</w:t>
      </w:r>
    </w:p>
    <w:p w14:paraId="4F867D07">
      <w:pPr>
        <w:rPr>
          <w:rFonts w:hAnsi="宋体"/>
          <w:color w:val="auto"/>
          <w:szCs w:val="21"/>
          <w:highlight w:val="none"/>
        </w:rPr>
      </w:pPr>
      <w:r>
        <w:rPr>
          <w:rFonts w:hint="eastAsia" w:hAnsi="宋体"/>
          <w:color w:val="auto"/>
          <w:szCs w:val="21"/>
          <w:highlight w:val="none"/>
        </w:rPr>
        <w:br w:type="page"/>
      </w:r>
    </w:p>
    <w:p w14:paraId="290996DE">
      <w:pPr>
        <w:snapToGrid w:val="0"/>
        <w:spacing w:before="312" w:beforeLines="100" w:after="312" w:afterLines="100" w:line="360" w:lineRule="exact"/>
        <w:ind w:firstLine="411" w:firstLineChars="196"/>
        <w:jc w:val="left"/>
        <w:rPr>
          <w:rFonts w:ascii="宋体" w:hAnsi="宋体"/>
          <w:color w:val="auto"/>
          <w:szCs w:val="21"/>
          <w:highlight w:val="none"/>
        </w:rPr>
      </w:pPr>
      <w:r>
        <w:rPr>
          <w:rFonts w:hint="eastAsia" w:hAnsi="宋体"/>
          <w:color w:val="auto"/>
          <w:szCs w:val="21"/>
          <w:highlight w:val="none"/>
        </w:rPr>
        <w:t>（17）</w:t>
      </w:r>
      <w:r>
        <w:rPr>
          <w:rFonts w:ascii="宋体" w:hAnsi="宋体"/>
          <w:color w:val="auto"/>
          <w:highlight w:val="none"/>
        </w:rPr>
        <w:t>中小企业声明函</w:t>
      </w:r>
      <w:r>
        <w:rPr>
          <w:rFonts w:hint="eastAsia" w:ascii="宋体" w:hAnsi="宋体"/>
          <w:color w:val="auto"/>
          <w:highlight w:val="none"/>
        </w:rPr>
        <w:t>格式：</w:t>
      </w:r>
    </w:p>
    <w:p w14:paraId="4B3AD9C1">
      <w:pPr>
        <w:pStyle w:val="404"/>
        <w:spacing w:after="0"/>
        <w:rPr>
          <w:color w:val="auto"/>
          <w:highlight w:val="none"/>
        </w:rPr>
      </w:pPr>
      <w:r>
        <w:rPr>
          <w:color w:val="auto"/>
          <w:highlight w:val="none"/>
        </w:rPr>
        <w:t>中小企业声明函</w:t>
      </w:r>
    </w:p>
    <w:p w14:paraId="1F1CE043">
      <w:pPr>
        <w:pStyle w:val="404"/>
        <w:spacing w:after="0"/>
        <w:rPr>
          <w:color w:val="auto"/>
          <w:highlight w:val="none"/>
        </w:rPr>
      </w:pPr>
    </w:p>
    <w:p w14:paraId="246690C6">
      <w:pPr>
        <w:pStyle w:val="406"/>
        <w:spacing w:line="506" w:lineRule="exact"/>
        <w:ind w:firstLine="640"/>
        <w:jc w:val="both"/>
        <w:rPr>
          <w:color w:val="auto"/>
          <w:sz w:val="21"/>
          <w:szCs w:val="21"/>
          <w:highlight w:val="none"/>
        </w:rPr>
      </w:pPr>
      <w:r>
        <w:rPr>
          <w:color w:val="auto"/>
          <w:sz w:val="21"/>
          <w:szCs w:val="21"/>
          <w:highlight w:val="none"/>
        </w:rPr>
        <w:t>本公司（联合体）郑重声明，根据《政府采购促进中小企业发展管理办法》（财库〔2020〕46号）的规定，本公司 （联合体）参加</w:t>
      </w:r>
      <w:r>
        <w:rPr>
          <w:color w:val="auto"/>
          <w:sz w:val="21"/>
          <w:szCs w:val="21"/>
          <w:highlight w:val="none"/>
          <w:u w:val="single"/>
        </w:rPr>
        <w:t>（单位名称）</w:t>
      </w:r>
      <w:r>
        <w:rPr>
          <w:color w:val="auto"/>
          <w:sz w:val="21"/>
          <w:szCs w:val="21"/>
          <w:highlight w:val="none"/>
        </w:rPr>
        <w:t>的</w:t>
      </w:r>
      <w:r>
        <w:rPr>
          <w:color w:val="auto"/>
          <w:sz w:val="21"/>
          <w:szCs w:val="21"/>
          <w:highlight w:val="none"/>
          <w:u w:val="single"/>
        </w:rPr>
        <w:t>（项目名称）</w:t>
      </w:r>
      <w:r>
        <w:rPr>
          <w:color w:val="auto"/>
          <w:sz w:val="21"/>
          <w:szCs w:val="21"/>
          <w:highlight w:val="none"/>
        </w:rPr>
        <w:t>釆购活动,提供的货物全部由符合政策要求的中小企业制造。相关企业（含联合体中的中小企业、签订分包意向协议的中小企业）的具体情况如下</w:t>
      </w:r>
      <w:bookmarkStart w:id="20" w:name="bookmark1"/>
      <w:bookmarkEnd w:id="20"/>
      <w:r>
        <w:rPr>
          <w:rFonts w:hint="eastAsia"/>
          <w:color w:val="auto"/>
          <w:sz w:val="21"/>
          <w:szCs w:val="21"/>
          <w:highlight w:val="none"/>
        </w:rPr>
        <w:t>：</w:t>
      </w:r>
    </w:p>
    <w:p w14:paraId="2152E280">
      <w:pPr>
        <w:pStyle w:val="406"/>
        <w:spacing w:line="506" w:lineRule="exact"/>
        <w:ind w:firstLine="64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u w:val="single"/>
        </w:rPr>
        <w:t>）</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rFonts w:hint="eastAsia"/>
          <w:color w:val="auto"/>
          <w:sz w:val="21"/>
          <w:szCs w:val="21"/>
          <w:highlight w:val="none"/>
        </w:rPr>
        <w:t>，</w:t>
      </w:r>
      <w:r>
        <w:rPr>
          <w:color w:val="auto"/>
          <w:sz w:val="21"/>
          <w:szCs w:val="21"/>
          <w:highlight w:val="none"/>
        </w:rPr>
        <w:t>从业人员</w:t>
      </w:r>
      <w:r>
        <w:rPr>
          <w:rFonts w:hint="eastAsia"/>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w:t>
      </w:r>
      <w:r>
        <w:rPr>
          <w:rFonts w:hint="eastAsia"/>
          <w:color w:val="auto"/>
          <w:sz w:val="21"/>
          <w:szCs w:val="21"/>
          <w:highlight w:val="none"/>
        </w:rPr>
        <w:t>，</w:t>
      </w:r>
      <w:r>
        <w:rPr>
          <w:color w:val="auto"/>
          <w:sz w:val="21"/>
          <w:szCs w:val="21"/>
          <w:highlight w:val="none"/>
        </w:rPr>
        <w:t>属于</w:t>
      </w:r>
      <w:r>
        <w:rPr>
          <w:color w:val="auto"/>
          <w:sz w:val="21"/>
          <w:szCs w:val="21"/>
          <w:highlight w:val="none"/>
          <w:u w:val="single"/>
        </w:rPr>
        <w:t>（中型企业、小型企业、微型企业）</w:t>
      </w:r>
      <w:r>
        <w:rPr>
          <w:rFonts w:hint="eastAsia"/>
          <w:color w:val="auto"/>
          <w:sz w:val="21"/>
          <w:szCs w:val="21"/>
          <w:highlight w:val="none"/>
        </w:rPr>
        <w:t>；</w:t>
      </w:r>
      <w:r>
        <w:rPr>
          <w:color w:val="auto"/>
          <w:sz w:val="21"/>
          <w:szCs w:val="21"/>
          <w:highlight w:val="none"/>
        </w:rPr>
        <w:t xml:space="preserve"> </w:t>
      </w:r>
    </w:p>
    <w:p w14:paraId="277AF261">
      <w:pPr>
        <w:pStyle w:val="406"/>
        <w:spacing w:line="506" w:lineRule="exact"/>
        <w:ind w:firstLine="640"/>
        <w:jc w:val="both"/>
        <w:rPr>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万元，属于</w:t>
      </w:r>
      <w:r>
        <w:rPr>
          <w:color w:val="auto"/>
          <w:sz w:val="21"/>
          <w:szCs w:val="21"/>
          <w:highlight w:val="none"/>
          <w:u w:val="single"/>
        </w:rPr>
        <w:t>（中型企业、小型 企业、微型企业）</w:t>
      </w:r>
      <w:r>
        <w:rPr>
          <w:rFonts w:hint="eastAsia"/>
          <w:color w:val="auto"/>
          <w:sz w:val="21"/>
          <w:szCs w:val="21"/>
          <w:highlight w:val="none"/>
        </w:rPr>
        <w:t>；</w:t>
      </w:r>
    </w:p>
    <w:p w14:paraId="5B870C68">
      <w:pPr>
        <w:pStyle w:val="406"/>
        <w:spacing w:line="506" w:lineRule="exact"/>
        <w:ind w:firstLine="640"/>
        <w:jc w:val="both"/>
        <w:rPr>
          <w:color w:val="auto"/>
          <w:sz w:val="21"/>
          <w:szCs w:val="21"/>
          <w:highlight w:val="none"/>
        </w:rPr>
      </w:pPr>
      <w:r>
        <w:rPr>
          <w:rFonts w:hint="eastAsia"/>
          <w:color w:val="auto"/>
          <w:sz w:val="21"/>
          <w:szCs w:val="21"/>
          <w:highlight w:val="none"/>
        </w:rPr>
        <w:t>......</w:t>
      </w:r>
    </w:p>
    <w:p w14:paraId="61FB8C29">
      <w:pPr>
        <w:pStyle w:val="406"/>
        <w:spacing w:line="499" w:lineRule="exact"/>
        <w:ind w:firstLine="640"/>
        <w:jc w:val="both"/>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1C673179">
      <w:pPr>
        <w:pStyle w:val="406"/>
        <w:spacing w:after="40" w:line="499" w:lineRule="exact"/>
        <w:ind w:firstLine="640"/>
        <w:jc w:val="both"/>
        <w:rPr>
          <w:color w:val="auto"/>
          <w:sz w:val="21"/>
          <w:szCs w:val="21"/>
          <w:highlight w:val="none"/>
        </w:rPr>
      </w:pPr>
      <w:r>
        <w:rPr>
          <w:color w:val="auto"/>
          <w:sz w:val="21"/>
          <w:szCs w:val="21"/>
          <w:highlight w:val="none"/>
        </w:rPr>
        <w:t>本企业对上述声明内容的真实性</w:t>
      </w:r>
      <w:r>
        <w:rPr>
          <w:rFonts w:hint="eastAsia"/>
          <w:color w:val="auto"/>
          <w:sz w:val="21"/>
          <w:szCs w:val="21"/>
          <w:highlight w:val="none"/>
        </w:rPr>
        <w:t>负责</w:t>
      </w:r>
      <w:r>
        <w:rPr>
          <w:color w:val="auto"/>
          <w:sz w:val="21"/>
          <w:szCs w:val="21"/>
          <w:highlight w:val="none"/>
        </w:rPr>
        <w:t>。如有虚假，将依法承担相应责任。</w:t>
      </w:r>
    </w:p>
    <w:p w14:paraId="74CDFC4F">
      <w:pPr>
        <w:pStyle w:val="406"/>
        <w:spacing w:after="40" w:line="499" w:lineRule="exact"/>
        <w:ind w:firstLine="640"/>
        <w:jc w:val="both"/>
        <w:rPr>
          <w:color w:val="auto"/>
          <w:sz w:val="21"/>
          <w:szCs w:val="21"/>
          <w:highlight w:val="none"/>
        </w:rPr>
      </w:pPr>
    </w:p>
    <w:p w14:paraId="7DAABE62">
      <w:pPr>
        <w:pStyle w:val="406"/>
        <w:spacing w:line="506" w:lineRule="exact"/>
        <w:ind w:firstLine="640"/>
        <w:jc w:val="both"/>
        <w:rPr>
          <w:color w:val="auto"/>
          <w:sz w:val="21"/>
          <w:szCs w:val="21"/>
          <w:highlight w:val="none"/>
        </w:rPr>
      </w:pPr>
      <w:r>
        <w:rPr>
          <w:rFonts w:hint="eastAsia"/>
          <w:color w:val="auto"/>
          <w:sz w:val="21"/>
          <w:szCs w:val="21"/>
          <w:highlight w:val="none"/>
        </w:rPr>
        <w:t xml:space="preserve">                          </w:t>
      </w:r>
      <w:r>
        <w:rPr>
          <w:color w:val="auto"/>
          <w:sz w:val="21"/>
          <w:szCs w:val="21"/>
          <w:highlight w:val="none"/>
        </w:rPr>
        <w:t>企业名称（盖章）：</w:t>
      </w:r>
    </w:p>
    <w:p w14:paraId="2F71AE44">
      <w:pPr>
        <w:pStyle w:val="406"/>
        <w:spacing w:line="506" w:lineRule="exact"/>
        <w:ind w:firstLine="640"/>
        <w:jc w:val="both"/>
        <w:rPr>
          <w:color w:val="auto"/>
          <w:sz w:val="21"/>
          <w:szCs w:val="21"/>
          <w:highlight w:val="none"/>
        </w:rPr>
      </w:pPr>
      <w:r>
        <w:rPr>
          <w:rFonts w:hint="eastAsia"/>
          <w:color w:val="auto"/>
          <w:sz w:val="21"/>
          <w:szCs w:val="21"/>
          <w:highlight w:val="none"/>
        </w:rPr>
        <w:t xml:space="preserve">                          日期：</w:t>
      </w:r>
    </w:p>
    <w:p w14:paraId="1EA2313E">
      <w:pPr>
        <w:pStyle w:val="404"/>
        <w:spacing w:after="0"/>
        <w:rPr>
          <w:color w:val="auto"/>
          <w:sz w:val="21"/>
          <w:szCs w:val="21"/>
          <w:highlight w:val="none"/>
        </w:rPr>
      </w:pPr>
    </w:p>
    <w:p w14:paraId="73B687B0">
      <w:pPr>
        <w:pStyle w:val="404"/>
        <w:adjustRightInd w:val="0"/>
        <w:snapToGrid w:val="0"/>
        <w:spacing w:after="0" w:line="360" w:lineRule="exact"/>
        <w:jc w:val="left"/>
        <w:rPr>
          <w:color w:val="auto"/>
          <w:sz w:val="18"/>
          <w:szCs w:val="18"/>
          <w:highlight w:val="none"/>
        </w:rPr>
      </w:pPr>
      <w:r>
        <w:rPr>
          <w:color w:val="auto"/>
          <w:sz w:val="18"/>
          <w:szCs w:val="18"/>
          <w:highlight w:val="none"/>
        </w:rPr>
        <w:t>备注：</w:t>
      </w:r>
    </w:p>
    <w:p w14:paraId="08B958CD">
      <w:pPr>
        <w:pStyle w:val="404"/>
        <w:adjustRightInd w:val="0"/>
        <w:snapToGrid w:val="0"/>
        <w:spacing w:after="0" w:line="360" w:lineRule="exact"/>
        <w:jc w:val="left"/>
        <w:rPr>
          <w:color w:val="auto"/>
          <w:sz w:val="18"/>
          <w:szCs w:val="18"/>
          <w:highlight w:val="none"/>
        </w:rPr>
      </w:pPr>
      <w:r>
        <w:rPr>
          <w:rFonts w:hint="eastAsia"/>
          <w:color w:val="auto"/>
          <w:sz w:val="18"/>
          <w:szCs w:val="18"/>
          <w:highlight w:val="none"/>
        </w:rPr>
        <w:t>1、</w:t>
      </w:r>
      <w:r>
        <w:rPr>
          <w:color w:val="auto"/>
          <w:sz w:val="18"/>
          <w:szCs w:val="18"/>
          <w:highlight w:val="none"/>
        </w:rPr>
        <w:t>从业人员、营业收入、资产总额填报上一年度数据，无上一年度数据的新成立企业可不填报。</w:t>
      </w:r>
    </w:p>
    <w:p w14:paraId="6A0A297E">
      <w:pPr>
        <w:pStyle w:val="404"/>
        <w:adjustRightInd w:val="0"/>
        <w:snapToGrid w:val="0"/>
        <w:spacing w:after="0" w:line="360" w:lineRule="exact"/>
        <w:jc w:val="left"/>
        <w:rPr>
          <w:color w:val="auto"/>
          <w:sz w:val="18"/>
          <w:szCs w:val="18"/>
          <w:highlight w:val="none"/>
        </w:rPr>
      </w:pPr>
      <w:r>
        <w:rPr>
          <w:rFonts w:hint="eastAsia"/>
          <w:color w:val="auto"/>
          <w:sz w:val="18"/>
          <w:szCs w:val="18"/>
          <w:highlight w:val="none"/>
        </w:rPr>
        <w:t>2、采购文件中明确的所属行业名称是根据《关于印发中小企业划型标准规定的通知》（工信部联企业[2011]300号）规定确定。</w:t>
      </w:r>
    </w:p>
    <w:p w14:paraId="7C2A6B6F">
      <w:pPr>
        <w:snapToGrid w:val="0"/>
        <w:spacing w:line="360" w:lineRule="exact"/>
        <w:ind w:firstLine="516" w:firstLineChars="246"/>
        <w:jc w:val="left"/>
        <w:rPr>
          <w:rFonts w:ascii="宋体" w:hAnsi="宋体"/>
          <w:color w:val="auto"/>
          <w:szCs w:val="21"/>
          <w:highlight w:val="none"/>
        </w:rPr>
      </w:pPr>
      <w:r>
        <w:rPr>
          <w:rFonts w:hint="eastAsia" w:ascii="宋体" w:hAnsi="宋体"/>
          <w:color w:val="auto"/>
          <w:szCs w:val="21"/>
          <w:highlight w:val="none"/>
        </w:rPr>
        <w:br w:type="page"/>
      </w:r>
    </w:p>
    <w:p w14:paraId="51EF0B13">
      <w:pPr>
        <w:pStyle w:val="72"/>
        <w:spacing w:line="440" w:lineRule="exact"/>
        <w:ind w:firstLine="420" w:firstLineChars="200"/>
        <w:rPr>
          <w:rFonts w:hAnsi="宋体" w:cs="Times New Roman"/>
          <w:color w:val="auto"/>
          <w:kern w:val="2"/>
          <w:sz w:val="21"/>
          <w:szCs w:val="21"/>
          <w:highlight w:val="none"/>
        </w:rPr>
      </w:pPr>
      <w:r>
        <w:rPr>
          <w:rFonts w:hint="eastAsia" w:hAnsi="宋体" w:cs="Times New Roman"/>
          <w:color w:val="auto"/>
          <w:kern w:val="2"/>
          <w:sz w:val="21"/>
          <w:szCs w:val="21"/>
          <w:highlight w:val="none"/>
        </w:rPr>
        <w:t>（18）关于符合本国产品标准的声明函格式：</w:t>
      </w:r>
    </w:p>
    <w:p w14:paraId="5338C921">
      <w:pPr>
        <w:pStyle w:val="47"/>
        <w:shd w:val="clear" w:color="auto" w:fill="FFFFFF"/>
        <w:spacing w:before="30" w:beforeAutospacing="0" w:after="30" w:afterAutospacing="0"/>
        <w:jc w:val="center"/>
        <w:rPr>
          <w:rFonts w:cs="宋体"/>
          <w:color w:val="auto"/>
          <w:sz w:val="36"/>
          <w:szCs w:val="36"/>
          <w:highlight w:val="none"/>
        </w:rPr>
      </w:pPr>
      <w:r>
        <w:rPr>
          <w:rStyle w:val="56"/>
          <w:rFonts w:hint="eastAsia" w:cs="宋体"/>
          <w:color w:val="auto"/>
          <w:sz w:val="36"/>
          <w:szCs w:val="36"/>
          <w:highlight w:val="none"/>
          <w:shd w:val="clear" w:color="auto" w:fill="FFFFFF"/>
        </w:rPr>
        <w:t>关于符合本国产品标准的声明函</w:t>
      </w:r>
    </w:p>
    <w:p w14:paraId="2A53E7D4">
      <w:pPr>
        <w:pStyle w:val="47"/>
        <w:shd w:val="clear" w:color="auto" w:fill="FFFFFF"/>
        <w:spacing w:before="30" w:beforeAutospacing="0" w:after="30" w:afterAutospacing="0"/>
        <w:ind w:firstLine="420"/>
        <w:rPr>
          <w:rFonts w:cs="宋体"/>
          <w:color w:val="auto"/>
          <w:highlight w:val="none"/>
        </w:rPr>
      </w:pPr>
    </w:p>
    <w:p w14:paraId="2DB95A92">
      <w:pPr>
        <w:pStyle w:val="47"/>
        <w:shd w:val="clear" w:color="auto" w:fill="FFFFFF"/>
        <w:spacing w:before="30" w:beforeAutospacing="0" w:after="30" w:afterAutospacing="0"/>
        <w:ind w:firstLine="420"/>
        <w:rPr>
          <w:rFonts w:cs="宋体"/>
          <w:color w:val="auto"/>
          <w:highlight w:val="none"/>
        </w:rPr>
      </w:pPr>
      <w:r>
        <w:rPr>
          <w:rFonts w:hint="eastAsia" w:cs="宋体"/>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C82159C">
      <w:pPr>
        <w:pStyle w:val="47"/>
        <w:shd w:val="clear" w:color="auto" w:fill="FFFFFF"/>
        <w:spacing w:before="30" w:beforeAutospacing="0" w:after="30" w:afterAutospacing="0"/>
        <w:ind w:firstLine="420"/>
        <w:rPr>
          <w:rFonts w:cs="宋体"/>
          <w:color w:val="auto"/>
          <w:highlight w:val="none"/>
        </w:rPr>
      </w:pPr>
      <w:r>
        <w:rPr>
          <w:rFonts w:hint="eastAsia" w:cs="宋体"/>
          <w:color w:val="auto"/>
          <w:highlight w:val="none"/>
          <w:shd w:val="clear" w:color="auto" w:fill="FFFFFF"/>
        </w:rPr>
        <w:t>1.</w:t>
      </w:r>
      <w:r>
        <w:rPr>
          <w:rStyle w:val="59"/>
          <w:rFonts w:hint="eastAsia" w:cs="宋体"/>
          <w:color w:val="auto"/>
          <w:highlight w:val="none"/>
          <w:shd w:val="clear" w:color="auto" w:fill="FFFFFF"/>
        </w:rPr>
        <w:t>（产品名称1）</w:t>
      </w:r>
      <w:r>
        <w:rPr>
          <w:rStyle w:val="59"/>
          <w:rFonts w:hint="eastAsia" w:cs="宋体"/>
          <w:color w:val="auto"/>
          <w:highlight w:val="none"/>
          <w:shd w:val="clear" w:color="auto" w:fill="FFFFFF"/>
          <w:vertAlign w:val="superscript"/>
        </w:rPr>
        <w:t>1</w:t>
      </w:r>
      <w:r>
        <w:rPr>
          <w:rFonts w:hint="eastAsia" w:cs="宋体"/>
          <w:color w:val="auto"/>
          <w:highlight w:val="none"/>
          <w:shd w:val="clear" w:color="auto" w:fill="FFFFFF"/>
        </w:rPr>
        <w:t>，生产厂为</w:t>
      </w:r>
      <w:r>
        <w:rPr>
          <w:rStyle w:val="59"/>
          <w:rFonts w:hint="eastAsia" w:cs="宋体"/>
          <w:color w:val="auto"/>
          <w:highlight w:val="none"/>
          <w:shd w:val="clear" w:color="auto" w:fill="FFFFFF"/>
        </w:rPr>
        <w:t>（厂名）</w:t>
      </w:r>
      <w:r>
        <w:rPr>
          <w:rStyle w:val="59"/>
          <w:rFonts w:hint="eastAsia" w:cs="宋体"/>
          <w:color w:val="auto"/>
          <w:highlight w:val="none"/>
          <w:shd w:val="clear" w:color="auto" w:fill="FFFFFF"/>
          <w:vertAlign w:val="superscript"/>
        </w:rPr>
        <w:t>2</w:t>
      </w:r>
      <w:r>
        <w:rPr>
          <w:rFonts w:hint="eastAsia" w:cs="宋体"/>
          <w:color w:val="auto"/>
          <w:highlight w:val="none"/>
          <w:shd w:val="clear" w:color="auto" w:fill="FFFFFF"/>
        </w:rPr>
        <w:t>，厂址为</w:t>
      </w:r>
      <w:r>
        <w:rPr>
          <w:rStyle w:val="59"/>
          <w:rFonts w:hint="eastAsia" w:cs="宋体"/>
          <w:color w:val="auto"/>
          <w:highlight w:val="none"/>
          <w:shd w:val="clear" w:color="auto" w:fill="FFFFFF"/>
        </w:rPr>
        <w:t>（生产厂址）</w:t>
      </w:r>
      <w:r>
        <w:rPr>
          <w:rFonts w:hint="eastAsia" w:cs="宋体"/>
          <w:color w:val="auto"/>
          <w:highlight w:val="none"/>
          <w:shd w:val="clear" w:color="auto" w:fill="FFFFFF"/>
        </w:rPr>
        <w:t>。</w:t>
      </w:r>
    </w:p>
    <w:p w14:paraId="69BC4623">
      <w:pPr>
        <w:pStyle w:val="47"/>
        <w:shd w:val="clear" w:color="auto" w:fill="FFFFFF"/>
        <w:spacing w:before="30" w:beforeAutospacing="0" w:after="30" w:afterAutospacing="0"/>
        <w:ind w:firstLine="420"/>
        <w:rPr>
          <w:rFonts w:cs="宋体"/>
          <w:color w:val="auto"/>
          <w:highlight w:val="none"/>
        </w:rPr>
      </w:pPr>
      <w:r>
        <w:rPr>
          <w:rFonts w:hint="eastAsia" w:cs="宋体"/>
          <w:color w:val="auto"/>
          <w:highlight w:val="none"/>
          <w:shd w:val="clear" w:color="auto" w:fill="FFFFFF"/>
        </w:rPr>
        <w:t>2.</w:t>
      </w:r>
      <w:r>
        <w:rPr>
          <w:rStyle w:val="59"/>
          <w:rFonts w:hint="eastAsia" w:cs="宋体"/>
          <w:color w:val="auto"/>
          <w:highlight w:val="none"/>
          <w:shd w:val="clear" w:color="auto" w:fill="FFFFFF"/>
        </w:rPr>
        <w:t>（产品名称2）</w:t>
      </w:r>
      <w:r>
        <w:rPr>
          <w:rFonts w:hint="eastAsia" w:cs="宋体"/>
          <w:color w:val="auto"/>
          <w:highlight w:val="none"/>
          <w:shd w:val="clear" w:color="auto" w:fill="FFFFFF"/>
        </w:rPr>
        <w:t>，生产厂为</w:t>
      </w:r>
      <w:r>
        <w:rPr>
          <w:rStyle w:val="59"/>
          <w:rFonts w:hint="eastAsia" w:cs="宋体"/>
          <w:color w:val="auto"/>
          <w:highlight w:val="none"/>
          <w:shd w:val="clear" w:color="auto" w:fill="FFFFFF"/>
        </w:rPr>
        <w:t>（厂名）</w:t>
      </w:r>
      <w:r>
        <w:rPr>
          <w:rFonts w:hint="eastAsia" w:cs="宋体"/>
          <w:color w:val="auto"/>
          <w:highlight w:val="none"/>
          <w:shd w:val="clear" w:color="auto" w:fill="FFFFFF"/>
        </w:rPr>
        <w:t>，厂址为</w:t>
      </w:r>
      <w:r>
        <w:rPr>
          <w:rStyle w:val="59"/>
          <w:rFonts w:hint="eastAsia" w:cs="宋体"/>
          <w:color w:val="auto"/>
          <w:highlight w:val="none"/>
          <w:shd w:val="clear" w:color="auto" w:fill="FFFFFF"/>
        </w:rPr>
        <w:t>（生产厂址）</w:t>
      </w:r>
      <w:r>
        <w:rPr>
          <w:rFonts w:hint="eastAsia" w:cs="宋体"/>
          <w:color w:val="auto"/>
          <w:highlight w:val="none"/>
          <w:shd w:val="clear" w:color="auto" w:fill="FFFFFF"/>
        </w:rPr>
        <w:t>。</w:t>
      </w:r>
    </w:p>
    <w:p w14:paraId="009538B5">
      <w:pPr>
        <w:pStyle w:val="47"/>
        <w:shd w:val="clear" w:color="auto" w:fill="FFFFFF"/>
        <w:spacing w:before="30" w:beforeAutospacing="0" w:after="30" w:afterAutospacing="0"/>
        <w:ind w:firstLine="420"/>
        <w:rPr>
          <w:rFonts w:cs="宋体"/>
          <w:color w:val="auto"/>
          <w:highlight w:val="none"/>
        </w:rPr>
      </w:pPr>
      <w:r>
        <w:rPr>
          <w:rFonts w:hint="eastAsia" w:cs="宋体"/>
          <w:color w:val="auto"/>
          <w:highlight w:val="none"/>
          <w:shd w:val="clear" w:color="auto" w:fill="FFFFFF"/>
        </w:rPr>
        <w:t>……</w:t>
      </w:r>
    </w:p>
    <w:p w14:paraId="62B8DAC8">
      <w:pPr>
        <w:pStyle w:val="47"/>
        <w:shd w:val="clear" w:color="auto" w:fill="FFFFFF"/>
        <w:spacing w:before="30" w:beforeAutospacing="0" w:after="30" w:afterAutospacing="0"/>
        <w:ind w:firstLine="420"/>
        <w:rPr>
          <w:rFonts w:cs="宋体"/>
          <w:color w:val="auto"/>
          <w:highlight w:val="none"/>
        </w:rPr>
      </w:pPr>
      <w:r>
        <w:rPr>
          <w:rFonts w:hint="eastAsia" w:cs="宋体"/>
          <w:color w:val="auto"/>
          <w:highlight w:val="none"/>
          <w:shd w:val="clear" w:color="auto" w:fill="FFFFFF"/>
        </w:rPr>
        <w:t>本公司（单位）对上述声明内容的真实性负责。如有虚假，愿承担相应法律责任。</w:t>
      </w:r>
    </w:p>
    <w:p w14:paraId="063DECDC">
      <w:pPr>
        <w:pStyle w:val="47"/>
        <w:shd w:val="clear" w:color="auto" w:fill="FFFFFF"/>
        <w:spacing w:before="30" w:beforeAutospacing="0" w:after="30" w:afterAutospacing="0"/>
        <w:ind w:firstLine="420"/>
        <w:jc w:val="right"/>
        <w:rPr>
          <w:rFonts w:cs="宋体"/>
          <w:color w:val="auto"/>
          <w:highlight w:val="none"/>
          <w:shd w:val="clear" w:color="auto" w:fill="FFFFFF"/>
        </w:rPr>
      </w:pPr>
    </w:p>
    <w:p w14:paraId="5CACA548">
      <w:pPr>
        <w:pStyle w:val="47"/>
        <w:shd w:val="clear" w:color="auto" w:fill="FFFFFF"/>
        <w:spacing w:before="30" w:beforeAutospacing="0" w:after="30" w:afterAutospacing="0"/>
        <w:ind w:firstLine="420"/>
        <w:jc w:val="right"/>
        <w:rPr>
          <w:rFonts w:cs="宋体"/>
          <w:color w:val="auto"/>
          <w:highlight w:val="none"/>
        </w:rPr>
      </w:pPr>
      <w:r>
        <w:rPr>
          <w:rFonts w:hint="eastAsia" w:cs="宋体"/>
          <w:color w:val="auto"/>
          <w:highlight w:val="none"/>
          <w:shd w:val="clear" w:color="auto" w:fill="FFFFFF"/>
        </w:rPr>
        <w:t>公司（单位）名称（盖章）：      </w:t>
      </w:r>
    </w:p>
    <w:p w14:paraId="2312977D">
      <w:pPr>
        <w:pStyle w:val="47"/>
        <w:shd w:val="clear" w:color="auto" w:fill="FFFFFF"/>
        <w:spacing w:before="30" w:beforeAutospacing="0" w:after="30" w:afterAutospacing="0"/>
        <w:ind w:firstLine="420"/>
        <w:jc w:val="right"/>
        <w:rPr>
          <w:rFonts w:cs="宋体"/>
          <w:color w:val="auto"/>
          <w:highlight w:val="none"/>
        </w:rPr>
      </w:pPr>
      <w:r>
        <w:rPr>
          <w:rFonts w:hint="eastAsia" w:cs="宋体"/>
          <w:color w:val="auto"/>
          <w:highlight w:val="none"/>
          <w:shd w:val="clear" w:color="auto" w:fill="FFFFFF"/>
        </w:rPr>
        <w:t>日期：　　　　　年　　月　日    </w:t>
      </w:r>
    </w:p>
    <w:p w14:paraId="6059C833">
      <w:pPr>
        <w:pStyle w:val="47"/>
        <w:shd w:val="clear" w:color="auto" w:fill="FFFFFF"/>
        <w:spacing w:before="30" w:beforeAutospacing="0" w:after="30" w:afterAutospacing="0"/>
        <w:ind w:firstLine="420"/>
        <w:rPr>
          <w:rFonts w:cs="宋体"/>
          <w:color w:val="auto"/>
          <w:highlight w:val="none"/>
        </w:rPr>
      </w:pPr>
    </w:p>
    <w:p w14:paraId="246645F0">
      <w:pPr>
        <w:pStyle w:val="47"/>
        <w:shd w:val="clear" w:color="auto" w:fill="FFFFFF"/>
        <w:spacing w:before="30" w:beforeAutospacing="0" w:after="30" w:afterAutospacing="0"/>
        <w:ind w:firstLine="420"/>
        <w:rPr>
          <w:rFonts w:cs="宋体"/>
          <w:color w:val="auto"/>
          <w:highlight w:val="none"/>
        </w:rPr>
      </w:pPr>
    </w:p>
    <w:p w14:paraId="799396BC">
      <w:pPr>
        <w:pStyle w:val="47"/>
        <w:shd w:val="clear" w:color="auto" w:fill="FFFFFF"/>
        <w:spacing w:before="30" w:beforeAutospacing="0" w:after="30" w:afterAutospacing="0"/>
        <w:rPr>
          <w:rFonts w:cs="宋体"/>
          <w:color w:val="auto"/>
          <w:highlight w:val="none"/>
        </w:rPr>
      </w:pPr>
      <w:r>
        <w:rPr>
          <w:rFonts w:hint="eastAsia" w:cs="宋体"/>
          <w:color w:val="auto"/>
          <w:highlight w:val="none"/>
          <w:shd w:val="clear" w:color="auto" w:fill="FFFFFF"/>
        </w:rPr>
        <w:t>_____________________________</w:t>
      </w:r>
    </w:p>
    <w:p w14:paraId="04998992">
      <w:pPr>
        <w:pStyle w:val="47"/>
        <w:shd w:val="clear" w:color="auto" w:fill="FFFFFF"/>
        <w:spacing w:before="30" w:beforeAutospacing="0" w:after="30" w:afterAutospacing="0"/>
        <w:ind w:firstLine="420"/>
        <w:rPr>
          <w:rFonts w:cs="宋体"/>
          <w:color w:val="auto"/>
          <w:highlight w:val="none"/>
        </w:rPr>
      </w:pPr>
      <w:r>
        <w:rPr>
          <w:rFonts w:hint="eastAsia" w:ascii="楷体" w:hAnsi="楷体" w:eastAsia="楷体" w:cs="楷体"/>
          <w:color w:val="auto"/>
          <w:highlight w:val="none"/>
          <w:shd w:val="clear" w:color="auto" w:fill="FFFFFF"/>
        </w:rPr>
        <w:t>1.产品如有型号，请在“产品名称”栏一并填写。</w:t>
      </w:r>
    </w:p>
    <w:p w14:paraId="52A05F38">
      <w:pPr>
        <w:pStyle w:val="47"/>
        <w:shd w:val="clear" w:color="auto" w:fill="FFFFFF"/>
        <w:spacing w:before="30" w:beforeAutospacing="0" w:after="30" w:afterAutospacing="0"/>
        <w:ind w:firstLine="420"/>
        <w:rPr>
          <w:rFonts w:cs="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14:paraId="477EFE6F">
      <w:pPr>
        <w:pStyle w:val="51"/>
        <w:ind w:firstLine="240"/>
        <w:rPr>
          <w:color w:val="auto"/>
          <w:highlight w:val="none"/>
        </w:rPr>
      </w:pPr>
    </w:p>
    <w:p w14:paraId="3E637BA2">
      <w:pPr>
        <w:snapToGrid w:val="0"/>
        <w:spacing w:line="360" w:lineRule="exact"/>
        <w:ind w:firstLine="210" w:firstLineChars="100"/>
        <w:jc w:val="left"/>
        <w:rPr>
          <w:rFonts w:hAnsi="宋体"/>
          <w:color w:val="auto"/>
          <w:szCs w:val="21"/>
          <w:highlight w:val="none"/>
        </w:rPr>
      </w:pPr>
    </w:p>
    <w:p w14:paraId="75246874">
      <w:pPr>
        <w:snapToGrid w:val="0"/>
        <w:spacing w:line="360" w:lineRule="exact"/>
        <w:ind w:firstLine="210" w:firstLineChars="100"/>
        <w:jc w:val="left"/>
        <w:rPr>
          <w:rFonts w:hAnsi="宋体"/>
          <w:color w:val="auto"/>
          <w:szCs w:val="21"/>
          <w:highlight w:val="none"/>
        </w:rPr>
      </w:pPr>
      <w:r>
        <w:rPr>
          <w:rFonts w:hint="eastAsia" w:hAnsi="宋体"/>
          <w:color w:val="auto"/>
          <w:szCs w:val="21"/>
          <w:highlight w:val="none"/>
        </w:rPr>
        <w:t>（19）投标人情况介绍</w:t>
      </w:r>
      <w:r>
        <w:rPr>
          <w:rFonts w:hint="eastAsia" w:ascii="宋体" w:hAnsi="宋体"/>
          <w:color w:val="auto"/>
          <w:szCs w:val="21"/>
          <w:highlight w:val="none"/>
        </w:rPr>
        <w:t>（主要产品、技术力量、生产规模、经营业绩等，格式自拟）</w:t>
      </w:r>
      <w:r>
        <w:rPr>
          <w:rFonts w:hint="eastAsia" w:hAnsi="宋体"/>
          <w:color w:val="auto"/>
          <w:szCs w:val="21"/>
          <w:highlight w:val="none"/>
        </w:rPr>
        <w:t>。</w:t>
      </w:r>
    </w:p>
    <w:p w14:paraId="18FA59D3">
      <w:pPr>
        <w:snapToGrid w:val="0"/>
        <w:spacing w:line="360" w:lineRule="exact"/>
        <w:ind w:firstLine="516" w:firstLineChars="246"/>
        <w:jc w:val="left"/>
        <w:rPr>
          <w:rFonts w:ascii="宋体" w:hAnsi="宋体"/>
          <w:color w:val="auto"/>
          <w:szCs w:val="21"/>
          <w:highlight w:val="none"/>
        </w:rPr>
      </w:pPr>
    </w:p>
    <w:p w14:paraId="4734A969">
      <w:pPr>
        <w:snapToGrid w:val="0"/>
        <w:spacing w:line="360" w:lineRule="exact"/>
        <w:ind w:firstLine="516" w:firstLineChars="246"/>
        <w:jc w:val="left"/>
        <w:rPr>
          <w:rFonts w:ascii="宋体" w:hAnsi="宋体"/>
          <w:color w:val="auto"/>
          <w:szCs w:val="21"/>
          <w:highlight w:val="none"/>
        </w:rPr>
      </w:pPr>
    </w:p>
    <w:p w14:paraId="2DE69603">
      <w:pPr>
        <w:snapToGrid w:val="0"/>
        <w:spacing w:line="360" w:lineRule="exact"/>
        <w:ind w:firstLine="516" w:firstLineChars="246"/>
        <w:jc w:val="left"/>
        <w:rPr>
          <w:rFonts w:ascii="宋体" w:hAnsi="宋体"/>
          <w:color w:val="auto"/>
          <w:szCs w:val="21"/>
          <w:highlight w:val="none"/>
        </w:rPr>
      </w:pPr>
    </w:p>
    <w:p w14:paraId="02E4CBFC">
      <w:pPr>
        <w:rPr>
          <w:rFonts w:ascii="宋体" w:hAnsi="宋体"/>
          <w:b/>
          <w:color w:val="auto"/>
          <w:szCs w:val="21"/>
          <w:highlight w:val="none"/>
        </w:rPr>
      </w:pPr>
      <w:r>
        <w:rPr>
          <w:rFonts w:hint="eastAsia" w:ascii="宋体" w:hAnsi="宋体"/>
          <w:b/>
          <w:color w:val="auto"/>
          <w:szCs w:val="21"/>
          <w:highlight w:val="none"/>
        </w:rPr>
        <w:br w:type="page"/>
      </w:r>
    </w:p>
    <w:p w14:paraId="0F381228">
      <w:pPr>
        <w:snapToGrid w:val="0"/>
        <w:spacing w:line="360" w:lineRule="exact"/>
        <w:ind w:firstLine="519" w:firstLineChars="246"/>
        <w:jc w:val="left"/>
        <w:rPr>
          <w:rFonts w:ascii="宋体" w:hAnsi="宋体"/>
          <w:b/>
          <w:color w:val="auto"/>
          <w:szCs w:val="21"/>
          <w:highlight w:val="none"/>
        </w:rPr>
      </w:pPr>
      <w:r>
        <w:rPr>
          <w:rFonts w:hint="eastAsia" w:ascii="宋体" w:hAnsi="宋体"/>
          <w:b/>
          <w:color w:val="auto"/>
          <w:szCs w:val="21"/>
          <w:highlight w:val="none"/>
        </w:rPr>
        <w:t>三）、技术文件部分（格式）</w:t>
      </w:r>
    </w:p>
    <w:p w14:paraId="29E31105">
      <w:pPr>
        <w:snapToGrid w:val="0"/>
        <w:spacing w:before="50" w:after="156" w:afterLines="50" w:line="360" w:lineRule="exact"/>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color w:val="auto"/>
          <w:szCs w:val="21"/>
          <w:highlight w:val="none"/>
        </w:rPr>
        <w:t>对本项目系统总体要求的理解（包括：功能说明、性能指标、设备选型说明以及质量、性能、价格、外观、体积等方面进行比较和选择的理由和过程，格式自拟）</w:t>
      </w:r>
    </w:p>
    <w:p w14:paraId="4DC1C195">
      <w:pPr>
        <w:snapToGrid w:val="0"/>
        <w:spacing w:before="50" w:after="156" w:afterLines="50" w:line="360" w:lineRule="exact"/>
        <w:jc w:val="left"/>
        <w:rPr>
          <w:rFonts w:ascii="宋体" w:hAnsi="宋体"/>
          <w:b/>
          <w:color w:val="auto"/>
          <w:szCs w:val="21"/>
          <w:highlight w:val="none"/>
        </w:rPr>
      </w:pPr>
      <w:r>
        <w:rPr>
          <w:rFonts w:hint="eastAsia" w:ascii="宋体" w:hAnsi="宋体"/>
          <w:bCs/>
          <w:color w:val="auto"/>
          <w:szCs w:val="21"/>
          <w:highlight w:val="none"/>
        </w:rPr>
        <w:t>（2）</w:t>
      </w:r>
      <w:r>
        <w:rPr>
          <w:rFonts w:hint="eastAsia" w:ascii="宋体" w:hAnsi="宋体"/>
          <w:color w:val="auto"/>
          <w:szCs w:val="21"/>
          <w:highlight w:val="none"/>
        </w:rPr>
        <w:t>技术响应表格式：</w:t>
      </w:r>
      <w:r>
        <w:rPr>
          <w:rFonts w:hint="eastAsia" w:ascii="宋体" w:hAnsi="宋体"/>
          <w:b/>
          <w:color w:val="auto"/>
          <w:szCs w:val="21"/>
          <w:highlight w:val="none"/>
        </w:rPr>
        <w:t xml:space="preserve"> </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3600"/>
        <w:gridCol w:w="3600"/>
        <w:gridCol w:w="1573"/>
      </w:tblGrid>
      <w:tr w14:paraId="2D4C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01" w:type="dxa"/>
            <w:tcBorders>
              <w:top w:val="single" w:color="auto" w:sz="4" w:space="0"/>
              <w:left w:val="single" w:color="auto" w:sz="4" w:space="0"/>
              <w:bottom w:val="single" w:color="auto" w:sz="4" w:space="0"/>
              <w:right w:val="single" w:color="auto" w:sz="4" w:space="0"/>
            </w:tcBorders>
            <w:vAlign w:val="center"/>
          </w:tcPr>
          <w:p w14:paraId="2D51665E">
            <w:pPr>
              <w:pStyle w:val="28"/>
              <w:spacing w:line="400" w:lineRule="exact"/>
              <w:jc w:val="center"/>
              <w:rPr>
                <w:rFonts w:hAnsi="宋体"/>
                <w:color w:val="auto"/>
                <w:highlight w:val="none"/>
              </w:rPr>
            </w:pPr>
            <w:r>
              <w:rPr>
                <w:rFonts w:hint="eastAsia" w:hAnsi="宋体"/>
                <w:color w:val="auto"/>
                <w:highlight w:val="none"/>
              </w:rPr>
              <w:t>项号</w:t>
            </w:r>
          </w:p>
        </w:tc>
        <w:tc>
          <w:tcPr>
            <w:tcW w:w="3600" w:type="dxa"/>
            <w:tcBorders>
              <w:top w:val="single" w:color="auto" w:sz="4" w:space="0"/>
              <w:left w:val="single" w:color="auto" w:sz="4" w:space="0"/>
              <w:bottom w:val="single" w:color="auto" w:sz="4" w:space="0"/>
              <w:right w:val="single" w:color="auto" w:sz="4" w:space="0"/>
            </w:tcBorders>
            <w:vAlign w:val="center"/>
          </w:tcPr>
          <w:p w14:paraId="34B0C670">
            <w:pPr>
              <w:pStyle w:val="28"/>
              <w:spacing w:line="400" w:lineRule="exact"/>
              <w:jc w:val="center"/>
              <w:rPr>
                <w:rFonts w:ascii="Times New Roman" w:hAnsi="Times New Roman"/>
                <w:color w:val="auto"/>
                <w:highlight w:val="none"/>
              </w:rPr>
            </w:pPr>
            <w:r>
              <w:rPr>
                <w:rFonts w:hint="eastAsia" w:ascii="Times New Roman" w:hAnsi="Times New Roman"/>
                <w:color w:val="auto"/>
                <w:highlight w:val="none"/>
              </w:rPr>
              <w:t>招标要求</w:t>
            </w:r>
          </w:p>
        </w:tc>
        <w:tc>
          <w:tcPr>
            <w:tcW w:w="3600" w:type="dxa"/>
            <w:tcBorders>
              <w:top w:val="single" w:color="auto" w:sz="4" w:space="0"/>
              <w:left w:val="single" w:color="auto" w:sz="4" w:space="0"/>
              <w:bottom w:val="single" w:color="auto" w:sz="4" w:space="0"/>
              <w:right w:val="single" w:color="auto" w:sz="4" w:space="0"/>
            </w:tcBorders>
            <w:vAlign w:val="center"/>
          </w:tcPr>
          <w:p w14:paraId="0CD44014">
            <w:pPr>
              <w:pStyle w:val="28"/>
              <w:spacing w:line="400" w:lineRule="exact"/>
              <w:jc w:val="center"/>
              <w:rPr>
                <w:rFonts w:ascii="Times New Roman" w:hAnsi="Times New Roman"/>
                <w:color w:val="auto"/>
                <w:highlight w:val="none"/>
              </w:rPr>
            </w:pPr>
            <w:r>
              <w:rPr>
                <w:rFonts w:hint="eastAsia" w:ascii="Times New Roman" w:hAnsi="Times New Roman"/>
                <w:color w:val="auto"/>
                <w:highlight w:val="none"/>
              </w:rPr>
              <w:t>应标情况</w:t>
            </w:r>
          </w:p>
        </w:tc>
        <w:tc>
          <w:tcPr>
            <w:tcW w:w="1573" w:type="dxa"/>
            <w:tcBorders>
              <w:top w:val="single" w:color="auto" w:sz="4" w:space="0"/>
              <w:left w:val="single" w:color="auto" w:sz="4" w:space="0"/>
              <w:bottom w:val="single" w:color="auto" w:sz="4" w:space="0"/>
              <w:right w:val="single" w:color="auto" w:sz="4" w:space="0"/>
            </w:tcBorders>
            <w:vAlign w:val="center"/>
          </w:tcPr>
          <w:p w14:paraId="31CC2FB3">
            <w:pPr>
              <w:pStyle w:val="28"/>
              <w:spacing w:line="400" w:lineRule="exact"/>
              <w:jc w:val="center"/>
              <w:rPr>
                <w:rFonts w:ascii="Times New Roman" w:hAnsi="Times New Roman"/>
                <w:color w:val="auto"/>
                <w:highlight w:val="none"/>
              </w:rPr>
            </w:pPr>
            <w:r>
              <w:rPr>
                <w:rFonts w:hint="eastAsia" w:ascii="Times New Roman" w:hAnsi="Times New Roman"/>
                <w:color w:val="auto"/>
                <w:highlight w:val="none"/>
              </w:rPr>
              <w:t>偏离说明</w:t>
            </w:r>
          </w:p>
        </w:tc>
      </w:tr>
      <w:tr w14:paraId="5906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14:paraId="508140E9">
            <w:pPr>
              <w:pStyle w:val="28"/>
              <w:spacing w:line="600" w:lineRule="exact"/>
              <w:ind w:left="5250"/>
              <w:jc w:val="center"/>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14:paraId="069C0467">
            <w:pPr>
              <w:pStyle w:val="28"/>
              <w:spacing w:line="600" w:lineRule="exact"/>
              <w:ind w:left="5250"/>
              <w:jc w:val="center"/>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vAlign w:val="center"/>
          </w:tcPr>
          <w:p w14:paraId="3E42CC23">
            <w:pPr>
              <w:pStyle w:val="28"/>
              <w:spacing w:line="600" w:lineRule="exact"/>
              <w:ind w:left="5250"/>
              <w:jc w:val="center"/>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vAlign w:val="center"/>
          </w:tcPr>
          <w:p w14:paraId="2D629E3C">
            <w:pPr>
              <w:pStyle w:val="28"/>
              <w:spacing w:line="600" w:lineRule="exact"/>
              <w:ind w:left="5250"/>
              <w:jc w:val="center"/>
              <w:rPr>
                <w:rFonts w:ascii="Times New Roman" w:hAnsi="Times New Roman"/>
                <w:color w:val="auto"/>
                <w:highlight w:val="none"/>
              </w:rPr>
            </w:pPr>
          </w:p>
        </w:tc>
      </w:tr>
      <w:tr w14:paraId="4899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14:paraId="0DF8332D">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4C025FC1">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1751C5C8">
            <w:pPr>
              <w:pStyle w:val="28"/>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14:paraId="10391D62">
            <w:pPr>
              <w:pStyle w:val="28"/>
              <w:spacing w:line="600" w:lineRule="exact"/>
              <w:ind w:left="5250"/>
              <w:rPr>
                <w:rFonts w:ascii="Times New Roman" w:hAnsi="Times New Roman"/>
                <w:color w:val="auto"/>
                <w:highlight w:val="none"/>
              </w:rPr>
            </w:pPr>
          </w:p>
        </w:tc>
      </w:tr>
      <w:tr w14:paraId="650B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14:paraId="6845655B">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7C998C6E">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45DCC52C">
            <w:pPr>
              <w:pStyle w:val="28"/>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14:paraId="54261226">
            <w:pPr>
              <w:pStyle w:val="28"/>
              <w:spacing w:line="600" w:lineRule="exact"/>
              <w:ind w:left="5250"/>
              <w:rPr>
                <w:rFonts w:ascii="Times New Roman" w:hAnsi="Times New Roman"/>
                <w:color w:val="auto"/>
                <w:highlight w:val="none"/>
              </w:rPr>
            </w:pPr>
          </w:p>
        </w:tc>
      </w:tr>
      <w:tr w14:paraId="0E67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14:paraId="35FBCDFF">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5402D7CE">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404C1818">
            <w:pPr>
              <w:pStyle w:val="28"/>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14:paraId="10BD53AE">
            <w:pPr>
              <w:pStyle w:val="28"/>
              <w:spacing w:line="600" w:lineRule="exact"/>
              <w:ind w:left="5250"/>
              <w:rPr>
                <w:rFonts w:ascii="Times New Roman" w:hAnsi="Times New Roman"/>
                <w:color w:val="auto"/>
                <w:highlight w:val="none"/>
              </w:rPr>
            </w:pPr>
          </w:p>
        </w:tc>
      </w:tr>
      <w:tr w14:paraId="7725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14:paraId="677572A1">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7E913FFA">
            <w:pPr>
              <w:pStyle w:val="28"/>
              <w:spacing w:line="600" w:lineRule="exact"/>
              <w:ind w:left="5250"/>
              <w:rPr>
                <w:rFonts w:ascii="Times New Roman" w:hAnsi="Times New Roman"/>
                <w:color w:val="auto"/>
                <w:highlight w:val="none"/>
              </w:rPr>
            </w:pPr>
          </w:p>
        </w:tc>
        <w:tc>
          <w:tcPr>
            <w:tcW w:w="3600" w:type="dxa"/>
            <w:tcBorders>
              <w:top w:val="single" w:color="auto" w:sz="4" w:space="0"/>
              <w:left w:val="single" w:color="auto" w:sz="4" w:space="0"/>
              <w:bottom w:val="single" w:color="auto" w:sz="4" w:space="0"/>
              <w:right w:val="single" w:color="auto" w:sz="4" w:space="0"/>
            </w:tcBorders>
          </w:tcPr>
          <w:p w14:paraId="7103C703">
            <w:pPr>
              <w:pStyle w:val="28"/>
              <w:spacing w:line="600" w:lineRule="exact"/>
              <w:ind w:left="5250"/>
              <w:rPr>
                <w:rFonts w:ascii="Times New Roman" w:hAnsi="Times New Roman"/>
                <w:color w:val="auto"/>
                <w:highlight w:val="none"/>
              </w:rPr>
            </w:pPr>
          </w:p>
        </w:tc>
        <w:tc>
          <w:tcPr>
            <w:tcW w:w="1573" w:type="dxa"/>
            <w:tcBorders>
              <w:top w:val="single" w:color="auto" w:sz="4" w:space="0"/>
              <w:left w:val="single" w:color="auto" w:sz="4" w:space="0"/>
              <w:bottom w:val="single" w:color="auto" w:sz="4" w:space="0"/>
              <w:right w:val="single" w:color="auto" w:sz="4" w:space="0"/>
            </w:tcBorders>
          </w:tcPr>
          <w:p w14:paraId="05C5F344">
            <w:pPr>
              <w:pStyle w:val="28"/>
              <w:spacing w:line="600" w:lineRule="exact"/>
              <w:ind w:left="5250"/>
              <w:rPr>
                <w:rFonts w:ascii="Times New Roman" w:hAnsi="Times New Roman"/>
                <w:color w:val="auto"/>
                <w:highlight w:val="none"/>
              </w:rPr>
            </w:pPr>
          </w:p>
        </w:tc>
      </w:tr>
    </w:tbl>
    <w:p w14:paraId="6C3393F8">
      <w:pPr>
        <w:snapToGrid w:val="0"/>
        <w:spacing w:before="50" w:after="156" w:afterLines="50" w:line="360" w:lineRule="exact"/>
        <w:jc w:val="left"/>
        <w:rPr>
          <w:rFonts w:ascii="宋体" w:hAnsi="宋体"/>
          <w:color w:val="auto"/>
          <w:szCs w:val="21"/>
          <w:highlight w:val="none"/>
          <w:u w:val="single"/>
        </w:rPr>
      </w:pPr>
    </w:p>
    <w:p w14:paraId="677DE4D2">
      <w:pPr>
        <w:pStyle w:val="19"/>
        <w:spacing w:line="360" w:lineRule="exact"/>
        <w:ind w:firstLine="422" w:firstLineChars="200"/>
        <w:rPr>
          <w:rFonts w:ascii="宋体" w:hAnsi="宋体"/>
          <w:color w:val="auto"/>
          <w:sz w:val="21"/>
          <w:szCs w:val="21"/>
          <w:highlight w:val="none"/>
        </w:rPr>
      </w:pPr>
      <w:r>
        <w:rPr>
          <w:rFonts w:hint="eastAsia" w:ascii="宋体" w:hAnsi="宋体"/>
          <w:color w:val="auto"/>
          <w:sz w:val="21"/>
          <w:szCs w:val="21"/>
          <w:highlight w:val="none"/>
        </w:rPr>
        <w:t>注：投标人应根据投标设备的性能指标、对照招标文件要求在技术响应表中详细列明招标要求及投标设备技术规格的响应情况，并填写“</w:t>
      </w:r>
      <w:r>
        <w:rPr>
          <w:rFonts w:hint="eastAsia"/>
          <w:color w:val="auto"/>
          <w:highlight w:val="none"/>
        </w:rPr>
        <w:t>偏离说明”。</w:t>
      </w:r>
      <w:r>
        <w:rPr>
          <w:rFonts w:hint="eastAsia" w:ascii="宋体" w:hAnsi="宋体"/>
          <w:color w:val="auto"/>
          <w:sz w:val="21"/>
          <w:szCs w:val="21"/>
          <w:highlight w:val="none"/>
        </w:rPr>
        <w:t>“偏离</w:t>
      </w:r>
      <w:r>
        <w:rPr>
          <w:rFonts w:hint="eastAsia"/>
          <w:color w:val="auto"/>
          <w:highlight w:val="none"/>
        </w:rPr>
        <w:t>说明</w:t>
      </w:r>
      <w:r>
        <w:rPr>
          <w:rFonts w:hint="eastAsia" w:ascii="宋体" w:hAnsi="宋体"/>
          <w:color w:val="auto"/>
          <w:sz w:val="21"/>
          <w:szCs w:val="21"/>
          <w:highlight w:val="none"/>
        </w:rPr>
        <w:t>”栏注明“正偏离”、“负偏离”或“无偏离”。投标技术规格与招标要求相同的为无偏离，投标技术规格高于招标要求的为正偏离，低于招标要求的为负偏离。</w:t>
      </w:r>
    </w:p>
    <w:p w14:paraId="072AA747">
      <w:pPr>
        <w:snapToGrid w:val="0"/>
        <w:spacing w:before="50" w:after="50" w:line="360" w:lineRule="exact"/>
        <w:rPr>
          <w:rFonts w:ascii="宋体" w:hAnsi="宋体"/>
          <w:color w:val="auto"/>
          <w:spacing w:val="20"/>
          <w:szCs w:val="21"/>
          <w:highlight w:val="none"/>
        </w:rPr>
      </w:pPr>
    </w:p>
    <w:p w14:paraId="58B6A868">
      <w:pPr>
        <w:snapToGrid w:val="0"/>
        <w:spacing w:before="50" w:after="50" w:line="360" w:lineRule="exact"/>
        <w:rPr>
          <w:rFonts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14:paraId="39201C42">
      <w:pPr>
        <w:snapToGrid w:val="0"/>
        <w:spacing w:before="50" w:after="50" w:line="360" w:lineRule="exact"/>
        <w:rPr>
          <w:rFonts w:ascii="宋体" w:hAnsi="宋体"/>
          <w:color w:val="auto"/>
          <w:spacing w:val="20"/>
          <w:szCs w:val="21"/>
          <w:highlight w:val="none"/>
          <w:u w:val="singl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14:paraId="4A9CBCA7">
      <w:pPr>
        <w:pStyle w:val="28"/>
        <w:jc w:val="center"/>
        <w:rPr>
          <w:color w:val="auto"/>
          <w:highlight w:val="none"/>
        </w:rPr>
      </w:pPr>
    </w:p>
    <w:p w14:paraId="01B44705">
      <w:pPr>
        <w:snapToGrid w:val="0"/>
        <w:spacing w:before="50" w:after="156" w:afterLines="50" w:line="360" w:lineRule="exact"/>
        <w:jc w:val="left"/>
        <w:rPr>
          <w:rFonts w:ascii="宋体" w:hAnsi="宋体"/>
          <w:color w:val="auto"/>
          <w:szCs w:val="21"/>
          <w:highlight w:val="none"/>
        </w:rPr>
      </w:pPr>
      <w:r>
        <w:rPr>
          <w:rFonts w:hint="eastAsia" w:ascii="宋体" w:hAnsi="宋体"/>
          <w:b/>
          <w:color w:val="auto"/>
          <w:szCs w:val="21"/>
          <w:highlight w:val="none"/>
        </w:rPr>
        <w:t>（3）</w:t>
      </w:r>
      <w:r>
        <w:rPr>
          <w:rFonts w:hint="eastAsia" w:ascii="宋体" w:hAnsi="宋体"/>
          <w:color w:val="auto"/>
          <w:szCs w:val="21"/>
          <w:highlight w:val="none"/>
        </w:rPr>
        <w:t>设备配置清单格式：</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2"/>
        <w:gridCol w:w="1443"/>
        <w:gridCol w:w="839"/>
        <w:gridCol w:w="1498"/>
        <w:gridCol w:w="1620"/>
        <w:gridCol w:w="1809"/>
        <w:gridCol w:w="912"/>
      </w:tblGrid>
      <w:tr w14:paraId="5D4FF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14:paraId="5620F397">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序号</w:t>
            </w:r>
          </w:p>
        </w:tc>
        <w:tc>
          <w:tcPr>
            <w:tcW w:w="1443" w:type="dxa"/>
            <w:tcBorders>
              <w:top w:val="single" w:color="auto" w:sz="4" w:space="0"/>
              <w:left w:val="single" w:color="auto" w:sz="4" w:space="0"/>
              <w:bottom w:val="single" w:color="auto" w:sz="4" w:space="0"/>
              <w:right w:val="single" w:color="auto" w:sz="4" w:space="0"/>
            </w:tcBorders>
            <w:vAlign w:val="center"/>
          </w:tcPr>
          <w:p w14:paraId="6895BDCC">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设备名称</w:t>
            </w:r>
          </w:p>
        </w:tc>
        <w:tc>
          <w:tcPr>
            <w:tcW w:w="839" w:type="dxa"/>
            <w:tcBorders>
              <w:top w:val="single" w:color="auto" w:sz="4" w:space="0"/>
              <w:left w:val="single" w:color="auto" w:sz="4" w:space="0"/>
              <w:bottom w:val="single" w:color="auto" w:sz="4" w:space="0"/>
              <w:right w:val="single" w:color="auto" w:sz="4" w:space="0"/>
            </w:tcBorders>
            <w:vAlign w:val="center"/>
          </w:tcPr>
          <w:p w14:paraId="7BB42351">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品牌</w:t>
            </w:r>
          </w:p>
        </w:tc>
        <w:tc>
          <w:tcPr>
            <w:tcW w:w="1498" w:type="dxa"/>
            <w:tcBorders>
              <w:top w:val="single" w:color="auto" w:sz="4" w:space="0"/>
              <w:left w:val="single" w:color="auto" w:sz="4" w:space="0"/>
              <w:bottom w:val="single" w:color="auto" w:sz="4" w:space="0"/>
              <w:right w:val="single" w:color="auto" w:sz="4" w:space="0"/>
            </w:tcBorders>
            <w:vAlign w:val="center"/>
          </w:tcPr>
          <w:p w14:paraId="14788D04">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规格型号</w:t>
            </w:r>
          </w:p>
        </w:tc>
        <w:tc>
          <w:tcPr>
            <w:tcW w:w="1620" w:type="dxa"/>
            <w:tcBorders>
              <w:top w:val="single" w:color="auto" w:sz="4" w:space="0"/>
              <w:left w:val="single" w:color="auto" w:sz="4" w:space="0"/>
              <w:bottom w:val="single" w:color="auto" w:sz="4" w:space="0"/>
              <w:right w:val="single" w:color="auto" w:sz="4" w:space="0"/>
            </w:tcBorders>
            <w:vAlign w:val="center"/>
          </w:tcPr>
          <w:p w14:paraId="327D3FC3">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单位及数量</w:t>
            </w:r>
          </w:p>
        </w:tc>
        <w:tc>
          <w:tcPr>
            <w:tcW w:w="1809" w:type="dxa"/>
            <w:tcBorders>
              <w:top w:val="single" w:color="auto" w:sz="4" w:space="0"/>
              <w:left w:val="single" w:color="auto" w:sz="4" w:space="0"/>
              <w:bottom w:val="single" w:color="auto" w:sz="4" w:space="0"/>
              <w:right w:val="single" w:color="auto" w:sz="4" w:space="0"/>
            </w:tcBorders>
            <w:vAlign w:val="center"/>
          </w:tcPr>
          <w:p w14:paraId="3C92C323">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性能及指标</w:t>
            </w:r>
          </w:p>
        </w:tc>
        <w:tc>
          <w:tcPr>
            <w:tcW w:w="912" w:type="dxa"/>
            <w:tcBorders>
              <w:top w:val="single" w:color="auto" w:sz="4" w:space="0"/>
              <w:left w:val="single" w:color="auto" w:sz="4" w:space="0"/>
              <w:bottom w:val="single" w:color="auto" w:sz="4" w:space="0"/>
              <w:right w:val="single" w:color="auto" w:sz="4" w:space="0"/>
            </w:tcBorders>
            <w:vAlign w:val="center"/>
          </w:tcPr>
          <w:p w14:paraId="67368717">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产地</w:t>
            </w:r>
          </w:p>
        </w:tc>
      </w:tr>
      <w:tr w14:paraId="3FFF93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14:paraId="66F9A405">
            <w:pPr>
              <w:snapToGrid w:val="0"/>
              <w:spacing w:before="50" w:after="50" w:line="360" w:lineRule="exact"/>
              <w:jc w:val="center"/>
              <w:rPr>
                <w:rFonts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39E20BA9">
            <w:pPr>
              <w:snapToGrid w:val="0"/>
              <w:spacing w:before="50" w:after="50" w:line="360" w:lineRule="exact"/>
              <w:jc w:val="center"/>
              <w:rPr>
                <w:rFonts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14:paraId="27642997">
            <w:pPr>
              <w:snapToGrid w:val="0"/>
              <w:spacing w:before="50" w:after="50" w:line="360" w:lineRule="exact"/>
              <w:jc w:val="center"/>
              <w:rPr>
                <w:rFonts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14:paraId="1E666370">
            <w:pPr>
              <w:snapToGrid w:val="0"/>
              <w:spacing w:before="50" w:after="50" w:line="360" w:lineRule="exact"/>
              <w:jc w:val="center"/>
              <w:rPr>
                <w:rFonts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175B06A5">
            <w:pPr>
              <w:snapToGrid w:val="0"/>
              <w:spacing w:before="50" w:after="50" w:line="360" w:lineRule="exact"/>
              <w:jc w:val="center"/>
              <w:rPr>
                <w:rFonts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14:paraId="7020A4FB">
            <w:pPr>
              <w:snapToGrid w:val="0"/>
              <w:spacing w:before="50" w:after="50" w:line="360" w:lineRule="exact"/>
              <w:jc w:val="center"/>
              <w:rPr>
                <w:rFonts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14:paraId="536966EE">
            <w:pPr>
              <w:snapToGrid w:val="0"/>
              <w:spacing w:before="50" w:after="50" w:line="360" w:lineRule="exact"/>
              <w:jc w:val="center"/>
              <w:rPr>
                <w:rFonts w:ascii="宋体" w:hAnsi="宋体"/>
                <w:color w:val="auto"/>
                <w:szCs w:val="21"/>
                <w:highlight w:val="none"/>
              </w:rPr>
            </w:pPr>
          </w:p>
        </w:tc>
      </w:tr>
      <w:tr w14:paraId="24A3CC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14:paraId="38FC5824">
            <w:pPr>
              <w:snapToGrid w:val="0"/>
              <w:spacing w:before="50" w:after="50" w:line="360" w:lineRule="exact"/>
              <w:jc w:val="center"/>
              <w:rPr>
                <w:rFonts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436D068E">
            <w:pPr>
              <w:snapToGrid w:val="0"/>
              <w:spacing w:before="50" w:after="50" w:line="360" w:lineRule="exact"/>
              <w:jc w:val="center"/>
              <w:rPr>
                <w:rFonts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14:paraId="1185C972">
            <w:pPr>
              <w:snapToGrid w:val="0"/>
              <w:spacing w:before="50" w:after="50" w:line="360" w:lineRule="exact"/>
              <w:jc w:val="center"/>
              <w:rPr>
                <w:rFonts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14:paraId="50FCA89F">
            <w:pPr>
              <w:snapToGrid w:val="0"/>
              <w:spacing w:before="50" w:after="50" w:line="360" w:lineRule="exact"/>
              <w:jc w:val="center"/>
              <w:rPr>
                <w:rFonts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10FB1BD5">
            <w:pPr>
              <w:snapToGrid w:val="0"/>
              <w:spacing w:before="50" w:after="50" w:line="360" w:lineRule="exact"/>
              <w:jc w:val="center"/>
              <w:rPr>
                <w:rFonts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14:paraId="65AB8C99">
            <w:pPr>
              <w:snapToGrid w:val="0"/>
              <w:spacing w:before="50" w:after="50" w:line="360" w:lineRule="exact"/>
              <w:jc w:val="center"/>
              <w:rPr>
                <w:rFonts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14:paraId="53071B52">
            <w:pPr>
              <w:snapToGrid w:val="0"/>
              <w:spacing w:before="50" w:after="50" w:line="360" w:lineRule="exact"/>
              <w:jc w:val="center"/>
              <w:rPr>
                <w:rFonts w:ascii="宋体" w:hAnsi="宋体"/>
                <w:color w:val="auto"/>
                <w:szCs w:val="21"/>
                <w:highlight w:val="none"/>
              </w:rPr>
            </w:pPr>
          </w:p>
        </w:tc>
      </w:tr>
      <w:tr w14:paraId="2BAE0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14:paraId="44E1D978">
            <w:pPr>
              <w:snapToGrid w:val="0"/>
              <w:spacing w:before="50" w:after="50" w:line="360" w:lineRule="exact"/>
              <w:jc w:val="center"/>
              <w:rPr>
                <w:rFonts w:ascii="宋体" w:hAnsi="宋体"/>
                <w:color w:val="auto"/>
                <w:szCs w:val="21"/>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0950375C">
            <w:pPr>
              <w:snapToGrid w:val="0"/>
              <w:spacing w:before="50" w:after="50" w:line="360" w:lineRule="exact"/>
              <w:jc w:val="center"/>
              <w:rPr>
                <w:rFonts w:ascii="宋体" w:hAnsi="宋体"/>
                <w:color w:val="auto"/>
                <w:szCs w:val="21"/>
                <w:highlight w:val="none"/>
              </w:rPr>
            </w:pPr>
          </w:p>
        </w:tc>
        <w:tc>
          <w:tcPr>
            <w:tcW w:w="839" w:type="dxa"/>
            <w:tcBorders>
              <w:top w:val="single" w:color="auto" w:sz="4" w:space="0"/>
              <w:left w:val="single" w:color="auto" w:sz="4" w:space="0"/>
              <w:bottom w:val="single" w:color="auto" w:sz="4" w:space="0"/>
              <w:right w:val="single" w:color="auto" w:sz="4" w:space="0"/>
            </w:tcBorders>
            <w:vAlign w:val="center"/>
          </w:tcPr>
          <w:p w14:paraId="6378F0B1">
            <w:pPr>
              <w:snapToGrid w:val="0"/>
              <w:spacing w:before="50" w:after="50" w:line="360" w:lineRule="exact"/>
              <w:jc w:val="center"/>
              <w:rPr>
                <w:rFonts w:ascii="宋体" w:hAnsi="宋体"/>
                <w:color w:val="auto"/>
                <w:szCs w:val="21"/>
                <w:highlight w:val="none"/>
              </w:rPr>
            </w:pPr>
          </w:p>
        </w:tc>
        <w:tc>
          <w:tcPr>
            <w:tcW w:w="1498" w:type="dxa"/>
            <w:tcBorders>
              <w:top w:val="single" w:color="auto" w:sz="4" w:space="0"/>
              <w:left w:val="single" w:color="auto" w:sz="4" w:space="0"/>
              <w:bottom w:val="single" w:color="auto" w:sz="4" w:space="0"/>
              <w:right w:val="single" w:color="auto" w:sz="4" w:space="0"/>
            </w:tcBorders>
            <w:vAlign w:val="center"/>
          </w:tcPr>
          <w:p w14:paraId="49B10148">
            <w:pPr>
              <w:snapToGrid w:val="0"/>
              <w:spacing w:before="50" w:after="50" w:line="360" w:lineRule="exact"/>
              <w:jc w:val="center"/>
              <w:rPr>
                <w:rFonts w:ascii="宋体" w:hAnsi="宋体"/>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752DB2D5">
            <w:pPr>
              <w:snapToGrid w:val="0"/>
              <w:spacing w:before="50" w:after="50" w:line="360" w:lineRule="exact"/>
              <w:jc w:val="center"/>
              <w:rPr>
                <w:rFonts w:ascii="宋体" w:hAnsi="宋体"/>
                <w:color w:val="auto"/>
                <w:szCs w:val="21"/>
                <w:highlight w:val="none"/>
              </w:rPr>
            </w:pPr>
          </w:p>
        </w:tc>
        <w:tc>
          <w:tcPr>
            <w:tcW w:w="1809" w:type="dxa"/>
            <w:tcBorders>
              <w:top w:val="single" w:color="auto" w:sz="4" w:space="0"/>
              <w:left w:val="single" w:color="auto" w:sz="4" w:space="0"/>
              <w:bottom w:val="single" w:color="auto" w:sz="4" w:space="0"/>
              <w:right w:val="single" w:color="auto" w:sz="4" w:space="0"/>
            </w:tcBorders>
            <w:vAlign w:val="center"/>
          </w:tcPr>
          <w:p w14:paraId="5DFA97AA">
            <w:pPr>
              <w:snapToGrid w:val="0"/>
              <w:spacing w:before="50" w:after="50" w:line="360" w:lineRule="exact"/>
              <w:jc w:val="center"/>
              <w:rPr>
                <w:rFonts w:ascii="宋体" w:hAnsi="宋体"/>
                <w:color w:val="auto"/>
                <w:szCs w:val="21"/>
                <w:highlight w:val="none"/>
              </w:rPr>
            </w:pPr>
          </w:p>
        </w:tc>
        <w:tc>
          <w:tcPr>
            <w:tcW w:w="912" w:type="dxa"/>
            <w:tcBorders>
              <w:top w:val="single" w:color="auto" w:sz="4" w:space="0"/>
              <w:left w:val="single" w:color="auto" w:sz="4" w:space="0"/>
              <w:bottom w:val="single" w:color="auto" w:sz="4" w:space="0"/>
              <w:right w:val="single" w:color="auto" w:sz="4" w:space="0"/>
            </w:tcBorders>
            <w:vAlign w:val="center"/>
          </w:tcPr>
          <w:p w14:paraId="0B6FB0EA">
            <w:pPr>
              <w:snapToGrid w:val="0"/>
              <w:spacing w:before="50" w:after="50" w:line="360" w:lineRule="exact"/>
              <w:jc w:val="center"/>
              <w:rPr>
                <w:rFonts w:ascii="宋体" w:hAnsi="宋体"/>
                <w:color w:val="auto"/>
                <w:szCs w:val="21"/>
                <w:highlight w:val="none"/>
              </w:rPr>
            </w:pPr>
          </w:p>
        </w:tc>
      </w:tr>
    </w:tbl>
    <w:p w14:paraId="58DECBB6">
      <w:pPr>
        <w:snapToGrid w:val="0"/>
        <w:spacing w:before="100" w:beforeAutospacing="1" w:after="100" w:afterAutospacing="1" w:line="480" w:lineRule="auto"/>
        <w:ind w:firstLine="315" w:firstLineChars="150"/>
        <w:rPr>
          <w:rFonts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14:paraId="7C2AC2D5">
      <w:pPr>
        <w:snapToGrid w:val="0"/>
        <w:spacing w:before="100" w:beforeAutospacing="1" w:after="100" w:afterAutospacing="1" w:line="480" w:lineRule="auto"/>
        <w:ind w:firstLine="500" w:firstLineChars="200"/>
        <w:jc w:val="left"/>
        <w:rPr>
          <w:rFonts w:ascii="宋体" w:hAnsi="宋体"/>
          <w:color w:val="auto"/>
          <w:spacing w:val="20"/>
          <w:szCs w:val="21"/>
          <w:highlight w:val="none"/>
          <w:u w:val="singl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14:paraId="603A9433">
      <w:pPr>
        <w:snapToGrid w:val="0"/>
        <w:spacing w:before="50" w:after="156" w:afterLines="50" w:line="360" w:lineRule="exact"/>
        <w:jc w:val="left"/>
        <w:rPr>
          <w:rFonts w:ascii="宋体" w:hAnsi="宋体"/>
          <w:b/>
          <w:color w:val="auto"/>
          <w:szCs w:val="21"/>
          <w:highlight w:val="none"/>
        </w:rPr>
      </w:pPr>
      <w:r>
        <w:rPr>
          <w:rFonts w:hint="eastAsia" w:ascii="宋体" w:hAnsi="宋体"/>
          <w:bCs/>
          <w:color w:val="auto"/>
          <w:szCs w:val="21"/>
          <w:highlight w:val="none"/>
        </w:rPr>
        <w:t>（4）</w:t>
      </w:r>
      <w:r>
        <w:rPr>
          <w:rFonts w:hint="eastAsia" w:ascii="宋体" w:hAnsi="宋体"/>
          <w:color w:val="auto"/>
          <w:szCs w:val="21"/>
          <w:highlight w:val="none"/>
        </w:rPr>
        <w:t>售后服务承诺书</w:t>
      </w:r>
      <w:r>
        <w:rPr>
          <w:rFonts w:hint="eastAsia"/>
          <w:color w:val="auto"/>
          <w:highlight w:val="none"/>
        </w:rPr>
        <w:t>（应据项目实际要求描述如：</w:t>
      </w:r>
      <w:r>
        <w:rPr>
          <w:rFonts w:hint="eastAsia" w:ascii="宋体" w:hAnsi="宋体"/>
          <w:color w:val="auto"/>
          <w:szCs w:val="21"/>
          <w:highlight w:val="none"/>
        </w:rPr>
        <w:t>投标人建议的安装、调试、验收方法或方案；技术服务、技术培训、售后服务的内容和措施等）</w:t>
      </w:r>
      <w:r>
        <w:rPr>
          <w:rFonts w:hint="eastAsia" w:ascii="宋体" w:hAnsi="宋体"/>
          <w:b/>
          <w:color w:val="auto"/>
          <w:szCs w:val="21"/>
          <w:highlight w:val="none"/>
        </w:rPr>
        <w:t>(格式自拟,必须提供）</w:t>
      </w:r>
      <w:r>
        <w:rPr>
          <w:rFonts w:hint="eastAsia" w:ascii="宋体" w:hAnsi="宋体"/>
          <w:color w:val="auto"/>
          <w:szCs w:val="21"/>
          <w:highlight w:val="none"/>
        </w:rPr>
        <w:t>；</w:t>
      </w:r>
    </w:p>
    <w:p w14:paraId="75D152DF">
      <w:pPr>
        <w:snapToGrid w:val="0"/>
        <w:spacing w:before="50" w:after="156" w:afterLines="50" w:line="360" w:lineRule="exact"/>
        <w:ind w:left="514" w:hanging="514" w:hangingChars="245"/>
        <w:jc w:val="left"/>
        <w:rPr>
          <w:rFonts w:ascii="宋体" w:hAnsi="宋体"/>
          <w:color w:val="auto"/>
          <w:szCs w:val="21"/>
          <w:highlight w:val="none"/>
        </w:rPr>
      </w:pPr>
      <w:r>
        <w:rPr>
          <w:rFonts w:hint="eastAsia" w:ascii="宋体" w:hAnsi="宋体"/>
          <w:bCs/>
          <w:color w:val="auto"/>
          <w:szCs w:val="21"/>
          <w:highlight w:val="none"/>
        </w:rPr>
        <w:t>（5）</w:t>
      </w:r>
      <w:r>
        <w:rPr>
          <w:rFonts w:hint="eastAsia" w:ascii="宋体" w:hAnsi="宋体"/>
          <w:color w:val="auto"/>
          <w:szCs w:val="21"/>
          <w:highlight w:val="none"/>
        </w:rPr>
        <w:t>投标人拥有主要装备和检测设施的情况和现状（格式自拟）及项目实施人员一览表</w:t>
      </w:r>
    </w:p>
    <w:p w14:paraId="52B0D4E1">
      <w:pPr>
        <w:snapToGrid w:val="0"/>
        <w:spacing w:before="50" w:after="156" w:afterLines="50" w:line="360" w:lineRule="exact"/>
        <w:jc w:val="left"/>
        <w:rPr>
          <w:rFonts w:ascii="宋体" w:hAnsi="宋体"/>
          <w:color w:val="auto"/>
          <w:szCs w:val="21"/>
          <w:highlight w:val="none"/>
        </w:rPr>
      </w:pPr>
      <w:r>
        <w:rPr>
          <w:rFonts w:hint="eastAsia" w:ascii="宋体" w:hAnsi="宋体"/>
          <w:color w:val="auto"/>
          <w:szCs w:val="21"/>
          <w:highlight w:val="none"/>
        </w:rPr>
        <w:t>（6）优惠条件：投标人承诺给予招标人的各种优惠条件，包括备品备件、专用耗材、售后服务等方面的优惠；</w:t>
      </w:r>
    </w:p>
    <w:p w14:paraId="76014C34">
      <w:pPr>
        <w:snapToGrid w:val="0"/>
        <w:spacing w:before="50" w:after="156" w:afterLines="50" w:line="360" w:lineRule="exact"/>
        <w:jc w:val="left"/>
        <w:rPr>
          <w:rFonts w:ascii="宋体" w:hAnsi="宋体"/>
          <w:color w:val="auto"/>
          <w:szCs w:val="21"/>
          <w:highlight w:val="none"/>
        </w:rPr>
      </w:pPr>
      <w:r>
        <w:rPr>
          <w:rFonts w:hint="eastAsia" w:ascii="宋体" w:hAnsi="宋体"/>
          <w:color w:val="auto"/>
          <w:szCs w:val="21"/>
          <w:highlight w:val="none"/>
        </w:rPr>
        <w:t>备品备件、专用耗材、售后服务优惠表格式：</w:t>
      </w: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35"/>
        <w:gridCol w:w="2700"/>
        <w:gridCol w:w="1440"/>
        <w:gridCol w:w="1440"/>
        <w:gridCol w:w="1530"/>
        <w:gridCol w:w="1530"/>
      </w:tblGrid>
      <w:tr w14:paraId="4A3DE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159DBA">
            <w:pPr>
              <w:pStyle w:val="28"/>
              <w:snapToGrid w:val="0"/>
              <w:jc w:val="center"/>
              <w:rPr>
                <w:rFonts w:hAnsi="宋体"/>
                <w:color w:val="auto"/>
                <w:highlight w:val="none"/>
              </w:rPr>
            </w:pPr>
            <w:r>
              <w:rPr>
                <w:rFonts w:hint="eastAsia" w:hAnsi="宋体"/>
                <w:color w:val="auto"/>
                <w:highlight w:val="none"/>
              </w:rPr>
              <w:t>序号</w:t>
            </w:r>
          </w:p>
        </w:tc>
        <w:tc>
          <w:tcPr>
            <w:tcW w:w="2700" w:type="dxa"/>
            <w:tcBorders>
              <w:top w:val="single" w:color="auto" w:sz="4" w:space="0"/>
              <w:left w:val="single" w:color="auto" w:sz="4" w:space="0"/>
              <w:bottom w:val="single" w:color="auto" w:sz="2" w:space="0"/>
              <w:right w:val="single" w:color="auto" w:sz="4" w:space="0"/>
            </w:tcBorders>
            <w:vAlign w:val="center"/>
          </w:tcPr>
          <w:p w14:paraId="1DC80AA5">
            <w:pPr>
              <w:pStyle w:val="28"/>
              <w:snapToGrid w:val="0"/>
              <w:jc w:val="center"/>
              <w:rPr>
                <w:rFonts w:hAnsi="宋体"/>
                <w:color w:val="auto"/>
                <w:highlight w:val="none"/>
              </w:rPr>
            </w:pPr>
            <w:r>
              <w:rPr>
                <w:rFonts w:hint="eastAsia" w:hAnsi="宋体"/>
                <w:color w:val="auto"/>
                <w:highlight w:val="none"/>
              </w:rPr>
              <w:t>优惠内容</w:t>
            </w:r>
          </w:p>
        </w:tc>
        <w:tc>
          <w:tcPr>
            <w:tcW w:w="1440" w:type="dxa"/>
            <w:tcBorders>
              <w:top w:val="single" w:color="auto" w:sz="4" w:space="0"/>
              <w:left w:val="single" w:color="auto" w:sz="4" w:space="0"/>
              <w:bottom w:val="single" w:color="auto" w:sz="2" w:space="0"/>
              <w:right w:val="single" w:color="auto" w:sz="4" w:space="0"/>
            </w:tcBorders>
            <w:vAlign w:val="center"/>
          </w:tcPr>
          <w:p w14:paraId="7144B859">
            <w:pPr>
              <w:pStyle w:val="28"/>
              <w:snapToGrid w:val="0"/>
              <w:jc w:val="center"/>
              <w:rPr>
                <w:rFonts w:hAnsi="宋体"/>
                <w:color w:val="auto"/>
                <w:highlight w:val="none"/>
              </w:rPr>
            </w:pPr>
            <w:r>
              <w:rPr>
                <w:rFonts w:hint="eastAsia" w:hAnsi="宋体"/>
                <w:color w:val="auto"/>
                <w:highlight w:val="none"/>
              </w:rPr>
              <w:t>适用机型</w:t>
            </w:r>
          </w:p>
        </w:tc>
        <w:tc>
          <w:tcPr>
            <w:tcW w:w="1440" w:type="dxa"/>
            <w:tcBorders>
              <w:top w:val="single" w:color="auto" w:sz="4" w:space="0"/>
              <w:left w:val="single" w:color="auto" w:sz="4" w:space="0"/>
              <w:bottom w:val="single" w:color="auto" w:sz="2" w:space="0"/>
              <w:right w:val="single" w:color="auto" w:sz="4" w:space="0"/>
            </w:tcBorders>
            <w:tcMar>
              <w:top w:w="15" w:type="dxa"/>
              <w:left w:w="15" w:type="dxa"/>
              <w:bottom w:w="0" w:type="dxa"/>
              <w:right w:w="15" w:type="dxa"/>
            </w:tcMar>
            <w:vAlign w:val="center"/>
          </w:tcPr>
          <w:p w14:paraId="28D59A8D">
            <w:pPr>
              <w:pStyle w:val="28"/>
              <w:snapToGrid w:val="0"/>
              <w:jc w:val="center"/>
              <w:rPr>
                <w:rFonts w:hAnsi="宋体"/>
                <w:color w:val="auto"/>
                <w:highlight w:val="none"/>
              </w:rPr>
            </w:pPr>
            <w:r>
              <w:rPr>
                <w:rFonts w:hint="eastAsia" w:hAnsi="宋体"/>
                <w:color w:val="auto"/>
                <w:highlight w:val="none"/>
              </w:rPr>
              <w:t>单价</w:t>
            </w:r>
          </w:p>
        </w:tc>
        <w:tc>
          <w:tcPr>
            <w:tcW w:w="1530" w:type="dxa"/>
            <w:tcBorders>
              <w:top w:val="single" w:color="auto" w:sz="4" w:space="0"/>
              <w:left w:val="single" w:color="auto" w:sz="4" w:space="0"/>
              <w:bottom w:val="single" w:color="auto" w:sz="2" w:space="0"/>
              <w:right w:val="single" w:color="auto" w:sz="4" w:space="0"/>
            </w:tcBorders>
            <w:vAlign w:val="center"/>
          </w:tcPr>
          <w:p w14:paraId="7B925F5A">
            <w:pPr>
              <w:pStyle w:val="28"/>
              <w:snapToGrid w:val="0"/>
              <w:jc w:val="center"/>
              <w:rPr>
                <w:rFonts w:hAnsi="宋体"/>
                <w:color w:val="auto"/>
                <w:highlight w:val="none"/>
              </w:rPr>
            </w:pPr>
            <w:r>
              <w:rPr>
                <w:rFonts w:hint="eastAsia" w:hAnsi="宋体"/>
                <w:color w:val="auto"/>
                <w:highlight w:val="none"/>
              </w:rPr>
              <w:t>比投标报价优惠率</w:t>
            </w:r>
          </w:p>
        </w:tc>
        <w:tc>
          <w:tcPr>
            <w:tcW w:w="1530" w:type="dxa"/>
            <w:tcBorders>
              <w:top w:val="single" w:color="auto" w:sz="4" w:space="0"/>
              <w:left w:val="single" w:color="auto" w:sz="4" w:space="0"/>
              <w:bottom w:val="single" w:color="auto" w:sz="2" w:space="0"/>
              <w:right w:val="single" w:color="auto" w:sz="4" w:space="0"/>
            </w:tcBorders>
            <w:vAlign w:val="center"/>
          </w:tcPr>
          <w:p w14:paraId="2456A316">
            <w:pPr>
              <w:pStyle w:val="28"/>
              <w:snapToGrid w:val="0"/>
              <w:jc w:val="center"/>
              <w:rPr>
                <w:rFonts w:hAnsi="宋体"/>
                <w:color w:val="auto"/>
                <w:highlight w:val="none"/>
              </w:rPr>
            </w:pPr>
            <w:r>
              <w:rPr>
                <w:rFonts w:hint="eastAsia" w:hAnsi="宋体"/>
                <w:color w:val="auto"/>
                <w:highlight w:val="none"/>
              </w:rPr>
              <w:t>比招标要求提供更优售后服务</w:t>
            </w:r>
          </w:p>
        </w:tc>
      </w:tr>
      <w:tr w14:paraId="715BAD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1B8FB48A">
            <w:pPr>
              <w:pStyle w:val="28"/>
              <w:snapToGrid w:val="0"/>
              <w:jc w:val="center"/>
              <w:rPr>
                <w:rFonts w:hAnsi="宋体"/>
                <w:color w:val="auto"/>
                <w:highlight w:val="none"/>
              </w:rPr>
            </w:pPr>
          </w:p>
        </w:tc>
        <w:tc>
          <w:tcPr>
            <w:tcW w:w="2700" w:type="dxa"/>
            <w:tcBorders>
              <w:top w:val="single" w:color="auto" w:sz="2" w:space="0"/>
              <w:left w:val="single" w:color="auto" w:sz="2" w:space="0"/>
              <w:bottom w:val="single" w:color="auto" w:sz="6" w:space="0"/>
              <w:right w:val="single" w:color="auto" w:sz="4" w:space="0"/>
            </w:tcBorders>
            <w:vAlign w:val="center"/>
          </w:tcPr>
          <w:p w14:paraId="10276E79">
            <w:pPr>
              <w:pStyle w:val="28"/>
              <w:snapToGrid w:val="0"/>
              <w:jc w:val="center"/>
              <w:rPr>
                <w:rFonts w:hAnsi="宋体"/>
                <w:color w:val="auto"/>
                <w:highlight w:val="none"/>
              </w:rPr>
            </w:pPr>
          </w:p>
        </w:tc>
        <w:tc>
          <w:tcPr>
            <w:tcW w:w="1440" w:type="dxa"/>
            <w:tcBorders>
              <w:top w:val="single" w:color="auto" w:sz="2" w:space="0"/>
              <w:left w:val="single" w:color="auto" w:sz="4" w:space="0"/>
              <w:bottom w:val="single" w:color="auto" w:sz="6" w:space="0"/>
              <w:right w:val="single" w:color="auto" w:sz="6" w:space="0"/>
            </w:tcBorders>
            <w:vAlign w:val="center"/>
          </w:tcPr>
          <w:p w14:paraId="31D6D120">
            <w:pPr>
              <w:pStyle w:val="28"/>
              <w:snapToGrid w:val="0"/>
              <w:jc w:val="center"/>
              <w:rPr>
                <w:rFonts w:hAnsi="宋体"/>
                <w:color w:val="auto"/>
                <w:highlight w:val="none"/>
              </w:rPr>
            </w:pPr>
          </w:p>
        </w:tc>
        <w:tc>
          <w:tcPr>
            <w:tcW w:w="1440" w:type="dxa"/>
            <w:tcBorders>
              <w:top w:val="single" w:color="auto" w:sz="2" w:space="0"/>
              <w:left w:val="single" w:color="auto" w:sz="6" w:space="0"/>
              <w:bottom w:val="single" w:color="auto" w:sz="6" w:space="0"/>
              <w:right w:val="single" w:color="auto" w:sz="6" w:space="0"/>
            </w:tcBorders>
            <w:tcMar>
              <w:top w:w="15" w:type="dxa"/>
              <w:left w:w="15" w:type="dxa"/>
              <w:bottom w:w="0" w:type="dxa"/>
              <w:right w:w="15" w:type="dxa"/>
            </w:tcMar>
            <w:vAlign w:val="center"/>
          </w:tcPr>
          <w:p w14:paraId="77C0E182">
            <w:pPr>
              <w:pStyle w:val="28"/>
              <w:snapToGrid w:val="0"/>
              <w:jc w:val="center"/>
              <w:rPr>
                <w:rFonts w:hAnsi="宋体"/>
                <w:color w:val="auto"/>
                <w:highlight w:val="none"/>
              </w:rPr>
            </w:pPr>
          </w:p>
        </w:tc>
        <w:tc>
          <w:tcPr>
            <w:tcW w:w="1530" w:type="dxa"/>
            <w:tcBorders>
              <w:top w:val="single" w:color="auto" w:sz="2" w:space="0"/>
              <w:left w:val="single" w:color="auto" w:sz="6" w:space="0"/>
              <w:bottom w:val="single" w:color="auto" w:sz="6" w:space="0"/>
              <w:right w:val="single" w:color="auto" w:sz="2" w:space="0"/>
            </w:tcBorders>
            <w:vAlign w:val="center"/>
          </w:tcPr>
          <w:p w14:paraId="0769FE6B">
            <w:pPr>
              <w:pStyle w:val="28"/>
              <w:snapToGrid w:val="0"/>
              <w:jc w:val="center"/>
              <w:rPr>
                <w:rFonts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2" w:space="0"/>
              <w:left w:val="single" w:color="auto" w:sz="6" w:space="0"/>
              <w:bottom w:val="single" w:color="auto" w:sz="6" w:space="0"/>
              <w:right w:val="single" w:color="auto" w:sz="2" w:space="0"/>
            </w:tcBorders>
            <w:vAlign w:val="center"/>
          </w:tcPr>
          <w:p w14:paraId="683E4930">
            <w:pPr>
              <w:pStyle w:val="28"/>
              <w:snapToGrid w:val="0"/>
              <w:jc w:val="center"/>
              <w:rPr>
                <w:rFonts w:hAnsi="宋体"/>
                <w:color w:val="auto"/>
                <w:highlight w:val="none"/>
              </w:rPr>
            </w:pPr>
          </w:p>
        </w:tc>
      </w:tr>
      <w:tr w14:paraId="10A92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40CBB063">
            <w:pPr>
              <w:pStyle w:val="28"/>
              <w:snapToGrid w:val="0"/>
              <w:jc w:val="center"/>
              <w:rPr>
                <w:rFonts w:hAnsi="宋体"/>
                <w:color w:val="auto"/>
                <w:highlight w:val="none"/>
              </w:rPr>
            </w:pPr>
          </w:p>
        </w:tc>
        <w:tc>
          <w:tcPr>
            <w:tcW w:w="2700" w:type="dxa"/>
            <w:tcBorders>
              <w:top w:val="single" w:color="auto" w:sz="6" w:space="0"/>
              <w:left w:val="single" w:color="auto" w:sz="2" w:space="0"/>
              <w:bottom w:val="single" w:color="auto" w:sz="6" w:space="0"/>
              <w:right w:val="single" w:color="auto" w:sz="4" w:space="0"/>
            </w:tcBorders>
            <w:vAlign w:val="center"/>
          </w:tcPr>
          <w:p w14:paraId="5FB13453">
            <w:pPr>
              <w:pStyle w:val="28"/>
              <w:snapToGrid w:val="0"/>
              <w:jc w:val="center"/>
              <w:rPr>
                <w:rFonts w:hAnsi="宋体"/>
                <w:color w:val="auto"/>
                <w:highlight w:val="none"/>
              </w:rPr>
            </w:pPr>
          </w:p>
        </w:tc>
        <w:tc>
          <w:tcPr>
            <w:tcW w:w="1440" w:type="dxa"/>
            <w:tcBorders>
              <w:top w:val="single" w:color="auto" w:sz="6" w:space="0"/>
              <w:left w:val="single" w:color="auto" w:sz="4" w:space="0"/>
              <w:bottom w:val="single" w:color="auto" w:sz="6" w:space="0"/>
              <w:right w:val="single" w:color="auto" w:sz="6" w:space="0"/>
            </w:tcBorders>
            <w:vAlign w:val="center"/>
          </w:tcPr>
          <w:p w14:paraId="68EE6468">
            <w:pPr>
              <w:pStyle w:val="28"/>
              <w:snapToGrid w:val="0"/>
              <w:jc w:val="center"/>
              <w:rPr>
                <w:rFonts w:hAnsi="宋体"/>
                <w:color w:val="auto"/>
                <w:highlight w:val="none"/>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14:paraId="10655348">
            <w:pPr>
              <w:pStyle w:val="28"/>
              <w:snapToGrid w:val="0"/>
              <w:jc w:val="center"/>
              <w:rPr>
                <w:rFonts w:hAnsi="宋体"/>
                <w:color w:val="auto"/>
                <w:highlight w:val="none"/>
              </w:rPr>
            </w:pPr>
          </w:p>
        </w:tc>
        <w:tc>
          <w:tcPr>
            <w:tcW w:w="1530" w:type="dxa"/>
            <w:tcBorders>
              <w:top w:val="single" w:color="auto" w:sz="6" w:space="0"/>
              <w:left w:val="single" w:color="auto" w:sz="6" w:space="0"/>
              <w:bottom w:val="single" w:color="auto" w:sz="6" w:space="0"/>
              <w:right w:val="single" w:color="auto" w:sz="2" w:space="0"/>
            </w:tcBorders>
            <w:vAlign w:val="center"/>
          </w:tcPr>
          <w:p w14:paraId="5871D41A">
            <w:pPr>
              <w:pStyle w:val="28"/>
              <w:snapToGrid w:val="0"/>
              <w:jc w:val="center"/>
              <w:rPr>
                <w:rFonts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6" w:space="0"/>
              <w:left w:val="single" w:color="auto" w:sz="6" w:space="0"/>
              <w:bottom w:val="single" w:color="auto" w:sz="6" w:space="0"/>
              <w:right w:val="single" w:color="auto" w:sz="2" w:space="0"/>
            </w:tcBorders>
            <w:vAlign w:val="center"/>
          </w:tcPr>
          <w:p w14:paraId="5DA7308A">
            <w:pPr>
              <w:pStyle w:val="28"/>
              <w:snapToGrid w:val="0"/>
              <w:jc w:val="center"/>
              <w:rPr>
                <w:rFonts w:hAnsi="宋体"/>
                <w:color w:val="auto"/>
                <w:highlight w:val="none"/>
              </w:rPr>
            </w:pPr>
          </w:p>
        </w:tc>
      </w:tr>
      <w:tr w14:paraId="02CA01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752B451B">
            <w:pPr>
              <w:pStyle w:val="28"/>
              <w:snapToGrid w:val="0"/>
              <w:jc w:val="center"/>
              <w:rPr>
                <w:rFonts w:hAnsi="宋体"/>
                <w:color w:val="auto"/>
                <w:highlight w:val="none"/>
              </w:rPr>
            </w:pPr>
          </w:p>
        </w:tc>
        <w:tc>
          <w:tcPr>
            <w:tcW w:w="2700" w:type="dxa"/>
            <w:tcBorders>
              <w:top w:val="single" w:color="auto" w:sz="6" w:space="0"/>
              <w:left w:val="single" w:color="auto" w:sz="2" w:space="0"/>
              <w:bottom w:val="single" w:color="auto" w:sz="6" w:space="0"/>
              <w:right w:val="single" w:color="auto" w:sz="4" w:space="0"/>
            </w:tcBorders>
            <w:vAlign w:val="center"/>
          </w:tcPr>
          <w:p w14:paraId="4F129830">
            <w:pPr>
              <w:pStyle w:val="28"/>
              <w:snapToGrid w:val="0"/>
              <w:jc w:val="center"/>
              <w:rPr>
                <w:rFonts w:hAnsi="宋体"/>
                <w:color w:val="auto"/>
                <w:highlight w:val="none"/>
              </w:rPr>
            </w:pPr>
          </w:p>
        </w:tc>
        <w:tc>
          <w:tcPr>
            <w:tcW w:w="1440" w:type="dxa"/>
            <w:tcBorders>
              <w:top w:val="single" w:color="auto" w:sz="6" w:space="0"/>
              <w:left w:val="single" w:color="auto" w:sz="4" w:space="0"/>
              <w:bottom w:val="single" w:color="auto" w:sz="6" w:space="0"/>
              <w:right w:val="single" w:color="auto" w:sz="6" w:space="0"/>
            </w:tcBorders>
            <w:vAlign w:val="center"/>
          </w:tcPr>
          <w:p w14:paraId="6461B91A">
            <w:pPr>
              <w:pStyle w:val="28"/>
              <w:snapToGrid w:val="0"/>
              <w:jc w:val="center"/>
              <w:rPr>
                <w:rFonts w:hAnsi="宋体"/>
                <w:color w:val="auto"/>
                <w:highlight w:val="none"/>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14:paraId="24E3BDFF">
            <w:pPr>
              <w:pStyle w:val="28"/>
              <w:snapToGrid w:val="0"/>
              <w:jc w:val="center"/>
              <w:rPr>
                <w:rFonts w:hAnsi="宋体"/>
                <w:color w:val="auto"/>
                <w:highlight w:val="none"/>
              </w:rPr>
            </w:pPr>
          </w:p>
        </w:tc>
        <w:tc>
          <w:tcPr>
            <w:tcW w:w="1530" w:type="dxa"/>
            <w:tcBorders>
              <w:top w:val="single" w:color="auto" w:sz="6" w:space="0"/>
              <w:left w:val="single" w:color="auto" w:sz="6" w:space="0"/>
              <w:bottom w:val="single" w:color="auto" w:sz="6" w:space="0"/>
              <w:right w:val="single" w:color="auto" w:sz="2" w:space="0"/>
            </w:tcBorders>
            <w:vAlign w:val="center"/>
          </w:tcPr>
          <w:p w14:paraId="531BBA1E">
            <w:pPr>
              <w:pStyle w:val="28"/>
              <w:snapToGrid w:val="0"/>
              <w:jc w:val="center"/>
              <w:rPr>
                <w:rFonts w:hAnsi="宋体"/>
                <w:color w:val="auto"/>
                <w:highlight w:val="none"/>
              </w:rPr>
            </w:pPr>
            <w:r>
              <w:rPr>
                <w:rFonts w:hint="eastAsia" w:hAnsi="宋体"/>
                <w:color w:val="auto"/>
                <w:highlight w:val="none"/>
                <w:u w:val="single"/>
              </w:rPr>
              <w:t xml:space="preserve">            </w:t>
            </w:r>
            <w:r>
              <w:rPr>
                <w:rFonts w:hint="eastAsia" w:hAnsi="宋体"/>
                <w:color w:val="auto"/>
                <w:highlight w:val="none"/>
              </w:rPr>
              <w:t>%</w:t>
            </w:r>
          </w:p>
        </w:tc>
        <w:tc>
          <w:tcPr>
            <w:tcW w:w="1530" w:type="dxa"/>
            <w:tcBorders>
              <w:top w:val="single" w:color="auto" w:sz="6" w:space="0"/>
              <w:left w:val="single" w:color="auto" w:sz="6" w:space="0"/>
              <w:bottom w:val="single" w:color="auto" w:sz="6" w:space="0"/>
              <w:right w:val="single" w:color="auto" w:sz="2" w:space="0"/>
            </w:tcBorders>
            <w:vAlign w:val="center"/>
          </w:tcPr>
          <w:p w14:paraId="4A06D6DF">
            <w:pPr>
              <w:pStyle w:val="28"/>
              <w:snapToGrid w:val="0"/>
              <w:jc w:val="center"/>
              <w:rPr>
                <w:rFonts w:hAnsi="宋体"/>
                <w:color w:val="auto"/>
                <w:highlight w:val="none"/>
              </w:rPr>
            </w:pPr>
          </w:p>
        </w:tc>
      </w:tr>
    </w:tbl>
    <w:p w14:paraId="04A98E2D">
      <w:pPr>
        <w:snapToGrid w:val="0"/>
        <w:spacing w:before="100" w:beforeAutospacing="1" w:after="100" w:afterAutospacing="1" w:line="360" w:lineRule="auto"/>
        <w:rPr>
          <w:rFonts w:ascii="宋体" w:hAnsi="宋体"/>
          <w:color w:val="auto"/>
          <w:spacing w:val="20"/>
          <w:szCs w:val="21"/>
          <w:highlight w:val="none"/>
          <w:u w:val="single"/>
        </w:rPr>
      </w:pPr>
      <w:r>
        <w:rPr>
          <w:rFonts w:hint="eastAsia" w:ascii="宋体" w:hAnsi="宋体"/>
          <w:color w:val="auto"/>
          <w:szCs w:val="21"/>
          <w:highlight w:val="none"/>
        </w:rPr>
        <w:t>法定代表人或委托代理人签字或签章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14:paraId="0F7B5531">
      <w:pPr>
        <w:snapToGrid w:val="0"/>
        <w:spacing w:before="100" w:beforeAutospacing="1" w:after="100" w:afterAutospacing="1" w:line="480" w:lineRule="auto"/>
        <w:rPr>
          <w:rFonts w:ascii="宋体" w:hAnsi="宋体"/>
          <w:color w:val="auto"/>
          <w:szCs w:val="21"/>
          <w:highlight w:val="none"/>
        </w:rPr>
      </w:pPr>
      <w:r>
        <w:rPr>
          <w:rFonts w:hint="eastAsia" w:ascii="宋体" w:hAnsi="宋体"/>
          <w:color w:val="auto"/>
          <w:spacing w:val="20"/>
          <w:szCs w:val="21"/>
          <w:highlight w:val="none"/>
        </w:rPr>
        <w:t>投标人盖章：</w:t>
      </w:r>
      <w:r>
        <w:rPr>
          <w:rFonts w:hint="eastAsia" w:ascii="宋体" w:hAnsi="宋体"/>
          <w:color w:val="auto"/>
          <w:spacing w:val="20"/>
          <w:szCs w:val="21"/>
          <w:highlight w:val="none"/>
          <w:u w:val="single"/>
        </w:rPr>
        <w:t xml:space="preserve">            </w:t>
      </w:r>
      <w:r>
        <w:rPr>
          <w:rFonts w:hint="eastAsia" w:ascii="宋体" w:hAnsi="宋体"/>
          <w:color w:val="auto"/>
          <w:spacing w:val="20"/>
          <w:szCs w:val="21"/>
          <w:highlight w:val="none"/>
        </w:rPr>
        <w:t xml:space="preserve">            日 期：</w:t>
      </w:r>
      <w:r>
        <w:rPr>
          <w:rFonts w:hint="eastAsia" w:ascii="宋体" w:hAnsi="宋体"/>
          <w:color w:val="auto"/>
          <w:spacing w:val="20"/>
          <w:szCs w:val="21"/>
          <w:highlight w:val="none"/>
          <w:u w:val="single"/>
        </w:rPr>
        <w:t xml:space="preserve">            </w:t>
      </w:r>
    </w:p>
    <w:p w14:paraId="1B1ADA7E">
      <w:pPr>
        <w:snapToGrid w:val="0"/>
        <w:spacing w:before="50" w:after="156" w:afterLines="50" w:line="360" w:lineRule="exact"/>
        <w:jc w:val="left"/>
        <w:rPr>
          <w:rFonts w:ascii="宋体" w:hAnsi="宋体"/>
          <w:color w:val="auto"/>
          <w:szCs w:val="21"/>
          <w:highlight w:val="none"/>
        </w:rPr>
      </w:pPr>
    </w:p>
    <w:p w14:paraId="7AF045BE">
      <w:pPr>
        <w:snapToGrid w:val="0"/>
        <w:spacing w:before="50" w:after="156" w:afterLines="50" w:line="360" w:lineRule="exact"/>
        <w:jc w:val="left"/>
        <w:rPr>
          <w:rFonts w:ascii="宋体" w:hAnsi="宋体"/>
          <w:color w:val="auto"/>
          <w:szCs w:val="21"/>
          <w:highlight w:val="none"/>
        </w:rPr>
      </w:pPr>
      <w:r>
        <w:rPr>
          <w:rFonts w:hint="eastAsia" w:ascii="宋体" w:hAnsi="宋体"/>
          <w:color w:val="auto"/>
          <w:szCs w:val="21"/>
          <w:highlight w:val="none"/>
        </w:rPr>
        <w:t>（7）投标人对本项目的合理化建议和改进措施（格式自拟）</w:t>
      </w:r>
    </w:p>
    <w:p w14:paraId="5A3DA15C">
      <w:pPr>
        <w:snapToGrid w:val="0"/>
        <w:spacing w:before="50" w:after="156" w:afterLines="50" w:line="360" w:lineRule="exact"/>
        <w:jc w:val="left"/>
        <w:rPr>
          <w:rFonts w:ascii="宋体" w:hAnsi="宋体"/>
          <w:color w:val="auto"/>
          <w:szCs w:val="21"/>
          <w:highlight w:val="none"/>
        </w:rPr>
      </w:pPr>
      <w:r>
        <w:rPr>
          <w:rFonts w:hint="eastAsia" w:ascii="宋体" w:hAnsi="宋体"/>
          <w:color w:val="auto"/>
          <w:szCs w:val="21"/>
          <w:highlight w:val="none"/>
        </w:rPr>
        <w:t>（8）投标人需要说明的其他文件和说明（格式自拟）</w:t>
      </w:r>
    </w:p>
    <w:p w14:paraId="11226D04">
      <w:pPr>
        <w:snapToGrid w:val="0"/>
        <w:spacing w:line="360" w:lineRule="exact"/>
        <w:jc w:val="left"/>
        <w:rPr>
          <w:rFonts w:ascii="宋体" w:hAnsi="宋体"/>
          <w:color w:val="auto"/>
          <w:szCs w:val="21"/>
          <w:highlight w:val="none"/>
        </w:rPr>
      </w:pPr>
      <w:r>
        <w:rPr>
          <w:rFonts w:hint="eastAsia" w:ascii="宋体" w:hAnsi="宋体"/>
          <w:color w:val="auto"/>
          <w:szCs w:val="21"/>
          <w:highlight w:val="none"/>
        </w:rPr>
        <w:t>▲（9）招标项目采购需求中要求必须提供的材料。（招标项目采购需求中要求必须提供的材料，据实提供）</w:t>
      </w:r>
    </w:p>
    <w:p w14:paraId="21944D81">
      <w:pPr>
        <w:snapToGrid w:val="0"/>
        <w:spacing w:before="50" w:line="360" w:lineRule="exact"/>
        <w:jc w:val="left"/>
        <w:rPr>
          <w:rFonts w:ascii="宋体" w:hAnsi="宋体"/>
          <w:b/>
          <w:color w:val="auto"/>
          <w:szCs w:val="21"/>
          <w:highlight w:val="none"/>
        </w:rPr>
      </w:pPr>
    </w:p>
    <w:p w14:paraId="7BB1CC9A">
      <w:pPr>
        <w:snapToGrid w:val="0"/>
        <w:spacing w:before="50" w:line="360" w:lineRule="exact"/>
        <w:jc w:val="left"/>
        <w:rPr>
          <w:rFonts w:ascii="宋体" w:hAnsi="宋体"/>
          <w:b/>
          <w:color w:val="auto"/>
          <w:szCs w:val="21"/>
          <w:highlight w:val="none"/>
        </w:rPr>
      </w:pPr>
    </w:p>
    <w:p w14:paraId="6F681731">
      <w:pPr>
        <w:snapToGrid w:val="0"/>
        <w:spacing w:before="50" w:line="360" w:lineRule="exact"/>
        <w:jc w:val="left"/>
        <w:rPr>
          <w:rFonts w:ascii="宋体" w:hAnsi="宋体"/>
          <w:b/>
          <w:color w:val="auto"/>
          <w:szCs w:val="21"/>
          <w:highlight w:val="none"/>
        </w:rPr>
      </w:pPr>
    </w:p>
    <w:p w14:paraId="76E3D0BD">
      <w:pPr>
        <w:snapToGrid w:val="0"/>
        <w:spacing w:before="50" w:line="360" w:lineRule="exact"/>
        <w:jc w:val="left"/>
        <w:rPr>
          <w:rFonts w:ascii="宋体" w:hAnsi="宋体"/>
          <w:b/>
          <w:color w:val="auto"/>
          <w:szCs w:val="21"/>
          <w:highlight w:val="none"/>
        </w:rPr>
      </w:pPr>
    </w:p>
    <w:p w14:paraId="0AAF970C">
      <w:pPr>
        <w:snapToGrid w:val="0"/>
        <w:spacing w:before="50" w:line="360" w:lineRule="exact"/>
        <w:jc w:val="left"/>
        <w:rPr>
          <w:rFonts w:ascii="宋体" w:hAnsi="宋体"/>
          <w:b/>
          <w:color w:val="auto"/>
          <w:szCs w:val="21"/>
          <w:highlight w:val="none"/>
        </w:rPr>
      </w:pPr>
    </w:p>
    <w:p w14:paraId="63933978">
      <w:pPr>
        <w:snapToGrid w:val="0"/>
        <w:spacing w:before="156" w:beforeLines="50" w:after="50" w:line="360" w:lineRule="exact"/>
        <w:outlineLvl w:val="0"/>
        <w:rPr>
          <w:rFonts w:ascii="宋体" w:hAnsi="宋体"/>
          <w:b/>
          <w:color w:val="auto"/>
          <w:szCs w:val="21"/>
          <w:highlight w:val="none"/>
        </w:rPr>
      </w:pPr>
      <w:r>
        <w:rPr>
          <w:rFonts w:hint="eastAsia" w:ascii="宋体" w:hAnsi="宋体"/>
          <w:b/>
          <w:color w:val="auto"/>
          <w:szCs w:val="21"/>
          <w:highlight w:val="none"/>
        </w:rPr>
        <w:t>四）报价文件部分 （格式）</w:t>
      </w:r>
    </w:p>
    <w:p w14:paraId="7999E244">
      <w:pPr>
        <w:snapToGrid w:val="0"/>
        <w:spacing w:before="156" w:beforeLines="50" w:after="50" w:line="360" w:lineRule="exact"/>
        <w:rPr>
          <w:rFonts w:ascii="宋体" w:hAnsi="宋体"/>
          <w:b/>
          <w:color w:val="auto"/>
          <w:szCs w:val="21"/>
          <w:highlight w:val="none"/>
        </w:rPr>
      </w:pPr>
      <w:r>
        <w:rPr>
          <w:rFonts w:hint="eastAsia" w:ascii="宋体" w:hAnsi="宋体"/>
          <w:b/>
          <w:color w:val="auto"/>
          <w:szCs w:val="21"/>
          <w:highlight w:val="none"/>
        </w:rPr>
        <w:t>（1）投标函格式：</w:t>
      </w:r>
    </w:p>
    <w:p w14:paraId="17A53EC7">
      <w:pPr>
        <w:keepNext w:val="0"/>
        <w:keepLines w:val="0"/>
        <w:pageBreakBefore w:val="0"/>
        <w:widowControl w:val="0"/>
        <w:kinsoku/>
        <w:wordWrap/>
        <w:overflowPunct/>
        <w:topLinePunct w:val="0"/>
        <w:autoSpaceDE/>
        <w:autoSpaceDN/>
        <w:bidi w:val="0"/>
        <w:adjustRightInd/>
        <w:snapToGrid w:val="0"/>
        <w:spacing w:before="156" w:beforeLines="50" w:after="50" w:line="360" w:lineRule="exact"/>
        <w:jc w:val="center"/>
        <w:textAlignment w:val="auto"/>
        <w:rPr>
          <w:rFonts w:ascii="宋体" w:hAnsi="宋体"/>
          <w:b/>
          <w:color w:val="auto"/>
          <w:szCs w:val="21"/>
          <w:highlight w:val="none"/>
        </w:rPr>
      </w:pPr>
      <w:r>
        <w:rPr>
          <w:rFonts w:hint="eastAsia" w:ascii="宋体" w:hAnsi="宋体"/>
          <w:b/>
          <w:color w:val="auto"/>
          <w:szCs w:val="21"/>
          <w:highlight w:val="none"/>
        </w:rPr>
        <w:t>投 标 函</w:t>
      </w:r>
    </w:p>
    <w:p w14:paraId="3347274A">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致：</w:t>
      </w:r>
      <w:r>
        <w:rPr>
          <w:rFonts w:hint="eastAsia"/>
          <w:color w:val="auto"/>
          <w:highlight w:val="none"/>
          <w:u w:val="single"/>
        </w:rPr>
        <w:t>广西壮族自治区政府采购中心</w:t>
      </w:r>
      <w:r>
        <w:rPr>
          <w:rFonts w:hint="eastAsia" w:ascii="宋体" w:hAnsi="宋体"/>
          <w:color w:val="auto"/>
          <w:szCs w:val="21"/>
          <w:highlight w:val="none"/>
        </w:rPr>
        <w:t>：</w:t>
      </w:r>
    </w:p>
    <w:p w14:paraId="7CF3EAF1">
      <w:pPr>
        <w:keepNext w:val="0"/>
        <w:keepLines w:val="0"/>
        <w:pageBreakBefore w:val="0"/>
        <w:widowControl w:val="0"/>
        <w:kinsoku/>
        <w:wordWrap/>
        <w:overflowPunct/>
        <w:topLinePunct w:val="0"/>
        <w:autoSpaceDE/>
        <w:autoSpaceDN/>
        <w:bidi w:val="0"/>
        <w:adjustRightInd/>
        <w:snapToGrid w:val="0"/>
        <w:spacing w:line="360" w:lineRule="exact"/>
        <w:ind w:firstLine="480"/>
        <w:textAlignment w:val="auto"/>
        <w:rPr>
          <w:rFonts w:ascii="宋体" w:hAnsi="宋体"/>
          <w:color w:val="auto"/>
          <w:szCs w:val="21"/>
          <w:highlight w:val="none"/>
        </w:rPr>
      </w:pPr>
      <w:r>
        <w:rPr>
          <w:rFonts w:hint="eastAsia" w:ascii="宋体" w:hAnsi="宋体"/>
          <w:color w:val="auto"/>
          <w:szCs w:val="21"/>
          <w:highlight w:val="none"/>
        </w:rPr>
        <w:t>根据贵方为</w:t>
      </w:r>
      <w:r>
        <w:rPr>
          <w:rFonts w:hint="eastAsia" w:ascii="宋体" w:hAnsi="宋体"/>
          <w:color w:val="auto"/>
          <w:szCs w:val="21"/>
          <w:highlight w:val="none"/>
          <w:u w:val="single"/>
        </w:rPr>
        <w:t xml:space="preserve">                             </w:t>
      </w:r>
      <w:r>
        <w:rPr>
          <w:rFonts w:hint="eastAsia" w:ascii="宋体" w:hAnsi="宋体"/>
          <w:color w:val="auto"/>
          <w:szCs w:val="21"/>
          <w:highlight w:val="none"/>
        </w:rPr>
        <w:t>项目的招标公告（项目编号：____</w:t>
      </w:r>
      <w:r>
        <w:rPr>
          <w:rFonts w:hint="eastAsia" w:ascii="宋体" w:hAnsi="宋体"/>
          <w:color w:val="auto"/>
          <w:szCs w:val="21"/>
          <w:highlight w:val="none"/>
          <w:u w:val="single"/>
        </w:rPr>
        <w:t>_     _</w:t>
      </w:r>
      <w:r>
        <w:rPr>
          <w:rFonts w:hint="eastAsia" w:ascii="宋体" w:hAnsi="宋体"/>
          <w:color w:val="auto"/>
          <w:szCs w:val="21"/>
          <w:highlight w:val="none"/>
        </w:rPr>
        <w:t>_），签字代表______</w:t>
      </w:r>
      <w:r>
        <w:rPr>
          <w:rFonts w:hint="eastAsia" w:ascii="宋体" w:hAnsi="宋体"/>
          <w:color w:val="auto"/>
          <w:szCs w:val="21"/>
          <w:highlight w:val="none"/>
          <w:u w:val="single"/>
        </w:rPr>
        <w:t xml:space="preserve">_     </w:t>
      </w:r>
      <w:r>
        <w:rPr>
          <w:rFonts w:hint="eastAsia" w:ascii="宋体" w:hAnsi="宋体"/>
          <w:color w:val="auto"/>
          <w:szCs w:val="21"/>
          <w:highlight w:val="none"/>
        </w:rPr>
        <w:t>（全名）经正式授权并代表投标人_____</w:t>
      </w:r>
      <w:r>
        <w:rPr>
          <w:rFonts w:hint="eastAsia" w:ascii="宋体" w:hAnsi="宋体"/>
          <w:color w:val="auto"/>
          <w:szCs w:val="21"/>
          <w:highlight w:val="none"/>
          <w:u w:val="single"/>
        </w:rPr>
        <w:t>__                    __</w:t>
      </w:r>
      <w:r>
        <w:rPr>
          <w:rFonts w:hint="eastAsia" w:ascii="宋体" w:hAnsi="宋体"/>
          <w:color w:val="auto"/>
          <w:szCs w:val="21"/>
          <w:highlight w:val="none"/>
        </w:rPr>
        <w:t>（投标人名称）上传并提交加密的电子投标文件一份。</w:t>
      </w:r>
    </w:p>
    <w:p w14:paraId="41402AEA">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据此函，签字代表宣布同意如下：</w:t>
      </w:r>
    </w:p>
    <w:p w14:paraId="18D4ECCD">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1.投标人已详细审查全部“招标文件”，包括修改文件（如有的话）以及全部参考资料和有关附件，已经了解我方对于招标文件、采购过程、采购结果有依法进行询问、质疑、投诉的权利及相关渠道和要求。</w:t>
      </w:r>
    </w:p>
    <w:p w14:paraId="545DC4D4">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2.投标人在投标之前已经与贵方进行了充分的沟通，完全理解并接受招标文件的各项规定和要求，对招标文件的合理性、合法性不再有异议。</w:t>
      </w:r>
    </w:p>
    <w:p w14:paraId="08686525">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3.本投标有效期自开标日起 ______个</w:t>
      </w:r>
      <w:r>
        <w:rPr>
          <w:rFonts w:hint="eastAsia" w:ascii="宋体" w:hAnsi="宋体"/>
          <w:color w:val="auto"/>
          <w:szCs w:val="21"/>
          <w:highlight w:val="none"/>
          <w:u w:val="single"/>
        </w:rPr>
        <w:t xml:space="preserve">     </w:t>
      </w:r>
      <w:r>
        <w:rPr>
          <w:rFonts w:hint="eastAsia" w:ascii="宋体" w:hAnsi="宋体"/>
          <w:color w:val="auto"/>
          <w:szCs w:val="21"/>
          <w:highlight w:val="none"/>
        </w:rPr>
        <w:t>日（自然日）。</w:t>
      </w:r>
    </w:p>
    <w:p w14:paraId="4D59955E">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4.如中标，本投标文件至本项目合同履行完毕止均保持有效，本投标人将按“招标文件”及政府采购法律、法规的规定履行合同责任和义务。</w:t>
      </w:r>
    </w:p>
    <w:p w14:paraId="5C7591B1">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5.投标人同意按照贵方要求提供与投标有关的一切数据或资料。</w:t>
      </w:r>
    </w:p>
    <w:p w14:paraId="29B2BB51">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6.与本投标有关的一切正式往来信函请寄：</w:t>
      </w:r>
    </w:p>
    <w:p w14:paraId="498A7A1E">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地址：______________________</w:t>
      </w:r>
      <w:r>
        <w:rPr>
          <w:rFonts w:hint="eastAsia" w:ascii="宋体" w:hAnsi="宋体"/>
          <w:color w:val="auto"/>
          <w:szCs w:val="21"/>
          <w:highlight w:val="none"/>
          <w:u w:val="single"/>
        </w:rPr>
        <w:t>_</w:t>
      </w:r>
      <w:r>
        <w:rPr>
          <w:rFonts w:hint="eastAsia" w:ascii="宋体" w:hAnsi="宋体"/>
          <w:color w:val="auto"/>
          <w:szCs w:val="21"/>
          <w:highlight w:val="none"/>
        </w:rPr>
        <w:t>___邮编：__________   电话：______________</w:t>
      </w:r>
    </w:p>
    <w:p w14:paraId="71757082">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传真：______________投标人代表姓名 ___________  职务：_____________</w:t>
      </w:r>
    </w:p>
    <w:p w14:paraId="0C3F4983">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投标人名称(公章):___________________</w:t>
      </w:r>
    </w:p>
    <w:p w14:paraId="3FFE0016">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银行账号：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35EC78BA">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color w:val="auto"/>
          <w:szCs w:val="21"/>
          <w:highlight w:val="none"/>
        </w:rPr>
      </w:pPr>
      <w:r>
        <w:rPr>
          <w:rFonts w:hint="eastAsia" w:ascii="宋体" w:hAnsi="宋体"/>
          <w:color w:val="auto"/>
          <w:szCs w:val="21"/>
          <w:highlight w:val="none"/>
        </w:rPr>
        <w:t>法定代表人或委托代理人签字或签章:___________                 日期:_____年___月___日</w:t>
      </w:r>
    </w:p>
    <w:p w14:paraId="00F4A450">
      <w:pPr>
        <w:pStyle w:val="28"/>
        <w:keepNext w:val="0"/>
        <w:keepLines w:val="0"/>
        <w:pageBreakBefore w:val="0"/>
        <w:widowControl w:val="0"/>
        <w:kinsoku/>
        <w:wordWrap/>
        <w:overflowPunct/>
        <w:topLinePunct w:val="0"/>
        <w:autoSpaceDE/>
        <w:autoSpaceDN/>
        <w:bidi w:val="0"/>
        <w:adjustRightInd/>
        <w:snapToGrid w:val="0"/>
        <w:spacing w:line="360" w:lineRule="exact"/>
        <w:ind w:firstLine="5670" w:firstLineChars="2700"/>
        <w:textAlignment w:val="auto"/>
        <w:rPr>
          <w:rFonts w:hAnsi="宋体"/>
          <w:color w:val="auto"/>
          <w:highlight w:val="none"/>
        </w:rPr>
      </w:pPr>
      <w:r>
        <w:rPr>
          <w:rFonts w:hint="eastAsia" w:hAnsi="宋体"/>
          <w:color w:val="auto"/>
          <w:highlight w:val="none"/>
        </w:rPr>
        <w:t>(公章)</w:t>
      </w:r>
    </w:p>
    <w:p w14:paraId="582B59AF">
      <w:pPr>
        <w:pStyle w:val="28"/>
        <w:keepNext w:val="0"/>
        <w:keepLines w:val="0"/>
        <w:pageBreakBefore w:val="0"/>
        <w:widowControl w:val="0"/>
        <w:kinsoku/>
        <w:wordWrap/>
        <w:overflowPunct/>
        <w:topLinePunct w:val="0"/>
        <w:autoSpaceDE/>
        <w:autoSpaceDN/>
        <w:bidi w:val="0"/>
        <w:adjustRightInd/>
        <w:snapToGrid w:val="0"/>
        <w:spacing w:line="360" w:lineRule="exact"/>
        <w:ind w:firstLine="5565" w:firstLineChars="2650"/>
        <w:textAlignment w:val="auto"/>
        <w:rPr>
          <w:rFonts w:hAnsi="宋体"/>
          <w:color w:val="auto"/>
          <w:highlight w:val="none"/>
        </w:rPr>
      </w:pPr>
      <w:r>
        <w:rPr>
          <w:rFonts w:hint="eastAsia" w:hAnsi="宋体"/>
          <w:color w:val="auto"/>
          <w:highlight w:val="none"/>
        </w:rPr>
        <w:t>年___月___日</w:t>
      </w:r>
    </w:p>
    <w:p w14:paraId="64D5E88D">
      <w:pPr>
        <w:snapToGrid w:val="0"/>
        <w:spacing w:before="156" w:beforeLines="50" w:after="50" w:line="360" w:lineRule="exact"/>
        <w:rPr>
          <w:rFonts w:ascii="宋体" w:hAnsi="宋体"/>
          <w:b/>
          <w:color w:val="auto"/>
          <w:szCs w:val="21"/>
          <w:highlight w:val="none"/>
        </w:rPr>
      </w:pPr>
    </w:p>
    <w:p w14:paraId="677EF9E5">
      <w:pPr>
        <w:snapToGrid w:val="0"/>
        <w:spacing w:before="156" w:beforeLines="50" w:after="50" w:line="360" w:lineRule="exact"/>
        <w:rPr>
          <w:rFonts w:ascii="宋体" w:hAnsi="宋体"/>
          <w:b/>
          <w:color w:val="auto"/>
          <w:szCs w:val="21"/>
          <w:highlight w:val="none"/>
        </w:rPr>
      </w:pPr>
    </w:p>
    <w:p w14:paraId="5CC6E11E">
      <w:pPr>
        <w:snapToGrid w:val="0"/>
        <w:spacing w:before="156" w:beforeLines="50" w:after="50" w:line="360" w:lineRule="exact"/>
        <w:rPr>
          <w:rFonts w:ascii="宋体" w:hAnsi="宋体"/>
          <w:b/>
          <w:color w:val="auto"/>
          <w:szCs w:val="21"/>
          <w:highlight w:val="none"/>
        </w:rPr>
      </w:pPr>
    </w:p>
    <w:p w14:paraId="2B19D465">
      <w:pPr>
        <w:snapToGrid w:val="0"/>
        <w:spacing w:before="156" w:beforeLines="50" w:after="50" w:line="360" w:lineRule="exact"/>
        <w:rPr>
          <w:rFonts w:ascii="宋体" w:hAnsi="宋体"/>
          <w:b/>
          <w:color w:val="auto"/>
          <w:szCs w:val="21"/>
          <w:highlight w:val="none"/>
        </w:rPr>
      </w:pPr>
    </w:p>
    <w:p w14:paraId="356EBE07">
      <w:pPr>
        <w:snapToGrid w:val="0"/>
        <w:spacing w:line="360" w:lineRule="exact"/>
        <w:rPr>
          <w:rFonts w:ascii="宋体" w:hAnsi="宋体"/>
          <w:b/>
          <w:color w:val="auto"/>
          <w:szCs w:val="21"/>
          <w:highlight w:val="none"/>
        </w:rPr>
      </w:pPr>
      <w:r>
        <w:rPr>
          <w:rFonts w:hint="eastAsia" w:ascii="宋体" w:hAnsi="宋体"/>
          <w:b/>
          <w:color w:val="auto"/>
          <w:szCs w:val="21"/>
          <w:highlight w:val="none"/>
        </w:rPr>
        <w:t>（2）投标报价明细表格式</w:t>
      </w:r>
    </w:p>
    <w:p w14:paraId="2253173D">
      <w:pPr>
        <w:pStyle w:val="28"/>
        <w:snapToGrid w:val="0"/>
        <w:spacing w:line="360" w:lineRule="exact"/>
        <w:ind w:firstLine="105" w:firstLineChars="50"/>
        <w:rPr>
          <w:rFonts w:hAnsi="宋体"/>
          <w:color w:val="auto"/>
          <w:highlight w:val="none"/>
        </w:rPr>
      </w:pPr>
      <w:r>
        <w:rPr>
          <w:rFonts w:hint="eastAsia" w:hAnsi="宋体"/>
          <w:color w:val="auto"/>
          <w:highlight w:val="none"/>
        </w:rPr>
        <w:t xml:space="preserve">                                                金额单位：人民币（元）</w:t>
      </w:r>
    </w:p>
    <w:tbl>
      <w:tblPr>
        <w:tblStyle w:val="53"/>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260"/>
        <w:gridCol w:w="1260"/>
        <w:gridCol w:w="1080"/>
        <w:gridCol w:w="1080"/>
        <w:gridCol w:w="1620"/>
        <w:gridCol w:w="900"/>
        <w:gridCol w:w="1620"/>
      </w:tblGrid>
      <w:tr w14:paraId="771D6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vAlign w:val="center"/>
          </w:tcPr>
          <w:p w14:paraId="08867C2C">
            <w:pPr>
              <w:tabs>
                <w:tab w:val="left" w:pos="1418"/>
              </w:tabs>
              <w:snapToGrid w:val="0"/>
              <w:spacing w:before="50" w:after="50" w:line="360" w:lineRule="exact"/>
              <w:jc w:val="center"/>
              <w:rPr>
                <w:rFonts w:ascii="宋体" w:hAnsi="宋体"/>
                <w:color w:val="auto"/>
                <w:spacing w:val="20"/>
                <w:szCs w:val="21"/>
                <w:highlight w:val="none"/>
              </w:rPr>
            </w:pPr>
            <w:r>
              <w:rPr>
                <w:rFonts w:hint="eastAsia" w:ascii="宋体" w:hAnsi="宋体"/>
                <w:color w:val="auto"/>
                <w:szCs w:val="21"/>
                <w:highlight w:val="none"/>
              </w:rPr>
              <w:t>序号</w:t>
            </w:r>
          </w:p>
        </w:tc>
        <w:tc>
          <w:tcPr>
            <w:tcW w:w="1260" w:type="dxa"/>
            <w:tcBorders>
              <w:top w:val="single" w:color="auto" w:sz="4" w:space="0"/>
              <w:left w:val="single" w:color="auto" w:sz="4" w:space="0"/>
              <w:bottom w:val="single" w:color="auto" w:sz="4" w:space="0"/>
              <w:right w:val="single" w:color="auto" w:sz="4" w:space="0"/>
            </w:tcBorders>
            <w:vAlign w:val="center"/>
          </w:tcPr>
          <w:p w14:paraId="529C18FB">
            <w:pPr>
              <w:tabs>
                <w:tab w:val="left" w:pos="1418"/>
              </w:tabs>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设备名称</w:t>
            </w:r>
          </w:p>
        </w:tc>
        <w:tc>
          <w:tcPr>
            <w:tcW w:w="1260" w:type="dxa"/>
            <w:tcBorders>
              <w:top w:val="single" w:color="auto" w:sz="4" w:space="0"/>
              <w:left w:val="single" w:color="auto" w:sz="4" w:space="0"/>
              <w:bottom w:val="single" w:color="auto" w:sz="4" w:space="0"/>
              <w:right w:val="single" w:color="auto" w:sz="4" w:space="0"/>
            </w:tcBorders>
            <w:vAlign w:val="center"/>
          </w:tcPr>
          <w:p w14:paraId="26F9FC39">
            <w:pPr>
              <w:pStyle w:val="247"/>
              <w:jc w:val="center"/>
              <w:rPr>
                <w:color w:val="auto"/>
                <w:highlight w:val="none"/>
              </w:rPr>
            </w:pPr>
            <w:r>
              <w:rPr>
                <w:rFonts w:hint="eastAsia"/>
                <w:b w:val="0"/>
                <w:bCs/>
                <w:color w:val="auto"/>
                <w:highlight w:val="none"/>
              </w:rPr>
              <w:t>品牌</w:t>
            </w:r>
          </w:p>
        </w:tc>
        <w:tc>
          <w:tcPr>
            <w:tcW w:w="1080" w:type="dxa"/>
            <w:tcBorders>
              <w:top w:val="single" w:color="auto" w:sz="4" w:space="0"/>
              <w:left w:val="single" w:color="auto" w:sz="4" w:space="0"/>
              <w:bottom w:val="single" w:color="auto" w:sz="4" w:space="0"/>
              <w:right w:val="single" w:color="auto" w:sz="4" w:space="0"/>
            </w:tcBorders>
            <w:vAlign w:val="center"/>
          </w:tcPr>
          <w:p w14:paraId="0F86A3DC">
            <w:pPr>
              <w:tabs>
                <w:tab w:val="left" w:pos="1418"/>
              </w:tabs>
              <w:snapToGrid w:val="0"/>
              <w:spacing w:before="50" w:after="50" w:line="260" w:lineRule="exact"/>
              <w:jc w:val="center"/>
              <w:rPr>
                <w:rFonts w:ascii="宋体" w:hAnsi="宋体"/>
                <w:color w:val="auto"/>
                <w:szCs w:val="21"/>
                <w:highlight w:val="none"/>
              </w:rPr>
            </w:pPr>
            <w:r>
              <w:rPr>
                <w:rFonts w:hint="eastAsia" w:ascii="宋体" w:hAnsi="宋体"/>
                <w:color w:val="auto"/>
                <w:szCs w:val="21"/>
                <w:highlight w:val="none"/>
              </w:rPr>
              <w:t>规格型号</w:t>
            </w:r>
          </w:p>
        </w:tc>
        <w:tc>
          <w:tcPr>
            <w:tcW w:w="1080" w:type="dxa"/>
            <w:tcBorders>
              <w:top w:val="single" w:color="auto" w:sz="4" w:space="0"/>
              <w:left w:val="single" w:color="auto" w:sz="4" w:space="0"/>
              <w:bottom w:val="single" w:color="auto" w:sz="4" w:space="0"/>
              <w:right w:val="single" w:color="auto" w:sz="4" w:space="0"/>
            </w:tcBorders>
            <w:vAlign w:val="center"/>
          </w:tcPr>
          <w:p w14:paraId="1D9F74C6">
            <w:pPr>
              <w:tabs>
                <w:tab w:val="left" w:pos="1418"/>
              </w:tabs>
              <w:snapToGrid w:val="0"/>
              <w:spacing w:before="50" w:after="50" w:line="260" w:lineRule="exact"/>
              <w:jc w:val="center"/>
              <w:rPr>
                <w:rFonts w:ascii="宋体" w:hAnsi="宋体"/>
                <w:color w:val="auto"/>
                <w:szCs w:val="21"/>
                <w:highlight w:val="none"/>
              </w:rPr>
            </w:pPr>
            <w:r>
              <w:rPr>
                <w:rFonts w:hint="eastAsia" w:ascii="宋体" w:hAnsi="宋体"/>
                <w:color w:val="auto"/>
                <w:szCs w:val="21"/>
                <w:highlight w:val="none"/>
              </w:rPr>
              <w:t>生产厂家</w:t>
            </w:r>
          </w:p>
        </w:tc>
        <w:tc>
          <w:tcPr>
            <w:tcW w:w="1620" w:type="dxa"/>
            <w:tcBorders>
              <w:top w:val="single" w:color="auto" w:sz="4" w:space="0"/>
              <w:left w:val="single" w:color="auto" w:sz="4" w:space="0"/>
              <w:bottom w:val="single" w:color="auto" w:sz="4" w:space="0"/>
              <w:right w:val="single" w:color="auto" w:sz="4" w:space="0"/>
            </w:tcBorders>
            <w:vAlign w:val="center"/>
          </w:tcPr>
          <w:p w14:paraId="7C5EBE1D">
            <w:pPr>
              <w:tabs>
                <w:tab w:val="left" w:pos="1418"/>
              </w:tabs>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单位及数量</w:t>
            </w:r>
          </w:p>
        </w:tc>
        <w:tc>
          <w:tcPr>
            <w:tcW w:w="900" w:type="dxa"/>
            <w:tcBorders>
              <w:top w:val="single" w:color="auto" w:sz="4" w:space="0"/>
              <w:left w:val="single" w:color="auto" w:sz="4" w:space="0"/>
              <w:bottom w:val="single" w:color="auto" w:sz="4" w:space="0"/>
              <w:right w:val="single" w:color="auto" w:sz="4" w:space="0"/>
            </w:tcBorders>
            <w:vAlign w:val="center"/>
          </w:tcPr>
          <w:p w14:paraId="3FE310C3">
            <w:pPr>
              <w:tabs>
                <w:tab w:val="left" w:pos="1418"/>
              </w:tabs>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单价</w:t>
            </w:r>
          </w:p>
        </w:tc>
        <w:tc>
          <w:tcPr>
            <w:tcW w:w="1620" w:type="dxa"/>
            <w:tcBorders>
              <w:top w:val="single" w:color="auto" w:sz="4" w:space="0"/>
              <w:left w:val="single" w:color="auto" w:sz="4" w:space="0"/>
              <w:bottom w:val="single" w:color="auto" w:sz="4" w:space="0"/>
              <w:right w:val="single" w:color="auto" w:sz="4" w:space="0"/>
            </w:tcBorders>
            <w:vAlign w:val="center"/>
          </w:tcPr>
          <w:p w14:paraId="34ABD61D">
            <w:pPr>
              <w:tabs>
                <w:tab w:val="left" w:pos="1418"/>
              </w:tabs>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金额</w:t>
            </w:r>
          </w:p>
        </w:tc>
      </w:tr>
      <w:tr w14:paraId="53A78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tcPr>
          <w:p w14:paraId="1042DA56">
            <w:pPr>
              <w:tabs>
                <w:tab w:val="left" w:pos="1418"/>
              </w:tabs>
              <w:snapToGrid w:val="0"/>
              <w:spacing w:before="50" w:after="50" w:line="360" w:lineRule="exact"/>
              <w:jc w:val="center"/>
              <w:rPr>
                <w:rFonts w:ascii="宋体" w:hAnsi="宋体"/>
                <w:color w:val="auto"/>
                <w:spacing w:val="20"/>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28C555F9">
            <w:pPr>
              <w:tabs>
                <w:tab w:val="left" w:pos="1418"/>
              </w:tabs>
              <w:snapToGrid w:val="0"/>
              <w:spacing w:before="50" w:after="50" w:line="360" w:lineRule="exact"/>
              <w:jc w:val="center"/>
              <w:rPr>
                <w:rFonts w:ascii="宋体" w:hAnsi="宋体"/>
                <w:color w:val="auto"/>
                <w:spacing w:val="20"/>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1BE588E8">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6E5959EE">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306BC0E0">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D7BBAAC">
            <w:pPr>
              <w:tabs>
                <w:tab w:val="left" w:pos="1418"/>
              </w:tabs>
              <w:snapToGrid w:val="0"/>
              <w:spacing w:before="50" w:after="50" w:line="360" w:lineRule="exact"/>
              <w:jc w:val="center"/>
              <w:rPr>
                <w:rFonts w:ascii="宋体" w:hAnsi="宋体"/>
                <w:color w:val="auto"/>
                <w:spacing w:val="20"/>
                <w:szCs w:val="21"/>
                <w:highlight w:val="none"/>
              </w:rPr>
            </w:pPr>
          </w:p>
        </w:tc>
        <w:tc>
          <w:tcPr>
            <w:tcW w:w="900" w:type="dxa"/>
            <w:tcBorders>
              <w:top w:val="single" w:color="auto" w:sz="4" w:space="0"/>
              <w:left w:val="single" w:color="auto" w:sz="4" w:space="0"/>
              <w:bottom w:val="single" w:color="auto" w:sz="4" w:space="0"/>
              <w:right w:val="single" w:color="auto" w:sz="4" w:space="0"/>
            </w:tcBorders>
          </w:tcPr>
          <w:p w14:paraId="0A56E33A">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5C00EA96">
            <w:pPr>
              <w:tabs>
                <w:tab w:val="left" w:pos="1418"/>
              </w:tabs>
              <w:snapToGrid w:val="0"/>
              <w:spacing w:before="50" w:after="50" w:line="360" w:lineRule="exact"/>
              <w:jc w:val="center"/>
              <w:rPr>
                <w:rFonts w:ascii="宋体" w:hAnsi="宋体"/>
                <w:color w:val="auto"/>
                <w:spacing w:val="20"/>
                <w:szCs w:val="21"/>
                <w:highlight w:val="none"/>
              </w:rPr>
            </w:pPr>
          </w:p>
        </w:tc>
      </w:tr>
      <w:tr w14:paraId="5F5CA8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tcPr>
          <w:p w14:paraId="56332642">
            <w:pPr>
              <w:tabs>
                <w:tab w:val="left" w:pos="1418"/>
              </w:tabs>
              <w:snapToGrid w:val="0"/>
              <w:spacing w:before="50" w:after="50" w:line="360" w:lineRule="exact"/>
              <w:jc w:val="center"/>
              <w:rPr>
                <w:rFonts w:ascii="宋体" w:hAnsi="宋体"/>
                <w:color w:val="auto"/>
                <w:spacing w:val="20"/>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4BB06252">
            <w:pPr>
              <w:tabs>
                <w:tab w:val="left" w:pos="1418"/>
              </w:tabs>
              <w:snapToGrid w:val="0"/>
              <w:spacing w:before="50" w:after="50" w:line="360" w:lineRule="exact"/>
              <w:jc w:val="center"/>
              <w:rPr>
                <w:rFonts w:ascii="宋体" w:hAnsi="宋体"/>
                <w:color w:val="auto"/>
                <w:spacing w:val="20"/>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1137B158">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71B4EE05">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57991CDB">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5D9F3BC0">
            <w:pPr>
              <w:tabs>
                <w:tab w:val="left" w:pos="1418"/>
              </w:tabs>
              <w:snapToGrid w:val="0"/>
              <w:spacing w:before="50" w:after="50" w:line="360" w:lineRule="exact"/>
              <w:jc w:val="center"/>
              <w:rPr>
                <w:rFonts w:ascii="宋体" w:hAnsi="宋体"/>
                <w:color w:val="auto"/>
                <w:spacing w:val="20"/>
                <w:szCs w:val="21"/>
                <w:highlight w:val="none"/>
              </w:rPr>
            </w:pPr>
          </w:p>
        </w:tc>
        <w:tc>
          <w:tcPr>
            <w:tcW w:w="900" w:type="dxa"/>
            <w:tcBorders>
              <w:top w:val="single" w:color="auto" w:sz="4" w:space="0"/>
              <w:left w:val="single" w:color="auto" w:sz="4" w:space="0"/>
              <w:bottom w:val="single" w:color="auto" w:sz="4" w:space="0"/>
              <w:right w:val="single" w:color="auto" w:sz="4" w:space="0"/>
            </w:tcBorders>
          </w:tcPr>
          <w:p w14:paraId="00025EBC">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0D6DC9F1">
            <w:pPr>
              <w:tabs>
                <w:tab w:val="left" w:pos="1418"/>
              </w:tabs>
              <w:snapToGrid w:val="0"/>
              <w:spacing w:before="50" w:after="50" w:line="360" w:lineRule="exact"/>
              <w:jc w:val="center"/>
              <w:rPr>
                <w:rFonts w:ascii="宋体" w:hAnsi="宋体"/>
                <w:color w:val="auto"/>
                <w:spacing w:val="20"/>
                <w:szCs w:val="21"/>
                <w:highlight w:val="none"/>
              </w:rPr>
            </w:pPr>
          </w:p>
        </w:tc>
      </w:tr>
      <w:tr w14:paraId="58664E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bottom w:val="single" w:color="auto" w:sz="4" w:space="0"/>
              <w:right w:val="single" w:color="auto" w:sz="4" w:space="0"/>
            </w:tcBorders>
          </w:tcPr>
          <w:p w14:paraId="246097FE">
            <w:pPr>
              <w:tabs>
                <w:tab w:val="left" w:pos="1418"/>
              </w:tabs>
              <w:snapToGrid w:val="0"/>
              <w:spacing w:before="50" w:after="50" w:line="360" w:lineRule="exact"/>
              <w:jc w:val="center"/>
              <w:rPr>
                <w:rFonts w:ascii="宋体" w:hAnsi="宋体"/>
                <w:color w:val="auto"/>
                <w:spacing w:val="20"/>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55964D15">
            <w:pPr>
              <w:tabs>
                <w:tab w:val="left" w:pos="1418"/>
              </w:tabs>
              <w:snapToGrid w:val="0"/>
              <w:spacing w:before="50" w:after="50" w:line="360" w:lineRule="exact"/>
              <w:jc w:val="center"/>
              <w:rPr>
                <w:rFonts w:ascii="宋体" w:hAnsi="宋体"/>
                <w:color w:val="auto"/>
                <w:spacing w:val="20"/>
                <w:szCs w:val="21"/>
                <w:highlight w:val="none"/>
              </w:rPr>
            </w:pPr>
            <w:r>
              <w:rPr>
                <w:rFonts w:hint="eastAsia" w:ascii="宋体" w:hAnsi="宋体"/>
                <w:color w:val="auto"/>
                <w:spacing w:val="20"/>
                <w:szCs w:val="21"/>
                <w:highlight w:val="none"/>
              </w:rPr>
              <w:t>……</w:t>
            </w:r>
          </w:p>
        </w:tc>
        <w:tc>
          <w:tcPr>
            <w:tcW w:w="1260" w:type="dxa"/>
            <w:tcBorders>
              <w:top w:val="single" w:color="auto" w:sz="4" w:space="0"/>
              <w:left w:val="single" w:color="auto" w:sz="4" w:space="0"/>
              <w:bottom w:val="single" w:color="auto" w:sz="4" w:space="0"/>
              <w:right w:val="single" w:color="auto" w:sz="4" w:space="0"/>
            </w:tcBorders>
          </w:tcPr>
          <w:p w14:paraId="2094A744">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97F90A4">
            <w:pPr>
              <w:tabs>
                <w:tab w:val="left" w:pos="1418"/>
              </w:tabs>
              <w:snapToGrid w:val="0"/>
              <w:spacing w:before="50" w:after="50" w:line="360" w:lineRule="exact"/>
              <w:jc w:val="center"/>
              <w:rPr>
                <w:rFonts w:ascii="宋体" w:hAnsi="宋体"/>
                <w:color w:val="auto"/>
                <w:spacing w:val="20"/>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FCBC78F">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4AC01AF2">
            <w:pPr>
              <w:tabs>
                <w:tab w:val="left" w:pos="1418"/>
              </w:tabs>
              <w:snapToGrid w:val="0"/>
              <w:spacing w:before="50" w:after="50" w:line="360" w:lineRule="exact"/>
              <w:jc w:val="center"/>
              <w:rPr>
                <w:rFonts w:ascii="宋体" w:hAnsi="宋体"/>
                <w:color w:val="auto"/>
                <w:spacing w:val="20"/>
                <w:szCs w:val="21"/>
                <w:highlight w:val="none"/>
              </w:rPr>
            </w:pPr>
          </w:p>
        </w:tc>
        <w:tc>
          <w:tcPr>
            <w:tcW w:w="900" w:type="dxa"/>
            <w:tcBorders>
              <w:top w:val="single" w:color="auto" w:sz="4" w:space="0"/>
              <w:left w:val="single" w:color="auto" w:sz="4" w:space="0"/>
              <w:bottom w:val="single" w:color="auto" w:sz="4" w:space="0"/>
              <w:right w:val="single" w:color="auto" w:sz="4" w:space="0"/>
            </w:tcBorders>
          </w:tcPr>
          <w:p w14:paraId="0632DA7A">
            <w:pPr>
              <w:tabs>
                <w:tab w:val="left" w:pos="1418"/>
              </w:tabs>
              <w:snapToGrid w:val="0"/>
              <w:spacing w:before="50" w:after="50" w:line="360" w:lineRule="exact"/>
              <w:jc w:val="center"/>
              <w:rPr>
                <w:rFonts w:ascii="宋体" w:hAnsi="宋体"/>
                <w:color w:val="auto"/>
                <w:spacing w:val="20"/>
                <w:szCs w:val="21"/>
                <w:highlight w:val="none"/>
              </w:rPr>
            </w:pPr>
          </w:p>
        </w:tc>
        <w:tc>
          <w:tcPr>
            <w:tcW w:w="1620" w:type="dxa"/>
            <w:tcBorders>
              <w:top w:val="single" w:color="auto" w:sz="4" w:space="0"/>
              <w:left w:val="single" w:color="auto" w:sz="4" w:space="0"/>
              <w:bottom w:val="single" w:color="auto" w:sz="4" w:space="0"/>
              <w:right w:val="single" w:color="auto" w:sz="4" w:space="0"/>
            </w:tcBorders>
          </w:tcPr>
          <w:p w14:paraId="13D143B8">
            <w:pPr>
              <w:tabs>
                <w:tab w:val="left" w:pos="1418"/>
              </w:tabs>
              <w:snapToGrid w:val="0"/>
              <w:spacing w:before="50" w:after="50" w:line="360" w:lineRule="exact"/>
              <w:jc w:val="center"/>
              <w:rPr>
                <w:rFonts w:ascii="宋体" w:hAnsi="宋体"/>
                <w:color w:val="auto"/>
                <w:spacing w:val="20"/>
                <w:szCs w:val="21"/>
                <w:highlight w:val="none"/>
              </w:rPr>
            </w:pPr>
          </w:p>
        </w:tc>
      </w:tr>
      <w:tr w14:paraId="7420CF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00" w:type="dxa"/>
            <w:gridSpan w:val="7"/>
            <w:tcBorders>
              <w:top w:val="single" w:color="auto" w:sz="4" w:space="0"/>
              <w:left w:val="single" w:color="auto" w:sz="4" w:space="0"/>
              <w:bottom w:val="single" w:color="auto" w:sz="4" w:space="0"/>
              <w:right w:val="single" w:color="auto" w:sz="4" w:space="0"/>
            </w:tcBorders>
            <w:vAlign w:val="center"/>
          </w:tcPr>
          <w:p w14:paraId="5656ACC0">
            <w:pPr>
              <w:tabs>
                <w:tab w:val="left" w:pos="1418"/>
              </w:tabs>
              <w:snapToGrid w:val="0"/>
              <w:spacing w:before="50" w:after="50" w:line="360" w:lineRule="exact"/>
              <w:rPr>
                <w:rFonts w:ascii="宋体" w:hAnsi="宋体"/>
                <w:color w:val="auto"/>
                <w:spacing w:val="20"/>
                <w:szCs w:val="21"/>
                <w:highlight w:val="none"/>
              </w:rPr>
            </w:pPr>
            <w:r>
              <w:rPr>
                <w:rFonts w:hint="eastAsia" w:hAnsi="宋体"/>
                <w:color w:val="auto"/>
                <w:highlight w:val="none"/>
              </w:rPr>
              <w:t>分标</w:t>
            </w:r>
            <w:r>
              <w:rPr>
                <w:rFonts w:hint="eastAsia" w:hAnsi="宋体"/>
                <w:color w:val="auto"/>
                <w:highlight w:val="none"/>
                <w:u w:val="single"/>
              </w:rPr>
              <w:t xml:space="preserve">      </w:t>
            </w:r>
            <w:r>
              <w:rPr>
                <w:rFonts w:hint="eastAsia" w:ascii="宋体" w:hAnsi="宋体"/>
                <w:color w:val="auto"/>
                <w:szCs w:val="21"/>
                <w:highlight w:val="none"/>
              </w:rPr>
              <w:t>合计金额大写：</w:t>
            </w:r>
          </w:p>
        </w:tc>
        <w:tc>
          <w:tcPr>
            <w:tcW w:w="1620" w:type="dxa"/>
            <w:tcBorders>
              <w:top w:val="single" w:color="auto" w:sz="4" w:space="0"/>
              <w:left w:val="single" w:color="auto" w:sz="4" w:space="0"/>
              <w:bottom w:val="single" w:color="auto" w:sz="4" w:space="0"/>
              <w:right w:val="single" w:color="auto" w:sz="4" w:space="0"/>
            </w:tcBorders>
            <w:vAlign w:val="center"/>
          </w:tcPr>
          <w:p w14:paraId="3B4B6349">
            <w:pPr>
              <w:tabs>
                <w:tab w:val="left" w:pos="1418"/>
              </w:tabs>
              <w:snapToGrid w:val="0"/>
              <w:spacing w:before="50" w:after="50" w:line="360" w:lineRule="exact"/>
              <w:rPr>
                <w:rFonts w:ascii="宋体" w:hAnsi="宋体"/>
                <w:color w:val="auto"/>
                <w:spacing w:val="20"/>
                <w:szCs w:val="21"/>
                <w:highlight w:val="none"/>
              </w:rPr>
            </w:pPr>
            <w:r>
              <w:rPr>
                <w:rFonts w:hint="eastAsia" w:ascii="宋体" w:hAnsi="宋体"/>
                <w:color w:val="auto"/>
                <w:szCs w:val="21"/>
                <w:highlight w:val="none"/>
              </w:rPr>
              <w:t>￥</w:t>
            </w:r>
            <w:r>
              <w:rPr>
                <w:rFonts w:hint="eastAsia" w:ascii="宋体" w:hAnsi="宋体"/>
                <w:color w:val="auto"/>
                <w:szCs w:val="21"/>
                <w:highlight w:val="none"/>
                <w:u w:val="single"/>
              </w:rPr>
              <w:t xml:space="preserve">            </w:t>
            </w:r>
          </w:p>
        </w:tc>
      </w:tr>
    </w:tbl>
    <w:p w14:paraId="2D8ED195">
      <w:pPr>
        <w:tabs>
          <w:tab w:val="left" w:pos="1418"/>
        </w:tabs>
        <w:snapToGrid w:val="0"/>
        <w:ind w:left="1418" w:hanging="567"/>
        <w:jc w:val="center"/>
        <w:rPr>
          <w:rFonts w:ascii="宋体" w:hAnsi="宋体"/>
          <w:color w:val="auto"/>
          <w:spacing w:val="20"/>
          <w:szCs w:val="21"/>
          <w:highlight w:val="none"/>
          <w:u w:val="single"/>
        </w:rPr>
      </w:pPr>
    </w:p>
    <w:p w14:paraId="019782C4">
      <w:pPr>
        <w:snapToGrid w:val="0"/>
        <w:rPr>
          <w:rFonts w:ascii="宋体" w:hAnsi="宋体"/>
          <w:color w:val="auto"/>
          <w:spacing w:val="20"/>
          <w:szCs w:val="21"/>
          <w:highlight w:val="none"/>
          <w:u w:val="single"/>
        </w:rPr>
      </w:pPr>
      <w:r>
        <w:rPr>
          <w:rFonts w:hint="eastAsia" w:ascii="宋体" w:hAnsi="宋体"/>
          <w:color w:val="auto"/>
          <w:szCs w:val="21"/>
          <w:highlight w:val="none"/>
        </w:rPr>
        <w:t>法定代表人或委托代理人</w:t>
      </w:r>
      <w:r>
        <w:rPr>
          <w:rFonts w:ascii="宋体" w:hAnsi="宋体"/>
          <w:color w:val="auto"/>
          <w:szCs w:val="21"/>
          <w:highlight w:val="none"/>
          <w:lang w:val="en"/>
        </w:rPr>
        <w:t>签字或签章</w:t>
      </w:r>
      <w:r>
        <w:rPr>
          <w:rFonts w:hint="eastAsia" w:ascii="宋体" w:hAnsi="宋体"/>
          <w:color w:val="auto"/>
          <w:spacing w:val="20"/>
          <w:szCs w:val="21"/>
          <w:highlight w:val="none"/>
        </w:rPr>
        <w:t>：</w:t>
      </w:r>
      <w:r>
        <w:rPr>
          <w:rFonts w:hint="eastAsia" w:ascii="宋体" w:hAnsi="宋体"/>
          <w:color w:val="auto"/>
          <w:spacing w:val="20"/>
          <w:szCs w:val="21"/>
          <w:highlight w:val="none"/>
          <w:u w:val="single"/>
        </w:rPr>
        <w:t xml:space="preserve">          </w:t>
      </w:r>
    </w:p>
    <w:p w14:paraId="546D5E65">
      <w:pPr>
        <w:snapToGrid w:val="0"/>
        <w:rPr>
          <w:rFonts w:ascii="宋体" w:hAnsi="宋体"/>
          <w:color w:val="auto"/>
          <w:spacing w:val="20"/>
          <w:szCs w:val="21"/>
          <w:highlight w:val="none"/>
          <w:u w:val="single"/>
        </w:rPr>
      </w:pPr>
    </w:p>
    <w:p w14:paraId="0BBA900F">
      <w:pPr>
        <w:snapToGrid w:val="0"/>
        <w:rPr>
          <w:rFonts w:ascii="宋体" w:hAnsi="宋体"/>
          <w:color w:val="auto"/>
          <w:szCs w:val="21"/>
          <w:highlight w:val="none"/>
        </w:rPr>
      </w:pPr>
      <w:r>
        <w:rPr>
          <w:rFonts w:hint="eastAsia" w:ascii="宋体" w:hAnsi="宋体"/>
          <w:color w:val="auto"/>
          <w:szCs w:val="21"/>
          <w:highlight w:val="none"/>
        </w:rPr>
        <w:t xml:space="preserve">投标人盖章：                               日  期：         </w:t>
      </w:r>
    </w:p>
    <w:p w14:paraId="4737CE1B">
      <w:pPr>
        <w:snapToGrid w:val="0"/>
        <w:rPr>
          <w:rFonts w:ascii="宋体" w:hAnsi="宋体"/>
          <w:b/>
          <w:color w:val="auto"/>
          <w:szCs w:val="21"/>
          <w:highlight w:val="none"/>
        </w:rPr>
      </w:pPr>
    </w:p>
    <w:p w14:paraId="17CD67BB">
      <w:pPr>
        <w:snapToGrid w:val="0"/>
        <w:rPr>
          <w:rFonts w:ascii="宋体" w:hAnsi="宋体"/>
          <w:color w:val="auto"/>
          <w:szCs w:val="21"/>
          <w:highlight w:val="none"/>
        </w:rPr>
      </w:pPr>
      <w:r>
        <w:rPr>
          <w:rFonts w:hint="eastAsia" w:ascii="宋体" w:hAnsi="宋体"/>
          <w:b/>
          <w:color w:val="auto"/>
          <w:szCs w:val="21"/>
          <w:highlight w:val="none"/>
        </w:rPr>
        <w:t>（3）</w:t>
      </w:r>
      <w:r>
        <w:rPr>
          <w:rFonts w:hint="eastAsia" w:ascii="宋体" w:hAnsi="宋体"/>
          <w:color w:val="auto"/>
          <w:szCs w:val="21"/>
          <w:highlight w:val="none"/>
        </w:rPr>
        <w:t>投标人针对报价需要说明的其他文件和说明（格式自拟）</w:t>
      </w:r>
    </w:p>
    <w:p w14:paraId="1D8BA500">
      <w:pPr>
        <w:snapToGrid w:val="0"/>
        <w:ind w:firstLine="422" w:firstLineChars="200"/>
        <w:rPr>
          <w:rFonts w:ascii="宋体" w:hAnsi="宋体"/>
          <w:b/>
          <w:color w:val="auto"/>
          <w:szCs w:val="21"/>
          <w:highlight w:val="none"/>
        </w:rPr>
      </w:pPr>
    </w:p>
    <w:p w14:paraId="41CF8CD8">
      <w:pPr>
        <w:snapToGrid w:val="0"/>
        <w:spacing w:line="360" w:lineRule="exact"/>
        <w:rPr>
          <w:rFonts w:ascii="宋体" w:hAnsi="宋体"/>
          <w:b/>
          <w:color w:val="auto"/>
          <w:szCs w:val="21"/>
          <w:highlight w:val="none"/>
        </w:rPr>
      </w:pPr>
      <w:r>
        <w:rPr>
          <w:rFonts w:hint="eastAsia" w:ascii="宋体" w:hAnsi="宋体"/>
          <w:b/>
          <w:color w:val="auto"/>
          <w:szCs w:val="21"/>
          <w:highlight w:val="none"/>
        </w:rPr>
        <w:t>（4）开标一览表</w:t>
      </w:r>
    </w:p>
    <w:p w14:paraId="7138A985">
      <w:pPr>
        <w:snapToGrid w:val="0"/>
        <w:spacing w:line="360" w:lineRule="exact"/>
        <w:jc w:val="center"/>
        <w:rPr>
          <w:rFonts w:ascii="宋体" w:hAnsi="宋体"/>
          <w:b/>
          <w:color w:val="auto"/>
          <w:szCs w:val="21"/>
          <w:highlight w:val="none"/>
        </w:rPr>
      </w:pPr>
      <w:r>
        <w:rPr>
          <w:rFonts w:hint="eastAsia" w:ascii="宋体" w:hAnsi="宋体"/>
          <w:b/>
          <w:color w:val="auto"/>
          <w:szCs w:val="21"/>
          <w:highlight w:val="none"/>
        </w:rPr>
        <w:t>开标一览表</w:t>
      </w:r>
    </w:p>
    <w:p w14:paraId="50034E67">
      <w:pPr>
        <w:snapToGrid w:val="0"/>
        <w:spacing w:line="360" w:lineRule="exact"/>
        <w:jc w:val="left"/>
        <w:rPr>
          <w:color w:val="auto"/>
          <w:highlight w:val="none"/>
        </w:rPr>
      </w:pPr>
      <w:r>
        <w:rPr>
          <w:rFonts w:hint="eastAsia" w:hAnsi="宋体"/>
          <w:color w:val="auto"/>
          <w:highlight w:val="none"/>
        </w:rPr>
        <w:t>项目名称：</w:t>
      </w:r>
    </w:p>
    <w:p w14:paraId="757B7B62">
      <w:pPr>
        <w:snapToGrid w:val="0"/>
        <w:spacing w:line="360" w:lineRule="exact"/>
        <w:jc w:val="left"/>
        <w:rPr>
          <w:rFonts w:ascii="宋体" w:hAnsi="宋体"/>
          <w:b/>
          <w:color w:val="auto"/>
          <w:szCs w:val="21"/>
          <w:highlight w:val="none"/>
        </w:rPr>
      </w:pPr>
      <w:r>
        <w:rPr>
          <w:rFonts w:hint="eastAsia"/>
          <w:color w:val="auto"/>
          <w:highlight w:val="none"/>
        </w:rPr>
        <w:t>项目编号：</w:t>
      </w:r>
      <w:r>
        <w:rPr>
          <w:color w:val="auto"/>
          <w:highlight w:val="none"/>
        </w:rPr>
        <w:t xml:space="preserve">                                        </w:t>
      </w:r>
    </w:p>
    <w:p w14:paraId="26EB4BF0">
      <w:pPr>
        <w:snapToGrid w:val="0"/>
        <w:spacing w:line="360" w:lineRule="exact"/>
        <w:ind w:firstLine="102" w:firstLineChars="49"/>
        <w:jc w:val="left"/>
        <w:rPr>
          <w:rFonts w:ascii="宋体" w:hAnsi="宋体"/>
          <w:b/>
          <w:color w:val="auto"/>
          <w:szCs w:val="21"/>
          <w:highlight w:val="none"/>
        </w:rPr>
      </w:pPr>
      <w:r>
        <w:rPr>
          <w:rFonts w:hint="eastAsia"/>
          <w:color w:val="auto"/>
          <w:highlight w:val="none"/>
        </w:rPr>
        <w:t xml:space="preserve">                                                金额单位：人民币（元）</w:t>
      </w:r>
    </w:p>
    <w:tbl>
      <w:tblPr>
        <w:tblStyle w:val="53"/>
        <w:tblW w:w="97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1542"/>
        <w:gridCol w:w="850"/>
        <w:gridCol w:w="749"/>
        <w:gridCol w:w="1855"/>
        <w:gridCol w:w="1381"/>
        <w:gridCol w:w="751"/>
        <w:gridCol w:w="1725"/>
      </w:tblGrid>
      <w:tr w14:paraId="3EC455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427E15EF">
            <w:pPr>
              <w:snapToGrid w:val="0"/>
              <w:spacing w:before="50" w:after="50"/>
              <w:rPr>
                <w:rFonts w:ascii="宋体" w:hAnsi="宋体"/>
                <w:color w:val="auto"/>
                <w:szCs w:val="21"/>
                <w:highlight w:val="none"/>
              </w:rPr>
            </w:pPr>
            <w:r>
              <w:rPr>
                <w:rFonts w:hint="eastAsia" w:ascii="宋体" w:hAnsi="宋体"/>
                <w:color w:val="auto"/>
                <w:szCs w:val="21"/>
                <w:highlight w:val="none"/>
              </w:rPr>
              <w:t>序号</w:t>
            </w:r>
          </w:p>
        </w:tc>
        <w:tc>
          <w:tcPr>
            <w:tcW w:w="1542" w:type="dxa"/>
            <w:tcBorders>
              <w:top w:val="single" w:color="auto" w:sz="4" w:space="0"/>
              <w:left w:val="single" w:color="auto" w:sz="4" w:space="0"/>
              <w:bottom w:val="single" w:color="auto" w:sz="4" w:space="0"/>
              <w:right w:val="single" w:color="auto" w:sz="4" w:space="0"/>
            </w:tcBorders>
            <w:vAlign w:val="center"/>
          </w:tcPr>
          <w:p w14:paraId="59C2B929">
            <w:pPr>
              <w:snapToGrid w:val="0"/>
              <w:spacing w:before="50" w:after="50"/>
              <w:jc w:val="center"/>
              <w:rPr>
                <w:rFonts w:ascii="宋体" w:hAnsi="宋体"/>
                <w:color w:val="auto"/>
                <w:szCs w:val="21"/>
                <w:highlight w:val="none"/>
              </w:rPr>
            </w:pPr>
            <w:r>
              <w:rPr>
                <w:rFonts w:hint="eastAsia" w:ascii="宋体" w:hAnsi="宋体"/>
                <w:color w:val="auto"/>
                <w:szCs w:val="21"/>
                <w:highlight w:val="none"/>
              </w:rPr>
              <w:t>设备名称</w:t>
            </w:r>
          </w:p>
        </w:tc>
        <w:tc>
          <w:tcPr>
            <w:tcW w:w="850" w:type="dxa"/>
            <w:tcBorders>
              <w:top w:val="single" w:color="auto" w:sz="4" w:space="0"/>
              <w:left w:val="single" w:color="auto" w:sz="4" w:space="0"/>
              <w:bottom w:val="single" w:color="auto" w:sz="4" w:space="0"/>
              <w:right w:val="single" w:color="auto" w:sz="4" w:space="0"/>
            </w:tcBorders>
            <w:vAlign w:val="center"/>
          </w:tcPr>
          <w:p w14:paraId="350DF99A">
            <w:pPr>
              <w:snapToGrid w:val="0"/>
              <w:spacing w:before="50" w:after="50"/>
              <w:jc w:val="center"/>
              <w:rPr>
                <w:rFonts w:ascii="宋体" w:hAnsi="宋体"/>
                <w:color w:val="auto"/>
                <w:szCs w:val="21"/>
                <w:highlight w:val="none"/>
              </w:rPr>
            </w:pPr>
            <w:r>
              <w:rPr>
                <w:rFonts w:hint="eastAsia" w:ascii="宋体" w:hAnsi="宋体"/>
                <w:color w:val="auto"/>
                <w:szCs w:val="21"/>
                <w:highlight w:val="none"/>
              </w:rPr>
              <w:t>数量</w:t>
            </w:r>
          </w:p>
        </w:tc>
        <w:tc>
          <w:tcPr>
            <w:tcW w:w="749" w:type="dxa"/>
            <w:tcBorders>
              <w:top w:val="single" w:color="auto" w:sz="4" w:space="0"/>
              <w:left w:val="single" w:color="auto" w:sz="4" w:space="0"/>
              <w:bottom w:val="single" w:color="auto" w:sz="4" w:space="0"/>
              <w:right w:val="single" w:color="auto" w:sz="4" w:space="0"/>
            </w:tcBorders>
            <w:vAlign w:val="center"/>
          </w:tcPr>
          <w:p w14:paraId="76A28E22">
            <w:pPr>
              <w:snapToGrid w:val="0"/>
              <w:spacing w:before="50" w:after="50"/>
              <w:jc w:val="center"/>
              <w:rPr>
                <w:rFonts w:ascii="宋体" w:hAnsi="宋体"/>
                <w:color w:val="auto"/>
                <w:szCs w:val="21"/>
                <w:highlight w:val="none"/>
              </w:rPr>
            </w:pPr>
            <w:r>
              <w:rPr>
                <w:rFonts w:hint="eastAsia" w:ascii="宋体" w:hAnsi="宋体"/>
                <w:color w:val="auto"/>
                <w:szCs w:val="21"/>
                <w:highlight w:val="none"/>
              </w:rPr>
              <w:t>产地</w:t>
            </w:r>
          </w:p>
        </w:tc>
        <w:tc>
          <w:tcPr>
            <w:tcW w:w="1855" w:type="dxa"/>
            <w:tcBorders>
              <w:top w:val="single" w:color="auto" w:sz="4" w:space="0"/>
              <w:left w:val="single" w:color="auto" w:sz="4" w:space="0"/>
              <w:bottom w:val="single" w:color="auto" w:sz="4" w:space="0"/>
              <w:right w:val="single" w:color="auto" w:sz="4" w:space="0"/>
            </w:tcBorders>
            <w:vAlign w:val="center"/>
          </w:tcPr>
          <w:p w14:paraId="70A859ED">
            <w:pPr>
              <w:snapToGrid w:val="0"/>
              <w:spacing w:before="50" w:after="50"/>
              <w:jc w:val="center"/>
              <w:rPr>
                <w:rFonts w:ascii="宋体" w:hAnsi="宋体"/>
                <w:color w:val="auto"/>
                <w:szCs w:val="21"/>
                <w:highlight w:val="none"/>
              </w:rPr>
            </w:pPr>
            <w:r>
              <w:rPr>
                <w:rFonts w:hint="eastAsia" w:ascii="宋体" w:hAnsi="宋体"/>
                <w:color w:val="auto"/>
                <w:szCs w:val="21"/>
                <w:highlight w:val="none"/>
              </w:rPr>
              <w:t>品牌及厂家</w:t>
            </w:r>
          </w:p>
        </w:tc>
        <w:tc>
          <w:tcPr>
            <w:tcW w:w="1381" w:type="dxa"/>
            <w:tcBorders>
              <w:top w:val="single" w:color="auto" w:sz="4" w:space="0"/>
              <w:left w:val="single" w:color="auto" w:sz="4" w:space="0"/>
              <w:bottom w:val="single" w:color="auto" w:sz="4" w:space="0"/>
              <w:right w:val="single" w:color="auto" w:sz="4" w:space="0"/>
            </w:tcBorders>
            <w:vAlign w:val="center"/>
          </w:tcPr>
          <w:p w14:paraId="2B91C7DC">
            <w:pPr>
              <w:snapToGrid w:val="0"/>
              <w:spacing w:before="50" w:after="50"/>
              <w:jc w:val="center"/>
              <w:rPr>
                <w:rFonts w:ascii="宋体" w:hAnsi="宋体"/>
                <w:color w:val="auto"/>
                <w:szCs w:val="21"/>
                <w:highlight w:val="none"/>
              </w:rPr>
            </w:pPr>
            <w:r>
              <w:rPr>
                <w:rFonts w:hint="eastAsia" w:ascii="宋体" w:hAnsi="宋体"/>
                <w:color w:val="auto"/>
                <w:szCs w:val="21"/>
                <w:highlight w:val="none"/>
              </w:rPr>
              <w:t>规格型号</w:t>
            </w:r>
          </w:p>
        </w:tc>
        <w:tc>
          <w:tcPr>
            <w:tcW w:w="751" w:type="dxa"/>
            <w:tcBorders>
              <w:top w:val="single" w:color="auto" w:sz="4" w:space="0"/>
              <w:left w:val="single" w:color="auto" w:sz="4" w:space="0"/>
              <w:bottom w:val="single" w:color="auto" w:sz="4" w:space="0"/>
              <w:right w:val="single" w:color="auto" w:sz="4" w:space="0"/>
            </w:tcBorders>
            <w:vAlign w:val="center"/>
          </w:tcPr>
          <w:p w14:paraId="13F347B5">
            <w:pPr>
              <w:snapToGrid w:val="0"/>
              <w:spacing w:before="50" w:after="50"/>
              <w:jc w:val="center"/>
              <w:rPr>
                <w:rFonts w:ascii="宋体" w:hAnsi="宋体"/>
                <w:color w:val="auto"/>
                <w:szCs w:val="21"/>
                <w:highlight w:val="none"/>
              </w:rPr>
            </w:pPr>
            <w:r>
              <w:rPr>
                <w:rFonts w:hint="eastAsia" w:ascii="宋体" w:hAnsi="宋体"/>
                <w:color w:val="auto"/>
                <w:szCs w:val="21"/>
                <w:highlight w:val="none"/>
              </w:rPr>
              <w:t>单价</w:t>
            </w:r>
          </w:p>
        </w:tc>
        <w:tc>
          <w:tcPr>
            <w:tcW w:w="1725" w:type="dxa"/>
            <w:tcBorders>
              <w:top w:val="single" w:color="auto" w:sz="4" w:space="0"/>
              <w:left w:val="single" w:color="auto" w:sz="4" w:space="0"/>
              <w:bottom w:val="single" w:color="auto" w:sz="4" w:space="0"/>
              <w:right w:val="single" w:color="auto" w:sz="4" w:space="0"/>
            </w:tcBorders>
            <w:vAlign w:val="center"/>
          </w:tcPr>
          <w:p w14:paraId="1CCB5278">
            <w:pPr>
              <w:snapToGrid w:val="0"/>
              <w:spacing w:before="50" w:after="50"/>
              <w:jc w:val="center"/>
              <w:rPr>
                <w:rFonts w:ascii="宋体" w:hAnsi="宋体"/>
                <w:color w:val="auto"/>
                <w:szCs w:val="21"/>
                <w:highlight w:val="none"/>
              </w:rPr>
            </w:pPr>
            <w:r>
              <w:rPr>
                <w:rFonts w:hint="eastAsia" w:ascii="宋体" w:hAnsi="宋体"/>
                <w:color w:val="auto"/>
                <w:szCs w:val="21"/>
                <w:highlight w:val="none"/>
              </w:rPr>
              <w:t>投标报价</w:t>
            </w:r>
          </w:p>
        </w:tc>
      </w:tr>
      <w:tr w14:paraId="3AEB30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1318C22A">
            <w:pPr>
              <w:snapToGrid w:val="0"/>
              <w:spacing w:before="50" w:after="50" w:line="360" w:lineRule="exact"/>
              <w:jc w:val="center"/>
              <w:rPr>
                <w:rFonts w:ascii="宋体" w:hAnsi="宋体"/>
                <w:color w:val="auto"/>
                <w:szCs w:val="21"/>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693292C0">
            <w:pPr>
              <w:snapToGrid w:val="0"/>
              <w:spacing w:before="50" w:after="50" w:line="360" w:lineRule="exact"/>
              <w:jc w:val="center"/>
              <w:rPr>
                <w:rFonts w:ascii="宋体" w:hAnsi="宋体"/>
                <w:bCs/>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ADBD953">
            <w:pPr>
              <w:snapToGrid w:val="0"/>
              <w:spacing w:before="50" w:after="50" w:line="360" w:lineRule="exact"/>
              <w:jc w:val="center"/>
              <w:rPr>
                <w:rFonts w:ascii="宋体" w:hAnsi="宋体"/>
                <w:bCs/>
                <w:color w:val="auto"/>
                <w:szCs w:val="21"/>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40A017BF">
            <w:pPr>
              <w:snapToGrid w:val="0"/>
              <w:spacing w:before="50" w:after="50" w:line="360" w:lineRule="exact"/>
              <w:jc w:val="center"/>
              <w:rPr>
                <w:rFonts w:ascii="宋体" w:hAnsi="宋体"/>
                <w:color w:val="auto"/>
                <w:szCs w:val="21"/>
                <w:highlight w:val="none"/>
              </w:rPr>
            </w:pPr>
          </w:p>
        </w:tc>
        <w:tc>
          <w:tcPr>
            <w:tcW w:w="1855" w:type="dxa"/>
            <w:tcBorders>
              <w:top w:val="single" w:color="auto" w:sz="4" w:space="0"/>
              <w:left w:val="single" w:color="auto" w:sz="4" w:space="0"/>
              <w:bottom w:val="single" w:color="auto" w:sz="4" w:space="0"/>
              <w:right w:val="single" w:color="auto" w:sz="4" w:space="0"/>
            </w:tcBorders>
            <w:vAlign w:val="center"/>
          </w:tcPr>
          <w:p w14:paraId="5B269289">
            <w:pPr>
              <w:snapToGrid w:val="0"/>
              <w:spacing w:before="50" w:after="50" w:line="360" w:lineRule="exact"/>
              <w:jc w:val="center"/>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A166501">
            <w:pPr>
              <w:snapToGrid w:val="0"/>
              <w:spacing w:before="50" w:after="50" w:line="360" w:lineRule="exact"/>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14:paraId="2BE2CEFA">
            <w:pPr>
              <w:snapToGrid w:val="0"/>
              <w:spacing w:before="50" w:after="50" w:line="360" w:lineRule="exact"/>
              <w:jc w:val="center"/>
              <w:rPr>
                <w:rFonts w:ascii="宋体" w:hAnsi="宋体"/>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14:paraId="16E8A097">
            <w:pPr>
              <w:snapToGrid w:val="0"/>
              <w:spacing w:before="50" w:after="50" w:line="360" w:lineRule="exact"/>
              <w:jc w:val="center"/>
              <w:rPr>
                <w:rFonts w:ascii="宋体" w:hAnsi="宋体"/>
                <w:color w:val="auto"/>
                <w:szCs w:val="21"/>
                <w:highlight w:val="none"/>
              </w:rPr>
            </w:pPr>
          </w:p>
        </w:tc>
      </w:tr>
      <w:tr w14:paraId="443A2C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134C3C92">
            <w:pPr>
              <w:snapToGrid w:val="0"/>
              <w:spacing w:before="50" w:after="50" w:line="360" w:lineRule="exact"/>
              <w:jc w:val="center"/>
              <w:rPr>
                <w:rFonts w:ascii="宋体" w:hAnsi="宋体"/>
                <w:color w:val="auto"/>
                <w:szCs w:val="21"/>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769A9E18">
            <w:pPr>
              <w:snapToGrid w:val="0"/>
              <w:spacing w:before="50" w:after="50" w:line="360" w:lineRule="exact"/>
              <w:jc w:val="center"/>
              <w:rPr>
                <w:rFonts w:ascii="宋体" w:hAnsi="宋体"/>
                <w:bCs/>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B574F15">
            <w:pPr>
              <w:snapToGrid w:val="0"/>
              <w:spacing w:before="50" w:after="50" w:line="360" w:lineRule="exact"/>
              <w:jc w:val="center"/>
              <w:rPr>
                <w:rFonts w:ascii="宋体" w:hAnsi="宋体"/>
                <w:bCs/>
                <w:color w:val="auto"/>
                <w:szCs w:val="21"/>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18AE5E30">
            <w:pPr>
              <w:snapToGrid w:val="0"/>
              <w:spacing w:before="50" w:after="50" w:line="360" w:lineRule="exact"/>
              <w:jc w:val="center"/>
              <w:rPr>
                <w:rFonts w:ascii="宋体" w:hAnsi="宋体"/>
                <w:color w:val="auto"/>
                <w:szCs w:val="21"/>
                <w:highlight w:val="none"/>
              </w:rPr>
            </w:pPr>
          </w:p>
        </w:tc>
        <w:tc>
          <w:tcPr>
            <w:tcW w:w="1855" w:type="dxa"/>
            <w:tcBorders>
              <w:top w:val="single" w:color="auto" w:sz="4" w:space="0"/>
              <w:left w:val="single" w:color="auto" w:sz="4" w:space="0"/>
              <w:bottom w:val="single" w:color="auto" w:sz="4" w:space="0"/>
              <w:right w:val="single" w:color="auto" w:sz="4" w:space="0"/>
            </w:tcBorders>
            <w:vAlign w:val="center"/>
          </w:tcPr>
          <w:p w14:paraId="1245C164">
            <w:pPr>
              <w:snapToGrid w:val="0"/>
              <w:spacing w:before="50" w:after="50" w:line="360" w:lineRule="exact"/>
              <w:jc w:val="center"/>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5DB0383">
            <w:pPr>
              <w:snapToGrid w:val="0"/>
              <w:spacing w:before="50" w:after="50" w:line="360" w:lineRule="exact"/>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14:paraId="2DDBBE2E">
            <w:pPr>
              <w:snapToGrid w:val="0"/>
              <w:spacing w:before="50" w:after="50" w:line="360" w:lineRule="exact"/>
              <w:jc w:val="center"/>
              <w:rPr>
                <w:rFonts w:ascii="宋体" w:hAnsi="宋体"/>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14:paraId="03699F72">
            <w:pPr>
              <w:snapToGrid w:val="0"/>
              <w:spacing w:before="50" w:after="50" w:line="360" w:lineRule="exact"/>
              <w:jc w:val="center"/>
              <w:rPr>
                <w:rFonts w:ascii="宋体" w:hAnsi="宋体"/>
                <w:color w:val="auto"/>
                <w:szCs w:val="21"/>
                <w:highlight w:val="none"/>
              </w:rPr>
            </w:pPr>
          </w:p>
        </w:tc>
      </w:tr>
      <w:tr w14:paraId="36956A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02EF2756">
            <w:pPr>
              <w:snapToGrid w:val="0"/>
              <w:spacing w:before="50" w:after="50" w:line="360" w:lineRule="exact"/>
              <w:jc w:val="center"/>
              <w:rPr>
                <w:rFonts w:ascii="宋体" w:hAnsi="宋体"/>
                <w:color w:val="auto"/>
                <w:szCs w:val="21"/>
                <w:highlight w:val="none"/>
              </w:rPr>
            </w:pPr>
            <w:r>
              <w:rPr>
                <w:rFonts w:hint="eastAsia" w:ascii="宋体" w:hAnsi="宋体"/>
                <w:color w:val="auto"/>
                <w:szCs w:val="21"/>
                <w:highlight w:val="none"/>
              </w:rPr>
              <w:t>…</w:t>
            </w:r>
          </w:p>
        </w:tc>
        <w:tc>
          <w:tcPr>
            <w:tcW w:w="1542" w:type="dxa"/>
            <w:tcBorders>
              <w:top w:val="single" w:color="auto" w:sz="4" w:space="0"/>
              <w:left w:val="single" w:color="auto" w:sz="4" w:space="0"/>
              <w:bottom w:val="single" w:color="auto" w:sz="4" w:space="0"/>
              <w:right w:val="single" w:color="auto" w:sz="4" w:space="0"/>
            </w:tcBorders>
            <w:vAlign w:val="center"/>
          </w:tcPr>
          <w:p w14:paraId="5DF8353E">
            <w:pPr>
              <w:snapToGrid w:val="0"/>
              <w:spacing w:before="50" w:after="50" w:line="360" w:lineRule="exact"/>
              <w:jc w:val="center"/>
              <w:rPr>
                <w:rFonts w:ascii="宋体" w:hAnsi="宋体"/>
                <w:bCs/>
                <w:color w:val="auto"/>
                <w:szCs w:val="21"/>
                <w:highlight w:val="none"/>
              </w:rPr>
            </w:pPr>
            <w:r>
              <w:rPr>
                <w:rFonts w:hint="eastAsia" w:ascii="宋体" w:hAnsi="宋体"/>
                <w:bCs/>
                <w:color w:val="auto"/>
                <w:szCs w:val="21"/>
                <w:highlight w:val="none"/>
              </w:rPr>
              <w:t>…</w:t>
            </w:r>
          </w:p>
        </w:tc>
        <w:tc>
          <w:tcPr>
            <w:tcW w:w="850" w:type="dxa"/>
            <w:tcBorders>
              <w:top w:val="single" w:color="auto" w:sz="4" w:space="0"/>
              <w:left w:val="single" w:color="auto" w:sz="4" w:space="0"/>
              <w:bottom w:val="single" w:color="auto" w:sz="4" w:space="0"/>
              <w:right w:val="single" w:color="auto" w:sz="4" w:space="0"/>
            </w:tcBorders>
            <w:vAlign w:val="center"/>
          </w:tcPr>
          <w:p w14:paraId="5762EC56">
            <w:pPr>
              <w:snapToGrid w:val="0"/>
              <w:spacing w:before="50" w:after="50" w:line="360" w:lineRule="exact"/>
              <w:jc w:val="center"/>
              <w:rPr>
                <w:rFonts w:ascii="宋体" w:hAnsi="宋体"/>
                <w:bCs/>
                <w:color w:val="auto"/>
                <w:szCs w:val="21"/>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318E4C9C">
            <w:pPr>
              <w:snapToGrid w:val="0"/>
              <w:spacing w:before="50" w:after="50" w:line="360" w:lineRule="exact"/>
              <w:jc w:val="center"/>
              <w:rPr>
                <w:rFonts w:ascii="宋体" w:hAnsi="宋体"/>
                <w:color w:val="auto"/>
                <w:szCs w:val="21"/>
                <w:highlight w:val="none"/>
              </w:rPr>
            </w:pPr>
          </w:p>
        </w:tc>
        <w:tc>
          <w:tcPr>
            <w:tcW w:w="1855" w:type="dxa"/>
            <w:tcBorders>
              <w:top w:val="single" w:color="auto" w:sz="4" w:space="0"/>
              <w:left w:val="single" w:color="auto" w:sz="4" w:space="0"/>
              <w:bottom w:val="single" w:color="auto" w:sz="4" w:space="0"/>
              <w:right w:val="single" w:color="auto" w:sz="4" w:space="0"/>
            </w:tcBorders>
            <w:vAlign w:val="center"/>
          </w:tcPr>
          <w:p w14:paraId="59EE32CA">
            <w:pPr>
              <w:snapToGrid w:val="0"/>
              <w:spacing w:before="50" w:after="50" w:line="360" w:lineRule="exact"/>
              <w:jc w:val="center"/>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03D0100">
            <w:pPr>
              <w:snapToGrid w:val="0"/>
              <w:spacing w:before="50" w:after="50" w:line="360" w:lineRule="exact"/>
              <w:jc w:val="center"/>
              <w:rPr>
                <w:rFonts w:ascii="宋体" w:hAnsi="宋体"/>
                <w:color w:val="auto"/>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14:paraId="261CFFDA">
            <w:pPr>
              <w:snapToGrid w:val="0"/>
              <w:spacing w:before="50" w:after="50" w:line="360" w:lineRule="exact"/>
              <w:jc w:val="center"/>
              <w:rPr>
                <w:rFonts w:ascii="宋体" w:hAnsi="宋体"/>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14:paraId="3ED1447F">
            <w:pPr>
              <w:snapToGrid w:val="0"/>
              <w:spacing w:before="50" w:after="50" w:line="360" w:lineRule="exact"/>
              <w:jc w:val="center"/>
              <w:rPr>
                <w:rFonts w:ascii="宋体" w:hAnsi="宋体"/>
                <w:color w:val="auto"/>
                <w:szCs w:val="21"/>
                <w:highlight w:val="none"/>
              </w:rPr>
            </w:pPr>
          </w:p>
        </w:tc>
      </w:tr>
      <w:tr w14:paraId="6F0B6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00" w:type="dxa"/>
            <w:gridSpan w:val="8"/>
            <w:tcBorders>
              <w:top w:val="single" w:color="auto" w:sz="4" w:space="0"/>
              <w:left w:val="single" w:color="auto" w:sz="4" w:space="0"/>
              <w:bottom w:val="single" w:color="auto" w:sz="4" w:space="0"/>
              <w:right w:val="single" w:color="auto" w:sz="4" w:space="0"/>
            </w:tcBorders>
            <w:vAlign w:val="center"/>
          </w:tcPr>
          <w:p w14:paraId="428EBDFD">
            <w:pPr>
              <w:snapToGrid w:val="0"/>
              <w:spacing w:before="50" w:after="50" w:line="360" w:lineRule="exact"/>
              <w:rPr>
                <w:rFonts w:ascii="宋体" w:hAnsi="宋体"/>
                <w:color w:val="auto"/>
                <w:szCs w:val="21"/>
                <w:highlight w:val="none"/>
                <w:u w:val="single"/>
              </w:rPr>
            </w:pPr>
            <w:r>
              <w:rPr>
                <w:rFonts w:hint="eastAsia" w:hAnsi="宋体"/>
                <w:color w:val="auto"/>
                <w:highlight w:val="none"/>
              </w:rPr>
              <w:t>分标</w:t>
            </w:r>
            <w:r>
              <w:rPr>
                <w:rFonts w:hint="eastAsia" w:hAnsi="宋体"/>
                <w:color w:val="auto"/>
                <w:highlight w:val="none"/>
                <w:u w:val="single"/>
              </w:rPr>
              <w:t xml:space="preserve">      </w:t>
            </w:r>
            <w:r>
              <w:rPr>
                <w:rFonts w:hint="eastAsia" w:ascii="宋体" w:hAnsi="宋体"/>
                <w:color w:val="auto"/>
                <w:szCs w:val="21"/>
                <w:highlight w:val="none"/>
              </w:rPr>
              <w:t>合计金额大写：                                              ￥</w:t>
            </w:r>
            <w:r>
              <w:rPr>
                <w:rFonts w:hint="eastAsia" w:ascii="宋体" w:hAnsi="宋体"/>
                <w:color w:val="auto"/>
                <w:szCs w:val="21"/>
                <w:highlight w:val="none"/>
                <w:u w:val="single"/>
              </w:rPr>
              <w:t xml:space="preserve">            </w:t>
            </w:r>
          </w:p>
        </w:tc>
      </w:tr>
    </w:tbl>
    <w:p w14:paraId="41839702">
      <w:pPr>
        <w:snapToGrid w:val="0"/>
        <w:spacing w:before="50" w:after="50"/>
        <w:jc w:val="left"/>
        <w:rPr>
          <w:rFonts w:ascii="宋体" w:hAnsi="宋体"/>
          <w:color w:val="auto"/>
          <w:szCs w:val="21"/>
          <w:highlight w:val="none"/>
        </w:rPr>
      </w:pPr>
    </w:p>
    <w:p w14:paraId="008A6371">
      <w:pPr>
        <w:snapToGrid w:val="0"/>
        <w:spacing w:line="24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注: </w:t>
      </w:r>
    </w:p>
    <w:p w14:paraId="5CEE96B5">
      <w:pPr>
        <w:snapToGrid w:val="0"/>
        <w:spacing w:line="24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1.报价一经涂改，应在涂改处加盖单位公章或者由法定代表人或授权委托人签字或签章，否则其投标作无效标处理。</w:t>
      </w:r>
    </w:p>
    <w:p w14:paraId="046AADC4">
      <w:pPr>
        <w:snapToGrid w:val="0"/>
        <w:spacing w:line="24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2.凡需用专用耗材的专用设备类采购项目，应按招标文件规定的耗材量或按耗材的常规试用量提供报价。</w:t>
      </w:r>
    </w:p>
    <w:p w14:paraId="036FA8B6">
      <w:pPr>
        <w:snapToGrid w:val="0"/>
        <w:spacing w:line="240" w:lineRule="exact"/>
        <w:jc w:val="left"/>
        <w:rPr>
          <w:rFonts w:ascii="宋体" w:hAnsi="宋体"/>
          <w:color w:val="auto"/>
          <w:szCs w:val="21"/>
          <w:highlight w:val="none"/>
        </w:rPr>
      </w:pPr>
      <w:r>
        <w:rPr>
          <w:rFonts w:hint="eastAsia" w:ascii="宋体" w:hAnsi="宋体"/>
          <w:color w:val="auto"/>
          <w:szCs w:val="21"/>
          <w:highlight w:val="none"/>
        </w:rPr>
        <w:t xml:space="preserve">    3.投标费用包括项目实施所需的人工费、运输费、安装调试费、制作投标文件费、税费及其他一切费用。</w:t>
      </w:r>
    </w:p>
    <w:p w14:paraId="58BF4741">
      <w:pPr>
        <w:snapToGrid w:val="0"/>
        <w:spacing w:line="24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4.以上报价应与“投标设备报价明细表”中的“投标总价”相一致。</w:t>
      </w:r>
    </w:p>
    <w:p w14:paraId="4A6543B1">
      <w:pPr>
        <w:snapToGrid w:val="0"/>
        <w:ind w:left="-2" w:leftChars="-1" w:right="-817" w:rightChars="-389" w:firstLine="420" w:firstLineChars="200"/>
        <w:rPr>
          <w:rFonts w:ascii="宋体" w:hAnsi="宋体"/>
          <w:color w:val="auto"/>
          <w:szCs w:val="21"/>
          <w:highlight w:val="none"/>
        </w:rPr>
      </w:pPr>
    </w:p>
    <w:p w14:paraId="63F082C0">
      <w:pPr>
        <w:snapToGrid w:val="0"/>
        <w:ind w:left="-2" w:leftChars="-1" w:right="-817" w:rightChars="-389" w:firstLine="420" w:firstLineChars="200"/>
        <w:rPr>
          <w:rFonts w:ascii="宋体" w:hAnsi="宋体"/>
          <w:color w:val="auto"/>
          <w:szCs w:val="21"/>
          <w:highlight w:val="none"/>
        </w:rPr>
      </w:pPr>
      <w:r>
        <w:rPr>
          <w:rFonts w:hint="eastAsia" w:ascii="宋体" w:hAnsi="宋体"/>
          <w:color w:val="auto"/>
          <w:szCs w:val="21"/>
          <w:highlight w:val="none"/>
        </w:rPr>
        <w:t>法定代表人或委托代理人</w:t>
      </w:r>
      <w:r>
        <w:rPr>
          <w:rFonts w:ascii="宋体" w:hAnsi="宋体"/>
          <w:color w:val="auto"/>
          <w:szCs w:val="21"/>
          <w:highlight w:val="none"/>
          <w:lang w:val="en"/>
        </w:rPr>
        <w:t>签字或签章</w:t>
      </w:r>
      <w:r>
        <w:rPr>
          <w:rFonts w:hint="eastAsia" w:ascii="宋体" w:hAnsi="宋体"/>
          <w:color w:val="auto"/>
          <w:szCs w:val="21"/>
          <w:highlight w:val="none"/>
        </w:rPr>
        <w:t xml:space="preserve">：                    </w:t>
      </w:r>
    </w:p>
    <w:p w14:paraId="72302ED3">
      <w:pPr>
        <w:snapToGrid w:val="0"/>
        <w:ind w:right="-817" w:rightChars="-389" w:firstLine="420" w:firstLineChars="200"/>
        <w:rPr>
          <w:rFonts w:ascii="宋体" w:hAnsi="宋体"/>
          <w:color w:val="auto"/>
          <w:szCs w:val="21"/>
          <w:highlight w:val="none"/>
        </w:rPr>
      </w:pPr>
    </w:p>
    <w:p w14:paraId="056C648A">
      <w:pPr>
        <w:snapToGrid w:val="0"/>
        <w:ind w:right="-817" w:rightChars="-389" w:firstLine="420" w:firstLineChars="200"/>
        <w:rPr>
          <w:rFonts w:ascii="宋体" w:hAnsi="宋体"/>
          <w:color w:val="auto"/>
          <w:szCs w:val="21"/>
          <w:highlight w:val="none"/>
        </w:rPr>
      </w:pPr>
      <w:r>
        <w:rPr>
          <w:rFonts w:hint="eastAsia" w:ascii="宋体" w:hAnsi="宋体"/>
          <w:color w:val="auto"/>
          <w:szCs w:val="21"/>
          <w:highlight w:val="none"/>
        </w:rPr>
        <w:t>投标人名称（盖章）：</w:t>
      </w:r>
    </w:p>
    <w:p w14:paraId="49B257FC">
      <w:pPr>
        <w:snapToGrid w:val="0"/>
        <w:jc w:val="center"/>
        <w:rPr>
          <w:color w:val="auto"/>
          <w:highlight w:val="none"/>
        </w:rPr>
      </w:pPr>
      <w:r>
        <w:rPr>
          <w:rFonts w:hint="eastAsia"/>
          <w:color w:val="auto"/>
          <w:highlight w:val="none"/>
        </w:rPr>
        <w:t xml:space="preserve">                            日期：  年   月   日 </w:t>
      </w:r>
    </w:p>
    <w:sectPr>
      <w:headerReference r:id="rId7" w:type="default"/>
      <w:footerReference r:id="rId8" w:type="default"/>
      <w:pgSz w:w="11906" w:h="16838"/>
      <w:pgMar w:top="1247" w:right="1247" w:bottom="1247" w:left="124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中等线简体 Regular">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汉仪大黑简 regular">
    <w:altName w:val="黑体"/>
    <w:panose1 w:val="00000000000000000000"/>
    <w:charset w:val="86"/>
    <w:family w:val="auto"/>
    <w:pitch w:val="default"/>
    <w:sig w:usb0="00000000" w:usb1="00000000" w:usb2="00000010" w:usb3="00000000" w:csb0="00040000" w:csb1="00000000"/>
  </w:font>
  <w:font w:name="方正黑体_GBK">
    <w:altName w:val="微软雅黑"/>
    <w:panose1 w:val="00000000000000000000"/>
    <w:charset w:val="00"/>
    <w:family w:val="auto"/>
    <w:pitch w:val="default"/>
    <w:sig w:usb0="00000000" w:usb1="00000000" w:usb2="00000000" w:usb3="00000000" w:csb0="00000000" w:csb1="00000000"/>
  </w:font>
  <w:font w:name="创艺简黑体">
    <w:altName w:val="黑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隶书">
    <w:altName w:val="宋体"/>
    <w:panose1 w:val="02010509060101010101"/>
    <w:charset w:val="86"/>
    <w:family w:val="modern"/>
    <w:pitch w:val="default"/>
    <w:sig w:usb0="00000000" w:usb1="00000000" w:usb2="00000010" w:usb3="00000000" w:csb0="00040000" w:csb1="00000000"/>
  </w:font>
  <w:font w:name="汉仪书宋二S">
    <w:altName w:val="宋体"/>
    <w:panose1 w:val="00000000000000000000"/>
    <w:charset w:val="86"/>
    <w:family w:val="auto"/>
    <w:pitch w:val="default"/>
    <w:sig w:usb0="00000000" w:usb1="00000000" w:usb2="00000016"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61F08">
    <w:pPr>
      <w:pStyle w:val="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F9B89">
    <w:pPr>
      <w:pStyle w:val="3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C10A5">
                          <w:pPr>
                            <w:pStyle w:val="3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1AC10A5">
                    <w:pPr>
                      <w:pStyle w:val="3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31B12">
    <w:pPr>
      <w:pStyle w:val="3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4790">
    <w:pPr>
      <w:pStyle w:val="35"/>
    </w:pPr>
    <w:r>
      <w:rPr>
        <w:rFonts w:hint="eastAsia"/>
      </w:rPr>
      <w:t xml:space="preserve">                                                           电梯采购及安装（GXZC2026-G1-000961-CGZX）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746CF"/>
    <w:multiLevelType w:val="singleLevel"/>
    <w:tmpl w:val="FFF746CF"/>
    <w:lvl w:ilvl="0" w:tentative="0">
      <w:start w:val="1"/>
      <w:numFmt w:val="decimal"/>
      <w:suff w:val="nothing"/>
      <w:lvlText w:val="%1、"/>
      <w:lvlJc w:val="left"/>
    </w:lvl>
  </w:abstractNum>
  <w:abstractNum w:abstractNumId="1">
    <w:nsid w:val="0000000C"/>
    <w:multiLevelType w:val="multilevel"/>
    <w:tmpl w:val="0000000C"/>
    <w:lvl w:ilvl="0" w:tentative="0">
      <w:start w:val="1"/>
      <w:numFmt w:val="decimal"/>
      <w:pStyle w:val="377"/>
      <w:suff w:val="nothing"/>
      <w:lvlText w:val="图%1　"/>
      <w:lvlJc w:val="left"/>
      <w:rPr>
        <w:rFonts w:hint="eastAsia" w:ascii="黑体" w:hAnsi="Times New Roman" w:eastAsia="黑体" w:cs="Times New Roman"/>
        <w:b w:val="0"/>
        <w:i w:val="0"/>
        <w:sz w:val="21"/>
      </w:rPr>
    </w:lvl>
    <w:lvl w:ilvl="1" w:tentative="0">
      <w:start w:val="1"/>
      <w:numFmt w:val="decimal"/>
      <w:suff w:val="nothing"/>
      <w:lvlText w:val="%1%2　"/>
      <w:lvlJc w:val="left"/>
      <w:rPr>
        <w:rFonts w:hint="default" w:ascii="Times New Roman" w:hAnsi="Times New Roman" w:eastAsia="黑体" w:cs="Times New Roman"/>
        <w:b w:val="0"/>
        <w:i w:val="0"/>
        <w:sz w:val="21"/>
      </w:rPr>
    </w:lvl>
    <w:lvl w:ilvl="2" w:tentative="0">
      <w:start w:val="1"/>
      <w:numFmt w:val="decimal"/>
      <w:suff w:val="nothing"/>
      <w:lvlText w:val="%1%2.%3　"/>
      <w:lvlJc w:val="left"/>
      <w:rPr>
        <w:rFonts w:hint="default" w:ascii="Times New Roman" w:hAnsi="Times New Roman" w:eastAsia="黑体" w:cs="Times New Roman"/>
        <w:b w:val="0"/>
        <w:i w:val="0"/>
        <w:sz w:val="21"/>
      </w:rPr>
    </w:lvl>
    <w:lvl w:ilvl="3" w:tentative="0">
      <w:start w:val="1"/>
      <w:numFmt w:val="decimal"/>
      <w:suff w:val="nothing"/>
      <w:lvlText w:val="%1%2.%3.%4　"/>
      <w:lvlJc w:val="left"/>
      <w:rPr>
        <w:rFonts w:hint="default" w:ascii="Times New Roman" w:hAnsi="Times New Roman" w:eastAsia="黑体" w:cs="Times New Roman"/>
        <w:b w:val="0"/>
        <w:i w:val="0"/>
        <w:sz w:val="21"/>
      </w:rPr>
    </w:lvl>
    <w:lvl w:ilvl="4" w:tentative="0">
      <w:start w:val="1"/>
      <w:numFmt w:val="decimal"/>
      <w:suff w:val="nothing"/>
      <w:lvlText w:val="%1%2.%3.%4.%5　"/>
      <w:lvlJc w:val="left"/>
      <w:rPr>
        <w:rFonts w:hint="default" w:ascii="Times New Roman" w:hAnsi="Times New Roman" w:eastAsia="黑体" w:cs="Times New Roman"/>
        <w:b w:val="0"/>
        <w:i w:val="0"/>
        <w:sz w:val="21"/>
      </w:rPr>
    </w:lvl>
    <w:lvl w:ilvl="5" w:tentative="0">
      <w:start w:val="1"/>
      <w:numFmt w:val="decimal"/>
      <w:suff w:val="nothing"/>
      <w:lvlText w:val="%1%2.%3.%4.%5.%6　"/>
      <w:lvlJc w:val="left"/>
      <w:rPr>
        <w:rFonts w:hint="default" w:ascii="Times New Roman" w:hAnsi="Times New Roman" w:eastAsia="黑体" w:cs="Times New Roman"/>
        <w:b w:val="0"/>
        <w:i w:val="0"/>
        <w:sz w:val="21"/>
      </w:rPr>
    </w:lvl>
    <w:lvl w:ilvl="6" w:tentative="0">
      <w:start w:val="1"/>
      <w:numFmt w:val="decimal"/>
      <w:suff w:val="nothing"/>
      <w:lvlText w:val="%1%2.%3.%4.%5.%6.%7　"/>
      <w:lvlJc w:val="left"/>
      <w:rPr>
        <w:rFonts w:hint="default" w:ascii="Times New Roman"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2">
    <w:nsid w:val="0000000D"/>
    <w:multiLevelType w:val="multilevel"/>
    <w:tmpl w:val="0000000D"/>
    <w:lvl w:ilvl="0" w:tentative="0">
      <w:start w:val="1"/>
      <w:numFmt w:val="none"/>
      <w:pStyle w:val="364"/>
      <w:suff w:val="nothing"/>
      <w:lvlText w:val="表2　"/>
      <w:lvlJc w:val="left"/>
      <w:pPr>
        <w:ind w:left="270"/>
      </w:pPr>
      <w:rPr>
        <w:rFonts w:hint="eastAsia" w:ascii="黑体" w:hAnsi="Times New Roman" w:eastAsia="黑体" w:cs="Times New Roman"/>
        <w:b w:val="0"/>
        <w:i w:val="0"/>
        <w:sz w:val="21"/>
      </w:rPr>
    </w:lvl>
    <w:lvl w:ilvl="1" w:tentative="0">
      <w:start w:val="1"/>
      <w:numFmt w:val="decimal"/>
      <w:lvlText w:val="%1.%2"/>
      <w:lvlJc w:val="left"/>
      <w:pPr>
        <w:tabs>
          <w:tab w:val="left" w:pos="992"/>
        </w:tabs>
        <w:ind w:left="992" w:hanging="567"/>
      </w:pPr>
      <w:rPr>
        <w:rFonts w:hint="eastAsia" w:cs="Times New Roman"/>
      </w:rPr>
    </w:lvl>
    <w:lvl w:ilvl="2" w:tentative="0">
      <w:start w:val="1"/>
      <w:numFmt w:val="decimal"/>
      <w:pStyle w:val="369"/>
      <w:lvlText w:val="%1.%2.%3"/>
      <w:lvlJc w:val="left"/>
      <w:pPr>
        <w:tabs>
          <w:tab w:val="left" w:pos="1418"/>
        </w:tabs>
        <w:ind w:left="1418" w:hanging="567"/>
      </w:pPr>
      <w:rPr>
        <w:rFonts w:hint="eastAsia" w:cs="Times New Roman"/>
      </w:rPr>
    </w:lvl>
    <w:lvl w:ilvl="3" w:tentative="0">
      <w:start w:val="1"/>
      <w:numFmt w:val="decimal"/>
      <w:pStyle w:val="368"/>
      <w:lvlText w:val="%1.%2.%3.%4"/>
      <w:lvlJc w:val="left"/>
      <w:pPr>
        <w:tabs>
          <w:tab w:val="left" w:pos="1984"/>
        </w:tabs>
        <w:ind w:left="1984" w:hanging="708"/>
      </w:pPr>
      <w:rPr>
        <w:rFonts w:hint="eastAsia" w:cs="Times New Roman"/>
      </w:rPr>
    </w:lvl>
    <w:lvl w:ilvl="4" w:tentative="0">
      <w:start w:val="1"/>
      <w:numFmt w:val="decimal"/>
      <w:pStyle w:val="367"/>
      <w:lvlText w:val="%1.%2.%3.%4.%5"/>
      <w:lvlJc w:val="left"/>
      <w:pPr>
        <w:tabs>
          <w:tab w:val="left" w:pos="2551"/>
        </w:tabs>
        <w:ind w:left="2551" w:hanging="850"/>
      </w:pPr>
      <w:rPr>
        <w:rFonts w:hint="eastAsia" w:cs="Times New Roman"/>
      </w:rPr>
    </w:lvl>
    <w:lvl w:ilvl="5" w:tentative="0">
      <w:start w:val="1"/>
      <w:numFmt w:val="decimal"/>
      <w:pStyle w:val="379"/>
      <w:lvlText w:val="%1.%2.%3.%4.%5.%6"/>
      <w:lvlJc w:val="left"/>
      <w:pPr>
        <w:tabs>
          <w:tab w:val="left" w:pos="3260"/>
        </w:tabs>
        <w:ind w:left="3260" w:hanging="1134"/>
      </w:pPr>
      <w:rPr>
        <w:rFonts w:hint="eastAsia" w:cs="Times New Roman"/>
      </w:rPr>
    </w:lvl>
    <w:lvl w:ilvl="6" w:tentative="0">
      <w:start w:val="1"/>
      <w:numFmt w:val="decimal"/>
      <w:pStyle w:val="389"/>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3">
    <w:nsid w:val="0000000E"/>
    <w:multiLevelType w:val="multilevel"/>
    <w:tmpl w:val="0000000E"/>
    <w:lvl w:ilvl="0" w:tentative="0">
      <w:start w:val="1"/>
      <w:numFmt w:val="none"/>
      <w:pStyle w:val="390"/>
      <w:lvlText w:val="%1·　"/>
      <w:lvlJc w:val="left"/>
      <w:pPr>
        <w:tabs>
          <w:tab w:val="left" w:pos="1140"/>
        </w:tabs>
        <w:ind w:left="737" w:hanging="317"/>
      </w:pPr>
      <w:rPr>
        <w:rFonts w:hint="eastAsia" w:ascii="宋体" w:hAnsi="Times New Roman" w:eastAsia="宋体" w:cs="Times New Roman"/>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F"/>
    <w:multiLevelType w:val="multilevel"/>
    <w:tmpl w:val="0000000F"/>
    <w:lvl w:ilvl="0" w:tentative="0">
      <w:start w:val="1"/>
      <w:numFmt w:val="upperLetter"/>
      <w:suff w:val="nothing"/>
      <w:lvlText w:val="附　录　%1"/>
      <w:lvlJc w:val="left"/>
      <w:pPr>
        <w:ind w:left="4310"/>
      </w:pPr>
      <w:rPr>
        <w:rFonts w:cs="Times New Roman"/>
      </w:rPr>
    </w:lvl>
    <w:lvl w:ilvl="1" w:tentative="0">
      <w:start w:val="1"/>
      <w:numFmt w:val="decimal"/>
      <w:pStyle w:val="347"/>
      <w:suff w:val="nothing"/>
      <w:lvlText w:val="%1.%2　"/>
      <w:lvlJc w:val="left"/>
      <w:pPr>
        <w:ind w:left="568"/>
      </w:pPr>
      <w:rPr>
        <w:rFonts w:hint="eastAsia" w:ascii="黑体" w:hAnsi="Times New Roman" w:eastAsia="黑体" w:cs="Times New Roman"/>
        <w:b w:val="0"/>
        <w:i w:val="0"/>
        <w:snapToGrid/>
        <w:spacing w:val="0"/>
        <w:w w:val="100"/>
        <w:kern w:val="21"/>
        <w:sz w:val="21"/>
      </w:rPr>
    </w:lvl>
    <w:lvl w:ilvl="2" w:tentative="0">
      <w:start w:val="1"/>
      <w:numFmt w:val="decimal"/>
      <w:pStyle w:val="383"/>
      <w:suff w:val="nothing"/>
      <w:lvlText w:val="%1.%2.%3　"/>
      <w:lvlJc w:val="left"/>
      <w:pPr>
        <w:ind w:left="5355"/>
      </w:pPr>
      <w:rPr>
        <w:rFonts w:hint="eastAsia" w:ascii="黑体" w:hAnsi="Times New Roman" w:eastAsia="黑体" w:cs="Times New Roman"/>
        <w:b w:val="0"/>
        <w:i w:val="0"/>
        <w:sz w:val="21"/>
      </w:rPr>
    </w:lvl>
    <w:lvl w:ilvl="3" w:tentative="0">
      <w:start w:val="1"/>
      <w:numFmt w:val="decimal"/>
      <w:pStyle w:val="354"/>
      <w:suff w:val="nothing"/>
      <w:lvlText w:val="%1.%2.%3.%4　"/>
      <w:lvlJc w:val="left"/>
      <w:pPr>
        <w:ind w:left="4620"/>
      </w:pPr>
      <w:rPr>
        <w:rFonts w:hint="eastAsia" w:ascii="黑体" w:hAnsi="Times New Roman" w:eastAsia="黑体" w:cs="Times New Roman"/>
        <w:b w:val="0"/>
        <w:i w:val="0"/>
        <w:sz w:val="21"/>
      </w:rPr>
    </w:lvl>
    <w:lvl w:ilvl="4" w:tentative="0">
      <w:start w:val="1"/>
      <w:numFmt w:val="decimal"/>
      <w:pStyle w:val="349"/>
      <w:suff w:val="nothing"/>
      <w:lvlText w:val="%1.%2.%3.%4.%5　"/>
      <w:lvlJc w:val="left"/>
      <w:pPr>
        <w:ind w:left="4620"/>
      </w:pPr>
      <w:rPr>
        <w:rFonts w:hint="eastAsia" w:ascii="黑体" w:hAnsi="Times New Roman" w:eastAsia="黑体" w:cs="Times New Roman"/>
        <w:b w:val="0"/>
        <w:i w:val="0"/>
        <w:sz w:val="21"/>
      </w:rPr>
    </w:lvl>
    <w:lvl w:ilvl="5" w:tentative="0">
      <w:start w:val="1"/>
      <w:numFmt w:val="decimal"/>
      <w:pStyle w:val="371"/>
      <w:suff w:val="nothing"/>
      <w:lvlText w:val="%1.%2.%3.%4.%5.%6　"/>
      <w:lvlJc w:val="left"/>
      <w:pPr>
        <w:ind w:left="4620"/>
      </w:pPr>
      <w:rPr>
        <w:rFonts w:hint="eastAsia" w:ascii="黑体" w:hAnsi="Times New Roman" w:eastAsia="黑体" w:cs="Times New Roman"/>
        <w:b w:val="0"/>
        <w:i w:val="0"/>
        <w:sz w:val="21"/>
      </w:rPr>
    </w:lvl>
    <w:lvl w:ilvl="6" w:tentative="0">
      <w:start w:val="1"/>
      <w:numFmt w:val="decimal"/>
      <w:pStyle w:val="348"/>
      <w:suff w:val="nothing"/>
      <w:lvlText w:val="%1.%2.%3.%4.%5.%6.%7　"/>
      <w:lvlJc w:val="left"/>
      <w:pPr>
        <w:ind w:left="4620"/>
      </w:pPr>
      <w:rPr>
        <w:rFonts w:hint="eastAsia" w:ascii="黑体" w:hAnsi="Times New Roman" w:eastAsia="黑体" w:cs="Times New Roman"/>
        <w:b w:val="0"/>
        <w:i w:val="0"/>
        <w:sz w:val="21"/>
      </w:rPr>
    </w:lvl>
    <w:lvl w:ilvl="7" w:tentative="0">
      <w:start w:val="1"/>
      <w:numFmt w:val="decimal"/>
      <w:lvlText w:val="%1.%2.%3.%4.%5.%6.%7.%8"/>
      <w:lvlJc w:val="left"/>
      <w:pPr>
        <w:tabs>
          <w:tab w:val="left" w:pos="9014"/>
        </w:tabs>
        <w:ind w:left="9014" w:hanging="1418"/>
      </w:pPr>
      <w:rPr>
        <w:rFonts w:hint="eastAsia" w:cs="Times New Roman"/>
      </w:rPr>
    </w:lvl>
    <w:lvl w:ilvl="8" w:tentative="0">
      <w:start w:val="1"/>
      <w:numFmt w:val="decimal"/>
      <w:lvlText w:val="%1.%2.%3.%4.%5.%6.%7.%8.%9"/>
      <w:lvlJc w:val="left"/>
      <w:pPr>
        <w:tabs>
          <w:tab w:val="left" w:pos="9722"/>
        </w:tabs>
        <w:ind w:left="9722" w:hanging="1700"/>
      </w:pPr>
      <w:rPr>
        <w:rFonts w:hint="eastAsia" w:cs="Times New Roman"/>
      </w:rPr>
    </w:lvl>
  </w:abstractNum>
  <w:abstractNum w:abstractNumId="5">
    <w:nsid w:val="00000010"/>
    <w:multiLevelType w:val="multilevel"/>
    <w:tmpl w:val="00000010"/>
    <w:lvl w:ilvl="0" w:tentative="0">
      <w:start w:val="1"/>
      <w:numFmt w:val="none"/>
      <w:pStyle w:val="360"/>
      <w:suff w:val="nothing"/>
      <w:lvlText w:val="　"/>
      <w:lvlJc w:val="left"/>
      <w:rPr>
        <w:rFonts w:hint="eastAsia" w:ascii="黑体" w:hAnsi="Times New Roman" w:eastAsia="黑体" w:cs="Times New Roman"/>
        <w:b w:val="0"/>
        <w:i w:val="0"/>
        <w:sz w:val="21"/>
      </w:rPr>
    </w:lvl>
    <w:lvl w:ilvl="1" w:tentative="0">
      <w:start w:val="1"/>
      <w:numFmt w:val="decimal"/>
      <w:isLgl/>
      <w:suff w:val="nothing"/>
      <w:lvlText w:val="%2　"/>
      <w:lvlJc w:val="left"/>
      <w:rPr>
        <w:rFonts w:hint="eastAsia" w:ascii="黑体" w:hAnsi="Times New Roman" w:eastAsia="黑体" w:cs="Times New Roman"/>
        <w:b w:val="0"/>
        <w:i w:val="0"/>
        <w:snapToGrid/>
        <w:spacing w:val="0"/>
        <w:w w:val="100"/>
        <w:kern w:val="21"/>
        <w:sz w:val="21"/>
      </w:rPr>
    </w:lvl>
    <w:lvl w:ilvl="2" w:tentative="0">
      <w:start w:val="1"/>
      <w:numFmt w:val="decimal"/>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6">
    <w:nsid w:val="00000011"/>
    <w:multiLevelType w:val="multilevel"/>
    <w:tmpl w:val="00000011"/>
    <w:lvl w:ilvl="0" w:tentative="0">
      <w:start w:val="1"/>
      <w:numFmt w:val="none"/>
      <w:pStyle w:val="363"/>
      <w:lvlText w:val="%1注："/>
      <w:lvlJc w:val="left"/>
      <w:pPr>
        <w:tabs>
          <w:tab w:val="left" w:pos="1140"/>
        </w:tabs>
        <w:ind w:left="840" w:hanging="420"/>
      </w:pPr>
      <w:rPr>
        <w:rFonts w:hint="eastAsia" w:ascii="宋体" w:hAnsi="Times New Roman" w:eastAsia="宋体" w:cs="Times New Roman"/>
        <w:b w:val="0"/>
        <w:i w:val="0"/>
        <w:sz w:val="18"/>
      </w:rPr>
    </w:lvl>
    <w:lvl w:ilvl="1" w:tentative="0">
      <w:start w:val="1"/>
      <w:numFmt w:val="decimal"/>
      <w:lvlText w:val="%2."/>
      <w:lvlJc w:val="left"/>
      <w:pPr>
        <w:tabs>
          <w:tab w:val="left" w:pos="840"/>
        </w:tabs>
        <w:ind w:left="840" w:hanging="420"/>
      </w:pPr>
      <w:rPr>
        <w:rFonts w:hint="eastAsia" w:cs="Times New Roman"/>
        <w:b w:val="0"/>
        <w:i w:val="0"/>
        <w:sz w:val="18"/>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0000012"/>
    <w:multiLevelType w:val="multilevel"/>
    <w:tmpl w:val="00000012"/>
    <w:lvl w:ilvl="0" w:tentative="0">
      <w:start w:val="1"/>
      <w:numFmt w:val="none"/>
      <w:pStyle w:val="380"/>
      <w:lvlText w:val="%1示例"/>
      <w:lvlJc w:val="left"/>
      <w:pPr>
        <w:tabs>
          <w:tab w:val="left" w:pos="1120"/>
        </w:tabs>
        <w:ind w:firstLine="400"/>
      </w:pPr>
      <w:rPr>
        <w:rFonts w:hint="eastAsia" w:ascii="宋体" w:eastAsia="宋体" w:cs="Times New Roman"/>
        <w:b w:val="0"/>
        <w:i w:val="0"/>
        <w:sz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0000013"/>
    <w:multiLevelType w:val="multilevel"/>
    <w:tmpl w:val="00000013"/>
    <w:lvl w:ilvl="0" w:tentative="0">
      <w:start w:val="1"/>
      <w:numFmt w:val="none"/>
      <w:pStyle w:val="346"/>
      <w:suff w:val="nothing"/>
      <w:lvlText w:val="%1"/>
      <w:lvlJc w:val="left"/>
      <w:rPr>
        <w:rFonts w:hint="default" w:ascii="Times New Roman" w:hAnsi="Times New Roman" w:cs="Times New Roman"/>
        <w:b/>
        <w:i w:val="0"/>
        <w:sz w:val="21"/>
      </w:rPr>
    </w:lvl>
    <w:lvl w:ilvl="1" w:tentative="0">
      <w:start w:val="1"/>
      <w:numFmt w:val="decimal"/>
      <w:pStyle w:val="329"/>
      <w:suff w:val="nothing"/>
      <w:lvlText w:val="%1%2　"/>
      <w:lvlJc w:val="left"/>
      <w:pPr>
        <w:ind w:left="993"/>
      </w:pPr>
      <w:rPr>
        <w:rFonts w:hint="eastAsia" w:ascii="黑体" w:hAnsi="Times New Roman" w:eastAsia="黑体" w:cs="Times New Roman"/>
        <w:b w:val="0"/>
        <w:i w:val="0"/>
        <w:sz w:val="21"/>
      </w:rPr>
    </w:lvl>
    <w:lvl w:ilvl="2" w:tentative="0">
      <w:start w:val="1"/>
      <w:numFmt w:val="decimal"/>
      <w:pStyle w:val="333"/>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pPr>
        <w:ind w:left="3402"/>
      </w:pPr>
      <w:rPr>
        <w:rFonts w:hint="eastAsia" w:ascii="黑体" w:hAnsi="Times New Roman" w:eastAsia="黑体" w:cs="Times New Roman"/>
        <w:b w:val="0"/>
        <w:i w:val="0"/>
        <w:sz w:val="21"/>
      </w:rPr>
    </w:lvl>
    <w:lvl w:ilvl="4" w:tentative="0">
      <w:start w:val="1"/>
      <w:numFmt w:val="decimal"/>
      <w:suff w:val="nothing"/>
      <w:lvlText w:val="%1%2.%3.%4.%5　"/>
      <w:lvlJc w:val="left"/>
      <w:pPr>
        <w:ind w:left="284"/>
      </w:pPr>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9">
    <w:nsid w:val="00000014"/>
    <w:multiLevelType w:val="multilevel"/>
    <w:tmpl w:val="00000014"/>
    <w:lvl w:ilvl="0" w:tentative="0">
      <w:start w:val="1"/>
      <w:numFmt w:val="none"/>
      <w:pStyle w:val="378"/>
      <w:lvlText w:val="%1——"/>
      <w:lvlJc w:val="left"/>
      <w:pPr>
        <w:tabs>
          <w:tab w:val="left" w:pos="1140"/>
        </w:tabs>
        <w:ind w:left="840"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11A3534B"/>
    <w:multiLevelType w:val="multilevel"/>
    <w:tmpl w:val="11A3534B"/>
    <w:lvl w:ilvl="0" w:tentative="0">
      <w:start w:val="1"/>
      <w:numFmt w:val="japaneseCounting"/>
      <w:pStyle w:val="345"/>
      <w:lvlText w:val="%1、"/>
      <w:lvlJc w:val="left"/>
      <w:pPr>
        <w:ind w:left="1356" w:hanging="720"/>
      </w:pPr>
      <w:rPr>
        <w:rFonts w:hint="default" w:cs="Times New Roman"/>
      </w:rPr>
    </w:lvl>
    <w:lvl w:ilvl="1" w:tentative="0">
      <w:start w:val="1"/>
      <w:numFmt w:val="lowerLetter"/>
      <w:lvlText w:val="%2)"/>
      <w:lvlJc w:val="left"/>
      <w:pPr>
        <w:ind w:left="1476" w:hanging="420"/>
      </w:pPr>
      <w:rPr>
        <w:rFonts w:cs="Times New Roman"/>
      </w:rPr>
    </w:lvl>
    <w:lvl w:ilvl="2" w:tentative="0">
      <w:start w:val="1"/>
      <w:numFmt w:val="lowerRoman"/>
      <w:lvlText w:val="%3."/>
      <w:lvlJc w:val="right"/>
      <w:pPr>
        <w:ind w:left="1896" w:hanging="420"/>
      </w:pPr>
      <w:rPr>
        <w:rFonts w:cs="Times New Roman"/>
      </w:rPr>
    </w:lvl>
    <w:lvl w:ilvl="3" w:tentative="0">
      <w:start w:val="1"/>
      <w:numFmt w:val="decimal"/>
      <w:pStyle w:val="334"/>
      <w:lvlText w:val="%4."/>
      <w:lvlJc w:val="left"/>
      <w:pPr>
        <w:ind w:left="2316" w:hanging="420"/>
      </w:pPr>
      <w:rPr>
        <w:rFonts w:cs="Times New Roman"/>
      </w:rPr>
    </w:lvl>
    <w:lvl w:ilvl="4" w:tentative="0">
      <w:start w:val="1"/>
      <w:numFmt w:val="lowerLetter"/>
      <w:lvlText w:val="%5)"/>
      <w:lvlJc w:val="left"/>
      <w:pPr>
        <w:ind w:left="2736" w:hanging="420"/>
      </w:pPr>
      <w:rPr>
        <w:rFonts w:cs="Times New Roman"/>
      </w:rPr>
    </w:lvl>
    <w:lvl w:ilvl="5" w:tentative="0">
      <w:start w:val="1"/>
      <w:numFmt w:val="lowerRoman"/>
      <w:pStyle w:val="358"/>
      <w:lvlText w:val="%6."/>
      <w:lvlJc w:val="right"/>
      <w:pPr>
        <w:ind w:left="3156" w:hanging="420"/>
      </w:pPr>
      <w:rPr>
        <w:rFonts w:cs="Times New Roman"/>
      </w:rPr>
    </w:lvl>
    <w:lvl w:ilvl="6" w:tentative="0">
      <w:start w:val="1"/>
      <w:numFmt w:val="decimal"/>
      <w:pStyle w:val="361"/>
      <w:lvlText w:val="%7."/>
      <w:lvlJc w:val="left"/>
      <w:pPr>
        <w:ind w:left="3576" w:hanging="420"/>
      </w:pPr>
      <w:rPr>
        <w:rFonts w:cs="Times New Roman"/>
      </w:rPr>
    </w:lvl>
    <w:lvl w:ilvl="7" w:tentative="0">
      <w:start w:val="1"/>
      <w:numFmt w:val="lowerLetter"/>
      <w:lvlText w:val="%8)"/>
      <w:lvlJc w:val="left"/>
      <w:pPr>
        <w:ind w:left="3996" w:hanging="420"/>
      </w:pPr>
      <w:rPr>
        <w:rFonts w:cs="Times New Roman"/>
      </w:rPr>
    </w:lvl>
    <w:lvl w:ilvl="8" w:tentative="0">
      <w:start w:val="1"/>
      <w:numFmt w:val="lowerRoman"/>
      <w:lvlText w:val="%9."/>
      <w:lvlJc w:val="right"/>
      <w:pPr>
        <w:ind w:left="4416" w:hanging="420"/>
      </w:pPr>
      <w:rPr>
        <w:rFonts w:cs="Times New Roman"/>
      </w:rPr>
    </w:lvl>
  </w:abstractNum>
  <w:abstractNum w:abstractNumId="11">
    <w:nsid w:val="54CB48CB"/>
    <w:multiLevelType w:val="multilevel"/>
    <w:tmpl w:val="54CB48CB"/>
    <w:lvl w:ilvl="0" w:tentative="0">
      <w:start w:val="3"/>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FFE5E10"/>
    <w:multiLevelType w:val="singleLevel"/>
    <w:tmpl w:val="7FFE5E10"/>
    <w:lvl w:ilvl="0" w:tentative="0">
      <w:start w:val="3"/>
      <w:numFmt w:val="decimal"/>
      <w:suff w:val="nothing"/>
      <w:lvlText w:val="%1、"/>
      <w:lvlJc w:val="left"/>
    </w:lvl>
  </w:abstractNum>
  <w:num w:numId="1">
    <w:abstractNumId w:val="8"/>
  </w:num>
  <w:num w:numId="2">
    <w:abstractNumId w:val="10"/>
  </w:num>
  <w:num w:numId="3">
    <w:abstractNumId w:val="4"/>
  </w:num>
  <w:num w:numId="4">
    <w:abstractNumId w:val="5"/>
  </w:num>
  <w:num w:numId="5">
    <w:abstractNumId w:val="6"/>
  </w:num>
  <w:num w:numId="6">
    <w:abstractNumId w:val="2"/>
  </w:num>
  <w:num w:numId="7">
    <w:abstractNumId w:val="1"/>
  </w:num>
  <w:num w:numId="8">
    <w:abstractNumId w:val="9"/>
  </w:num>
  <w:num w:numId="9">
    <w:abstractNumId w:val="7"/>
  </w:num>
  <w:num w:numId="10">
    <w:abstractNumId w:val="3"/>
  </w:num>
  <w:num w:numId="11">
    <w:abstractNumId w:val="1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3C7"/>
    <w:rsid w:val="00000EDA"/>
    <w:rsid w:val="000017C3"/>
    <w:rsid w:val="00001919"/>
    <w:rsid w:val="00002671"/>
    <w:rsid w:val="00004396"/>
    <w:rsid w:val="00004C13"/>
    <w:rsid w:val="00004D59"/>
    <w:rsid w:val="00005283"/>
    <w:rsid w:val="000067E7"/>
    <w:rsid w:val="00011AD2"/>
    <w:rsid w:val="00011C3E"/>
    <w:rsid w:val="0001201E"/>
    <w:rsid w:val="00013C5C"/>
    <w:rsid w:val="00014485"/>
    <w:rsid w:val="000146BC"/>
    <w:rsid w:val="00014BA9"/>
    <w:rsid w:val="00014BC4"/>
    <w:rsid w:val="00014CBE"/>
    <w:rsid w:val="00015623"/>
    <w:rsid w:val="00015696"/>
    <w:rsid w:val="000158AC"/>
    <w:rsid w:val="00015FF2"/>
    <w:rsid w:val="00017214"/>
    <w:rsid w:val="00017E56"/>
    <w:rsid w:val="00020F29"/>
    <w:rsid w:val="00023147"/>
    <w:rsid w:val="00023833"/>
    <w:rsid w:val="00023848"/>
    <w:rsid w:val="00024F23"/>
    <w:rsid w:val="00026CF3"/>
    <w:rsid w:val="00027888"/>
    <w:rsid w:val="000307D3"/>
    <w:rsid w:val="000334B4"/>
    <w:rsid w:val="000337D0"/>
    <w:rsid w:val="0003403D"/>
    <w:rsid w:val="00034A87"/>
    <w:rsid w:val="00034D60"/>
    <w:rsid w:val="0003559E"/>
    <w:rsid w:val="00035BD8"/>
    <w:rsid w:val="0003651C"/>
    <w:rsid w:val="000366A6"/>
    <w:rsid w:val="00036A22"/>
    <w:rsid w:val="00040D5A"/>
    <w:rsid w:val="000422F8"/>
    <w:rsid w:val="0004284C"/>
    <w:rsid w:val="0004291C"/>
    <w:rsid w:val="0004402C"/>
    <w:rsid w:val="000442BF"/>
    <w:rsid w:val="000446BB"/>
    <w:rsid w:val="00044DA1"/>
    <w:rsid w:val="00044DA7"/>
    <w:rsid w:val="0004500B"/>
    <w:rsid w:val="00045C4F"/>
    <w:rsid w:val="000470EA"/>
    <w:rsid w:val="0004733C"/>
    <w:rsid w:val="0005023E"/>
    <w:rsid w:val="0005054B"/>
    <w:rsid w:val="000507E6"/>
    <w:rsid w:val="00050ADD"/>
    <w:rsid w:val="000527AA"/>
    <w:rsid w:val="00053526"/>
    <w:rsid w:val="00053753"/>
    <w:rsid w:val="00054FBB"/>
    <w:rsid w:val="000562EF"/>
    <w:rsid w:val="00060C9D"/>
    <w:rsid w:val="000618AE"/>
    <w:rsid w:val="00061B0C"/>
    <w:rsid w:val="00062553"/>
    <w:rsid w:val="00062640"/>
    <w:rsid w:val="00062A76"/>
    <w:rsid w:val="0006301F"/>
    <w:rsid w:val="00063C24"/>
    <w:rsid w:val="00064A98"/>
    <w:rsid w:val="00065A2E"/>
    <w:rsid w:val="00071134"/>
    <w:rsid w:val="000715C5"/>
    <w:rsid w:val="0007249F"/>
    <w:rsid w:val="000741DF"/>
    <w:rsid w:val="000747D4"/>
    <w:rsid w:val="00074E70"/>
    <w:rsid w:val="000763D2"/>
    <w:rsid w:val="00076604"/>
    <w:rsid w:val="00081973"/>
    <w:rsid w:val="00082306"/>
    <w:rsid w:val="00082606"/>
    <w:rsid w:val="000829EE"/>
    <w:rsid w:val="00082A8D"/>
    <w:rsid w:val="00082D83"/>
    <w:rsid w:val="000832D6"/>
    <w:rsid w:val="00085330"/>
    <w:rsid w:val="000854EF"/>
    <w:rsid w:val="00087650"/>
    <w:rsid w:val="00087B32"/>
    <w:rsid w:val="00090750"/>
    <w:rsid w:val="0009307B"/>
    <w:rsid w:val="000930FE"/>
    <w:rsid w:val="00093182"/>
    <w:rsid w:val="000936B3"/>
    <w:rsid w:val="0009412D"/>
    <w:rsid w:val="000943A9"/>
    <w:rsid w:val="0009469C"/>
    <w:rsid w:val="0009496A"/>
    <w:rsid w:val="00095FB4"/>
    <w:rsid w:val="00096B47"/>
    <w:rsid w:val="00097764"/>
    <w:rsid w:val="00097942"/>
    <w:rsid w:val="000979F1"/>
    <w:rsid w:val="000A10B2"/>
    <w:rsid w:val="000A11B6"/>
    <w:rsid w:val="000A18EB"/>
    <w:rsid w:val="000A1F77"/>
    <w:rsid w:val="000A4246"/>
    <w:rsid w:val="000A5C50"/>
    <w:rsid w:val="000A5E3C"/>
    <w:rsid w:val="000A5EDB"/>
    <w:rsid w:val="000A6667"/>
    <w:rsid w:val="000A699E"/>
    <w:rsid w:val="000A73A0"/>
    <w:rsid w:val="000B0EE7"/>
    <w:rsid w:val="000B0EF4"/>
    <w:rsid w:val="000B2E3B"/>
    <w:rsid w:val="000B2E66"/>
    <w:rsid w:val="000B3467"/>
    <w:rsid w:val="000B3972"/>
    <w:rsid w:val="000B47D8"/>
    <w:rsid w:val="000B4849"/>
    <w:rsid w:val="000B5197"/>
    <w:rsid w:val="000B522B"/>
    <w:rsid w:val="000B575D"/>
    <w:rsid w:val="000B6654"/>
    <w:rsid w:val="000B7A17"/>
    <w:rsid w:val="000C0023"/>
    <w:rsid w:val="000C0A4D"/>
    <w:rsid w:val="000C0BB8"/>
    <w:rsid w:val="000C1A69"/>
    <w:rsid w:val="000C2614"/>
    <w:rsid w:val="000C2F7E"/>
    <w:rsid w:val="000C3F87"/>
    <w:rsid w:val="000C443C"/>
    <w:rsid w:val="000D0113"/>
    <w:rsid w:val="000D09E9"/>
    <w:rsid w:val="000D14DE"/>
    <w:rsid w:val="000D266E"/>
    <w:rsid w:val="000D2B35"/>
    <w:rsid w:val="000D2C9A"/>
    <w:rsid w:val="000D41E6"/>
    <w:rsid w:val="000D4886"/>
    <w:rsid w:val="000D4D2F"/>
    <w:rsid w:val="000D4FF6"/>
    <w:rsid w:val="000D6114"/>
    <w:rsid w:val="000D791A"/>
    <w:rsid w:val="000E44C2"/>
    <w:rsid w:val="000E5C74"/>
    <w:rsid w:val="000E616D"/>
    <w:rsid w:val="000F0207"/>
    <w:rsid w:val="000F04A1"/>
    <w:rsid w:val="000F06AF"/>
    <w:rsid w:val="000F0CDD"/>
    <w:rsid w:val="000F21AB"/>
    <w:rsid w:val="000F22D5"/>
    <w:rsid w:val="000F2305"/>
    <w:rsid w:val="000F3343"/>
    <w:rsid w:val="000F3C5E"/>
    <w:rsid w:val="000F437A"/>
    <w:rsid w:val="000F52C7"/>
    <w:rsid w:val="000F6D5A"/>
    <w:rsid w:val="000F78E8"/>
    <w:rsid w:val="00101B39"/>
    <w:rsid w:val="00102D4D"/>
    <w:rsid w:val="00103E6E"/>
    <w:rsid w:val="00103ED1"/>
    <w:rsid w:val="00104282"/>
    <w:rsid w:val="001053FF"/>
    <w:rsid w:val="00107742"/>
    <w:rsid w:val="00107CA9"/>
    <w:rsid w:val="00107FAF"/>
    <w:rsid w:val="00110645"/>
    <w:rsid w:val="00111011"/>
    <w:rsid w:val="001111AB"/>
    <w:rsid w:val="00111C88"/>
    <w:rsid w:val="0011300A"/>
    <w:rsid w:val="001153F3"/>
    <w:rsid w:val="00115F24"/>
    <w:rsid w:val="00117043"/>
    <w:rsid w:val="00117E54"/>
    <w:rsid w:val="001209A0"/>
    <w:rsid w:val="001212F2"/>
    <w:rsid w:val="00121785"/>
    <w:rsid w:val="00122A1A"/>
    <w:rsid w:val="0012314B"/>
    <w:rsid w:val="00125159"/>
    <w:rsid w:val="00125B28"/>
    <w:rsid w:val="00125B45"/>
    <w:rsid w:val="00125B4B"/>
    <w:rsid w:val="00125B6E"/>
    <w:rsid w:val="00125BFD"/>
    <w:rsid w:val="00126628"/>
    <w:rsid w:val="00127037"/>
    <w:rsid w:val="00127CD1"/>
    <w:rsid w:val="00130A11"/>
    <w:rsid w:val="0013168C"/>
    <w:rsid w:val="001322AC"/>
    <w:rsid w:val="00133E3B"/>
    <w:rsid w:val="001347B6"/>
    <w:rsid w:val="00135F9C"/>
    <w:rsid w:val="001376A6"/>
    <w:rsid w:val="0013780B"/>
    <w:rsid w:val="00142CBD"/>
    <w:rsid w:val="00142DD5"/>
    <w:rsid w:val="00143E1C"/>
    <w:rsid w:val="00144528"/>
    <w:rsid w:val="001475F5"/>
    <w:rsid w:val="00150F02"/>
    <w:rsid w:val="001512DF"/>
    <w:rsid w:val="0015289F"/>
    <w:rsid w:val="00152F33"/>
    <w:rsid w:val="00155195"/>
    <w:rsid w:val="00155AE7"/>
    <w:rsid w:val="0015619D"/>
    <w:rsid w:val="0015733F"/>
    <w:rsid w:val="001609A8"/>
    <w:rsid w:val="00160D7A"/>
    <w:rsid w:val="00161F35"/>
    <w:rsid w:val="00162A16"/>
    <w:rsid w:val="00162DF0"/>
    <w:rsid w:val="001633EA"/>
    <w:rsid w:val="00163BFD"/>
    <w:rsid w:val="001640C5"/>
    <w:rsid w:val="001640CF"/>
    <w:rsid w:val="0016484E"/>
    <w:rsid w:val="00164C45"/>
    <w:rsid w:val="00165788"/>
    <w:rsid w:val="00166082"/>
    <w:rsid w:val="00166112"/>
    <w:rsid w:val="0016797F"/>
    <w:rsid w:val="00167F01"/>
    <w:rsid w:val="00170D3B"/>
    <w:rsid w:val="00171FC9"/>
    <w:rsid w:val="0017296F"/>
    <w:rsid w:val="00172A27"/>
    <w:rsid w:val="00172ACF"/>
    <w:rsid w:val="00172E18"/>
    <w:rsid w:val="001736D1"/>
    <w:rsid w:val="00174295"/>
    <w:rsid w:val="00174CE7"/>
    <w:rsid w:val="00174F75"/>
    <w:rsid w:val="0017603B"/>
    <w:rsid w:val="00176270"/>
    <w:rsid w:val="00177714"/>
    <w:rsid w:val="00182610"/>
    <w:rsid w:val="00182CAF"/>
    <w:rsid w:val="00183499"/>
    <w:rsid w:val="00183CB1"/>
    <w:rsid w:val="0018418C"/>
    <w:rsid w:val="00184BD2"/>
    <w:rsid w:val="00184DDC"/>
    <w:rsid w:val="00185D1C"/>
    <w:rsid w:val="00186819"/>
    <w:rsid w:val="00186E22"/>
    <w:rsid w:val="0019067C"/>
    <w:rsid w:val="001932A9"/>
    <w:rsid w:val="001933F1"/>
    <w:rsid w:val="001937F8"/>
    <w:rsid w:val="00193D1B"/>
    <w:rsid w:val="00193DE1"/>
    <w:rsid w:val="001947CE"/>
    <w:rsid w:val="00194E1A"/>
    <w:rsid w:val="001952FD"/>
    <w:rsid w:val="001A04EC"/>
    <w:rsid w:val="001A0961"/>
    <w:rsid w:val="001A1E4D"/>
    <w:rsid w:val="001A2221"/>
    <w:rsid w:val="001A2B79"/>
    <w:rsid w:val="001A4768"/>
    <w:rsid w:val="001A5903"/>
    <w:rsid w:val="001A5ED0"/>
    <w:rsid w:val="001A6383"/>
    <w:rsid w:val="001A6B95"/>
    <w:rsid w:val="001A6C7E"/>
    <w:rsid w:val="001A6D77"/>
    <w:rsid w:val="001A75B7"/>
    <w:rsid w:val="001B005D"/>
    <w:rsid w:val="001B0695"/>
    <w:rsid w:val="001B074A"/>
    <w:rsid w:val="001B1069"/>
    <w:rsid w:val="001B2E6A"/>
    <w:rsid w:val="001B33BA"/>
    <w:rsid w:val="001B3BF0"/>
    <w:rsid w:val="001B4360"/>
    <w:rsid w:val="001B4495"/>
    <w:rsid w:val="001B4800"/>
    <w:rsid w:val="001B5297"/>
    <w:rsid w:val="001B5A88"/>
    <w:rsid w:val="001C05B5"/>
    <w:rsid w:val="001C06A6"/>
    <w:rsid w:val="001C086A"/>
    <w:rsid w:val="001C2BD6"/>
    <w:rsid w:val="001C2E72"/>
    <w:rsid w:val="001C322F"/>
    <w:rsid w:val="001C399D"/>
    <w:rsid w:val="001C3AF8"/>
    <w:rsid w:val="001C4B50"/>
    <w:rsid w:val="001C5804"/>
    <w:rsid w:val="001C61F9"/>
    <w:rsid w:val="001C6427"/>
    <w:rsid w:val="001C7A99"/>
    <w:rsid w:val="001C7CE1"/>
    <w:rsid w:val="001D06DF"/>
    <w:rsid w:val="001D08F3"/>
    <w:rsid w:val="001D0C15"/>
    <w:rsid w:val="001D1658"/>
    <w:rsid w:val="001D1C9E"/>
    <w:rsid w:val="001D2633"/>
    <w:rsid w:val="001D45D0"/>
    <w:rsid w:val="001D5FDA"/>
    <w:rsid w:val="001D6DEF"/>
    <w:rsid w:val="001E07B6"/>
    <w:rsid w:val="001E0EB3"/>
    <w:rsid w:val="001E19C4"/>
    <w:rsid w:val="001E25E8"/>
    <w:rsid w:val="001E2788"/>
    <w:rsid w:val="001E2958"/>
    <w:rsid w:val="001E303D"/>
    <w:rsid w:val="001E46C5"/>
    <w:rsid w:val="001E4813"/>
    <w:rsid w:val="001E4BE1"/>
    <w:rsid w:val="001E4D60"/>
    <w:rsid w:val="001E5155"/>
    <w:rsid w:val="001E5C81"/>
    <w:rsid w:val="001E6ADD"/>
    <w:rsid w:val="001F1A52"/>
    <w:rsid w:val="001F1DEF"/>
    <w:rsid w:val="001F287E"/>
    <w:rsid w:val="001F5810"/>
    <w:rsid w:val="001F58B4"/>
    <w:rsid w:val="001F6988"/>
    <w:rsid w:val="001F72D2"/>
    <w:rsid w:val="001F7775"/>
    <w:rsid w:val="001F7D02"/>
    <w:rsid w:val="002007F6"/>
    <w:rsid w:val="00200AE1"/>
    <w:rsid w:val="00201C4F"/>
    <w:rsid w:val="00202F4F"/>
    <w:rsid w:val="00203CC0"/>
    <w:rsid w:val="00204D49"/>
    <w:rsid w:val="0020732B"/>
    <w:rsid w:val="00207435"/>
    <w:rsid w:val="00207CB8"/>
    <w:rsid w:val="00211702"/>
    <w:rsid w:val="00213241"/>
    <w:rsid w:val="00213300"/>
    <w:rsid w:val="0021391C"/>
    <w:rsid w:val="00213EA5"/>
    <w:rsid w:val="00214AF2"/>
    <w:rsid w:val="00215005"/>
    <w:rsid w:val="00220DB2"/>
    <w:rsid w:val="00221419"/>
    <w:rsid w:val="0022260A"/>
    <w:rsid w:val="00223D26"/>
    <w:rsid w:val="00224E2A"/>
    <w:rsid w:val="002258AD"/>
    <w:rsid w:val="002274F2"/>
    <w:rsid w:val="0022764F"/>
    <w:rsid w:val="00232AE2"/>
    <w:rsid w:val="002333EE"/>
    <w:rsid w:val="00234937"/>
    <w:rsid w:val="0023770F"/>
    <w:rsid w:val="00237E28"/>
    <w:rsid w:val="00240EE4"/>
    <w:rsid w:val="002422C3"/>
    <w:rsid w:val="00242BC5"/>
    <w:rsid w:val="002432DE"/>
    <w:rsid w:val="00243638"/>
    <w:rsid w:val="00243EB5"/>
    <w:rsid w:val="00243FC3"/>
    <w:rsid w:val="002455D7"/>
    <w:rsid w:val="0024586F"/>
    <w:rsid w:val="002464B4"/>
    <w:rsid w:val="002500BF"/>
    <w:rsid w:val="00250193"/>
    <w:rsid w:val="00251ED1"/>
    <w:rsid w:val="002521DD"/>
    <w:rsid w:val="00252277"/>
    <w:rsid w:val="002532FC"/>
    <w:rsid w:val="00253A94"/>
    <w:rsid w:val="002542DC"/>
    <w:rsid w:val="002549CC"/>
    <w:rsid w:val="00254E69"/>
    <w:rsid w:val="00254E7A"/>
    <w:rsid w:val="0025738A"/>
    <w:rsid w:val="00262374"/>
    <w:rsid w:val="002625D6"/>
    <w:rsid w:val="002638AA"/>
    <w:rsid w:val="00263EEC"/>
    <w:rsid w:val="00263F04"/>
    <w:rsid w:val="002641D5"/>
    <w:rsid w:val="0026544E"/>
    <w:rsid w:val="00265823"/>
    <w:rsid w:val="00267299"/>
    <w:rsid w:val="00267F02"/>
    <w:rsid w:val="002713ED"/>
    <w:rsid w:val="00272830"/>
    <w:rsid w:val="00273AAB"/>
    <w:rsid w:val="00275FA3"/>
    <w:rsid w:val="002760B1"/>
    <w:rsid w:val="002763B7"/>
    <w:rsid w:val="00277A24"/>
    <w:rsid w:val="00277F69"/>
    <w:rsid w:val="00280AFF"/>
    <w:rsid w:val="00280E24"/>
    <w:rsid w:val="00283505"/>
    <w:rsid w:val="00285419"/>
    <w:rsid w:val="00285F06"/>
    <w:rsid w:val="002875A0"/>
    <w:rsid w:val="0029119C"/>
    <w:rsid w:val="00291A71"/>
    <w:rsid w:val="00292D36"/>
    <w:rsid w:val="0029378C"/>
    <w:rsid w:val="00294744"/>
    <w:rsid w:val="002971C9"/>
    <w:rsid w:val="00297D9A"/>
    <w:rsid w:val="002A0001"/>
    <w:rsid w:val="002A0E5D"/>
    <w:rsid w:val="002A1A55"/>
    <w:rsid w:val="002A2585"/>
    <w:rsid w:val="002A2B54"/>
    <w:rsid w:val="002A2C8F"/>
    <w:rsid w:val="002A341F"/>
    <w:rsid w:val="002A3919"/>
    <w:rsid w:val="002A450A"/>
    <w:rsid w:val="002A4924"/>
    <w:rsid w:val="002A6057"/>
    <w:rsid w:val="002B0ACE"/>
    <w:rsid w:val="002B0E52"/>
    <w:rsid w:val="002B122F"/>
    <w:rsid w:val="002B12BB"/>
    <w:rsid w:val="002B1558"/>
    <w:rsid w:val="002B17E0"/>
    <w:rsid w:val="002B196C"/>
    <w:rsid w:val="002B54F9"/>
    <w:rsid w:val="002B57E2"/>
    <w:rsid w:val="002B612A"/>
    <w:rsid w:val="002B6C31"/>
    <w:rsid w:val="002B7584"/>
    <w:rsid w:val="002C1674"/>
    <w:rsid w:val="002C2064"/>
    <w:rsid w:val="002C3DEC"/>
    <w:rsid w:val="002C51AA"/>
    <w:rsid w:val="002C52D6"/>
    <w:rsid w:val="002C593C"/>
    <w:rsid w:val="002C5D12"/>
    <w:rsid w:val="002C67F9"/>
    <w:rsid w:val="002D200A"/>
    <w:rsid w:val="002D222C"/>
    <w:rsid w:val="002D2656"/>
    <w:rsid w:val="002D2A69"/>
    <w:rsid w:val="002D2AE4"/>
    <w:rsid w:val="002D3514"/>
    <w:rsid w:val="002D372A"/>
    <w:rsid w:val="002D387A"/>
    <w:rsid w:val="002D4BDB"/>
    <w:rsid w:val="002D50B3"/>
    <w:rsid w:val="002D5611"/>
    <w:rsid w:val="002D7517"/>
    <w:rsid w:val="002E04D1"/>
    <w:rsid w:val="002E0650"/>
    <w:rsid w:val="002E255B"/>
    <w:rsid w:val="002E2FCC"/>
    <w:rsid w:val="002E33FB"/>
    <w:rsid w:val="002E38C0"/>
    <w:rsid w:val="002E46EC"/>
    <w:rsid w:val="002E4D8C"/>
    <w:rsid w:val="002E4DAF"/>
    <w:rsid w:val="002E4E1D"/>
    <w:rsid w:val="002E58FB"/>
    <w:rsid w:val="002E66CC"/>
    <w:rsid w:val="002E6C25"/>
    <w:rsid w:val="002F08CF"/>
    <w:rsid w:val="002F0B22"/>
    <w:rsid w:val="002F1020"/>
    <w:rsid w:val="002F1122"/>
    <w:rsid w:val="002F3CCF"/>
    <w:rsid w:val="00300925"/>
    <w:rsid w:val="00301A62"/>
    <w:rsid w:val="00302580"/>
    <w:rsid w:val="003026D1"/>
    <w:rsid w:val="00302EF2"/>
    <w:rsid w:val="00303004"/>
    <w:rsid w:val="003050A8"/>
    <w:rsid w:val="0030546F"/>
    <w:rsid w:val="003057CE"/>
    <w:rsid w:val="00305F03"/>
    <w:rsid w:val="00307D6F"/>
    <w:rsid w:val="003107FF"/>
    <w:rsid w:val="003131EE"/>
    <w:rsid w:val="00313F5C"/>
    <w:rsid w:val="00313FC0"/>
    <w:rsid w:val="00315012"/>
    <w:rsid w:val="00316B6B"/>
    <w:rsid w:val="00317D85"/>
    <w:rsid w:val="0032013B"/>
    <w:rsid w:val="00320A79"/>
    <w:rsid w:val="00320C69"/>
    <w:rsid w:val="0032227F"/>
    <w:rsid w:val="00322607"/>
    <w:rsid w:val="00323AD5"/>
    <w:rsid w:val="00323CC8"/>
    <w:rsid w:val="0032450C"/>
    <w:rsid w:val="003248AA"/>
    <w:rsid w:val="00330512"/>
    <w:rsid w:val="00330F18"/>
    <w:rsid w:val="003317F8"/>
    <w:rsid w:val="00332289"/>
    <w:rsid w:val="0033322E"/>
    <w:rsid w:val="00333C50"/>
    <w:rsid w:val="003340AE"/>
    <w:rsid w:val="00334B5D"/>
    <w:rsid w:val="00334D87"/>
    <w:rsid w:val="00334E62"/>
    <w:rsid w:val="00335125"/>
    <w:rsid w:val="00336242"/>
    <w:rsid w:val="00337163"/>
    <w:rsid w:val="00337231"/>
    <w:rsid w:val="0034109C"/>
    <w:rsid w:val="00341BDA"/>
    <w:rsid w:val="00341E2A"/>
    <w:rsid w:val="003440F5"/>
    <w:rsid w:val="003443A2"/>
    <w:rsid w:val="00344E8D"/>
    <w:rsid w:val="003451D7"/>
    <w:rsid w:val="00346E8F"/>
    <w:rsid w:val="00347DF8"/>
    <w:rsid w:val="0035149C"/>
    <w:rsid w:val="003516D1"/>
    <w:rsid w:val="0035238F"/>
    <w:rsid w:val="003523CB"/>
    <w:rsid w:val="003534A9"/>
    <w:rsid w:val="003538AB"/>
    <w:rsid w:val="00353BDA"/>
    <w:rsid w:val="003549C8"/>
    <w:rsid w:val="0035698F"/>
    <w:rsid w:val="003574A0"/>
    <w:rsid w:val="00357B63"/>
    <w:rsid w:val="00357DB0"/>
    <w:rsid w:val="00360122"/>
    <w:rsid w:val="003614A1"/>
    <w:rsid w:val="00361FD0"/>
    <w:rsid w:val="0036275A"/>
    <w:rsid w:val="003631A4"/>
    <w:rsid w:val="00363443"/>
    <w:rsid w:val="00363D76"/>
    <w:rsid w:val="003643B5"/>
    <w:rsid w:val="00364972"/>
    <w:rsid w:val="00364E8E"/>
    <w:rsid w:val="00365E76"/>
    <w:rsid w:val="0036648E"/>
    <w:rsid w:val="00366F17"/>
    <w:rsid w:val="00366FA1"/>
    <w:rsid w:val="00367FFE"/>
    <w:rsid w:val="003704B8"/>
    <w:rsid w:val="00370A88"/>
    <w:rsid w:val="003714DE"/>
    <w:rsid w:val="003718F4"/>
    <w:rsid w:val="00371EAB"/>
    <w:rsid w:val="00372714"/>
    <w:rsid w:val="00372776"/>
    <w:rsid w:val="00372940"/>
    <w:rsid w:val="00372A69"/>
    <w:rsid w:val="00372FBD"/>
    <w:rsid w:val="003739ED"/>
    <w:rsid w:val="00373A61"/>
    <w:rsid w:val="00373C3E"/>
    <w:rsid w:val="00376E73"/>
    <w:rsid w:val="003773B0"/>
    <w:rsid w:val="00377ADC"/>
    <w:rsid w:val="00380308"/>
    <w:rsid w:val="0038061E"/>
    <w:rsid w:val="0038142F"/>
    <w:rsid w:val="00381F0B"/>
    <w:rsid w:val="003820B6"/>
    <w:rsid w:val="00382C5D"/>
    <w:rsid w:val="00382FBA"/>
    <w:rsid w:val="00383290"/>
    <w:rsid w:val="00383537"/>
    <w:rsid w:val="0038381A"/>
    <w:rsid w:val="00383B87"/>
    <w:rsid w:val="0038491B"/>
    <w:rsid w:val="0038543B"/>
    <w:rsid w:val="00387646"/>
    <w:rsid w:val="00387949"/>
    <w:rsid w:val="00387B16"/>
    <w:rsid w:val="00387DD5"/>
    <w:rsid w:val="0039053F"/>
    <w:rsid w:val="003917BE"/>
    <w:rsid w:val="00391F09"/>
    <w:rsid w:val="003924B6"/>
    <w:rsid w:val="003927B2"/>
    <w:rsid w:val="0039445C"/>
    <w:rsid w:val="003948E2"/>
    <w:rsid w:val="003957D4"/>
    <w:rsid w:val="00397666"/>
    <w:rsid w:val="00397842"/>
    <w:rsid w:val="00397A07"/>
    <w:rsid w:val="00397A3B"/>
    <w:rsid w:val="003A1B02"/>
    <w:rsid w:val="003A299A"/>
    <w:rsid w:val="003A2BBF"/>
    <w:rsid w:val="003A3052"/>
    <w:rsid w:val="003A32F2"/>
    <w:rsid w:val="003A3CA0"/>
    <w:rsid w:val="003A431C"/>
    <w:rsid w:val="003A482A"/>
    <w:rsid w:val="003A54AD"/>
    <w:rsid w:val="003A7DAC"/>
    <w:rsid w:val="003B018E"/>
    <w:rsid w:val="003B1C2F"/>
    <w:rsid w:val="003B27F0"/>
    <w:rsid w:val="003B3507"/>
    <w:rsid w:val="003B3809"/>
    <w:rsid w:val="003B3838"/>
    <w:rsid w:val="003B3D04"/>
    <w:rsid w:val="003B46E5"/>
    <w:rsid w:val="003B51CF"/>
    <w:rsid w:val="003B5711"/>
    <w:rsid w:val="003B5C52"/>
    <w:rsid w:val="003B7866"/>
    <w:rsid w:val="003B7BD6"/>
    <w:rsid w:val="003C07D5"/>
    <w:rsid w:val="003C0B48"/>
    <w:rsid w:val="003C0EB3"/>
    <w:rsid w:val="003C1358"/>
    <w:rsid w:val="003C2BFE"/>
    <w:rsid w:val="003C3788"/>
    <w:rsid w:val="003C48BC"/>
    <w:rsid w:val="003C530C"/>
    <w:rsid w:val="003C5EA1"/>
    <w:rsid w:val="003C7265"/>
    <w:rsid w:val="003C734A"/>
    <w:rsid w:val="003C74C8"/>
    <w:rsid w:val="003D108A"/>
    <w:rsid w:val="003D130B"/>
    <w:rsid w:val="003D1607"/>
    <w:rsid w:val="003D2E34"/>
    <w:rsid w:val="003D3464"/>
    <w:rsid w:val="003D492B"/>
    <w:rsid w:val="003D4EB8"/>
    <w:rsid w:val="003D5982"/>
    <w:rsid w:val="003D6F83"/>
    <w:rsid w:val="003D762B"/>
    <w:rsid w:val="003D7836"/>
    <w:rsid w:val="003D7E49"/>
    <w:rsid w:val="003E06C0"/>
    <w:rsid w:val="003E0FB9"/>
    <w:rsid w:val="003E1E52"/>
    <w:rsid w:val="003E2446"/>
    <w:rsid w:val="003E2518"/>
    <w:rsid w:val="003E2981"/>
    <w:rsid w:val="003E3EFD"/>
    <w:rsid w:val="003E439A"/>
    <w:rsid w:val="003E48FD"/>
    <w:rsid w:val="003E54C9"/>
    <w:rsid w:val="003E5C25"/>
    <w:rsid w:val="003E62E5"/>
    <w:rsid w:val="003F0145"/>
    <w:rsid w:val="003F1DE3"/>
    <w:rsid w:val="003F20E1"/>
    <w:rsid w:val="003F2427"/>
    <w:rsid w:val="003F277D"/>
    <w:rsid w:val="003F2796"/>
    <w:rsid w:val="003F3217"/>
    <w:rsid w:val="003F4D43"/>
    <w:rsid w:val="003F5163"/>
    <w:rsid w:val="003F615D"/>
    <w:rsid w:val="003F61A4"/>
    <w:rsid w:val="003F71C4"/>
    <w:rsid w:val="003F7909"/>
    <w:rsid w:val="00400379"/>
    <w:rsid w:val="00400B2E"/>
    <w:rsid w:val="00400F8C"/>
    <w:rsid w:val="0040151E"/>
    <w:rsid w:val="004016C2"/>
    <w:rsid w:val="00402B54"/>
    <w:rsid w:val="004031C6"/>
    <w:rsid w:val="0040458F"/>
    <w:rsid w:val="004053A8"/>
    <w:rsid w:val="00406077"/>
    <w:rsid w:val="00406571"/>
    <w:rsid w:val="0041009E"/>
    <w:rsid w:val="00410FAF"/>
    <w:rsid w:val="00410FFC"/>
    <w:rsid w:val="0041139C"/>
    <w:rsid w:val="00411CA5"/>
    <w:rsid w:val="00411FEC"/>
    <w:rsid w:val="0041219A"/>
    <w:rsid w:val="004124CC"/>
    <w:rsid w:val="00413681"/>
    <w:rsid w:val="00413DFF"/>
    <w:rsid w:val="00414C6C"/>
    <w:rsid w:val="00414EAA"/>
    <w:rsid w:val="00416230"/>
    <w:rsid w:val="00416445"/>
    <w:rsid w:val="00416798"/>
    <w:rsid w:val="00416C83"/>
    <w:rsid w:val="004170FF"/>
    <w:rsid w:val="00417398"/>
    <w:rsid w:val="0042124F"/>
    <w:rsid w:val="004228A8"/>
    <w:rsid w:val="00423128"/>
    <w:rsid w:val="00423F66"/>
    <w:rsid w:val="0042422E"/>
    <w:rsid w:val="00425143"/>
    <w:rsid w:val="0042729D"/>
    <w:rsid w:val="00427F4D"/>
    <w:rsid w:val="0043057C"/>
    <w:rsid w:val="00430D9A"/>
    <w:rsid w:val="00431284"/>
    <w:rsid w:val="00431CC3"/>
    <w:rsid w:val="004336CF"/>
    <w:rsid w:val="00434751"/>
    <w:rsid w:val="00434ADA"/>
    <w:rsid w:val="00434EB7"/>
    <w:rsid w:val="00435BE7"/>
    <w:rsid w:val="004376AF"/>
    <w:rsid w:val="004405E3"/>
    <w:rsid w:val="00440714"/>
    <w:rsid w:val="00440C91"/>
    <w:rsid w:val="004419E0"/>
    <w:rsid w:val="0044261F"/>
    <w:rsid w:val="00442A3F"/>
    <w:rsid w:val="00444624"/>
    <w:rsid w:val="00445824"/>
    <w:rsid w:val="00445D74"/>
    <w:rsid w:val="00445E36"/>
    <w:rsid w:val="0044604C"/>
    <w:rsid w:val="00446279"/>
    <w:rsid w:val="00446EE6"/>
    <w:rsid w:val="00447B07"/>
    <w:rsid w:val="00447CCA"/>
    <w:rsid w:val="004502F8"/>
    <w:rsid w:val="0045039B"/>
    <w:rsid w:val="004504B2"/>
    <w:rsid w:val="00450AF3"/>
    <w:rsid w:val="00450F72"/>
    <w:rsid w:val="0045174B"/>
    <w:rsid w:val="00453635"/>
    <w:rsid w:val="00453E28"/>
    <w:rsid w:val="00455D22"/>
    <w:rsid w:val="00456DB4"/>
    <w:rsid w:val="004574E8"/>
    <w:rsid w:val="00460BD9"/>
    <w:rsid w:val="00461477"/>
    <w:rsid w:val="00462ACF"/>
    <w:rsid w:val="00464E45"/>
    <w:rsid w:val="004653D1"/>
    <w:rsid w:val="00465522"/>
    <w:rsid w:val="0046681D"/>
    <w:rsid w:val="00466D7D"/>
    <w:rsid w:val="0046717F"/>
    <w:rsid w:val="004703A6"/>
    <w:rsid w:val="0047168C"/>
    <w:rsid w:val="004723D9"/>
    <w:rsid w:val="00474966"/>
    <w:rsid w:val="00475146"/>
    <w:rsid w:val="00475287"/>
    <w:rsid w:val="004752BF"/>
    <w:rsid w:val="00475842"/>
    <w:rsid w:val="004763B5"/>
    <w:rsid w:val="00476B45"/>
    <w:rsid w:val="00477B86"/>
    <w:rsid w:val="004800C6"/>
    <w:rsid w:val="0048031F"/>
    <w:rsid w:val="00480DFE"/>
    <w:rsid w:val="00481A9D"/>
    <w:rsid w:val="00481F43"/>
    <w:rsid w:val="00482240"/>
    <w:rsid w:val="0048257D"/>
    <w:rsid w:val="00482611"/>
    <w:rsid w:val="004831ED"/>
    <w:rsid w:val="00483214"/>
    <w:rsid w:val="00486836"/>
    <w:rsid w:val="004872A7"/>
    <w:rsid w:val="00487E8E"/>
    <w:rsid w:val="00490AF9"/>
    <w:rsid w:val="004910AB"/>
    <w:rsid w:val="004915FA"/>
    <w:rsid w:val="00492AC4"/>
    <w:rsid w:val="0049365C"/>
    <w:rsid w:val="0049414C"/>
    <w:rsid w:val="0049497E"/>
    <w:rsid w:val="00495949"/>
    <w:rsid w:val="004A17E0"/>
    <w:rsid w:val="004A1FCE"/>
    <w:rsid w:val="004A24B6"/>
    <w:rsid w:val="004A2EE5"/>
    <w:rsid w:val="004A3466"/>
    <w:rsid w:val="004A3AF0"/>
    <w:rsid w:val="004A4E25"/>
    <w:rsid w:val="004A6737"/>
    <w:rsid w:val="004A6C43"/>
    <w:rsid w:val="004A78EB"/>
    <w:rsid w:val="004A7967"/>
    <w:rsid w:val="004B0AD3"/>
    <w:rsid w:val="004B2058"/>
    <w:rsid w:val="004B5C40"/>
    <w:rsid w:val="004B712A"/>
    <w:rsid w:val="004B7DC5"/>
    <w:rsid w:val="004B7ED0"/>
    <w:rsid w:val="004B7EFC"/>
    <w:rsid w:val="004C09A8"/>
    <w:rsid w:val="004C0B44"/>
    <w:rsid w:val="004C0F22"/>
    <w:rsid w:val="004C4A60"/>
    <w:rsid w:val="004C5BC4"/>
    <w:rsid w:val="004C699F"/>
    <w:rsid w:val="004C7D32"/>
    <w:rsid w:val="004D16D0"/>
    <w:rsid w:val="004D1775"/>
    <w:rsid w:val="004D2368"/>
    <w:rsid w:val="004D36F1"/>
    <w:rsid w:val="004D382E"/>
    <w:rsid w:val="004D479B"/>
    <w:rsid w:val="004D4B54"/>
    <w:rsid w:val="004D63DA"/>
    <w:rsid w:val="004D7DEE"/>
    <w:rsid w:val="004E07E7"/>
    <w:rsid w:val="004E3687"/>
    <w:rsid w:val="004E3D4F"/>
    <w:rsid w:val="004E3F3F"/>
    <w:rsid w:val="004E4222"/>
    <w:rsid w:val="004E437F"/>
    <w:rsid w:val="004E497E"/>
    <w:rsid w:val="004E4C3C"/>
    <w:rsid w:val="004E538D"/>
    <w:rsid w:val="004E586F"/>
    <w:rsid w:val="004E5D4B"/>
    <w:rsid w:val="004E6242"/>
    <w:rsid w:val="004E7073"/>
    <w:rsid w:val="004E7AB8"/>
    <w:rsid w:val="004F0000"/>
    <w:rsid w:val="004F0761"/>
    <w:rsid w:val="004F110E"/>
    <w:rsid w:val="004F1D6B"/>
    <w:rsid w:val="004F1F13"/>
    <w:rsid w:val="004F3EF2"/>
    <w:rsid w:val="004F47BE"/>
    <w:rsid w:val="004F4C04"/>
    <w:rsid w:val="004F5982"/>
    <w:rsid w:val="004F68D6"/>
    <w:rsid w:val="004F788B"/>
    <w:rsid w:val="004F7F0C"/>
    <w:rsid w:val="0050058C"/>
    <w:rsid w:val="005013F3"/>
    <w:rsid w:val="005025B7"/>
    <w:rsid w:val="0050281A"/>
    <w:rsid w:val="00503CAD"/>
    <w:rsid w:val="00504A90"/>
    <w:rsid w:val="005066CB"/>
    <w:rsid w:val="00506B14"/>
    <w:rsid w:val="00506FC0"/>
    <w:rsid w:val="005109C7"/>
    <w:rsid w:val="0051342E"/>
    <w:rsid w:val="00514CD5"/>
    <w:rsid w:val="00515B23"/>
    <w:rsid w:val="00515F49"/>
    <w:rsid w:val="00517B67"/>
    <w:rsid w:val="00521BA8"/>
    <w:rsid w:val="00521BB0"/>
    <w:rsid w:val="005235B8"/>
    <w:rsid w:val="00523EBC"/>
    <w:rsid w:val="00524392"/>
    <w:rsid w:val="0052573A"/>
    <w:rsid w:val="005260D7"/>
    <w:rsid w:val="005261F9"/>
    <w:rsid w:val="00526B15"/>
    <w:rsid w:val="00526C1E"/>
    <w:rsid w:val="00526F58"/>
    <w:rsid w:val="00530A95"/>
    <w:rsid w:val="00530AE2"/>
    <w:rsid w:val="00531894"/>
    <w:rsid w:val="00532B9F"/>
    <w:rsid w:val="00534CE9"/>
    <w:rsid w:val="00535A2B"/>
    <w:rsid w:val="0053642C"/>
    <w:rsid w:val="00536A6F"/>
    <w:rsid w:val="00536B4F"/>
    <w:rsid w:val="00537DFF"/>
    <w:rsid w:val="005409A3"/>
    <w:rsid w:val="005409E8"/>
    <w:rsid w:val="005409EF"/>
    <w:rsid w:val="00541107"/>
    <w:rsid w:val="00541627"/>
    <w:rsid w:val="00544602"/>
    <w:rsid w:val="00544867"/>
    <w:rsid w:val="00544A71"/>
    <w:rsid w:val="0054547D"/>
    <w:rsid w:val="00545B42"/>
    <w:rsid w:val="00545E27"/>
    <w:rsid w:val="00545ED5"/>
    <w:rsid w:val="00545F75"/>
    <w:rsid w:val="0054639A"/>
    <w:rsid w:val="00547315"/>
    <w:rsid w:val="00550255"/>
    <w:rsid w:val="00550C8D"/>
    <w:rsid w:val="005516A9"/>
    <w:rsid w:val="005521FE"/>
    <w:rsid w:val="00552A48"/>
    <w:rsid w:val="00552B50"/>
    <w:rsid w:val="005534B5"/>
    <w:rsid w:val="00553C80"/>
    <w:rsid w:val="00553D8C"/>
    <w:rsid w:val="00555C24"/>
    <w:rsid w:val="005604FE"/>
    <w:rsid w:val="00560C8C"/>
    <w:rsid w:val="00563C1D"/>
    <w:rsid w:val="00564CB3"/>
    <w:rsid w:val="00565AF3"/>
    <w:rsid w:val="005660A6"/>
    <w:rsid w:val="00567A55"/>
    <w:rsid w:val="00570E82"/>
    <w:rsid w:val="00570F36"/>
    <w:rsid w:val="00571D56"/>
    <w:rsid w:val="00571FFB"/>
    <w:rsid w:val="005732FA"/>
    <w:rsid w:val="00574139"/>
    <w:rsid w:val="0057487B"/>
    <w:rsid w:val="00574EE6"/>
    <w:rsid w:val="005757F8"/>
    <w:rsid w:val="005759BE"/>
    <w:rsid w:val="00575B79"/>
    <w:rsid w:val="00576327"/>
    <w:rsid w:val="0057653C"/>
    <w:rsid w:val="005767FA"/>
    <w:rsid w:val="005768E7"/>
    <w:rsid w:val="005772C9"/>
    <w:rsid w:val="0058062F"/>
    <w:rsid w:val="00581027"/>
    <w:rsid w:val="005810A0"/>
    <w:rsid w:val="005813F1"/>
    <w:rsid w:val="00582974"/>
    <w:rsid w:val="00582BDC"/>
    <w:rsid w:val="00583343"/>
    <w:rsid w:val="005840B6"/>
    <w:rsid w:val="00584577"/>
    <w:rsid w:val="00584941"/>
    <w:rsid w:val="00586459"/>
    <w:rsid w:val="00586D82"/>
    <w:rsid w:val="00586DF8"/>
    <w:rsid w:val="00587FF5"/>
    <w:rsid w:val="0059009D"/>
    <w:rsid w:val="005913A3"/>
    <w:rsid w:val="00591F67"/>
    <w:rsid w:val="0059243D"/>
    <w:rsid w:val="005929B9"/>
    <w:rsid w:val="005938C6"/>
    <w:rsid w:val="005948A5"/>
    <w:rsid w:val="0059562C"/>
    <w:rsid w:val="00595BBA"/>
    <w:rsid w:val="00595DB2"/>
    <w:rsid w:val="00595E93"/>
    <w:rsid w:val="00596700"/>
    <w:rsid w:val="00596816"/>
    <w:rsid w:val="00596F0C"/>
    <w:rsid w:val="00596F3C"/>
    <w:rsid w:val="00596FA8"/>
    <w:rsid w:val="005975DC"/>
    <w:rsid w:val="00597AB0"/>
    <w:rsid w:val="005A0AB1"/>
    <w:rsid w:val="005A2724"/>
    <w:rsid w:val="005A2EBE"/>
    <w:rsid w:val="005A3911"/>
    <w:rsid w:val="005A41B5"/>
    <w:rsid w:val="005A42E7"/>
    <w:rsid w:val="005A48AE"/>
    <w:rsid w:val="005A499B"/>
    <w:rsid w:val="005A696F"/>
    <w:rsid w:val="005A71F8"/>
    <w:rsid w:val="005A7930"/>
    <w:rsid w:val="005A7977"/>
    <w:rsid w:val="005A7B07"/>
    <w:rsid w:val="005B1261"/>
    <w:rsid w:val="005B1B6D"/>
    <w:rsid w:val="005B30DF"/>
    <w:rsid w:val="005B5402"/>
    <w:rsid w:val="005B567F"/>
    <w:rsid w:val="005B6A17"/>
    <w:rsid w:val="005B6C77"/>
    <w:rsid w:val="005B799C"/>
    <w:rsid w:val="005C1094"/>
    <w:rsid w:val="005C29BB"/>
    <w:rsid w:val="005C31FF"/>
    <w:rsid w:val="005C35CC"/>
    <w:rsid w:val="005C4533"/>
    <w:rsid w:val="005C5119"/>
    <w:rsid w:val="005C57E9"/>
    <w:rsid w:val="005C701E"/>
    <w:rsid w:val="005C7903"/>
    <w:rsid w:val="005D0B87"/>
    <w:rsid w:val="005D0DB2"/>
    <w:rsid w:val="005D1E27"/>
    <w:rsid w:val="005D32EE"/>
    <w:rsid w:val="005D4C15"/>
    <w:rsid w:val="005D4E2D"/>
    <w:rsid w:val="005D7759"/>
    <w:rsid w:val="005E0367"/>
    <w:rsid w:val="005E0C8D"/>
    <w:rsid w:val="005E2FB4"/>
    <w:rsid w:val="005E4593"/>
    <w:rsid w:val="005E4905"/>
    <w:rsid w:val="005E4F18"/>
    <w:rsid w:val="005E7917"/>
    <w:rsid w:val="005F017F"/>
    <w:rsid w:val="005F0821"/>
    <w:rsid w:val="005F0A2F"/>
    <w:rsid w:val="005F0F9E"/>
    <w:rsid w:val="005F1C3F"/>
    <w:rsid w:val="005F391A"/>
    <w:rsid w:val="005F471A"/>
    <w:rsid w:val="005F509D"/>
    <w:rsid w:val="0060084D"/>
    <w:rsid w:val="00601712"/>
    <w:rsid w:val="00601B8E"/>
    <w:rsid w:val="006023C9"/>
    <w:rsid w:val="006034C4"/>
    <w:rsid w:val="00603578"/>
    <w:rsid w:val="00603631"/>
    <w:rsid w:val="00604293"/>
    <w:rsid w:val="00605147"/>
    <w:rsid w:val="0060694B"/>
    <w:rsid w:val="00606A3E"/>
    <w:rsid w:val="00610137"/>
    <w:rsid w:val="00612C5C"/>
    <w:rsid w:val="006138C6"/>
    <w:rsid w:val="00613F72"/>
    <w:rsid w:val="006144B1"/>
    <w:rsid w:val="00616857"/>
    <w:rsid w:val="00617032"/>
    <w:rsid w:val="00617AB8"/>
    <w:rsid w:val="0062135C"/>
    <w:rsid w:val="00623802"/>
    <w:rsid w:val="00623B29"/>
    <w:rsid w:val="00624289"/>
    <w:rsid w:val="00624F5B"/>
    <w:rsid w:val="00626450"/>
    <w:rsid w:val="0062675E"/>
    <w:rsid w:val="00626D6E"/>
    <w:rsid w:val="00627220"/>
    <w:rsid w:val="00627B9D"/>
    <w:rsid w:val="00630E30"/>
    <w:rsid w:val="006317D0"/>
    <w:rsid w:val="00631C79"/>
    <w:rsid w:val="0063242A"/>
    <w:rsid w:val="0063263B"/>
    <w:rsid w:val="00632A87"/>
    <w:rsid w:val="00633B94"/>
    <w:rsid w:val="00633B99"/>
    <w:rsid w:val="00634C48"/>
    <w:rsid w:val="0063534A"/>
    <w:rsid w:val="00635A7A"/>
    <w:rsid w:val="006404BF"/>
    <w:rsid w:val="006406B7"/>
    <w:rsid w:val="0064294B"/>
    <w:rsid w:val="00642A84"/>
    <w:rsid w:val="006435F1"/>
    <w:rsid w:val="006450EB"/>
    <w:rsid w:val="006451CD"/>
    <w:rsid w:val="00647B17"/>
    <w:rsid w:val="00650E99"/>
    <w:rsid w:val="00651ECB"/>
    <w:rsid w:val="00651FEB"/>
    <w:rsid w:val="00652581"/>
    <w:rsid w:val="00653480"/>
    <w:rsid w:val="00653C71"/>
    <w:rsid w:val="0065481D"/>
    <w:rsid w:val="00654D49"/>
    <w:rsid w:val="00655718"/>
    <w:rsid w:val="006566EE"/>
    <w:rsid w:val="00656C99"/>
    <w:rsid w:val="006575D3"/>
    <w:rsid w:val="0065788D"/>
    <w:rsid w:val="006602CE"/>
    <w:rsid w:val="00663518"/>
    <w:rsid w:val="00663A8A"/>
    <w:rsid w:val="0066438C"/>
    <w:rsid w:val="00667501"/>
    <w:rsid w:val="00667E50"/>
    <w:rsid w:val="0067085B"/>
    <w:rsid w:val="00673515"/>
    <w:rsid w:val="006742F5"/>
    <w:rsid w:val="0067496E"/>
    <w:rsid w:val="006752EB"/>
    <w:rsid w:val="006764EE"/>
    <w:rsid w:val="006808F9"/>
    <w:rsid w:val="0068090F"/>
    <w:rsid w:val="006809F6"/>
    <w:rsid w:val="00680AAC"/>
    <w:rsid w:val="00682468"/>
    <w:rsid w:val="00683048"/>
    <w:rsid w:val="00684F17"/>
    <w:rsid w:val="00687361"/>
    <w:rsid w:val="0069036C"/>
    <w:rsid w:val="00690E98"/>
    <w:rsid w:val="006922DA"/>
    <w:rsid w:val="0069349E"/>
    <w:rsid w:val="0069375E"/>
    <w:rsid w:val="006957FD"/>
    <w:rsid w:val="00696FBC"/>
    <w:rsid w:val="00697318"/>
    <w:rsid w:val="006A1112"/>
    <w:rsid w:val="006A1274"/>
    <w:rsid w:val="006A3552"/>
    <w:rsid w:val="006A3DCF"/>
    <w:rsid w:val="006A45EF"/>
    <w:rsid w:val="006A4A5B"/>
    <w:rsid w:val="006A54E7"/>
    <w:rsid w:val="006A5568"/>
    <w:rsid w:val="006A5955"/>
    <w:rsid w:val="006A6D2C"/>
    <w:rsid w:val="006A7173"/>
    <w:rsid w:val="006A7593"/>
    <w:rsid w:val="006B03E8"/>
    <w:rsid w:val="006B2F8A"/>
    <w:rsid w:val="006B6928"/>
    <w:rsid w:val="006B6C02"/>
    <w:rsid w:val="006B7AD6"/>
    <w:rsid w:val="006C1D39"/>
    <w:rsid w:val="006C2C84"/>
    <w:rsid w:val="006C3AAF"/>
    <w:rsid w:val="006C48A4"/>
    <w:rsid w:val="006C4A51"/>
    <w:rsid w:val="006C735A"/>
    <w:rsid w:val="006C7574"/>
    <w:rsid w:val="006C7C6E"/>
    <w:rsid w:val="006D179A"/>
    <w:rsid w:val="006D20DB"/>
    <w:rsid w:val="006D297C"/>
    <w:rsid w:val="006D2F81"/>
    <w:rsid w:val="006D3323"/>
    <w:rsid w:val="006D47C1"/>
    <w:rsid w:val="006D514C"/>
    <w:rsid w:val="006D56E7"/>
    <w:rsid w:val="006D61E3"/>
    <w:rsid w:val="006D65C0"/>
    <w:rsid w:val="006D70B9"/>
    <w:rsid w:val="006D7408"/>
    <w:rsid w:val="006E0DE1"/>
    <w:rsid w:val="006E0E3F"/>
    <w:rsid w:val="006E27C7"/>
    <w:rsid w:val="006E43D8"/>
    <w:rsid w:val="006E499D"/>
    <w:rsid w:val="006E49AC"/>
    <w:rsid w:val="006F0069"/>
    <w:rsid w:val="006F067A"/>
    <w:rsid w:val="006F0BCB"/>
    <w:rsid w:val="006F18E6"/>
    <w:rsid w:val="006F318A"/>
    <w:rsid w:val="006F3228"/>
    <w:rsid w:val="006F3E6C"/>
    <w:rsid w:val="006F44CB"/>
    <w:rsid w:val="006F4D6A"/>
    <w:rsid w:val="006F4F82"/>
    <w:rsid w:val="006F54D4"/>
    <w:rsid w:val="006F5C64"/>
    <w:rsid w:val="006F6C54"/>
    <w:rsid w:val="006F6F11"/>
    <w:rsid w:val="006F7677"/>
    <w:rsid w:val="006F7A11"/>
    <w:rsid w:val="00700010"/>
    <w:rsid w:val="00700793"/>
    <w:rsid w:val="00700A09"/>
    <w:rsid w:val="0070138F"/>
    <w:rsid w:val="00701F4A"/>
    <w:rsid w:val="00702071"/>
    <w:rsid w:val="00702C94"/>
    <w:rsid w:val="00702EDB"/>
    <w:rsid w:val="0070643B"/>
    <w:rsid w:val="007066CA"/>
    <w:rsid w:val="00707C90"/>
    <w:rsid w:val="00710985"/>
    <w:rsid w:val="00711A2A"/>
    <w:rsid w:val="00711F24"/>
    <w:rsid w:val="00714C47"/>
    <w:rsid w:val="00715981"/>
    <w:rsid w:val="00717AF2"/>
    <w:rsid w:val="00722BED"/>
    <w:rsid w:val="00722EC3"/>
    <w:rsid w:val="00722F34"/>
    <w:rsid w:val="007247CD"/>
    <w:rsid w:val="00725BE7"/>
    <w:rsid w:val="00725D40"/>
    <w:rsid w:val="0072610D"/>
    <w:rsid w:val="00727086"/>
    <w:rsid w:val="00727D3B"/>
    <w:rsid w:val="00731D45"/>
    <w:rsid w:val="007321AC"/>
    <w:rsid w:val="007328A5"/>
    <w:rsid w:val="00733609"/>
    <w:rsid w:val="007345DA"/>
    <w:rsid w:val="0073500D"/>
    <w:rsid w:val="00735266"/>
    <w:rsid w:val="007352A2"/>
    <w:rsid w:val="0073533E"/>
    <w:rsid w:val="00735DBB"/>
    <w:rsid w:val="00736391"/>
    <w:rsid w:val="00736E6D"/>
    <w:rsid w:val="00737D0A"/>
    <w:rsid w:val="00740963"/>
    <w:rsid w:val="0074119A"/>
    <w:rsid w:val="00741A65"/>
    <w:rsid w:val="00741BC0"/>
    <w:rsid w:val="0074265B"/>
    <w:rsid w:val="00743BB0"/>
    <w:rsid w:val="00743EF1"/>
    <w:rsid w:val="0074524E"/>
    <w:rsid w:val="00746534"/>
    <w:rsid w:val="00746744"/>
    <w:rsid w:val="00746CB5"/>
    <w:rsid w:val="00747FEB"/>
    <w:rsid w:val="00750026"/>
    <w:rsid w:val="007503A5"/>
    <w:rsid w:val="0075046E"/>
    <w:rsid w:val="007506CF"/>
    <w:rsid w:val="007511AC"/>
    <w:rsid w:val="00753247"/>
    <w:rsid w:val="00753AFF"/>
    <w:rsid w:val="007551AF"/>
    <w:rsid w:val="00757B5E"/>
    <w:rsid w:val="00757E09"/>
    <w:rsid w:val="00760322"/>
    <w:rsid w:val="00760B52"/>
    <w:rsid w:val="00760BAE"/>
    <w:rsid w:val="00760FDF"/>
    <w:rsid w:val="007644F2"/>
    <w:rsid w:val="007666B9"/>
    <w:rsid w:val="00766A2E"/>
    <w:rsid w:val="00766C9E"/>
    <w:rsid w:val="0076781B"/>
    <w:rsid w:val="00767974"/>
    <w:rsid w:val="00767CCF"/>
    <w:rsid w:val="00770C0E"/>
    <w:rsid w:val="007712FD"/>
    <w:rsid w:val="007723B7"/>
    <w:rsid w:val="007724F3"/>
    <w:rsid w:val="00772B2B"/>
    <w:rsid w:val="00773ACA"/>
    <w:rsid w:val="00773D2D"/>
    <w:rsid w:val="00774263"/>
    <w:rsid w:val="00774BE6"/>
    <w:rsid w:val="007751C8"/>
    <w:rsid w:val="007755D5"/>
    <w:rsid w:val="00776EA8"/>
    <w:rsid w:val="00777A91"/>
    <w:rsid w:val="0078052D"/>
    <w:rsid w:val="0078149D"/>
    <w:rsid w:val="007824DD"/>
    <w:rsid w:val="00782908"/>
    <w:rsid w:val="00783158"/>
    <w:rsid w:val="00783E5A"/>
    <w:rsid w:val="007846D7"/>
    <w:rsid w:val="00784D21"/>
    <w:rsid w:val="0078640E"/>
    <w:rsid w:val="00786F00"/>
    <w:rsid w:val="0079022C"/>
    <w:rsid w:val="007918E6"/>
    <w:rsid w:val="007923F2"/>
    <w:rsid w:val="0079264C"/>
    <w:rsid w:val="0079301E"/>
    <w:rsid w:val="007938F8"/>
    <w:rsid w:val="00795510"/>
    <w:rsid w:val="0079554A"/>
    <w:rsid w:val="00795AD2"/>
    <w:rsid w:val="00795EF4"/>
    <w:rsid w:val="00796786"/>
    <w:rsid w:val="00796CB4"/>
    <w:rsid w:val="00796ECA"/>
    <w:rsid w:val="007979C7"/>
    <w:rsid w:val="007A014F"/>
    <w:rsid w:val="007A0EFB"/>
    <w:rsid w:val="007A433C"/>
    <w:rsid w:val="007A4640"/>
    <w:rsid w:val="007A464D"/>
    <w:rsid w:val="007A477E"/>
    <w:rsid w:val="007A4888"/>
    <w:rsid w:val="007A4BEE"/>
    <w:rsid w:val="007A5CD5"/>
    <w:rsid w:val="007A7572"/>
    <w:rsid w:val="007B1C83"/>
    <w:rsid w:val="007B23F1"/>
    <w:rsid w:val="007B34E9"/>
    <w:rsid w:val="007B3E34"/>
    <w:rsid w:val="007B4DF9"/>
    <w:rsid w:val="007B7702"/>
    <w:rsid w:val="007B7D4B"/>
    <w:rsid w:val="007C01B7"/>
    <w:rsid w:val="007C0887"/>
    <w:rsid w:val="007C1F48"/>
    <w:rsid w:val="007C2A4A"/>
    <w:rsid w:val="007C2F3B"/>
    <w:rsid w:val="007C4EC6"/>
    <w:rsid w:val="007C6479"/>
    <w:rsid w:val="007C66DF"/>
    <w:rsid w:val="007C697D"/>
    <w:rsid w:val="007C69E6"/>
    <w:rsid w:val="007C6DFC"/>
    <w:rsid w:val="007C7642"/>
    <w:rsid w:val="007D0370"/>
    <w:rsid w:val="007D0566"/>
    <w:rsid w:val="007D0764"/>
    <w:rsid w:val="007D0903"/>
    <w:rsid w:val="007D0A70"/>
    <w:rsid w:val="007D1BB5"/>
    <w:rsid w:val="007D1FAB"/>
    <w:rsid w:val="007D28C2"/>
    <w:rsid w:val="007D4296"/>
    <w:rsid w:val="007D4BE9"/>
    <w:rsid w:val="007D57A8"/>
    <w:rsid w:val="007D79CE"/>
    <w:rsid w:val="007E0084"/>
    <w:rsid w:val="007E042E"/>
    <w:rsid w:val="007E0FB2"/>
    <w:rsid w:val="007E10E1"/>
    <w:rsid w:val="007E13D4"/>
    <w:rsid w:val="007E1515"/>
    <w:rsid w:val="007E153B"/>
    <w:rsid w:val="007E2DDC"/>
    <w:rsid w:val="007E322E"/>
    <w:rsid w:val="007E3DC0"/>
    <w:rsid w:val="007E3EE8"/>
    <w:rsid w:val="007E41DC"/>
    <w:rsid w:val="007E4D75"/>
    <w:rsid w:val="007E54C2"/>
    <w:rsid w:val="007E5725"/>
    <w:rsid w:val="007E5A60"/>
    <w:rsid w:val="007E6826"/>
    <w:rsid w:val="007E79DB"/>
    <w:rsid w:val="007F0D29"/>
    <w:rsid w:val="007F1183"/>
    <w:rsid w:val="007F1344"/>
    <w:rsid w:val="007F2AA3"/>
    <w:rsid w:val="007F2E84"/>
    <w:rsid w:val="007F31DE"/>
    <w:rsid w:val="007F3BCD"/>
    <w:rsid w:val="007F3BD0"/>
    <w:rsid w:val="007F4367"/>
    <w:rsid w:val="007F488B"/>
    <w:rsid w:val="007F5205"/>
    <w:rsid w:val="007F5D7F"/>
    <w:rsid w:val="007F5FE1"/>
    <w:rsid w:val="007F62D8"/>
    <w:rsid w:val="007F6A23"/>
    <w:rsid w:val="007F7230"/>
    <w:rsid w:val="008004FA"/>
    <w:rsid w:val="008006EC"/>
    <w:rsid w:val="008008AC"/>
    <w:rsid w:val="00800C2F"/>
    <w:rsid w:val="00801788"/>
    <w:rsid w:val="00802237"/>
    <w:rsid w:val="00803089"/>
    <w:rsid w:val="00803723"/>
    <w:rsid w:val="0080378F"/>
    <w:rsid w:val="00803793"/>
    <w:rsid w:val="008037EB"/>
    <w:rsid w:val="00804275"/>
    <w:rsid w:val="00804AB2"/>
    <w:rsid w:val="0080506D"/>
    <w:rsid w:val="0080663F"/>
    <w:rsid w:val="0080721A"/>
    <w:rsid w:val="00807C70"/>
    <w:rsid w:val="00810621"/>
    <w:rsid w:val="00810B59"/>
    <w:rsid w:val="008117D2"/>
    <w:rsid w:val="00811A17"/>
    <w:rsid w:val="00811B18"/>
    <w:rsid w:val="0081309B"/>
    <w:rsid w:val="008131FD"/>
    <w:rsid w:val="008149D9"/>
    <w:rsid w:val="0081500C"/>
    <w:rsid w:val="00815DBB"/>
    <w:rsid w:val="00816683"/>
    <w:rsid w:val="008175BC"/>
    <w:rsid w:val="00817ABE"/>
    <w:rsid w:val="00820D6C"/>
    <w:rsid w:val="00821CED"/>
    <w:rsid w:val="00822C9A"/>
    <w:rsid w:val="0082323D"/>
    <w:rsid w:val="008238AC"/>
    <w:rsid w:val="00824148"/>
    <w:rsid w:val="00825578"/>
    <w:rsid w:val="008259C2"/>
    <w:rsid w:val="00825BA3"/>
    <w:rsid w:val="00825E9E"/>
    <w:rsid w:val="008260BD"/>
    <w:rsid w:val="00826122"/>
    <w:rsid w:val="008261C5"/>
    <w:rsid w:val="00826C71"/>
    <w:rsid w:val="0083000E"/>
    <w:rsid w:val="00830161"/>
    <w:rsid w:val="0083119D"/>
    <w:rsid w:val="0083180D"/>
    <w:rsid w:val="008326B6"/>
    <w:rsid w:val="0083312D"/>
    <w:rsid w:val="00833ED6"/>
    <w:rsid w:val="008340EC"/>
    <w:rsid w:val="00835E8D"/>
    <w:rsid w:val="00837E0C"/>
    <w:rsid w:val="008407BD"/>
    <w:rsid w:val="008416A7"/>
    <w:rsid w:val="00841D8A"/>
    <w:rsid w:val="00843095"/>
    <w:rsid w:val="0084495B"/>
    <w:rsid w:val="00846137"/>
    <w:rsid w:val="008466B1"/>
    <w:rsid w:val="00847536"/>
    <w:rsid w:val="00847F07"/>
    <w:rsid w:val="00851911"/>
    <w:rsid w:val="00852444"/>
    <w:rsid w:val="00853609"/>
    <w:rsid w:val="00853886"/>
    <w:rsid w:val="0085415A"/>
    <w:rsid w:val="00854DE2"/>
    <w:rsid w:val="008557AC"/>
    <w:rsid w:val="008604BA"/>
    <w:rsid w:val="00861B29"/>
    <w:rsid w:val="0086275C"/>
    <w:rsid w:val="0086321D"/>
    <w:rsid w:val="008638E7"/>
    <w:rsid w:val="00863B1C"/>
    <w:rsid w:val="00863B7E"/>
    <w:rsid w:val="00866A85"/>
    <w:rsid w:val="00867293"/>
    <w:rsid w:val="008702BB"/>
    <w:rsid w:val="00870CDB"/>
    <w:rsid w:val="00871D0B"/>
    <w:rsid w:val="00871DF0"/>
    <w:rsid w:val="008722EE"/>
    <w:rsid w:val="008728A3"/>
    <w:rsid w:val="00872F49"/>
    <w:rsid w:val="00873AED"/>
    <w:rsid w:val="008748E3"/>
    <w:rsid w:val="008751AB"/>
    <w:rsid w:val="00875515"/>
    <w:rsid w:val="00875A8B"/>
    <w:rsid w:val="0087672E"/>
    <w:rsid w:val="008768B2"/>
    <w:rsid w:val="00876922"/>
    <w:rsid w:val="0087720A"/>
    <w:rsid w:val="008801B8"/>
    <w:rsid w:val="008829B9"/>
    <w:rsid w:val="00882DD2"/>
    <w:rsid w:val="00882E34"/>
    <w:rsid w:val="008830E6"/>
    <w:rsid w:val="00883BF5"/>
    <w:rsid w:val="00883DFB"/>
    <w:rsid w:val="0088414E"/>
    <w:rsid w:val="008848EF"/>
    <w:rsid w:val="008856B7"/>
    <w:rsid w:val="00885EA0"/>
    <w:rsid w:val="00885FEF"/>
    <w:rsid w:val="00886523"/>
    <w:rsid w:val="00886617"/>
    <w:rsid w:val="00890974"/>
    <w:rsid w:val="00891011"/>
    <w:rsid w:val="00893D60"/>
    <w:rsid w:val="0089416F"/>
    <w:rsid w:val="008947BE"/>
    <w:rsid w:val="00894F19"/>
    <w:rsid w:val="008951CB"/>
    <w:rsid w:val="0089538C"/>
    <w:rsid w:val="0089553C"/>
    <w:rsid w:val="00895C8E"/>
    <w:rsid w:val="00897C63"/>
    <w:rsid w:val="008A102C"/>
    <w:rsid w:val="008A3CC9"/>
    <w:rsid w:val="008A466D"/>
    <w:rsid w:val="008A67E8"/>
    <w:rsid w:val="008A7F02"/>
    <w:rsid w:val="008B07DB"/>
    <w:rsid w:val="008B0841"/>
    <w:rsid w:val="008B2A9C"/>
    <w:rsid w:val="008B3710"/>
    <w:rsid w:val="008B39D4"/>
    <w:rsid w:val="008B3A4C"/>
    <w:rsid w:val="008B4387"/>
    <w:rsid w:val="008B5D3B"/>
    <w:rsid w:val="008B6089"/>
    <w:rsid w:val="008B644E"/>
    <w:rsid w:val="008B6FD3"/>
    <w:rsid w:val="008B702B"/>
    <w:rsid w:val="008B79A6"/>
    <w:rsid w:val="008C06B4"/>
    <w:rsid w:val="008C0D22"/>
    <w:rsid w:val="008C262C"/>
    <w:rsid w:val="008C26A4"/>
    <w:rsid w:val="008C35D7"/>
    <w:rsid w:val="008C376D"/>
    <w:rsid w:val="008C3B8E"/>
    <w:rsid w:val="008C4AC0"/>
    <w:rsid w:val="008C52EE"/>
    <w:rsid w:val="008C604A"/>
    <w:rsid w:val="008D02B6"/>
    <w:rsid w:val="008D03D9"/>
    <w:rsid w:val="008D064A"/>
    <w:rsid w:val="008D67EE"/>
    <w:rsid w:val="008D68F5"/>
    <w:rsid w:val="008D74AF"/>
    <w:rsid w:val="008D7A0E"/>
    <w:rsid w:val="008E0906"/>
    <w:rsid w:val="008E2A23"/>
    <w:rsid w:val="008E2CEA"/>
    <w:rsid w:val="008E3C1B"/>
    <w:rsid w:val="008F0C9D"/>
    <w:rsid w:val="008F234D"/>
    <w:rsid w:val="008F3423"/>
    <w:rsid w:val="008F3CD8"/>
    <w:rsid w:val="008F6046"/>
    <w:rsid w:val="008F64ED"/>
    <w:rsid w:val="008F65AE"/>
    <w:rsid w:val="008F69B2"/>
    <w:rsid w:val="00902A9D"/>
    <w:rsid w:val="009033B0"/>
    <w:rsid w:val="0090382B"/>
    <w:rsid w:val="00903955"/>
    <w:rsid w:val="00904375"/>
    <w:rsid w:val="009049D9"/>
    <w:rsid w:val="00905359"/>
    <w:rsid w:val="00905950"/>
    <w:rsid w:val="00905CBD"/>
    <w:rsid w:val="0090610B"/>
    <w:rsid w:val="00906908"/>
    <w:rsid w:val="00907940"/>
    <w:rsid w:val="00907ADD"/>
    <w:rsid w:val="00907C9C"/>
    <w:rsid w:val="00907CA9"/>
    <w:rsid w:val="00907D4A"/>
    <w:rsid w:val="009101A9"/>
    <w:rsid w:val="00910929"/>
    <w:rsid w:val="0091104A"/>
    <w:rsid w:val="0091126F"/>
    <w:rsid w:val="00912039"/>
    <w:rsid w:val="00912354"/>
    <w:rsid w:val="00912E2C"/>
    <w:rsid w:val="00913AB5"/>
    <w:rsid w:val="00913FED"/>
    <w:rsid w:val="00914060"/>
    <w:rsid w:val="009150E5"/>
    <w:rsid w:val="0091562D"/>
    <w:rsid w:val="00916DBE"/>
    <w:rsid w:val="00917244"/>
    <w:rsid w:val="009174C7"/>
    <w:rsid w:val="00917BB9"/>
    <w:rsid w:val="00921BFB"/>
    <w:rsid w:val="00922BB9"/>
    <w:rsid w:val="0092314C"/>
    <w:rsid w:val="0092432E"/>
    <w:rsid w:val="00924A4E"/>
    <w:rsid w:val="00926145"/>
    <w:rsid w:val="00926A38"/>
    <w:rsid w:val="00926A78"/>
    <w:rsid w:val="00927266"/>
    <w:rsid w:val="00927318"/>
    <w:rsid w:val="009273C4"/>
    <w:rsid w:val="00927830"/>
    <w:rsid w:val="00927FC3"/>
    <w:rsid w:val="0093005A"/>
    <w:rsid w:val="009304B5"/>
    <w:rsid w:val="00930D8D"/>
    <w:rsid w:val="00931844"/>
    <w:rsid w:val="00931EF8"/>
    <w:rsid w:val="00932144"/>
    <w:rsid w:val="00932C92"/>
    <w:rsid w:val="00932D2C"/>
    <w:rsid w:val="009330EA"/>
    <w:rsid w:val="00933C8B"/>
    <w:rsid w:val="00934A2C"/>
    <w:rsid w:val="00934BE5"/>
    <w:rsid w:val="0093563B"/>
    <w:rsid w:val="0093597C"/>
    <w:rsid w:val="00936628"/>
    <w:rsid w:val="00936685"/>
    <w:rsid w:val="00936DA3"/>
    <w:rsid w:val="00937298"/>
    <w:rsid w:val="009377DD"/>
    <w:rsid w:val="00937A04"/>
    <w:rsid w:val="009401D5"/>
    <w:rsid w:val="00940EBE"/>
    <w:rsid w:val="0094141C"/>
    <w:rsid w:val="009420ED"/>
    <w:rsid w:val="009430D0"/>
    <w:rsid w:val="00943625"/>
    <w:rsid w:val="009438BE"/>
    <w:rsid w:val="00943DEB"/>
    <w:rsid w:val="009469F6"/>
    <w:rsid w:val="0095093A"/>
    <w:rsid w:val="00950DAA"/>
    <w:rsid w:val="00951297"/>
    <w:rsid w:val="009515E9"/>
    <w:rsid w:val="00951D9B"/>
    <w:rsid w:val="00952DB0"/>
    <w:rsid w:val="00952FC8"/>
    <w:rsid w:val="009534A5"/>
    <w:rsid w:val="00954485"/>
    <w:rsid w:val="00954624"/>
    <w:rsid w:val="00954679"/>
    <w:rsid w:val="00954835"/>
    <w:rsid w:val="009549F2"/>
    <w:rsid w:val="00954F42"/>
    <w:rsid w:val="0095504A"/>
    <w:rsid w:val="00955723"/>
    <w:rsid w:val="0095727D"/>
    <w:rsid w:val="009603EC"/>
    <w:rsid w:val="00960AC9"/>
    <w:rsid w:val="00960FF4"/>
    <w:rsid w:val="00961B0E"/>
    <w:rsid w:val="009645A2"/>
    <w:rsid w:val="00964DFF"/>
    <w:rsid w:val="009679D4"/>
    <w:rsid w:val="00967E36"/>
    <w:rsid w:val="009703B7"/>
    <w:rsid w:val="00970974"/>
    <w:rsid w:val="00970AEB"/>
    <w:rsid w:val="0097111B"/>
    <w:rsid w:val="00971C6E"/>
    <w:rsid w:val="00972210"/>
    <w:rsid w:val="009754D1"/>
    <w:rsid w:val="00975DAD"/>
    <w:rsid w:val="009768E6"/>
    <w:rsid w:val="00976D96"/>
    <w:rsid w:val="0097732F"/>
    <w:rsid w:val="00977E98"/>
    <w:rsid w:val="00977EB1"/>
    <w:rsid w:val="009803BE"/>
    <w:rsid w:val="0098196C"/>
    <w:rsid w:val="009836E0"/>
    <w:rsid w:val="009838E0"/>
    <w:rsid w:val="00983BDB"/>
    <w:rsid w:val="00983E29"/>
    <w:rsid w:val="00983E2A"/>
    <w:rsid w:val="00984412"/>
    <w:rsid w:val="00984F23"/>
    <w:rsid w:val="00985760"/>
    <w:rsid w:val="00986AD6"/>
    <w:rsid w:val="00986D24"/>
    <w:rsid w:val="009877A9"/>
    <w:rsid w:val="0099006F"/>
    <w:rsid w:val="00990A89"/>
    <w:rsid w:val="00990C08"/>
    <w:rsid w:val="00990CF2"/>
    <w:rsid w:val="00991075"/>
    <w:rsid w:val="00991EEA"/>
    <w:rsid w:val="009951F2"/>
    <w:rsid w:val="00995322"/>
    <w:rsid w:val="0099569A"/>
    <w:rsid w:val="009959D6"/>
    <w:rsid w:val="00995E94"/>
    <w:rsid w:val="00995F1D"/>
    <w:rsid w:val="00996997"/>
    <w:rsid w:val="00997A45"/>
    <w:rsid w:val="00997CE1"/>
    <w:rsid w:val="00997EBF"/>
    <w:rsid w:val="009A1038"/>
    <w:rsid w:val="009A193D"/>
    <w:rsid w:val="009A1B3C"/>
    <w:rsid w:val="009A410D"/>
    <w:rsid w:val="009A4739"/>
    <w:rsid w:val="009A4CF9"/>
    <w:rsid w:val="009A4E27"/>
    <w:rsid w:val="009A51D0"/>
    <w:rsid w:val="009A5B6E"/>
    <w:rsid w:val="009A5F36"/>
    <w:rsid w:val="009A608B"/>
    <w:rsid w:val="009A6FAB"/>
    <w:rsid w:val="009A7F09"/>
    <w:rsid w:val="009B002A"/>
    <w:rsid w:val="009B0347"/>
    <w:rsid w:val="009B058A"/>
    <w:rsid w:val="009B09F7"/>
    <w:rsid w:val="009B147B"/>
    <w:rsid w:val="009B16C2"/>
    <w:rsid w:val="009B1D1C"/>
    <w:rsid w:val="009B2F1D"/>
    <w:rsid w:val="009B30DA"/>
    <w:rsid w:val="009B393E"/>
    <w:rsid w:val="009B4659"/>
    <w:rsid w:val="009B4F71"/>
    <w:rsid w:val="009B4F7A"/>
    <w:rsid w:val="009B5DC2"/>
    <w:rsid w:val="009B6E7E"/>
    <w:rsid w:val="009B7DB2"/>
    <w:rsid w:val="009C05C7"/>
    <w:rsid w:val="009C0CFC"/>
    <w:rsid w:val="009C1692"/>
    <w:rsid w:val="009C27E6"/>
    <w:rsid w:val="009C3ABD"/>
    <w:rsid w:val="009C3E70"/>
    <w:rsid w:val="009C3F33"/>
    <w:rsid w:val="009C4FE3"/>
    <w:rsid w:val="009C63D1"/>
    <w:rsid w:val="009C6400"/>
    <w:rsid w:val="009D014A"/>
    <w:rsid w:val="009D176D"/>
    <w:rsid w:val="009D2189"/>
    <w:rsid w:val="009D615B"/>
    <w:rsid w:val="009D69EB"/>
    <w:rsid w:val="009D6FDC"/>
    <w:rsid w:val="009D747A"/>
    <w:rsid w:val="009E0D15"/>
    <w:rsid w:val="009E0FF2"/>
    <w:rsid w:val="009E2258"/>
    <w:rsid w:val="009E25DA"/>
    <w:rsid w:val="009E367E"/>
    <w:rsid w:val="009E466E"/>
    <w:rsid w:val="009E51F1"/>
    <w:rsid w:val="009E5258"/>
    <w:rsid w:val="009E5310"/>
    <w:rsid w:val="009E54F4"/>
    <w:rsid w:val="009E57FE"/>
    <w:rsid w:val="009E5B76"/>
    <w:rsid w:val="009E5FCE"/>
    <w:rsid w:val="009E60F8"/>
    <w:rsid w:val="009E6510"/>
    <w:rsid w:val="009E6BD2"/>
    <w:rsid w:val="009E6C0B"/>
    <w:rsid w:val="009E7C82"/>
    <w:rsid w:val="009E7DF5"/>
    <w:rsid w:val="009F03D2"/>
    <w:rsid w:val="009F06BC"/>
    <w:rsid w:val="009F07BE"/>
    <w:rsid w:val="009F2242"/>
    <w:rsid w:val="009F2B2D"/>
    <w:rsid w:val="009F30CE"/>
    <w:rsid w:val="009F40AD"/>
    <w:rsid w:val="009F58D5"/>
    <w:rsid w:val="009F6D13"/>
    <w:rsid w:val="00A0137B"/>
    <w:rsid w:val="00A01A78"/>
    <w:rsid w:val="00A023DE"/>
    <w:rsid w:val="00A02449"/>
    <w:rsid w:val="00A026E8"/>
    <w:rsid w:val="00A0347F"/>
    <w:rsid w:val="00A04C22"/>
    <w:rsid w:val="00A04EA2"/>
    <w:rsid w:val="00A052DF"/>
    <w:rsid w:val="00A05365"/>
    <w:rsid w:val="00A060F1"/>
    <w:rsid w:val="00A06BB9"/>
    <w:rsid w:val="00A06C4D"/>
    <w:rsid w:val="00A06FD3"/>
    <w:rsid w:val="00A1117D"/>
    <w:rsid w:val="00A12BFD"/>
    <w:rsid w:val="00A13105"/>
    <w:rsid w:val="00A13649"/>
    <w:rsid w:val="00A142B6"/>
    <w:rsid w:val="00A161D0"/>
    <w:rsid w:val="00A16EA5"/>
    <w:rsid w:val="00A17083"/>
    <w:rsid w:val="00A172EC"/>
    <w:rsid w:val="00A20340"/>
    <w:rsid w:val="00A21EBF"/>
    <w:rsid w:val="00A2231C"/>
    <w:rsid w:val="00A235B9"/>
    <w:rsid w:val="00A237EA"/>
    <w:rsid w:val="00A24700"/>
    <w:rsid w:val="00A2556B"/>
    <w:rsid w:val="00A25876"/>
    <w:rsid w:val="00A26F29"/>
    <w:rsid w:val="00A31FEB"/>
    <w:rsid w:val="00A332A5"/>
    <w:rsid w:val="00A34778"/>
    <w:rsid w:val="00A34BE1"/>
    <w:rsid w:val="00A35305"/>
    <w:rsid w:val="00A35900"/>
    <w:rsid w:val="00A36354"/>
    <w:rsid w:val="00A36BD8"/>
    <w:rsid w:val="00A375B6"/>
    <w:rsid w:val="00A4330E"/>
    <w:rsid w:val="00A434C6"/>
    <w:rsid w:val="00A43B41"/>
    <w:rsid w:val="00A4488E"/>
    <w:rsid w:val="00A44C15"/>
    <w:rsid w:val="00A44C8A"/>
    <w:rsid w:val="00A45FC6"/>
    <w:rsid w:val="00A4674D"/>
    <w:rsid w:val="00A479BF"/>
    <w:rsid w:val="00A47A16"/>
    <w:rsid w:val="00A50204"/>
    <w:rsid w:val="00A50FF5"/>
    <w:rsid w:val="00A510A4"/>
    <w:rsid w:val="00A512AF"/>
    <w:rsid w:val="00A5196C"/>
    <w:rsid w:val="00A537FE"/>
    <w:rsid w:val="00A54334"/>
    <w:rsid w:val="00A56995"/>
    <w:rsid w:val="00A56B61"/>
    <w:rsid w:val="00A56D01"/>
    <w:rsid w:val="00A57EBB"/>
    <w:rsid w:val="00A61753"/>
    <w:rsid w:val="00A62A87"/>
    <w:rsid w:val="00A62AC7"/>
    <w:rsid w:val="00A62C9A"/>
    <w:rsid w:val="00A64664"/>
    <w:rsid w:val="00A64C4D"/>
    <w:rsid w:val="00A65C52"/>
    <w:rsid w:val="00A66214"/>
    <w:rsid w:val="00A66C4C"/>
    <w:rsid w:val="00A708A9"/>
    <w:rsid w:val="00A70CDA"/>
    <w:rsid w:val="00A7124C"/>
    <w:rsid w:val="00A727CD"/>
    <w:rsid w:val="00A72D12"/>
    <w:rsid w:val="00A73BA5"/>
    <w:rsid w:val="00A73D47"/>
    <w:rsid w:val="00A74F26"/>
    <w:rsid w:val="00A75202"/>
    <w:rsid w:val="00A753B5"/>
    <w:rsid w:val="00A75A41"/>
    <w:rsid w:val="00A75D09"/>
    <w:rsid w:val="00A804CF"/>
    <w:rsid w:val="00A8311A"/>
    <w:rsid w:val="00A83438"/>
    <w:rsid w:val="00A84639"/>
    <w:rsid w:val="00A84780"/>
    <w:rsid w:val="00A851BA"/>
    <w:rsid w:val="00A857BD"/>
    <w:rsid w:val="00A85B02"/>
    <w:rsid w:val="00A87D12"/>
    <w:rsid w:val="00A90FF8"/>
    <w:rsid w:val="00A91945"/>
    <w:rsid w:val="00A92BD8"/>
    <w:rsid w:val="00A92FD6"/>
    <w:rsid w:val="00A9394E"/>
    <w:rsid w:val="00A9478B"/>
    <w:rsid w:val="00A954B9"/>
    <w:rsid w:val="00A9777A"/>
    <w:rsid w:val="00A97C92"/>
    <w:rsid w:val="00A97DBE"/>
    <w:rsid w:val="00AA04D9"/>
    <w:rsid w:val="00AA08A1"/>
    <w:rsid w:val="00AA1535"/>
    <w:rsid w:val="00AA1B67"/>
    <w:rsid w:val="00AA3013"/>
    <w:rsid w:val="00AA3A5A"/>
    <w:rsid w:val="00AA4136"/>
    <w:rsid w:val="00AA426F"/>
    <w:rsid w:val="00AA44BF"/>
    <w:rsid w:val="00AA7073"/>
    <w:rsid w:val="00AA79EB"/>
    <w:rsid w:val="00AB0AEF"/>
    <w:rsid w:val="00AB10D9"/>
    <w:rsid w:val="00AB12DF"/>
    <w:rsid w:val="00AB22E2"/>
    <w:rsid w:val="00AB2F7F"/>
    <w:rsid w:val="00AB3176"/>
    <w:rsid w:val="00AB33E7"/>
    <w:rsid w:val="00AB3817"/>
    <w:rsid w:val="00AB57FB"/>
    <w:rsid w:val="00AB68D7"/>
    <w:rsid w:val="00AB714E"/>
    <w:rsid w:val="00AB7F6B"/>
    <w:rsid w:val="00AC1C81"/>
    <w:rsid w:val="00AC1FF9"/>
    <w:rsid w:val="00AC3598"/>
    <w:rsid w:val="00AC3B38"/>
    <w:rsid w:val="00AC49B1"/>
    <w:rsid w:val="00AC4D1E"/>
    <w:rsid w:val="00AC62AD"/>
    <w:rsid w:val="00AC6517"/>
    <w:rsid w:val="00AC720C"/>
    <w:rsid w:val="00AC765E"/>
    <w:rsid w:val="00AD0204"/>
    <w:rsid w:val="00AD04FE"/>
    <w:rsid w:val="00AD0715"/>
    <w:rsid w:val="00AD1020"/>
    <w:rsid w:val="00AD1E1A"/>
    <w:rsid w:val="00AD2EB0"/>
    <w:rsid w:val="00AD31FD"/>
    <w:rsid w:val="00AD34E4"/>
    <w:rsid w:val="00AD3A7C"/>
    <w:rsid w:val="00AD4789"/>
    <w:rsid w:val="00AD5351"/>
    <w:rsid w:val="00AD699C"/>
    <w:rsid w:val="00AD71A3"/>
    <w:rsid w:val="00AD75C6"/>
    <w:rsid w:val="00AE0238"/>
    <w:rsid w:val="00AE05AB"/>
    <w:rsid w:val="00AE1D12"/>
    <w:rsid w:val="00AE1EE3"/>
    <w:rsid w:val="00AE1F54"/>
    <w:rsid w:val="00AE252C"/>
    <w:rsid w:val="00AE488F"/>
    <w:rsid w:val="00AE691A"/>
    <w:rsid w:val="00AE76A9"/>
    <w:rsid w:val="00AE7710"/>
    <w:rsid w:val="00AE7952"/>
    <w:rsid w:val="00AF1416"/>
    <w:rsid w:val="00AF1DEC"/>
    <w:rsid w:val="00AF2284"/>
    <w:rsid w:val="00AF2CC0"/>
    <w:rsid w:val="00AF2FB4"/>
    <w:rsid w:val="00AF3E13"/>
    <w:rsid w:val="00AF4602"/>
    <w:rsid w:val="00AF55FC"/>
    <w:rsid w:val="00AF6EFD"/>
    <w:rsid w:val="00AF7173"/>
    <w:rsid w:val="00AF73E1"/>
    <w:rsid w:val="00AF7BB5"/>
    <w:rsid w:val="00AF7ED7"/>
    <w:rsid w:val="00B00ADC"/>
    <w:rsid w:val="00B01944"/>
    <w:rsid w:val="00B02807"/>
    <w:rsid w:val="00B0511A"/>
    <w:rsid w:val="00B05294"/>
    <w:rsid w:val="00B056B0"/>
    <w:rsid w:val="00B05769"/>
    <w:rsid w:val="00B073CC"/>
    <w:rsid w:val="00B078D2"/>
    <w:rsid w:val="00B10461"/>
    <w:rsid w:val="00B11627"/>
    <w:rsid w:val="00B118B1"/>
    <w:rsid w:val="00B126BB"/>
    <w:rsid w:val="00B12F7B"/>
    <w:rsid w:val="00B130E9"/>
    <w:rsid w:val="00B134CF"/>
    <w:rsid w:val="00B13A40"/>
    <w:rsid w:val="00B14B1B"/>
    <w:rsid w:val="00B14FE3"/>
    <w:rsid w:val="00B152E4"/>
    <w:rsid w:val="00B15ED3"/>
    <w:rsid w:val="00B16201"/>
    <w:rsid w:val="00B16A11"/>
    <w:rsid w:val="00B1729F"/>
    <w:rsid w:val="00B1754F"/>
    <w:rsid w:val="00B21D53"/>
    <w:rsid w:val="00B224F0"/>
    <w:rsid w:val="00B22B6E"/>
    <w:rsid w:val="00B22CAA"/>
    <w:rsid w:val="00B230B6"/>
    <w:rsid w:val="00B2452C"/>
    <w:rsid w:val="00B24628"/>
    <w:rsid w:val="00B25D6A"/>
    <w:rsid w:val="00B25FE6"/>
    <w:rsid w:val="00B26C06"/>
    <w:rsid w:val="00B271F5"/>
    <w:rsid w:val="00B30D6E"/>
    <w:rsid w:val="00B30DE6"/>
    <w:rsid w:val="00B3186F"/>
    <w:rsid w:val="00B31BCE"/>
    <w:rsid w:val="00B3259C"/>
    <w:rsid w:val="00B32AA4"/>
    <w:rsid w:val="00B34440"/>
    <w:rsid w:val="00B34A8C"/>
    <w:rsid w:val="00B3539C"/>
    <w:rsid w:val="00B3558E"/>
    <w:rsid w:val="00B3654B"/>
    <w:rsid w:val="00B37809"/>
    <w:rsid w:val="00B41650"/>
    <w:rsid w:val="00B44447"/>
    <w:rsid w:val="00B44E35"/>
    <w:rsid w:val="00B44F54"/>
    <w:rsid w:val="00B4523E"/>
    <w:rsid w:val="00B4592B"/>
    <w:rsid w:val="00B45AB4"/>
    <w:rsid w:val="00B45DFC"/>
    <w:rsid w:val="00B468EE"/>
    <w:rsid w:val="00B46ACA"/>
    <w:rsid w:val="00B47113"/>
    <w:rsid w:val="00B47326"/>
    <w:rsid w:val="00B50978"/>
    <w:rsid w:val="00B512BA"/>
    <w:rsid w:val="00B51DE7"/>
    <w:rsid w:val="00B52222"/>
    <w:rsid w:val="00B527BF"/>
    <w:rsid w:val="00B529B8"/>
    <w:rsid w:val="00B5300D"/>
    <w:rsid w:val="00B53E4D"/>
    <w:rsid w:val="00B53EB0"/>
    <w:rsid w:val="00B541FA"/>
    <w:rsid w:val="00B5490B"/>
    <w:rsid w:val="00B56098"/>
    <w:rsid w:val="00B56BE2"/>
    <w:rsid w:val="00B5726D"/>
    <w:rsid w:val="00B611C8"/>
    <w:rsid w:val="00B61370"/>
    <w:rsid w:val="00B61CA9"/>
    <w:rsid w:val="00B6209C"/>
    <w:rsid w:val="00B622B0"/>
    <w:rsid w:val="00B6234B"/>
    <w:rsid w:val="00B62B95"/>
    <w:rsid w:val="00B64D88"/>
    <w:rsid w:val="00B64EFA"/>
    <w:rsid w:val="00B66392"/>
    <w:rsid w:val="00B66B9E"/>
    <w:rsid w:val="00B66E4E"/>
    <w:rsid w:val="00B67876"/>
    <w:rsid w:val="00B67AEC"/>
    <w:rsid w:val="00B70152"/>
    <w:rsid w:val="00B70CFE"/>
    <w:rsid w:val="00B712AF"/>
    <w:rsid w:val="00B71E75"/>
    <w:rsid w:val="00B7237A"/>
    <w:rsid w:val="00B72CDB"/>
    <w:rsid w:val="00B7417C"/>
    <w:rsid w:val="00B742AE"/>
    <w:rsid w:val="00B7556F"/>
    <w:rsid w:val="00B758ED"/>
    <w:rsid w:val="00B75A44"/>
    <w:rsid w:val="00B76D2E"/>
    <w:rsid w:val="00B80B00"/>
    <w:rsid w:val="00B82A12"/>
    <w:rsid w:val="00B85A2B"/>
    <w:rsid w:val="00B87B95"/>
    <w:rsid w:val="00B9061C"/>
    <w:rsid w:val="00B90D1F"/>
    <w:rsid w:val="00B91205"/>
    <w:rsid w:val="00B918EC"/>
    <w:rsid w:val="00B9206D"/>
    <w:rsid w:val="00B925F6"/>
    <w:rsid w:val="00B92F3F"/>
    <w:rsid w:val="00B946B8"/>
    <w:rsid w:val="00B94E6E"/>
    <w:rsid w:val="00B94EF2"/>
    <w:rsid w:val="00B95514"/>
    <w:rsid w:val="00B9618C"/>
    <w:rsid w:val="00B96341"/>
    <w:rsid w:val="00BA11E3"/>
    <w:rsid w:val="00BA203B"/>
    <w:rsid w:val="00BA20C7"/>
    <w:rsid w:val="00BA2201"/>
    <w:rsid w:val="00BA23FF"/>
    <w:rsid w:val="00BA2A4A"/>
    <w:rsid w:val="00BA2B50"/>
    <w:rsid w:val="00BA2DFD"/>
    <w:rsid w:val="00BA4A47"/>
    <w:rsid w:val="00BA557B"/>
    <w:rsid w:val="00BA5F5C"/>
    <w:rsid w:val="00BB00B9"/>
    <w:rsid w:val="00BB060B"/>
    <w:rsid w:val="00BB114C"/>
    <w:rsid w:val="00BB1709"/>
    <w:rsid w:val="00BB2F96"/>
    <w:rsid w:val="00BB360D"/>
    <w:rsid w:val="00BB41F2"/>
    <w:rsid w:val="00BB59F1"/>
    <w:rsid w:val="00BB68A1"/>
    <w:rsid w:val="00BB756A"/>
    <w:rsid w:val="00BC019E"/>
    <w:rsid w:val="00BC09AA"/>
    <w:rsid w:val="00BC2C85"/>
    <w:rsid w:val="00BC523E"/>
    <w:rsid w:val="00BC5816"/>
    <w:rsid w:val="00BC640C"/>
    <w:rsid w:val="00BD0434"/>
    <w:rsid w:val="00BD0474"/>
    <w:rsid w:val="00BD04E7"/>
    <w:rsid w:val="00BD0B1E"/>
    <w:rsid w:val="00BD14B5"/>
    <w:rsid w:val="00BD24D8"/>
    <w:rsid w:val="00BD308D"/>
    <w:rsid w:val="00BD3CA6"/>
    <w:rsid w:val="00BD4DB4"/>
    <w:rsid w:val="00BD4EE4"/>
    <w:rsid w:val="00BD56EE"/>
    <w:rsid w:val="00BD58DD"/>
    <w:rsid w:val="00BD656B"/>
    <w:rsid w:val="00BD6BEB"/>
    <w:rsid w:val="00BD6FE9"/>
    <w:rsid w:val="00BD7600"/>
    <w:rsid w:val="00BD777A"/>
    <w:rsid w:val="00BD7A1D"/>
    <w:rsid w:val="00BE0287"/>
    <w:rsid w:val="00BE0ACF"/>
    <w:rsid w:val="00BE2DF8"/>
    <w:rsid w:val="00BE32AD"/>
    <w:rsid w:val="00BE37E4"/>
    <w:rsid w:val="00BE4470"/>
    <w:rsid w:val="00BE58F7"/>
    <w:rsid w:val="00BE631E"/>
    <w:rsid w:val="00BE6CEB"/>
    <w:rsid w:val="00BE6FCE"/>
    <w:rsid w:val="00BE7999"/>
    <w:rsid w:val="00BF03A4"/>
    <w:rsid w:val="00BF08C6"/>
    <w:rsid w:val="00BF0BA3"/>
    <w:rsid w:val="00BF17C1"/>
    <w:rsid w:val="00BF2A28"/>
    <w:rsid w:val="00BF3832"/>
    <w:rsid w:val="00BF3CD7"/>
    <w:rsid w:val="00BF4F38"/>
    <w:rsid w:val="00BF748A"/>
    <w:rsid w:val="00C0098B"/>
    <w:rsid w:val="00C01724"/>
    <w:rsid w:val="00C01994"/>
    <w:rsid w:val="00C01E93"/>
    <w:rsid w:val="00C03133"/>
    <w:rsid w:val="00C03639"/>
    <w:rsid w:val="00C04B46"/>
    <w:rsid w:val="00C04F80"/>
    <w:rsid w:val="00C055B6"/>
    <w:rsid w:val="00C06AD5"/>
    <w:rsid w:val="00C0762F"/>
    <w:rsid w:val="00C077F2"/>
    <w:rsid w:val="00C11BB7"/>
    <w:rsid w:val="00C11F1E"/>
    <w:rsid w:val="00C121B1"/>
    <w:rsid w:val="00C13649"/>
    <w:rsid w:val="00C1521E"/>
    <w:rsid w:val="00C16135"/>
    <w:rsid w:val="00C161FA"/>
    <w:rsid w:val="00C1656D"/>
    <w:rsid w:val="00C16668"/>
    <w:rsid w:val="00C17286"/>
    <w:rsid w:val="00C17835"/>
    <w:rsid w:val="00C2061A"/>
    <w:rsid w:val="00C2149F"/>
    <w:rsid w:val="00C21D49"/>
    <w:rsid w:val="00C21DC9"/>
    <w:rsid w:val="00C21F03"/>
    <w:rsid w:val="00C226C0"/>
    <w:rsid w:val="00C228F1"/>
    <w:rsid w:val="00C23B84"/>
    <w:rsid w:val="00C24713"/>
    <w:rsid w:val="00C24B99"/>
    <w:rsid w:val="00C2535B"/>
    <w:rsid w:val="00C2745C"/>
    <w:rsid w:val="00C2772D"/>
    <w:rsid w:val="00C3142E"/>
    <w:rsid w:val="00C321D7"/>
    <w:rsid w:val="00C32A7B"/>
    <w:rsid w:val="00C33FDD"/>
    <w:rsid w:val="00C34427"/>
    <w:rsid w:val="00C35D52"/>
    <w:rsid w:val="00C367E3"/>
    <w:rsid w:val="00C37262"/>
    <w:rsid w:val="00C402AE"/>
    <w:rsid w:val="00C409B9"/>
    <w:rsid w:val="00C421E8"/>
    <w:rsid w:val="00C4245F"/>
    <w:rsid w:val="00C43300"/>
    <w:rsid w:val="00C43654"/>
    <w:rsid w:val="00C43AD7"/>
    <w:rsid w:val="00C44863"/>
    <w:rsid w:val="00C4514C"/>
    <w:rsid w:val="00C463ED"/>
    <w:rsid w:val="00C46E04"/>
    <w:rsid w:val="00C472A8"/>
    <w:rsid w:val="00C4733D"/>
    <w:rsid w:val="00C47902"/>
    <w:rsid w:val="00C50765"/>
    <w:rsid w:val="00C50A01"/>
    <w:rsid w:val="00C51195"/>
    <w:rsid w:val="00C52235"/>
    <w:rsid w:val="00C526A3"/>
    <w:rsid w:val="00C53496"/>
    <w:rsid w:val="00C53DB1"/>
    <w:rsid w:val="00C54C6A"/>
    <w:rsid w:val="00C555D5"/>
    <w:rsid w:val="00C55E3F"/>
    <w:rsid w:val="00C56782"/>
    <w:rsid w:val="00C56859"/>
    <w:rsid w:val="00C57049"/>
    <w:rsid w:val="00C63434"/>
    <w:rsid w:val="00C635B5"/>
    <w:rsid w:val="00C64255"/>
    <w:rsid w:val="00C6431D"/>
    <w:rsid w:val="00C645F7"/>
    <w:rsid w:val="00C64C9C"/>
    <w:rsid w:val="00C668EF"/>
    <w:rsid w:val="00C66AE9"/>
    <w:rsid w:val="00C670BD"/>
    <w:rsid w:val="00C67D1D"/>
    <w:rsid w:val="00C70511"/>
    <w:rsid w:val="00C70B6C"/>
    <w:rsid w:val="00C7108E"/>
    <w:rsid w:val="00C7171D"/>
    <w:rsid w:val="00C723F3"/>
    <w:rsid w:val="00C7272A"/>
    <w:rsid w:val="00C733BC"/>
    <w:rsid w:val="00C7411A"/>
    <w:rsid w:val="00C7435D"/>
    <w:rsid w:val="00C75659"/>
    <w:rsid w:val="00C7621F"/>
    <w:rsid w:val="00C778FD"/>
    <w:rsid w:val="00C82082"/>
    <w:rsid w:val="00C852A3"/>
    <w:rsid w:val="00C85C0D"/>
    <w:rsid w:val="00C86B35"/>
    <w:rsid w:val="00C87746"/>
    <w:rsid w:val="00C87BE8"/>
    <w:rsid w:val="00C87FEA"/>
    <w:rsid w:val="00C91692"/>
    <w:rsid w:val="00C918BF"/>
    <w:rsid w:val="00C93029"/>
    <w:rsid w:val="00C93C1B"/>
    <w:rsid w:val="00C94A6D"/>
    <w:rsid w:val="00C94E32"/>
    <w:rsid w:val="00C951F4"/>
    <w:rsid w:val="00C96B47"/>
    <w:rsid w:val="00C96BB4"/>
    <w:rsid w:val="00C96E92"/>
    <w:rsid w:val="00CA1F87"/>
    <w:rsid w:val="00CA25F4"/>
    <w:rsid w:val="00CA2A94"/>
    <w:rsid w:val="00CA3211"/>
    <w:rsid w:val="00CA40E3"/>
    <w:rsid w:val="00CA4D5C"/>
    <w:rsid w:val="00CA6597"/>
    <w:rsid w:val="00CB0639"/>
    <w:rsid w:val="00CB192C"/>
    <w:rsid w:val="00CB201F"/>
    <w:rsid w:val="00CB2C07"/>
    <w:rsid w:val="00CB2E64"/>
    <w:rsid w:val="00CB2F4E"/>
    <w:rsid w:val="00CB337A"/>
    <w:rsid w:val="00CB4173"/>
    <w:rsid w:val="00CB5390"/>
    <w:rsid w:val="00CB564B"/>
    <w:rsid w:val="00CB5A47"/>
    <w:rsid w:val="00CC10CB"/>
    <w:rsid w:val="00CC2B29"/>
    <w:rsid w:val="00CC30DD"/>
    <w:rsid w:val="00CC36F4"/>
    <w:rsid w:val="00CC43E3"/>
    <w:rsid w:val="00CC4999"/>
    <w:rsid w:val="00CC532C"/>
    <w:rsid w:val="00CC5BF5"/>
    <w:rsid w:val="00CC6350"/>
    <w:rsid w:val="00CC64A1"/>
    <w:rsid w:val="00CC68B3"/>
    <w:rsid w:val="00CC70C2"/>
    <w:rsid w:val="00CC7713"/>
    <w:rsid w:val="00CC7B07"/>
    <w:rsid w:val="00CD1EE2"/>
    <w:rsid w:val="00CD2423"/>
    <w:rsid w:val="00CD4C21"/>
    <w:rsid w:val="00CD6264"/>
    <w:rsid w:val="00CD689E"/>
    <w:rsid w:val="00CD7A4D"/>
    <w:rsid w:val="00CE017B"/>
    <w:rsid w:val="00CE1098"/>
    <w:rsid w:val="00CE13AA"/>
    <w:rsid w:val="00CE1574"/>
    <w:rsid w:val="00CE2F20"/>
    <w:rsid w:val="00CE33FD"/>
    <w:rsid w:val="00CE36AE"/>
    <w:rsid w:val="00CE4916"/>
    <w:rsid w:val="00CE6054"/>
    <w:rsid w:val="00CE6677"/>
    <w:rsid w:val="00CE694E"/>
    <w:rsid w:val="00CE7358"/>
    <w:rsid w:val="00CF0C27"/>
    <w:rsid w:val="00CF0FCC"/>
    <w:rsid w:val="00CF204F"/>
    <w:rsid w:val="00CF27C3"/>
    <w:rsid w:val="00CF3CDF"/>
    <w:rsid w:val="00CF4347"/>
    <w:rsid w:val="00CF5695"/>
    <w:rsid w:val="00CF58E8"/>
    <w:rsid w:val="00CF5CB0"/>
    <w:rsid w:val="00CF6F7B"/>
    <w:rsid w:val="00CF75DE"/>
    <w:rsid w:val="00CF7E19"/>
    <w:rsid w:val="00D001CD"/>
    <w:rsid w:val="00D01218"/>
    <w:rsid w:val="00D01840"/>
    <w:rsid w:val="00D01A46"/>
    <w:rsid w:val="00D02945"/>
    <w:rsid w:val="00D0792B"/>
    <w:rsid w:val="00D11D0C"/>
    <w:rsid w:val="00D12214"/>
    <w:rsid w:val="00D1288F"/>
    <w:rsid w:val="00D129B4"/>
    <w:rsid w:val="00D12D7A"/>
    <w:rsid w:val="00D14FC5"/>
    <w:rsid w:val="00D15897"/>
    <w:rsid w:val="00D159FE"/>
    <w:rsid w:val="00D15D88"/>
    <w:rsid w:val="00D173E9"/>
    <w:rsid w:val="00D17602"/>
    <w:rsid w:val="00D179B4"/>
    <w:rsid w:val="00D17B7B"/>
    <w:rsid w:val="00D20A9C"/>
    <w:rsid w:val="00D21257"/>
    <w:rsid w:val="00D214A7"/>
    <w:rsid w:val="00D21E84"/>
    <w:rsid w:val="00D21F58"/>
    <w:rsid w:val="00D22855"/>
    <w:rsid w:val="00D236C5"/>
    <w:rsid w:val="00D23947"/>
    <w:rsid w:val="00D239EA"/>
    <w:rsid w:val="00D2440F"/>
    <w:rsid w:val="00D2497D"/>
    <w:rsid w:val="00D24B8D"/>
    <w:rsid w:val="00D259B2"/>
    <w:rsid w:val="00D26C27"/>
    <w:rsid w:val="00D3012D"/>
    <w:rsid w:val="00D3115F"/>
    <w:rsid w:val="00D318CE"/>
    <w:rsid w:val="00D32651"/>
    <w:rsid w:val="00D328BA"/>
    <w:rsid w:val="00D32C27"/>
    <w:rsid w:val="00D34A1D"/>
    <w:rsid w:val="00D34AC9"/>
    <w:rsid w:val="00D36385"/>
    <w:rsid w:val="00D366AD"/>
    <w:rsid w:val="00D36BE4"/>
    <w:rsid w:val="00D374D6"/>
    <w:rsid w:val="00D37593"/>
    <w:rsid w:val="00D400B4"/>
    <w:rsid w:val="00D405D3"/>
    <w:rsid w:val="00D41D1C"/>
    <w:rsid w:val="00D4437E"/>
    <w:rsid w:val="00D45EAD"/>
    <w:rsid w:val="00D4735E"/>
    <w:rsid w:val="00D475E7"/>
    <w:rsid w:val="00D47817"/>
    <w:rsid w:val="00D47CE1"/>
    <w:rsid w:val="00D47DFD"/>
    <w:rsid w:val="00D5010D"/>
    <w:rsid w:val="00D510C6"/>
    <w:rsid w:val="00D52BA1"/>
    <w:rsid w:val="00D53788"/>
    <w:rsid w:val="00D54C77"/>
    <w:rsid w:val="00D5564F"/>
    <w:rsid w:val="00D55D76"/>
    <w:rsid w:val="00D567F2"/>
    <w:rsid w:val="00D57548"/>
    <w:rsid w:val="00D57D69"/>
    <w:rsid w:val="00D601C2"/>
    <w:rsid w:val="00D60203"/>
    <w:rsid w:val="00D640C6"/>
    <w:rsid w:val="00D64B0D"/>
    <w:rsid w:val="00D65737"/>
    <w:rsid w:val="00D65A14"/>
    <w:rsid w:val="00D661F3"/>
    <w:rsid w:val="00D66A45"/>
    <w:rsid w:val="00D67299"/>
    <w:rsid w:val="00D672DE"/>
    <w:rsid w:val="00D67C96"/>
    <w:rsid w:val="00D702F1"/>
    <w:rsid w:val="00D70F4D"/>
    <w:rsid w:val="00D73D06"/>
    <w:rsid w:val="00D7444D"/>
    <w:rsid w:val="00D7467B"/>
    <w:rsid w:val="00D80020"/>
    <w:rsid w:val="00D805A1"/>
    <w:rsid w:val="00D808B5"/>
    <w:rsid w:val="00D83C90"/>
    <w:rsid w:val="00D84606"/>
    <w:rsid w:val="00D848F6"/>
    <w:rsid w:val="00D84D51"/>
    <w:rsid w:val="00D8543F"/>
    <w:rsid w:val="00D85788"/>
    <w:rsid w:val="00D86422"/>
    <w:rsid w:val="00D86634"/>
    <w:rsid w:val="00D86868"/>
    <w:rsid w:val="00D87218"/>
    <w:rsid w:val="00D8740B"/>
    <w:rsid w:val="00D877E4"/>
    <w:rsid w:val="00D879F8"/>
    <w:rsid w:val="00D87F0B"/>
    <w:rsid w:val="00D90674"/>
    <w:rsid w:val="00D907C0"/>
    <w:rsid w:val="00D90D1C"/>
    <w:rsid w:val="00D918F7"/>
    <w:rsid w:val="00D91B17"/>
    <w:rsid w:val="00D92999"/>
    <w:rsid w:val="00D94F20"/>
    <w:rsid w:val="00D951E0"/>
    <w:rsid w:val="00D95F5E"/>
    <w:rsid w:val="00DA03CE"/>
    <w:rsid w:val="00DA155C"/>
    <w:rsid w:val="00DA1D1D"/>
    <w:rsid w:val="00DA2B18"/>
    <w:rsid w:val="00DA2BE7"/>
    <w:rsid w:val="00DA333A"/>
    <w:rsid w:val="00DA3C39"/>
    <w:rsid w:val="00DA489E"/>
    <w:rsid w:val="00DA4A76"/>
    <w:rsid w:val="00DA5154"/>
    <w:rsid w:val="00DA53CA"/>
    <w:rsid w:val="00DA6006"/>
    <w:rsid w:val="00DA6E22"/>
    <w:rsid w:val="00DA7835"/>
    <w:rsid w:val="00DB01CA"/>
    <w:rsid w:val="00DB3C86"/>
    <w:rsid w:val="00DB43DF"/>
    <w:rsid w:val="00DB441F"/>
    <w:rsid w:val="00DB47D4"/>
    <w:rsid w:val="00DB52FB"/>
    <w:rsid w:val="00DB58C3"/>
    <w:rsid w:val="00DB596C"/>
    <w:rsid w:val="00DB6E24"/>
    <w:rsid w:val="00DB6EF8"/>
    <w:rsid w:val="00DB7A25"/>
    <w:rsid w:val="00DC0C48"/>
    <w:rsid w:val="00DC0DAA"/>
    <w:rsid w:val="00DC2146"/>
    <w:rsid w:val="00DC2F62"/>
    <w:rsid w:val="00DC3522"/>
    <w:rsid w:val="00DC35FD"/>
    <w:rsid w:val="00DC3AD7"/>
    <w:rsid w:val="00DC4239"/>
    <w:rsid w:val="00DC44BB"/>
    <w:rsid w:val="00DC4786"/>
    <w:rsid w:val="00DC4954"/>
    <w:rsid w:val="00DC5CB5"/>
    <w:rsid w:val="00DC5D8A"/>
    <w:rsid w:val="00DC6B1E"/>
    <w:rsid w:val="00DC7CB5"/>
    <w:rsid w:val="00DD0B1C"/>
    <w:rsid w:val="00DD106D"/>
    <w:rsid w:val="00DD1195"/>
    <w:rsid w:val="00DD17B1"/>
    <w:rsid w:val="00DD18DA"/>
    <w:rsid w:val="00DD1BDD"/>
    <w:rsid w:val="00DD319E"/>
    <w:rsid w:val="00DD3822"/>
    <w:rsid w:val="00DD47C8"/>
    <w:rsid w:val="00DD5B72"/>
    <w:rsid w:val="00DD6D7D"/>
    <w:rsid w:val="00DD7788"/>
    <w:rsid w:val="00DE0272"/>
    <w:rsid w:val="00DE0CDA"/>
    <w:rsid w:val="00DE0E9B"/>
    <w:rsid w:val="00DE126E"/>
    <w:rsid w:val="00DE1CA3"/>
    <w:rsid w:val="00DE30F1"/>
    <w:rsid w:val="00DE3453"/>
    <w:rsid w:val="00DE3D73"/>
    <w:rsid w:val="00DE71D8"/>
    <w:rsid w:val="00DF0380"/>
    <w:rsid w:val="00DF124D"/>
    <w:rsid w:val="00DF1B68"/>
    <w:rsid w:val="00DF1CCE"/>
    <w:rsid w:val="00DF1DDC"/>
    <w:rsid w:val="00DF1F8B"/>
    <w:rsid w:val="00DF2B1D"/>
    <w:rsid w:val="00DF3E98"/>
    <w:rsid w:val="00DF48C6"/>
    <w:rsid w:val="00DF4AC3"/>
    <w:rsid w:val="00DF552E"/>
    <w:rsid w:val="00DF5DA8"/>
    <w:rsid w:val="00DF5F37"/>
    <w:rsid w:val="00DF62C7"/>
    <w:rsid w:val="00DF63D9"/>
    <w:rsid w:val="00DF7CEE"/>
    <w:rsid w:val="00E00761"/>
    <w:rsid w:val="00E00E62"/>
    <w:rsid w:val="00E019A2"/>
    <w:rsid w:val="00E01A23"/>
    <w:rsid w:val="00E01ABF"/>
    <w:rsid w:val="00E021DD"/>
    <w:rsid w:val="00E03166"/>
    <w:rsid w:val="00E03E53"/>
    <w:rsid w:val="00E06627"/>
    <w:rsid w:val="00E071EA"/>
    <w:rsid w:val="00E10104"/>
    <w:rsid w:val="00E1111D"/>
    <w:rsid w:val="00E125CE"/>
    <w:rsid w:val="00E12902"/>
    <w:rsid w:val="00E15853"/>
    <w:rsid w:val="00E200D8"/>
    <w:rsid w:val="00E209AD"/>
    <w:rsid w:val="00E223EF"/>
    <w:rsid w:val="00E229D6"/>
    <w:rsid w:val="00E23E93"/>
    <w:rsid w:val="00E24611"/>
    <w:rsid w:val="00E25515"/>
    <w:rsid w:val="00E267A7"/>
    <w:rsid w:val="00E26A70"/>
    <w:rsid w:val="00E2762D"/>
    <w:rsid w:val="00E27A9B"/>
    <w:rsid w:val="00E27F53"/>
    <w:rsid w:val="00E3046B"/>
    <w:rsid w:val="00E30977"/>
    <w:rsid w:val="00E30CDC"/>
    <w:rsid w:val="00E30DC5"/>
    <w:rsid w:val="00E316D6"/>
    <w:rsid w:val="00E31A3A"/>
    <w:rsid w:val="00E3230C"/>
    <w:rsid w:val="00E32AC9"/>
    <w:rsid w:val="00E32C73"/>
    <w:rsid w:val="00E33CF8"/>
    <w:rsid w:val="00E353C7"/>
    <w:rsid w:val="00E358A4"/>
    <w:rsid w:val="00E35D49"/>
    <w:rsid w:val="00E366ED"/>
    <w:rsid w:val="00E36B26"/>
    <w:rsid w:val="00E36C0D"/>
    <w:rsid w:val="00E3712E"/>
    <w:rsid w:val="00E4092E"/>
    <w:rsid w:val="00E40B64"/>
    <w:rsid w:val="00E40D3C"/>
    <w:rsid w:val="00E40FC6"/>
    <w:rsid w:val="00E415C0"/>
    <w:rsid w:val="00E41A92"/>
    <w:rsid w:val="00E41A93"/>
    <w:rsid w:val="00E42129"/>
    <w:rsid w:val="00E432B3"/>
    <w:rsid w:val="00E43510"/>
    <w:rsid w:val="00E43927"/>
    <w:rsid w:val="00E46325"/>
    <w:rsid w:val="00E46515"/>
    <w:rsid w:val="00E4651C"/>
    <w:rsid w:val="00E46D8D"/>
    <w:rsid w:val="00E47CA3"/>
    <w:rsid w:val="00E51E49"/>
    <w:rsid w:val="00E525AB"/>
    <w:rsid w:val="00E526A0"/>
    <w:rsid w:val="00E52C51"/>
    <w:rsid w:val="00E53792"/>
    <w:rsid w:val="00E53C63"/>
    <w:rsid w:val="00E545E6"/>
    <w:rsid w:val="00E5549F"/>
    <w:rsid w:val="00E57167"/>
    <w:rsid w:val="00E57C6A"/>
    <w:rsid w:val="00E604CD"/>
    <w:rsid w:val="00E60785"/>
    <w:rsid w:val="00E638F4"/>
    <w:rsid w:val="00E63AD5"/>
    <w:rsid w:val="00E6532A"/>
    <w:rsid w:val="00E65A08"/>
    <w:rsid w:val="00E65C0F"/>
    <w:rsid w:val="00E65C50"/>
    <w:rsid w:val="00E66051"/>
    <w:rsid w:val="00E66BD0"/>
    <w:rsid w:val="00E70B68"/>
    <w:rsid w:val="00E70C9F"/>
    <w:rsid w:val="00E711D4"/>
    <w:rsid w:val="00E71A75"/>
    <w:rsid w:val="00E72EDB"/>
    <w:rsid w:val="00E737FD"/>
    <w:rsid w:val="00E739E8"/>
    <w:rsid w:val="00E74A72"/>
    <w:rsid w:val="00E74DC0"/>
    <w:rsid w:val="00E7588C"/>
    <w:rsid w:val="00E76625"/>
    <w:rsid w:val="00E76653"/>
    <w:rsid w:val="00E7724C"/>
    <w:rsid w:val="00E816FE"/>
    <w:rsid w:val="00E823EE"/>
    <w:rsid w:val="00E82A60"/>
    <w:rsid w:val="00E84190"/>
    <w:rsid w:val="00E85D06"/>
    <w:rsid w:val="00E86C5E"/>
    <w:rsid w:val="00E87860"/>
    <w:rsid w:val="00E87FE2"/>
    <w:rsid w:val="00E90287"/>
    <w:rsid w:val="00E91826"/>
    <w:rsid w:val="00E91AB5"/>
    <w:rsid w:val="00E91E5E"/>
    <w:rsid w:val="00E924B1"/>
    <w:rsid w:val="00E96980"/>
    <w:rsid w:val="00E96B10"/>
    <w:rsid w:val="00E96E3E"/>
    <w:rsid w:val="00E97591"/>
    <w:rsid w:val="00E97C33"/>
    <w:rsid w:val="00E97FF9"/>
    <w:rsid w:val="00EA0F4B"/>
    <w:rsid w:val="00EA175C"/>
    <w:rsid w:val="00EA24C7"/>
    <w:rsid w:val="00EA2566"/>
    <w:rsid w:val="00EA289E"/>
    <w:rsid w:val="00EA2B7E"/>
    <w:rsid w:val="00EA2DDE"/>
    <w:rsid w:val="00EA3C1B"/>
    <w:rsid w:val="00EA69F5"/>
    <w:rsid w:val="00EA6C05"/>
    <w:rsid w:val="00EB035C"/>
    <w:rsid w:val="00EB14CB"/>
    <w:rsid w:val="00EB243B"/>
    <w:rsid w:val="00EB24B3"/>
    <w:rsid w:val="00EB2580"/>
    <w:rsid w:val="00EB2E32"/>
    <w:rsid w:val="00EB4161"/>
    <w:rsid w:val="00EB4200"/>
    <w:rsid w:val="00EB483B"/>
    <w:rsid w:val="00EB48D3"/>
    <w:rsid w:val="00EB4B95"/>
    <w:rsid w:val="00EB7688"/>
    <w:rsid w:val="00EB794A"/>
    <w:rsid w:val="00EB7AEA"/>
    <w:rsid w:val="00EC0508"/>
    <w:rsid w:val="00EC07B8"/>
    <w:rsid w:val="00EC08DD"/>
    <w:rsid w:val="00EC1A18"/>
    <w:rsid w:val="00EC1CE5"/>
    <w:rsid w:val="00EC2514"/>
    <w:rsid w:val="00EC27A8"/>
    <w:rsid w:val="00EC2B07"/>
    <w:rsid w:val="00EC3A3D"/>
    <w:rsid w:val="00EC427A"/>
    <w:rsid w:val="00EC439D"/>
    <w:rsid w:val="00EC43FE"/>
    <w:rsid w:val="00EC456E"/>
    <w:rsid w:val="00EC4B7B"/>
    <w:rsid w:val="00EC5698"/>
    <w:rsid w:val="00ED066A"/>
    <w:rsid w:val="00ED0B6B"/>
    <w:rsid w:val="00ED108D"/>
    <w:rsid w:val="00ED1A30"/>
    <w:rsid w:val="00ED30DB"/>
    <w:rsid w:val="00ED3481"/>
    <w:rsid w:val="00ED4AED"/>
    <w:rsid w:val="00ED605D"/>
    <w:rsid w:val="00ED74C8"/>
    <w:rsid w:val="00ED7912"/>
    <w:rsid w:val="00ED7E98"/>
    <w:rsid w:val="00EE01E1"/>
    <w:rsid w:val="00EE0265"/>
    <w:rsid w:val="00EE1380"/>
    <w:rsid w:val="00EE5B3B"/>
    <w:rsid w:val="00EE6007"/>
    <w:rsid w:val="00EE6ED2"/>
    <w:rsid w:val="00EE71B8"/>
    <w:rsid w:val="00EF0729"/>
    <w:rsid w:val="00EF1195"/>
    <w:rsid w:val="00EF206E"/>
    <w:rsid w:val="00EF2919"/>
    <w:rsid w:val="00EF3F7F"/>
    <w:rsid w:val="00EF457B"/>
    <w:rsid w:val="00EF4CF8"/>
    <w:rsid w:val="00EF5336"/>
    <w:rsid w:val="00EF682D"/>
    <w:rsid w:val="00EF7EAB"/>
    <w:rsid w:val="00F02AAA"/>
    <w:rsid w:val="00F03CF1"/>
    <w:rsid w:val="00F060EB"/>
    <w:rsid w:val="00F06106"/>
    <w:rsid w:val="00F06138"/>
    <w:rsid w:val="00F071CB"/>
    <w:rsid w:val="00F11598"/>
    <w:rsid w:val="00F119BD"/>
    <w:rsid w:val="00F11A38"/>
    <w:rsid w:val="00F123E6"/>
    <w:rsid w:val="00F13CBB"/>
    <w:rsid w:val="00F146BE"/>
    <w:rsid w:val="00F156BA"/>
    <w:rsid w:val="00F168CD"/>
    <w:rsid w:val="00F16AC5"/>
    <w:rsid w:val="00F16BD4"/>
    <w:rsid w:val="00F16FA9"/>
    <w:rsid w:val="00F1709A"/>
    <w:rsid w:val="00F17F03"/>
    <w:rsid w:val="00F21E44"/>
    <w:rsid w:val="00F22A86"/>
    <w:rsid w:val="00F239B7"/>
    <w:rsid w:val="00F23F9C"/>
    <w:rsid w:val="00F2475E"/>
    <w:rsid w:val="00F24890"/>
    <w:rsid w:val="00F25268"/>
    <w:rsid w:val="00F26AD2"/>
    <w:rsid w:val="00F26ED7"/>
    <w:rsid w:val="00F274FC"/>
    <w:rsid w:val="00F316A6"/>
    <w:rsid w:val="00F317AE"/>
    <w:rsid w:val="00F32023"/>
    <w:rsid w:val="00F33A3F"/>
    <w:rsid w:val="00F35454"/>
    <w:rsid w:val="00F35FF7"/>
    <w:rsid w:val="00F3740F"/>
    <w:rsid w:val="00F414C4"/>
    <w:rsid w:val="00F41CC9"/>
    <w:rsid w:val="00F41D6C"/>
    <w:rsid w:val="00F41DBF"/>
    <w:rsid w:val="00F420C4"/>
    <w:rsid w:val="00F42956"/>
    <w:rsid w:val="00F44068"/>
    <w:rsid w:val="00F4494D"/>
    <w:rsid w:val="00F44CDF"/>
    <w:rsid w:val="00F44E83"/>
    <w:rsid w:val="00F453B3"/>
    <w:rsid w:val="00F45E70"/>
    <w:rsid w:val="00F45FF1"/>
    <w:rsid w:val="00F46859"/>
    <w:rsid w:val="00F46A94"/>
    <w:rsid w:val="00F47B27"/>
    <w:rsid w:val="00F519BD"/>
    <w:rsid w:val="00F51E44"/>
    <w:rsid w:val="00F54023"/>
    <w:rsid w:val="00F55F18"/>
    <w:rsid w:val="00F565A3"/>
    <w:rsid w:val="00F566E9"/>
    <w:rsid w:val="00F57325"/>
    <w:rsid w:val="00F57786"/>
    <w:rsid w:val="00F6107E"/>
    <w:rsid w:val="00F6170A"/>
    <w:rsid w:val="00F62EFC"/>
    <w:rsid w:val="00F6509E"/>
    <w:rsid w:val="00F6514D"/>
    <w:rsid w:val="00F65D98"/>
    <w:rsid w:val="00F67213"/>
    <w:rsid w:val="00F7085F"/>
    <w:rsid w:val="00F71BDE"/>
    <w:rsid w:val="00F71F95"/>
    <w:rsid w:val="00F72423"/>
    <w:rsid w:val="00F74294"/>
    <w:rsid w:val="00F7449C"/>
    <w:rsid w:val="00F757F2"/>
    <w:rsid w:val="00F75B49"/>
    <w:rsid w:val="00F768E1"/>
    <w:rsid w:val="00F779EC"/>
    <w:rsid w:val="00F77E25"/>
    <w:rsid w:val="00F80281"/>
    <w:rsid w:val="00F80845"/>
    <w:rsid w:val="00F8228C"/>
    <w:rsid w:val="00F8308B"/>
    <w:rsid w:val="00F846C4"/>
    <w:rsid w:val="00F85EF1"/>
    <w:rsid w:val="00F87D29"/>
    <w:rsid w:val="00F900FE"/>
    <w:rsid w:val="00F90807"/>
    <w:rsid w:val="00F91142"/>
    <w:rsid w:val="00F917F8"/>
    <w:rsid w:val="00F91888"/>
    <w:rsid w:val="00F92B84"/>
    <w:rsid w:val="00F92FFF"/>
    <w:rsid w:val="00F9339D"/>
    <w:rsid w:val="00F941F1"/>
    <w:rsid w:val="00F956CF"/>
    <w:rsid w:val="00F96321"/>
    <w:rsid w:val="00F968CC"/>
    <w:rsid w:val="00F971B3"/>
    <w:rsid w:val="00F97412"/>
    <w:rsid w:val="00F97E61"/>
    <w:rsid w:val="00FA102A"/>
    <w:rsid w:val="00FA1094"/>
    <w:rsid w:val="00FA202A"/>
    <w:rsid w:val="00FA20AE"/>
    <w:rsid w:val="00FA20F3"/>
    <w:rsid w:val="00FA276A"/>
    <w:rsid w:val="00FA5936"/>
    <w:rsid w:val="00FA70A0"/>
    <w:rsid w:val="00FA72BC"/>
    <w:rsid w:val="00FA7C70"/>
    <w:rsid w:val="00FB08C2"/>
    <w:rsid w:val="00FB0A11"/>
    <w:rsid w:val="00FB1F7C"/>
    <w:rsid w:val="00FB3002"/>
    <w:rsid w:val="00FB3E54"/>
    <w:rsid w:val="00FB42A7"/>
    <w:rsid w:val="00FB48F4"/>
    <w:rsid w:val="00FB574C"/>
    <w:rsid w:val="00FB60DF"/>
    <w:rsid w:val="00FB68D4"/>
    <w:rsid w:val="00FB7F8C"/>
    <w:rsid w:val="00FC137F"/>
    <w:rsid w:val="00FC16F0"/>
    <w:rsid w:val="00FC1748"/>
    <w:rsid w:val="00FC1AE8"/>
    <w:rsid w:val="00FC37DB"/>
    <w:rsid w:val="00FC4C1C"/>
    <w:rsid w:val="00FC4CE7"/>
    <w:rsid w:val="00FC5BE6"/>
    <w:rsid w:val="00FC6AFA"/>
    <w:rsid w:val="00FC714E"/>
    <w:rsid w:val="00FC7F09"/>
    <w:rsid w:val="00FD0D25"/>
    <w:rsid w:val="00FD0FEC"/>
    <w:rsid w:val="00FD24F0"/>
    <w:rsid w:val="00FD2D8A"/>
    <w:rsid w:val="00FD475D"/>
    <w:rsid w:val="00FD55A7"/>
    <w:rsid w:val="00FD592A"/>
    <w:rsid w:val="00FD6F89"/>
    <w:rsid w:val="00FD71E4"/>
    <w:rsid w:val="00FD7601"/>
    <w:rsid w:val="00FD7C90"/>
    <w:rsid w:val="00FD7D25"/>
    <w:rsid w:val="00FE2964"/>
    <w:rsid w:val="00FE39BE"/>
    <w:rsid w:val="00FE39EE"/>
    <w:rsid w:val="00FE3A78"/>
    <w:rsid w:val="00FE3B09"/>
    <w:rsid w:val="00FE58BB"/>
    <w:rsid w:val="00FE5ACE"/>
    <w:rsid w:val="00FE5C3B"/>
    <w:rsid w:val="00FE5C49"/>
    <w:rsid w:val="00FE6159"/>
    <w:rsid w:val="00FE6288"/>
    <w:rsid w:val="00FE6357"/>
    <w:rsid w:val="00FE6A14"/>
    <w:rsid w:val="00FE7251"/>
    <w:rsid w:val="00FE7900"/>
    <w:rsid w:val="00FE7F3E"/>
    <w:rsid w:val="00FF027C"/>
    <w:rsid w:val="00FF0559"/>
    <w:rsid w:val="00FF0B0D"/>
    <w:rsid w:val="00FF146E"/>
    <w:rsid w:val="00FF1B8A"/>
    <w:rsid w:val="00FF2108"/>
    <w:rsid w:val="00FF38F1"/>
    <w:rsid w:val="00FF3F07"/>
    <w:rsid w:val="00FF435D"/>
    <w:rsid w:val="00FF4AB1"/>
    <w:rsid w:val="00FF540B"/>
    <w:rsid w:val="00FF5D9E"/>
    <w:rsid w:val="00FF6655"/>
    <w:rsid w:val="00FF7726"/>
    <w:rsid w:val="0123E6E6"/>
    <w:rsid w:val="01C03306"/>
    <w:rsid w:val="01C310E7"/>
    <w:rsid w:val="02146CE3"/>
    <w:rsid w:val="03291083"/>
    <w:rsid w:val="037E689E"/>
    <w:rsid w:val="03ED241C"/>
    <w:rsid w:val="040B3AF1"/>
    <w:rsid w:val="04AF4A55"/>
    <w:rsid w:val="04FA52B7"/>
    <w:rsid w:val="05FB3EEE"/>
    <w:rsid w:val="06EF5174"/>
    <w:rsid w:val="075D1031"/>
    <w:rsid w:val="07F16915"/>
    <w:rsid w:val="08185842"/>
    <w:rsid w:val="08BBF491"/>
    <w:rsid w:val="0AEF9229"/>
    <w:rsid w:val="0B3B9676"/>
    <w:rsid w:val="0C041CFF"/>
    <w:rsid w:val="0D603BD0"/>
    <w:rsid w:val="0DFBDADE"/>
    <w:rsid w:val="0E272EC6"/>
    <w:rsid w:val="0ED5A9E4"/>
    <w:rsid w:val="0EF4169C"/>
    <w:rsid w:val="0FE224EF"/>
    <w:rsid w:val="0FF35CB0"/>
    <w:rsid w:val="10523E33"/>
    <w:rsid w:val="115B3EEF"/>
    <w:rsid w:val="11683B24"/>
    <w:rsid w:val="11804676"/>
    <w:rsid w:val="13045DA8"/>
    <w:rsid w:val="1318202A"/>
    <w:rsid w:val="133C3906"/>
    <w:rsid w:val="137A2AC6"/>
    <w:rsid w:val="13810AA4"/>
    <w:rsid w:val="14BD0D6B"/>
    <w:rsid w:val="14DA77BA"/>
    <w:rsid w:val="157F1A49"/>
    <w:rsid w:val="15CDBDC8"/>
    <w:rsid w:val="160C22A3"/>
    <w:rsid w:val="1629143C"/>
    <w:rsid w:val="16670663"/>
    <w:rsid w:val="16742EED"/>
    <w:rsid w:val="16FD73B0"/>
    <w:rsid w:val="173014EC"/>
    <w:rsid w:val="178F7BF1"/>
    <w:rsid w:val="17BDADFB"/>
    <w:rsid w:val="17BEC69B"/>
    <w:rsid w:val="17C96C63"/>
    <w:rsid w:val="17D47B03"/>
    <w:rsid w:val="17DF1EA9"/>
    <w:rsid w:val="17FE183B"/>
    <w:rsid w:val="189B3D09"/>
    <w:rsid w:val="18AE1E77"/>
    <w:rsid w:val="19791A18"/>
    <w:rsid w:val="1B1F6C2C"/>
    <w:rsid w:val="1B65D3BC"/>
    <w:rsid w:val="1B6FAA61"/>
    <w:rsid w:val="1BBEFF2D"/>
    <w:rsid w:val="1BCFCF31"/>
    <w:rsid w:val="1BDA3BC5"/>
    <w:rsid w:val="1BEE6E5A"/>
    <w:rsid w:val="1BFF6D08"/>
    <w:rsid w:val="1C561E14"/>
    <w:rsid w:val="1CDEDA0E"/>
    <w:rsid w:val="1CF94428"/>
    <w:rsid w:val="1CFBAF00"/>
    <w:rsid w:val="1D3B6AA2"/>
    <w:rsid w:val="1D7933ED"/>
    <w:rsid w:val="1D886D0B"/>
    <w:rsid w:val="1DBF436D"/>
    <w:rsid w:val="1DBF78BF"/>
    <w:rsid w:val="1DEFB4C7"/>
    <w:rsid w:val="1DEFBE59"/>
    <w:rsid w:val="1DFD7FE0"/>
    <w:rsid w:val="1DFFB513"/>
    <w:rsid w:val="1E3D321B"/>
    <w:rsid w:val="1E7D713A"/>
    <w:rsid w:val="1ED8EE19"/>
    <w:rsid w:val="1EE1EF47"/>
    <w:rsid w:val="1EF10CB1"/>
    <w:rsid w:val="1FBF7375"/>
    <w:rsid w:val="1FDDB237"/>
    <w:rsid w:val="1FEE6CB0"/>
    <w:rsid w:val="1FF5AE50"/>
    <w:rsid w:val="1FF9A8E2"/>
    <w:rsid w:val="1FFF2B4F"/>
    <w:rsid w:val="1FFF4BF4"/>
    <w:rsid w:val="214A7396"/>
    <w:rsid w:val="218F4931"/>
    <w:rsid w:val="219E062F"/>
    <w:rsid w:val="21BFC071"/>
    <w:rsid w:val="233708A3"/>
    <w:rsid w:val="2577011E"/>
    <w:rsid w:val="25AD2A5D"/>
    <w:rsid w:val="25CE052F"/>
    <w:rsid w:val="261D50CD"/>
    <w:rsid w:val="264E3873"/>
    <w:rsid w:val="267A5045"/>
    <w:rsid w:val="267D5E7E"/>
    <w:rsid w:val="26EE8D71"/>
    <w:rsid w:val="26F708A4"/>
    <w:rsid w:val="2732EE28"/>
    <w:rsid w:val="27370766"/>
    <w:rsid w:val="275F976D"/>
    <w:rsid w:val="2776915C"/>
    <w:rsid w:val="279351FA"/>
    <w:rsid w:val="27B96C35"/>
    <w:rsid w:val="27C73CC1"/>
    <w:rsid w:val="27DB2ADC"/>
    <w:rsid w:val="27DE8894"/>
    <w:rsid w:val="27EFA6FC"/>
    <w:rsid w:val="27EFDAF0"/>
    <w:rsid w:val="29DFDC0C"/>
    <w:rsid w:val="29FF340B"/>
    <w:rsid w:val="2BA95CC2"/>
    <w:rsid w:val="2BD74C25"/>
    <w:rsid w:val="2BFF6160"/>
    <w:rsid w:val="2C878FAB"/>
    <w:rsid w:val="2CC7271F"/>
    <w:rsid w:val="2D7D3CE6"/>
    <w:rsid w:val="2D7F49AD"/>
    <w:rsid w:val="2DB7A765"/>
    <w:rsid w:val="2DCD8C77"/>
    <w:rsid w:val="2DF7D6CC"/>
    <w:rsid w:val="2E1F7190"/>
    <w:rsid w:val="2EA7AF2A"/>
    <w:rsid w:val="2EBBF7CD"/>
    <w:rsid w:val="2ECFDF22"/>
    <w:rsid w:val="2EEFE88B"/>
    <w:rsid w:val="2F5E0981"/>
    <w:rsid w:val="2F6BFAC9"/>
    <w:rsid w:val="2F96E7BA"/>
    <w:rsid w:val="2FDDA261"/>
    <w:rsid w:val="2FEBDAE9"/>
    <w:rsid w:val="2FF71CFE"/>
    <w:rsid w:val="2FF7AC66"/>
    <w:rsid w:val="2FFF07B0"/>
    <w:rsid w:val="30912494"/>
    <w:rsid w:val="30E3C6D8"/>
    <w:rsid w:val="30E65529"/>
    <w:rsid w:val="31B735F1"/>
    <w:rsid w:val="31F65BC5"/>
    <w:rsid w:val="33FBCDCC"/>
    <w:rsid w:val="33FD39CF"/>
    <w:rsid w:val="33FFCDFA"/>
    <w:rsid w:val="34B779C7"/>
    <w:rsid w:val="34CF5CEC"/>
    <w:rsid w:val="34E055A5"/>
    <w:rsid w:val="34E5346C"/>
    <w:rsid w:val="35EB0EA2"/>
    <w:rsid w:val="3677BA75"/>
    <w:rsid w:val="36816193"/>
    <w:rsid w:val="36995ED7"/>
    <w:rsid w:val="36B6F232"/>
    <w:rsid w:val="36BC395D"/>
    <w:rsid w:val="36DEF824"/>
    <w:rsid w:val="36FF3DC3"/>
    <w:rsid w:val="377F7BB7"/>
    <w:rsid w:val="3797248F"/>
    <w:rsid w:val="37B7A27B"/>
    <w:rsid w:val="37CFA97A"/>
    <w:rsid w:val="37D1969F"/>
    <w:rsid w:val="37EF5621"/>
    <w:rsid w:val="37EF74DB"/>
    <w:rsid w:val="37F76A7A"/>
    <w:rsid w:val="37FF3ECE"/>
    <w:rsid w:val="37FFEC72"/>
    <w:rsid w:val="384113C3"/>
    <w:rsid w:val="385B2C3E"/>
    <w:rsid w:val="387FEEB8"/>
    <w:rsid w:val="389FFD0E"/>
    <w:rsid w:val="392BF547"/>
    <w:rsid w:val="39776AA3"/>
    <w:rsid w:val="397B4E51"/>
    <w:rsid w:val="398C4612"/>
    <w:rsid w:val="39A39EF4"/>
    <w:rsid w:val="39E621E1"/>
    <w:rsid w:val="39FBD2E6"/>
    <w:rsid w:val="3A5A01A0"/>
    <w:rsid w:val="3A7F6245"/>
    <w:rsid w:val="3AEB0E5A"/>
    <w:rsid w:val="3AEFC417"/>
    <w:rsid w:val="3B3E9B37"/>
    <w:rsid w:val="3B4FA1AF"/>
    <w:rsid w:val="3B4FA5C0"/>
    <w:rsid w:val="3B531602"/>
    <w:rsid w:val="3BA9F012"/>
    <w:rsid w:val="3BAB9182"/>
    <w:rsid w:val="3BE5DAF0"/>
    <w:rsid w:val="3BEB16C6"/>
    <w:rsid w:val="3BF66F8C"/>
    <w:rsid w:val="3BFB8B0A"/>
    <w:rsid w:val="3C7D4273"/>
    <w:rsid w:val="3C9B2C06"/>
    <w:rsid w:val="3CB7C9C3"/>
    <w:rsid w:val="3CCE1B4E"/>
    <w:rsid w:val="3CEF8113"/>
    <w:rsid w:val="3D73248C"/>
    <w:rsid w:val="3D761FDF"/>
    <w:rsid w:val="3D7D5F47"/>
    <w:rsid w:val="3D7EE166"/>
    <w:rsid w:val="3D9758B0"/>
    <w:rsid w:val="3DB15A34"/>
    <w:rsid w:val="3DCBE874"/>
    <w:rsid w:val="3DD4574E"/>
    <w:rsid w:val="3DD72671"/>
    <w:rsid w:val="3DE77B80"/>
    <w:rsid w:val="3DEAC215"/>
    <w:rsid w:val="3DF92EF8"/>
    <w:rsid w:val="3DFD693B"/>
    <w:rsid w:val="3DFF2784"/>
    <w:rsid w:val="3DFFDC4F"/>
    <w:rsid w:val="3E5DE891"/>
    <w:rsid w:val="3E7EC5D1"/>
    <w:rsid w:val="3EB74863"/>
    <w:rsid w:val="3ECA3916"/>
    <w:rsid w:val="3EF66B68"/>
    <w:rsid w:val="3EF79E87"/>
    <w:rsid w:val="3F3F3761"/>
    <w:rsid w:val="3F5D643A"/>
    <w:rsid w:val="3F5FE6FA"/>
    <w:rsid w:val="3F673003"/>
    <w:rsid w:val="3F7F1AE5"/>
    <w:rsid w:val="3F7F7FAC"/>
    <w:rsid w:val="3FAFD343"/>
    <w:rsid w:val="3FBBA733"/>
    <w:rsid w:val="3FBEFB5C"/>
    <w:rsid w:val="3FBF0BD1"/>
    <w:rsid w:val="3FBF537A"/>
    <w:rsid w:val="3FCF4807"/>
    <w:rsid w:val="3FCF8ACA"/>
    <w:rsid w:val="3FDF3ED9"/>
    <w:rsid w:val="3FDF676E"/>
    <w:rsid w:val="3FE6949F"/>
    <w:rsid w:val="3FEB6D5B"/>
    <w:rsid w:val="3FEF360D"/>
    <w:rsid w:val="3FEF7861"/>
    <w:rsid w:val="3FF1D5C2"/>
    <w:rsid w:val="3FF35356"/>
    <w:rsid w:val="3FFA0245"/>
    <w:rsid w:val="3FFEB1BF"/>
    <w:rsid w:val="3FFF25D4"/>
    <w:rsid w:val="3FFF7F4B"/>
    <w:rsid w:val="3FFF9FBB"/>
    <w:rsid w:val="3FFFA286"/>
    <w:rsid w:val="3FFFA86C"/>
    <w:rsid w:val="3FFFF453"/>
    <w:rsid w:val="402E5086"/>
    <w:rsid w:val="41A63871"/>
    <w:rsid w:val="421A572A"/>
    <w:rsid w:val="421E2F4D"/>
    <w:rsid w:val="425B0D45"/>
    <w:rsid w:val="428D0BB2"/>
    <w:rsid w:val="43817E6A"/>
    <w:rsid w:val="43EF1321"/>
    <w:rsid w:val="44260386"/>
    <w:rsid w:val="44AFF355"/>
    <w:rsid w:val="44EED997"/>
    <w:rsid w:val="45605CF4"/>
    <w:rsid w:val="457F69F1"/>
    <w:rsid w:val="45FF0815"/>
    <w:rsid w:val="46725C94"/>
    <w:rsid w:val="468E1469"/>
    <w:rsid w:val="471F9705"/>
    <w:rsid w:val="47672916"/>
    <w:rsid w:val="47C47F74"/>
    <w:rsid w:val="47E7B1C1"/>
    <w:rsid w:val="47FB80D5"/>
    <w:rsid w:val="47FD46E8"/>
    <w:rsid w:val="487C33A3"/>
    <w:rsid w:val="491F48CF"/>
    <w:rsid w:val="49693D13"/>
    <w:rsid w:val="4AEFB419"/>
    <w:rsid w:val="4B1AD193"/>
    <w:rsid w:val="4B7744CC"/>
    <w:rsid w:val="4BB7B22D"/>
    <w:rsid w:val="4BFF35FA"/>
    <w:rsid w:val="4CBB3BB3"/>
    <w:rsid w:val="4CDFB2D2"/>
    <w:rsid w:val="4D5ED344"/>
    <w:rsid w:val="4D678F58"/>
    <w:rsid w:val="4D70739B"/>
    <w:rsid w:val="4D7C438C"/>
    <w:rsid w:val="4DAD3831"/>
    <w:rsid w:val="4DADC526"/>
    <w:rsid w:val="4DC36B8D"/>
    <w:rsid w:val="4DEE7E83"/>
    <w:rsid w:val="4DEF6F6C"/>
    <w:rsid w:val="4DF3F31D"/>
    <w:rsid w:val="4E121292"/>
    <w:rsid w:val="4E7B459A"/>
    <w:rsid w:val="4ECD10F0"/>
    <w:rsid w:val="4EFE1133"/>
    <w:rsid w:val="4F4AF30E"/>
    <w:rsid w:val="4F5E1EC6"/>
    <w:rsid w:val="4FA8A970"/>
    <w:rsid w:val="4FAE0BB5"/>
    <w:rsid w:val="4FAFB09B"/>
    <w:rsid w:val="4FD93E94"/>
    <w:rsid w:val="4FDF8EB8"/>
    <w:rsid w:val="4FDFE049"/>
    <w:rsid w:val="4FEFE20D"/>
    <w:rsid w:val="4FF3C995"/>
    <w:rsid w:val="4FFA63C2"/>
    <w:rsid w:val="4FFE346F"/>
    <w:rsid w:val="4FFF02FB"/>
    <w:rsid w:val="4FFF26E9"/>
    <w:rsid w:val="4FFF9BD4"/>
    <w:rsid w:val="505A76D1"/>
    <w:rsid w:val="50A1794A"/>
    <w:rsid w:val="50F7734E"/>
    <w:rsid w:val="51ED42C6"/>
    <w:rsid w:val="51F7DAF4"/>
    <w:rsid w:val="525F4103"/>
    <w:rsid w:val="526667B8"/>
    <w:rsid w:val="52963FB5"/>
    <w:rsid w:val="52F842CA"/>
    <w:rsid w:val="53D90AE1"/>
    <w:rsid w:val="54695B81"/>
    <w:rsid w:val="55151BCF"/>
    <w:rsid w:val="553E3E88"/>
    <w:rsid w:val="55571013"/>
    <w:rsid w:val="557F59FD"/>
    <w:rsid w:val="558B2ED4"/>
    <w:rsid w:val="55BFC283"/>
    <w:rsid w:val="55EA6B3E"/>
    <w:rsid w:val="55FF7BDB"/>
    <w:rsid w:val="56BE036D"/>
    <w:rsid w:val="56BF8D58"/>
    <w:rsid w:val="56C73045"/>
    <w:rsid w:val="56FFA02C"/>
    <w:rsid w:val="56FFCDE5"/>
    <w:rsid w:val="57286503"/>
    <w:rsid w:val="5736C8ED"/>
    <w:rsid w:val="576511D6"/>
    <w:rsid w:val="577BB77E"/>
    <w:rsid w:val="577DCC88"/>
    <w:rsid w:val="57BE94E1"/>
    <w:rsid w:val="57ED2C79"/>
    <w:rsid w:val="57F720DE"/>
    <w:rsid w:val="57F79D73"/>
    <w:rsid w:val="59BBBDF1"/>
    <w:rsid w:val="59F7966E"/>
    <w:rsid w:val="5A4E5B07"/>
    <w:rsid w:val="5A7BFCFF"/>
    <w:rsid w:val="5ABE3825"/>
    <w:rsid w:val="5ACB49FE"/>
    <w:rsid w:val="5AEDE7B3"/>
    <w:rsid w:val="5AEF3882"/>
    <w:rsid w:val="5AFCBEAC"/>
    <w:rsid w:val="5B5B5AA1"/>
    <w:rsid w:val="5B93C95D"/>
    <w:rsid w:val="5BD32227"/>
    <w:rsid w:val="5BE79DD4"/>
    <w:rsid w:val="5BEEA8DA"/>
    <w:rsid w:val="5BFD8AF7"/>
    <w:rsid w:val="5BFE7B80"/>
    <w:rsid w:val="5BFF1A7D"/>
    <w:rsid w:val="5BFF93ED"/>
    <w:rsid w:val="5BFFF14A"/>
    <w:rsid w:val="5C436DFB"/>
    <w:rsid w:val="5C55325F"/>
    <w:rsid w:val="5CBB6E3E"/>
    <w:rsid w:val="5CDF44A6"/>
    <w:rsid w:val="5CE5754D"/>
    <w:rsid w:val="5D55822B"/>
    <w:rsid w:val="5D6857E9"/>
    <w:rsid w:val="5D7E3057"/>
    <w:rsid w:val="5D7EA7FE"/>
    <w:rsid w:val="5DB4F2CF"/>
    <w:rsid w:val="5DBF61DA"/>
    <w:rsid w:val="5DCD610C"/>
    <w:rsid w:val="5DEF040C"/>
    <w:rsid w:val="5DF65422"/>
    <w:rsid w:val="5DF66356"/>
    <w:rsid w:val="5DF7113D"/>
    <w:rsid w:val="5DF78162"/>
    <w:rsid w:val="5DFDCB83"/>
    <w:rsid w:val="5DFDF53C"/>
    <w:rsid w:val="5DFE3C2B"/>
    <w:rsid w:val="5E1D3FB1"/>
    <w:rsid w:val="5E2A73C0"/>
    <w:rsid w:val="5E793521"/>
    <w:rsid w:val="5E7F79EF"/>
    <w:rsid w:val="5E8866D7"/>
    <w:rsid w:val="5EB2016C"/>
    <w:rsid w:val="5EB7242C"/>
    <w:rsid w:val="5EDBF34C"/>
    <w:rsid w:val="5EDD4722"/>
    <w:rsid w:val="5EDE6DC2"/>
    <w:rsid w:val="5EE3C637"/>
    <w:rsid w:val="5EF5284B"/>
    <w:rsid w:val="5EF76C7E"/>
    <w:rsid w:val="5EFBE8D9"/>
    <w:rsid w:val="5EFCC07A"/>
    <w:rsid w:val="5EFEF3ED"/>
    <w:rsid w:val="5EFF71A2"/>
    <w:rsid w:val="5EFF7BE9"/>
    <w:rsid w:val="5F309A2C"/>
    <w:rsid w:val="5F370C2B"/>
    <w:rsid w:val="5F5EBF92"/>
    <w:rsid w:val="5F675DC9"/>
    <w:rsid w:val="5F6B0760"/>
    <w:rsid w:val="5F748CB6"/>
    <w:rsid w:val="5F7E1196"/>
    <w:rsid w:val="5FA10AFD"/>
    <w:rsid w:val="5FB34E21"/>
    <w:rsid w:val="5FB526F1"/>
    <w:rsid w:val="5FBE7281"/>
    <w:rsid w:val="5FBFB419"/>
    <w:rsid w:val="5FD6829E"/>
    <w:rsid w:val="5FDB0928"/>
    <w:rsid w:val="5FE7C2C2"/>
    <w:rsid w:val="5FEE4964"/>
    <w:rsid w:val="5FEEF60C"/>
    <w:rsid w:val="5FF2285F"/>
    <w:rsid w:val="5FF54A80"/>
    <w:rsid w:val="5FF6FB1C"/>
    <w:rsid w:val="5FF7A055"/>
    <w:rsid w:val="5FF7A82D"/>
    <w:rsid w:val="5FF7A9D2"/>
    <w:rsid w:val="5FF9708D"/>
    <w:rsid w:val="5FFB6BAF"/>
    <w:rsid w:val="5FFDA3EE"/>
    <w:rsid w:val="5FFE17C6"/>
    <w:rsid w:val="5FFE8776"/>
    <w:rsid w:val="5FFFD0E3"/>
    <w:rsid w:val="60742D1A"/>
    <w:rsid w:val="60F5C22B"/>
    <w:rsid w:val="617FDA56"/>
    <w:rsid w:val="633F6CC7"/>
    <w:rsid w:val="636B6883"/>
    <w:rsid w:val="636F12CD"/>
    <w:rsid w:val="641F491E"/>
    <w:rsid w:val="648C0471"/>
    <w:rsid w:val="64E11B2C"/>
    <w:rsid w:val="656102B9"/>
    <w:rsid w:val="657C820C"/>
    <w:rsid w:val="659C79D3"/>
    <w:rsid w:val="65B31319"/>
    <w:rsid w:val="65BED589"/>
    <w:rsid w:val="65DF9500"/>
    <w:rsid w:val="65E747BC"/>
    <w:rsid w:val="65F78D8C"/>
    <w:rsid w:val="65FFA1F8"/>
    <w:rsid w:val="65FFE939"/>
    <w:rsid w:val="6656B455"/>
    <w:rsid w:val="666FF7E9"/>
    <w:rsid w:val="66FE9473"/>
    <w:rsid w:val="66FEEDD4"/>
    <w:rsid w:val="672F3A41"/>
    <w:rsid w:val="675EF6D4"/>
    <w:rsid w:val="676F4304"/>
    <w:rsid w:val="67E61DB3"/>
    <w:rsid w:val="67EF3224"/>
    <w:rsid w:val="67F76BA7"/>
    <w:rsid w:val="67FE857C"/>
    <w:rsid w:val="67FED58C"/>
    <w:rsid w:val="67FF003E"/>
    <w:rsid w:val="67FF4A89"/>
    <w:rsid w:val="67FF4BB5"/>
    <w:rsid w:val="684501D4"/>
    <w:rsid w:val="686E411D"/>
    <w:rsid w:val="694D23DB"/>
    <w:rsid w:val="69650304"/>
    <w:rsid w:val="6A275F63"/>
    <w:rsid w:val="6A7A31E5"/>
    <w:rsid w:val="6AAFED99"/>
    <w:rsid w:val="6AE9C1DA"/>
    <w:rsid w:val="6B436831"/>
    <w:rsid w:val="6B6E3DC4"/>
    <w:rsid w:val="6B7179B2"/>
    <w:rsid w:val="6B77E2D5"/>
    <w:rsid w:val="6BD51137"/>
    <w:rsid w:val="6BDA6921"/>
    <w:rsid w:val="6BDFCD1A"/>
    <w:rsid w:val="6BF7B077"/>
    <w:rsid w:val="6BF7EAFA"/>
    <w:rsid w:val="6BFD1422"/>
    <w:rsid w:val="6BFF5620"/>
    <w:rsid w:val="6BFFD4BB"/>
    <w:rsid w:val="6C430D4D"/>
    <w:rsid w:val="6C642A0F"/>
    <w:rsid w:val="6CADF34B"/>
    <w:rsid w:val="6CB076BA"/>
    <w:rsid w:val="6CDF75C6"/>
    <w:rsid w:val="6CF7BF9B"/>
    <w:rsid w:val="6CF7F36E"/>
    <w:rsid w:val="6CFD091F"/>
    <w:rsid w:val="6CFFC3B5"/>
    <w:rsid w:val="6CFFCCC8"/>
    <w:rsid w:val="6D1B9328"/>
    <w:rsid w:val="6D50169A"/>
    <w:rsid w:val="6D73CC41"/>
    <w:rsid w:val="6D763E98"/>
    <w:rsid w:val="6D77449D"/>
    <w:rsid w:val="6DA50DBC"/>
    <w:rsid w:val="6DB5F7F1"/>
    <w:rsid w:val="6DBA2ADD"/>
    <w:rsid w:val="6DDD1263"/>
    <w:rsid w:val="6DEF40CD"/>
    <w:rsid w:val="6DF8D4BD"/>
    <w:rsid w:val="6DF9AADB"/>
    <w:rsid w:val="6DFA3333"/>
    <w:rsid w:val="6EBBE595"/>
    <w:rsid w:val="6EBFEB94"/>
    <w:rsid w:val="6EED3467"/>
    <w:rsid w:val="6EF127BF"/>
    <w:rsid w:val="6EFD3EB9"/>
    <w:rsid w:val="6EFE8F88"/>
    <w:rsid w:val="6F3B17DD"/>
    <w:rsid w:val="6F3F3788"/>
    <w:rsid w:val="6F53462D"/>
    <w:rsid w:val="6F554D11"/>
    <w:rsid w:val="6F71D401"/>
    <w:rsid w:val="6F7796A3"/>
    <w:rsid w:val="6F7F319E"/>
    <w:rsid w:val="6F7F8ED4"/>
    <w:rsid w:val="6F8F7E74"/>
    <w:rsid w:val="6FB4E98C"/>
    <w:rsid w:val="6FBB1140"/>
    <w:rsid w:val="6FBD54F7"/>
    <w:rsid w:val="6FBFEC2E"/>
    <w:rsid w:val="6FCF7FB5"/>
    <w:rsid w:val="6FD902DD"/>
    <w:rsid w:val="6FDE7331"/>
    <w:rsid w:val="6FE5BAF3"/>
    <w:rsid w:val="6FE7C91E"/>
    <w:rsid w:val="6FF716C9"/>
    <w:rsid w:val="6FF71E06"/>
    <w:rsid w:val="6FF7F514"/>
    <w:rsid w:val="6FFB55BE"/>
    <w:rsid w:val="6FFC15B4"/>
    <w:rsid w:val="6FFD4120"/>
    <w:rsid w:val="6FFE0FFC"/>
    <w:rsid w:val="6FFE3253"/>
    <w:rsid w:val="6FFF1619"/>
    <w:rsid w:val="6FFF563A"/>
    <w:rsid w:val="700417EE"/>
    <w:rsid w:val="70110B59"/>
    <w:rsid w:val="704666B3"/>
    <w:rsid w:val="7076285A"/>
    <w:rsid w:val="70DE4677"/>
    <w:rsid w:val="70EF521D"/>
    <w:rsid w:val="70F4632C"/>
    <w:rsid w:val="71AD6475"/>
    <w:rsid w:val="71C542E2"/>
    <w:rsid w:val="71FB6C78"/>
    <w:rsid w:val="71FE8064"/>
    <w:rsid w:val="721FCB48"/>
    <w:rsid w:val="724E022D"/>
    <w:rsid w:val="727BDBB6"/>
    <w:rsid w:val="72874010"/>
    <w:rsid w:val="72CF0DAC"/>
    <w:rsid w:val="72F2C217"/>
    <w:rsid w:val="72FB5973"/>
    <w:rsid w:val="733EB3E8"/>
    <w:rsid w:val="739EBC35"/>
    <w:rsid w:val="73AFD98D"/>
    <w:rsid w:val="73BB6BF6"/>
    <w:rsid w:val="73BF8F93"/>
    <w:rsid w:val="73BFDBC7"/>
    <w:rsid w:val="73DF29A0"/>
    <w:rsid w:val="73E55634"/>
    <w:rsid w:val="73E99824"/>
    <w:rsid w:val="73EFF69A"/>
    <w:rsid w:val="73F32AB8"/>
    <w:rsid w:val="73FF1F09"/>
    <w:rsid w:val="73FFA5BE"/>
    <w:rsid w:val="741811A2"/>
    <w:rsid w:val="741B741F"/>
    <w:rsid w:val="743CF03A"/>
    <w:rsid w:val="744EA2DA"/>
    <w:rsid w:val="745B3E5A"/>
    <w:rsid w:val="74D8F204"/>
    <w:rsid w:val="74EDFC71"/>
    <w:rsid w:val="751A2D35"/>
    <w:rsid w:val="7562642D"/>
    <w:rsid w:val="75B2D8F4"/>
    <w:rsid w:val="75CB71F4"/>
    <w:rsid w:val="75CB9CA2"/>
    <w:rsid w:val="75CF66C2"/>
    <w:rsid w:val="75DFCDD0"/>
    <w:rsid w:val="75E7EC3E"/>
    <w:rsid w:val="75ED4C81"/>
    <w:rsid w:val="75EE106A"/>
    <w:rsid w:val="75FB87B9"/>
    <w:rsid w:val="75FE714E"/>
    <w:rsid w:val="75FF8E27"/>
    <w:rsid w:val="76B7A01E"/>
    <w:rsid w:val="76C41C51"/>
    <w:rsid w:val="76D73466"/>
    <w:rsid w:val="76DB3181"/>
    <w:rsid w:val="76ED63DC"/>
    <w:rsid w:val="76EDFEA8"/>
    <w:rsid w:val="76EF5667"/>
    <w:rsid w:val="76EFA86B"/>
    <w:rsid w:val="76FBE0A6"/>
    <w:rsid w:val="76FD4CB2"/>
    <w:rsid w:val="76FEB519"/>
    <w:rsid w:val="76FFADEC"/>
    <w:rsid w:val="77120D81"/>
    <w:rsid w:val="773B6E94"/>
    <w:rsid w:val="773BDCF1"/>
    <w:rsid w:val="773F416B"/>
    <w:rsid w:val="773FC2B4"/>
    <w:rsid w:val="774F1A39"/>
    <w:rsid w:val="77527193"/>
    <w:rsid w:val="77575B66"/>
    <w:rsid w:val="7767697B"/>
    <w:rsid w:val="7774FCA3"/>
    <w:rsid w:val="777DC4DE"/>
    <w:rsid w:val="777E1C13"/>
    <w:rsid w:val="777E241C"/>
    <w:rsid w:val="777FAAE5"/>
    <w:rsid w:val="777FE2C2"/>
    <w:rsid w:val="77BEFEDF"/>
    <w:rsid w:val="77BF0C56"/>
    <w:rsid w:val="77BF227B"/>
    <w:rsid w:val="77BF2C6C"/>
    <w:rsid w:val="77BF335A"/>
    <w:rsid w:val="77BF4469"/>
    <w:rsid w:val="77BF6CA4"/>
    <w:rsid w:val="77CA74E7"/>
    <w:rsid w:val="77CF3E90"/>
    <w:rsid w:val="77D3B109"/>
    <w:rsid w:val="77DA9E1C"/>
    <w:rsid w:val="77DF0902"/>
    <w:rsid w:val="77EBC94C"/>
    <w:rsid w:val="77EC7166"/>
    <w:rsid w:val="77F3D04E"/>
    <w:rsid w:val="77F3F99A"/>
    <w:rsid w:val="77F6E45F"/>
    <w:rsid w:val="77F7B6A1"/>
    <w:rsid w:val="77F7EAEB"/>
    <w:rsid w:val="77FB126E"/>
    <w:rsid w:val="77FB3794"/>
    <w:rsid w:val="77FB69F2"/>
    <w:rsid w:val="77FC1973"/>
    <w:rsid w:val="77FE7220"/>
    <w:rsid w:val="77FEBF30"/>
    <w:rsid w:val="77FF2E5D"/>
    <w:rsid w:val="77FF6BD3"/>
    <w:rsid w:val="77FF73FE"/>
    <w:rsid w:val="77FF8DE4"/>
    <w:rsid w:val="77FF96DC"/>
    <w:rsid w:val="77FF98D9"/>
    <w:rsid w:val="77FFD07D"/>
    <w:rsid w:val="780E2ADE"/>
    <w:rsid w:val="783FA804"/>
    <w:rsid w:val="78DB50B6"/>
    <w:rsid w:val="78E751EF"/>
    <w:rsid w:val="795A4F5B"/>
    <w:rsid w:val="797F5239"/>
    <w:rsid w:val="79B78C19"/>
    <w:rsid w:val="79D38860"/>
    <w:rsid w:val="79DD1813"/>
    <w:rsid w:val="79EF217A"/>
    <w:rsid w:val="79FF7B0D"/>
    <w:rsid w:val="7A4A60C9"/>
    <w:rsid w:val="7A71A7FD"/>
    <w:rsid w:val="7A97FF58"/>
    <w:rsid w:val="7ADC9D1C"/>
    <w:rsid w:val="7AF30C9D"/>
    <w:rsid w:val="7AF70606"/>
    <w:rsid w:val="7AF7D67B"/>
    <w:rsid w:val="7AFBDED6"/>
    <w:rsid w:val="7AFE0FCA"/>
    <w:rsid w:val="7B1324EF"/>
    <w:rsid w:val="7B3E22CE"/>
    <w:rsid w:val="7B4307D3"/>
    <w:rsid w:val="7B4F838D"/>
    <w:rsid w:val="7B5D00BF"/>
    <w:rsid w:val="7B6BB10C"/>
    <w:rsid w:val="7B6F5563"/>
    <w:rsid w:val="7B6F5B04"/>
    <w:rsid w:val="7B77A0CF"/>
    <w:rsid w:val="7B77F2FD"/>
    <w:rsid w:val="7B77F8E5"/>
    <w:rsid w:val="7B7E6EAB"/>
    <w:rsid w:val="7B7ED2FE"/>
    <w:rsid w:val="7B7F99F8"/>
    <w:rsid w:val="7B9A2410"/>
    <w:rsid w:val="7B9FA5D8"/>
    <w:rsid w:val="7BA584D3"/>
    <w:rsid w:val="7BC7C2B2"/>
    <w:rsid w:val="7BCDC113"/>
    <w:rsid w:val="7BD298ED"/>
    <w:rsid w:val="7BD32125"/>
    <w:rsid w:val="7BDB155B"/>
    <w:rsid w:val="7BDDE200"/>
    <w:rsid w:val="7BE35856"/>
    <w:rsid w:val="7BE74C94"/>
    <w:rsid w:val="7BE8B7E0"/>
    <w:rsid w:val="7BEFBC60"/>
    <w:rsid w:val="7BF349F2"/>
    <w:rsid w:val="7BF5878C"/>
    <w:rsid w:val="7BF5E51E"/>
    <w:rsid w:val="7BF74946"/>
    <w:rsid w:val="7BF85915"/>
    <w:rsid w:val="7BFEB61B"/>
    <w:rsid w:val="7BFFE1E3"/>
    <w:rsid w:val="7C3DCC41"/>
    <w:rsid w:val="7C6E6434"/>
    <w:rsid w:val="7C8FE569"/>
    <w:rsid w:val="7CA144D9"/>
    <w:rsid w:val="7CDBF13F"/>
    <w:rsid w:val="7CE37221"/>
    <w:rsid w:val="7CE7B5D6"/>
    <w:rsid w:val="7CF37388"/>
    <w:rsid w:val="7CFA7567"/>
    <w:rsid w:val="7CFAD471"/>
    <w:rsid w:val="7CFC9292"/>
    <w:rsid w:val="7CFCE577"/>
    <w:rsid w:val="7CFE1B60"/>
    <w:rsid w:val="7D2FD223"/>
    <w:rsid w:val="7D342B34"/>
    <w:rsid w:val="7D3DE290"/>
    <w:rsid w:val="7D5D42EC"/>
    <w:rsid w:val="7D696218"/>
    <w:rsid w:val="7D6E0348"/>
    <w:rsid w:val="7D732DDD"/>
    <w:rsid w:val="7D7652A0"/>
    <w:rsid w:val="7D7E1CC4"/>
    <w:rsid w:val="7D7F35B0"/>
    <w:rsid w:val="7D7F7B08"/>
    <w:rsid w:val="7D9730E6"/>
    <w:rsid w:val="7DA55C93"/>
    <w:rsid w:val="7DAF073E"/>
    <w:rsid w:val="7DB7C70A"/>
    <w:rsid w:val="7DBA4278"/>
    <w:rsid w:val="7DBDDA9C"/>
    <w:rsid w:val="7DBF991A"/>
    <w:rsid w:val="7DC6D82A"/>
    <w:rsid w:val="7DD9EC9F"/>
    <w:rsid w:val="7DDB197B"/>
    <w:rsid w:val="7DDB3FF1"/>
    <w:rsid w:val="7DDB557D"/>
    <w:rsid w:val="7DDDE4C2"/>
    <w:rsid w:val="7DDDEA04"/>
    <w:rsid w:val="7DDF2B9D"/>
    <w:rsid w:val="7DDF54C6"/>
    <w:rsid w:val="7DDFA795"/>
    <w:rsid w:val="7DDFBB82"/>
    <w:rsid w:val="7DEEADF7"/>
    <w:rsid w:val="7DEF083D"/>
    <w:rsid w:val="7DEF1F47"/>
    <w:rsid w:val="7DEFC657"/>
    <w:rsid w:val="7DF6689E"/>
    <w:rsid w:val="7DF7FC2B"/>
    <w:rsid w:val="7DFBE697"/>
    <w:rsid w:val="7DFD5F34"/>
    <w:rsid w:val="7DFDDCC0"/>
    <w:rsid w:val="7DFE2F0F"/>
    <w:rsid w:val="7E2B1B1F"/>
    <w:rsid w:val="7E4435A0"/>
    <w:rsid w:val="7E47CD03"/>
    <w:rsid w:val="7E5FC005"/>
    <w:rsid w:val="7E659869"/>
    <w:rsid w:val="7E6B99FE"/>
    <w:rsid w:val="7E6D4735"/>
    <w:rsid w:val="7E76C969"/>
    <w:rsid w:val="7E7AE341"/>
    <w:rsid w:val="7E7FD62F"/>
    <w:rsid w:val="7E7FE21D"/>
    <w:rsid w:val="7EAFF8B5"/>
    <w:rsid w:val="7EB2B236"/>
    <w:rsid w:val="7EB534CB"/>
    <w:rsid w:val="7EB9788B"/>
    <w:rsid w:val="7EBC11EA"/>
    <w:rsid w:val="7EBE5878"/>
    <w:rsid w:val="7EBF5E2F"/>
    <w:rsid w:val="7ED9541D"/>
    <w:rsid w:val="7EDD1C07"/>
    <w:rsid w:val="7EDF7E6F"/>
    <w:rsid w:val="7EE32EEC"/>
    <w:rsid w:val="7EE71208"/>
    <w:rsid w:val="7EE76110"/>
    <w:rsid w:val="7EE9456A"/>
    <w:rsid w:val="7EEE1268"/>
    <w:rsid w:val="7EEEA49A"/>
    <w:rsid w:val="7EEEBE07"/>
    <w:rsid w:val="7EEF7E65"/>
    <w:rsid w:val="7EF99FF1"/>
    <w:rsid w:val="7EFA5A26"/>
    <w:rsid w:val="7EFB4C99"/>
    <w:rsid w:val="7EFC857F"/>
    <w:rsid w:val="7EFD6A88"/>
    <w:rsid w:val="7EFF019F"/>
    <w:rsid w:val="7EFF50EB"/>
    <w:rsid w:val="7EFF5ED2"/>
    <w:rsid w:val="7EFF9DB1"/>
    <w:rsid w:val="7EFFE722"/>
    <w:rsid w:val="7F37422C"/>
    <w:rsid w:val="7F37B6C6"/>
    <w:rsid w:val="7F3E62A2"/>
    <w:rsid w:val="7F4E8E52"/>
    <w:rsid w:val="7F4FE693"/>
    <w:rsid w:val="7F52B9EE"/>
    <w:rsid w:val="7F53DEB0"/>
    <w:rsid w:val="7F570B34"/>
    <w:rsid w:val="7F5E35AF"/>
    <w:rsid w:val="7F5E413C"/>
    <w:rsid w:val="7F6D1AA4"/>
    <w:rsid w:val="7F6E4D68"/>
    <w:rsid w:val="7F75DE57"/>
    <w:rsid w:val="7F77A953"/>
    <w:rsid w:val="7F77EAAC"/>
    <w:rsid w:val="7F795B47"/>
    <w:rsid w:val="7F7EFBC9"/>
    <w:rsid w:val="7F7F4C63"/>
    <w:rsid w:val="7F7F88FE"/>
    <w:rsid w:val="7F865925"/>
    <w:rsid w:val="7F93D03A"/>
    <w:rsid w:val="7F9450B2"/>
    <w:rsid w:val="7F9B6B55"/>
    <w:rsid w:val="7F9E9DD4"/>
    <w:rsid w:val="7F9EC578"/>
    <w:rsid w:val="7FA38CEE"/>
    <w:rsid w:val="7FA7C4F9"/>
    <w:rsid w:val="7FA932EE"/>
    <w:rsid w:val="7FABC639"/>
    <w:rsid w:val="7FAD9DD0"/>
    <w:rsid w:val="7FAF17A5"/>
    <w:rsid w:val="7FAF8AFF"/>
    <w:rsid w:val="7FB2CBDF"/>
    <w:rsid w:val="7FB30E7D"/>
    <w:rsid w:val="7FB79512"/>
    <w:rsid w:val="7FBC335E"/>
    <w:rsid w:val="7FBC5AFD"/>
    <w:rsid w:val="7FBD1317"/>
    <w:rsid w:val="7FBE3A7A"/>
    <w:rsid w:val="7FBEDAF6"/>
    <w:rsid w:val="7FBF37F2"/>
    <w:rsid w:val="7FBF49FE"/>
    <w:rsid w:val="7FBF790E"/>
    <w:rsid w:val="7FBF7DC2"/>
    <w:rsid w:val="7FBF8B21"/>
    <w:rsid w:val="7FBFA282"/>
    <w:rsid w:val="7FBFE603"/>
    <w:rsid w:val="7FBFEB69"/>
    <w:rsid w:val="7FC0448B"/>
    <w:rsid w:val="7FC5416B"/>
    <w:rsid w:val="7FC9169B"/>
    <w:rsid w:val="7FCBE30D"/>
    <w:rsid w:val="7FD70484"/>
    <w:rsid w:val="7FD713CC"/>
    <w:rsid w:val="7FD9127F"/>
    <w:rsid w:val="7FDAC39C"/>
    <w:rsid w:val="7FDB945F"/>
    <w:rsid w:val="7FDCADA8"/>
    <w:rsid w:val="7FDE127E"/>
    <w:rsid w:val="7FDE2061"/>
    <w:rsid w:val="7FDE354E"/>
    <w:rsid w:val="7FDF40D7"/>
    <w:rsid w:val="7FDF9342"/>
    <w:rsid w:val="7FE7154A"/>
    <w:rsid w:val="7FE77CC4"/>
    <w:rsid w:val="7FEB85CC"/>
    <w:rsid w:val="7FED00B0"/>
    <w:rsid w:val="7FED48F8"/>
    <w:rsid w:val="7FEF1DEB"/>
    <w:rsid w:val="7FEFBBEE"/>
    <w:rsid w:val="7FEFF6AD"/>
    <w:rsid w:val="7FF3DCBD"/>
    <w:rsid w:val="7FF453DC"/>
    <w:rsid w:val="7FF53FC6"/>
    <w:rsid w:val="7FF701E9"/>
    <w:rsid w:val="7FF72FF4"/>
    <w:rsid w:val="7FF88170"/>
    <w:rsid w:val="7FF968FB"/>
    <w:rsid w:val="7FFA758D"/>
    <w:rsid w:val="7FFB0636"/>
    <w:rsid w:val="7FFB3D3B"/>
    <w:rsid w:val="7FFB509D"/>
    <w:rsid w:val="7FFB51BE"/>
    <w:rsid w:val="7FFB6A91"/>
    <w:rsid w:val="7FFBA9B5"/>
    <w:rsid w:val="7FFBDB01"/>
    <w:rsid w:val="7FFCB6FC"/>
    <w:rsid w:val="7FFD320A"/>
    <w:rsid w:val="7FFF0A39"/>
    <w:rsid w:val="7FFF18DF"/>
    <w:rsid w:val="7FFF61BC"/>
    <w:rsid w:val="7FFF85C4"/>
    <w:rsid w:val="7FFFA237"/>
    <w:rsid w:val="7FFFA720"/>
    <w:rsid w:val="7FFFA8F0"/>
    <w:rsid w:val="7FFFB070"/>
    <w:rsid w:val="7FFFB9C6"/>
    <w:rsid w:val="7FFFDF80"/>
    <w:rsid w:val="81F18177"/>
    <w:rsid w:val="84F3EEA4"/>
    <w:rsid w:val="857DCA8C"/>
    <w:rsid w:val="873D52FC"/>
    <w:rsid w:val="877B89F8"/>
    <w:rsid w:val="8AEDDB75"/>
    <w:rsid w:val="8B9F340F"/>
    <w:rsid w:val="8DEA7FAC"/>
    <w:rsid w:val="8F7B6424"/>
    <w:rsid w:val="8FBF9EA4"/>
    <w:rsid w:val="8FE744F0"/>
    <w:rsid w:val="8FFD0918"/>
    <w:rsid w:val="90D0F7C8"/>
    <w:rsid w:val="91DEC016"/>
    <w:rsid w:val="93BB7998"/>
    <w:rsid w:val="93BFDF6E"/>
    <w:rsid w:val="93FE2EBD"/>
    <w:rsid w:val="957D9633"/>
    <w:rsid w:val="96DA3501"/>
    <w:rsid w:val="96DB80FD"/>
    <w:rsid w:val="96DD27EB"/>
    <w:rsid w:val="973B26AC"/>
    <w:rsid w:val="97D863FB"/>
    <w:rsid w:val="97DFEF11"/>
    <w:rsid w:val="97FEE787"/>
    <w:rsid w:val="99D77A41"/>
    <w:rsid w:val="9AFAD547"/>
    <w:rsid w:val="9B6D7D98"/>
    <w:rsid w:val="9B9FF190"/>
    <w:rsid w:val="9BE7DD3E"/>
    <w:rsid w:val="9BFE5D1B"/>
    <w:rsid w:val="9C2D62C5"/>
    <w:rsid w:val="9CA7CAD7"/>
    <w:rsid w:val="9CDF4B66"/>
    <w:rsid w:val="9CF9F38E"/>
    <w:rsid w:val="9D77CC9D"/>
    <w:rsid w:val="9DFB0C46"/>
    <w:rsid w:val="9E3F2FA2"/>
    <w:rsid w:val="9EE22732"/>
    <w:rsid w:val="9EEB06CE"/>
    <w:rsid w:val="9F1BCEB1"/>
    <w:rsid w:val="9F572631"/>
    <w:rsid w:val="9F5F0D2C"/>
    <w:rsid w:val="9FBB84DA"/>
    <w:rsid w:val="9FBF2280"/>
    <w:rsid w:val="9FBF7360"/>
    <w:rsid w:val="9FD3D22D"/>
    <w:rsid w:val="9FD50814"/>
    <w:rsid w:val="9FDF2FDD"/>
    <w:rsid w:val="9FF532C4"/>
    <w:rsid w:val="9FFEBA99"/>
    <w:rsid w:val="9FFF3D56"/>
    <w:rsid w:val="9FFF4D92"/>
    <w:rsid w:val="A3E70971"/>
    <w:rsid w:val="A56FF284"/>
    <w:rsid w:val="A5EEFEF4"/>
    <w:rsid w:val="A5F8D4B3"/>
    <w:rsid w:val="A67FA771"/>
    <w:rsid w:val="A72F8D26"/>
    <w:rsid w:val="A73D0DD5"/>
    <w:rsid w:val="A77A9539"/>
    <w:rsid w:val="A9538121"/>
    <w:rsid w:val="A99B7769"/>
    <w:rsid w:val="A9D3B6BB"/>
    <w:rsid w:val="AA3929E3"/>
    <w:rsid w:val="AAF784E8"/>
    <w:rsid w:val="AB9E912C"/>
    <w:rsid w:val="ABAF73A5"/>
    <w:rsid w:val="ABF7CADC"/>
    <w:rsid w:val="ACFA3339"/>
    <w:rsid w:val="ADA6007E"/>
    <w:rsid w:val="ADCFA514"/>
    <w:rsid w:val="AE7F4CDB"/>
    <w:rsid w:val="AEB69DE6"/>
    <w:rsid w:val="AEFBEDE2"/>
    <w:rsid w:val="AF772FC8"/>
    <w:rsid w:val="AFA768C7"/>
    <w:rsid w:val="AFB348D4"/>
    <w:rsid w:val="AFD72315"/>
    <w:rsid w:val="AFDAEBA9"/>
    <w:rsid w:val="AFF67AA9"/>
    <w:rsid w:val="AFF7527D"/>
    <w:rsid w:val="AFF7531F"/>
    <w:rsid w:val="AFFB3FE4"/>
    <w:rsid w:val="AFFFA1A6"/>
    <w:rsid w:val="B0FFBD90"/>
    <w:rsid w:val="B17B764D"/>
    <w:rsid w:val="B37FD117"/>
    <w:rsid w:val="B3BFF17D"/>
    <w:rsid w:val="B3DCEFF3"/>
    <w:rsid w:val="B3F763FD"/>
    <w:rsid w:val="B3FB50B9"/>
    <w:rsid w:val="B4BD4F02"/>
    <w:rsid w:val="B675F493"/>
    <w:rsid w:val="B6CE567C"/>
    <w:rsid w:val="B6D5EC63"/>
    <w:rsid w:val="B6DD05AB"/>
    <w:rsid w:val="B6EACFCF"/>
    <w:rsid w:val="B6EC7BC0"/>
    <w:rsid w:val="B707463C"/>
    <w:rsid w:val="B777AE16"/>
    <w:rsid w:val="B77DCC5C"/>
    <w:rsid w:val="B7BB8F72"/>
    <w:rsid w:val="B7DF047F"/>
    <w:rsid w:val="B7DF5616"/>
    <w:rsid w:val="B7DF7816"/>
    <w:rsid w:val="B7FA3634"/>
    <w:rsid w:val="B991A51D"/>
    <w:rsid w:val="B9FF6ADC"/>
    <w:rsid w:val="BA7B7903"/>
    <w:rsid w:val="BABFFD34"/>
    <w:rsid w:val="BAC79E70"/>
    <w:rsid w:val="BAE6914C"/>
    <w:rsid w:val="BB2D9F03"/>
    <w:rsid w:val="BB2E45B1"/>
    <w:rsid w:val="BB751C59"/>
    <w:rsid w:val="BBAFBAB2"/>
    <w:rsid w:val="BBBE3134"/>
    <w:rsid w:val="BBCECFDB"/>
    <w:rsid w:val="BBE9D1DD"/>
    <w:rsid w:val="BBF32364"/>
    <w:rsid w:val="BC54ACD4"/>
    <w:rsid w:val="BC5D25E6"/>
    <w:rsid w:val="BC7FDC1C"/>
    <w:rsid w:val="BCB73D11"/>
    <w:rsid w:val="BCFE727B"/>
    <w:rsid w:val="BCFEF409"/>
    <w:rsid w:val="BD1F5AE9"/>
    <w:rsid w:val="BD57B2B1"/>
    <w:rsid w:val="BD6F761E"/>
    <w:rsid w:val="BD772A0D"/>
    <w:rsid w:val="BD7F4132"/>
    <w:rsid w:val="BDBE6A84"/>
    <w:rsid w:val="BDBF3583"/>
    <w:rsid w:val="BDCF7ADE"/>
    <w:rsid w:val="BDEE245C"/>
    <w:rsid w:val="BDF774A4"/>
    <w:rsid w:val="BDF9412A"/>
    <w:rsid w:val="BE5F7F97"/>
    <w:rsid w:val="BECB1B15"/>
    <w:rsid w:val="BEDE61D9"/>
    <w:rsid w:val="BEEC0A7B"/>
    <w:rsid w:val="BEECC0F3"/>
    <w:rsid w:val="BEEF69F5"/>
    <w:rsid w:val="BEFE7628"/>
    <w:rsid w:val="BF038994"/>
    <w:rsid w:val="BF17D58A"/>
    <w:rsid w:val="BF5D05D2"/>
    <w:rsid w:val="BF5FC9D0"/>
    <w:rsid w:val="BF6B47F2"/>
    <w:rsid w:val="BF7E5043"/>
    <w:rsid w:val="BFADC2A3"/>
    <w:rsid w:val="BFB761DD"/>
    <w:rsid w:val="BFBF242B"/>
    <w:rsid w:val="BFBFA5EB"/>
    <w:rsid w:val="BFBFE6FC"/>
    <w:rsid w:val="BFCFBB5F"/>
    <w:rsid w:val="BFDA8798"/>
    <w:rsid w:val="BFDB645D"/>
    <w:rsid w:val="BFDDF50E"/>
    <w:rsid w:val="BFDE6F09"/>
    <w:rsid w:val="BFDFAA72"/>
    <w:rsid w:val="BFE4E3D9"/>
    <w:rsid w:val="BFF26A67"/>
    <w:rsid w:val="BFF7C717"/>
    <w:rsid w:val="BFFB63A6"/>
    <w:rsid w:val="BFFF756B"/>
    <w:rsid w:val="BFFF97C2"/>
    <w:rsid w:val="BFFFFA17"/>
    <w:rsid w:val="C5AC0AC5"/>
    <w:rsid w:val="C6473A2D"/>
    <w:rsid w:val="C7FB8E09"/>
    <w:rsid w:val="C8FB5839"/>
    <w:rsid w:val="CBFE3D58"/>
    <w:rsid w:val="CBFEFB0C"/>
    <w:rsid w:val="CC8BBDE1"/>
    <w:rsid w:val="CCEC791A"/>
    <w:rsid w:val="CD2D1295"/>
    <w:rsid w:val="CDF16012"/>
    <w:rsid w:val="CDFFB12E"/>
    <w:rsid w:val="CE9EB647"/>
    <w:rsid w:val="CEAD47A0"/>
    <w:rsid w:val="CED9033B"/>
    <w:rsid w:val="CEEB128B"/>
    <w:rsid w:val="CF3FC383"/>
    <w:rsid w:val="CF57DF9C"/>
    <w:rsid w:val="CF6F24A8"/>
    <w:rsid w:val="CF78EB40"/>
    <w:rsid w:val="CF7C7D31"/>
    <w:rsid w:val="CF7FAA35"/>
    <w:rsid w:val="CF7FFFB3"/>
    <w:rsid w:val="CF9F0C32"/>
    <w:rsid w:val="CFAF0E91"/>
    <w:rsid w:val="CFBF1DE7"/>
    <w:rsid w:val="CFDF5781"/>
    <w:rsid w:val="CFE7C8E0"/>
    <w:rsid w:val="CFF810C0"/>
    <w:rsid w:val="D1EAE632"/>
    <w:rsid w:val="D2F3BC68"/>
    <w:rsid w:val="D3E8E1CA"/>
    <w:rsid w:val="D3F7E852"/>
    <w:rsid w:val="D3FF26EE"/>
    <w:rsid w:val="D457AA66"/>
    <w:rsid w:val="D4B7E941"/>
    <w:rsid w:val="D5BDA60A"/>
    <w:rsid w:val="D5FA850E"/>
    <w:rsid w:val="D69F5415"/>
    <w:rsid w:val="D6BD33BC"/>
    <w:rsid w:val="D6C66085"/>
    <w:rsid w:val="D769096E"/>
    <w:rsid w:val="D77FEC1C"/>
    <w:rsid w:val="D7E79A60"/>
    <w:rsid w:val="D7F7DD0A"/>
    <w:rsid w:val="D8722C93"/>
    <w:rsid w:val="D8B34ED6"/>
    <w:rsid w:val="D8BDF9FC"/>
    <w:rsid w:val="D8DE3529"/>
    <w:rsid w:val="D9FFB7BB"/>
    <w:rsid w:val="DA595172"/>
    <w:rsid w:val="DAB92CC4"/>
    <w:rsid w:val="DACCC658"/>
    <w:rsid w:val="DAEE91DF"/>
    <w:rsid w:val="DAEF8942"/>
    <w:rsid w:val="DAF9947E"/>
    <w:rsid w:val="DAFFEF29"/>
    <w:rsid w:val="DB3B70C9"/>
    <w:rsid w:val="DB67C22D"/>
    <w:rsid w:val="DB7B533E"/>
    <w:rsid w:val="DBA34696"/>
    <w:rsid w:val="DBEAC589"/>
    <w:rsid w:val="DBF8E8B2"/>
    <w:rsid w:val="DBFDDF86"/>
    <w:rsid w:val="DBFF2ED8"/>
    <w:rsid w:val="DC7DACDA"/>
    <w:rsid w:val="DD7F6851"/>
    <w:rsid w:val="DD9FD5B5"/>
    <w:rsid w:val="DDB4B099"/>
    <w:rsid w:val="DDBF151D"/>
    <w:rsid w:val="DDDFBEB5"/>
    <w:rsid w:val="DDEF68B4"/>
    <w:rsid w:val="DDF160E4"/>
    <w:rsid w:val="DDF7EDFF"/>
    <w:rsid w:val="DDFF6C41"/>
    <w:rsid w:val="DDFF739A"/>
    <w:rsid w:val="DDFFC5DE"/>
    <w:rsid w:val="DE1F4019"/>
    <w:rsid w:val="DE7927F5"/>
    <w:rsid w:val="DE8F00BB"/>
    <w:rsid w:val="DEBB921B"/>
    <w:rsid w:val="DED575A0"/>
    <w:rsid w:val="DEDAB6FD"/>
    <w:rsid w:val="DEECBB00"/>
    <w:rsid w:val="DEF35BCA"/>
    <w:rsid w:val="DEFD52A1"/>
    <w:rsid w:val="DEFF7FDF"/>
    <w:rsid w:val="DF2F3FF3"/>
    <w:rsid w:val="DF340EEB"/>
    <w:rsid w:val="DF5FE7E6"/>
    <w:rsid w:val="DF792812"/>
    <w:rsid w:val="DF7BA1A6"/>
    <w:rsid w:val="DF7EE6FB"/>
    <w:rsid w:val="DF7FCA58"/>
    <w:rsid w:val="DF7FCB2E"/>
    <w:rsid w:val="DFBD1562"/>
    <w:rsid w:val="DFD7016D"/>
    <w:rsid w:val="DFD76A57"/>
    <w:rsid w:val="DFDFF295"/>
    <w:rsid w:val="DFED50A2"/>
    <w:rsid w:val="DFEEABDF"/>
    <w:rsid w:val="DFEECAEF"/>
    <w:rsid w:val="DFEF1307"/>
    <w:rsid w:val="DFEF2AAB"/>
    <w:rsid w:val="DFF4F857"/>
    <w:rsid w:val="DFF5AD9A"/>
    <w:rsid w:val="DFF7A57B"/>
    <w:rsid w:val="DFFF14A0"/>
    <w:rsid w:val="DFFF8F42"/>
    <w:rsid w:val="DFFFBA83"/>
    <w:rsid w:val="DFFFBDC4"/>
    <w:rsid w:val="DFFFC6EA"/>
    <w:rsid w:val="E2D587DA"/>
    <w:rsid w:val="E31F42E7"/>
    <w:rsid w:val="E32E06BB"/>
    <w:rsid w:val="E387722D"/>
    <w:rsid w:val="E3BE5050"/>
    <w:rsid w:val="E3BFA3CA"/>
    <w:rsid w:val="E3D74D1A"/>
    <w:rsid w:val="E3FDD47D"/>
    <w:rsid w:val="E4DEC2DA"/>
    <w:rsid w:val="E4FEF684"/>
    <w:rsid w:val="E59C0E56"/>
    <w:rsid w:val="E59E9573"/>
    <w:rsid w:val="E5FFAD4B"/>
    <w:rsid w:val="E6BFBDCC"/>
    <w:rsid w:val="E6D9CE2F"/>
    <w:rsid w:val="E6EE7D78"/>
    <w:rsid w:val="E74B0F27"/>
    <w:rsid w:val="E75E182F"/>
    <w:rsid w:val="E79ACF5B"/>
    <w:rsid w:val="E7AA5B5A"/>
    <w:rsid w:val="E7B06A65"/>
    <w:rsid w:val="E7BE4A86"/>
    <w:rsid w:val="E7BF0E98"/>
    <w:rsid w:val="E7FDAF71"/>
    <w:rsid w:val="E7FFFB1C"/>
    <w:rsid w:val="E9C71B84"/>
    <w:rsid w:val="E9FF6880"/>
    <w:rsid w:val="EAEDA910"/>
    <w:rsid w:val="EAEEC950"/>
    <w:rsid w:val="EB7B27EF"/>
    <w:rsid w:val="EBCAF011"/>
    <w:rsid w:val="EBCF2E2D"/>
    <w:rsid w:val="EBF36459"/>
    <w:rsid w:val="EBF7F591"/>
    <w:rsid w:val="EBFC93BB"/>
    <w:rsid w:val="EC25CE87"/>
    <w:rsid w:val="EC3F55C1"/>
    <w:rsid w:val="EC6B5CA0"/>
    <w:rsid w:val="ECADA1C7"/>
    <w:rsid w:val="ECBF23D1"/>
    <w:rsid w:val="ECBF9672"/>
    <w:rsid w:val="ECCFD51D"/>
    <w:rsid w:val="ECDF8682"/>
    <w:rsid w:val="ECEDEB38"/>
    <w:rsid w:val="ECFE4BE2"/>
    <w:rsid w:val="EDEBF818"/>
    <w:rsid w:val="EDEC4F9E"/>
    <w:rsid w:val="EDFBB065"/>
    <w:rsid w:val="EDFD0151"/>
    <w:rsid w:val="EDFE0E96"/>
    <w:rsid w:val="EDFF3166"/>
    <w:rsid w:val="EDFF3F2D"/>
    <w:rsid w:val="EE5F0BD7"/>
    <w:rsid w:val="EE73EBDF"/>
    <w:rsid w:val="EE7759B6"/>
    <w:rsid w:val="EE7D49C7"/>
    <w:rsid w:val="EE7D761B"/>
    <w:rsid w:val="EEBD69DE"/>
    <w:rsid w:val="EEDF9F6C"/>
    <w:rsid w:val="EEEA9F01"/>
    <w:rsid w:val="EEED24C7"/>
    <w:rsid w:val="EEEEBEA1"/>
    <w:rsid w:val="EEF344FE"/>
    <w:rsid w:val="EEF59491"/>
    <w:rsid w:val="EEFBBDF6"/>
    <w:rsid w:val="EEFBC13C"/>
    <w:rsid w:val="EF3BDF7C"/>
    <w:rsid w:val="EF3E0208"/>
    <w:rsid w:val="EF5B6A70"/>
    <w:rsid w:val="EF5F87D5"/>
    <w:rsid w:val="EF5FFFC3"/>
    <w:rsid w:val="EF7BC6B7"/>
    <w:rsid w:val="EF7F047C"/>
    <w:rsid w:val="EF99C2BB"/>
    <w:rsid w:val="EFA23469"/>
    <w:rsid w:val="EFCBAE94"/>
    <w:rsid w:val="EFCE905A"/>
    <w:rsid w:val="EFD5C645"/>
    <w:rsid w:val="EFD7DBEB"/>
    <w:rsid w:val="EFDC3271"/>
    <w:rsid w:val="EFDD0567"/>
    <w:rsid w:val="EFDE930D"/>
    <w:rsid w:val="EFE609CC"/>
    <w:rsid w:val="EFEF0728"/>
    <w:rsid w:val="EFEF2AA3"/>
    <w:rsid w:val="EFF59DA7"/>
    <w:rsid w:val="EFF5ED34"/>
    <w:rsid w:val="EFF6FE9E"/>
    <w:rsid w:val="EFF7230F"/>
    <w:rsid w:val="EFF7624A"/>
    <w:rsid w:val="EFFB0E03"/>
    <w:rsid w:val="EFFB0F67"/>
    <w:rsid w:val="EFFBADC9"/>
    <w:rsid w:val="EFFD087D"/>
    <w:rsid w:val="EFFFBB1F"/>
    <w:rsid w:val="EFFFD1B5"/>
    <w:rsid w:val="F0E97D8B"/>
    <w:rsid w:val="F1332741"/>
    <w:rsid w:val="F1EF3FDB"/>
    <w:rsid w:val="F1FF31F0"/>
    <w:rsid w:val="F2778ABC"/>
    <w:rsid w:val="F27DA92F"/>
    <w:rsid w:val="F2DD75B2"/>
    <w:rsid w:val="F35F651E"/>
    <w:rsid w:val="F375DF47"/>
    <w:rsid w:val="F377F604"/>
    <w:rsid w:val="F3BBF14D"/>
    <w:rsid w:val="F3BD0F6A"/>
    <w:rsid w:val="F3BF09FF"/>
    <w:rsid w:val="F3BFFAC0"/>
    <w:rsid w:val="F3E56FDD"/>
    <w:rsid w:val="F3EB3B85"/>
    <w:rsid w:val="F3F379BA"/>
    <w:rsid w:val="F3F96835"/>
    <w:rsid w:val="F3FD34E8"/>
    <w:rsid w:val="F3FF7C7F"/>
    <w:rsid w:val="F3FFBB2C"/>
    <w:rsid w:val="F4F42725"/>
    <w:rsid w:val="F4F5E0BF"/>
    <w:rsid w:val="F4FF0120"/>
    <w:rsid w:val="F53FFD93"/>
    <w:rsid w:val="F57E11BD"/>
    <w:rsid w:val="F57F8151"/>
    <w:rsid w:val="F5B7BF95"/>
    <w:rsid w:val="F5BB617B"/>
    <w:rsid w:val="F5BB9038"/>
    <w:rsid w:val="F5BFC447"/>
    <w:rsid w:val="F5CE2975"/>
    <w:rsid w:val="F5E97B5E"/>
    <w:rsid w:val="F5F23960"/>
    <w:rsid w:val="F5F7973C"/>
    <w:rsid w:val="F5FF76FA"/>
    <w:rsid w:val="F60BFEBF"/>
    <w:rsid w:val="F67B0000"/>
    <w:rsid w:val="F67F2D6B"/>
    <w:rsid w:val="F6AE12A4"/>
    <w:rsid w:val="F6BF3B09"/>
    <w:rsid w:val="F6CBEFDC"/>
    <w:rsid w:val="F6CED197"/>
    <w:rsid w:val="F6DF63A2"/>
    <w:rsid w:val="F6EF39F4"/>
    <w:rsid w:val="F6F7095B"/>
    <w:rsid w:val="F6FC9CB3"/>
    <w:rsid w:val="F6FFB7ED"/>
    <w:rsid w:val="F6FFE497"/>
    <w:rsid w:val="F7195B5C"/>
    <w:rsid w:val="F727F50B"/>
    <w:rsid w:val="F73D64AE"/>
    <w:rsid w:val="F747E823"/>
    <w:rsid w:val="F76FEEA4"/>
    <w:rsid w:val="F77FDFAB"/>
    <w:rsid w:val="F77FF3DF"/>
    <w:rsid w:val="F7992129"/>
    <w:rsid w:val="F79D24FB"/>
    <w:rsid w:val="F7AB552A"/>
    <w:rsid w:val="F7AB9091"/>
    <w:rsid w:val="F7ABC129"/>
    <w:rsid w:val="F7AEE001"/>
    <w:rsid w:val="F7AF7C5E"/>
    <w:rsid w:val="F7B3AEE0"/>
    <w:rsid w:val="F7BD3898"/>
    <w:rsid w:val="F7BF295F"/>
    <w:rsid w:val="F7CF619D"/>
    <w:rsid w:val="F7DD942A"/>
    <w:rsid w:val="F7DDEFF1"/>
    <w:rsid w:val="F7DE7453"/>
    <w:rsid w:val="F7DF7265"/>
    <w:rsid w:val="F7E99149"/>
    <w:rsid w:val="F7EDD196"/>
    <w:rsid w:val="F7EE7085"/>
    <w:rsid w:val="F7EEBA21"/>
    <w:rsid w:val="F7EEE7EC"/>
    <w:rsid w:val="F7EF3B05"/>
    <w:rsid w:val="F7F65EF9"/>
    <w:rsid w:val="F7FD5B87"/>
    <w:rsid w:val="F7FF2998"/>
    <w:rsid w:val="F7FF8F31"/>
    <w:rsid w:val="F7FFB46C"/>
    <w:rsid w:val="F7FFE84D"/>
    <w:rsid w:val="F7FFF532"/>
    <w:rsid w:val="F86FCDF2"/>
    <w:rsid w:val="F8EED86C"/>
    <w:rsid w:val="F8FF78C3"/>
    <w:rsid w:val="F9AF0AF4"/>
    <w:rsid w:val="F9BF925E"/>
    <w:rsid w:val="F9CF2780"/>
    <w:rsid w:val="F9D544BC"/>
    <w:rsid w:val="F9F71635"/>
    <w:rsid w:val="F9F7EEA9"/>
    <w:rsid w:val="F9F7FDF2"/>
    <w:rsid w:val="F9FBF928"/>
    <w:rsid w:val="F9FC0DEF"/>
    <w:rsid w:val="F9FE1CC0"/>
    <w:rsid w:val="F9FFECEC"/>
    <w:rsid w:val="FA8F4FB2"/>
    <w:rsid w:val="FA9DB90D"/>
    <w:rsid w:val="FAB738F3"/>
    <w:rsid w:val="FABDC9E4"/>
    <w:rsid w:val="FAE7F320"/>
    <w:rsid w:val="FAF0DFC6"/>
    <w:rsid w:val="FAFDF315"/>
    <w:rsid w:val="FAFFB8EB"/>
    <w:rsid w:val="FB2AB3E5"/>
    <w:rsid w:val="FB3AD128"/>
    <w:rsid w:val="FB4D387A"/>
    <w:rsid w:val="FB5858FB"/>
    <w:rsid w:val="FB5A53A2"/>
    <w:rsid w:val="FB985173"/>
    <w:rsid w:val="FBA990D1"/>
    <w:rsid w:val="FBAACCCA"/>
    <w:rsid w:val="FBAFF34D"/>
    <w:rsid w:val="FBB56939"/>
    <w:rsid w:val="FBB95C7F"/>
    <w:rsid w:val="FBBB1189"/>
    <w:rsid w:val="FBBBB094"/>
    <w:rsid w:val="FBBBFA1E"/>
    <w:rsid w:val="FBBBFDBF"/>
    <w:rsid w:val="FBBFAA04"/>
    <w:rsid w:val="FBD3B090"/>
    <w:rsid w:val="FBDB9061"/>
    <w:rsid w:val="FBDD584D"/>
    <w:rsid w:val="FBDF1618"/>
    <w:rsid w:val="FBED9F05"/>
    <w:rsid w:val="FBEE568C"/>
    <w:rsid w:val="FBEF3174"/>
    <w:rsid w:val="FBF38B18"/>
    <w:rsid w:val="FBF3CAA7"/>
    <w:rsid w:val="FBF774F5"/>
    <w:rsid w:val="FBF7A6ED"/>
    <w:rsid w:val="FBF915E9"/>
    <w:rsid w:val="FBFA326D"/>
    <w:rsid w:val="FBFB4CA3"/>
    <w:rsid w:val="FBFB9188"/>
    <w:rsid w:val="FBFD5512"/>
    <w:rsid w:val="FBFE27BB"/>
    <w:rsid w:val="FBFE814D"/>
    <w:rsid w:val="FBFEB732"/>
    <w:rsid w:val="FBFF40F4"/>
    <w:rsid w:val="FBFF6A84"/>
    <w:rsid w:val="FBFFA369"/>
    <w:rsid w:val="FBFFA96C"/>
    <w:rsid w:val="FC6F9665"/>
    <w:rsid w:val="FC7EF94E"/>
    <w:rsid w:val="FC7F21D6"/>
    <w:rsid w:val="FC9CDC85"/>
    <w:rsid w:val="FCAD976A"/>
    <w:rsid w:val="FCD3C473"/>
    <w:rsid w:val="FCDEE495"/>
    <w:rsid w:val="FCE7D0C1"/>
    <w:rsid w:val="FCEB6C25"/>
    <w:rsid w:val="FCEE210B"/>
    <w:rsid w:val="FCEF4A39"/>
    <w:rsid w:val="FCF4FD18"/>
    <w:rsid w:val="FCF73229"/>
    <w:rsid w:val="FCF78121"/>
    <w:rsid w:val="FCFC1180"/>
    <w:rsid w:val="FCFD0226"/>
    <w:rsid w:val="FCFDC301"/>
    <w:rsid w:val="FD2F78B1"/>
    <w:rsid w:val="FD732306"/>
    <w:rsid w:val="FD7385D8"/>
    <w:rsid w:val="FD76EC3C"/>
    <w:rsid w:val="FD7ADA0E"/>
    <w:rsid w:val="FD7BA142"/>
    <w:rsid w:val="FD8FB140"/>
    <w:rsid w:val="FDA79AC6"/>
    <w:rsid w:val="FDABF936"/>
    <w:rsid w:val="FDB90CB4"/>
    <w:rsid w:val="FDB9918C"/>
    <w:rsid w:val="FDBEF0E9"/>
    <w:rsid w:val="FDBF4BBF"/>
    <w:rsid w:val="FDCB7DCA"/>
    <w:rsid w:val="FDD570B8"/>
    <w:rsid w:val="FDDAED36"/>
    <w:rsid w:val="FDDBA470"/>
    <w:rsid w:val="FDDD77BE"/>
    <w:rsid w:val="FDDF099B"/>
    <w:rsid w:val="FDDFAAE7"/>
    <w:rsid w:val="FDE6B727"/>
    <w:rsid w:val="FDEBD1F7"/>
    <w:rsid w:val="FDEF6C90"/>
    <w:rsid w:val="FDF39664"/>
    <w:rsid w:val="FDF74D82"/>
    <w:rsid w:val="FDFA7413"/>
    <w:rsid w:val="FDFAB1C5"/>
    <w:rsid w:val="FDFCE639"/>
    <w:rsid w:val="FDFD9B84"/>
    <w:rsid w:val="FDFFA415"/>
    <w:rsid w:val="FDFFE94D"/>
    <w:rsid w:val="FDFFEF47"/>
    <w:rsid w:val="FDFFFF36"/>
    <w:rsid w:val="FE03C3A5"/>
    <w:rsid w:val="FE370956"/>
    <w:rsid w:val="FE3F3BD4"/>
    <w:rsid w:val="FE3F4037"/>
    <w:rsid w:val="FE4DB469"/>
    <w:rsid w:val="FE5EC233"/>
    <w:rsid w:val="FE5F682D"/>
    <w:rsid w:val="FE7BAC70"/>
    <w:rsid w:val="FE7C8545"/>
    <w:rsid w:val="FE7D441C"/>
    <w:rsid w:val="FE92E028"/>
    <w:rsid w:val="FE960155"/>
    <w:rsid w:val="FE9A8C7E"/>
    <w:rsid w:val="FE9D281B"/>
    <w:rsid w:val="FEAF3724"/>
    <w:rsid w:val="FEBF0FBF"/>
    <w:rsid w:val="FEBFCFF9"/>
    <w:rsid w:val="FEBFEDD9"/>
    <w:rsid w:val="FEBFEFF2"/>
    <w:rsid w:val="FEBFF8EF"/>
    <w:rsid w:val="FEC694A1"/>
    <w:rsid w:val="FECA2A23"/>
    <w:rsid w:val="FECF3F38"/>
    <w:rsid w:val="FEDE973F"/>
    <w:rsid w:val="FEEB0125"/>
    <w:rsid w:val="FEF65BFA"/>
    <w:rsid w:val="FEF67A2F"/>
    <w:rsid w:val="FEFB2736"/>
    <w:rsid w:val="FEFB3A46"/>
    <w:rsid w:val="FEFD8A40"/>
    <w:rsid w:val="FEFDC52C"/>
    <w:rsid w:val="FEFE1208"/>
    <w:rsid w:val="FEFEF98F"/>
    <w:rsid w:val="FEFFCD5D"/>
    <w:rsid w:val="FEFFF7C5"/>
    <w:rsid w:val="FF02AED4"/>
    <w:rsid w:val="FF130B56"/>
    <w:rsid w:val="FF1DC9FF"/>
    <w:rsid w:val="FF2F5FB9"/>
    <w:rsid w:val="FF2FF4D8"/>
    <w:rsid w:val="FF336FC0"/>
    <w:rsid w:val="FF366BFC"/>
    <w:rsid w:val="FF382914"/>
    <w:rsid w:val="FF3B6C13"/>
    <w:rsid w:val="FF3F916B"/>
    <w:rsid w:val="FF46559B"/>
    <w:rsid w:val="FF4B5C8F"/>
    <w:rsid w:val="FF4F2A57"/>
    <w:rsid w:val="FF54ACC6"/>
    <w:rsid w:val="FF594D85"/>
    <w:rsid w:val="FF5D2607"/>
    <w:rsid w:val="FF5DA9C4"/>
    <w:rsid w:val="FF6B18CD"/>
    <w:rsid w:val="FF6BD663"/>
    <w:rsid w:val="FF7773DE"/>
    <w:rsid w:val="FF7D0411"/>
    <w:rsid w:val="FF7EC806"/>
    <w:rsid w:val="FF7F554F"/>
    <w:rsid w:val="FF7F6A57"/>
    <w:rsid w:val="FF7FD1F0"/>
    <w:rsid w:val="FF8F6DB5"/>
    <w:rsid w:val="FF8F93B5"/>
    <w:rsid w:val="FF999B46"/>
    <w:rsid w:val="FF9BDE5A"/>
    <w:rsid w:val="FF9E3875"/>
    <w:rsid w:val="FFAD8156"/>
    <w:rsid w:val="FFB327D6"/>
    <w:rsid w:val="FFBB1725"/>
    <w:rsid w:val="FFBB4BA1"/>
    <w:rsid w:val="FFBB5C56"/>
    <w:rsid w:val="FFBD4D1A"/>
    <w:rsid w:val="FFBDF24B"/>
    <w:rsid w:val="FFBF1974"/>
    <w:rsid w:val="FFBF5C9F"/>
    <w:rsid w:val="FFBFD8C3"/>
    <w:rsid w:val="FFCDDD54"/>
    <w:rsid w:val="FFCF03CE"/>
    <w:rsid w:val="FFCFFB7D"/>
    <w:rsid w:val="FFD350DE"/>
    <w:rsid w:val="FFD7215F"/>
    <w:rsid w:val="FFD7737C"/>
    <w:rsid w:val="FFD7F949"/>
    <w:rsid w:val="FFDB8DD9"/>
    <w:rsid w:val="FFDD1CDC"/>
    <w:rsid w:val="FFDD6461"/>
    <w:rsid w:val="FFDDC5FA"/>
    <w:rsid w:val="FFDE3EE8"/>
    <w:rsid w:val="FFDEA5E2"/>
    <w:rsid w:val="FFDF132E"/>
    <w:rsid w:val="FFDF521D"/>
    <w:rsid w:val="FFE575D1"/>
    <w:rsid w:val="FFE7327E"/>
    <w:rsid w:val="FFE75614"/>
    <w:rsid w:val="FFEA88BC"/>
    <w:rsid w:val="FFEB619C"/>
    <w:rsid w:val="FFEB855A"/>
    <w:rsid w:val="FFEDCECF"/>
    <w:rsid w:val="FFEDE2B3"/>
    <w:rsid w:val="FFEDFD59"/>
    <w:rsid w:val="FFEE3999"/>
    <w:rsid w:val="FFEF2051"/>
    <w:rsid w:val="FFEF3A33"/>
    <w:rsid w:val="FFEFC0E2"/>
    <w:rsid w:val="FFF13DE9"/>
    <w:rsid w:val="FFF3EA87"/>
    <w:rsid w:val="FFF5098C"/>
    <w:rsid w:val="FFF61430"/>
    <w:rsid w:val="FFF67A9D"/>
    <w:rsid w:val="FFF6FDFC"/>
    <w:rsid w:val="FFF70967"/>
    <w:rsid w:val="FFF7CCE5"/>
    <w:rsid w:val="FFF8CC0C"/>
    <w:rsid w:val="FFF99243"/>
    <w:rsid w:val="FFFA8E86"/>
    <w:rsid w:val="FFFB3136"/>
    <w:rsid w:val="FFFB72C0"/>
    <w:rsid w:val="FFFB7CCB"/>
    <w:rsid w:val="FFFC7B80"/>
    <w:rsid w:val="FFFCA5FD"/>
    <w:rsid w:val="FFFD1680"/>
    <w:rsid w:val="FFFD5181"/>
    <w:rsid w:val="FFFD808F"/>
    <w:rsid w:val="FFFE301F"/>
    <w:rsid w:val="FFFE4FEB"/>
    <w:rsid w:val="FFFE79ED"/>
    <w:rsid w:val="FFFEADD6"/>
    <w:rsid w:val="FFFF13A4"/>
    <w:rsid w:val="FFFF2FED"/>
    <w:rsid w:val="FFFF930E"/>
    <w:rsid w:val="FFFF9DFA"/>
    <w:rsid w:val="FFFFD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76"/>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7"/>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6">
    <w:name w:val="heading 5"/>
    <w:basedOn w:val="1"/>
    <w:next w:val="7"/>
    <w:link w:val="78"/>
    <w:qFormat/>
    <w:uiPriority w:val="0"/>
    <w:pPr>
      <w:keepNext/>
      <w:keepLines/>
      <w:spacing w:before="280" w:after="290" w:line="376" w:lineRule="auto"/>
      <w:outlineLvl w:val="4"/>
    </w:pPr>
    <w:rPr>
      <w:b/>
      <w:sz w:val="28"/>
    </w:rPr>
  </w:style>
  <w:style w:type="paragraph" w:styleId="8">
    <w:name w:val="heading 6"/>
    <w:basedOn w:val="1"/>
    <w:next w:val="7"/>
    <w:link w:val="79"/>
    <w:qFormat/>
    <w:uiPriority w:val="0"/>
    <w:pPr>
      <w:keepNext/>
      <w:keepLines/>
      <w:spacing w:before="240" w:after="64" w:line="320" w:lineRule="auto"/>
      <w:outlineLvl w:val="5"/>
    </w:pPr>
    <w:rPr>
      <w:rFonts w:ascii="Arial" w:hAnsi="Arial" w:eastAsia="黑体"/>
      <w:b/>
      <w:sz w:val="24"/>
    </w:rPr>
  </w:style>
  <w:style w:type="paragraph" w:styleId="9">
    <w:name w:val="heading 7"/>
    <w:basedOn w:val="1"/>
    <w:next w:val="7"/>
    <w:link w:val="80"/>
    <w:qFormat/>
    <w:uiPriority w:val="0"/>
    <w:pPr>
      <w:keepNext/>
      <w:keepLines/>
      <w:spacing w:before="240" w:after="64" w:line="320" w:lineRule="auto"/>
      <w:outlineLvl w:val="6"/>
    </w:pPr>
    <w:rPr>
      <w:b/>
      <w:sz w:val="24"/>
    </w:rPr>
  </w:style>
  <w:style w:type="paragraph" w:styleId="10">
    <w:name w:val="heading 8"/>
    <w:basedOn w:val="1"/>
    <w:next w:val="7"/>
    <w:link w:val="8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7"/>
    <w:link w:val="82"/>
    <w:qFormat/>
    <w:uiPriority w:val="0"/>
    <w:pPr>
      <w:keepNext/>
      <w:keepLines/>
      <w:spacing w:before="240" w:after="64" w:line="320" w:lineRule="auto"/>
      <w:outlineLvl w:val="8"/>
    </w:pPr>
    <w:rPr>
      <w:rFonts w:ascii="Arial" w:hAnsi="Arial" w:eastAsia="黑体"/>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12">
    <w:name w:val="toc 7"/>
    <w:basedOn w:val="1"/>
    <w:next w:val="1"/>
    <w:qFormat/>
    <w:uiPriority w:val="0"/>
    <w:pPr>
      <w:tabs>
        <w:tab w:val="right" w:leader="dot" w:pos="9185"/>
      </w:tabs>
      <w:adjustRightInd w:val="0"/>
      <w:spacing w:line="312" w:lineRule="atLeast"/>
      <w:ind w:left="2520"/>
      <w:textAlignment w:val="baseline"/>
    </w:pPr>
    <w:rPr>
      <w:kern w:val="0"/>
      <w:szCs w:val="20"/>
    </w:rPr>
  </w:style>
  <w:style w:type="paragraph" w:styleId="13">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4">
    <w:name w:val="caption"/>
    <w:basedOn w:val="1"/>
    <w:next w:val="1"/>
    <w:qFormat/>
    <w:uiPriority w:val="0"/>
    <w:pPr>
      <w:spacing w:before="152"/>
    </w:pPr>
    <w:rPr>
      <w:rFonts w:ascii="Arial" w:hAnsi="Arial" w:eastAsia="黑体" w:cs="Arial"/>
      <w:sz w:val="20"/>
      <w:szCs w:val="20"/>
    </w:rPr>
  </w:style>
  <w:style w:type="paragraph" w:styleId="15">
    <w:name w:val="Document Map"/>
    <w:basedOn w:val="1"/>
    <w:link w:val="83"/>
    <w:semiHidden/>
    <w:qFormat/>
    <w:uiPriority w:val="0"/>
    <w:pPr>
      <w:shd w:val="clear" w:color="auto" w:fill="000080"/>
    </w:pPr>
  </w:style>
  <w:style w:type="paragraph" w:styleId="16">
    <w:name w:val="toa heading"/>
    <w:basedOn w:val="1"/>
    <w:next w:val="1"/>
    <w:semiHidden/>
    <w:qFormat/>
    <w:uiPriority w:val="0"/>
    <w:pPr>
      <w:adjustRightInd w:val="0"/>
      <w:spacing w:before="120" w:line="312" w:lineRule="atLeast"/>
    </w:pPr>
    <w:rPr>
      <w:rFonts w:ascii="Arial" w:hAnsi="Arial"/>
      <w:b/>
      <w:kern w:val="0"/>
      <w:sz w:val="24"/>
    </w:rPr>
  </w:style>
  <w:style w:type="paragraph" w:styleId="17">
    <w:name w:val="annotation text"/>
    <w:basedOn w:val="1"/>
    <w:link w:val="84"/>
    <w:qFormat/>
    <w:uiPriority w:val="0"/>
    <w:pPr>
      <w:adjustRightInd w:val="0"/>
      <w:spacing w:line="360" w:lineRule="atLeast"/>
      <w:jc w:val="left"/>
      <w:textAlignment w:val="baseline"/>
    </w:pPr>
    <w:rPr>
      <w:kern w:val="0"/>
      <w:sz w:val="24"/>
      <w:szCs w:val="20"/>
    </w:rPr>
  </w:style>
  <w:style w:type="paragraph" w:styleId="18">
    <w:name w:val="Salutation"/>
    <w:basedOn w:val="1"/>
    <w:next w:val="1"/>
    <w:link w:val="85"/>
    <w:qFormat/>
    <w:uiPriority w:val="0"/>
    <w:rPr>
      <w:sz w:val="28"/>
    </w:rPr>
  </w:style>
  <w:style w:type="paragraph" w:styleId="19">
    <w:name w:val="Body Text 3"/>
    <w:basedOn w:val="1"/>
    <w:link w:val="86"/>
    <w:qFormat/>
    <w:uiPriority w:val="0"/>
    <w:pPr>
      <w:spacing w:line="500" w:lineRule="exact"/>
    </w:pPr>
    <w:rPr>
      <w:b/>
      <w:bCs/>
      <w:sz w:val="24"/>
    </w:rPr>
  </w:style>
  <w:style w:type="paragraph" w:styleId="20">
    <w:name w:val="Body Text"/>
    <w:basedOn w:val="1"/>
    <w:next w:val="1"/>
    <w:link w:val="73"/>
    <w:qFormat/>
    <w:uiPriority w:val="0"/>
    <w:pPr>
      <w:spacing w:line="380" w:lineRule="exact"/>
    </w:pPr>
    <w:rPr>
      <w:sz w:val="24"/>
    </w:rPr>
  </w:style>
  <w:style w:type="paragraph" w:styleId="21">
    <w:name w:val="Body Text Indent"/>
    <w:basedOn w:val="1"/>
    <w:link w:val="87"/>
    <w:qFormat/>
    <w:uiPriority w:val="0"/>
    <w:pPr>
      <w:ind w:firstLine="830" w:firstLineChars="352"/>
    </w:pPr>
    <w:rPr>
      <w:rFonts w:ascii="仿宋_GB2312" w:eastAsia="仿宋_GB2312"/>
      <w:sz w:val="32"/>
      <w:szCs w:val="20"/>
    </w:rPr>
  </w:style>
  <w:style w:type="paragraph" w:styleId="22">
    <w:name w:val="List Number 3"/>
    <w:basedOn w:val="1"/>
    <w:qFormat/>
    <w:uiPriority w:val="0"/>
    <w:pPr>
      <w:tabs>
        <w:tab w:val="left" w:pos="360"/>
      </w:tabs>
      <w:ind w:left="360" w:hanging="36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HTML Address"/>
    <w:basedOn w:val="1"/>
    <w:link w:val="88"/>
    <w:qFormat/>
    <w:uiPriority w:val="0"/>
    <w:rPr>
      <w:rFonts w:ascii="宋体"/>
      <w:i/>
      <w:iCs/>
      <w:kern w:val="21"/>
      <w:szCs w:val="21"/>
    </w:rPr>
  </w:style>
  <w:style w:type="paragraph" w:styleId="26">
    <w:name w:val="toc 5"/>
    <w:basedOn w:val="1"/>
    <w:next w:val="1"/>
    <w:qFormat/>
    <w:uiPriority w:val="0"/>
    <w:pPr>
      <w:tabs>
        <w:tab w:val="right" w:leader="dot" w:pos="9185"/>
      </w:tabs>
      <w:adjustRightInd w:val="0"/>
      <w:spacing w:line="312" w:lineRule="atLeast"/>
      <w:ind w:left="1680"/>
      <w:textAlignment w:val="baseline"/>
    </w:pPr>
    <w:rPr>
      <w:kern w:val="0"/>
      <w:szCs w:val="20"/>
    </w:rPr>
  </w:style>
  <w:style w:type="paragraph" w:styleId="27">
    <w:name w:val="toc 3"/>
    <w:basedOn w:val="1"/>
    <w:next w:val="1"/>
    <w:link w:val="89"/>
    <w:qFormat/>
    <w:uiPriority w:val="0"/>
    <w:pPr>
      <w:ind w:left="840" w:leftChars="400"/>
    </w:pPr>
  </w:style>
  <w:style w:type="paragraph" w:styleId="28">
    <w:name w:val="Plain Text"/>
    <w:basedOn w:val="1"/>
    <w:next w:val="5"/>
    <w:link w:val="90"/>
    <w:qFormat/>
    <w:uiPriority w:val="99"/>
    <w:rPr>
      <w:rFonts w:ascii="宋体" w:hAnsi="Courier New" w:cs="Courier New"/>
      <w:szCs w:val="21"/>
    </w:rPr>
  </w:style>
  <w:style w:type="paragraph" w:styleId="29">
    <w:name w:val="toc 8"/>
    <w:basedOn w:val="1"/>
    <w:next w:val="1"/>
    <w:qFormat/>
    <w:uiPriority w:val="0"/>
    <w:pPr>
      <w:tabs>
        <w:tab w:val="right" w:leader="dot" w:pos="9185"/>
      </w:tabs>
      <w:adjustRightInd w:val="0"/>
      <w:spacing w:line="312" w:lineRule="atLeast"/>
      <w:ind w:left="2940"/>
      <w:textAlignment w:val="baseline"/>
    </w:pPr>
    <w:rPr>
      <w:kern w:val="0"/>
      <w:szCs w:val="20"/>
    </w:rPr>
  </w:style>
  <w:style w:type="paragraph" w:styleId="30">
    <w:name w:val="Date"/>
    <w:basedOn w:val="1"/>
    <w:next w:val="1"/>
    <w:link w:val="91"/>
    <w:qFormat/>
    <w:uiPriority w:val="0"/>
    <w:pPr>
      <w:ind w:left="100" w:leftChars="2500"/>
    </w:pPr>
    <w:rPr>
      <w:rFonts w:ascii="宋体" w:hAnsi="Courier New" w:cs="Courier New"/>
      <w:szCs w:val="21"/>
    </w:rPr>
  </w:style>
  <w:style w:type="paragraph" w:styleId="31">
    <w:name w:val="Body Text Indent 2"/>
    <w:basedOn w:val="1"/>
    <w:link w:val="92"/>
    <w:qFormat/>
    <w:uiPriority w:val="0"/>
    <w:pPr>
      <w:ind w:firstLine="630"/>
    </w:pPr>
    <w:rPr>
      <w:sz w:val="32"/>
      <w:szCs w:val="20"/>
    </w:rPr>
  </w:style>
  <w:style w:type="paragraph" w:styleId="32">
    <w:name w:val="endnote text"/>
    <w:basedOn w:val="1"/>
    <w:link w:val="93"/>
    <w:unhideWhenUsed/>
    <w:qFormat/>
    <w:uiPriority w:val="0"/>
    <w:pPr>
      <w:snapToGrid w:val="0"/>
      <w:jc w:val="left"/>
    </w:pPr>
    <w:rPr>
      <w:rFonts w:ascii="Calibri" w:hAnsi="Calibri"/>
      <w:szCs w:val="22"/>
    </w:rPr>
  </w:style>
  <w:style w:type="paragraph" w:styleId="33">
    <w:name w:val="Balloon Text"/>
    <w:basedOn w:val="1"/>
    <w:link w:val="94"/>
    <w:semiHidden/>
    <w:qFormat/>
    <w:uiPriority w:val="0"/>
    <w:rPr>
      <w:sz w:val="18"/>
      <w:szCs w:val="18"/>
    </w:rPr>
  </w:style>
  <w:style w:type="paragraph" w:styleId="34">
    <w:name w:val="footer"/>
    <w:basedOn w:val="1"/>
    <w:link w:val="95"/>
    <w:qFormat/>
    <w:uiPriority w:val="99"/>
    <w:pPr>
      <w:tabs>
        <w:tab w:val="center" w:pos="4153"/>
        <w:tab w:val="right" w:pos="8306"/>
      </w:tabs>
      <w:snapToGrid w:val="0"/>
      <w:jc w:val="left"/>
    </w:pPr>
    <w:rPr>
      <w:sz w:val="18"/>
      <w:szCs w:val="18"/>
    </w:rPr>
  </w:style>
  <w:style w:type="paragraph" w:styleId="35">
    <w:name w:val="header"/>
    <w:basedOn w:val="1"/>
    <w:link w:val="96"/>
    <w:qFormat/>
    <w:uiPriority w:val="99"/>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39"/>
    <w:pPr>
      <w:tabs>
        <w:tab w:val="right" w:leader="dot" w:pos="8296"/>
        <w:tab w:val="right" w:leader="dot" w:pos="8398"/>
      </w:tabs>
      <w:spacing w:before="120" w:after="120" w:line="320" w:lineRule="exact"/>
      <w:ind w:firstLine="840" w:firstLineChars="400"/>
      <w:jc w:val="left"/>
    </w:pPr>
    <w:rPr>
      <w:rFonts w:ascii="仿宋_GB2312" w:hAnsi="宋体" w:eastAsia="仿宋_GB2312" w:cs="Courier New"/>
      <w:bCs/>
      <w:caps/>
      <w:szCs w:val="21"/>
    </w:rPr>
  </w:style>
  <w:style w:type="paragraph" w:styleId="37">
    <w:name w:val="toc 4"/>
    <w:basedOn w:val="1"/>
    <w:next w:val="1"/>
    <w:qFormat/>
    <w:uiPriority w:val="0"/>
    <w:pPr>
      <w:tabs>
        <w:tab w:val="right" w:leader="dot" w:pos="9185"/>
      </w:tabs>
      <w:adjustRightInd w:val="0"/>
      <w:spacing w:line="312" w:lineRule="atLeast"/>
      <w:ind w:left="1260"/>
      <w:textAlignment w:val="baseline"/>
    </w:pPr>
    <w:rPr>
      <w:kern w:val="0"/>
      <w:szCs w:val="20"/>
    </w:rPr>
  </w:style>
  <w:style w:type="paragraph" w:styleId="38">
    <w:name w:val="List"/>
    <w:basedOn w:val="1"/>
    <w:qFormat/>
    <w:uiPriority w:val="0"/>
    <w:pPr>
      <w:ind w:left="200" w:hanging="200" w:hangingChars="200"/>
    </w:pPr>
    <w:rPr>
      <w:sz w:val="28"/>
    </w:rPr>
  </w:style>
  <w:style w:type="paragraph" w:styleId="39">
    <w:name w:val="footnote text"/>
    <w:basedOn w:val="1"/>
    <w:link w:val="97"/>
    <w:semiHidden/>
    <w:qFormat/>
    <w:uiPriority w:val="0"/>
    <w:pPr>
      <w:snapToGrid w:val="0"/>
      <w:jc w:val="left"/>
    </w:pPr>
    <w:rPr>
      <w:rFonts w:ascii="宋体"/>
      <w:kern w:val="21"/>
      <w:sz w:val="18"/>
      <w:szCs w:val="18"/>
    </w:rPr>
  </w:style>
  <w:style w:type="paragraph" w:styleId="40">
    <w:name w:val="toc 6"/>
    <w:basedOn w:val="1"/>
    <w:next w:val="1"/>
    <w:qFormat/>
    <w:uiPriority w:val="0"/>
    <w:pPr>
      <w:tabs>
        <w:tab w:val="right" w:leader="dot" w:pos="9185"/>
      </w:tabs>
      <w:adjustRightInd w:val="0"/>
      <w:spacing w:line="312" w:lineRule="atLeast"/>
      <w:ind w:left="2100"/>
      <w:textAlignment w:val="baseline"/>
    </w:pPr>
    <w:rPr>
      <w:kern w:val="0"/>
      <w:szCs w:val="20"/>
    </w:rPr>
  </w:style>
  <w:style w:type="paragraph" w:styleId="41">
    <w:name w:val="List 5"/>
    <w:basedOn w:val="1"/>
    <w:qFormat/>
    <w:uiPriority w:val="0"/>
    <w:pPr>
      <w:ind w:left="2100" w:hanging="420"/>
    </w:pPr>
    <w:rPr>
      <w:szCs w:val="20"/>
    </w:rPr>
  </w:style>
  <w:style w:type="paragraph" w:styleId="42">
    <w:name w:val="Body Text Indent 3"/>
    <w:basedOn w:val="1"/>
    <w:link w:val="98"/>
    <w:qFormat/>
    <w:uiPriority w:val="0"/>
    <w:pPr>
      <w:spacing w:after="120"/>
      <w:ind w:left="420" w:leftChars="200"/>
    </w:pPr>
    <w:rPr>
      <w:sz w:val="16"/>
      <w:szCs w:val="16"/>
    </w:rPr>
  </w:style>
  <w:style w:type="paragraph" w:styleId="43">
    <w:name w:val="toc 2"/>
    <w:basedOn w:val="1"/>
    <w:next w:val="1"/>
    <w:qFormat/>
    <w:uiPriority w:val="39"/>
    <w:pPr>
      <w:ind w:left="420" w:leftChars="200"/>
    </w:pPr>
  </w:style>
  <w:style w:type="paragraph" w:styleId="44">
    <w:name w:val="toc 9"/>
    <w:basedOn w:val="1"/>
    <w:next w:val="1"/>
    <w:qFormat/>
    <w:uiPriority w:val="0"/>
    <w:pPr>
      <w:tabs>
        <w:tab w:val="right" w:leader="dot" w:pos="9185"/>
      </w:tabs>
      <w:adjustRightInd w:val="0"/>
      <w:spacing w:line="312" w:lineRule="atLeast"/>
      <w:ind w:left="3360"/>
      <w:textAlignment w:val="baseline"/>
    </w:pPr>
    <w:rPr>
      <w:kern w:val="0"/>
      <w:szCs w:val="20"/>
    </w:rPr>
  </w:style>
  <w:style w:type="paragraph" w:styleId="45">
    <w:name w:val="Body Text 2"/>
    <w:basedOn w:val="1"/>
    <w:link w:val="99"/>
    <w:qFormat/>
    <w:uiPriority w:val="0"/>
    <w:pPr>
      <w:spacing w:after="120" w:line="480" w:lineRule="auto"/>
    </w:pPr>
  </w:style>
  <w:style w:type="paragraph" w:styleId="46">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47">
    <w:name w:val="Normal (Web)"/>
    <w:basedOn w:val="1"/>
    <w:qFormat/>
    <w:uiPriority w:val="99"/>
    <w:pPr>
      <w:widowControl/>
      <w:spacing w:before="100" w:beforeAutospacing="1" w:after="100" w:afterAutospacing="1"/>
      <w:jc w:val="left"/>
    </w:pPr>
    <w:rPr>
      <w:rFonts w:ascii="宋体" w:hAnsi="宋体"/>
      <w:kern w:val="0"/>
      <w:sz w:val="24"/>
    </w:rPr>
  </w:style>
  <w:style w:type="paragraph" w:styleId="48">
    <w:name w:val="index 1"/>
    <w:basedOn w:val="1"/>
    <w:next w:val="1"/>
    <w:semiHidden/>
    <w:qFormat/>
    <w:uiPriority w:val="0"/>
    <w:pPr>
      <w:spacing w:line="400" w:lineRule="exact"/>
      <w:ind w:firstLine="420" w:firstLineChars="200"/>
    </w:pPr>
    <w:rPr>
      <w:rFonts w:ascii="宋体" w:hAnsi="Courier New"/>
      <w:b/>
      <w:szCs w:val="20"/>
    </w:rPr>
  </w:style>
  <w:style w:type="paragraph" w:styleId="49">
    <w:name w:val="Title"/>
    <w:basedOn w:val="1"/>
    <w:link w:val="101"/>
    <w:qFormat/>
    <w:uiPriority w:val="0"/>
    <w:pPr>
      <w:spacing w:before="240" w:after="60"/>
      <w:jc w:val="center"/>
      <w:outlineLvl w:val="0"/>
    </w:pPr>
    <w:rPr>
      <w:rFonts w:ascii="Arial" w:hAnsi="Arial"/>
      <w:b/>
      <w:bCs/>
      <w:sz w:val="32"/>
      <w:szCs w:val="32"/>
    </w:rPr>
  </w:style>
  <w:style w:type="paragraph" w:styleId="50">
    <w:name w:val="annotation subject"/>
    <w:basedOn w:val="17"/>
    <w:next w:val="17"/>
    <w:link w:val="102"/>
    <w:semiHidden/>
    <w:qFormat/>
    <w:uiPriority w:val="0"/>
    <w:pPr>
      <w:adjustRightInd/>
      <w:spacing w:line="240" w:lineRule="auto"/>
      <w:textAlignment w:val="auto"/>
    </w:pPr>
    <w:rPr>
      <w:b/>
      <w:bCs/>
      <w:kern w:val="2"/>
      <w:sz w:val="21"/>
      <w:szCs w:val="24"/>
    </w:rPr>
  </w:style>
  <w:style w:type="paragraph" w:styleId="51">
    <w:name w:val="Body Text First Indent"/>
    <w:basedOn w:val="20"/>
    <w:qFormat/>
    <w:uiPriority w:val="0"/>
    <w:pPr>
      <w:ind w:firstLine="420" w:firstLineChars="100"/>
    </w:pPr>
  </w:style>
  <w:style w:type="paragraph" w:styleId="52">
    <w:name w:val="Body Text First Indent 2"/>
    <w:basedOn w:val="21"/>
    <w:unhideWhenUsed/>
    <w:qFormat/>
    <w:uiPriority w:val="0"/>
    <w:pPr>
      <w:spacing w:after="120"/>
      <w:ind w:left="420" w:leftChars="200" w:firstLine="420" w:firstLineChars="200"/>
    </w:pPr>
    <w:rPr>
      <w:sz w:val="21"/>
      <w:szCs w:val="24"/>
    </w:rPr>
  </w:style>
  <w:style w:type="table" w:styleId="54">
    <w:name w:val="Table Grid"/>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rPr>
  </w:style>
  <w:style w:type="character" w:styleId="57">
    <w:name w:val="page number"/>
    <w:basedOn w:val="55"/>
    <w:qFormat/>
    <w:uiPriority w:val="0"/>
  </w:style>
  <w:style w:type="character" w:styleId="58">
    <w:name w:val="FollowedHyperlink"/>
    <w:qFormat/>
    <w:uiPriority w:val="0"/>
    <w:rPr>
      <w:color w:val="800080"/>
      <w:u w:val="single"/>
    </w:rPr>
  </w:style>
  <w:style w:type="character" w:styleId="59">
    <w:name w:val="Emphasis"/>
    <w:qFormat/>
    <w:uiPriority w:val="0"/>
    <w:rPr>
      <w:color w:val="CC0000"/>
    </w:rPr>
  </w:style>
  <w:style w:type="character" w:styleId="60">
    <w:name w:val="HTML Definition"/>
    <w:basedOn w:val="55"/>
    <w:qFormat/>
    <w:uiPriority w:val="0"/>
    <w:rPr>
      <w:i/>
    </w:rPr>
  </w:style>
  <w:style w:type="character" w:styleId="61">
    <w:name w:val="HTML Typewriter"/>
    <w:basedOn w:val="55"/>
    <w:qFormat/>
    <w:uiPriority w:val="0"/>
    <w:rPr>
      <w:rFonts w:ascii="Courier New" w:hAnsi="Courier New"/>
      <w:sz w:val="20"/>
    </w:rPr>
  </w:style>
  <w:style w:type="character" w:styleId="62">
    <w:name w:val="HTML Acronym"/>
    <w:basedOn w:val="55"/>
    <w:qFormat/>
    <w:uiPriority w:val="0"/>
    <w:rPr>
      <w:rFonts w:cs="Times New Roman"/>
    </w:rPr>
  </w:style>
  <w:style w:type="character" w:styleId="63">
    <w:name w:val="HTML Variable"/>
    <w:basedOn w:val="55"/>
    <w:qFormat/>
    <w:uiPriority w:val="0"/>
    <w:rPr>
      <w:i/>
    </w:rPr>
  </w:style>
  <w:style w:type="character" w:styleId="64">
    <w:name w:val="Hyperlink"/>
    <w:qFormat/>
    <w:uiPriority w:val="99"/>
    <w:rPr>
      <w:color w:val="0000FF"/>
      <w:u w:val="single"/>
    </w:rPr>
  </w:style>
  <w:style w:type="character" w:styleId="65">
    <w:name w:val="HTML Code"/>
    <w:basedOn w:val="55"/>
    <w:qFormat/>
    <w:uiPriority w:val="0"/>
    <w:rPr>
      <w:rFonts w:ascii="Courier New" w:hAnsi="Courier New"/>
      <w:sz w:val="20"/>
    </w:rPr>
  </w:style>
  <w:style w:type="character" w:styleId="66">
    <w:name w:val="annotation reference"/>
    <w:qFormat/>
    <w:uiPriority w:val="0"/>
    <w:rPr>
      <w:sz w:val="21"/>
      <w:szCs w:val="21"/>
    </w:rPr>
  </w:style>
  <w:style w:type="character" w:styleId="67">
    <w:name w:val="HTML Cite"/>
    <w:basedOn w:val="55"/>
    <w:qFormat/>
    <w:uiPriority w:val="0"/>
    <w:rPr>
      <w:i/>
    </w:rPr>
  </w:style>
  <w:style w:type="character" w:styleId="68">
    <w:name w:val="HTML Keyboard"/>
    <w:basedOn w:val="55"/>
    <w:qFormat/>
    <w:uiPriority w:val="0"/>
    <w:rPr>
      <w:rFonts w:ascii="Courier New" w:hAnsi="Courier New"/>
      <w:sz w:val="20"/>
    </w:rPr>
  </w:style>
  <w:style w:type="character" w:styleId="69">
    <w:name w:val="HTML Sample"/>
    <w:basedOn w:val="55"/>
    <w:qFormat/>
    <w:uiPriority w:val="0"/>
    <w:rPr>
      <w:rFonts w:ascii="Courier New" w:hAnsi="Courier New"/>
    </w:rPr>
  </w:style>
  <w:style w:type="paragraph" w:customStyle="1" w:styleId="70">
    <w:name w:val="BodyText1I"/>
    <w:basedOn w:val="71"/>
    <w:next w:val="1"/>
    <w:qFormat/>
    <w:uiPriority w:val="0"/>
    <w:pPr>
      <w:ind w:firstLine="420" w:firstLineChars="100"/>
    </w:pPr>
  </w:style>
  <w:style w:type="paragraph" w:customStyle="1" w:styleId="71">
    <w:name w:val="BodyText"/>
    <w:basedOn w:val="1"/>
    <w:next w:val="1"/>
    <w:qFormat/>
    <w:uiPriority w:val="0"/>
    <w:pPr>
      <w:spacing w:after="120"/>
    </w:pPr>
  </w:style>
  <w:style w:type="paragraph" w:customStyle="1" w:styleId="72">
    <w:name w:val="Default"/>
    <w:qFormat/>
    <w:uiPriority w:val="0"/>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character" w:customStyle="1" w:styleId="73">
    <w:name w:val="正文文本 Char"/>
    <w:link w:val="20"/>
    <w:qFormat/>
    <w:uiPriority w:val="0"/>
    <w:rPr>
      <w:rFonts w:eastAsia="宋体"/>
      <w:kern w:val="2"/>
      <w:sz w:val="24"/>
      <w:szCs w:val="24"/>
      <w:lang w:val="en-US" w:eastAsia="zh-CN" w:bidi="ar-SA"/>
    </w:rPr>
  </w:style>
  <w:style w:type="character" w:customStyle="1" w:styleId="74">
    <w:name w:val="标题 1 Char"/>
    <w:link w:val="2"/>
    <w:qFormat/>
    <w:uiPriority w:val="0"/>
    <w:rPr>
      <w:rFonts w:eastAsia="宋体"/>
      <w:b/>
      <w:bCs/>
      <w:kern w:val="44"/>
      <w:sz w:val="44"/>
      <w:szCs w:val="44"/>
      <w:lang w:val="en-US" w:eastAsia="zh-CN" w:bidi="ar-SA"/>
    </w:rPr>
  </w:style>
  <w:style w:type="character" w:customStyle="1" w:styleId="75">
    <w:name w:val="标题 2 Char"/>
    <w:link w:val="3"/>
    <w:qFormat/>
    <w:uiPriority w:val="0"/>
    <w:rPr>
      <w:rFonts w:ascii="Arial" w:hAnsi="Arial" w:eastAsia="黑体"/>
      <w:b/>
      <w:bCs/>
      <w:sz w:val="32"/>
      <w:szCs w:val="32"/>
      <w:lang w:bidi="ar-SA"/>
    </w:rPr>
  </w:style>
  <w:style w:type="character" w:customStyle="1" w:styleId="76">
    <w:name w:val="标题 3 Char"/>
    <w:link w:val="4"/>
    <w:qFormat/>
    <w:uiPriority w:val="0"/>
    <w:rPr>
      <w:rFonts w:eastAsia="宋体"/>
      <w:b/>
      <w:bCs/>
      <w:sz w:val="32"/>
      <w:szCs w:val="32"/>
      <w:lang w:bidi="ar-SA"/>
    </w:rPr>
  </w:style>
  <w:style w:type="character" w:customStyle="1" w:styleId="77">
    <w:name w:val="标题 4 Char"/>
    <w:link w:val="5"/>
    <w:qFormat/>
    <w:uiPriority w:val="0"/>
    <w:rPr>
      <w:rFonts w:ascii="Arial" w:hAnsi="Arial" w:eastAsia="黑体"/>
      <w:sz w:val="28"/>
      <w:lang w:bidi="ar-SA"/>
    </w:rPr>
  </w:style>
  <w:style w:type="character" w:customStyle="1" w:styleId="78">
    <w:name w:val="标题 5 Char"/>
    <w:link w:val="6"/>
    <w:qFormat/>
    <w:uiPriority w:val="0"/>
    <w:rPr>
      <w:rFonts w:eastAsia="宋体"/>
      <w:b/>
      <w:kern w:val="2"/>
      <w:sz w:val="28"/>
      <w:szCs w:val="24"/>
      <w:lang w:val="en-US" w:eastAsia="zh-CN" w:bidi="ar-SA"/>
    </w:rPr>
  </w:style>
  <w:style w:type="character" w:customStyle="1" w:styleId="79">
    <w:name w:val="标题 6 Char"/>
    <w:link w:val="8"/>
    <w:qFormat/>
    <w:uiPriority w:val="0"/>
    <w:rPr>
      <w:rFonts w:ascii="Arial" w:hAnsi="Arial" w:eastAsia="黑体"/>
      <w:b/>
      <w:kern w:val="2"/>
      <w:sz w:val="24"/>
      <w:szCs w:val="24"/>
      <w:lang w:val="en-US" w:eastAsia="zh-CN" w:bidi="ar-SA"/>
    </w:rPr>
  </w:style>
  <w:style w:type="character" w:customStyle="1" w:styleId="80">
    <w:name w:val="标题 7 Char"/>
    <w:link w:val="9"/>
    <w:qFormat/>
    <w:uiPriority w:val="0"/>
    <w:rPr>
      <w:rFonts w:eastAsia="宋体"/>
      <w:b/>
      <w:kern w:val="2"/>
      <w:sz w:val="24"/>
      <w:szCs w:val="24"/>
      <w:lang w:val="en-US" w:eastAsia="zh-CN" w:bidi="ar-SA"/>
    </w:rPr>
  </w:style>
  <w:style w:type="character" w:customStyle="1" w:styleId="81">
    <w:name w:val="标题 8 Char"/>
    <w:link w:val="10"/>
    <w:qFormat/>
    <w:uiPriority w:val="0"/>
    <w:rPr>
      <w:rFonts w:ascii="Arial" w:hAnsi="Arial" w:eastAsia="黑体"/>
      <w:kern w:val="2"/>
      <w:sz w:val="24"/>
      <w:szCs w:val="24"/>
      <w:lang w:val="en-US" w:eastAsia="zh-CN" w:bidi="ar-SA"/>
    </w:rPr>
  </w:style>
  <w:style w:type="character" w:customStyle="1" w:styleId="82">
    <w:name w:val="标题 9 Char"/>
    <w:link w:val="11"/>
    <w:qFormat/>
    <w:uiPriority w:val="0"/>
    <w:rPr>
      <w:rFonts w:ascii="Arial" w:hAnsi="Arial" w:eastAsia="黑体"/>
      <w:kern w:val="2"/>
      <w:sz w:val="21"/>
      <w:szCs w:val="24"/>
      <w:lang w:val="en-US" w:eastAsia="zh-CN" w:bidi="ar-SA"/>
    </w:rPr>
  </w:style>
  <w:style w:type="character" w:customStyle="1" w:styleId="83">
    <w:name w:val="文档结构图 Char"/>
    <w:link w:val="15"/>
    <w:qFormat/>
    <w:uiPriority w:val="0"/>
    <w:rPr>
      <w:rFonts w:eastAsia="宋体"/>
      <w:kern w:val="2"/>
      <w:sz w:val="21"/>
      <w:szCs w:val="24"/>
      <w:lang w:val="en-US" w:eastAsia="zh-CN" w:bidi="ar-SA"/>
    </w:rPr>
  </w:style>
  <w:style w:type="character" w:customStyle="1" w:styleId="84">
    <w:name w:val="批注文字 Char"/>
    <w:link w:val="17"/>
    <w:qFormat/>
    <w:uiPriority w:val="0"/>
    <w:rPr>
      <w:rFonts w:eastAsia="宋体"/>
      <w:sz w:val="24"/>
      <w:lang w:bidi="ar-SA"/>
    </w:rPr>
  </w:style>
  <w:style w:type="character" w:customStyle="1" w:styleId="85">
    <w:name w:val="称呼 Char"/>
    <w:link w:val="18"/>
    <w:qFormat/>
    <w:uiPriority w:val="0"/>
    <w:rPr>
      <w:kern w:val="2"/>
      <w:sz w:val="28"/>
      <w:szCs w:val="24"/>
    </w:rPr>
  </w:style>
  <w:style w:type="character" w:customStyle="1" w:styleId="86">
    <w:name w:val="正文文本 3 Char"/>
    <w:link w:val="19"/>
    <w:qFormat/>
    <w:uiPriority w:val="0"/>
    <w:rPr>
      <w:rFonts w:eastAsia="宋体"/>
      <w:b/>
      <w:bCs/>
      <w:kern w:val="2"/>
      <w:sz w:val="24"/>
      <w:szCs w:val="24"/>
      <w:lang w:val="en-US" w:eastAsia="zh-CN" w:bidi="ar-SA"/>
    </w:rPr>
  </w:style>
  <w:style w:type="character" w:customStyle="1" w:styleId="87">
    <w:name w:val="正文文本缩进 Char"/>
    <w:link w:val="21"/>
    <w:qFormat/>
    <w:uiPriority w:val="0"/>
    <w:rPr>
      <w:rFonts w:ascii="仿宋_GB2312" w:eastAsia="仿宋_GB2312"/>
      <w:kern w:val="2"/>
      <w:sz w:val="32"/>
      <w:lang w:val="en-US" w:eastAsia="zh-CN" w:bidi="ar-SA"/>
    </w:rPr>
  </w:style>
  <w:style w:type="character" w:customStyle="1" w:styleId="88">
    <w:name w:val="HTML 地址 Char"/>
    <w:basedOn w:val="55"/>
    <w:link w:val="25"/>
    <w:qFormat/>
    <w:locked/>
    <w:uiPriority w:val="0"/>
    <w:rPr>
      <w:rFonts w:ascii="宋体" w:eastAsia="宋体"/>
      <w:i/>
      <w:iCs/>
      <w:kern w:val="21"/>
      <w:sz w:val="21"/>
      <w:szCs w:val="21"/>
      <w:lang w:val="en-US" w:eastAsia="zh-CN" w:bidi="ar-SA"/>
    </w:rPr>
  </w:style>
  <w:style w:type="character" w:customStyle="1" w:styleId="89">
    <w:name w:val="目录 3 Char"/>
    <w:link w:val="27"/>
    <w:qFormat/>
    <w:locked/>
    <w:uiPriority w:val="0"/>
    <w:rPr>
      <w:rFonts w:eastAsia="宋体"/>
      <w:kern w:val="2"/>
      <w:sz w:val="21"/>
      <w:szCs w:val="24"/>
      <w:lang w:val="en-US" w:eastAsia="zh-CN" w:bidi="ar-SA"/>
    </w:rPr>
  </w:style>
  <w:style w:type="character" w:customStyle="1" w:styleId="90">
    <w:name w:val="纯文本 Char2"/>
    <w:link w:val="28"/>
    <w:qFormat/>
    <w:uiPriority w:val="0"/>
    <w:rPr>
      <w:rFonts w:ascii="宋体" w:hAnsi="Courier New" w:eastAsia="宋体" w:cs="Courier New"/>
      <w:kern w:val="2"/>
      <w:sz w:val="21"/>
      <w:szCs w:val="21"/>
      <w:lang w:val="en-US" w:eastAsia="zh-CN" w:bidi="ar-SA"/>
    </w:rPr>
  </w:style>
  <w:style w:type="character" w:customStyle="1" w:styleId="91">
    <w:name w:val="日期 Char"/>
    <w:link w:val="30"/>
    <w:qFormat/>
    <w:uiPriority w:val="0"/>
    <w:rPr>
      <w:rFonts w:ascii="宋体" w:hAnsi="Courier New" w:eastAsia="宋体" w:cs="Courier New"/>
      <w:kern w:val="2"/>
      <w:sz w:val="21"/>
      <w:szCs w:val="21"/>
      <w:lang w:val="en-US" w:eastAsia="zh-CN" w:bidi="ar-SA"/>
    </w:rPr>
  </w:style>
  <w:style w:type="character" w:customStyle="1" w:styleId="92">
    <w:name w:val="正文文本缩进 2 Char"/>
    <w:link w:val="31"/>
    <w:qFormat/>
    <w:uiPriority w:val="0"/>
    <w:rPr>
      <w:rFonts w:eastAsia="宋体"/>
      <w:kern w:val="2"/>
      <w:sz w:val="32"/>
      <w:lang w:val="en-US" w:eastAsia="zh-CN" w:bidi="ar-SA"/>
    </w:rPr>
  </w:style>
  <w:style w:type="character" w:customStyle="1" w:styleId="93">
    <w:name w:val="尾注文本 Char"/>
    <w:link w:val="32"/>
    <w:qFormat/>
    <w:uiPriority w:val="0"/>
    <w:rPr>
      <w:rFonts w:ascii="Calibri" w:hAnsi="Calibri"/>
      <w:kern w:val="2"/>
      <w:sz w:val="21"/>
      <w:szCs w:val="22"/>
    </w:rPr>
  </w:style>
  <w:style w:type="character" w:customStyle="1" w:styleId="94">
    <w:name w:val="批注框文本 Char"/>
    <w:link w:val="33"/>
    <w:semiHidden/>
    <w:qFormat/>
    <w:uiPriority w:val="0"/>
    <w:rPr>
      <w:rFonts w:eastAsia="宋体"/>
      <w:kern w:val="2"/>
      <w:sz w:val="18"/>
      <w:szCs w:val="18"/>
      <w:lang w:val="en-US" w:eastAsia="zh-CN" w:bidi="ar-SA"/>
    </w:rPr>
  </w:style>
  <w:style w:type="character" w:customStyle="1" w:styleId="95">
    <w:name w:val="页脚 Char"/>
    <w:link w:val="34"/>
    <w:qFormat/>
    <w:uiPriority w:val="99"/>
    <w:rPr>
      <w:rFonts w:eastAsia="宋体"/>
      <w:kern w:val="2"/>
      <w:sz w:val="18"/>
      <w:szCs w:val="18"/>
      <w:lang w:val="en-US" w:eastAsia="zh-CN" w:bidi="ar-SA"/>
    </w:rPr>
  </w:style>
  <w:style w:type="character" w:customStyle="1" w:styleId="96">
    <w:name w:val="页眉 Char"/>
    <w:link w:val="35"/>
    <w:qFormat/>
    <w:uiPriority w:val="99"/>
    <w:rPr>
      <w:rFonts w:eastAsia="宋体"/>
      <w:kern w:val="2"/>
      <w:sz w:val="18"/>
      <w:szCs w:val="18"/>
      <w:lang w:val="en-US" w:eastAsia="zh-CN" w:bidi="ar-SA"/>
    </w:rPr>
  </w:style>
  <w:style w:type="character" w:customStyle="1" w:styleId="97">
    <w:name w:val="脚注文本 Char"/>
    <w:basedOn w:val="55"/>
    <w:link w:val="39"/>
    <w:qFormat/>
    <w:locked/>
    <w:uiPriority w:val="0"/>
    <w:rPr>
      <w:rFonts w:ascii="宋体" w:eastAsia="宋体"/>
      <w:kern w:val="21"/>
      <w:sz w:val="18"/>
      <w:szCs w:val="18"/>
      <w:lang w:val="en-US" w:eastAsia="zh-CN" w:bidi="ar-SA"/>
    </w:rPr>
  </w:style>
  <w:style w:type="character" w:customStyle="1" w:styleId="98">
    <w:name w:val="正文文本缩进 3 Char"/>
    <w:link w:val="42"/>
    <w:qFormat/>
    <w:uiPriority w:val="0"/>
    <w:rPr>
      <w:rFonts w:eastAsia="宋体"/>
      <w:kern w:val="2"/>
      <w:sz w:val="16"/>
      <w:szCs w:val="16"/>
      <w:lang w:val="en-US" w:eastAsia="zh-CN" w:bidi="ar-SA"/>
    </w:rPr>
  </w:style>
  <w:style w:type="character" w:customStyle="1" w:styleId="99">
    <w:name w:val="正文文本 2 Char"/>
    <w:link w:val="45"/>
    <w:qFormat/>
    <w:uiPriority w:val="0"/>
    <w:rPr>
      <w:rFonts w:eastAsia="宋体"/>
      <w:kern w:val="2"/>
      <w:sz w:val="21"/>
      <w:szCs w:val="24"/>
      <w:lang w:val="en-US" w:eastAsia="zh-CN" w:bidi="ar-SA"/>
    </w:rPr>
  </w:style>
  <w:style w:type="character" w:customStyle="1" w:styleId="100">
    <w:name w:val="HTML 预设格式 Char"/>
    <w:link w:val="46"/>
    <w:qFormat/>
    <w:uiPriority w:val="0"/>
    <w:rPr>
      <w:rFonts w:ascii="黑体" w:hAnsi="Courier New" w:eastAsia="黑体" w:cs="Courier New"/>
      <w:lang w:val="en-US" w:eastAsia="zh-CN" w:bidi="ar-SA"/>
    </w:rPr>
  </w:style>
  <w:style w:type="character" w:customStyle="1" w:styleId="101">
    <w:name w:val="标题 Char"/>
    <w:link w:val="49"/>
    <w:qFormat/>
    <w:uiPriority w:val="0"/>
    <w:rPr>
      <w:rFonts w:ascii="Arial" w:hAnsi="Arial" w:eastAsia="宋体"/>
      <w:b/>
      <w:bCs/>
      <w:kern w:val="2"/>
      <w:sz w:val="32"/>
      <w:szCs w:val="32"/>
      <w:lang w:bidi="ar-SA"/>
    </w:rPr>
  </w:style>
  <w:style w:type="character" w:customStyle="1" w:styleId="102">
    <w:name w:val="批注主题 Char"/>
    <w:link w:val="50"/>
    <w:semiHidden/>
    <w:qFormat/>
    <w:uiPriority w:val="0"/>
    <w:rPr>
      <w:b/>
      <w:bCs/>
      <w:kern w:val="2"/>
      <w:sz w:val="21"/>
      <w:szCs w:val="24"/>
    </w:rPr>
  </w:style>
  <w:style w:type="paragraph" w:customStyle="1" w:styleId="103">
    <w:name w:val="表格文字"/>
    <w:basedOn w:val="1"/>
    <w:next w:val="20"/>
    <w:qFormat/>
    <w:uiPriority w:val="0"/>
    <w:pPr>
      <w:spacing w:before="25" w:after="25"/>
      <w:jc w:val="left"/>
    </w:pPr>
    <w:rPr>
      <w:bCs/>
      <w:spacing w:val="10"/>
      <w:kern w:val="0"/>
      <w:sz w:val="24"/>
    </w:rPr>
  </w:style>
  <w:style w:type="paragraph" w:customStyle="1" w:styleId="104">
    <w:name w:val="_Style 8"/>
    <w:basedOn w:val="15"/>
    <w:qFormat/>
    <w:uiPriority w:val="0"/>
    <w:pPr>
      <w:widowControl/>
      <w:ind w:firstLine="454"/>
      <w:jc w:val="left"/>
    </w:pPr>
  </w:style>
  <w:style w:type="character" w:customStyle="1" w:styleId="105">
    <w:name w:val="自定义标题一 Char Char"/>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106">
    <w:name w:val="apple-style-span"/>
    <w:basedOn w:val="55"/>
    <w:qFormat/>
    <w:uiPriority w:val="0"/>
  </w:style>
  <w:style w:type="character" w:customStyle="1" w:styleId="107">
    <w:name w:val="无间隔 Char"/>
    <w:link w:val="108"/>
    <w:qFormat/>
    <w:uiPriority w:val="0"/>
    <w:rPr>
      <w:sz w:val="22"/>
      <w:szCs w:val="22"/>
      <w:lang w:val="en-US" w:eastAsia="zh-CN" w:bidi="ar-SA"/>
    </w:rPr>
  </w:style>
  <w:style w:type="paragraph" w:styleId="108">
    <w:name w:val="No Spacing"/>
    <w:link w:val="107"/>
    <w:qFormat/>
    <w:uiPriority w:val="0"/>
    <w:pPr>
      <w:spacing w:after="160" w:line="278" w:lineRule="auto"/>
    </w:pPr>
    <w:rPr>
      <w:rFonts w:ascii="Times New Roman" w:hAnsi="Times New Roman" w:eastAsia="宋体" w:cs="Times New Roman"/>
      <w:sz w:val="22"/>
      <w:szCs w:val="22"/>
      <w:lang w:val="en-US" w:eastAsia="zh-CN" w:bidi="ar-SA"/>
    </w:rPr>
  </w:style>
  <w:style w:type="character" w:customStyle="1" w:styleId="109">
    <w:name w:val="纯文本 Char"/>
    <w:qFormat/>
    <w:uiPriority w:val="99"/>
    <w:rPr>
      <w:rFonts w:ascii="宋体" w:hAnsi="Courier New" w:eastAsia="宋体"/>
      <w:kern w:val="2"/>
      <w:sz w:val="21"/>
      <w:lang w:val="en-US" w:eastAsia="zh-CN" w:bidi="ar-SA"/>
    </w:rPr>
  </w:style>
  <w:style w:type="character" w:customStyle="1" w:styleId="110">
    <w:name w:val="ca-10"/>
    <w:basedOn w:val="55"/>
    <w:qFormat/>
    <w:uiPriority w:val="0"/>
  </w:style>
  <w:style w:type="character" w:customStyle="1" w:styleId="111">
    <w:name w:val="Char Char Char Char Char"/>
    <w:qFormat/>
    <w:uiPriority w:val="0"/>
    <w:rPr>
      <w:rFonts w:hint="eastAsia" w:ascii="宋体" w:hAnsi="宋体" w:eastAsia="宋体"/>
      <w:b/>
      <w:bCs/>
      <w:kern w:val="44"/>
      <w:sz w:val="44"/>
      <w:szCs w:val="44"/>
      <w:lang w:val="en-US" w:eastAsia="zh-CN" w:bidi="ar-SA"/>
    </w:rPr>
  </w:style>
  <w:style w:type="character" w:customStyle="1" w:styleId="112">
    <w:name w:val="font41"/>
    <w:basedOn w:val="55"/>
    <w:qFormat/>
    <w:uiPriority w:val="0"/>
    <w:rPr>
      <w:rFonts w:hint="eastAsia" w:ascii="仿宋_GB2312" w:eastAsia="仿宋_GB2312" w:cs="仿宋_GB2312"/>
      <w:color w:val="000000"/>
      <w:sz w:val="20"/>
      <w:szCs w:val="20"/>
      <w:u w:val="none"/>
    </w:rPr>
  </w:style>
  <w:style w:type="character" w:customStyle="1" w:styleId="113">
    <w:name w:val="ca-11"/>
    <w:basedOn w:val="55"/>
    <w:qFormat/>
    <w:uiPriority w:val="0"/>
  </w:style>
  <w:style w:type="character" w:customStyle="1" w:styleId="114">
    <w:name w:val="Char Char12"/>
    <w:qFormat/>
    <w:uiPriority w:val="0"/>
    <w:rPr>
      <w:rFonts w:ascii="宋体" w:eastAsia="宋体" w:cs="Courier New"/>
      <w:kern w:val="2"/>
      <w:sz w:val="21"/>
      <w:szCs w:val="21"/>
      <w:lang w:val="en-US" w:eastAsia="zh-CN" w:bidi="ar-SA"/>
    </w:rPr>
  </w:style>
  <w:style w:type="character" w:customStyle="1" w:styleId="115">
    <w:name w:val="普通文字 Char Char4"/>
    <w:qFormat/>
    <w:uiPriority w:val="0"/>
    <w:rPr>
      <w:rFonts w:ascii="宋体" w:hAnsi="Courier New" w:eastAsia="宋体" w:cs="Courier New"/>
      <w:kern w:val="2"/>
      <w:sz w:val="21"/>
      <w:szCs w:val="21"/>
      <w:lang w:val="en-US" w:eastAsia="zh-CN" w:bidi="ar-SA"/>
    </w:rPr>
  </w:style>
  <w:style w:type="character" w:customStyle="1" w:styleId="116">
    <w:name w:val="ca-12"/>
    <w:basedOn w:val="55"/>
    <w:qFormat/>
    <w:uiPriority w:val="0"/>
  </w:style>
  <w:style w:type="character" w:customStyle="1" w:styleId="117">
    <w:name w:val="font71"/>
    <w:basedOn w:val="55"/>
    <w:qFormat/>
    <w:uiPriority w:val="0"/>
    <w:rPr>
      <w:rFonts w:hint="eastAsia" w:ascii="宋体" w:hAnsi="宋体" w:eastAsia="宋体" w:cs="宋体"/>
      <w:color w:val="FF0000"/>
      <w:sz w:val="18"/>
      <w:szCs w:val="18"/>
      <w:u w:val="none"/>
    </w:rPr>
  </w:style>
  <w:style w:type="character" w:customStyle="1" w:styleId="118">
    <w:name w:val="unnamed3"/>
    <w:basedOn w:val="55"/>
    <w:qFormat/>
    <w:uiPriority w:val="0"/>
  </w:style>
  <w:style w:type="character" w:customStyle="1" w:styleId="119">
    <w:name w:val="Char Char7"/>
    <w:qFormat/>
    <w:uiPriority w:val="0"/>
    <w:rPr>
      <w:rFonts w:ascii="宋体" w:eastAsia="宋体" w:cs="Courier New"/>
      <w:kern w:val="2"/>
      <w:sz w:val="21"/>
      <w:szCs w:val="21"/>
      <w:lang w:val="en-US" w:eastAsia="zh-CN" w:bidi="ar-SA"/>
    </w:rPr>
  </w:style>
  <w:style w:type="character" w:customStyle="1" w:styleId="120">
    <w:name w:val="ca-3"/>
    <w:basedOn w:val="55"/>
    <w:qFormat/>
    <w:uiPriority w:val="0"/>
  </w:style>
  <w:style w:type="character" w:customStyle="1" w:styleId="121">
    <w:name w:val="mark13"/>
    <w:basedOn w:val="55"/>
    <w:qFormat/>
    <w:uiPriority w:val="0"/>
  </w:style>
  <w:style w:type="character" w:customStyle="1" w:styleId="122">
    <w:name w:val="style21"/>
    <w:qFormat/>
    <w:uiPriority w:val="0"/>
    <w:rPr>
      <w:sz w:val="18"/>
      <w:szCs w:val="18"/>
    </w:rPr>
  </w:style>
  <w:style w:type="character" w:customStyle="1" w:styleId="123">
    <w:name w:val="Char Char14"/>
    <w:qFormat/>
    <w:uiPriority w:val="0"/>
    <w:rPr>
      <w:sz w:val="18"/>
      <w:szCs w:val="18"/>
    </w:rPr>
  </w:style>
  <w:style w:type="character" w:customStyle="1" w:styleId="124">
    <w:name w:val="Char Char15"/>
    <w:qFormat/>
    <w:uiPriority w:val="0"/>
    <w:rPr>
      <w:sz w:val="18"/>
      <w:szCs w:val="18"/>
    </w:rPr>
  </w:style>
  <w:style w:type="character" w:customStyle="1" w:styleId="125">
    <w:name w:val="p1"/>
    <w:basedOn w:val="55"/>
    <w:qFormat/>
    <w:uiPriority w:val="0"/>
  </w:style>
  <w:style w:type="character" w:customStyle="1" w:styleId="126">
    <w:name w:val="UP标题3 Char Char"/>
    <w:link w:val="127"/>
    <w:qFormat/>
    <w:locked/>
    <w:uiPriority w:val="0"/>
    <w:rPr>
      <w:rFonts w:ascii="黑体" w:eastAsia="黑体"/>
      <w:sz w:val="28"/>
      <w:szCs w:val="28"/>
      <w:lang w:bidi="ar-SA"/>
    </w:rPr>
  </w:style>
  <w:style w:type="paragraph" w:customStyle="1" w:styleId="127">
    <w:name w:val="UP标题3"/>
    <w:basedOn w:val="1"/>
    <w:link w:val="126"/>
    <w:qFormat/>
    <w:uiPriority w:val="0"/>
    <w:pPr>
      <w:spacing w:line="360" w:lineRule="auto"/>
      <w:ind w:firstLine="149" w:firstLineChars="149"/>
    </w:pPr>
    <w:rPr>
      <w:rFonts w:ascii="黑体" w:eastAsia="黑体"/>
      <w:kern w:val="0"/>
      <w:sz w:val="28"/>
      <w:szCs w:val="28"/>
    </w:rPr>
  </w:style>
  <w:style w:type="character" w:customStyle="1" w:styleId="128">
    <w:name w:val="ca-8"/>
    <w:basedOn w:val="55"/>
    <w:qFormat/>
    <w:uiPriority w:val="0"/>
  </w:style>
  <w:style w:type="character" w:customStyle="1" w:styleId="129">
    <w:name w:val="Body Text Char"/>
    <w:qFormat/>
    <w:locked/>
    <w:uiPriority w:val="0"/>
    <w:rPr>
      <w:rFonts w:eastAsia="宋体"/>
      <w:kern w:val="2"/>
      <w:sz w:val="24"/>
      <w:szCs w:val="24"/>
      <w:lang w:val="en-US" w:eastAsia="zh-CN" w:bidi="ar-SA"/>
    </w:rPr>
  </w:style>
  <w:style w:type="character" w:customStyle="1" w:styleId="130">
    <w:name w:val="ca-16"/>
    <w:basedOn w:val="55"/>
    <w:qFormat/>
    <w:uiPriority w:val="0"/>
  </w:style>
  <w:style w:type="character" w:customStyle="1" w:styleId="131">
    <w:name w:val="Char Char17"/>
    <w:qFormat/>
    <w:uiPriority w:val="0"/>
    <w:rPr>
      <w:rFonts w:hint="default" w:ascii="Times New Roman" w:hAnsi="Times New Roman" w:cs="Times New Roman"/>
      <w:b/>
      <w:bCs/>
      <w:kern w:val="2"/>
      <w:sz w:val="21"/>
      <w:szCs w:val="24"/>
    </w:rPr>
  </w:style>
  <w:style w:type="character" w:customStyle="1" w:styleId="132">
    <w:name w:val="ca-0"/>
    <w:qFormat/>
    <w:uiPriority w:val="0"/>
  </w:style>
  <w:style w:type="character" w:customStyle="1" w:styleId="133">
    <w:name w:val="Char Char8"/>
    <w:qFormat/>
    <w:uiPriority w:val="0"/>
    <w:rPr>
      <w:rFonts w:hint="eastAsia" w:ascii="仿宋_GB2312" w:eastAsia="仿宋_GB2312"/>
      <w:kern w:val="2"/>
      <w:sz w:val="32"/>
      <w:lang w:val="en-US" w:eastAsia="zh-CN" w:bidi="ar-SA"/>
    </w:rPr>
  </w:style>
  <w:style w:type="character" w:customStyle="1" w:styleId="134">
    <w:name w:val="Char Char3"/>
    <w:qFormat/>
    <w:locked/>
    <w:uiPriority w:val="0"/>
    <w:rPr>
      <w:rFonts w:ascii="宋体" w:hAnsi="Courier New" w:eastAsia="宋体" w:cs="Courier New"/>
      <w:kern w:val="2"/>
      <w:sz w:val="21"/>
      <w:szCs w:val="21"/>
      <w:lang w:val="en-US" w:eastAsia="zh-CN" w:bidi="ar-SA"/>
    </w:rPr>
  </w:style>
  <w:style w:type="character" w:customStyle="1" w:styleId="135">
    <w:name w:val="Char Char2"/>
    <w:qFormat/>
    <w:uiPriority w:val="0"/>
    <w:rPr>
      <w:rFonts w:eastAsia="宋体"/>
      <w:sz w:val="24"/>
    </w:rPr>
  </w:style>
  <w:style w:type="character" w:customStyle="1" w:styleId="136">
    <w:name w:val="批注文字 Char1"/>
    <w:semiHidden/>
    <w:qFormat/>
    <w:uiPriority w:val="0"/>
    <w:rPr>
      <w:kern w:val="2"/>
      <w:sz w:val="21"/>
      <w:szCs w:val="24"/>
    </w:rPr>
  </w:style>
  <w:style w:type="character" w:customStyle="1" w:styleId="137">
    <w:name w:val="Char Char23"/>
    <w:qFormat/>
    <w:uiPriority w:val="0"/>
    <w:rPr>
      <w:rFonts w:hint="default" w:ascii="Times New Roman" w:hAnsi="Times New Roman" w:eastAsia="宋体" w:cs="Times New Roman"/>
      <w:b/>
      <w:bCs/>
      <w:kern w:val="44"/>
      <w:sz w:val="44"/>
      <w:szCs w:val="44"/>
    </w:rPr>
  </w:style>
  <w:style w:type="character" w:customStyle="1" w:styleId="138">
    <w:name w:val="ca-5"/>
    <w:basedOn w:val="55"/>
    <w:qFormat/>
    <w:uiPriority w:val="0"/>
  </w:style>
  <w:style w:type="character" w:customStyle="1" w:styleId="139">
    <w:name w:val="cubane_hilight1"/>
    <w:qFormat/>
    <w:uiPriority w:val="0"/>
    <w:rPr>
      <w:color w:val="CC0000"/>
    </w:rPr>
  </w:style>
  <w:style w:type="character" w:customStyle="1" w:styleId="140">
    <w:name w:val="ca-7"/>
    <w:basedOn w:val="55"/>
    <w:qFormat/>
    <w:uiPriority w:val="0"/>
  </w:style>
  <w:style w:type="character" w:customStyle="1" w:styleId="141">
    <w:name w:val="普通文字 Char Char2"/>
    <w:qFormat/>
    <w:uiPriority w:val="0"/>
    <w:rPr>
      <w:rFonts w:ascii="宋体" w:hAnsi="Courier New" w:eastAsia="宋体"/>
      <w:kern w:val="2"/>
      <w:sz w:val="21"/>
      <w:lang w:val="en-US" w:eastAsia="zh-CN" w:bidi="ar-SA"/>
    </w:rPr>
  </w:style>
  <w:style w:type="character" w:customStyle="1" w:styleId="142">
    <w:name w:val="apple-converted-space"/>
    <w:basedOn w:val="55"/>
    <w:qFormat/>
    <w:uiPriority w:val="0"/>
  </w:style>
  <w:style w:type="character" w:customStyle="1" w:styleId="143">
    <w:name w:val="标题 Char1"/>
    <w:qFormat/>
    <w:uiPriority w:val="0"/>
    <w:rPr>
      <w:rFonts w:hint="default" w:ascii="Cambria" w:hAnsi="Cambria" w:cs="Times New Roman"/>
      <w:b/>
      <w:bCs/>
      <w:kern w:val="2"/>
      <w:sz w:val="32"/>
      <w:szCs w:val="32"/>
    </w:rPr>
  </w:style>
  <w:style w:type="character" w:customStyle="1" w:styleId="144">
    <w:name w:val="ca-4"/>
    <w:basedOn w:val="55"/>
    <w:qFormat/>
    <w:uiPriority w:val="0"/>
  </w:style>
  <w:style w:type="character" w:customStyle="1" w:styleId="145">
    <w:name w:val="ca-2"/>
    <w:basedOn w:val="55"/>
    <w:qFormat/>
    <w:uiPriority w:val="0"/>
  </w:style>
  <w:style w:type="character" w:customStyle="1" w:styleId="146">
    <w:name w:val="Char Char10"/>
    <w:semiHidden/>
    <w:qFormat/>
    <w:uiPriority w:val="0"/>
    <w:rPr>
      <w:rFonts w:hint="eastAsia" w:ascii="宋体" w:hAnsi="宋体" w:eastAsia="宋体"/>
      <w:kern w:val="2"/>
      <w:sz w:val="24"/>
      <w:szCs w:val="24"/>
      <w:lang w:val="en-US" w:eastAsia="zh-CN" w:bidi="ar-SA"/>
    </w:rPr>
  </w:style>
  <w:style w:type="character" w:customStyle="1" w:styleId="147">
    <w:name w:val="1ji Char Char"/>
    <w:qFormat/>
    <w:locked/>
    <w:uiPriority w:val="0"/>
    <w:rPr>
      <w:rFonts w:ascii="宋体" w:hAnsi="宋体" w:eastAsia="宋体"/>
      <w:b/>
      <w:bCs/>
      <w:kern w:val="44"/>
      <w:sz w:val="36"/>
      <w:szCs w:val="44"/>
    </w:rPr>
  </w:style>
  <w:style w:type="character" w:customStyle="1" w:styleId="148">
    <w:name w:val="H1 Char1"/>
    <w:qFormat/>
    <w:uiPriority w:val="0"/>
    <w:rPr>
      <w:rFonts w:eastAsia="宋体"/>
      <w:b/>
      <w:bCs/>
      <w:kern w:val="44"/>
      <w:sz w:val="44"/>
      <w:szCs w:val="44"/>
      <w:lang w:val="en-US" w:eastAsia="zh-CN" w:bidi="ar-SA"/>
    </w:rPr>
  </w:style>
  <w:style w:type="character" w:customStyle="1" w:styleId="149">
    <w:name w:val="Char Char1011"/>
    <w:semiHidden/>
    <w:qFormat/>
    <w:uiPriority w:val="0"/>
    <w:rPr>
      <w:rFonts w:eastAsia="宋体"/>
      <w:kern w:val="2"/>
      <w:sz w:val="24"/>
      <w:szCs w:val="24"/>
      <w:lang w:val="en-US" w:eastAsia="zh-CN" w:bidi="ar-SA"/>
    </w:rPr>
  </w:style>
  <w:style w:type="character" w:customStyle="1" w:styleId="150">
    <w:name w:val="Char Char1411"/>
    <w:qFormat/>
    <w:uiPriority w:val="0"/>
    <w:rPr>
      <w:sz w:val="18"/>
      <w:szCs w:val="18"/>
    </w:rPr>
  </w:style>
  <w:style w:type="character" w:customStyle="1" w:styleId="151">
    <w:name w:val="H1 Char2"/>
    <w:qFormat/>
    <w:uiPriority w:val="0"/>
    <w:rPr>
      <w:rFonts w:eastAsia="宋体"/>
      <w:b/>
      <w:bCs/>
      <w:kern w:val="44"/>
      <w:sz w:val="44"/>
      <w:szCs w:val="44"/>
      <w:lang w:val="en-US" w:eastAsia="zh-CN" w:bidi="ar-SA"/>
    </w:rPr>
  </w:style>
  <w:style w:type="character" w:customStyle="1" w:styleId="152">
    <w:name w:val="无间隔 Char Char"/>
    <w:qFormat/>
    <w:uiPriority w:val="0"/>
    <w:rPr>
      <w:rFonts w:ascii="Calibri" w:hAnsi="Calibri" w:eastAsia="宋体"/>
      <w:sz w:val="22"/>
      <w:szCs w:val="22"/>
      <w:lang w:val="en-US" w:eastAsia="zh-CN" w:bidi="ar-SA"/>
    </w:rPr>
  </w:style>
  <w:style w:type="character" w:customStyle="1" w:styleId="153">
    <w:name w:val="正文文本缩进 Char1"/>
    <w:semiHidden/>
    <w:qFormat/>
    <w:uiPriority w:val="0"/>
    <w:rPr>
      <w:kern w:val="2"/>
      <w:sz w:val="21"/>
      <w:szCs w:val="22"/>
    </w:rPr>
  </w:style>
  <w:style w:type="character" w:customStyle="1" w:styleId="154">
    <w:name w:val="font31"/>
    <w:basedOn w:val="55"/>
    <w:qFormat/>
    <w:uiPriority w:val="0"/>
    <w:rPr>
      <w:rFonts w:hint="eastAsia" w:ascii="宋体" w:hAnsi="宋体" w:eastAsia="宋体" w:cs="宋体"/>
      <w:color w:val="000000"/>
      <w:sz w:val="16"/>
      <w:szCs w:val="16"/>
      <w:u w:val="none"/>
    </w:rPr>
  </w:style>
  <w:style w:type="character" w:customStyle="1" w:styleId="155">
    <w:name w:val="Char Char4"/>
    <w:qFormat/>
    <w:locked/>
    <w:uiPriority w:val="0"/>
    <w:rPr>
      <w:rFonts w:ascii="宋体" w:hAnsi="Courier New" w:eastAsia="宋体" w:cs="Courier New"/>
      <w:kern w:val="2"/>
      <w:sz w:val="21"/>
      <w:szCs w:val="21"/>
      <w:lang w:val="en-US" w:eastAsia="zh-CN" w:bidi="ar-SA"/>
    </w:rPr>
  </w:style>
  <w:style w:type="character" w:customStyle="1" w:styleId="156">
    <w:name w:val="Char Char21"/>
    <w:qFormat/>
    <w:uiPriority w:val="0"/>
    <w:rPr>
      <w:rFonts w:ascii="宋体" w:eastAsia="宋体"/>
      <w:sz w:val="24"/>
    </w:rPr>
  </w:style>
  <w:style w:type="character" w:customStyle="1" w:styleId="157">
    <w:name w:val="Char Char11"/>
    <w:qFormat/>
    <w:uiPriority w:val="0"/>
    <w:rPr>
      <w:rFonts w:ascii="Times New Roman" w:hAnsi="Times New Roman" w:eastAsia="宋体" w:cs="Times New Roman"/>
      <w:sz w:val="30"/>
      <w:szCs w:val="24"/>
    </w:rPr>
  </w:style>
  <w:style w:type="character" w:customStyle="1" w:styleId="158">
    <w:name w:val="font21"/>
    <w:basedOn w:val="55"/>
    <w:qFormat/>
    <w:uiPriority w:val="0"/>
    <w:rPr>
      <w:rFonts w:ascii="Calibri" w:hAnsi="Calibri" w:cs="Calibri"/>
      <w:color w:val="000000"/>
      <w:sz w:val="20"/>
      <w:szCs w:val="20"/>
      <w:u w:val="none"/>
    </w:rPr>
  </w:style>
  <w:style w:type="character" w:customStyle="1" w:styleId="159">
    <w:name w:val="彩色列表 - 强调文字颜色 1 Char"/>
    <w:qFormat/>
    <w:locked/>
    <w:uiPriority w:val="34"/>
    <w:rPr>
      <w:rFonts w:ascii="Calibri" w:hAnsi="Calibri"/>
      <w:sz w:val="24"/>
      <w:szCs w:val="24"/>
      <w:lang w:eastAsia="en-US"/>
    </w:rPr>
  </w:style>
  <w:style w:type="character" w:customStyle="1" w:styleId="160">
    <w:name w:val="Char Char111"/>
    <w:qFormat/>
    <w:uiPriority w:val="0"/>
    <w:rPr>
      <w:rFonts w:hint="default" w:ascii="Times New Roman" w:hAnsi="Times New Roman" w:eastAsia="宋体" w:cs="Times New Roman"/>
      <w:sz w:val="30"/>
      <w:szCs w:val="24"/>
    </w:rPr>
  </w:style>
  <w:style w:type="character" w:customStyle="1" w:styleId="161">
    <w:name w:val="ca-14"/>
    <w:basedOn w:val="55"/>
    <w:qFormat/>
    <w:uiPriority w:val="0"/>
  </w:style>
  <w:style w:type="character" w:customStyle="1" w:styleId="162">
    <w:name w:val="font11"/>
    <w:qFormat/>
    <w:uiPriority w:val="0"/>
    <w:rPr>
      <w:rFonts w:hint="eastAsia" w:ascii="宋体" w:hAnsi="宋体" w:eastAsia="宋体" w:cs="宋体"/>
      <w:color w:val="FF0000"/>
      <w:sz w:val="16"/>
      <w:szCs w:val="16"/>
      <w:u w:val="none"/>
    </w:rPr>
  </w:style>
  <w:style w:type="character" w:customStyle="1" w:styleId="163">
    <w:name w:val="row08"/>
    <w:qFormat/>
    <w:uiPriority w:val="0"/>
    <w:rPr>
      <w:rFonts w:cs="Times New Roman"/>
      <w:lang w:bidi="ar-SA"/>
    </w:rPr>
  </w:style>
  <w:style w:type="character" w:customStyle="1" w:styleId="164">
    <w:name w:val="列出段落 Char"/>
    <w:link w:val="165"/>
    <w:qFormat/>
    <w:uiPriority w:val="0"/>
    <w:rPr>
      <w:rFonts w:ascii="Calibri" w:hAnsi="Calibri" w:eastAsia="宋体"/>
      <w:kern w:val="2"/>
      <w:sz w:val="21"/>
      <w:szCs w:val="22"/>
      <w:lang w:val="en-US" w:eastAsia="zh-CN" w:bidi="ar-SA"/>
    </w:rPr>
  </w:style>
  <w:style w:type="paragraph" w:customStyle="1" w:styleId="165">
    <w:name w:val="列出段落3"/>
    <w:basedOn w:val="1"/>
    <w:link w:val="164"/>
    <w:qFormat/>
    <w:uiPriority w:val="0"/>
    <w:pPr>
      <w:ind w:firstLine="420" w:firstLineChars="200"/>
    </w:pPr>
    <w:rPr>
      <w:rFonts w:ascii="Calibri" w:hAnsi="Calibri"/>
      <w:szCs w:val="22"/>
    </w:rPr>
  </w:style>
  <w:style w:type="character" w:customStyle="1" w:styleId="166">
    <w:name w:val="自定义标题一 Char"/>
    <w:link w:val="167"/>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167">
    <w:name w:val="自定义标题一"/>
    <w:basedOn w:val="2"/>
    <w:link w:val="166"/>
    <w:qFormat/>
    <w:uiPriority w:val="0"/>
    <w:pPr>
      <w:pageBreakBefore/>
      <w:tabs>
        <w:tab w:val="left" w:pos="144"/>
      </w:tabs>
      <w:spacing w:before="0" w:after="0" w:line="360" w:lineRule="auto"/>
      <w:ind w:left="144" w:hanging="144"/>
      <w:jc w:val="center"/>
    </w:pPr>
    <w:rPr>
      <w:rFonts w:ascii="黑体" w:hAnsi="黑体" w:eastAsia="黑体"/>
      <w14:shadow w14:blurRad="50800" w14:dist="38100" w14:dir="2700000" w14:sx="100000" w14:sy="100000" w14:kx="0" w14:ky="0" w14:algn="tl">
        <w14:srgbClr w14:val="000000">
          <w14:alpha w14:val="60000"/>
        </w14:srgbClr>
      </w14:shadow>
    </w:rPr>
  </w:style>
  <w:style w:type="character" w:customStyle="1" w:styleId="168">
    <w:name w:val="Char Char6"/>
    <w:qFormat/>
    <w:locked/>
    <w:uiPriority w:val="0"/>
    <w:rPr>
      <w:rFonts w:ascii="宋体" w:hAnsi="Courier New" w:eastAsia="宋体" w:cs="Courier New"/>
      <w:kern w:val="2"/>
      <w:sz w:val="21"/>
      <w:szCs w:val="21"/>
      <w:lang w:val="en-US" w:eastAsia="zh-CN" w:bidi="ar-SA"/>
    </w:rPr>
  </w:style>
  <w:style w:type="character" w:customStyle="1" w:styleId="169">
    <w:name w:val="ca-15"/>
    <w:basedOn w:val="55"/>
    <w:qFormat/>
    <w:uiPriority w:val="0"/>
  </w:style>
  <w:style w:type="character" w:customStyle="1" w:styleId="170">
    <w:name w:val="Char Char28"/>
    <w:qFormat/>
    <w:locked/>
    <w:uiPriority w:val="0"/>
    <w:rPr>
      <w:rFonts w:eastAsia="宋体"/>
      <w:b/>
      <w:bCs/>
      <w:kern w:val="44"/>
      <w:sz w:val="44"/>
      <w:szCs w:val="44"/>
      <w:lang w:val="en-US" w:eastAsia="zh-CN" w:bidi="ar-SA"/>
    </w:rPr>
  </w:style>
  <w:style w:type="character" w:customStyle="1" w:styleId="171">
    <w:name w:val="Char Char Char Char Char11"/>
    <w:qFormat/>
    <w:uiPriority w:val="0"/>
    <w:rPr>
      <w:rFonts w:eastAsia="宋体"/>
      <w:b/>
      <w:bCs/>
      <w:kern w:val="44"/>
      <w:sz w:val="44"/>
      <w:szCs w:val="44"/>
      <w:lang w:val="en-US" w:eastAsia="zh-CN" w:bidi="ar-SA"/>
    </w:rPr>
  </w:style>
  <w:style w:type="character" w:customStyle="1" w:styleId="172">
    <w:name w:val="正文2 Char Char"/>
    <w:link w:val="173"/>
    <w:qFormat/>
    <w:locked/>
    <w:uiPriority w:val="0"/>
    <w:rPr>
      <w:kern w:val="2"/>
      <w:sz w:val="28"/>
      <w:szCs w:val="22"/>
      <w:lang w:bidi="ar-SA"/>
    </w:rPr>
  </w:style>
  <w:style w:type="paragraph" w:customStyle="1" w:styleId="173">
    <w:name w:val="正文2"/>
    <w:basedOn w:val="1"/>
    <w:link w:val="172"/>
    <w:qFormat/>
    <w:uiPriority w:val="0"/>
    <w:pPr>
      <w:spacing w:line="360" w:lineRule="auto"/>
      <w:ind w:firstLine="200" w:firstLineChars="200"/>
    </w:pPr>
    <w:rPr>
      <w:sz w:val="28"/>
      <w:szCs w:val="22"/>
    </w:rPr>
  </w:style>
  <w:style w:type="character" w:customStyle="1" w:styleId="174">
    <w:name w:val="正文文字首行缩进 Char"/>
    <w:qFormat/>
    <w:locked/>
    <w:uiPriority w:val="0"/>
    <w:rPr>
      <w:rFonts w:ascii="仿宋_GB2312" w:eastAsia="仿宋_GB2312"/>
      <w:kern w:val="2"/>
      <w:sz w:val="32"/>
    </w:rPr>
  </w:style>
  <w:style w:type="character" w:customStyle="1" w:styleId="175">
    <w:name w:val="Char Char"/>
    <w:qFormat/>
    <w:uiPriority w:val="0"/>
    <w:rPr>
      <w:rFonts w:ascii="宋体" w:eastAsia="宋体" w:cs="Courier New"/>
      <w:kern w:val="2"/>
      <w:sz w:val="21"/>
      <w:szCs w:val="21"/>
      <w:lang w:val="en-US" w:eastAsia="zh-CN" w:bidi="ar-SA"/>
    </w:rPr>
  </w:style>
  <w:style w:type="character" w:customStyle="1" w:styleId="176">
    <w:name w:val="H1 Char"/>
    <w:qFormat/>
    <w:uiPriority w:val="0"/>
    <w:rPr>
      <w:rFonts w:eastAsia="宋体"/>
      <w:b/>
      <w:bCs/>
      <w:kern w:val="44"/>
      <w:sz w:val="44"/>
      <w:szCs w:val="44"/>
      <w:lang w:val="en-US" w:eastAsia="zh-CN" w:bidi="ar-SA"/>
    </w:rPr>
  </w:style>
  <w:style w:type="character" w:customStyle="1" w:styleId="177">
    <w:name w:val="Plain Text Char"/>
    <w:link w:val="178"/>
    <w:qFormat/>
    <w:locked/>
    <w:uiPriority w:val="0"/>
    <w:rPr>
      <w:rFonts w:ascii="宋体" w:hAnsi="Courier New" w:eastAsia="宋体"/>
      <w:kern w:val="2"/>
      <w:sz w:val="21"/>
    </w:rPr>
  </w:style>
  <w:style w:type="paragraph" w:customStyle="1" w:styleId="178">
    <w:name w:val="纯文本1"/>
    <w:basedOn w:val="1"/>
    <w:link w:val="177"/>
    <w:qFormat/>
    <w:uiPriority w:val="0"/>
    <w:rPr>
      <w:rFonts w:ascii="宋体" w:hAnsi="Courier New"/>
      <w:szCs w:val="20"/>
    </w:rPr>
  </w:style>
  <w:style w:type="character" w:customStyle="1" w:styleId="179">
    <w:name w:val="style31"/>
    <w:qFormat/>
    <w:uiPriority w:val="0"/>
    <w:rPr>
      <w:sz w:val="18"/>
      <w:szCs w:val="18"/>
    </w:rPr>
  </w:style>
  <w:style w:type="character" w:customStyle="1" w:styleId="180">
    <w:name w:val="纯文本 字符"/>
    <w:qFormat/>
    <w:uiPriority w:val="0"/>
    <w:rPr>
      <w:rFonts w:ascii="宋体" w:hAnsi="Courier New" w:eastAsia="宋体" w:cs="Courier New"/>
      <w:kern w:val="2"/>
      <w:sz w:val="21"/>
      <w:szCs w:val="21"/>
      <w:lang w:val="en-US" w:eastAsia="zh-CN" w:bidi="ar-SA"/>
    </w:rPr>
  </w:style>
  <w:style w:type="character" w:customStyle="1" w:styleId="181">
    <w:name w:val="ti"/>
    <w:basedOn w:val="55"/>
    <w:qFormat/>
    <w:uiPriority w:val="0"/>
  </w:style>
  <w:style w:type="character" w:customStyle="1" w:styleId="182">
    <w:name w:val="1ji Char"/>
    <w:link w:val="183"/>
    <w:qFormat/>
    <w:uiPriority w:val="0"/>
    <w:rPr>
      <w:rFonts w:ascii="宋体" w:hAnsi="宋体" w:eastAsia="宋体"/>
      <w:b/>
      <w:bCs/>
      <w:kern w:val="44"/>
      <w:sz w:val="36"/>
      <w:szCs w:val="44"/>
      <w:lang w:val="en-US" w:eastAsia="zh-CN" w:bidi="ar-SA"/>
    </w:rPr>
  </w:style>
  <w:style w:type="paragraph" w:customStyle="1" w:styleId="183">
    <w:name w:val="1ji"/>
    <w:basedOn w:val="2"/>
    <w:link w:val="182"/>
    <w:qFormat/>
    <w:uiPriority w:val="0"/>
    <w:pPr>
      <w:keepLines w:val="0"/>
      <w:widowControl/>
      <w:spacing w:before="0" w:after="0" w:line="240" w:lineRule="auto"/>
      <w:jc w:val="center"/>
    </w:pPr>
    <w:rPr>
      <w:rFonts w:ascii="宋体" w:hAnsi="宋体"/>
      <w:sz w:val="36"/>
    </w:rPr>
  </w:style>
  <w:style w:type="character" w:customStyle="1" w:styleId="184">
    <w:name w:val="Char Char2311"/>
    <w:qFormat/>
    <w:uiPriority w:val="0"/>
    <w:rPr>
      <w:rFonts w:ascii="Times New Roman" w:hAnsi="Times New Roman" w:eastAsia="宋体" w:cs="Times New Roman"/>
      <w:b/>
      <w:bCs/>
      <w:kern w:val="44"/>
      <w:sz w:val="44"/>
      <w:szCs w:val="44"/>
    </w:rPr>
  </w:style>
  <w:style w:type="character" w:customStyle="1" w:styleId="185">
    <w:name w:val="ca-13"/>
    <w:basedOn w:val="55"/>
    <w:qFormat/>
    <w:uiPriority w:val="0"/>
  </w:style>
  <w:style w:type="character" w:customStyle="1" w:styleId="186">
    <w:name w:val="纯文本 Char1"/>
    <w:qFormat/>
    <w:uiPriority w:val="99"/>
    <w:rPr>
      <w:rFonts w:ascii="宋体" w:hAnsi="Courier New" w:eastAsia="宋体" w:cs="Courier New"/>
      <w:kern w:val="2"/>
      <w:sz w:val="21"/>
      <w:szCs w:val="21"/>
      <w:lang w:val="en-US" w:eastAsia="zh-CN" w:bidi="ar-SA"/>
    </w:rPr>
  </w:style>
  <w:style w:type="character" w:customStyle="1" w:styleId="187">
    <w:name w:val="font51"/>
    <w:basedOn w:val="55"/>
    <w:qFormat/>
    <w:uiPriority w:val="0"/>
    <w:rPr>
      <w:rFonts w:hint="eastAsia" w:ascii="宋体" w:hAnsi="宋体" w:eastAsia="宋体" w:cs="宋体"/>
      <w:color w:val="FF0000"/>
      <w:sz w:val="18"/>
      <w:szCs w:val="18"/>
      <w:u w:val="none"/>
      <w:vertAlign w:val="superscript"/>
    </w:rPr>
  </w:style>
  <w:style w:type="character" w:customStyle="1" w:styleId="188">
    <w:name w:val="ca-6"/>
    <w:basedOn w:val="55"/>
    <w:qFormat/>
    <w:uiPriority w:val="0"/>
  </w:style>
  <w:style w:type="character" w:customStyle="1" w:styleId="189">
    <w:name w:val="style161"/>
    <w:qFormat/>
    <w:uiPriority w:val="0"/>
    <w:rPr>
      <w:color w:val="666666"/>
    </w:rPr>
  </w:style>
  <w:style w:type="character" w:customStyle="1" w:styleId="190">
    <w:name w:val="Char Char1511"/>
    <w:qFormat/>
    <w:uiPriority w:val="0"/>
    <w:rPr>
      <w:sz w:val="18"/>
      <w:szCs w:val="18"/>
    </w:rPr>
  </w:style>
  <w:style w:type="character" w:customStyle="1" w:styleId="191">
    <w:name w:val="llyf92"/>
    <w:qFormat/>
    <w:uiPriority w:val="0"/>
    <w:rPr>
      <w:sz w:val="18"/>
      <w:szCs w:val="18"/>
    </w:rPr>
  </w:style>
  <w:style w:type="paragraph" w:customStyle="1" w:styleId="192">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93">
    <w:name w:val="Char Char1 Char Char Char Char1"/>
    <w:basedOn w:val="15"/>
    <w:qFormat/>
    <w:uiPriority w:val="0"/>
    <w:rPr>
      <w:rFonts w:ascii="Tahoma" w:hAnsi="Tahoma"/>
      <w:sz w:val="24"/>
    </w:rPr>
  </w:style>
  <w:style w:type="paragraph" w:customStyle="1" w:styleId="194">
    <w:name w:val="表-正文"/>
    <w:basedOn w:val="1"/>
    <w:qFormat/>
    <w:uiPriority w:val="0"/>
    <w:pPr>
      <w:autoSpaceDE w:val="0"/>
      <w:autoSpaceDN w:val="0"/>
      <w:adjustRightInd w:val="0"/>
      <w:spacing w:line="240" w:lineRule="atLeast"/>
      <w:jc w:val="center"/>
    </w:pPr>
    <w:rPr>
      <w:rFonts w:ascii="方正中等线简体 Regular" w:hAnsi="Calibri" w:eastAsia="方正中等线简体 Regular" w:cs="方正中等线简体 Regular"/>
      <w:color w:val="000000"/>
      <w:kern w:val="0"/>
      <w:sz w:val="18"/>
      <w:szCs w:val="18"/>
      <w:lang w:val="zh-CN"/>
    </w:rPr>
  </w:style>
  <w:style w:type="paragraph" w:customStyle="1" w:styleId="195">
    <w:name w:val="Char Char1121"/>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196">
    <w:name w:val="列出段落1"/>
    <w:qFormat/>
    <w:uiPriority w:val="0"/>
    <w:pPr>
      <w:spacing w:after="160" w:line="278" w:lineRule="auto"/>
      <w:ind w:firstLine="420" w:firstLineChars="200"/>
    </w:pPr>
    <w:rPr>
      <w:rFonts w:ascii="Times New Roman" w:hAnsi="Times New Roman" w:eastAsia="宋体" w:cs="Times New Roman"/>
      <w:szCs w:val="22"/>
      <w:lang w:val="en-US" w:eastAsia="zh-CN" w:bidi="ar-SA"/>
    </w:rPr>
  </w:style>
  <w:style w:type="paragraph" w:customStyle="1" w:styleId="197">
    <w:name w:val="标准文本"/>
    <w:basedOn w:val="1"/>
    <w:qFormat/>
    <w:uiPriority w:val="0"/>
    <w:pPr>
      <w:spacing w:line="360" w:lineRule="auto"/>
      <w:ind w:firstLine="200" w:firstLineChars="200"/>
    </w:pPr>
    <w:rPr>
      <w:kern w:val="0"/>
      <w:sz w:val="24"/>
      <w:szCs w:val="20"/>
    </w:rPr>
  </w:style>
  <w:style w:type="paragraph" w:customStyle="1" w:styleId="198">
    <w:name w:val="Char Char Char1 Char"/>
    <w:basedOn w:val="1"/>
    <w:qFormat/>
    <w:uiPriority w:val="0"/>
    <w:pPr>
      <w:tabs>
        <w:tab w:val="left" w:pos="360"/>
      </w:tabs>
      <w:spacing w:line="360" w:lineRule="auto"/>
      <w:ind w:left="482" w:firstLine="200" w:firstLineChars="200"/>
    </w:pPr>
    <w:rPr>
      <w:rFonts w:ascii="宋体"/>
      <w:sz w:val="24"/>
      <w:szCs w:val="20"/>
    </w:rPr>
  </w:style>
  <w:style w:type="paragraph" w:customStyle="1" w:styleId="199">
    <w:name w:val="font10"/>
    <w:basedOn w:val="1"/>
    <w:qFormat/>
    <w:uiPriority w:val="0"/>
    <w:pPr>
      <w:widowControl/>
      <w:spacing w:before="100" w:beforeAutospacing="1" w:after="100" w:afterAutospacing="1"/>
      <w:jc w:val="left"/>
    </w:pPr>
    <w:rPr>
      <w:color w:val="000000"/>
      <w:kern w:val="0"/>
      <w:sz w:val="24"/>
    </w:rPr>
  </w:style>
  <w:style w:type="paragraph" w:customStyle="1" w:styleId="200">
    <w:name w:val="Char Char Char Char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201">
    <w:name w:val="列出段落2"/>
    <w:basedOn w:val="1"/>
    <w:qFormat/>
    <w:uiPriority w:val="0"/>
    <w:pPr>
      <w:ind w:firstLine="420" w:firstLineChars="200"/>
    </w:pPr>
    <w:rPr>
      <w:sz w:val="24"/>
    </w:rPr>
  </w:style>
  <w:style w:type="paragraph" w:customStyle="1" w:styleId="202">
    <w:name w:val="Char Char18"/>
    <w:basedOn w:val="15"/>
    <w:qFormat/>
    <w:uiPriority w:val="0"/>
    <w:pPr>
      <w:widowControl/>
      <w:ind w:firstLine="454"/>
      <w:jc w:val="left"/>
    </w:pPr>
    <w:rPr>
      <w:rFonts w:ascii="Tahoma" w:hAnsi="Tahoma" w:cs="宋体"/>
      <w:kern w:val="0"/>
      <w:sz w:val="24"/>
      <w:szCs w:val="20"/>
    </w:rPr>
  </w:style>
  <w:style w:type="paragraph" w:customStyle="1" w:styleId="203">
    <w:name w:val="Char Char Char Char Char Char Char Char Char"/>
    <w:basedOn w:val="1"/>
    <w:qFormat/>
    <w:uiPriority w:val="0"/>
    <w:pPr>
      <w:widowControl/>
      <w:spacing w:line="240" w:lineRule="exact"/>
      <w:jc w:val="left"/>
    </w:pPr>
    <w:rPr>
      <w:szCs w:val="20"/>
    </w:rPr>
  </w:style>
  <w:style w:type="paragraph" w:customStyle="1" w:styleId="204">
    <w:name w:val="Table Paragraph"/>
    <w:basedOn w:val="1"/>
    <w:qFormat/>
    <w:uiPriority w:val="0"/>
    <w:rPr>
      <w:rFonts w:ascii="宋体" w:hAnsi="宋体" w:cs="宋体"/>
      <w:lang w:val="zh-CN" w:bidi="zh-CN"/>
    </w:rPr>
  </w:style>
  <w:style w:type="paragraph" w:customStyle="1" w:styleId="205">
    <w:name w:val="纯文本111"/>
    <w:basedOn w:val="1"/>
    <w:qFormat/>
    <w:uiPriority w:val="0"/>
    <w:rPr>
      <w:rFonts w:ascii="宋体"/>
      <w:szCs w:val="21"/>
    </w:rPr>
  </w:style>
  <w:style w:type="paragraph" w:customStyle="1" w:styleId="206">
    <w:name w:val="1"/>
    <w:basedOn w:val="1"/>
    <w:next w:val="28"/>
    <w:qFormat/>
    <w:uiPriority w:val="0"/>
    <w:rPr>
      <w:rFonts w:ascii="宋体" w:hAnsi="Courier New"/>
      <w:szCs w:val="20"/>
    </w:rPr>
  </w:style>
  <w:style w:type="paragraph" w:customStyle="1" w:styleId="207">
    <w:name w:val="文章附标题"/>
    <w:basedOn w:val="1"/>
    <w:next w:val="2"/>
    <w:qFormat/>
    <w:uiPriority w:val="0"/>
    <w:pPr>
      <w:widowControl/>
      <w:spacing w:before="187" w:after="175" w:line="374" w:lineRule="atLeast"/>
      <w:jc w:val="center"/>
      <w:textAlignment w:val="baseline"/>
    </w:pPr>
    <w:rPr>
      <w:color w:val="000000"/>
      <w:kern w:val="0"/>
      <w:sz w:val="36"/>
      <w:szCs w:val="20"/>
    </w:rPr>
  </w:style>
  <w:style w:type="paragraph" w:customStyle="1" w:styleId="208">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209">
    <w:name w:val="Char2"/>
    <w:basedOn w:val="1"/>
    <w:qFormat/>
    <w:uiPriority w:val="0"/>
    <w:rPr>
      <w:szCs w:val="20"/>
    </w:rPr>
  </w:style>
  <w:style w:type="paragraph" w:customStyle="1" w:styleId="210">
    <w:name w:val="_Style 20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11">
    <w:name w:val="正文文本缩进 Char Char Char Char"/>
    <w:basedOn w:val="1"/>
    <w:qFormat/>
    <w:uiPriority w:val="0"/>
    <w:pPr>
      <w:ind w:firstLine="540"/>
    </w:pPr>
    <w:rPr>
      <w:rFonts w:hint="eastAsia" w:ascii="宋体" w:hAnsi="Courier New"/>
      <w:szCs w:val="20"/>
    </w:rPr>
  </w:style>
  <w:style w:type="paragraph" w:customStyle="1" w:styleId="212">
    <w:name w:val="Char Char19 Char Char Char Char"/>
    <w:basedOn w:val="15"/>
    <w:qFormat/>
    <w:uiPriority w:val="0"/>
    <w:pPr>
      <w:widowControl/>
      <w:ind w:firstLine="454"/>
      <w:jc w:val="left"/>
    </w:pPr>
  </w:style>
  <w:style w:type="paragraph" w:customStyle="1" w:styleId="213">
    <w:name w:val="pa-14"/>
    <w:basedOn w:val="1"/>
    <w:qFormat/>
    <w:uiPriority w:val="0"/>
    <w:pPr>
      <w:widowControl/>
      <w:spacing w:before="169" w:after="169"/>
      <w:jc w:val="left"/>
    </w:pPr>
    <w:rPr>
      <w:rFonts w:ascii="宋体" w:hAnsi="宋体" w:cs="宋体"/>
      <w:kern w:val="0"/>
      <w:sz w:val="24"/>
    </w:rPr>
  </w:style>
  <w:style w:type="paragraph" w:customStyle="1" w:styleId="214">
    <w:name w:val="标题3"/>
    <w:basedOn w:val="4"/>
    <w:qFormat/>
    <w:uiPriority w:val="0"/>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215">
    <w:name w:val="msolistparagraph"/>
    <w:basedOn w:val="1"/>
    <w:qFormat/>
    <w:uiPriority w:val="0"/>
    <w:pPr>
      <w:ind w:firstLine="420" w:firstLineChars="200"/>
    </w:pPr>
    <w:rPr>
      <w:rFonts w:ascii="Calibri" w:hAnsi="Calibri"/>
      <w:szCs w:val="22"/>
    </w:rPr>
  </w:style>
  <w:style w:type="paragraph" w:customStyle="1" w:styleId="216">
    <w:name w:val="标准正文"/>
    <w:basedOn w:val="1"/>
    <w:qFormat/>
    <w:uiPriority w:val="0"/>
    <w:pPr>
      <w:spacing w:before="60" w:after="60" w:line="360" w:lineRule="auto"/>
      <w:ind w:firstLine="482"/>
    </w:pPr>
    <w:rPr>
      <w:rFonts w:ascii="Arial" w:hAnsi="Arial"/>
      <w:color w:val="000000"/>
      <w:sz w:val="24"/>
      <w:szCs w:val="20"/>
    </w:rPr>
  </w:style>
  <w:style w:type="paragraph" w:customStyle="1" w:styleId="217">
    <w:name w:val="pa-6"/>
    <w:basedOn w:val="1"/>
    <w:qFormat/>
    <w:uiPriority w:val="0"/>
    <w:pPr>
      <w:widowControl/>
      <w:spacing w:before="169" w:after="169"/>
      <w:jc w:val="left"/>
    </w:pPr>
    <w:rPr>
      <w:rFonts w:ascii="宋体" w:hAnsi="宋体" w:cs="宋体"/>
      <w:kern w:val="0"/>
      <w:sz w:val="24"/>
    </w:rPr>
  </w:style>
  <w:style w:type="paragraph" w:customStyle="1" w:styleId="218">
    <w:name w:val="_Style 213"/>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19">
    <w:name w:val="pa-4"/>
    <w:basedOn w:val="1"/>
    <w:qFormat/>
    <w:uiPriority w:val="0"/>
    <w:pPr>
      <w:widowControl/>
      <w:spacing w:before="169" w:after="169"/>
      <w:jc w:val="left"/>
    </w:pPr>
    <w:rPr>
      <w:rFonts w:ascii="宋体" w:hAnsi="宋体" w:cs="宋体"/>
      <w:kern w:val="0"/>
      <w:sz w:val="24"/>
    </w:rPr>
  </w:style>
  <w:style w:type="paragraph" w:customStyle="1" w:styleId="220">
    <w:name w:val="xl31"/>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22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222">
    <w:name w:val="样式 首行缩进:  2 字符"/>
    <w:basedOn w:val="1"/>
    <w:qFormat/>
    <w:uiPriority w:val="0"/>
    <w:pPr>
      <w:spacing w:line="400" w:lineRule="exact"/>
      <w:ind w:firstLine="200" w:firstLineChars="200"/>
    </w:pPr>
    <w:rPr>
      <w:rFonts w:cs="宋体"/>
      <w:sz w:val="24"/>
    </w:rPr>
  </w:style>
  <w:style w:type="paragraph" w:customStyle="1" w:styleId="223">
    <w:name w:val="表格题注"/>
    <w:next w:val="1"/>
    <w:qFormat/>
    <w:uiPriority w:val="0"/>
    <w:pPr>
      <w:keepLines/>
      <w:spacing w:before="312" w:beforeLines="100" w:after="160" w:line="278" w:lineRule="auto"/>
      <w:ind w:left="1089" w:hanging="369"/>
      <w:jc w:val="center"/>
    </w:pPr>
    <w:rPr>
      <w:rFonts w:ascii="Arial" w:hAnsi="Arial" w:eastAsia="宋体" w:cs="Times New Roman"/>
      <w:sz w:val="18"/>
      <w:szCs w:val="18"/>
      <w:lang w:val="en-US" w:eastAsia="zh-CN" w:bidi="ar-SA"/>
    </w:rPr>
  </w:style>
  <w:style w:type="paragraph" w:customStyle="1" w:styleId="224">
    <w:name w:val="7"/>
    <w:basedOn w:val="15"/>
    <w:qFormat/>
    <w:uiPriority w:val="0"/>
    <w:pPr>
      <w:widowControl/>
      <w:ind w:firstLine="454"/>
      <w:jc w:val="left"/>
    </w:pPr>
    <w:rPr>
      <w:rFonts w:ascii="Tahoma" w:hAnsi="Tahoma" w:cs="宋体"/>
      <w:kern w:val="0"/>
      <w:sz w:val="24"/>
      <w:szCs w:val="20"/>
    </w:rPr>
  </w:style>
  <w:style w:type="paragraph" w:customStyle="1" w:styleId="225">
    <w:name w:val="Char Char1"/>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226">
    <w:name w:val="pa-10"/>
    <w:basedOn w:val="1"/>
    <w:qFormat/>
    <w:uiPriority w:val="0"/>
    <w:pPr>
      <w:widowControl/>
      <w:spacing w:before="169" w:after="169"/>
      <w:jc w:val="left"/>
    </w:pPr>
    <w:rPr>
      <w:rFonts w:ascii="宋体" w:hAnsi="宋体" w:cs="宋体"/>
      <w:kern w:val="0"/>
      <w:sz w:val="24"/>
    </w:rPr>
  </w:style>
  <w:style w:type="paragraph" w:customStyle="1" w:styleId="227">
    <w:name w:val="表格"/>
    <w:basedOn w:val="1"/>
    <w:qFormat/>
    <w:uiPriority w:val="0"/>
    <w:pPr>
      <w:spacing w:line="400" w:lineRule="exact"/>
    </w:pPr>
    <w:rPr>
      <w:sz w:val="24"/>
    </w:rPr>
  </w:style>
  <w:style w:type="paragraph" w:customStyle="1" w:styleId="228">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229">
    <w:name w:val="p15"/>
    <w:basedOn w:val="1"/>
    <w:qFormat/>
    <w:uiPriority w:val="0"/>
    <w:pPr>
      <w:widowControl/>
    </w:pPr>
    <w:rPr>
      <w:rFonts w:ascii="宋体" w:hAnsi="宋体" w:cs="宋体"/>
      <w:kern w:val="0"/>
      <w:szCs w:val="21"/>
    </w:rPr>
  </w:style>
  <w:style w:type="paragraph" w:customStyle="1" w:styleId="230">
    <w:name w:val="目录3"/>
    <w:basedOn w:val="1"/>
    <w:next w:val="1"/>
    <w:qFormat/>
    <w:uiPriority w:val="0"/>
    <w:pPr>
      <w:widowControl/>
      <w:tabs>
        <w:tab w:val="left" w:leader="dot" w:pos="8503"/>
      </w:tabs>
      <w:spacing w:line="317" w:lineRule="atLeast"/>
      <w:ind w:firstLine="419"/>
      <w:textAlignment w:val="baseline"/>
    </w:pPr>
    <w:rPr>
      <w:color w:val="000000"/>
      <w:kern w:val="0"/>
      <w:szCs w:val="20"/>
    </w:rPr>
  </w:style>
  <w:style w:type="paragraph" w:customStyle="1" w:styleId="231">
    <w:name w:val="正文段"/>
    <w:basedOn w:val="1"/>
    <w:qFormat/>
    <w:uiPriority w:val="0"/>
    <w:pPr>
      <w:widowControl/>
      <w:snapToGrid w:val="0"/>
      <w:spacing w:after="156" w:afterLines="50"/>
      <w:ind w:firstLine="200" w:firstLineChars="200"/>
    </w:pPr>
    <w:rPr>
      <w:kern w:val="0"/>
      <w:sz w:val="24"/>
      <w:szCs w:val="20"/>
    </w:rPr>
  </w:style>
  <w:style w:type="paragraph" w:customStyle="1" w:styleId="232">
    <w:name w:val="Char Char Char Char Char Char1 Char1"/>
    <w:basedOn w:val="1"/>
    <w:qFormat/>
    <w:uiPriority w:val="0"/>
    <w:pPr>
      <w:widowControl/>
      <w:spacing w:line="240" w:lineRule="exact"/>
      <w:jc w:val="left"/>
    </w:pPr>
    <w:rPr>
      <w:rFonts w:ascii="Verdana" w:hAnsi="Verdana"/>
      <w:kern w:val="0"/>
      <w:szCs w:val="20"/>
      <w:lang w:eastAsia="en-US"/>
    </w:rPr>
  </w:style>
  <w:style w:type="paragraph" w:customStyle="1" w:styleId="233">
    <w:name w:val="Default Paragraph Font Para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23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5">
    <w:name w:val="p0"/>
    <w:basedOn w:val="1"/>
    <w:qFormat/>
    <w:uiPriority w:val="0"/>
    <w:pPr>
      <w:widowControl/>
    </w:pPr>
    <w:rPr>
      <w:kern w:val="0"/>
      <w:szCs w:val="21"/>
    </w:rPr>
  </w:style>
  <w:style w:type="paragraph" w:customStyle="1" w:styleId="236">
    <w:name w:val="段"/>
    <w:link w:val="237"/>
    <w:qFormat/>
    <w:uiPriority w:val="0"/>
    <w:pPr>
      <w:autoSpaceDE w:val="0"/>
      <w:autoSpaceDN w:val="0"/>
      <w:spacing w:after="160" w:line="278" w:lineRule="auto"/>
      <w:ind w:firstLine="200" w:firstLineChars="200"/>
      <w:jc w:val="both"/>
    </w:pPr>
    <w:rPr>
      <w:rFonts w:ascii="宋体" w:hAnsi="Times New Roman" w:eastAsia="宋体" w:cs="Times New Roman"/>
      <w:sz w:val="21"/>
      <w:lang w:val="en-US" w:eastAsia="zh-CN" w:bidi="ar-SA"/>
    </w:rPr>
  </w:style>
  <w:style w:type="character" w:customStyle="1" w:styleId="237">
    <w:name w:val="段 Char Char"/>
    <w:link w:val="236"/>
    <w:qFormat/>
    <w:locked/>
    <w:uiPriority w:val="0"/>
    <w:rPr>
      <w:rFonts w:ascii="宋体"/>
      <w:sz w:val="21"/>
      <w:lang w:val="en-US" w:eastAsia="zh-CN" w:bidi="ar-SA"/>
    </w:rPr>
  </w:style>
  <w:style w:type="paragraph" w:customStyle="1" w:styleId="238">
    <w:name w:val="插图题注"/>
    <w:next w:val="1"/>
    <w:qFormat/>
    <w:uiPriority w:val="0"/>
    <w:pPr>
      <w:spacing w:after="312" w:afterLines="100" w:line="278" w:lineRule="auto"/>
      <w:ind w:left="1089" w:hanging="369"/>
      <w:jc w:val="center"/>
    </w:pPr>
    <w:rPr>
      <w:rFonts w:ascii="Arial" w:hAnsi="Arial" w:eastAsia="宋体" w:cs="Times New Roman"/>
      <w:sz w:val="18"/>
      <w:szCs w:val="18"/>
      <w:lang w:val="en-US" w:eastAsia="zh-CN" w:bidi="ar-SA"/>
    </w:rPr>
  </w:style>
  <w:style w:type="paragraph" w:customStyle="1" w:styleId="239">
    <w:name w:val="Char Char19 Char Char Char Char11"/>
    <w:basedOn w:val="15"/>
    <w:qFormat/>
    <w:uiPriority w:val="0"/>
    <w:pPr>
      <w:widowControl/>
      <w:ind w:firstLine="454"/>
      <w:jc w:val="left"/>
    </w:pPr>
  </w:style>
  <w:style w:type="paragraph" w:customStyle="1" w:styleId="240">
    <w:name w:val="文章总标题"/>
    <w:basedOn w:val="1"/>
    <w:next w:val="207"/>
    <w:qFormat/>
    <w:uiPriority w:val="0"/>
    <w:pPr>
      <w:widowControl/>
      <w:spacing w:before="566" w:after="544" w:line="566" w:lineRule="atLeast"/>
      <w:jc w:val="center"/>
      <w:textAlignment w:val="baseline"/>
    </w:pPr>
    <w:rPr>
      <w:rFonts w:ascii="Arial" w:eastAsia="黑体"/>
      <w:color w:val="000000"/>
      <w:kern w:val="0"/>
      <w:sz w:val="54"/>
      <w:szCs w:val="20"/>
    </w:rPr>
  </w:style>
  <w:style w:type="paragraph" w:customStyle="1" w:styleId="24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kern w:val="0"/>
      <w:szCs w:val="21"/>
    </w:rPr>
  </w:style>
  <w:style w:type="paragraph" w:customStyle="1" w:styleId="242">
    <w:name w:val="目录4"/>
    <w:basedOn w:val="1"/>
    <w:next w:val="1"/>
    <w:qFormat/>
    <w:uiPriority w:val="0"/>
    <w:pPr>
      <w:widowControl/>
      <w:tabs>
        <w:tab w:val="left" w:leader="dot" w:pos="8503"/>
      </w:tabs>
      <w:spacing w:line="317" w:lineRule="atLeast"/>
      <w:ind w:firstLine="629"/>
      <w:textAlignment w:val="baseline"/>
    </w:pPr>
    <w:rPr>
      <w:color w:val="000000"/>
      <w:kern w:val="0"/>
      <w:szCs w:val="20"/>
    </w:rPr>
  </w:style>
  <w:style w:type="paragraph" w:customStyle="1" w:styleId="243">
    <w:name w:val="4"/>
    <w:basedOn w:val="1"/>
    <w:next w:val="31"/>
    <w:qFormat/>
    <w:uiPriority w:val="0"/>
    <w:pPr>
      <w:spacing w:line="420" w:lineRule="exact"/>
      <w:ind w:firstLine="409" w:firstLineChars="195"/>
    </w:pPr>
  </w:style>
  <w:style w:type="paragraph" w:customStyle="1" w:styleId="244">
    <w:name w:val="pa-8"/>
    <w:basedOn w:val="1"/>
    <w:qFormat/>
    <w:uiPriority w:val="0"/>
    <w:pPr>
      <w:widowControl/>
      <w:spacing w:before="169" w:after="169"/>
      <w:jc w:val="left"/>
    </w:pPr>
    <w:rPr>
      <w:rFonts w:ascii="宋体" w:hAnsi="宋体" w:cs="宋体"/>
      <w:kern w:val="0"/>
      <w:sz w:val="24"/>
    </w:rPr>
  </w:style>
  <w:style w:type="paragraph" w:customStyle="1" w:styleId="245">
    <w:name w:val="Char Char Char Char"/>
    <w:basedOn w:val="15"/>
    <w:qFormat/>
    <w:uiPriority w:val="0"/>
    <w:pPr>
      <w:adjustRightInd w:val="0"/>
      <w:snapToGrid w:val="0"/>
      <w:spacing w:line="360" w:lineRule="auto"/>
    </w:pPr>
    <w:rPr>
      <w:rFonts w:ascii="Tahoma" w:hAnsi="Tahoma"/>
      <w:sz w:val="24"/>
    </w:rPr>
  </w:style>
  <w:style w:type="paragraph" w:customStyle="1" w:styleId="246">
    <w:name w:val="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47">
    <w:name w:val="表内文字"/>
    <w:basedOn w:val="1"/>
    <w:qFormat/>
    <w:uiPriority w:val="0"/>
    <w:pPr>
      <w:snapToGrid w:val="0"/>
      <w:spacing w:before="50" w:after="50" w:line="360" w:lineRule="exact"/>
    </w:pPr>
    <w:rPr>
      <w:rFonts w:ascii="宋体" w:hAnsi="宋体"/>
      <w:b/>
      <w:color w:val="0000FF"/>
      <w:szCs w:val="21"/>
    </w:rPr>
  </w:style>
  <w:style w:type="paragraph" w:customStyle="1" w:styleId="248">
    <w:name w:val="样式 正文文字 + 小四 段后: 0 磅 行距: 1.5 倍行距"/>
    <w:basedOn w:val="20"/>
    <w:qFormat/>
    <w:uiPriority w:val="0"/>
    <w:pPr>
      <w:spacing w:line="360" w:lineRule="auto"/>
      <w:ind w:firstLine="480" w:firstLineChars="200"/>
    </w:pPr>
    <w:rPr>
      <w:rFonts w:cs="宋体"/>
      <w:szCs w:val="20"/>
    </w:rPr>
  </w:style>
  <w:style w:type="paragraph" w:customStyle="1" w:styleId="249">
    <w:name w:val="No Spacing11"/>
    <w:link w:val="250"/>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character" w:customStyle="1" w:styleId="250">
    <w:name w:val="No Spacing Char"/>
    <w:link w:val="249"/>
    <w:qFormat/>
    <w:locked/>
    <w:uiPriority w:val="0"/>
    <w:rPr>
      <w:kern w:val="2"/>
      <w:sz w:val="21"/>
      <w:szCs w:val="22"/>
      <w:lang w:val="en-US" w:eastAsia="zh-CN" w:bidi="ar-SA"/>
    </w:rPr>
  </w:style>
  <w:style w:type="paragraph" w:customStyle="1" w:styleId="251">
    <w:name w:val="Char21"/>
    <w:basedOn w:val="1"/>
    <w:qFormat/>
    <w:uiPriority w:val="0"/>
    <w:pPr>
      <w:widowControl/>
      <w:spacing w:line="240" w:lineRule="exact"/>
      <w:jc w:val="left"/>
    </w:pPr>
  </w:style>
  <w:style w:type="paragraph" w:customStyle="1" w:styleId="252">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253">
    <w:name w:val="默认段落字体 Para Char"/>
    <w:basedOn w:val="1"/>
    <w:qFormat/>
    <w:uiPriority w:val="0"/>
    <w:pPr>
      <w:adjustRightInd w:val="0"/>
      <w:spacing w:line="360" w:lineRule="auto"/>
    </w:pPr>
    <w:rPr>
      <w:szCs w:val="20"/>
    </w:rPr>
  </w:style>
  <w:style w:type="paragraph" w:customStyle="1" w:styleId="254">
    <w:name w:val="Char11"/>
    <w:basedOn w:val="15"/>
    <w:qFormat/>
    <w:uiPriority w:val="0"/>
    <w:pPr>
      <w:widowControl/>
      <w:ind w:firstLine="454"/>
      <w:jc w:val="left"/>
    </w:pPr>
    <w:rPr>
      <w:rFonts w:ascii="Tahoma" w:hAnsi="Tahoma" w:cs="宋体"/>
      <w:kern w:val="0"/>
      <w:sz w:val="24"/>
      <w:szCs w:val="20"/>
    </w:rPr>
  </w:style>
  <w:style w:type="paragraph" w:customStyle="1" w:styleId="255">
    <w:name w:val="pa-11"/>
    <w:basedOn w:val="1"/>
    <w:qFormat/>
    <w:uiPriority w:val="0"/>
    <w:pPr>
      <w:widowControl/>
      <w:spacing w:before="169" w:after="169"/>
      <w:jc w:val="left"/>
    </w:pPr>
    <w:rPr>
      <w:rFonts w:ascii="宋体" w:hAnsi="宋体" w:cs="宋体"/>
      <w:kern w:val="0"/>
      <w:sz w:val="24"/>
    </w:rPr>
  </w:style>
  <w:style w:type="paragraph" w:customStyle="1" w:styleId="256">
    <w:name w:val="Char"/>
    <w:basedOn w:val="15"/>
    <w:qFormat/>
    <w:uiPriority w:val="0"/>
    <w:pPr>
      <w:widowControl/>
      <w:ind w:firstLine="454"/>
      <w:jc w:val="left"/>
    </w:pPr>
    <w:rPr>
      <w:rFonts w:ascii="Tahoma" w:hAnsi="Tahoma" w:cs="宋体"/>
      <w:kern w:val="0"/>
      <w:sz w:val="24"/>
      <w:szCs w:val="20"/>
    </w:rPr>
  </w:style>
  <w:style w:type="paragraph" w:customStyle="1" w:styleId="257">
    <w:name w:val="目录2"/>
    <w:basedOn w:val="1"/>
    <w:next w:val="1"/>
    <w:qFormat/>
    <w:uiPriority w:val="0"/>
    <w:pPr>
      <w:widowControl/>
      <w:tabs>
        <w:tab w:val="left" w:leader="dot" w:pos="8503"/>
      </w:tabs>
      <w:spacing w:line="317" w:lineRule="atLeast"/>
      <w:ind w:firstLine="209"/>
      <w:textAlignment w:val="baseline"/>
    </w:pPr>
    <w:rPr>
      <w:color w:val="000000"/>
      <w:kern w:val="0"/>
      <w:szCs w:val="20"/>
    </w:rPr>
  </w:style>
  <w:style w:type="paragraph" w:customStyle="1" w:styleId="258">
    <w:name w:val="Char Char1 Char Char Char Char"/>
    <w:basedOn w:val="15"/>
    <w:qFormat/>
    <w:uiPriority w:val="0"/>
    <w:rPr>
      <w:rFonts w:ascii="Tahoma" w:hAnsi="Tahoma"/>
      <w:sz w:val="24"/>
    </w:rPr>
  </w:style>
  <w:style w:type="paragraph" w:customStyle="1" w:styleId="259">
    <w:name w:val="目录1"/>
    <w:basedOn w:val="1"/>
    <w:next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260">
    <w:name w:val="pa-12"/>
    <w:basedOn w:val="1"/>
    <w:qFormat/>
    <w:uiPriority w:val="0"/>
    <w:pPr>
      <w:widowControl/>
      <w:spacing w:before="169" w:after="169"/>
      <w:jc w:val="left"/>
    </w:pPr>
    <w:rPr>
      <w:rFonts w:ascii="宋体" w:hAnsi="宋体" w:cs="宋体"/>
      <w:kern w:val="0"/>
      <w:sz w:val="24"/>
    </w:rPr>
  </w:style>
  <w:style w:type="paragraph" w:customStyle="1" w:styleId="261">
    <w:name w:val="标题1"/>
    <w:basedOn w:val="2"/>
    <w:qFormat/>
    <w:uiPriority w:val="0"/>
    <w:pPr>
      <w:keepLines w:val="0"/>
      <w:widowControl/>
      <w:pBdr>
        <w:bottom w:val="single" w:color="auto" w:sz="8" w:space="6"/>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262">
    <w:name w:val="2ji"/>
    <w:basedOn w:val="3"/>
    <w:qFormat/>
    <w:uiPriority w:val="0"/>
    <w:pPr>
      <w:adjustRightInd w:val="0"/>
      <w:spacing w:before="0" w:after="0" w:line="360" w:lineRule="auto"/>
      <w:textAlignment w:val="baseline"/>
    </w:pPr>
    <w:rPr>
      <w:rFonts w:ascii="宋体" w:hAnsi="宋体" w:eastAsia="宋体"/>
      <w:sz w:val="21"/>
      <w:szCs w:val="21"/>
    </w:rPr>
  </w:style>
  <w:style w:type="paragraph" w:customStyle="1" w:styleId="263">
    <w:name w:val="pa-9"/>
    <w:basedOn w:val="1"/>
    <w:qFormat/>
    <w:uiPriority w:val="0"/>
    <w:pPr>
      <w:widowControl/>
      <w:spacing w:before="169" w:after="169"/>
      <w:jc w:val="left"/>
    </w:pPr>
    <w:rPr>
      <w:rFonts w:ascii="宋体" w:hAnsi="宋体" w:cs="宋体"/>
      <w:kern w:val="0"/>
      <w:sz w:val="24"/>
    </w:rPr>
  </w:style>
  <w:style w:type="paragraph" w:customStyle="1" w:styleId="264">
    <w:name w:val="正文首行缩进两字符"/>
    <w:basedOn w:val="1"/>
    <w:qFormat/>
    <w:uiPriority w:val="0"/>
    <w:pPr>
      <w:spacing w:line="360" w:lineRule="auto"/>
      <w:ind w:firstLine="200" w:firstLineChars="200"/>
    </w:pPr>
  </w:style>
  <w:style w:type="paragraph" w:customStyle="1" w:styleId="265">
    <w:name w:val="Char Char Char1"/>
    <w:basedOn w:val="1"/>
    <w:qFormat/>
    <w:uiPriority w:val="0"/>
    <w:rPr>
      <w:rFonts w:ascii="Tahoma" w:hAnsi="Tahoma"/>
      <w:sz w:val="24"/>
      <w:szCs w:val="20"/>
    </w:rPr>
  </w:style>
  <w:style w:type="paragraph" w:customStyle="1" w:styleId="266">
    <w:name w:val="节标题"/>
    <w:basedOn w:val="1"/>
    <w:next w:val="228"/>
    <w:qFormat/>
    <w:uiPriority w:val="0"/>
    <w:pPr>
      <w:widowControl/>
      <w:spacing w:line="289" w:lineRule="atLeast"/>
      <w:jc w:val="center"/>
      <w:textAlignment w:val="baseline"/>
    </w:pPr>
    <w:rPr>
      <w:color w:val="000000"/>
      <w:kern w:val="0"/>
      <w:sz w:val="28"/>
      <w:szCs w:val="20"/>
    </w:rPr>
  </w:style>
  <w:style w:type="paragraph" w:customStyle="1" w:styleId="267">
    <w:name w:val="F2"/>
    <w:basedOn w:val="1"/>
    <w:qFormat/>
    <w:uiPriority w:val="0"/>
    <w:pPr>
      <w:autoSpaceDE w:val="0"/>
      <w:autoSpaceDN w:val="0"/>
      <w:adjustRightInd w:val="0"/>
      <w:ind w:firstLine="601"/>
    </w:pPr>
    <w:rPr>
      <w:kern w:val="0"/>
      <w:sz w:val="24"/>
      <w:szCs w:val="20"/>
    </w:rPr>
  </w:style>
  <w:style w:type="paragraph" w:customStyle="1" w:styleId="268">
    <w:name w:val="Char Char Char Char Char Char Char Char Char Char Char Char Char Char Char Char21"/>
    <w:basedOn w:val="1"/>
    <w:qFormat/>
    <w:uiPriority w:val="0"/>
    <w:pPr>
      <w:tabs>
        <w:tab w:val="left" w:pos="360"/>
      </w:tabs>
      <w:spacing w:line="360" w:lineRule="auto"/>
      <w:ind w:left="482" w:firstLine="200" w:firstLineChars="200"/>
    </w:pPr>
    <w:rPr>
      <w:rFonts w:ascii="宋体"/>
      <w:sz w:val="24"/>
    </w:rPr>
  </w:style>
  <w:style w:type="paragraph" w:customStyle="1" w:styleId="269">
    <w:name w:val="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270">
    <w:name w:val="Char Char9 Char Char Char Char"/>
    <w:basedOn w:val="1"/>
    <w:qFormat/>
    <w:uiPriority w:val="0"/>
    <w:pPr>
      <w:widowControl/>
      <w:spacing w:line="240" w:lineRule="exact"/>
      <w:jc w:val="left"/>
    </w:pPr>
  </w:style>
  <w:style w:type="paragraph" w:customStyle="1" w:styleId="271">
    <w:name w:val="p16"/>
    <w:basedOn w:val="1"/>
    <w:qFormat/>
    <w:uiPriority w:val="0"/>
    <w:pPr>
      <w:widowControl/>
    </w:pPr>
    <w:rPr>
      <w:rFonts w:ascii="宋体" w:cs="宋体"/>
      <w:kern w:val="0"/>
      <w:sz w:val="20"/>
      <w:szCs w:val="20"/>
    </w:rPr>
  </w:style>
  <w:style w:type="paragraph" w:customStyle="1" w:styleId="272">
    <w:name w:val="Char Char Char1 Char Char Char Char Char Char Char Char Char Char Char Char Char Char Char"/>
    <w:basedOn w:val="1"/>
    <w:qFormat/>
    <w:uiPriority w:val="0"/>
    <w:pPr>
      <w:widowControl/>
      <w:adjustRightInd w:val="0"/>
      <w:spacing w:line="240" w:lineRule="exact"/>
      <w:jc w:val="left"/>
    </w:pPr>
    <w:rPr>
      <w:rFonts w:ascii="Verdana" w:hAnsi="Verdana"/>
      <w:kern w:val="0"/>
      <w:sz w:val="20"/>
      <w:szCs w:val="20"/>
      <w:lang w:eastAsia="en-US"/>
    </w:rPr>
  </w:style>
  <w:style w:type="paragraph" w:customStyle="1" w:styleId="273">
    <w:name w:val="_Style 35"/>
    <w:basedOn w:val="15"/>
    <w:qFormat/>
    <w:uiPriority w:val="0"/>
    <w:pPr>
      <w:widowControl/>
      <w:ind w:firstLine="454"/>
      <w:jc w:val="left"/>
    </w:pPr>
  </w:style>
  <w:style w:type="paragraph" w:customStyle="1" w:styleId="274">
    <w:name w:val="Body"/>
    <w:basedOn w:val="1"/>
    <w:qFormat/>
    <w:uiPriority w:val="0"/>
    <w:pPr>
      <w:widowControl/>
      <w:tabs>
        <w:tab w:val="left" w:pos="1980"/>
      </w:tabs>
      <w:spacing w:before="80" w:after="80" w:line="360" w:lineRule="auto"/>
      <w:jc w:val="center"/>
    </w:pPr>
    <w:rPr>
      <w:szCs w:val="21"/>
    </w:rPr>
  </w:style>
  <w:style w:type="paragraph" w:customStyle="1" w:styleId="275">
    <w:name w:val="列出段落11"/>
    <w:basedOn w:val="1"/>
    <w:qFormat/>
    <w:uiPriority w:val="0"/>
    <w:pPr>
      <w:ind w:firstLine="200" w:firstLineChars="200"/>
    </w:pPr>
    <w:rPr>
      <w:sz w:val="24"/>
    </w:rPr>
  </w:style>
  <w:style w:type="paragraph" w:customStyle="1" w:styleId="276">
    <w:name w:val="pa-7"/>
    <w:basedOn w:val="1"/>
    <w:qFormat/>
    <w:uiPriority w:val="0"/>
    <w:pPr>
      <w:widowControl/>
      <w:spacing w:before="169" w:after="169"/>
      <w:jc w:val="left"/>
    </w:pPr>
    <w:rPr>
      <w:rFonts w:ascii="宋体" w:hAnsi="宋体" w:cs="宋体"/>
      <w:kern w:val="0"/>
      <w:sz w:val="24"/>
    </w:rPr>
  </w:style>
  <w:style w:type="paragraph" w:customStyle="1" w:styleId="277">
    <w:name w:val="Char31"/>
    <w:basedOn w:val="15"/>
    <w:qFormat/>
    <w:uiPriority w:val="0"/>
    <w:pPr>
      <w:widowControl/>
      <w:ind w:firstLine="454"/>
      <w:jc w:val="left"/>
    </w:pPr>
    <w:rPr>
      <w:rFonts w:ascii="Tahoma" w:hAnsi="Tahoma" w:cs="宋体"/>
      <w:kern w:val="0"/>
      <w:sz w:val="24"/>
      <w:szCs w:val="20"/>
    </w:rPr>
  </w:style>
  <w:style w:type="paragraph" w:customStyle="1" w:styleId="278">
    <w:name w:val="pa-15"/>
    <w:basedOn w:val="1"/>
    <w:qFormat/>
    <w:uiPriority w:val="0"/>
    <w:pPr>
      <w:widowControl/>
      <w:spacing w:before="169" w:after="169"/>
      <w:jc w:val="left"/>
    </w:pPr>
    <w:rPr>
      <w:rFonts w:ascii="宋体" w:hAnsi="宋体" w:cs="宋体"/>
      <w:kern w:val="0"/>
      <w:sz w:val="24"/>
    </w:rPr>
  </w:style>
  <w:style w:type="paragraph" w:customStyle="1" w:styleId="279">
    <w:name w:val="表-标题"/>
    <w:basedOn w:val="1"/>
    <w:qFormat/>
    <w:uiPriority w:val="0"/>
    <w:pPr>
      <w:autoSpaceDE w:val="0"/>
      <w:autoSpaceDN w:val="0"/>
      <w:adjustRightInd w:val="0"/>
      <w:spacing w:line="288" w:lineRule="auto"/>
      <w:jc w:val="center"/>
    </w:pPr>
    <w:rPr>
      <w:rFonts w:ascii="汉仪大黑简 regular" w:hAnsi="Calibri" w:eastAsia="汉仪大黑简 regular" w:cs="汉仪大黑简 regular"/>
      <w:color w:val="000000"/>
      <w:kern w:val="0"/>
      <w:sz w:val="16"/>
      <w:szCs w:val="16"/>
      <w:lang w:val="zh-CN"/>
    </w:rPr>
  </w:style>
  <w:style w:type="paragraph" w:customStyle="1" w:styleId="280">
    <w:name w:val="表项"/>
    <w:next w:val="1"/>
    <w:qFormat/>
    <w:uiPriority w:val="0"/>
    <w:pPr>
      <w:keepNext/>
      <w:spacing w:after="160" w:line="300" w:lineRule="auto"/>
      <w:jc w:val="center"/>
      <w:textAlignment w:val="baseline"/>
    </w:pPr>
    <w:rPr>
      <w:rFonts w:ascii="Arial" w:hAnsi="Arial" w:eastAsia="黑体" w:cs="Times New Roman"/>
      <w:sz w:val="21"/>
      <w:lang w:val="en-US" w:eastAsia="zh-CN" w:bidi="ar-SA"/>
    </w:rPr>
  </w:style>
  <w:style w:type="paragraph" w:customStyle="1" w:styleId="281">
    <w:name w:val="List Paragraph1"/>
    <w:basedOn w:val="1"/>
    <w:qFormat/>
    <w:uiPriority w:val="0"/>
    <w:pPr>
      <w:ind w:firstLine="420" w:firstLineChars="200"/>
    </w:pPr>
  </w:style>
  <w:style w:type="paragraph" w:customStyle="1" w:styleId="282">
    <w:name w:val="Char Char Char Char Char Char1 Char"/>
    <w:basedOn w:val="1"/>
    <w:qFormat/>
    <w:uiPriority w:val="0"/>
    <w:pPr>
      <w:widowControl/>
      <w:spacing w:line="240" w:lineRule="exact"/>
      <w:jc w:val="left"/>
    </w:pPr>
    <w:rPr>
      <w:rFonts w:ascii="Verdana" w:hAnsi="Verdana"/>
      <w:kern w:val="0"/>
      <w:szCs w:val="20"/>
      <w:lang w:eastAsia="en-US"/>
    </w:rPr>
  </w:style>
  <w:style w:type="paragraph" w:customStyle="1" w:styleId="283">
    <w:name w:val="[基本段落]"/>
    <w:basedOn w:val="1"/>
    <w:qFormat/>
    <w:uiPriority w:val="0"/>
    <w:pPr>
      <w:autoSpaceDE w:val="0"/>
      <w:autoSpaceDN w:val="0"/>
      <w:adjustRightInd w:val="0"/>
      <w:spacing w:line="288" w:lineRule="auto"/>
    </w:pPr>
    <w:rPr>
      <w:rFonts w:ascii="汉仪大黑简 regular" w:hAnsi="Calibri" w:eastAsia="汉仪大黑简 regular"/>
      <w:color w:val="000000"/>
      <w:kern w:val="0"/>
      <w:sz w:val="24"/>
      <w:lang w:val="zh-CN"/>
    </w:rPr>
  </w:style>
  <w:style w:type="paragraph" w:customStyle="1" w:styleId="284">
    <w:name w:val="Char Char1 Char Char Char Char21"/>
    <w:basedOn w:val="15"/>
    <w:qFormat/>
    <w:uiPriority w:val="0"/>
    <w:rPr>
      <w:rFonts w:ascii="Tahoma" w:hAnsi="Tahoma"/>
      <w:sz w:val="24"/>
    </w:rPr>
  </w:style>
  <w:style w:type="paragraph" w:customStyle="1" w:styleId="285">
    <w:name w:val="默认段落字体 Para Char Char Char Char Char Char Char Char Char1 Char Char Char Char"/>
    <w:basedOn w:val="1"/>
    <w:qFormat/>
    <w:uiPriority w:val="0"/>
    <w:rPr>
      <w:rFonts w:ascii="Tahoma" w:hAnsi="Tahoma"/>
      <w:sz w:val="24"/>
      <w:szCs w:val="20"/>
    </w:rPr>
  </w:style>
  <w:style w:type="paragraph" w:customStyle="1" w:styleId="286">
    <w:name w:val="目录标题"/>
    <w:basedOn w:val="1"/>
    <w:next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287">
    <w:name w:val="样式"/>
    <w:qFormat/>
    <w:uiPriority w:val="0"/>
    <w:pPr>
      <w:widowControl w:val="0"/>
      <w:autoSpaceDE w:val="0"/>
      <w:autoSpaceDN w:val="0"/>
      <w:adjustRightInd w:val="0"/>
      <w:spacing w:after="160" w:line="278" w:lineRule="auto"/>
    </w:pPr>
    <w:rPr>
      <w:rFonts w:ascii="宋体" w:hAnsi="宋体" w:eastAsia="宋体" w:cs="宋体"/>
      <w:sz w:val="24"/>
      <w:szCs w:val="24"/>
      <w:lang w:val="en-US" w:eastAsia="zh-CN" w:bidi="ar-SA"/>
    </w:rPr>
  </w:style>
  <w:style w:type="paragraph" w:customStyle="1" w:styleId="288">
    <w:name w:val="我的正文"/>
    <w:basedOn w:val="1"/>
    <w:qFormat/>
    <w:uiPriority w:val="0"/>
    <w:pPr>
      <w:spacing w:line="520" w:lineRule="exact"/>
      <w:ind w:firstLine="192" w:firstLineChars="192"/>
    </w:pPr>
    <w:rPr>
      <w:sz w:val="28"/>
      <w:szCs w:val="28"/>
    </w:rPr>
  </w:style>
  <w:style w:type="paragraph" w:customStyle="1" w:styleId="289">
    <w:name w:val="Char Char Char Char Char Char1 Char21"/>
    <w:basedOn w:val="1"/>
    <w:qFormat/>
    <w:uiPriority w:val="0"/>
    <w:pPr>
      <w:widowControl/>
      <w:spacing w:line="240" w:lineRule="exact"/>
      <w:jc w:val="left"/>
    </w:pPr>
    <w:rPr>
      <w:rFonts w:ascii="Verdana" w:hAnsi="Verdana" w:eastAsia="仿宋_GB2312"/>
      <w:kern w:val="0"/>
      <w:sz w:val="30"/>
      <w:szCs w:val="30"/>
      <w:lang w:eastAsia="en-US"/>
    </w:rPr>
  </w:style>
  <w:style w:type="paragraph" w:customStyle="1" w:styleId="290">
    <w:name w:val="Char221"/>
    <w:basedOn w:val="1"/>
    <w:qFormat/>
    <w:uiPriority w:val="0"/>
    <w:pPr>
      <w:widowControl/>
      <w:spacing w:line="240" w:lineRule="exact"/>
      <w:jc w:val="left"/>
    </w:pPr>
    <w:rPr>
      <w:rFonts w:ascii="Verdana" w:hAnsi="Verdana"/>
      <w:kern w:val="0"/>
      <w:szCs w:val="20"/>
      <w:lang w:eastAsia="en-US"/>
    </w:rPr>
  </w:style>
  <w:style w:type="paragraph" w:customStyle="1" w:styleId="291">
    <w:name w:val="Char12"/>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92">
    <w:name w:val="无间隔1"/>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293">
    <w:name w:val="Char Char9 Char Char Char Char1"/>
    <w:basedOn w:val="1"/>
    <w:qFormat/>
    <w:uiPriority w:val="0"/>
    <w:pPr>
      <w:widowControl/>
      <w:spacing w:line="240" w:lineRule="exact"/>
      <w:jc w:val="left"/>
    </w:pPr>
  </w:style>
  <w:style w:type="paragraph" w:customStyle="1" w:styleId="294">
    <w:name w:val="样式 宋体 小四 行距: 1.5 倍行距1 Char"/>
    <w:basedOn w:val="1"/>
    <w:qFormat/>
    <w:uiPriority w:val="0"/>
    <w:pPr>
      <w:spacing w:line="360" w:lineRule="auto"/>
      <w:ind w:firstLine="540" w:firstLineChars="225"/>
    </w:pPr>
    <w:rPr>
      <w:rFonts w:ascii="宋体" w:hAnsi="宋体"/>
      <w:sz w:val="24"/>
    </w:rPr>
  </w:style>
  <w:style w:type="paragraph" w:customStyle="1" w:styleId="295">
    <w:name w:val="Char Char Char21"/>
    <w:basedOn w:val="1"/>
    <w:qFormat/>
    <w:uiPriority w:val="0"/>
    <w:pPr>
      <w:widowControl/>
      <w:spacing w:line="240" w:lineRule="exact"/>
      <w:jc w:val="left"/>
    </w:pPr>
    <w:rPr>
      <w:rFonts w:ascii="Verdana" w:hAnsi="Verdana"/>
      <w:kern w:val="0"/>
      <w:sz w:val="20"/>
      <w:szCs w:val="20"/>
      <w:lang w:eastAsia="en-US"/>
    </w:rPr>
  </w:style>
  <w:style w:type="paragraph" w:customStyle="1" w:styleId="296">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297">
    <w:name w:val="Bullets"/>
    <w:basedOn w:val="1"/>
    <w:qFormat/>
    <w:uiPriority w:val="0"/>
    <w:pPr>
      <w:widowControl/>
      <w:adjustRightInd w:val="0"/>
      <w:snapToGrid w:val="0"/>
      <w:spacing w:before="60" w:after="60"/>
    </w:pPr>
    <w:rPr>
      <w:kern w:val="0"/>
      <w:sz w:val="24"/>
      <w:lang w:val="en-GB"/>
    </w:rPr>
  </w:style>
  <w:style w:type="paragraph" w:customStyle="1" w:styleId="298">
    <w:name w:val="Char131"/>
    <w:basedOn w:val="1"/>
    <w:qFormat/>
    <w:uiPriority w:val="0"/>
    <w:rPr>
      <w:szCs w:val="21"/>
    </w:rPr>
  </w:style>
  <w:style w:type="paragraph" w:customStyle="1" w:styleId="299">
    <w:name w:val="样式3"/>
    <w:basedOn w:val="1"/>
    <w:qFormat/>
    <w:uiPriority w:val="0"/>
    <w:pPr>
      <w:tabs>
        <w:tab w:val="left" w:pos="560"/>
        <w:tab w:val="left" w:pos="1120"/>
      </w:tabs>
      <w:spacing w:line="480" w:lineRule="atLeast"/>
    </w:pPr>
    <w:rPr>
      <w:rFonts w:ascii="宋体" w:eastAsia="创艺简黑体"/>
      <w:szCs w:val="20"/>
    </w:rPr>
  </w:style>
  <w:style w:type="paragraph" w:customStyle="1" w:styleId="300">
    <w:name w:val="样式1"/>
    <w:basedOn w:val="1"/>
    <w:qFormat/>
    <w:uiPriority w:val="0"/>
    <w:pPr>
      <w:spacing w:before="120" w:after="120" w:line="300" w:lineRule="auto"/>
    </w:pPr>
    <w:rPr>
      <w:rFonts w:ascii="宋体" w:hAnsi="宋体"/>
      <w:b/>
      <w:sz w:val="24"/>
      <w:szCs w:val="20"/>
    </w:rPr>
  </w:style>
  <w:style w:type="paragraph" w:customStyle="1" w:styleId="301">
    <w:name w:val="列出段落4"/>
    <w:basedOn w:val="1"/>
    <w:qFormat/>
    <w:uiPriority w:val="34"/>
    <w:pPr>
      <w:ind w:firstLine="420" w:firstLineChars="200"/>
    </w:pPr>
    <w:rPr>
      <w:rFonts w:ascii="Calibri" w:hAnsi="Calibri"/>
      <w:szCs w:val="22"/>
    </w:rPr>
  </w:style>
  <w:style w:type="paragraph" w:customStyle="1" w:styleId="302">
    <w:name w:val="Char Char Char Char Char Char Char Char Char Char Char Char11"/>
    <w:basedOn w:val="1"/>
    <w:qFormat/>
    <w:uiPriority w:val="0"/>
    <w:pPr>
      <w:widowControl/>
      <w:spacing w:line="240" w:lineRule="exact"/>
      <w:jc w:val="left"/>
    </w:pPr>
    <w:rPr>
      <w:rFonts w:ascii="Verdana" w:hAnsi="Verdana"/>
      <w:kern w:val="0"/>
      <w:sz w:val="20"/>
      <w:szCs w:val="20"/>
      <w:lang w:eastAsia="en-US"/>
    </w:rPr>
  </w:style>
  <w:style w:type="paragraph" w:customStyle="1" w:styleId="303">
    <w:name w:val="444"/>
    <w:basedOn w:val="1"/>
    <w:qFormat/>
    <w:uiPriority w:val="0"/>
    <w:pPr>
      <w:adjustRightInd w:val="0"/>
      <w:spacing w:line="312" w:lineRule="atLeast"/>
      <w:jc w:val="center"/>
      <w:textAlignment w:val="baseline"/>
    </w:pPr>
    <w:rPr>
      <w:b/>
      <w:kern w:val="0"/>
      <w:sz w:val="36"/>
      <w:szCs w:val="36"/>
    </w:rPr>
  </w:style>
  <w:style w:type="paragraph" w:customStyle="1" w:styleId="304">
    <w:name w:val="Char Char9 Char Char Char Char21"/>
    <w:basedOn w:val="1"/>
    <w:qFormat/>
    <w:uiPriority w:val="0"/>
    <w:pPr>
      <w:widowControl/>
      <w:spacing w:line="240" w:lineRule="exact"/>
      <w:jc w:val="left"/>
    </w:pPr>
  </w:style>
  <w:style w:type="paragraph" w:customStyle="1" w:styleId="305">
    <w:name w:val="样式 标题 2 + (西文) 宋体 非加粗 居中"/>
    <w:basedOn w:val="3"/>
    <w:qFormat/>
    <w:uiPriority w:val="0"/>
    <w:pPr>
      <w:jc w:val="center"/>
    </w:pPr>
    <w:rPr>
      <w:rFonts w:ascii="宋体" w:hAnsi="宋体" w:cs="宋体"/>
      <w:b w:val="0"/>
      <w:bCs w:val="0"/>
      <w:spacing w:val="2"/>
      <w:sz w:val="28"/>
      <w:szCs w:val="20"/>
    </w:rPr>
  </w:style>
  <w:style w:type="paragraph" w:customStyle="1" w:styleId="306">
    <w:name w:val="2-2ji"/>
    <w:basedOn w:val="3"/>
    <w:qFormat/>
    <w:uiPriority w:val="0"/>
    <w:pPr>
      <w:adjustRightInd w:val="0"/>
      <w:spacing w:before="0" w:after="0" w:line="360" w:lineRule="auto"/>
      <w:jc w:val="center"/>
      <w:textAlignment w:val="baseline"/>
    </w:pPr>
    <w:rPr>
      <w:rFonts w:ascii="宋体" w:hAnsi="宋体" w:eastAsia="宋体"/>
      <w:bCs w:val="0"/>
      <w:sz w:val="36"/>
    </w:rPr>
  </w:style>
  <w:style w:type="table" w:customStyle="1" w:styleId="307">
    <w:name w:val="彩色列表 - 强调文字颜色 1111"/>
    <w:basedOn w:val="53"/>
    <w:qFormat/>
    <w:uiPriority w:val="34"/>
    <w:rPr>
      <w:rFonts w:ascii="Calibri" w:hAnsi="Calibri"/>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paragraph" w:customStyle="1" w:styleId="308">
    <w:name w:val="_Style 4"/>
    <w:basedOn w:val="1"/>
    <w:next w:val="301"/>
    <w:qFormat/>
    <w:uiPriority w:val="0"/>
    <w:pPr>
      <w:ind w:firstLine="420" w:firstLineChars="200"/>
    </w:pPr>
  </w:style>
  <w:style w:type="table" w:customStyle="1" w:styleId="309">
    <w:name w:val="彩色列表 - 强调文字颜色 11"/>
    <w:basedOn w:val="53"/>
    <w:qFormat/>
    <w:uiPriority w:val="0"/>
    <w:rPr>
      <w:rFonts w:ascii="Calibri" w:hAnsi="Calibri" w:eastAsia="等线"/>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character" w:customStyle="1" w:styleId="310">
    <w:name w:val="Header Char"/>
    <w:basedOn w:val="55"/>
    <w:qFormat/>
    <w:locked/>
    <w:uiPriority w:val="0"/>
    <w:rPr>
      <w:rFonts w:ascii="Calibri" w:hAnsi="Calibri" w:eastAsia="宋体"/>
      <w:kern w:val="2"/>
      <w:sz w:val="18"/>
      <w:szCs w:val="18"/>
      <w:lang w:val="en-US" w:eastAsia="zh-CN" w:bidi="ar-SA"/>
    </w:rPr>
  </w:style>
  <w:style w:type="character" w:customStyle="1" w:styleId="311">
    <w:name w:val="Footer Char"/>
    <w:basedOn w:val="55"/>
    <w:qFormat/>
    <w:locked/>
    <w:uiPriority w:val="0"/>
    <w:rPr>
      <w:rFonts w:ascii="Calibri" w:hAnsi="Calibri" w:eastAsia="宋体"/>
      <w:kern w:val="2"/>
      <w:sz w:val="18"/>
      <w:szCs w:val="18"/>
      <w:lang w:val="en-US" w:eastAsia="zh-CN" w:bidi="ar-SA"/>
    </w:rPr>
  </w:style>
  <w:style w:type="paragraph" w:customStyle="1" w:styleId="312">
    <w:name w:val="列表段落1"/>
    <w:basedOn w:val="1"/>
    <w:qFormat/>
    <w:uiPriority w:val="0"/>
    <w:pPr>
      <w:ind w:firstLine="420" w:firstLineChars="200"/>
    </w:pPr>
    <w:rPr>
      <w:rFonts w:ascii="Calibri" w:hAnsi="Calibri"/>
      <w:szCs w:val="22"/>
    </w:rPr>
  </w:style>
  <w:style w:type="character" w:customStyle="1" w:styleId="313">
    <w:name w:val="Heading 1 Char"/>
    <w:basedOn w:val="55"/>
    <w:qFormat/>
    <w:locked/>
    <w:uiPriority w:val="0"/>
    <w:rPr>
      <w:rFonts w:ascii="宋体" w:eastAsia="宋体"/>
      <w:b/>
      <w:bCs/>
      <w:kern w:val="44"/>
      <w:sz w:val="44"/>
      <w:szCs w:val="44"/>
      <w:lang w:val="en-US" w:eastAsia="zh-CN" w:bidi="ar-SA"/>
    </w:rPr>
  </w:style>
  <w:style w:type="character" w:customStyle="1" w:styleId="314">
    <w:name w:val="Heading 2 Char"/>
    <w:basedOn w:val="55"/>
    <w:qFormat/>
    <w:locked/>
    <w:uiPriority w:val="0"/>
    <w:rPr>
      <w:rFonts w:ascii="Arial" w:hAnsi="Arial" w:eastAsia="黑体"/>
      <w:b/>
      <w:bCs/>
      <w:kern w:val="21"/>
      <w:sz w:val="32"/>
      <w:szCs w:val="32"/>
      <w:lang w:val="en-US" w:eastAsia="zh-CN" w:bidi="ar-SA"/>
    </w:rPr>
  </w:style>
  <w:style w:type="character" w:customStyle="1" w:styleId="315">
    <w:name w:val="Heading 3 Char"/>
    <w:basedOn w:val="55"/>
    <w:qFormat/>
    <w:locked/>
    <w:uiPriority w:val="0"/>
    <w:rPr>
      <w:rFonts w:ascii="宋体" w:eastAsia="宋体"/>
      <w:b/>
      <w:bCs/>
      <w:kern w:val="21"/>
      <w:sz w:val="32"/>
      <w:szCs w:val="32"/>
      <w:lang w:val="en-US" w:eastAsia="zh-CN" w:bidi="ar-SA"/>
    </w:rPr>
  </w:style>
  <w:style w:type="character" w:customStyle="1" w:styleId="316">
    <w:name w:val="Heading 4 Char"/>
    <w:basedOn w:val="55"/>
    <w:qFormat/>
    <w:locked/>
    <w:uiPriority w:val="0"/>
    <w:rPr>
      <w:rFonts w:ascii="Arial" w:hAnsi="Arial" w:eastAsia="黑体"/>
      <w:b/>
      <w:bCs/>
      <w:kern w:val="21"/>
      <w:sz w:val="28"/>
      <w:szCs w:val="28"/>
      <w:lang w:val="en-US" w:eastAsia="zh-CN" w:bidi="ar-SA"/>
    </w:rPr>
  </w:style>
  <w:style w:type="character" w:customStyle="1" w:styleId="317">
    <w:name w:val="Heading 5 Char"/>
    <w:basedOn w:val="55"/>
    <w:qFormat/>
    <w:locked/>
    <w:uiPriority w:val="0"/>
    <w:rPr>
      <w:rFonts w:ascii="宋体" w:eastAsia="宋体"/>
      <w:b/>
      <w:bCs/>
      <w:kern w:val="21"/>
      <w:sz w:val="28"/>
      <w:szCs w:val="28"/>
      <w:lang w:val="en-US" w:eastAsia="zh-CN" w:bidi="ar-SA"/>
    </w:rPr>
  </w:style>
  <w:style w:type="character" w:customStyle="1" w:styleId="318">
    <w:name w:val="Heading 6 Char"/>
    <w:basedOn w:val="55"/>
    <w:qFormat/>
    <w:locked/>
    <w:uiPriority w:val="0"/>
    <w:rPr>
      <w:rFonts w:ascii="Arial" w:hAnsi="Arial" w:eastAsia="黑体"/>
      <w:b/>
      <w:bCs/>
      <w:kern w:val="21"/>
      <w:sz w:val="24"/>
      <w:szCs w:val="21"/>
      <w:lang w:val="en-US" w:eastAsia="zh-CN" w:bidi="ar-SA"/>
    </w:rPr>
  </w:style>
  <w:style w:type="character" w:customStyle="1" w:styleId="319">
    <w:name w:val="Heading 7 Char"/>
    <w:basedOn w:val="55"/>
    <w:qFormat/>
    <w:locked/>
    <w:uiPriority w:val="0"/>
    <w:rPr>
      <w:rFonts w:ascii="宋体" w:eastAsia="宋体"/>
      <w:b/>
      <w:bCs/>
      <w:kern w:val="21"/>
      <w:sz w:val="24"/>
      <w:szCs w:val="21"/>
      <w:lang w:val="en-US" w:eastAsia="zh-CN" w:bidi="ar-SA"/>
    </w:rPr>
  </w:style>
  <w:style w:type="character" w:customStyle="1" w:styleId="320">
    <w:name w:val="Heading 8 Char"/>
    <w:basedOn w:val="55"/>
    <w:qFormat/>
    <w:locked/>
    <w:uiPriority w:val="0"/>
    <w:rPr>
      <w:rFonts w:ascii="Arial" w:hAnsi="Arial" w:eastAsia="黑体"/>
      <w:kern w:val="21"/>
      <w:sz w:val="24"/>
      <w:szCs w:val="21"/>
      <w:lang w:val="en-US" w:eastAsia="zh-CN" w:bidi="ar-SA"/>
    </w:rPr>
  </w:style>
  <w:style w:type="character" w:customStyle="1" w:styleId="321">
    <w:name w:val="Heading 9 Char"/>
    <w:basedOn w:val="55"/>
    <w:qFormat/>
    <w:locked/>
    <w:uiPriority w:val="0"/>
    <w:rPr>
      <w:rFonts w:ascii="Arial" w:hAnsi="Arial" w:eastAsia="黑体"/>
      <w:kern w:val="21"/>
      <w:sz w:val="21"/>
      <w:szCs w:val="21"/>
      <w:lang w:val="en-US" w:eastAsia="zh-CN" w:bidi="ar-SA"/>
    </w:rPr>
  </w:style>
  <w:style w:type="character" w:customStyle="1" w:styleId="322">
    <w:name w:val="一级条标题 Char"/>
    <w:basedOn w:val="323"/>
    <w:qFormat/>
    <w:uiPriority w:val="0"/>
    <w:rPr>
      <w:rFonts w:ascii="黑体" w:eastAsia="黑体" w:cs="黑体"/>
      <w:sz w:val="21"/>
      <w:szCs w:val="21"/>
      <w:lang w:val="en-US" w:eastAsia="zh-CN" w:bidi="ar-SA"/>
    </w:rPr>
  </w:style>
  <w:style w:type="character" w:customStyle="1" w:styleId="323">
    <w:name w:val="章标题 Char"/>
    <w:qFormat/>
    <w:uiPriority w:val="0"/>
    <w:rPr>
      <w:rFonts w:ascii="黑体" w:eastAsia="黑体"/>
      <w:sz w:val="21"/>
      <w:lang w:val="en-US" w:eastAsia="zh-CN"/>
    </w:rPr>
  </w:style>
  <w:style w:type="character" w:customStyle="1" w:styleId="324">
    <w:name w:val="发布"/>
    <w:qFormat/>
    <w:uiPriority w:val="0"/>
    <w:rPr>
      <w:rFonts w:ascii="黑体" w:eastAsia="黑体"/>
      <w:spacing w:val="22"/>
      <w:w w:val="100"/>
      <w:position w:val="3"/>
      <w:sz w:val="28"/>
    </w:rPr>
  </w:style>
  <w:style w:type="character" w:customStyle="1" w:styleId="325">
    <w:name w:val="个人答复风格"/>
    <w:qFormat/>
    <w:uiPriority w:val="0"/>
    <w:rPr>
      <w:rFonts w:ascii="Arial" w:hAnsi="Arial" w:eastAsia="宋体"/>
      <w:color w:val="auto"/>
      <w:sz w:val="20"/>
    </w:rPr>
  </w:style>
  <w:style w:type="character" w:customStyle="1" w:styleId="326">
    <w:name w:val="三级条标题 Char"/>
    <w:basedOn w:val="327"/>
    <w:qFormat/>
    <w:uiPriority w:val="0"/>
    <w:rPr>
      <w:rFonts w:ascii="黑体" w:eastAsia="黑体" w:cs="黑体"/>
      <w:sz w:val="21"/>
      <w:szCs w:val="21"/>
      <w:lang w:val="en-US" w:eastAsia="zh-CN" w:bidi="ar-SA"/>
    </w:rPr>
  </w:style>
  <w:style w:type="character" w:customStyle="1" w:styleId="327">
    <w:name w:val="二级条标题 Char"/>
    <w:basedOn w:val="322"/>
    <w:qFormat/>
    <w:uiPriority w:val="0"/>
    <w:rPr>
      <w:rFonts w:ascii="黑体" w:eastAsia="黑体" w:cs="黑体"/>
      <w:sz w:val="21"/>
      <w:szCs w:val="21"/>
      <w:lang w:val="en-US" w:eastAsia="zh-CN" w:bidi="ar-SA"/>
    </w:rPr>
  </w:style>
  <w:style w:type="character" w:customStyle="1" w:styleId="328">
    <w:name w:val="章标题 Char Char"/>
    <w:link w:val="329"/>
    <w:qFormat/>
    <w:locked/>
    <w:uiPriority w:val="0"/>
    <w:rPr>
      <w:rFonts w:ascii="黑体" w:eastAsia="黑体"/>
      <w:kern w:val="2"/>
      <w:sz w:val="22"/>
      <w:lang w:val="en-US" w:eastAsia="zh-CN" w:bidi="ar-SA"/>
    </w:rPr>
  </w:style>
  <w:style w:type="paragraph" w:customStyle="1" w:styleId="329">
    <w:name w:val="章标题"/>
    <w:next w:val="236"/>
    <w:link w:val="328"/>
    <w:qFormat/>
    <w:uiPriority w:val="0"/>
    <w:pPr>
      <w:numPr>
        <w:ilvl w:val="1"/>
        <w:numId w:val="1"/>
      </w:numPr>
      <w:spacing w:beforeLines="50" w:after="160" w:afterLines="50" w:line="278" w:lineRule="auto"/>
      <w:jc w:val="both"/>
      <w:outlineLvl w:val="1"/>
    </w:pPr>
    <w:rPr>
      <w:rFonts w:ascii="黑体" w:hAnsi="Times New Roman" w:eastAsia="黑体" w:cs="Times New Roman"/>
      <w:kern w:val="2"/>
      <w:sz w:val="22"/>
      <w:lang w:val="en-US" w:eastAsia="zh-CN" w:bidi="ar-SA"/>
    </w:rPr>
  </w:style>
  <w:style w:type="character" w:customStyle="1" w:styleId="330">
    <w:name w:val="三级条标题 Char Char"/>
    <w:basedOn w:val="331"/>
    <w:link w:val="335"/>
    <w:qFormat/>
    <w:locked/>
    <w:uiPriority w:val="0"/>
    <w:rPr>
      <w:rFonts w:ascii="黑体" w:eastAsia="黑体"/>
      <w:kern w:val="2"/>
      <w:sz w:val="22"/>
      <w:szCs w:val="22"/>
      <w:lang w:val="en-US" w:eastAsia="zh-CN" w:bidi="ar-SA"/>
    </w:rPr>
  </w:style>
  <w:style w:type="character" w:customStyle="1" w:styleId="331">
    <w:name w:val="二级条标题 Char Char"/>
    <w:basedOn w:val="332"/>
    <w:link w:val="334"/>
    <w:qFormat/>
    <w:locked/>
    <w:uiPriority w:val="0"/>
    <w:rPr>
      <w:rFonts w:ascii="黑体" w:eastAsia="黑体"/>
      <w:kern w:val="2"/>
      <w:sz w:val="22"/>
      <w:szCs w:val="22"/>
      <w:lang w:val="en-US" w:eastAsia="zh-CN" w:bidi="ar-SA"/>
    </w:rPr>
  </w:style>
  <w:style w:type="character" w:customStyle="1" w:styleId="332">
    <w:name w:val="一级条标题 Char Char"/>
    <w:basedOn w:val="328"/>
    <w:link w:val="333"/>
    <w:qFormat/>
    <w:locked/>
    <w:uiPriority w:val="0"/>
    <w:rPr>
      <w:rFonts w:ascii="黑体" w:eastAsia="黑体"/>
      <w:kern w:val="2"/>
      <w:sz w:val="22"/>
      <w:szCs w:val="22"/>
      <w:lang w:val="en-US" w:eastAsia="zh-CN" w:bidi="ar-SA"/>
    </w:rPr>
  </w:style>
  <w:style w:type="paragraph" w:customStyle="1" w:styleId="333">
    <w:name w:val="一级条标题"/>
    <w:basedOn w:val="329"/>
    <w:next w:val="236"/>
    <w:link w:val="332"/>
    <w:qFormat/>
    <w:uiPriority w:val="0"/>
    <w:pPr>
      <w:numPr>
        <w:ilvl w:val="2"/>
      </w:numPr>
      <w:tabs>
        <w:tab w:val="left" w:pos="312"/>
        <w:tab w:val="left" w:pos="360"/>
      </w:tabs>
      <w:spacing w:beforeLines="0" w:afterLines="0"/>
      <w:ind w:left="0"/>
      <w:outlineLvl w:val="2"/>
    </w:pPr>
    <w:rPr>
      <w:szCs w:val="22"/>
    </w:rPr>
  </w:style>
  <w:style w:type="paragraph" w:customStyle="1" w:styleId="334">
    <w:name w:val="二级条标题"/>
    <w:basedOn w:val="333"/>
    <w:next w:val="236"/>
    <w:link w:val="331"/>
    <w:qFormat/>
    <w:uiPriority w:val="0"/>
    <w:pPr>
      <w:numPr>
        <w:ilvl w:val="3"/>
        <w:numId w:val="2"/>
      </w:numPr>
      <w:outlineLvl w:val="3"/>
    </w:pPr>
  </w:style>
  <w:style w:type="paragraph" w:customStyle="1" w:styleId="335">
    <w:name w:val="三级条标题"/>
    <w:basedOn w:val="334"/>
    <w:next w:val="236"/>
    <w:link w:val="330"/>
    <w:qFormat/>
    <w:uiPriority w:val="0"/>
  </w:style>
  <w:style w:type="character" w:customStyle="1" w:styleId="336">
    <w:name w:val="个人撰写风格"/>
    <w:qFormat/>
    <w:uiPriority w:val="0"/>
    <w:rPr>
      <w:rFonts w:ascii="Arial" w:hAnsi="Arial" w:eastAsia="宋体"/>
      <w:color w:val="auto"/>
      <w:sz w:val="20"/>
    </w:rPr>
  </w:style>
  <w:style w:type="paragraph" w:customStyle="1" w:styleId="337">
    <w:name w:val="其他发布部门"/>
    <w:basedOn w:val="338"/>
    <w:qFormat/>
    <w:uiPriority w:val="0"/>
    <w:pPr>
      <w:spacing w:line="240" w:lineRule="atLeast"/>
    </w:pPr>
    <w:rPr>
      <w:rFonts w:ascii="黑体" w:eastAsia="黑体"/>
      <w:b w:val="0"/>
    </w:rPr>
  </w:style>
  <w:style w:type="paragraph" w:customStyle="1" w:styleId="338">
    <w:name w:val="发布部门"/>
    <w:next w:val="236"/>
    <w:qFormat/>
    <w:uiPriority w:val="0"/>
    <w:pPr>
      <w:spacing w:after="160" w:line="278" w:lineRule="auto"/>
      <w:jc w:val="center"/>
    </w:pPr>
    <w:rPr>
      <w:rFonts w:ascii="宋体" w:hAnsi="Times New Roman" w:eastAsia="宋体" w:cs="Times New Roman"/>
      <w:b/>
      <w:spacing w:val="20"/>
      <w:w w:val="135"/>
      <w:sz w:val="36"/>
      <w:lang w:val="en-US" w:eastAsia="zh-CN" w:bidi="ar-SA"/>
    </w:rPr>
  </w:style>
  <w:style w:type="paragraph" w:customStyle="1" w:styleId="339">
    <w:name w:val="其他标准称谓"/>
    <w:qFormat/>
    <w:uiPriority w:val="0"/>
    <w:pPr>
      <w:spacing w:after="160" w:line="240" w:lineRule="atLeast"/>
      <w:jc w:val="distribute"/>
    </w:pPr>
    <w:rPr>
      <w:rFonts w:ascii="黑体" w:hAnsi="宋体" w:eastAsia="黑体" w:cs="Times New Roman"/>
      <w:sz w:val="52"/>
      <w:lang w:val="en-US" w:eastAsia="zh-CN" w:bidi="ar-SA"/>
    </w:rPr>
  </w:style>
  <w:style w:type="paragraph" w:customStyle="1" w:styleId="340">
    <w:name w:val="封面一致性程度标识"/>
    <w:qFormat/>
    <w:uiPriority w:val="0"/>
    <w:pPr>
      <w:spacing w:before="440" w:after="160" w:line="400" w:lineRule="exact"/>
      <w:jc w:val="center"/>
    </w:pPr>
    <w:rPr>
      <w:rFonts w:ascii="宋体" w:hAnsi="Times New Roman" w:eastAsia="宋体" w:cs="Times New Roman"/>
      <w:sz w:val="28"/>
      <w:lang w:val="en-US" w:eastAsia="zh-CN" w:bidi="ar-SA"/>
    </w:rPr>
  </w:style>
  <w:style w:type="paragraph" w:customStyle="1" w:styleId="341">
    <w:name w:val="文献分类号"/>
    <w:qFormat/>
    <w:uiPriority w:val="0"/>
    <w:pPr>
      <w:widowControl w:val="0"/>
      <w:spacing w:after="160" w:line="278" w:lineRule="auto"/>
      <w:jc w:val="both"/>
      <w:textAlignment w:val="center"/>
    </w:pPr>
    <w:rPr>
      <w:rFonts w:ascii="Times New Roman" w:hAnsi="Times New Roman" w:eastAsia="黑体" w:cs="Times New Roman"/>
      <w:sz w:val="21"/>
      <w:lang w:val="en-US" w:eastAsia="zh-CN" w:bidi="ar-SA"/>
    </w:rPr>
  </w:style>
  <w:style w:type="paragraph" w:customStyle="1" w:styleId="342">
    <w:name w:val="封面标准代替信息"/>
    <w:basedOn w:val="343"/>
    <w:qFormat/>
    <w:uiPriority w:val="0"/>
    <w:pPr>
      <w:spacing w:before="57"/>
    </w:pPr>
    <w:rPr>
      <w:rFonts w:ascii="宋体"/>
      <w:sz w:val="21"/>
    </w:rPr>
  </w:style>
  <w:style w:type="paragraph" w:customStyle="1" w:styleId="343">
    <w:name w:val="封面标准号2"/>
    <w:basedOn w:val="344"/>
    <w:qFormat/>
    <w:uiPriority w:val="0"/>
    <w:pPr>
      <w:adjustRightInd w:val="0"/>
      <w:spacing w:before="357" w:line="280" w:lineRule="exact"/>
    </w:pPr>
  </w:style>
  <w:style w:type="paragraph" w:customStyle="1" w:styleId="344">
    <w:name w:val="封面标准号1"/>
    <w:qFormat/>
    <w:uiPriority w:val="0"/>
    <w:pPr>
      <w:widowControl w:val="0"/>
      <w:kinsoku w:val="0"/>
      <w:overflowPunct w:val="0"/>
      <w:autoSpaceDE w:val="0"/>
      <w:autoSpaceDN w:val="0"/>
      <w:spacing w:before="308" w:after="160" w:line="278" w:lineRule="auto"/>
      <w:jc w:val="right"/>
      <w:textAlignment w:val="center"/>
    </w:pPr>
    <w:rPr>
      <w:rFonts w:ascii="Times New Roman" w:hAnsi="Times New Roman" w:eastAsia="宋体" w:cs="Times New Roman"/>
      <w:sz w:val="28"/>
      <w:lang w:val="en-US" w:eastAsia="zh-CN" w:bidi="ar-SA"/>
    </w:rPr>
  </w:style>
  <w:style w:type="paragraph" w:customStyle="1" w:styleId="345">
    <w:name w:val="前言、引言标题"/>
    <w:next w:val="1"/>
    <w:qFormat/>
    <w:uiPriority w:val="0"/>
    <w:pPr>
      <w:numPr>
        <w:ilvl w:val="0"/>
        <w:numId w:val="2"/>
      </w:numPr>
      <w:shd w:val="clear" w:color="FFFFFF" w:fill="FFFFFF"/>
      <w:spacing w:before="640" w:after="560" w:line="278" w:lineRule="auto"/>
      <w:jc w:val="center"/>
      <w:outlineLvl w:val="0"/>
    </w:pPr>
    <w:rPr>
      <w:rFonts w:ascii="黑体" w:hAnsi="Times New Roman" w:eastAsia="黑体" w:cs="Times New Roman"/>
      <w:sz w:val="32"/>
      <w:lang w:val="en-US" w:eastAsia="zh-CN" w:bidi="ar-SA"/>
    </w:rPr>
  </w:style>
  <w:style w:type="paragraph" w:customStyle="1" w:styleId="346">
    <w:name w:val="正文表标题"/>
    <w:next w:val="236"/>
    <w:qFormat/>
    <w:uiPriority w:val="0"/>
    <w:pPr>
      <w:numPr>
        <w:ilvl w:val="0"/>
        <w:numId w:val="1"/>
      </w:numPr>
      <w:spacing w:after="160" w:line="278" w:lineRule="auto"/>
      <w:jc w:val="center"/>
    </w:pPr>
    <w:rPr>
      <w:rFonts w:ascii="黑体" w:hAnsi="Times New Roman" w:eastAsia="黑体" w:cs="Times New Roman"/>
      <w:sz w:val="21"/>
      <w:lang w:val="en-US" w:eastAsia="zh-CN" w:bidi="ar-SA"/>
    </w:rPr>
  </w:style>
  <w:style w:type="paragraph" w:customStyle="1" w:styleId="347">
    <w:name w:val="附录章标题"/>
    <w:next w:val="236"/>
    <w:qFormat/>
    <w:uiPriority w:val="0"/>
    <w:pPr>
      <w:numPr>
        <w:ilvl w:val="1"/>
        <w:numId w:val="3"/>
      </w:numPr>
      <w:wordWrap w:val="0"/>
      <w:overflowPunct w:val="0"/>
      <w:autoSpaceDE w:val="0"/>
      <w:spacing w:beforeLines="50" w:after="160" w:afterLines="50" w:line="278"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348">
    <w:name w:val="五级无标题条"/>
    <w:basedOn w:val="1"/>
    <w:qFormat/>
    <w:uiPriority w:val="0"/>
    <w:pPr>
      <w:numPr>
        <w:ilvl w:val="6"/>
        <w:numId w:val="3"/>
      </w:numPr>
    </w:pPr>
    <w:rPr>
      <w:rFonts w:ascii="宋体"/>
      <w:kern w:val="21"/>
      <w:szCs w:val="21"/>
    </w:rPr>
  </w:style>
  <w:style w:type="paragraph" w:customStyle="1" w:styleId="349">
    <w:name w:val="三级无标题条"/>
    <w:basedOn w:val="1"/>
    <w:qFormat/>
    <w:uiPriority w:val="0"/>
    <w:pPr>
      <w:numPr>
        <w:ilvl w:val="4"/>
        <w:numId w:val="3"/>
      </w:numPr>
    </w:pPr>
    <w:rPr>
      <w:rFonts w:ascii="宋体"/>
      <w:kern w:val="21"/>
      <w:szCs w:val="21"/>
    </w:rPr>
  </w:style>
  <w:style w:type="character" w:customStyle="1" w:styleId="350">
    <w:name w:val="Document Map Char"/>
    <w:basedOn w:val="55"/>
    <w:qFormat/>
    <w:locked/>
    <w:uiPriority w:val="0"/>
    <w:rPr>
      <w:rFonts w:ascii="宋体" w:eastAsia="宋体"/>
      <w:kern w:val="21"/>
      <w:sz w:val="21"/>
      <w:szCs w:val="21"/>
      <w:lang w:val="en-US" w:eastAsia="zh-CN" w:bidi="ar-SA"/>
    </w:rPr>
  </w:style>
  <w:style w:type="paragraph" w:customStyle="1" w:styleId="351">
    <w:name w:val="数字编号列项（二级）"/>
    <w:qFormat/>
    <w:uiPriority w:val="0"/>
    <w:pPr>
      <w:spacing w:after="160" w:line="278" w:lineRule="auto"/>
      <w:ind w:left="1260" w:leftChars="400" w:hanging="420" w:hangingChars="200"/>
      <w:jc w:val="both"/>
    </w:pPr>
    <w:rPr>
      <w:rFonts w:ascii="宋体" w:hAnsi="Times New Roman" w:eastAsia="宋体" w:cs="Times New Roman"/>
      <w:sz w:val="21"/>
      <w:lang w:val="en-US" w:eastAsia="zh-CN" w:bidi="ar-SA"/>
    </w:rPr>
  </w:style>
  <w:style w:type="paragraph" w:customStyle="1" w:styleId="352">
    <w:name w:val="目次、标准名称标题"/>
    <w:basedOn w:val="345"/>
    <w:next w:val="236"/>
    <w:qFormat/>
    <w:uiPriority w:val="0"/>
    <w:pPr>
      <w:numPr>
        <w:numId w:val="0"/>
      </w:numPr>
      <w:spacing w:line="460" w:lineRule="exact"/>
    </w:pPr>
  </w:style>
  <w:style w:type="paragraph" w:customStyle="1" w:styleId="353">
    <w:name w:val="封面标准名称"/>
    <w:qFormat/>
    <w:uiPriority w:val="0"/>
    <w:pPr>
      <w:widowControl w:val="0"/>
      <w:spacing w:after="160" w:line="680" w:lineRule="exact"/>
      <w:jc w:val="center"/>
      <w:textAlignment w:val="center"/>
    </w:pPr>
    <w:rPr>
      <w:rFonts w:ascii="黑体" w:hAnsi="Times New Roman" w:eastAsia="黑体" w:cs="Times New Roman"/>
      <w:sz w:val="52"/>
      <w:lang w:val="en-US" w:eastAsia="zh-CN" w:bidi="ar-SA"/>
    </w:rPr>
  </w:style>
  <w:style w:type="paragraph" w:customStyle="1" w:styleId="354">
    <w:name w:val="二级无标题条"/>
    <w:basedOn w:val="1"/>
    <w:qFormat/>
    <w:uiPriority w:val="0"/>
    <w:pPr>
      <w:numPr>
        <w:ilvl w:val="3"/>
        <w:numId w:val="3"/>
      </w:numPr>
    </w:pPr>
    <w:rPr>
      <w:rFonts w:ascii="宋体"/>
      <w:kern w:val="21"/>
      <w:szCs w:val="21"/>
    </w:rPr>
  </w:style>
  <w:style w:type="paragraph" w:customStyle="1" w:styleId="355">
    <w:name w:val="条文脚注"/>
    <w:basedOn w:val="39"/>
    <w:qFormat/>
    <w:uiPriority w:val="0"/>
    <w:pPr>
      <w:ind w:left="780" w:leftChars="200" w:hanging="360" w:hangingChars="200"/>
      <w:jc w:val="both"/>
    </w:pPr>
  </w:style>
  <w:style w:type="character" w:customStyle="1" w:styleId="356">
    <w:name w:val="HTML Preformatted Char"/>
    <w:basedOn w:val="55"/>
    <w:qFormat/>
    <w:locked/>
    <w:uiPriority w:val="0"/>
    <w:rPr>
      <w:rFonts w:ascii="Courier New" w:hAnsi="Courier New" w:eastAsia="宋体" w:cs="Courier New"/>
      <w:kern w:val="21"/>
      <w:lang w:val="en-US" w:eastAsia="zh-CN" w:bidi="ar-SA"/>
    </w:rPr>
  </w:style>
  <w:style w:type="character" w:customStyle="1" w:styleId="357">
    <w:name w:val="Date Char"/>
    <w:basedOn w:val="55"/>
    <w:qFormat/>
    <w:locked/>
    <w:uiPriority w:val="0"/>
    <w:rPr>
      <w:rFonts w:ascii="宋体" w:eastAsia="宋体"/>
      <w:kern w:val="21"/>
      <w:sz w:val="24"/>
      <w:lang w:val="en-US" w:eastAsia="zh-CN" w:bidi="ar-SA"/>
    </w:rPr>
  </w:style>
  <w:style w:type="paragraph" w:customStyle="1" w:styleId="358">
    <w:name w:val="四级条标题"/>
    <w:basedOn w:val="335"/>
    <w:next w:val="236"/>
    <w:qFormat/>
    <w:uiPriority w:val="0"/>
    <w:pPr>
      <w:numPr>
        <w:ilvl w:val="5"/>
      </w:numPr>
      <w:ind w:left="2316"/>
      <w:outlineLvl w:val="5"/>
    </w:pPr>
  </w:style>
  <w:style w:type="character" w:customStyle="1" w:styleId="359">
    <w:name w:val="Title Char"/>
    <w:basedOn w:val="55"/>
    <w:qFormat/>
    <w:locked/>
    <w:uiPriority w:val="0"/>
    <w:rPr>
      <w:rFonts w:ascii="Arial" w:hAnsi="Arial" w:eastAsia="宋体" w:cs="Arial"/>
      <w:b/>
      <w:bCs/>
      <w:kern w:val="21"/>
      <w:sz w:val="32"/>
      <w:szCs w:val="32"/>
      <w:lang w:val="en-US" w:eastAsia="zh-CN" w:bidi="ar-SA"/>
    </w:rPr>
  </w:style>
  <w:style w:type="paragraph" w:customStyle="1" w:styleId="360">
    <w:name w:val="注："/>
    <w:next w:val="236"/>
    <w:qFormat/>
    <w:uiPriority w:val="0"/>
    <w:pPr>
      <w:widowControl w:val="0"/>
      <w:numPr>
        <w:ilvl w:val="0"/>
        <w:numId w:val="4"/>
      </w:numPr>
      <w:autoSpaceDE w:val="0"/>
      <w:autoSpaceDN w:val="0"/>
      <w:spacing w:after="160" w:line="278" w:lineRule="auto"/>
      <w:jc w:val="both"/>
    </w:pPr>
    <w:rPr>
      <w:rFonts w:ascii="宋体" w:hAnsi="Times New Roman" w:eastAsia="宋体" w:cs="Times New Roman"/>
      <w:sz w:val="18"/>
      <w:lang w:val="en-US" w:eastAsia="zh-CN" w:bidi="ar-SA"/>
    </w:rPr>
  </w:style>
  <w:style w:type="paragraph" w:customStyle="1" w:styleId="361">
    <w:name w:val="五级条标题"/>
    <w:basedOn w:val="358"/>
    <w:next w:val="236"/>
    <w:qFormat/>
    <w:uiPriority w:val="0"/>
    <w:pPr>
      <w:numPr>
        <w:ilvl w:val="6"/>
      </w:numPr>
      <w:outlineLvl w:val="6"/>
    </w:pPr>
  </w:style>
  <w:style w:type="paragraph" w:customStyle="1" w:styleId="362">
    <w:name w:val="附录表标题"/>
    <w:next w:val="236"/>
    <w:qFormat/>
    <w:uiPriority w:val="0"/>
    <w:pPr>
      <w:spacing w:after="160" w:line="278" w:lineRule="auto"/>
      <w:jc w:val="center"/>
      <w:textAlignment w:val="baseline"/>
    </w:pPr>
    <w:rPr>
      <w:rFonts w:ascii="黑体" w:hAnsi="Times New Roman" w:eastAsia="黑体" w:cs="Times New Roman"/>
      <w:kern w:val="21"/>
      <w:sz w:val="21"/>
      <w:lang w:val="en-US" w:eastAsia="zh-CN" w:bidi="ar-SA"/>
    </w:rPr>
  </w:style>
  <w:style w:type="paragraph" w:customStyle="1" w:styleId="363">
    <w:name w:val="正文图标题"/>
    <w:next w:val="236"/>
    <w:qFormat/>
    <w:uiPriority w:val="0"/>
    <w:pPr>
      <w:numPr>
        <w:ilvl w:val="0"/>
        <w:numId w:val="5"/>
      </w:numPr>
      <w:spacing w:after="160" w:line="278" w:lineRule="auto"/>
      <w:jc w:val="center"/>
    </w:pPr>
    <w:rPr>
      <w:rFonts w:ascii="黑体" w:hAnsi="Times New Roman" w:eastAsia="黑体" w:cs="Times New Roman"/>
      <w:sz w:val="21"/>
      <w:lang w:val="en-US" w:eastAsia="zh-CN" w:bidi="ar-SA"/>
    </w:rPr>
  </w:style>
  <w:style w:type="paragraph" w:customStyle="1" w:styleId="364">
    <w:name w:val="附录标识"/>
    <w:basedOn w:val="345"/>
    <w:qFormat/>
    <w:uiPriority w:val="0"/>
    <w:pPr>
      <w:numPr>
        <w:ilvl w:val="0"/>
        <w:numId w:val="6"/>
      </w:numPr>
      <w:tabs>
        <w:tab w:val="left" w:pos="6405"/>
      </w:tabs>
      <w:spacing w:after="200"/>
      <w:ind w:firstLine="0"/>
    </w:pPr>
    <w:rPr>
      <w:sz w:val="21"/>
    </w:rPr>
  </w:style>
  <w:style w:type="paragraph" w:customStyle="1" w:styleId="365">
    <w:name w:val="标准书眉_偶数页"/>
    <w:basedOn w:val="366"/>
    <w:next w:val="1"/>
    <w:qFormat/>
    <w:uiPriority w:val="0"/>
    <w:pPr>
      <w:tabs>
        <w:tab w:val="center" w:pos="4154"/>
        <w:tab w:val="right" w:pos="8306"/>
      </w:tabs>
      <w:jc w:val="left"/>
    </w:pPr>
  </w:style>
  <w:style w:type="paragraph" w:customStyle="1" w:styleId="366">
    <w:name w:val="标准书眉_奇数页"/>
    <w:next w:val="1"/>
    <w:qFormat/>
    <w:uiPriority w:val="0"/>
    <w:pPr>
      <w:tabs>
        <w:tab w:val="center" w:pos="4154"/>
        <w:tab w:val="right" w:pos="8306"/>
      </w:tabs>
      <w:spacing w:after="120" w:line="278" w:lineRule="auto"/>
      <w:jc w:val="right"/>
    </w:pPr>
    <w:rPr>
      <w:rFonts w:ascii="Times New Roman" w:hAnsi="Times New Roman" w:eastAsia="宋体" w:cs="Times New Roman"/>
      <w:sz w:val="21"/>
      <w:lang w:val="en-US" w:eastAsia="zh-CN" w:bidi="ar-SA"/>
    </w:rPr>
  </w:style>
  <w:style w:type="paragraph" w:customStyle="1" w:styleId="367">
    <w:name w:val="附录三级条标题"/>
    <w:basedOn w:val="368"/>
    <w:next w:val="236"/>
    <w:qFormat/>
    <w:uiPriority w:val="0"/>
    <w:pPr>
      <w:numPr>
        <w:ilvl w:val="4"/>
      </w:numPr>
      <w:tabs>
        <w:tab w:val="left" w:pos="1418"/>
      </w:tabs>
      <w:outlineLvl w:val="4"/>
    </w:pPr>
  </w:style>
  <w:style w:type="paragraph" w:customStyle="1" w:styleId="368">
    <w:name w:val="附录二级条标题"/>
    <w:basedOn w:val="369"/>
    <w:next w:val="236"/>
    <w:qFormat/>
    <w:uiPriority w:val="0"/>
    <w:pPr>
      <w:numPr>
        <w:ilvl w:val="3"/>
      </w:numPr>
      <w:tabs>
        <w:tab w:val="left" w:pos="1418"/>
      </w:tabs>
      <w:outlineLvl w:val="3"/>
    </w:pPr>
  </w:style>
  <w:style w:type="paragraph" w:customStyle="1" w:styleId="369">
    <w:name w:val="附录一级条标题"/>
    <w:basedOn w:val="347"/>
    <w:next w:val="236"/>
    <w:qFormat/>
    <w:uiPriority w:val="0"/>
    <w:pPr>
      <w:numPr>
        <w:ilvl w:val="2"/>
        <w:numId w:val="6"/>
      </w:numPr>
      <w:autoSpaceDN w:val="0"/>
      <w:spacing w:beforeLines="0" w:afterLines="0"/>
      <w:outlineLvl w:val="2"/>
    </w:pPr>
  </w:style>
  <w:style w:type="paragraph" w:customStyle="1" w:styleId="370">
    <w:name w:val="附录图标题"/>
    <w:next w:val="236"/>
    <w:qFormat/>
    <w:uiPriority w:val="0"/>
    <w:pPr>
      <w:spacing w:after="160" w:line="278" w:lineRule="auto"/>
      <w:jc w:val="center"/>
    </w:pPr>
    <w:rPr>
      <w:rFonts w:ascii="黑体" w:hAnsi="Times New Roman" w:eastAsia="黑体" w:cs="Times New Roman"/>
      <w:sz w:val="21"/>
      <w:lang w:val="en-US" w:eastAsia="zh-CN" w:bidi="ar-SA"/>
    </w:rPr>
  </w:style>
  <w:style w:type="paragraph" w:customStyle="1" w:styleId="371">
    <w:name w:val="四级无标题条"/>
    <w:basedOn w:val="1"/>
    <w:qFormat/>
    <w:uiPriority w:val="0"/>
    <w:pPr>
      <w:numPr>
        <w:ilvl w:val="5"/>
        <w:numId w:val="3"/>
      </w:numPr>
    </w:pPr>
    <w:rPr>
      <w:rFonts w:ascii="宋体"/>
      <w:kern w:val="21"/>
      <w:szCs w:val="21"/>
    </w:rPr>
  </w:style>
  <w:style w:type="paragraph" w:customStyle="1" w:styleId="372">
    <w:name w:val="字母编号列项（一级）"/>
    <w:qFormat/>
    <w:uiPriority w:val="0"/>
    <w:pPr>
      <w:spacing w:after="160" w:line="278" w:lineRule="auto"/>
      <w:ind w:left="840" w:leftChars="200" w:hanging="420" w:hangingChars="200"/>
      <w:jc w:val="both"/>
    </w:pPr>
    <w:rPr>
      <w:rFonts w:ascii="宋体" w:hAnsi="Times New Roman" w:eastAsia="宋体" w:cs="Times New Roman"/>
      <w:sz w:val="21"/>
      <w:lang w:val="en-US" w:eastAsia="zh-CN" w:bidi="ar-SA"/>
    </w:rPr>
  </w:style>
  <w:style w:type="paragraph" w:customStyle="1" w:styleId="373">
    <w:name w:val="封面正文"/>
    <w:qFormat/>
    <w:uiPriority w:val="0"/>
    <w:pPr>
      <w:spacing w:after="160" w:line="278" w:lineRule="auto"/>
      <w:jc w:val="both"/>
    </w:pPr>
    <w:rPr>
      <w:rFonts w:ascii="Times New Roman" w:hAnsi="Times New Roman" w:eastAsia="宋体" w:cs="Times New Roman"/>
      <w:lang w:val="en-US" w:eastAsia="zh-CN" w:bidi="ar-SA"/>
    </w:rPr>
  </w:style>
  <w:style w:type="character" w:customStyle="1" w:styleId="374">
    <w:name w:val="Balloon Text Char"/>
    <w:basedOn w:val="55"/>
    <w:qFormat/>
    <w:locked/>
    <w:uiPriority w:val="0"/>
    <w:rPr>
      <w:rFonts w:ascii="宋体" w:eastAsia="宋体"/>
      <w:kern w:val="21"/>
      <w:sz w:val="18"/>
      <w:szCs w:val="18"/>
      <w:lang w:val="en-US" w:eastAsia="zh-CN" w:bidi="ar-SA"/>
    </w:rPr>
  </w:style>
  <w:style w:type="paragraph" w:customStyle="1" w:styleId="375">
    <w:name w:val="实施日期"/>
    <w:basedOn w:val="376"/>
    <w:qFormat/>
    <w:uiPriority w:val="0"/>
    <w:pPr>
      <w:jc w:val="right"/>
    </w:pPr>
  </w:style>
  <w:style w:type="paragraph" w:customStyle="1" w:styleId="376">
    <w:name w:val="发布日期"/>
    <w:qFormat/>
    <w:uiPriority w:val="0"/>
    <w:pPr>
      <w:spacing w:after="160" w:line="278" w:lineRule="auto"/>
      <w:jc w:val="both"/>
    </w:pPr>
    <w:rPr>
      <w:rFonts w:ascii="Times New Roman" w:hAnsi="Times New Roman" w:eastAsia="黑体" w:cs="Times New Roman"/>
      <w:sz w:val="28"/>
      <w:lang w:val="en-US" w:eastAsia="zh-CN" w:bidi="ar-SA"/>
    </w:rPr>
  </w:style>
  <w:style w:type="paragraph" w:customStyle="1" w:styleId="377">
    <w:name w:val="列项——"/>
    <w:qFormat/>
    <w:uiPriority w:val="0"/>
    <w:pPr>
      <w:widowControl w:val="0"/>
      <w:numPr>
        <w:ilvl w:val="0"/>
        <w:numId w:val="7"/>
      </w:numPr>
      <w:tabs>
        <w:tab w:val="left" w:pos="854"/>
      </w:tabs>
      <w:spacing w:after="160" w:line="278" w:lineRule="auto"/>
      <w:ind w:left="200" w:leftChars="200" w:hanging="200" w:hangingChars="200"/>
      <w:jc w:val="both"/>
    </w:pPr>
    <w:rPr>
      <w:rFonts w:ascii="宋体" w:hAnsi="Times New Roman" w:eastAsia="宋体" w:cs="Times New Roman"/>
      <w:sz w:val="21"/>
      <w:lang w:val="en-US" w:eastAsia="zh-CN" w:bidi="ar-SA"/>
    </w:rPr>
  </w:style>
  <w:style w:type="paragraph" w:customStyle="1" w:styleId="378">
    <w:name w:val="示例"/>
    <w:next w:val="236"/>
    <w:qFormat/>
    <w:uiPriority w:val="0"/>
    <w:pPr>
      <w:numPr>
        <w:ilvl w:val="0"/>
        <w:numId w:val="8"/>
      </w:numPr>
      <w:tabs>
        <w:tab w:val="left" w:pos="816"/>
        <w:tab w:val="clear" w:pos="1140"/>
      </w:tabs>
      <w:spacing w:after="160" w:line="278" w:lineRule="auto"/>
      <w:ind w:firstLine="419" w:firstLineChars="233"/>
      <w:jc w:val="both"/>
    </w:pPr>
    <w:rPr>
      <w:rFonts w:ascii="宋体" w:hAnsi="Times New Roman" w:eastAsia="宋体" w:cs="Times New Roman"/>
      <w:sz w:val="18"/>
      <w:lang w:val="en-US" w:eastAsia="zh-CN" w:bidi="ar-SA"/>
    </w:rPr>
  </w:style>
  <w:style w:type="paragraph" w:customStyle="1" w:styleId="379">
    <w:name w:val="附录四级条标题"/>
    <w:basedOn w:val="367"/>
    <w:next w:val="236"/>
    <w:qFormat/>
    <w:uiPriority w:val="0"/>
    <w:pPr>
      <w:numPr>
        <w:ilvl w:val="5"/>
      </w:numPr>
      <w:outlineLvl w:val="5"/>
    </w:pPr>
  </w:style>
  <w:style w:type="paragraph" w:customStyle="1" w:styleId="380">
    <w:name w:val="列项·"/>
    <w:qFormat/>
    <w:uiPriority w:val="0"/>
    <w:pPr>
      <w:numPr>
        <w:ilvl w:val="0"/>
        <w:numId w:val="9"/>
      </w:numPr>
      <w:tabs>
        <w:tab w:val="left" w:pos="840"/>
        <w:tab w:val="clear" w:pos="1120"/>
      </w:tabs>
      <w:spacing w:after="160" w:line="278" w:lineRule="auto"/>
      <w:ind w:left="840" w:leftChars="200" w:hanging="420" w:hangingChars="200"/>
      <w:jc w:val="both"/>
    </w:pPr>
    <w:rPr>
      <w:rFonts w:ascii="宋体" w:hAnsi="Times New Roman" w:eastAsia="宋体" w:cs="Times New Roman"/>
      <w:sz w:val="21"/>
      <w:lang w:val="en-US" w:eastAsia="zh-CN" w:bidi="ar-SA"/>
    </w:rPr>
  </w:style>
  <w:style w:type="paragraph" w:customStyle="1" w:styleId="381">
    <w:name w:val="图表脚注"/>
    <w:next w:val="236"/>
    <w:qFormat/>
    <w:uiPriority w:val="0"/>
    <w:pPr>
      <w:spacing w:after="160" w:line="278" w:lineRule="auto"/>
      <w:ind w:left="300" w:leftChars="200" w:hanging="100" w:hangingChars="100"/>
      <w:jc w:val="both"/>
    </w:pPr>
    <w:rPr>
      <w:rFonts w:ascii="宋体" w:hAnsi="Times New Roman" w:eastAsia="宋体" w:cs="Times New Roman"/>
      <w:sz w:val="18"/>
      <w:lang w:val="en-US" w:eastAsia="zh-CN" w:bidi="ar-SA"/>
    </w:rPr>
  </w:style>
  <w:style w:type="paragraph" w:customStyle="1" w:styleId="382">
    <w:name w:val="封面标准文稿编辑信息"/>
    <w:qFormat/>
    <w:uiPriority w:val="0"/>
    <w:pPr>
      <w:spacing w:before="180" w:after="160" w:line="180" w:lineRule="exact"/>
      <w:jc w:val="center"/>
    </w:pPr>
    <w:rPr>
      <w:rFonts w:ascii="宋体" w:hAnsi="Times New Roman" w:eastAsia="宋体" w:cs="Times New Roman"/>
      <w:sz w:val="21"/>
      <w:lang w:val="en-US" w:eastAsia="zh-CN" w:bidi="ar-SA"/>
    </w:rPr>
  </w:style>
  <w:style w:type="paragraph" w:customStyle="1" w:styleId="383">
    <w:name w:val="一级无标题条"/>
    <w:basedOn w:val="1"/>
    <w:qFormat/>
    <w:uiPriority w:val="0"/>
    <w:pPr>
      <w:numPr>
        <w:ilvl w:val="2"/>
        <w:numId w:val="3"/>
      </w:numPr>
    </w:pPr>
    <w:rPr>
      <w:rFonts w:ascii="宋体"/>
      <w:kern w:val="21"/>
      <w:szCs w:val="21"/>
    </w:rPr>
  </w:style>
  <w:style w:type="paragraph" w:customStyle="1" w:styleId="384">
    <w:name w:val="目次、索引正文"/>
    <w:qFormat/>
    <w:uiPriority w:val="0"/>
    <w:pPr>
      <w:spacing w:after="160" w:line="320" w:lineRule="exact"/>
      <w:jc w:val="both"/>
    </w:pPr>
    <w:rPr>
      <w:rFonts w:ascii="宋体" w:hAnsi="Times New Roman" w:eastAsia="宋体" w:cs="Times New Roman"/>
      <w:sz w:val="21"/>
      <w:lang w:val="en-US" w:eastAsia="zh-CN" w:bidi="ar-SA"/>
    </w:rPr>
  </w:style>
  <w:style w:type="paragraph" w:customStyle="1" w:styleId="385">
    <w:name w:val="无标题条"/>
    <w:next w:val="236"/>
    <w:qFormat/>
    <w:uiPriority w:val="0"/>
    <w:pPr>
      <w:spacing w:after="160" w:line="278" w:lineRule="auto"/>
      <w:jc w:val="both"/>
    </w:pPr>
    <w:rPr>
      <w:rFonts w:ascii="Times New Roman" w:hAnsi="Times New Roman" w:eastAsia="宋体" w:cs="Times New Roman"/>
      <w:sz w:val="21"/>
      <w:lang w:val="en-US" w:eastAsia="zh-CN" w:bidi="ar-SA"/>
    </w:rPr>
  </w:style>
  <w:style w:type="paragraph" w:customStyle="1" w:styleId="386">
    <w:name w:val="标准书眉一"/>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387">
    <w:name w:val="封面标准英文名称"/>
    <w:qFormat/>
    <w:uiPriority w:val="0"/>
    <w:pPr>
      <w:widowControl w:val="0"/>
      <w:spacing w:before="370" w:after="160" w:line="400" w:lineRule="exact"/>
      <w:jc w:val="center"/>
    </w:pPr>
    <w:rPr>
      <w:rFonts w:ascii="Times New Roman" w:hAnsi="Times New Roman" w:eastAsia="宋体" w:cs="Times New Roman"/>
      <w:sz w:val="28"/>
      <w:lang w:val="en-US" w:eastAsia="zh-CN" w:bidi="ar-SA"/>
    </w:rPr>
  </w:style>
  <w:style w:type="paragraph" w:customStyle="1" w:styleId="388">
    <w:name w:val="标准称谓"/>
    <w:next w:val="1"/>
    <w:qFormat/>
    <w:uiPriority w:val="0"/>
    <w:pPr>
      <w:widowControl w:val="0"/>
      <w:kinsoku w:val="0"/>
      <w:overflowPunct w:val="0"/>
      <w:autoSpaceDE w:val="0"/>
      <w:autoSpaceDN w:val="0"/>
      <w:spacing w:after="160" w:line="240" w:lineRule="atLeast"/>
      <w:jc w:val="distribute"/>
    </w:pPr>
    <w:rPr>
      <w:rFonts w:ascii="宋体" w:hAnsi="Times New Roman" w:eastAsia="宋体" w:cs="Times New Roman"/>
      <w:b/>
      <w:bCs/>
      <w:spacing w:val="20"/>
      <w:w w:val="148"/>
      <w:sz w:val="52"/>
      <w:lang w:val="en-US" w:eastAsia="zh-CN" w:bidi="ar-SA"/>
    </w:rPr>
  </w:style>
  <w:style w:type="paragraph" w:customStyle="1" w:styleId="389">
    <w:name w:val="附录五级条标题"/>
    <w:basedOn w:val="379"/>
    <w:next w:val="236"/>
    <w:qFormat/>
    <w:uiPriority w:val="0"/>
    <w:pPr>
      <w:numPr>
        <w:ilvl w:val="6"/>
      </w:numPr>
      <w:outlineLvl w:val="6"/>
    </w:pPr>
  </w:style>
  <w:style w:type="paragraph" w:customStyle="1" w:styleId="390">
    <w:name w:val="注×："/>
    <w:qFormat/>
    <w:uiPriority w:val="0"/>
    <w:pPr>
      <w:widowControl w:val="0"/>
      <w:numPr>
        <w:ilvl w:val="0"/>
        <w:numId w:val="10"/>
      </w:numPr>
      <w:tabs>
        <w:tab w:val="left" w:pos="630"/>
      </w:tabs>
      <w:autoSpaceDE w:val="0"/>
      <w:autoSpaceDN w:val="0"/>
      <w:spacing w:after="160" w:line="278" w:lineRule="auto"/>
      <w:jc w:val="both"/>
    </w:pPr>
    <w:rPr>
      <w:rFonts w:ascii="宋体" w:hAnsi="Times New Roman" w:eastAsia="宋体" w:cs="Times New Roman"/>
      <w:sz w:val="18"/>
      <w:lang w:val="en-US" w:eastAsia="zh-CN" w:bidi="ar-SA"/>
    </w:rPr>
  </w:style>
  <w:style w:type="paragraph" w:customStyle="1" w:styleId="391">
    <w:name w:val="封面标准文稿类别"/>
    <w:qFormat/>
    <w:uiPriority w:val="0"/>
    <w:pPr>
      <w:spacing w:before="440" w:after="160" w:line="400" w:lineRule="exact"/>
      <w:jc w:val="center"/>
    </w:pPr>
    <w:rPr>
      <w:rFonts w:ascii="宋体" w:hAnsi="Times New Roman" w:eastAsia="宋体" w:cs="Times New Roman"/>
      <w:sz w:val="24"/>
      <w:lang w:val="en-US" w:eastAsia="zh-CN" w:bidi="ar-SA"/>
    </w:rPr>
  </w:style>
  <w:style w:type="paragraph" w:customStyle="1" w:styleId="392">
    <w:name w:val="标准书脚_奇数页"/>
    <w:qFormat/>
    <w:uiPriority w:val="0"/>
    <w:pPr>
      <w:spacing w:before="120" w:after="160" w:line="278" w:lineRule="auto"/>
      <w:jc w:val="right"/>
    </w:pPr>
    <w:rPr>
      <w:rFonts w:ascii="Times New Roman" w:hAnsi="Times New Roman" w:eastAsia="宋体" w:cs="Times New Roman"/>
      <w:sz w:val="18"/>
      <w:lang w:val="en-US" w:eastAsia="zh-CN" w:bidi="ar-SA"/>
    </w:rPr>
  </w:style>
  <w:style w:type="paragraph" w:customStyle="1" w:styleId="393">
    <w:name w:val="参考文献、索引标题"/>
    <w:basedOn w:val="345"/>
    <w:next w:val="1"/>
    <w:qFormat/>
    <w:uiPriority w:val="0"/>
    <w:pPr>
      <w:numPr>
        <w:numId w:val="0"/>
      </w:numPr>
      <w:spacing w:after="200"/>
    </w:pPr>
    <w:rPr>
      <w:sz w:val="21"/>
    </w:rPr>
  </w:style>
  <w:style w:type="paragraph" w:customStyle="1" w:styleId="394">
    <w:name w:val="标准书脚_偶数页"/>
    <w:qFormat/>
    <w:uiPriority w:val="0"/>
    <w:pPr>
      <w:spacing w:before="120" w:after="160" w:line="278" w:lineRule="auto"/>
      <w:jc w:val="both"/>
    </w:pPr>
    <w:rPr>
      <w:rFonts w:ascii="Times New Roman" w:hAnsi="Times New Roman" w:eastAsia="宋体" w:cs="Times New Roman"/>
      <w:sz w:val="18"/>
      <w:lang w:val="en-US" w:eastAsia="zh-CN" w:bidi="ar-SA"/>
    </w:rPr>
  </w:style>
  <w:style w:type="paragraph" w:customStyle="1" w:styleId="395">
    <w:name w:val="标准标志"/>
    <w:next w:val="1"/>
    <w:qFormat/>
    <w:uiPriority w:val="0"/>
    <w:pPr>
      <w:shd w:val="solid" w:color="FFFFFF" w:fill="FFFFFF"/>
      <w:spacing w:after="160" w:line="240" w:lineRule="atLeast"/>
      <w:jc w:val="right"/>
    </w:pPr>
    <w:rPr>
      <w:rFonts w:ascii="Times New Roman" w:hAnsi="Times New Roman" w:eastAsia="宋体" w:cs="Times New Roman"/>
      <w:b/>
      <w:w w:val="130"/>
      <w:sz w:val="96"/>
      <w:lang w:val="en-US" w:eastAsia="zh-CN" w:bidi="ar-SA"/>
    </w:rPr>
  </w:style>
  <w:style w:type="paragraph" w:customStyle="1" w:styleId="396">
    <w:name w:val="示例×："/>
    <w:basedOn w:val="1"/>
    <w:next w:val="1"/>
    <w:qFormat/>
    <w:uiPriority w:val="0"/>
    <w:pPr>
      <w:tabs>
        <w:tab w:val="left" w:pos="630"/>
        <w:tab w:val="left" w:pos="760"/>
      </w:tabs>
      <w:autoSpaceDE w:val="0"/>
      <w:autoSpaceDN w:val="0"/>
      <w:ind w:left="20" w:firstLine="380"/>
    </w:pPr>
    <w:rPr>
      <w:rFonts w:ascii="宋体"/>
      <w:kern w:val="0"/>
      <w:sz w:val="18"/>
      <w:szCs w:val="20"/>
    </w:rPr>
  </w:style>
  <w:style w:type="character" w:customStyle="1" w:styleId="397">
    <w:name w:val="Char Char33"/>
    <w:qFormat/>
    <w:uiPriority w:val="0"/>
    <w:rPr>
      <w:rFonts w:eastAsia="宋体"/>
      <w:b/>
      <w:bCs/>
      <w:kern w:val="44"/>
      <w:sz w:val="44"/>
      <w:szCs w:val="44"/>
      <w:lang w:val="en-US" w:eastAsia="zh-CN" w:bidi="ar-SA"/>
    </w:rPr>
  </w:style>
  <w:style w:type="character" w:customStyle="1" w:styleId="398">
    <w:name w:val="Char Char32"/>
    <w:qFormat/>
    <w:uiPriority w:val="0"/>
    <w:rPr>
      <w:rFonts w:ascii="Arial" w:hAnsi="Arial" w:eastAsia="黑体"/>
      <w:b/>
      <w:bCs/>
      <w:sz w:val="32"/>
      <w:szCs w:val="32"/>
      <w:lang w:bidi="ar-SA"/>
    </w:rPr>
  </w:style>
  <w:style w:type="character" w:customStyle="1" w:styleId="399">
    <w:name w:val="Char Char35"/>
    <w:qFormat/>
    <w:uiPriority w:val="0"/>
    <w:rPr>
      <w:rFonts w:eastAsia="宋体"/>
      <w:b/>
      <w:bCs/>
      <w:kern w:val="44"/>
      <w:sz w:val="44"/>
      <w:szCs w:val="44"/>
      <w:lang w:val="en-US" w:eastAsia="zh-CN" w:bidi="ar-SA"/>
    </w:rPr>
  </w:style>
  <w:style w:type="character" w:customStyle="1" w:styleId="400">
    <w:name w:val="Char Char34"/>
    <w:qFormat/>
    <w:uiPriority w:val="0"/>
    <w:rPr>
      <w:rFonts w:ascii="Arial" w:hAnsi="Arial" w:eastAsia="黑体"/>
      <w:b/>
      <w:bCs/>
      <w:sz w:val="32"/>
      <w:szCs w:val="32"/>
      <w:lang w:bidi="ar-SA"/>
    </w:rPr>
  </w:style>
  <w:style w:type="paragraph" w:customStyle="1" w:styleId="401">
    <w:name w:val="标准正文 S"/>
    <w:basedOn w:val="1"/>
    <w:qFormat/>
    <w:uiPriority w:val="0"/>
    <w:pPr>
      <w:spacing w:beforeLines="50" w:afterLines="50" w:line="360" w:lineRule="auto"/>
      <w:ind w:firstLine="480"/>
      <w:jc w:val="left"/>
    </w:pPr>
    <w:rPr>
      <w:rFonts w:ascii="Calibri" w:hAnsi="Calibri"/>
      <w:sz w:val="24"/>
    </w:rPr>
  </w:style>
  <w:style w:type="paragraph" w:customStyle="1" w:styleId="402">
    <w:name w:val="*正文"/>
    <w:basedOn w:val="1"/>
    <w:qFormat/>
    <w:uiPriority w:val="0"/>
    <w:pPr>
      <w:spacing w:line="360" w:lineRule="auto"/>
      <w:ind w:firstLine="482"/>
      <w:jc w:val="left"/>
    </w:pPr>
    <w:rPr>
      <w:rFonts w:ascii="宋体" w:hAnsi="宋体"/>
      <w:kern w:val="0"/>
      <w:sz w:val="24"/>
      <w:szCs w:val="20"/>
    </w:rPr>
  </w:style>
  <w:style w:type="character" w:customStyle="1" w:styleId="403">
    <w:name w:val="Body text|3_"/>
    <w:basedOn w:val="55"/>
    <w:link w:val="404"/>
    <w:qFormat/>
    <w:uiPriority w:val="0"/>
    <w:rPr>
      <w:rFonts w:ascii="宋体" w:hAnsi="宋体" w:eastAsia="宋体"/>
      <w:sz w:val="34"/>
      <w:szCs w:val="34"/>
      <w:lang w:bidi="ar-SA"/>
    </w:rPr>
  </w:style>
  <w:style w:type="paragraph" w:customStyle="1" w:styleId="404">
    <w:name w:val="Body text|3"/>
    <w:basedOn w:val="1"/>
    <w:link w:val="403"/>
    <w:qFormat/>
    <w:uiPriority w:val="0"/>
    <w:pPr>
      <w:spacing w:after="460"/>
      <w:jc w:val="center"/>
    </w:pPr>
    <w:rPr>
      <w:rFonts w:ascii="宋体" w:hAnsi="宋体"/>
      <w:kern w:val="0"/>
      <w:sz w:val="34"/>
      <w:szCs w:val="34"/>
    </w:rPr>
  </w:style>
  <w:style w:type="character" w:customStyle="1" w:styleId="405">
    <w:name w:val="Body text|1_"/>
    <w:basedOn w:val="55"/>
    <w:link w:val="406"/>
    <w:qFormat/>
    <w:uiPriority w:val="0"/>
    <w:rPr>
      <w:rFonts w:ascii="宋体" w:hAnsi="宋体" w:eastAsia="宋体"/>
      <w:sz w:val="30"/>
      <w:szCs w:val="30"/>
      <w:lang w:bidi="ar-SA"/>
    </w:rPr>
  </w:style>
  <w:style w:type="paragraph" w:customStyle="1" w:styleId="406">
    <w:name w:val="Body text|1"/>
    <w:basedOn w:val="1"/>
    <w:link w:val="405"/>
    <w:qFormat/>
    <w:uiPriority w:val="0"/>
    <w:pPr>
      <w:spacing w:line="353" w:lineRule="auto"/>
      <w:ind w:firstLine="400"/>
      <w:jc w:val="left"/>
    </w:pPr>
    <w:rPr>
      <w:rFonts w:ascii="宋体" w:hAnsi="宋体"/>
      <w:kern w:val="0"/>
      <w:sz w:val="30"/>
      <w:szCs w:val="30"/>
    </w:rPr>
  </w:style>
  <w:style w:type="character" w:customStyle="1" w:styleId="407">
    <w:name w:val="Char Char37"/>
    <w:qFormat/>
    <w:uiPriority w:val="0"/>
    <w:rPr>
      <w:rFonts w:eastAsia="宋体"/>
      <w:b/>
      <w:bCs/>
      <w:kern w:val="44"/>
      <w:sz w:val="44"/>
      <w:szCs w:val="44"/>
      <w:lang w:val="en-US" w:eastAsia="zh-CN" w:bidi="ar-SA"/>
    </w:rPr>
  </w:style>
  <w:style w:type="character" w:customStyle="1" w:styleId="408">
    <w:name w:val="Char Char36"/>
    <w:qFormat/>
    <w:uiPriority w:val="0"/>
    <w:rPr>
      <w:rFonts w:ascii="Arial" w:hAnsi="Arial" w:eastAsia="黑体"/>
      <w:b/>
      <w:bCs/>
      <w:sz w:val="32"/>
      <w:szCs w:val="32"/>
      <w:lang w:bidi="ar-SA"/>
    </w:rPr>
  </w:style>
  <w:style w:type="character" w:customStyle="1" w:styleId="409">
    <w:name w:val="无间隔 字符"/>
    <w:qFormat/>
    <w:uiPriority w:val="0"/>
    <w:rPr>
      <w:sz w:val="22"/>
      <w:szCs w:val="22"/>
      <w:lang w:val="en-US" w:eastAsia="zh-CN" w:bidi="ar-SA"/>
    </w:rPr>
  </w:style>
  <w:style w:type="character" w:customStyle="1" w:styleId="410">
    <w:name w:val="正文文本 2 字符"/>
    <w:qFormat/>
    <w:uiPriority w:val="0"/>
    <w:rPr>
      <w:rFonts w:eastAsia="宋体"/>
      <w:kern w:val="2"/>
      <w:sz w:val="21"/>
      <w:szCs w:val="24"/>
      <w:lang w:val="en-US" w:eastAsia="zh-CN" w:bidi="ar-SA"/>
    </w:rPr>
  </w:style>
  <w:style w:type="character" w:customStyle="1" w:styleId="411">
    <w:name w:val="HTML 地址 字符"/>
    <w:qFormat/>
    <w:locked/>
    <w:uiPriority w:val="0"/>
    <w:rPr>
      <w:rFonts w:ascii="宋体" w:eastAsia="宋体"/>
      <w:i/>
      <w:iCs/>
      <w:kern w:val="21"/>
      <w:sz w:val="21"/>
      <w:szCs w:val="21"/>
      <w:lang w:val="en-US" w:eastAsia="zh-CN" w:bidi="ar-SA"/>
    </w:rPr>
  </w:style>
  <w:style w:type="character" w:customStyle="1" w:styleId="412">
    <w:name w:val="标题 6 字符"/>
    <w:qFormat/>
    <w:uiPriority w:val="0"/>
    <w:rPr>
      <w:rFonts w:ascii="Arial" w:hAnsi="Arial" w:eastAsia="黑体"/>
      <w:b/>
      <w:kern w:val="2"/>
      <w:sz w:val="24"/>
      <w:szCs w:val="24"/>
      <w:lang w:val="en-US" w:eastAsia="zh-CN" w:bidi="ar-SA"/>
    </w:rPr>
  </w:style>
  <w:style w:type="character" w:customStyle="1" w:styleId="413">
    <w:name w:val="日期 字符"/>
    <w:qFormat/>
    <w:uiPriority w:val="0"/>
    <w:rPr>
      <w:rFonts w:ascii="宋体" w:hAnsi="Courier New" w:eastAsia="宋体" w:cs="Courier New"/>
      <w:kern w:val="2"/>
      <w:sz w:val="21"/>
      <w:szCs w:val="21"/>
      <w:lang w:val="en-US" w:eastAsia="zh-CN" w:bidi="ar-SA"/>
    </w:rPr>
  </w:style>
  <w:style w:type="character" w:customStyle="1" w:styleId="414">
    <w:name w:val="正文文本缩进 2 字符"/>
    <w:qFormat/>
    <w:uiPriority w:val="0"/>
    <w:rPr>
      <w:rFonts w:eastAsia="宋体"/>
      <w:kern w:val="2"/>
      <w:sz w:val="32"/>
      <w:lang w:val="en-US" w:eastAsia="zh-CN" w:bidi="ar-SA"/>
    </w:rPr>
  </w:style>
  <w:style w:type="character" w:customStyle="1" w:styleId="415">
    <w:name w:val="标题 1 字符"/>
    <w:qFormat/>
    <w:uiPriority w:val="0"/>
    <w:rPr>
      <w:rFonts w:eastAsia="宋体"/>
      <w:b/>
      <w:bCs/>
      <w:kern w:val="44"/>
      <w:sz w:val="44"/>
      <w:szCs w:val="44"/>
      <w:lang w:val="en-US" w:eastAsia="zh-CN" w:bidi="ar-SA"/>
    </w:rPr>
  </w:style>
  <w:style w:type="character" w:customStyle="1" w:styleId="416">
    <w:name w:val="正文文本缩进 3 字符"/>
    <w:qFormat/>
    <w:uiPriority w:val="0"/>
    <w:rPr>
      <w:rFonts w:eastAsia="宋体"/>
      <w:kern w:val="2"/>
      <w:sz w:val="16"/>
      <w:szCs w:val="16"/>
      <w:lang w:val="en-US" w:eastAsia="zh-CN" w:bidi="ar-SA"/>
    </w:rPr>
  </w:style>
  <w:style w:type="character" w:customStyle="1" w:styleId="417">
    <w:name w:val="标题 2 字符"/>
    <w:qFormat/>
    <w:uiPriority w:val="0"/>
    <w:rPr>
      <w:rFonts w:ascii="Arial" w:hAnsi="Arial" w:eastAsia="黑体"/>
      <w:b/>
      <w:bCs/>
      <w:sz w:val="32"/>
      <w:szCs w:val="32"/>
      <w:lang w:bidi="ar-SA"/>
    </w:rPr>
  </w:style>
  <w:style w:type="character" w:customStyle="1" w:styleId="418">
    <w:name w:val="标题 3 字符"/>
    <w:qFormat/>
    <w:uiPriority w:val="0"/>
    <w:rPr>
      <w:rFonts w:eastAsia="宋体"/>
      <w:b/>
      <w:bCs/>
      <w:sz w:val="32"/>
      <w:szCs w:val="32"/>
      <w:lang w:bidi="ar-SA"/>
    </w:rPr>
  </w:style>
  <w:style w:type="character" w:customStyle="1" w:styleId="419">
    <w:name w:val="标题 4 字符"/>
    <w:qFormat/>
    <w:uiPriority w:val="0"/>
    <w:rPr>
      <w:rFonts w:ascii="Arial" w:hAnsi="Arial" w:eastAsia="黑体"/>
      <w:sz w:val="28"/>
      <w:lang w:bidi="ar-SA"/>
    </w:rPr>
  </w:style>
  <w:style w:type="character" w:customStyle="1" w:styleId="420">
    <w:name w:val="标题 5 字符"/>
    <w:qFormat/>
    <w:uiPriority w:val="0"/>
    <w:rPr>
      <w:rFonts w:eastAsia="宋体"/>
      <w:b/>
      <w:kern w:val="2"/>
      <w:sz w:val="28"/>
      <w:szCs w:val="24"/>
      <w:lang w:val="en-US" w:eastAsia="zh-CN" w:bidi="ar-SA"/>
    </w:rPr>
  </w:style>
  <w:style w:type="character" w:customStyle="1" w:styleId="421">
    <w:name w:val="标题 7 字符"/>
    <w:qFormat/>
    <w:uiPriority w:val="0"/>
    <w:rPr>
      <w:rFonts w:eastAsia="宋体"/>
      <w:b/>
      <w:kern w:val="2"/>
      <w:sz w:val="24"/>
      <w:szCs w:val="24"/>
      <w:lang w:val="en-US" w:eastAsia="zh-CN" w:bidi="ar-SA"/>
    </w:rPr>
  </w:style>
  <w:style w:type="character" w:customStyle="1" w:styleId="422">
    <w:name w:val="标题 8 字符"/>
    <w:qFormat/>
    <w:uiPriority w:val="0"/>
    <w:rPr>
      <w:rFonts w:ascii="Arial" w:hAnsi="Arial" w:eastAsia="黑体"/>
      <w:kern w:val="2"/>
      <w:sz w:val="24"/>
      <w:szCs w:val="24"/>
      <w:lang w:val="en-US" w:eastAsia="zh-CN" w:bidi="ar-SA"/>
    </w:rPr>
  </w:style>
  <w:style w:type="character" w:customStyle="1" w:styleId="423">
    <w:name w:val="标题 9 字符"/>
    <w:qFormat/>
    <w:uiPriority w:val="0"/>
    <w:rPr>
      <w:rFonts w:ascii="Arial" w:hAnsi="Arial" w:eastAsia="黑体"/>
      <w:kern w:val="2"/>
      <w:sz w:val="21"/>
      <w:szCs w:val="24"/>
      <w:lang w:val="en-US" w:eastAsia="zh-CN" w:bidi="ar-SA"/>
    </w:rPr>
  </w:style>
  <w:style w:type="character" w:customStyle="1" w:styleId="424">
    <w:name w:val="正文文本 3 字符"/>
    <w:qFormat/>
    <w:uiPriority w:val="0"/>
    <w:rPr>
      <w:rFonts w:eastAsia="宋体"/>
      <w:b/>
      <w:bCs/>
      <w:kern w:val="2"/>
      <w:sz w:val="24"/>
      <w:szCs w:val="24"/>
      <w:lang w:val="en-US" w:eastAsia="zh-CN" w:bidi="ar-SA"/>
    </w:rPr>
  </w:style>
  <w:style w:type="character" w:customStyle="1" w:styleId="425">
    <w:name w:val="页眉 字符"/>
    <w:qFormat/>
    <w:uiPriority w:val="0"/>
    <w:rPr>
      <w:rFonts w:eastAsia="宋体"/>
      <w:kern w:val="2"/>
      <w:sz w:val="18"/>
      <w:szCs w:val="18"/>
      <w:lang w:val="en-US" w:eastAsia="zh-CN" w:bidi="ar-SA"/>
    </w:rPr>
  </w:style>
  <w:style w:type="character" w:customStyle="1" w:styleId="426">
    <w:name w:val="标题 字符"/>
    <w:qFormat/>
    <w:uiPriority w:val="0"/>
    <w:rPr>
      <w:rFonts w:ascii="Arial" w:hAnsi="Arial" w:eastAsia="宋体"/>
      <w:b/>
      <w:bCs/>
      <w:kern w:val="2"/>
      <w:sz w:val="32"/>
      <w:szCs w:val="32"/>
      <w:lang w:bidi="ar-SA"/>
    </w:rPr>
  </w:style>
  <w:style w:type="character" w:customStyle="1" w:styleId="427">
    <w:name w:val="称呼 字符"/>
    <w:qFormat/>
    <w:uiPriority w:val="0"/>
    <w:rPr>
      <w:kern w:val="2"/>
      <w:sz w:val="28"/>
      <w:szCs w:val="24"/>
    </w:rPr>
  </w:style>
  <w:style w:type="character" w:customStyle="1" w:styleId="428">
    <w:name w:val="尾注文本 字符"/>
    <w:qFormat/>
    <w:uiPriority w:val="0"/>
    <w:rPr>
      <w:rFonts w:ascii="Calibri" w:hAnsi="Calibri"/>
      <w:kern w:val="2"/>
      <w:sz w:val="21"/>
      <w:szCs w:val="22"/>
    </w:rPr>
  </w:style>
  <w:style w:type="character" w:customStyle="1" w:styleId="429">
    <w:name w:val="纯文本 字符1"/>
    <w:qFormat/>
    <w:uiPriority w:val="0"/>
    <w:rPr>
      <w:rFonts w:ascii="宋体" w:hAnsi="Courier New" w:eastAsia="宋体" w:cs="Courier New"/>
      <w:kern w:val="2"/>
      <w:sz w:val="21"/>
      <w:szCs w:val="21"/>
      <w:lang w:val="en-US" w:eastAsia="zh-CN" w:bidi="ar-SA"/>
    </w:rPr>
  </w:style>
  <w:style w:type="character" w:customStyle="1" w:styleId="430">
    <w:name w:val="页脚 字符"/>
    <w:qFormat/>
    <w:uiPriority w:val="0"/>
    <w:rPr>
      <w:rFonts w:eastAsia="宋体"/>
      <w:kern w:val="2"/>
      <w:sz w:val="18"/>
      <w:szCs w:val="18"/>
      <w:lang w:val="en-US" w:eastAsia="zh-CN" w:bidi="ar-SA"/>
    </w:rPr>
  </w:style>
  <w:style w:type="character" w:customStyle="1" w:styleId="431">
    <w:name w:val="正文文本 字符"/>
    <w:qFormat/>
    <w:uiPriority w:val="0"/>
    <w:rPr>
      <w:rFonts w:eastAsia="宋体"/>
      <w:kern w:val="2"/>
      <w:sz w:val="24"/>
      <w:szCs w:val="24"/>
      <w:lang w:val="en-US" w:eastAsia="zh-CN" w:bidi="ar-SA"/>
    </w:rPr>
  </w:style>
  <w:style w:type="character" w:customStyle="1" w:styleId="432">
    <w:name w:val="HTML 预设格式 字符"/>
    <w:qFormat/>
    <w:uiPriority w:val="0"/>
    <w:rPr>
      <w:rFonts w:ascii="黑体" w:hAnsi="Courier New" w:eastAsia="黑体" w:cs="Courier New"/>
      <w:lang w:val="en-US" w:eastAsia="zh-CN" w:bidi="ar-SA"/>
    </w:rPr>
  </w:style>
  <w:style w:type="character" w:customStyle="1" w:styleId="433">
    <w:name w:val="批注文字 字符"/>
    <w:qFormat/>
    <w:uiPriority w:val="0"/>
    <w:rPr>
      <w:rFonts w:eastAsia="宋体"/>
      <w:sz w:val="24"/>
      <w:lang w:bidi="ar-SA"/>
    </w:rPr>
  </w:style>
  <w:style w:type="character" w:customStyle="1" w:styleId="434">
    <w:name w:val="正文文本缩进 字符"/>
    <w:qFormat/>
    <w:uiPriority w:val="0"/>
    <w:rPr>
      <w:rFonts w:ascii="仿宋_GB2312" w:eastAsia="仿宋_GB2312"/>
      <w:kern w:val="2"/>
      <w:sz w:val="32"/>
      <w:lang w:val="en-US" w:eastAsia="zh-CN" w:bidi="ar-SA"/>
    </w:rPr>
  </w:style>
  <w:style w:type="character" w:customStyle="1" w:styleId="435">
    <w:name w:val="脚注文本 字符"/>
    <w:qFormat/>
    <w:locked/>
    <w:uiPriority w:val="0"/>
    <w:rPr>
      <w:rFonts w:ascii="宋体" w:eastAsia="宋体"/>
      <w:kern w:val="21"/>
      <w:sz w:val="18"/>
      <w:szCs w:val="18"/>
      <w:lang w:val="en-US" w:eastAsia="zh-CN" w:bidi="ar-SA"/>
    </w:rPr>
  </w:style>
  <w:style w:type="character" w:customStyle="1" w:styleId="436">
    <w:name w:val="文档结构图 字符"/>
    <w:qFormat/>
    <w:uiPriority w:val="0"/>
    <w:rPr>
      <w:rFonts w:eastAsia="宋体"/>
      <w:kern w:val="2"/>
      <w:sz w:val="21"/>
      <w:szCs w:val="24"/>
      <w:lang w:val="en-US" w:eastAsia="zh-CN" w:bidi="ar-SA"/>
    </w:rPr>
  </w:style>
  <w:style w:type="character" w:customStyle="1" w:styleId="437">
    <w:name w:val="标题 3 字符1"/>
    <w:qFormat/>
    <w:uiPriority w:val="0"/>
    <w:rPr>
      <w:rFonts w:eastAsia="宋体"/>
      <w:b/>
      <w:bCs/>
      <w:sz w:val="32"/>
      <w:szCs w:val="32"/>
      <w:lang w:bidi="ar-SA"/>
    </w:rPr>
  </w:style>
  <w:style w:type="character" w:customStyle="1" w:styleId="438">
    <w:name w:val="纯文本 字符2"/>
    <w:qFormat/>
    <w:uiPriority w:val="0"/>
    <w:rPr>
      <w:rFonts w:ascii="宋体" w:hAnsi="Courier New" w:eastAsia="宋体" w:cs="Courier New"/>
      <w:kern w:val="2"/>
      <w:sz w:val="21"/>
      <w:szCs w:val="21"/>
      <w:lang w:val="en-US" w:eastAsia="zh-CN" w:bidi="ar-SA"/>
    </w:rPr>
  </w:style>
  <w:style w:type="character" w:customStyle="1" w:styleId="439">
    <w:name w:val="标题 5 字符1"/>
    <w:qFormat/>
    <w:uiPriority w:val="0"/>
    <w:rPr>
      <w:rFonts w:eastAsia="宋体"/>
      <w:b/>
      <w:kern w:val="2"/>
      <w:sz w:val="28"/>
      <w:szCs w:val="24"/>
      <w:lang w:val="en-US" w:eastAsia="zh-CN" w:bidi="ar-SA"/>
    </w:rPr>
  </w:style>
  <w:style w:type="character" w:customStyle="1" w:styleId="440">
    <w:name w:val="标题 8 字符1"/>
    <w:qFormat/>
    <w:uiPriority w:val="0"/>
    <w:rPr>
      <w:rFonts w:ascii="Arial" w:hAnsi="Arial" w:eastAsia="黑体"/>
      <w:kern w:val="2"/>
      <w:sz w:val="24"/>
      <w:szCs w:val="24"/>
      <w:lang w:val="en-US" w:eastAsia="zh-CN" w:bidi="ar-SA"/>
    </w:rPr>
  </w:style>
  <w:style w:type="character" w:customStyle="1" w:styleId="441">
    <w:name w:val="文档结构图 字符1"/>
    <w:qFormat/>
    <w:uiPriority w:val="0"/>
    <w:rPr>
      <w:rFonts w:eastAsia="宋体"/>
      <w:kern w:val="2"/>
      <w:sz w:val="21"/>
      <w:szCs w:val="24"/>
      <w:lang w:val="en-US" w:eastAsia="zh-CN" w:bidi="ar-SA"/>
    </w:rPr>
  </w:style>
  <w:style w:type="character" w:customStyle="1" w:styleId="442">
    <w:name w:val="标题 1 字符1"/>
    <w:qFormat/>
    <w:uiPriority w:val="0"/>
    <w:rPr>
      <w:rFonts w:eastAsia="宋体"/>
      <w:b/>
      <w:bCs/>
      <w:kern w:val="44"/>
      <w:sz w:val="44"/>
      <w:szCs w:val="44"/>
      <w:lang w:val="en-US" w:eastAsia="zh-CN" w:bidi="ar-SA"/>
    </w:rPr>
  </w:style>
  <w:style w:type="character" w:customStyle="1" w:styleId="443">
    <w:name w:val="页眉 字符1"/>
    <w:qFormat/>
    <w:uiPriority w:val="0"/>
    <w:rPr>
      <w:rFonts w:eastAsia="宋体"/>
      <w:kern w:val="2"/>
      <w:sz w:val="18"/>
      <w:szCs w:val="18"/>
      <w:lang w:val="en-US" w:eastAsia="zh-CN" w:bidi="ar-SA"/>
    </w:rPr>
  </w:style>
  <w:style w:type="character" w:customStyle="1" w:styleId="444">
    <w:name w:val="正文文本缩进 3 字符1"/>
    <w:qFormat/>
    <w:uiPriority w:val="0"/>
    <w:rPr>
      <w:rFonts w:eastAsia="宋体"/>
      <w:kern w:val="2"/>
      <w:sz w:val="16"/>
      <w:szCs w:val="16"/>
      <w:lang w:val="en-US" w:eastAsia="zh-CN" w:bidi="ar-SA"/>
    </w:rPr>
  </w:style>
  <w:style w:type="character" w:customStyle="1" w:styleId="445">
    <w:name w:val="页脚 字符1"/>
    <w:qFormat/>
    <w:uiPriority w:val="0"/>
    <w:rPr>
      <w:rFonts w:eastAsia="宋体"/>
      <w:kern w:val="2"/>
      <w:sz w:val="18"/>
      <w:szCs w:val="18"/>
      <w:lang w:val="en-US" w:eastAsia="zh-CN" w:bidi="ar-SA"/>
    </w:rPr>
  </w:style>
  <w:style w:type="character" w:customStyle="1" w:styleId="446">
    <w:name w:val="正文文本缩进 字符1"/>
    <w:qFormat/>
    <w:uiPriority w:val="0"/>
    <w:rPr>
      <w:rFonts w:ascii="仿宋_GB2312" w:eastAsia="仿宋_GB2312"/>
      <w:kern w:val="2"/>
      <w:sz w:val="32"/>
      <w:lang w:val="en-US" w:eastAsia="zh-CN" w:bidi="ar-SA"/>
    </w:rPr>
  </w:style>
  <w:style w:type="character" w:customStyle="1" w:styleId="447">
    <w:name w:val="标题 9 字符1"/>
    <w:qFormat/>
    <w:uiPriority w:val="0"/>
    <w:rPr>
      <w:rFonts w:ascii="Arial" w:hAnsi="Arial" w:eastAsia="黑体"/>
      <w:kern w:val="2"/>
      <w:sz w:val="21"/>
      <w:szCs w:val="24"/>
      <w:lang w:val="en-US" w:eastAsia="zh-CN" w:bidi="ar-SA"/>
    </w:rPr>
  </w:style>
  <w:style w:type="character" w:customStyle="1" w:styleId="448">
    <w:name w:val="正文文本缩进 2 字符1"/>
    <w:qFormat/>
    <w:uiPriority w:val="0"/>
    <w:rPr>
      <w:rFonts w:eastAsia="宋体"/>
      <w:kern w:val="2"/>
      <w:sz w:val="32"/>
      <w:lang w:val="en-US" w:eastAsia="zh-CN" w:bidi="ar-SA"/>
    </w:rPr>
  </w:style>
  <w:style w:type="character" w:customStyle="1" w:styleId="449">
    <w:name w:val="HTML 预设格式 字符1"/>
    <w:qFormat/>
    <w:uiPriority w:val="0"/>
    <w:rPr>
      <w:rFonts w:ascii="黑体" w:hAnsi="Courier New" w:eastAsia="黑体" w:cs="Courier New"/>
      <w:lang w:val="en-US" w:eastAsia="zh-CN" w:bidi="ar-SA"/>
    </w:rPr>
  </w:style>
  <w:style w:type="character" w:customStyle="1" w:styleId="450">
    <w:name w:val="正文文本 2 字符1"/>
    <w:qFormat/>
    <w:uiPriority w:val="0"/>
    <w:rPr>
      <w:rFonts w:eastAsia="宋体"/>
      <w:kern w:val="2"/>
      <w:sz w:val="21"/>
      <w:szCs w:val="24"/>
      <w:lang w:val="en-US" w:eastAsia="zh-CN" w:bidi="ar-SA"/>
    </w:rPr>
  </w:style>
  <w:style w:type="character" w:customStyle="1" w:styleId="451">
    <w:name w:val="正文文本 字符1"/>
    <w:qFormat/>
    <w:uiPriority w:val="0"/>
    <w:rPr>
      <w:rFonts w:eastAsia="宋体"/>
      <w:kern w:val="2"/>
      <w:sz w:val="24"/>
      <w:szCs w:val="24"/>
      <w:lang w:val="en-US" w:eastAsia="zh-CN" w:bidi="ar-SA"/>
    </w:rPr>
  </w:style>
  <w:style w:type="character" w:customStyle="1" w:styleId="452">
    <w:name w:val="标题 6 字符1"/>
    <w:qFormat/>
    <w:uiPriority w:val="0"/>
    <w:rPr>
      <w:rFonts w:ascii="Arial" w:hAnsi="Arial" w:eastAsia="黑体"/>
      <w:b/>
      <w:kern w:val="2"/>
      <w:sz w:val="24"/>
      <w:szCs w:val="24"/>
      <w:lang w:val="en-US" w:eastAsia="zh-CN" w:bidi="ar-SA"/>
    </w:rPr>
  </w:style>
  <w:style w:type="character" w:customStyle="1" w:styleId="453">
    <w:name w:val="称呼 字符1"/>
    <w:qFormat/>
    <w:uiPriority w:val="0"/>
    <w:rPr>
      <w:kern w:val="2"/>
      <w:sz w:val="28"/>
      <w:szCs w:val="24"/>
    </w:rPr>
  </w:style>
  <w:style w:type="character" w:customStyle="1" w:styleId="454">
    <w:name w:val="标题 4 字符1"/>
    <w:qFormat/>
    <w:uiPriority w:val="0"/>
    <w:rPr>
      <w:rFonts w:ascii="Arial" w:hAnsi="Arial" w:eastAsia="黑体"/>
      <w:sz w:val="28"/>
      <w:lang w:bidi="ar-SA"/>
    </w:rPr>
  </w:style>
  <w:style w:type="character" w:customStyle="1" w:styleId="455">
    <w:name w:val="标题 2 字符1"/>
    <w:qFormat/>
    <w:uiPriority w:val="0"/>
    <w:rPr>
      <w:rFonts w:ascii="Arial" w:hAnsi="Arial" w:eastAsia="黑体"/>
      <w:b/>
      <w:bCs/>
      <w:sz w:val="32"/>
      <w:szCs w:val="32"/>
      <w:lang w:bidi="ar-SA"/>
    </w:rPr>
  </w:style>
  <w:style w:type="character" w:customStyle="1" w:styleId="456">
    <w:name w:val="尾注文本 字符1"/>
    <w:qFormat/>
    <w:uiPriority w:val="0"/>
    <w:rPr>
      <w:rFonts w:ascii="Calibri" w:hAnsi="Calibri"/>
      <w:kern w:val="2"/>
      <w:sz w:val="21"/>
      <w:szCs w:val="22"/>
    </w:rPr>
  </w:style>
  <w:style w:type="character" w:customStyle="1" w:styleId="457">
    <w:name w:val="正文文本 3 字符1"/>
    <w:qFormat/>
    <w:uiPriority w:val="0"/>
    <w:rPr>
      <w:rFonts w:eastAsia="宋体"/>
      <w:b/>
      <w:bCs/>
      <w:kern w:val="2"/>
      <w:sz w:val="24"/>
      <w:szCs w:val="24"/>
      <w:lang w:val="en-US" w:eastAsia="zh-CN" w:bidi="ar-SA"/>
    </w:rPr>
  </w:style>
  <w:style w:type="character" w:customStyle="1" w:styleId="458">
    <w:name w:val="日期 字符1"/>
    <w:qFormat/>
    <w:uiPriority w:val="0"/>
    <w:rPr>
      <w:rFonts w:ascii="宋体" w:hAnsi="Courier New" w:eastAsia="宋体" w:cs="Courier New"/>
      <w:kern w:val="2"/>
      <w:sz w:val="21"/>
      <w:szCs w:val="21"/>
      <w:lang w:val="en-US" w:eastAsia="zh-CN" w:bidi="ar-SA"/>
    </w:rPr>
  </w:style>
  <w:style w:type="character" w:customStyle="1" w:styleId="459">
    <w:name w:val="批注文字 字符1"/>
    <w:qFormat/>
    <w:uiPriority w:val="0"/>
    <w:rPr>
      <w:rFonts w:eastAsia="宋体"/>
      <w:sz w:val="24"/>
      <w:lang w:bidi="ar-SA"/>
    </w:rPr>
  </w:style>
  <w:style w:type="character" w:customStyle="1" w:styleId="460">
    <w:name w:val="标题 字符1"/>
    <w:qFormat/>
    <w:uiPriority w:val="0"/>
    <w:rPr>
      <w:rFonts w:ascii="Arial" w:hAnsi="Arial" w:eastAsia="宋体"/>
      <w:b/>
      <w:bCs/>
      <w:kern w:val="2"/>
      <w:sz w:val="32"/>
      <w:szCs w:val="32"/>
      <w:lang w:bidi="ar-SA"/>
    </w:rPr>
  </w:style>
  <w:style w:type="character" w:customStyle="1" w:styleId="461">
    <w:name w:val="标题 7 字符1"/>
    <w:qFormat/>
    <w:uiPriority w:val="0"/>
    <w:rPr>
      <w:rFonts w:eastAsia="宋体"/>
      <w:b/>
      <w:kern w:val="2"/>
      <w:sz w:val="24"/>
      <w:szCs w:val="24"/>
      <w:lang w:val="en-US" w:eastAsia="zh-CN" w:bidi="ar-SA"/>
    </w:rPr>
  </w:style>
  <w:style w:type="character" w:customStyle="1" w:styleId="462">
    <w:name w:val="HTML 地址 字符1"/>
    <w:qFormat/>
    <w:locked/>
    <w:uiPriority w:val="0"/>
    <w:rPr>
      <w:rFonts w:ascii="宋体" w:eastAsia="宋体"/>
      <w:i/>
      <w:iCs/>
      <w:kern w:val="21"/>
      <w:sz w:val="21"/>
      <w:szCs w:val="21"/>
      <w:lang w:val="en-US" w:eastAsia="zh-CN" w:bidi="ar-SA"/>
    </w:rPr>
  </w:style>
  <w:style w:type="character" w:customStyle="1" w:styleId="463">
    <w:name w:val="无间隔 字符1"/>
    <w:qFormat/>
    <w:uiPriority w:val="0"/>
    <w:rPr>
      <w:sz w:val="22"/>
      <w:szCs w:val="22"/>
      <w:lang w:val="en-US" w:eastAsia="zh-CN" w:bidi="ar-SA"/>
    </w:rPr>
  </w:style>
  <w:style w:type="character" w:customStyle="1" w:styleId="464">
    <w:name w:val="脚注文本 字符1"/>
    <w:qFormat/>
    <w:locked/>
    <w:uiPriority w:val="0"/>
    <w:rPr>
      <w:rFonts w:ascii="宋体" w:eastAsia="宋体"/>
      <w:kern w:val="21"/>
      <w:sz w:val="18"/>
      <w:szCs w:val="18"/>
      <w:lang w:val="en-US" w:eastAsia="zh-CN" w:bidi="ar-SA"/>
    </w:rPr>
  </w:style>
  <w:style w:type="character" w:customStyle="1" w:styleId="465">
    <w:name w:val="批注文字 字符2"/>
    <w:qFormat/>
    <w:uiPriority w:val="0"/>
    <w:rPr>
      <w:rFonts w:eastAsia="宋体"/>
      <w:sz w:val="24"/>
      <w:lang w:bidi="ar-SA"/>
    </w:rPr>
  </w:style>
  <w:style w:type="character" w:customStyle="1" w:styleId="466">
    <w:name w:val="HTML 预设格式 字符2"/>
    <w:qFormat/>
    <w:uiPriority w:val="0"/>
    <w:rPr>
      <w:rFonts w:ascii="黑体" w:hAnsi="Courier New" w:eastAsia="黑体" w:cs="Courier New"/>
      <w:lang w:val="en-US" w:eastAsia="zh-CN" w:bidi="ar-SA"/>
    </w:rPr>
  </w:style>
  <w:style w:type="character" w:customStyle="1" w:styleId="467">
    <w:name w:val="HTML 地址 字符2"/>
    <w:qFormat/>
    <w:locked/>
    <w:uiPriority w:val="0"/>
    <w:rPr>
      <w:rFonts w:ascii="宋体" w:eastAsia="宋体"/>
      <w:i/>
      <w:iCs/>
      <w:kern w:val="21"/>
      <w:sz w:val="21"/>
      <w:szCs w:val="21"/>
      <w:lang w:val="en-US" w:eastAsia="zh-CN" w:bidi="ar-SA"/>
    </w:rPr>
  </w:style>
  <w:style w:type="character" w:customStyle="1" w:styleId="468">
    <w:name w:val="页脚 字符2"/>
    <w:qFormat/>
    <w:uiPriority w:val="0"/>
    <w:rPr>
      <w:rFonts w:eastAsia="宋体"/>
      <w:kern w:val="2"/>
      <w:sz w:val="18"/>
      <w:szCs w:val="18"/>
      <w:lang w:val="en-US" w:eastAsia="zh-CN" w:bidi="ar-SA"/>
    </w:rPr>
  </w:style>
  <w:style w:type="character" w:customStyle="1" w:styleId="469">
    <w:name w:val="标题 5 字符2"/>
    <w:qFormat/>
    <w:uiPriority w:val="0"/>
    <w:rPr>
      <w:rFonts w:eastAsia="宋体"/>
      <w:b/>
      <w:kern w:val="2"/>
      <w:sz w:val="28"/>
      <w:szCs w:val="24"/>
      <w:lang w:val="en-US" w:eastAsia="zh-CN" w:bidi="ar-SA"/>
    </w:rPr>
  </w:style>
  <w:style w:type="character" w:customStyle="1" w:styleId="470">
    <w:name w:val="标题 8 字符2"/>
    <w:qFormat/>
    <w:uiPriority w:val="0"/>
    <w:rPr>
      <w:rFonts w:ascii="Arial" w:hAnsi="Arial" w:eastAsia="黑体"/>
      <w:kern w:val="2"/>
      <w:sz w:val="24"/>
      <w:szCs w:val="24"/>
      <w:lang w:val="en-US" w:eastAsia="zh-CN" w:bidi="ar-SA"/>
    </w:rPr>
  </w:style>
  <w:style w:type="character" w:customStyle="1" w:styleId="471">
    <w:name w:val="尾注文本 字符2"/>
    <w:qFormat/>
    <w:uiPriority w:val="0"/>
    <w:rPr>
      <w:rFonts w:ascii="Calibri" w:hAnsi="Calibri"/>
      <w:kern w:val="2"/>
      <w:sz w:val="21"/>
      <w:szCs w:val="22"/>
    </w:rPr>
  </w:style>
  <w:style w:type="character" w:customStyle="1" w:styleId="472">
    <w:name w:val="正文文本 2 字符2"/>
    <w:qFormat/>
    <w:uiPriority w:val="0"/>
    <w:rPr>
      <w:rFonts w:eastAsia="宋体"/>
      <w:kern w:val="2"/>
      <w:sz w:val="21"/>
      <w:szCs w:val="24"/>
      <w:lang w:val="en-US" w:eastAsia="zh-CN" w:bidi="ar-SA"/>
    </w:rPr>
  </w:style>
  <w:style w:type="character" w:customStyle="1" w:styleId="473">
    <w:name w:val="标题 1 字符2"/>
    <w:qFormat/>
    <w:uiPriority w:val="0"/>
    <w:rPr>
      <w:rFonts w:eastAsia="宋体"/>
      <w:b/>
      <w:bCs/>
      <w:kern w:val="44"/>
      <w:sz w:val="44"/>
      <w:szCs w:val="44"/>
      <w:lang w:val="en-US" w:eastAsia="zh-CN" w:bidi="ar-SA"/>
    </w:rPr>
  </w:style>
  <w:style w:type="character" w:customStyle="1" w:styleId="474">
    <w:name w:val="标题 9 字符2"/>
    <w:qFormat/>
    <w:uiPriority w:val="0"/>
    <w:rPr>
      <w:rFonts w:ascii="Arial" w:hAnsi="Arial" w:eastAsia="黑体"/>
      <w:kern w:val="2"/>
      <w:sz w:val="21"/>
      <w:szCs w:val="24"/>
      <w:lang w:val="en-US" w:eastAsia="zh-CN" w:bidi="ar-SA"/>
    </w:rPr>
  </w:style>
  <w:style w:type="character" w:customStyle="1" w:styleId="475">
    <w:name w:val="标题 6 字符2"/>
    <w:qFormat/>
    <w:uiPriority w:val="0"/>
    <w:rPr>
      <w:rFonts w:ascii="Arial" w:hAnsi="Arial" w:eastAsia="黑体"/>
      <w:b/>
      <w:kern w:val="2"/>
      <w:sz w:val="24"/>
      <w:szCs w:val="24"/>
      <w:lang w:val="en-US" w:eastAsia="zh-CN" w:bidi="ar-SA"/>
    </w:rPr>
  </w:style>
  <w:style w:type="character" w:customStyle="1" w:styleId="476">
    <w:name w:val="正文文本缩进 3 字符2"/>
    <w:qFormat/>
    <w:uiPriority w:val="0"/>
    <w:rPr>
      <w:rFonts w:eastAsia="宋体"/>
      <w:kern w:val="2"/>
      <w:sz w:val="16"/>
      <w:szCs w:val="16"/>
      <w:lang w:val="en-US" w:eastAsia="zh-CN" w:bidi="ar-SA"/>
    </w:rPr>
  </w:style>
  <w:style w:type="character" w:customStyle="1" w:styleId="477">
    <w:name w:val="标题 4 字符2"/>
    <w:qFormat/>
    <w:uiPriority w:val="0"/>
    <w:rPr>
      <w:rFonts w:ascii="Arial" w:hAnsi="Arial" w:eastAsia="黑体"/>
      <w:sz w:val="28"/>
      <w:lang w:bidi="ar-SA"/>
    </w:rPr>
  </w:style>
  <w:style w:type="character" w:customStyle="1" w:styleId="478">
    <w:name w:val="标题 字符2"/>
    <w:qFormat/>
    <w:uiPriority w:val="0"/>
    <w:rPr>
      <w:rFonts w:ascii="Arial" w:hAnsi="Arial" w:eastAsia="宋体"/>
      <w:b/>
      <w:bCs/>
      <w:kern w:val="2"/>
      <w:sz w:val="32"/>
      <w:szCs w:val="32"/>
      <w:lang w:bidi="ar-SA"/>
    </w:rPr>
  </w:style>
  <w:style w:type="character" w:customStyle="1" w:styleId="479">
    <w:name w:val="文档结构图 字符2"/>
    <w:qFormat/>
    <w:uiPriority w:val="0"/>
    <w:rPr>
      <w:rFonts w:eastAsia="宋体"/>
      <w:kern w:val="2"/>
      <w:sz w:val="21"/>
      <w:szCs w:val="24"/>
      <w:lang w:val="en-US" w:eastAsia="zh-CN" w:bidi="ar-SA"/>
    </w:rPr>
  </w:style>
  <w:style w:type="character" w:customStyle="1" w:styleId="480">
    <w:name w:val="正文文本 3 字符2"/>
    <w:qFormat/>
    <w:uiPriority w:val="0"/>
    <w:rPr>
      <w:rFonts w:eastAsia="宋体"/>
      <w:b/>
      <w:bCs/>
      <w:kern w:val="2"/>
      <w:sz w:val="24"/>
      <w:szCs w:val="24"/>
      <w:lang w:val="en-US" w:eastAsia="zh-CN" w:bidi="ar-SA"/>
    </w:rPr>
  </w:style>
  <w:style w:type="character" w:customStyle="1" w:styleId="481">
    <w:name w:val="正文文本 字符2"/>
    <w:qFormat/>
    <w:uiPriority w:val="0"/>
    <w:rPr>
      <w:rFonts w:eastAsia="宋体"/>
      <w:kern w:val="2"/>
      <w:sz w:val="24"/>
      <w:szCs w:val="24"/>
      <w:lang w:val="en-US" w:eastAsia="zh-CN" w:bidi="ar-SA"/>
    </w:rPr>
  </w:style>
  <w:style w:type="character" w:customStyle="1" w:styleId="482">
    <w:name w:val="无间隔 字符2"/>
    <w:qFormat/>
    <w:uiPriority w:val="0"/>
    <w:rPr>
      <w:sz w:val="22"/>
      <w:szCs w:val="22"/>
      <w:lang w:val="en-US" w:eastAsia="zh-CN" w:bidi="ar-SA"/>
    </w:rPr>
  </w:style>
  <w:style w:type="character" w:customStyle="1" w:styleId="483">
    <w:name w:val="正文文本缩进 字符2"/>
    <w:qFormat/>
    <w:uiPriority w:val="0"/>
    <w:rPr>
      <w:rFonts w:ascii="仿宋_GB2312" w:eastAsia="仿宋_GB2312"/>
      <w:kern w:val="2"/>
      <w:sz w:val="32"/>
      <w:lang w:val="en-US" w:eastAsia="zh-CN" w:bidi="ar-SA"/>
    </w:rPr>
  </w:style>
  <w:style w:type="character" w:customStyle="1" w:styleId="484">
    <w:name w:val="标题 2 字符2"/>
    <w:qFormat/>
    <w:uiPriority w:val="0"/>
    <w:rPr>
      <w:rFonts w:ascii="Arial" w:hAnsi="Arial" w:eastAsia="黑体"/>
      <w:b/>
      <w:bCs/>
      <w:sz w:val="32"/>
      <w:szCs w:val="32"/>
      <w:lang w:bidi="ar-SA"/>
    </w:rPr>
  </w:style>
  <w:style w:type="character" w:customStyle="1" w:styleId="485">
    <w:name w:val="标题 3 字符2"/>
    <w:qFormat/>
    <w:uiPriority w:val="0"/>
    <w:rPr>
      <w:rFonts w:eastAsia="宋体"/>
      <w:b/>
      <w:bCs/>
      <w:sz w:val="32"/>
      <w:szCs w:val="32"/>
      <w:lang w:bidi="ar-SA"/>
    </w:rPr>
  </w:style>
  <w:style w:type="character" w:customStyle="1" w:styleId="486">
    <w:name w:val="标题 7 字符2"/>
    <w:qFormat/>
    <w:uiPriority w:val="0"/>
    <w:rPr>
      <w:rFonts w:eastAsia="宋体"/>
      <w:b/>
      <w:kern w:val="2"/>
      <w:sz w:val="24"/>
      <w:szCs w:val="24"/>
      <w:lang w:val="en-US" w:eastAsia="zh-CN" w:bidi="ar-SA"/>
    </w:rPr>
  </w:style>
  <w:style w:type="character" w:customStyle="1" w:styleId="487">
    <w:name w:val="正文文本缩进 2 字符2"/>
    <w:qFormat/>
    <w:uiPriority w:val="0"/>
    <w:rPr>
      <w:rFonts w:eastAsia="宋体"/>
      <w:kern w:val="2"/>
      <w:sz w:val="32"/>
      <w:lang w:val="en-US" w:eastAsia="zh-CN" w:bidi="ar-SA"/>
    </w:rPr>
  </w:style>
  <w:style w:type="character" w:customStyle="1" w:styleId="488">
    <w:name w:val="称呼 字符2"/>
    <w:qFormat/>
    <w:uiPriority w:val="0"/>
    <w:rPr>
      <w:kern w:val="2"/>
      <w:sz w:val="28"/>
      <w:szCs w:val="24"/>
    </w:rPr>
  </w:style>
  <w:style w:type="character" w:customStyle="1" w:styleId="489">
    <w:name w:val="纯文本 字符3"/>
    <w:qFormat/>
    <w:uiPriority w:val="0"/>
    <w:rPr>
      <w:rFonts w:ascii="宋体" w:hAnsi="Courier New" w:eastAsia="宋体" w:cs="Courier New"/>
      <w:kern w:val="2"/>
      <w:sz w:val="21"/>
      <w:szCs w:val="21"/>
      <w:lang w:val="en-US" w:eastAsia="zh-CN" w:bidi="ar-SA"/>
    </w:rPr>
  </w:style>
  <w:style w:type="character" w:customStyle="1" w:styleId="490">
    <w:name w:val="日期 字符2"/>
    <w:qFormat/>
    <w:uiPriority w:val="0"/>
    <w:rPr>
      <w:rFonts w:ascii="宋体" w:hAnsi="Courier New" w:eastAsia="宋体" w:cs="Courier New"/>
      <w:kern w:val="2"/>
      <w:sz w:val="21"/>
      <w:szCs w:val="21"/>
      <w:lang w:val="en-US" w:eastAsia="zh-CN" w:bidi="ar-SA"/>
    </w:rPr>
  </w:style>
  <w:style w:type="character" w:customStyle="1" w:styleId="491">
    <w:name w:val="页眉 字符2"/>
    <w:qFormat/>
    <w:uiPriority w:val="0"/>
    <w:rPr>
      <w:rFonts w:eastAsia="宋体"/>
      <w:kern w:val="2"/>
      <w:sz w:val="18"/>
      <w:szCs w:val="18"/>
      <w:lang w:val="en-US" w:eastAsia="zh-CN" w:bidi="ar-SA"/>
    </w:rPr>
  </w:style>
  <w:style w:type="character" w:customStyle="1" w:styleId="492">
    <w:name w:val="脚注文本 字符2"/>
    <w:qFormat/>
    <w:locked/>
    <w:uiPriority w:val="0"/>
    <w:rPr>
      <w:rFonts w:ascii="宋体" w:eastAsia="宋体"/>
      <w:kern w:val="21"/>
      <w:sz w:val="18"/>
      <w:szCs w:val="18"/>
      <w:lang w:val="en-US" w:eastAsia="zh-CN" w:bidi="ar-SA"/>
    </w:rPr>
  </w:style>
  <w:style w:type="character" w:customStyle="1" w:styleId="493">
    <w:name w:val="Char Char39"/>
    <w:qFormat/>
    <w:uiPriority w:val="0"/>
    <w:rPr>
      <w:rFonts w:eastAsia="宋体"/>
      <w:b/>
      <w:bCs/>
      <w:kern w:val="44"/>
      <w:sz w:val="44"/>
      <w:szCs w:val="44"/>
      <w:lang w:val="en-US" w:eastAsia="zh-CN" w:bidi="ar-SA"/>
    </w:rPr>
  </w:style>
  <w:style w:type="character" w:customStyle="1" w:styleId="494">
    <w:name w:val="Char Char38"/>
    <w:qFormat/>
    <w:uiPriority w:val="0"/>
    <w:rPr>
      <w:rFonts w:ascii="Arial" w:hAnsi="Arial" w:eastAsia="黑体"/>
      <w:b/>
      <w:bCs/>
      <w:sz w:val="32"/>
      <w:szCs w:val="32"/>
      <w:lang w:bidi="ar-SA"/>
    </w:rPr>
  </w:style>
  <w:style w:type="character" w:customStyle="1" w:styleId="495">
    <w:name w:val="无间隔 字符3"/>
    <w:qFormat/>
    <w:uiPriority w:val="0"/>
    <w:rPr>
      <w:sz w:val="22"/>
      <w:szCs w:val="22"/>
      <w:lang w:val="en-US" w:eastAsia="zh-CN" w:bidi="ar-SA"/>
    </w:rPr>
  </w:style>
  <w:style w:type="character" w:customStyle="1" w:styleId="496">
    <w:name w:val="普通文字 Char Char6"/>
    <w:qFormat/>
    <w:uiPriority w:val="0"/>
    <w:rPr>
      <w:rFonts w:ascii="宋体" w:hAnsi="Courier New" w:eastAsia="宋体" w:cs="Courier New"/>
      <w:kern w:val="2"/>
      <w:sz w:val="21"/>
      <w:szCs w:val="21"/>
      <w:lang w:val="en-US" w:eastAsia="zh-CN" w:bidi="ar-SA"/>
    </w:rPr>
  </w:style>
  <w:style w:type="character" w:customStyle="1" w:styleId="497">
    <w:name w:val="页脚 Char2"/>
    <w:qFormat/>
    <w:locked/>
    <w:uiPriority w:val="0"/>
    <w:rPr>
      <w:rFonts w:hint="eastAsia" w:ascii="宋体" w:hAnsi="宋体" w:eastAsia="宋体"/>
      <w:kern w:val="2"/>
      <w:sz w:val="18"/>
      <w:szCs w:val="18"/>
    </w:rPr>
  </w:style>
  <w:style w:type="character" w:customStyle="1" w:styleId="498">
    <w:name w:val="font61"/>
    <w:basedOn w:val="55"/>
    <w:qFormat/>
    <w:uiPriority w:val="0"/>
    <w:rPr>
      <w:rFonts w:hint="eastAsia" w:ascii="宋体" w:hAnsi="宋体" w:eastAsia="宋体" w:cs="宋体"/>
      <w:color w:val="000000"/>
      <w:sz w:val="21"/>
      <w:szCs w:val="21"/>
      <w:u w:val="none"/>
    </w:rPr>
  </w:style>
  <w:style w:type="character" w:customStyle="1" w:styleId="499">
    <w:name w:val="font101"/>
    <w:basedOn w:val="55"/>
    <w:qFormat/>
    <w:uiPriority w:val="0"/>
    <w:rPr>
      <w:rFonts w:hint="eastAsia" w:ascii="宋体" w:hAnsi="宋体" w:eastAsia="宋体" w:cs="宋体"/>
      <w:color w:val="000000"/>
      <w:sz w:val="21"/>
      <w:szCs w:val="21"/>
      <w:u w:val="none"/>
    </w:rPr>
  </w:style>
  <w:style w:type="table" w:customStyle="1" w:styleId="500">
    <w:name w:val="彩色列表 - 强调文字颜色 12"/>
    <w:qFormat/>
    <w:uiPriority w:val="0"/>
    <w:rPr>
      <w:rFonts w:ascii="Calibri" w:hAnsi="Calibri"/>
      <w:sz w:val="24"/>
      <w:szCs w:val="24"/>
      <w:lang w:eastAsia="en-US"/>
    </w:rPr>
    <w:tblPr>
      <w:tblCellMar>
        <w:top w:w="0" w:type="dxa"/>
        <w:left w:w="108" w:type="dxa"/>
        <w:bottom w:w="0" w:type="dxa"/>
        <w:right w:w="108" w:type="dxa"/>
      </w:tblCellMar>
    </w:tblPr>
    <w:tcPr>
      <w:shd w:val="clear" w:color="auto" w:fill="EDF2F8"/>
    </w:tcPr>
  </w:style>
  <w:style w:type="character" w:customStyle="1" w:styleId="501">
    <w:name w:val="Body Text Char1"/>
    <w:qFormat/>
    <w:locked/>
    <w:uiPriority w:val="0"/>
    <w:rPr>
      <w:rFonts w:eastAsia="宋体"/>
      <w:kern w:val="2"/>
      <w:sz w:val="24"/>
      <w:lang w:val="en-US" w:eastAsia="zh-CN"/>
    </w:rPr>
  </w:style>
  <w:style w:type="character" w:customStyle="1" w:styleId="502">
    <w:name w:val="Heading 1 Char1"/>
    <w:qFormat/>
    <w:locked/>
    <w:uiPriority w:val="0"/>
    <w:rPr>
      <w:rFonts w:eastAsia="宋体"/>
      <w:b/>
      <w:kern w:val="44"/>
      <w:sz w:val="44"/>
      <w:lang w:val="en-US" w:eastAsia="zh-CN"/>
    </w:rPr>
  </w:style>
  <w:style w:type="character" w:customStyle="1" w:styleId="503">
    <w:name w:val="Heading 2 Char1"/>
    <w:qFormat/>
    <w:locked/>
    <w:uiPriority w:val="0"/>
    <w:rPr>
      <w:rFonts w:ascii="Arial" w:hAnsi="Arial" w:eastAsia="黑体"/>
      <w:b/>
      <w:sz w:val="32"/>
    </w:rPr>
  </w:style>
  <w:style w:type="character" w:customStyle="1" w:styleId="504">
    <w:name w:val="Heading 3 Char1"/>
    <w:qFormat/>
    <w:locked/>
    <w:uiPriority w:val="0"/>
    <w:rPr>
      <w:rFonts w:eastAsia="宋体"/>
      <w:b/>
      <w:sz w:val="32"/>
    </w:rPr>
  </w:style>
  <w:style w:type="character" w:customStyle="1" w:styleId="505">
    <w:name w:val="Heading 4 Char1"/>
    <w:qFormat/>
    <w:locked/>
    <w:uiPriority w:val="0"/>
    <w:rPr>
      <w:rFonts w:ascii="Arial" w:hAnsi="Arial" w:eastAsia="黑体"/>
      <w:sz w:val="28"/>
    </w:rPr>
  </w:style>
  <w:style w:type="character" w:customStyle="1" w:styleId="506">
    <w:name w:val="Heading 5 Char1"/>
    <w:qFormat/>
    <w:locked/>
    <w:uiPriority w:val="0"/>
    <w:rPr>
      <w:rFonts w:eastAsia="宋体"/>
      <w:b/>
      <w:kern w:val="2"/>
      <w:sz w:val="24"/>
      <w:lang w:val="en-US" w:eastAsia="zh-CN"/>
    </w:rPr>
  </w:style>
  <w:style w:type="character" w:customStyle="1" w:styleId="507">
    <w:name w:val="Heading 6 Char1"/>
    <w:qFormat/>
    <w:locked/>
    <w:uiPriority w:val="0"/>
    <w:rPr>
      <w:rFonts w:ascii="Arial" w:hAnsi="Arial" w:eastAsia="黑体"/>
      <w:b/>
      <w:kern w:val="2"/>
      <w:sz w:val="24"/>
      <w:lang w:val="en-US" w:eastAsia="zh-CN"/>
    </w:rPr>
  </w:style>
  <w:style w:type="character" w:customStyle="1" w:styleId="508">
    <w:name w:val="Heading 7 Char1"/>
    <w:qFormat/>
    <w:locked/>
    <w:uiPriority w:val="0"/>
    <w:rPr>
      <w:rFonts w:eastAsia="宋体"/>
      <w:b/>
      <w:kern w:val="2"/>
      <w:sz w:val="24"/>
      <w:lang w:val="en-US" w:eastAsia="zh-CN"/>
    </w:rPr>
  </w:style>
  <w:style w:type="character" w:customStyle="1" w:styleId="509">
    <w:name w:val="Heading 8 Char1"/>
    <w:qFormat/>
    <w:locked/>
    <w:uiPriority w:val="0"/>
    <w:rPr>
      <w:rFonts w:ascii="Arial" w:hAnsi="Arial" w:eastAsia="黑体"/>
      <w:kern w:val="2"/>
      <w:sz w:val="24"/>
      <w:lang w:val="en-US" w:eastAsia="zh-CN"/>
    </w:rPr>
  </w:style>
  <w:style w:type="character" w:customStyle="1" w:styleId="510">
    <w:name w:val="Heading 9 Char1"/>
    <w:qFormat/>
    <w:locked/>
    <w:uiPriority w:val="0"/>
    <w:rPr>
      <w:rFonts w:ascii="Arial" w:hAnsi="Arial" w:eastAsia="黑体"/>
      <w:kern w:val="2"/>
      <w:sz w:val="24"/>
      <w:lang w:val="en-US" w:eastAsia="zh-CN"/>
    </w:rPr>
  </w:style>
  <w:style w:type="character" w:customStyle="1" w:styleId="511">
    <w:name w:val="Document Map Char1"/>
    <w:qFormat/>
    <w:locked/>
    <w:uiPriority w:val="0"/>
    <w:rPr>
      <w:rFonts w:eastAsia="宋体"/>
      <w:kern w:val="2"/>
      <w:sz w:val="24"/>
      <w:lang w:val="en-US" w:eastAsia="zh-CN"/>
    </w:rPr>
  </w:style>
  <w:style w:type="character" w:customStyle="1" w:styleId="512">
    <w:name w:val="Comment Text Char"/>
    <w:qFormat/>
    <w:locked/>
    <w:uiPriority w:val="0"/>
    <w:rPr>
      <w:rFonts w:eastAsia="宋体"/>
      <w:sz w:val="24"/>
    </w:rPr>
  </w:style>
  <w:style w:type="character" w:customStyle="1" w:styleId="513">
    <w:name w:val="Salutation Char"/>
    <w:qFormat/>
    <w:locked/>
    <w:uiPriority w:val="0"/>
    <w:rPr>
      <w:kern w:val="2"/>
      <w:sz w:val="24"/>
    </w:rPr>
  </w:style>
  <w:style w:type="character" w:customStyle="1" w:styleId="514">
    <w:name w:val="Body Text 3 Char"/>
    <w:qFormat/>
    <w:locked/>
    <w:uiPriority w:val="0"/>
    <w:rPr>
      <w:rFonts w:eastAsia="宋体"/>
      <w:b/>
      <w:kern w:val="2"/>
      <w:sz w:val="24"/>
      <w:lang w:val="en-US" w:eastAsia="zh-CN"/>
    </w:rPr>
  </w:style>
  <w:style w:type="character" w:customStyle="1" w:styleId="515">
    <w:name w:val="Body Text Indent Char"/>
    <w:qFormat/>
    <w:locked/>
    <w:uiPriority w:val="0"/>
    <w:rPr>
      <w:rFonts w:ascii="仿宋_GB2312" w:eastAsia="仿宋_GB2312"/>
      <w:kern w:val="2"/>
      <w:sz w:val="32"/>
      <w:lang w:val="en-US" w:eastAsia="zh-CN"/>
    </w:rPr>
  </w:style>
  <w:style w:type="character" w:customStyle="1" w:styleId="516">
    <w:name w:val="Plain Text Char1"/>
    <w:qFormat/>
    <w:locked/>
    <w:uiPriority w:val="0"/>
    <w:rPr>
      <w:rFonts w:ascii="宋体" w:hAnsi="Courier New" w:eastAsia="宋体"/>
      <w:kern w:val="2"/>
      <w:sz w:val="21"/>
      <w:lang w:val="en-US" w:eastAsia="zh-CN"/>
    </w:rPr>
  </w:style>
  <w:style w:type="character" w:customStyle="1" w:styleId="517">
    <w:name w:val="Date Char1"/>
    <w:qFormat/>
    <w:locked/>
    <w:uiPriority w:val="0"/>
    <w:rPr>
      <w:rFonts w:ascii="宋体" w:hAnsi="Courier New" w:eastAsia="宋体"/>
      <w:kern w:val="2"/>
      <w:sz w:val="21"/>
      <w:lang w:val="en-US" w:eastAsia="zh-CN"/>
    </w:rPr>
  </w:style>
  <w:style w:type="character" w:customStyle="1" w:styleId="518">
    <w:name w:val="Body Text Indent 2 Char"/>
    <w:qFormat/>
    <w:locked/>
    <w:uiPriority w:val="0"/>
    <w:rPr>
      <w:rFonts w:eastAsia="宋体"/>
      <w:kern w:val="2"/>
      <w:sz w:val="32"/>
      <w:lang w:val="en-US" w:eastAsia="zh-CN"/>
    </w:rPr>
  </w:style>
  <w:style w:type="character" w:customStyle="1" w:styleId="519">
    <w:name w:val="Endnote Text Char"/>
    <w:qFormat/>
    <w:locked/>
    <w:uiPriority w:val="0"/>
    <w:rPr>
      <w:rFonts w:ascii="Calibri" w:hAnsi="Calibri"/>
      <w:kern w:val="2"/>
      <w:sz w:val="22"/>
    </w:rPr>
  </w:style>
  <w:style w:type="character" w:customStyle="1" w:styleId="520">
    <w:name w:val="Balloon Text Char1"/>
    <w:semiHidden/>
    <w:qFormat/>
    <w:locked/>
    <w:uiPriority w:val="0"/>
    <w:rPr>
      <w:rFonts w:eastAsia="宋体"/>
      <w:kern w:val="2"/>
      <w:sz w:val="18"/>
      <w:lang w:val="en-US" w:eastAsia="zh-CN"/>
    </w:rPr>
  </w:style>
  <w:style w:type="character" w:customStyle="1" w:styleId="521">
    <w:name w:val="Footer Char1"/>
    <w:qFormat/>
    <w:locked/>
    <w:uiPriority w:val="0"/>
    <w:rPr>
      <w:rFonts w:eastAsia="宋体"/>
      <w:kern w:val="2"/>
      <w:sz w:val="18"/>
      <w:lang w:val="en-US" w:eastAsia="zh-CN"/>
    </w:rPr>
  </w:style>
  <w:style w:type="character" w:customStyle="1" w:styleId="522">
    <w:name w:val="Header Char1"/>
    <w:qFormat/>
    <w:locked/>
    <w:uiPriority w:val="0"/>
    <w:rPr>
      <w:rFonts w:eastAsia="宋体"/>
      <w:kern w:val="2"/>
      <w:sz w:val="18"/>
      <w:lang w:val="en-US" w:eastAsia="zh-CN"/>
    </w:rPr>
  </w:style>
  <w:style w:type="character" w:customStyle="1" w:styleId="523">
    <w:name w:val="Body Text Indent 3 Char"/>
    <w:qFormat/>
    <w:locked/>
    <w:uiPriority w:val="0"/>
    <w:rPr>
      <w:rFonts w:eastAsia="宋体"/>
      <w:kern w:val="2"/>
      <w:sz w:val="16"/>
      <w:lang w:val="en-US" w:eastAsia="zh-CN"/>
    </w:rPr>
  </w:style>
  <w:style w:type="character" w:customStyle="1" w:styleId="524">
    <w:name w:val="Body Text 2 Char"/>
    <w:qFormat/>
    <w:locked/>
    <w:uiPriority w:val="0"/>
    <w:rPr>
      <w:rFonts w:eastAsia="宋体"/>
      <w:kern w:val="2"/>
      <w:sz w:val="24"/>
      <w:lang w:val="en-US" w:eastAsia="zh-CN"/>
    </w:rPr>
  </w:style>
  <w:style w:type="character" w:customStyle="1" w:styleId="525">
    <w:name w:val="HTML Preformatted Char1"/>
    <w:qFormat/>
    <w:locked/>
    <w:uiPriority w:val="0"/>
    <w:rPr>
      <w:rFonts w:ascii="黑体" w:hAnsi="Courier New" w:eastAsia="黑体"/>
      <w:lang w:val="en-US" w:eastAsia="zh-CN"/>
    </w:rPr>
  </w:style>
  <w:style w:type="character" w:customStyle="1" w:styleId="526">
    <w:name w:val="Title Char1"/>
    <w:qFormat/>
    <w:locked/>
    <w:uiPriority w:val="0"/>
    <w:rPr>
      <w:rFonts w:ascii="Arial" w:hAnsi="Arial" w:eastAsia="宋体"/>
      <w:b/>
      <w:kern w:val="2"/>
      <w:sz w:val="32"/>
    </w:rPr>
  </w:style>
  <w:style w:type="character" w:customStyle="1" w:styleId="527">
    <w:name w:val="Comment Subject Char"/>
    <w:semiHidden/>
    <w:qFormat/>
    <w:locked/>
    <w:uiPriority w:val="0"/>
    <w:rPr>
      <w:b/>
      <w:kern w:val="2"/>
      <w:sz w:val="24"/>
    </w:rPr>
  </w:style>
  <w:style w:type="character" w:customStyle="1" w:styleId="528">
    <w:name w:val="Char Char101"/>
    <w:semiHidden/>
    <w:qFormat/>
    <w:uiPriority w:val="0"/>
    <w:rPr>
      <w:rFonts w:eastAsia="宋体"/>
      <w:kern w:val="2"/>
      <w:sz w:val="24"/>
      <w:lang w:val="en-US" w:eastAsia="zh-CN"/>
    </w:rPr>
  </w:style>
  <w:style w:type="character" w:customStyle="1" w:styleId="529">
    <w:name w:val="Char Char141"/>
    <w:qFormat/>
    <w:uiPriority w:val="0"/>
    <w:rPr>
      <w:sz w:val="18"/>
    </w:rPr>
  </w:style>
  <w:style w:type="character" w:customStyle="1" w:styleId="530">
    <w:name w:val="Char Char Char Char Char1"/>
    <w:qFormat/>
    <w:uiPriority w:val="0"/>
    <w:rPr>
      <w:rFonts w:eastAsia="宋体"/>
      <w:b/>
      <w:kern w:val="44"/>
      <w:sz w:val="44"/>
      <w:lang w:val="en-US" w:eastAsia="zh-CN"/>
    </w:rPr>
  </w:style>
  <w:style w:type="character" w:customStyle="1" w:styleId="531">
    <w:name w:val="Char Char231"/>
    <w:qFormat/>
    <w:uiPriority w:val="0"/>
    <w:rPr>
      <w:rFonts w:ascii="Times New Roman" w:hAnsi="Times New Roman" w:eastAsia="宋体"/>
      <w:b/>
      <w:kern w:val="44"/>
      <w:sz w:val="44"/>
    </w:rPr>
  </w:style>
  <w:style w:type="character" w:customStyle="1" w:styleId="532">
    <w:name w:val="Char Char151"/>
    <w:qFormat/>
    <w:uiPriority w:val="0"/>
    <w:rPr>
      <w:sz w:val="18"/>
    </w:rPr>
  </w:style>
  <w:style w:type="paragraph" w:customStyle="1" w:styleId="533">
    <w:name w:val="Char Char112"/>
    <w:basedOn w:val="1"/>
    <w:qFormat/>
    <w:uiPriority w:val="0"/>
    <w:pPr>
      <w:widowControl/>
      <w:spacing w:line="240" w:lineRule="exact"/>
      <w:jc w:val="left"/>
    </w:pPr>
    <w:rPr>
      <w:rFonts w:ascii="Verdana" w:hAnsi="Verdana" w:eastAsia="楷体_GB2312" w:cs="宋体"/>
      <w:b/>
      <w:i/>
      <w:iCs/>
      <w:color w:val="000000"/>
      <w:kern w:val="0"/>
      <w:sz w:val="20"/>
      <w:lang w:eastAsia="en-US"/>
    </w:rPr>
  </w:style>
  <w:style w:type="paragraph" w:customStyle="1" w:styleId="534">
    <w:name w:val="纯文本11"/>
    <w:basedOn w:val="1"/>
    <w:qFormat/>
    <w:uiPriority w:val="0"/>
    <w:rPr>
      <w:rFonts w:ascii="宋体"/>
      <w:szCs w:val="21"/>
    </w:rPr>
  </w:style>
  <w:style w:type="paragraph" w:customStyle="1" w:styleId="535">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536">
    <w:name w:val="修订1"/>
    <w:semiHidden/>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537">
    <w:name w:val="Char Char19 Char Char Char Char1"/>
    <w:basedOn w:val="15"/>
    <w:qFormat/>
    <w:uiPriority w:val="0"/>
    <w:pPr>
      <w:widowControl/>
      <w:ind w:firstLine="454"/>
      <w:jc w:val="left"/>
    </w:pPr>
  </w:style>
  <w:style w:type="paragraph" w:customStyle="1" w:styleId="538">
    <w:name w:val="No Spacing1"/>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539">
    <w:name w:val="Char Char Char Char Char Char Char Char Char Char Char Char Char Char Char Char2"/>
    <w:basedOn w:val="1"/>
    <w:qFormat/>
    <w:uiPriority w:val="0"/>
    <w:pPr>
      <w:tabs>
        <w:tab w:val="left" w:pos="360"/>
      </w:tabs>
      <w:spacing w:line="360" w:lineRule="auto"/>
      <w:ind w:left="482" w:firstLine="200" w:firstLineChars="200"/>
    </w:pPr>
    <w:rPr>
      <w:rFonts w:ascii="宋体"/>
      <w:sz w:val="24"/>
    </w:rPr>
  </w:style>
  <w:style w:type="paragraph" w:customStyle="1" w:styleId="540">
    <w:name w:val="Char3"/>
    <w:basedOn w:val="15"/>
    <w:qFormat/>
    <w:uiPriority w:val="0"/>
    <w:pPr>
      <w:widowControl/>
      <w:ind w:firstLine="454"/>
      <w:jc w:val="left"/>
    </w:pPr>
    <w:rPr>
      <w:rFonts w:ascii="Tahoma" w:hAnsi="Tahoma" w:cs="宋体"/>
      <w:kern w:val="0"/>
      <w:sz w:val="24"/>
      <w:szCs w:val="20"/>
    </w:rPr>
  </w:style>
  <w:style w:type="paragraph" w:customStyle="1" w:styleId="541">
    <w:name w:val="Char Char1 Char Char Char Char2"/>
    <w:basedOn w:val="15"/>
    <w:qFormat/>
    <w:uiPriority w:val="0"/>
    <w:rPr>
      <w:rFonts w:ascii="Tahoma" w:hAnsi="Tahoma"/>
      <w:sz w:val="24"/>
    </w:rPr>
  </w:style>
  <w:style w:type="paragraph" w:customStyle="1" w:styleId="542">
    <w:name w:val="Char Char Char Char Char Char1 Char2"/>
    <w:basedOn w:val="1"/>
    <w:qFormat/>
    <w:uiPriority w:val="0"/>
    <w:pPr>
      <w:widowControl/>
      <w:spacing w:line="240" w:lineRule="exact"/>
      <w:jc w:val="left"/>
    </w:pPr>
    <w:rPr>
      <w:rFonts w:ascii="Verdana" w:hAnsi="Verdana" w:eastAsia="仿宋_GB2312"/>
      <w:kern w:val="0"/>
      <w:sz w:val="30"/>
      <w:szCs w:val="30"/>
      <w:lang w:eastAsia="en-US"/>
    </w:rPr>
  </w:style>
  <w:style w:type="paragraph" w:customStyle="1" w:styleId="543">
    <w:name w:val="Char22"/>
    <w:basedOn w:val="1"/>
    <w:qFormat/>
    <w:uiPriority w:val="0"/>
    <w:pPr>
      <w:widowControl/>
      <w:spacing w:line="240" w:lineRule="exact"/>
      <w:jc w:val="left"/>
    </w:pPr>
    <w:rPr>
      <w:rFonts w:ascii="Verdana" w:hAnsi="Verdana"/>
      <w:kern w:val="0"/>
      <w:szCs w:val="20"/>
      <w:lang w:eastAsia="en-US"/>
    </w:rPr>
  </w:style>
  <w:style w:type="paragraph" w:customStyle="1" w:styleId="544">
    <w:name w:val="Char Char Char2"/>
    <w:basedOn w:val="1"/>
    <w:qFormat/>
    <w:uiPriority w:val="0"/>
    <w:pPr>
      <w:widowControl/>
      <w:spacing w:line="240" w:lineRule="exact"/>
      <w:jc w:val="left"/>
    </w:pPr>
    <w:rPr>
      <w:rFonts w:ascii="Verdana" w:hAnsi="Verdana"/>
      <w:kern w:val="0"/>
      <w:sz w:val="20"/>
      <w:szCs w:val="20"/>
      <w:lang w:eastAsia="en-US"/>
    </w:rPr>
  </w:style>
  <w:style w:type="paragraph" w:customStyle="1" w:styleId="545">
    <w:name w:val="Char13"/>
    <w:basedOn w:val="1"/>
    <w:qFormat/>
    <w:uiPriority w:val="0"/>
    <w:rPr>
      <w:szCs w:val="21"/>
    </w:rPr>
  </w:style>
  <w:style w:type="paragraph" w:customStyle="1" w:styleId="546">
    <w:name w:val="列出段落41"/>
    <w:basedOn w:val="1"/>
    <w:qFormat/>
    <w:uiPriority w:val="0"/>
    <w:pPr>
      <w:ind w:firstLine="420" w:firstLineChars="200"/>
    </w:pPr>
    <w:rPr>
      <w:rFonts w:ascii="Calibri" w:hAnsi="Calibri"/>
      <w:szCs w:val="22"/>
    </w:rPr>
  </w:style>
  <w:style w:type="paragraph" w:customStyle="1" w:styleId="547">
    <w:name w:val="Char Char Char Char Char Char Char Char Char Char Char Char1"/>
    <w:basedOn w:val="1"/>
    <w:qFormat/>
    <w:uiPriority w:val="0"/>
    <w:pPr>
      <w:widowControl/>
      <w:spacing w:line="240" w:lineRule="exact"/>
      <w:jc w:val="left"/>
    </w:pPr>
    <w:rPr>
      <w:rFonts w:ascii="Verdana" w:hAnsi="Verdana"/>
      <w:kern w:val="0"/>
      <w:sz w:val="20"/>
      <w:szCs w:val="20"/>
      <w:lang w:eastAsia="en-US"/>
    </w:rPr>
  </w:style>
  <w:style w:type="paragraph" w:customStyle="1" w:styleId="548">
    <w:name w:val="Char Char9 Char Char Char Char2"/>
    <w:basedOn w:val="1"/>
    <w:qFormat/>
    <w:uiPriority w:val="0"/>
    <w:pPr>
      <w:widowControl/>
      <w:spacing w:line="240" w:lineRule="exact"/>
      <w:jc w:val="left"/>
    </w:pPr>
  </w:style>
  <w:style w:type="character" w:customStyle="1" w:styleId="549">
    <w:name w:val="Char Char331"/>
    <w:qFormat/>
    <w:uiPriority w:val="0"/>
    <w:rPr>
      <w:rFonts w:eastAsia="宋体"/>
      <w:b/>
      <w:kern w:val="44"/>
      <w:sz w:val="44"/>
      <w:lang w:val="en-US" w:eastAsia="zh-CN"/>
    </w:rPr>
  </w:style>
  <w:style w:type="character" w:customStyle="1" w:styleId="550">
    <w:name w:val="Char Char321"/>
    <w:qFormat/>
    <w:uiPriority w:val="0"/>
    <w:rPr>
      <w:rFonts w:ascii="Arial" w:hAnsi="Arial" w:eastAsia="黑体"/>
      <w:b/>
      <w:sz w:val="32"/>
    </w:rPr>
  </w:style>
  <w:style w:type="character" w:customStyle="1" w:styleId="551">
    <w:name w:val="Char Char351"/>
    <w:qFormat/>
    <w:uiPriority w:val="0"/>
    <w:rPr>
      <w:rFonts w:eastAsia="宋体"/>
      <w:b/>
      <w:kern w:val="44"/>
      <w:sz w:val="44"/>
      <w:lang w:val="en-US" w:eastAsia="zh-CN"/>
    </w:rPr>
  </w:style>
  <w:style w:type="character" w:customStyle="1" w:styleId="552">
    <w:name w:val="Char Char341"/>
    <w:qFormat/>
    <w:uiPriority w:val="0"/>
    <w:rPr>
      <w:rFonts w:ascii="Arial" w:hAnsi="Arial" w:eastAsia="黑体"/>
      <w:b/>
      <w:sz w:val="32"/>
    </w:rPr>
  </w:style>
  <w:style w:type="character" w:customStyle="1" w:styleId="553">
    <w:name w:val="Char Char371"/>
    <w:qFormat/>
    <w:uiPriority w:val="0"/>
    <w:rPr>
      <w:rFonts w:eastAsia="宋体"/>
      <w:b/>
      <w:kern w:val="44"/>
      <w:sz w:val="44"/>
      <w:lang w:val="en-US" w:eastAsia="zh-CN"/>
    </w:rPr>
  </w:style>
  <w:style w:type="character" w:customStyle="1" w:styleId="554">
    <w:name w:val="Char Char361"/>
    <w:qFormat/>
    <w:uiPriority w:val="0"/>
    <w:rPr>
      <w:rFonts w:ascii="Arial" w:hAnsi="Arial" w:eastAsia="黑体"/>
      <w:b/>
      <w:sz w:val="32"/>
    </w:rPr>
  </w:style>
  <w:style w:type="character" w:customStyle="1" w:styleId="555">
    <w:name w:val="Char Char391"/>
    <w:qFormat/>
    <w:uiPriority w:val="0"/>
    <w:rPr>
      <w:rFonts w:eastAsia="宋体"/>
      <w:b/>
      <w:kern w:val="44"/>
      <w:sz w:val="44"/>
      <w:lang w:val="en-US" w:eastAsia="zh-CN"/>
    </w:rPr>
  </w:style>
  <w:style w:type="character" w:customStyle="1" w:styleId="556">
    <w:name w:val="Char Char381"/>
    <w:qFormat/>
    <w:uiPriority w:val="0"/>
    <w:rPr>
      <w:rFonts w:ascii="Arial" w:hAnsi="Arial" w:eastAsia="黑体"/>
      <w:b/>
      <w:sz w:val="32"/>
    </w:rPr>
  </w:style>
  <w:style w:type="paragraph" w:customStyle="1" w:styleId="557">
    <w:name w:val="_Style 493"/>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558">
    <w:name w:val="Char Char42"/>
    <w:qFormat/>
    <w:uiPriority w:val="0"/>
    <w:rPr>
      <w:rFonts w:eastAsia="宋体"/>
      <w:b/>
      <w:bCs/>
      <w:kern w:val="44"/>
      <w:sz w:val="44"/>
      <w:szCs w:val="44"/>
      <w:lang w:val="en-US" w:eastAsia="zh-CN" w:bidi="ar-SA"/>
    </w:rPr>
  </w:style>
  <w:style w:type="character" w:customStyle="1" w:styleId="559">
    <w:name w:val="Char Char41"/>
    <w:qFormat/>
    <w:uiPriority w:val="0"/>
    <w:rPr>
      <w:rFonts w:ascii="Arial" w:hAnsi="Arial" w:eastAsia="黑体"/>
      <w:b/>
      <w:bCs/>
      <w:sz w:val="32"/>
      <w:szCs w:val="32"/>
      <w:lang w:bidi="ar-SA"/>
    </w:rPr>
  </w:style>
  <w:style w:type="character" w:customStyle="1" w:styleId="560">
    <w:name w:val="Char Char40"/>
    <w:qFormat/>
    <w:uiPriority w:val="0"/>
    <w:rPr>
      <w:rFonts w:eastAsia="宋体"/>
      <w:b/>
      <w:bCs/>
      <w:sz w:val="32"/>
      <w:szCs w:val="32"/>
      <w:lang w:bidi="ar-SA"/>
    </w:rPr>
  </w:style>
  <w:style w:type="character" w:customStyle="1" w:styleId="561">
    <w:name w:val="Char Char45"/>
    <w:qFormat/>
    <w:uiPriority w:val="0"/>
    <w:rPr>
      <w:rFonts w:eastAsia="宋体"/>
      <w:b/>
      <w:bCs/>
      <w:kern w:val="44"/>
      <w:sz w:val="44"/>
      <w:szCs w:val="44"/>
      <w:lang w:val="en-US" w:eastAsia="zh-CN" w:bidi="ar-SA"/>
    </w:rPr>
  </w:style>
  <w:style w:type="character" w:customStyle="1" w:styleId="562">
    <w:name w:val="Char Char44"/>
    <w:qFormat/>
    <w:uiPriority w:val="0"/>
    <w:rPr>
      <w:rFonts w:ascii="Arial" w:hAnsi="Arial" w:eastAsia="黑体"/>
      <w:b/>
      <w:bCs/>
      <w:sz w:val="32"/>
      <w:szCs w:val="32"/>
      <w:lang w:bidi="ar-SA"/>
    </w:rPr>
  </w:style>
  <w:style w:type="character" w:customStyle="1" w:styleId="563">
    <w:name w:val="Char Char43"/>
    <w:qFormat/>
    <w:uiPriority w:val="0"/>
    <w:rPr>
      <w:rFonts w:eastAsia="宋体"/>
      <w:b/>
      <w:bCs/>
      <w:sz w:val="32"/>
      <w:szCs w:val="32"/>
      <w:lang w:bidi="ar-SA"/>
    </w:rPr>
  </w:style>
  <w:style w:type="table" w:customStyle="1" w:styleId="564">
    <w:name w:val="彩色列表 - 强调文字颜色 111"/>
    <w:basedOn w:val="53"/>
    <w:qFormat/>
    <w:uiPriority w:val="0"/>
    <w:rPr>
      <w:rFonts w:ascii="Calibri" w:hAnsi="Calibri"/>
      <w:sz w:val="24"/>
      <w:szCs w:val="24"/>
      <w:lang w:eastAsia="en-US"/>
    </w:rPr>
    <w:tcPr>
      <w:shd w:val="clear" w:color="auto" w:fill="EDF2F8"/>
    </w:tcPr>
    <w:tblStylePr w:type="firstRow">
      <w:rPr>
        <w:b/>
        <w:bCs/>
        <w:color w:val="FFFFFF"/>
      </w:rPr>
      <w:tcPr>
        <w:tcBorders>
          <w:top w:val="nil"/>
          <w:left w:val="single" w:color="FFFFFF" w:sz="12" w:space="0"/>
          <w:bottom w:val="nil"/>
          <w:right w:val="nil"/>
          <w:insideH w:val="nil"/>
          <w:insideV w:val="nil"/>
          <w:tl2br w:val="nil"/>
          <w:tr2bl w:val="nil"/>
        </w:tcBorders>
        <w:shd w:val="clear" w:color="auto" w:fill="9E3A38"/>
      </w:tcPr>
    </w:tblStylePr>
    <w:tblStylePr w:type="lastRow">
      <w:rPr>
        <w:b/>
        <w:bCs/>
        <w:color w:val="9E3A38"/>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character" w:customStyle="1" w:styleId="565">
    <w:name w:val="Char Char48"/>
    <w:qFormat/>
    <w:uiPriority w:val="0"/>
    <w:rPr>
      <w:rFonts w:eastAsia="宋体"/>
      <w:b/>
      <w:bCs/>
      <w:kern w:val="44"/>
      <w:sz w:val="44"/>
      <w:szCs w:val="44"/>
      <w:lang w:val="en-US" w:eastAsia="zh-CN" w:bidi="ar-SA"/>
    </w:rPr>
  </w:style>
  <w:style w:type="character" w:customStyle="1" w:styleId="566">
    <w:name w:val="Char Char47"/>
    <w:qFormat/>
    <w:uiPriority w:val="0"/>
    <w:rPr>
      <w:rFonts w:ascii="Arial" w:hAnsi="Arial" w:eastAsia="黑体"/>
      <w:b/>
      <w:bCs/>
      <w:sz w:val="32"/>
      <w:szCs w:val="32"/>
      <w:lang w:bidi="ar-SA"/>
    </w:rPr>
  </w:style>
  <w:style w:type="character" w:customStyle="1" w:styleId="567">
    <w:name w:val="Char Char46"/>
    <w:qFormat/>
    <w:uiPriority w:val="0"/>
    <w:rPr>
      <w:rFonts w:eastAsia="宋体"/>
      <w:b/>
      <w:bCs/>
      <w:sz w:val="32"/>
      <w:szCs w:val="32"/>
      <w:lang w:bidi="ar-SA"/>
    </w:rPr>
  </w:style>
  <w:style w:type="character" w:customStyle="1" w:styleId="568">
    <w:name w:val="普通文字 Char Char3"/>
    <w:qFormat/>
    <w:uiPriority w:val="0"/>
    <w:rPr>
      <w:rFonts w:ascii="宋体" w:hAnsi="Courier New" w:eastAsia="宋体" w:cs="Courier New"/>
      <w:kern w:val="2"/>
      <w:sz w:val="21"/>
      <w:szCs w:val="21"/>
      <w:lang w:val="en-US" w:eastAsia="zh-CN" w:bidi="ar-SA"/>
    </w:rPr>
  </w:style>
  <w:style w:type="character" w:customStyle="1" w:styleId="569">
    <w:name w:val="普通文字 Char Char5"/>
    <w:qFormat/>
    <w:uiPriority w:val="0"/>
    <w:rPr>
      <w:rFonts w:ascii="宋体" w:hAnsi="Courier New" w:eastAsia="宋体" w:cs="Courier New"/>
      <w:kern w:val="2"/>
      <w:sz w:val="21"/>
      <w:szCs w:val="21"/>
      <w:lang w:val="en-US" w:eastAsia="zh-CN" w:bidi="ar-SA"/>
    </w:rPr>
  </w:style>
  <w:style w:type="paragraph" w:customStyle="1" w:styleId="570">
    <w:name w:val="首行缩进"/>
    <w:basedOn w:val="1"/>
    <w:qFormat/>
    <w:uiPriority w:val="0"/>
    <w:pPr>
      <w:ind w:firstLine="480" w:firstLineChars="200"/>
    </w:pPr>
    <w:rPr>
      <w:sz w:val="24"/>
    </w:rPr>
  </w:style>
  <w:style w:type="paragraph" w:customStyle="1" w:styleId="571">
    <w:name w:val="_Style 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572">
    <w:name w:val="称呼 字符3"/>
    <w:qFormat/>
    <w:uiPriority w:val="0"/>
    <w:rPr>
      <w:kern w:val="2"/>
      <w:sz w:val="28"/>
      <w:szCs w:val="24"/>
    </w:rPr>
  </w:style>
  <w:style w:type="character" w:customStyle="1" w:styleId="573">
    <w:name w:val="批注文字 字符3"/>
    <w:qFormat/>
    <w:uiPriority w:val="0"/>
    <w:rPr>
      <w:rFonts w:eastAsia="宋体"/>
      <w:sz w:val="24"/>
      <w:lang w:bidi="ar-SA"/>
    </w:rPr>
  </w:style>
  <w:style w:type="character" w:customStyle="1" w:styleId="574">
    <w:name w:val="正文文本缩进 2 字符3"/>
    <w:qFormat/>
    <w:uiPriority w:val="0"/>
    <w:rPr>
      <w:rFonts w:eastAsia="宋体"/>
      <w:kern w:val="2"/>
      <w:sz w:val="32"/>
      <w:lang w:val="en-US" w:eastAsia="zh-CN" w:bidi="ar-SA"/>
    </w:rPr>
  </w:style>
  <w:style w:type="character" w:customStyle="1" w:styleId="575">
    <w:name w:val="标题 5 字符3"/>
    <w:qFormat/>
    <w:uiPriority w:val="0"/>
    <w:rPr>
      <w:rFonts w:eastAsia="宋体"/>
      <w:b/>
      <w:kern w:val="2"/>
      <w:sz w:val="28"/>
      <w:szCs w:val="24"/>
      <w:lang w:val="en-US" w:eastAsia="zh-CN" w:bidi="ar-SA"/>
    </w:rPr>
  </w:style>
  <w:style w:type="character" w:customStyle="1" w:styleId="576">
    <w:name w:val="正文文本 3 字符3"/>
    <w:qFormat/>
    <w:uiPriority w:val="0"/>
    <w:rPr>
      <w:rFonts w:eastAsia="宋体"/>
      <w:b/>
      <w:bCs/>
      <w:kern w:val="2"/>
      <w:sz w:val="24"/>
      <w:szCs w:val="24"/>
      <w:lang w:val="en-US" w:eastAsia="zh-CN" w:bidi="ar-SA"/>
    </w:rPr>
  </w:style>
  <w:style w:type="character" w:customStyle="1" w:styleId="577">
    <w:name w:val="标题 8 字符3"/>
    <w:qFormat/>
    <w:uiPriority w:val="0"/>
    <w:rPr>
      <w:rFonts w:ascii="Arial" w:hAnsi="Arial" w:eastAsia="黑体"/>
      <w:kern w:val="2"/>
      <w:sz w:val="24"/>
      <w:szCs w:val="24"/>
      <w:lang w:val="en-US" w:eastAsia="zh-CN" w:bidi="ar-SA"/>
    </w:rPr>
  </w:style>
  <w:style w:type="character" w:customStyle="1" w:styleId="578">
    <w:name w:val="正文文本 字符3"/>
    <w:qFormat/>
    <w:uiPriority w:val="0"/>
    <w:rPr>
      <w:rFonts w:eastAsia="宋体"/>
      <w:kern w:val="2"/>
      <w:sz w:val="24"/>
      <w:szCs w:val="24"/>
      <w:lang w:val="en-US" w:eastAsia="zh-CN" w:bidi="ar-SA"/>
    </w:rPr>
  </w:style>
  <w:style w:type="character" w:customStyle="1" w:styleId="579">
    <w:name w:val="标题 1 字符3"/>
    <w:qFormat/>
    <w:uiPriority w:val="0"/>
    <w:rPr>
      <w:rFonts w:eastAsia="宋体"/>
      <w:b/>
      <w:bCs/>
      <w:kern w:val="44"/>
      <w:sz w:val="44"/>
      <w:szCs w:val="44"/>
      <w:lang w:val="en-US" w:eastAsia="zh-CN" w:bidi="ar-SA"/>
    </w:rPr>
  </w:style>
  <w:style w:type="character" w:customStyle="1" w:styleId="580">
    <w:name w:val="文档结构图 字符3"/>
    <w:qFormat/>
    <w:uiPriority w:val="0"/>
    <w:rPr>
      <w:rFonts w:eastAsia="宋体"/>
      <w:kern w:val="2"/>
      <w:sz w:val="21"/>
      <w:szCs w:val="24"/>
      <w:lang w:val="en-US" w:eastAsia="zh-CN" w:bidi="ar-SA"/>
    </w:rPr>
  </w:style>
  <w:style w:type="character" w:customStyle="1" w:styleId="581">
    <w:name w:val="标题 7 字符3"/>
    <w:qFormat/>
    <w:uiPriority w:val="0"/>
    <w:rPr>
      <w:rFonts w:eastAsia="宋体"/>
      <w:b/>
      <w:kern w:val="2"/>
      <w:sz w:val="24"/>
      <w:szCs w:val="24"/>
      <w:lang w:val="en-US" w:eastAsia="zh-CN" w:bidi="ar-SA"/>
    </w:rPr>
  </w:style>
  <w:style w:type="character" w:customStyle="1" w:styleId="582">
    <w:name w:val="标题 6 字符3"/>
    <w:qFormat/>
    <w:uiPriority w:val="0"/>
    <w:rPr>
      <w:rFonts w:ascii="Arial" w:hAnsi="Arial" w:eastAsia="黑体"/>
      <w:b/>
      <w:kern w:val="2"/>
      <w:sz w:val="24"/>
      <w:szCs w:val="24"/>
      <w:lang w:val="en-US" w:eastAsia="zh-CN" w:bidi="ar-SA"/>
    </w:rPr>
  </w:style>
  <w:style w:type="character" w:customStyle="1" w:styleId="583">
    <w:name w:val="标题 3 字符3"/>
    <w:qFormat/>
    <w:uiPriority w:val="0"/>
    <w:rPr>
      <w:rFonts w:eastAsia="宋体"/>
      <w:b/>
      <w:bCs/>
      <w:sz w:val="32"/>
      <w:szCs w:val="32"/>
      <w:lang w:bidi="ar-SA"/>
    </w:rPr>
  </w:style>
  <w:style w:type="character" w:customStyle="1" w:styleId="584">
    <w:name w:val="页脚 字符3"/>
    <w:qFormat/>
    <w:uiPriority w:val="0"/>
    <w:rPr>
      <w:rFonts w:eastAsia="宋体"/>
      <w:kern w:val="2"/>
      <w:sz w:val="18"/>
      <w:szCs w:val="18"/>
      <w:lang w:val="en-US" w:eastAsia="zh-CN" w:bidi="ar-SA"/>
    </w:rPr>
  </w:style>
  <w:style w:type="character" w:customStyle="1" w:styleId="585">
    <w:name w:val="尾注文本 字符3"/>
    <w:qFormat/>
    <w:uiPriority w:val="0"/>
    <w:rPr>
      <w:rFonts w:ascii="Calibri" w:hAnsi="Calibri"/>
      <w:kern w:val="2"/>
      <w:sz w:val="21"/>
      <w:szCs w:val="22"/>
    </w:rPr>
  </w:style>
  <w:style w:type="character" w:customStyle="1" w:styleId="586">
    <w:name w:val="日期 字符3"/>
    <w:qFormat/>
    <w:uiPriority w:val="0"/>
    <w:rPr>
      <w:rFonts w:ascii="宋体" w:hAnsi="Courier New" w:eastAsia="宋体" w:cs="Courier New"/>
      <w:kern w:val="2"/>
      <w:sz w:val="21"/>
      <w:szCs w:val="21"/>
      <w:lang w:val="en-US" w:eastAsia="zh-CN" w:bidi="ar-SA"/>
    </w:rPr>
  </w:style>
  <w:style w:type="character" w:customStyle="1" w:styleId="587">
    <w:name w:val="正文文本缩进 字符3"/>
    <w:qFormat/>
    <w:uiPriority w:val="0"/>
    <w:rPr>
      <w:rFonts w:ascii="仿宋_GB2312" w:eastAsia="仿宋_GB2312"/>
      <w:kern w:val="2"/>
      <w:sz w:val="32"/>
      <w:lang w:val="en-US" w:eastAsia="zh-CN" w:bidi="ar-SA"/>
    </w:rPr>
  </w:style>
  <w:style w:type="character" w:customStyle="1" w:styleId="588">
    <w:name w:val="标题 9 字符3"/>
    <w:qFormat/>
    <w:uiPriority w:val="0"/>
    <w:rPr>
      <w:rFonts w:ascii="Arial" w:hAnsi="Arial" w:eastAsia="黑体"/>
      <w:kern w:val="2"/>
      <w:sz w:val="21"/>
      <w:szCs w:val="24"/>
      <w:lang w:val="en-US" w:eastAsia="zh-CN" w:bidi="ar-SA"/>
    </w:rPr>
  </w:style>
  <w:style w:type="character" w:customStyle="1" w:styleId="589">
    <w:name w:val="正文文本缩进 3 字符3"/>
    <w:qFormat/>
    <w:uiPriority w:val="0"/>
    <w:rPr>
      <w:rFonts w:eastAsia="宋体"/>
      <w:kern w:val="2"/>
      <w:sz w:val="16"/>
      <w:szCs w:val="16"/>
      <w:lang w:val="en-US" w:eastAsia="zh-CN" w:bidi="ar-SA"/>
    </w:rPr>
  </w:style>
  <w:style w:type="character" w:customStyle="1" w:styleId="590">
    <w:name w:val="脚注文本 字符3"/>
    <w:qFormat/>
    <w:locked/>
    <w:uiPriority w:val="0"/>
    <w:rPr>
      <w:rFonts w:ascii="宋体" w:eastAsia="宋体"/>
      <w:kern w:val="21"/>
      <w:sz w:val="18"/>
      <w:szCs w:val="18"/>
      <w:lang w:val="en-US" w:eastAsia="zh-CN" w:bidi="ar-SA"/>
    </w:rPr>
  </w:style>
  <w:style w:type="character" w:customStyle="1" w:styleId="591">
    <w:name w:val="纯文本 字符4"/>
    <w:qFormat/>
    <w:uiPriority w:val="0"/>
    <w:rPr>
      <w:rFonts w:ascii="宋体" w:hAnsi="Courier New" w:eastAsia="宋体" w:cs="Courier New"/>
      <w:kern w:val="2"/>
      <w:sz w:val="21"/>
      <w:szCs w:val="21"/>
      <w:lang w:val="en-US" w:eastAsia="zh-CN" w:bidi="ar-SA"/>
    </w:rPr>
  </w:style>
  <w:style w:type="character" w:customStyle="1" w:styleId="592">
    <w:name w:val="HTML 预设格式 字符3"/>
    <w:qFormat/>
    <w:uiPriority w:val="0"/>
    <w:rPr>
      <w:rFonts w:ascii="黑体" w:hAnsi="Courier New" w:eastAsia="黑体" w:cs="Courier New"/>
      <w:lang w:val="en-US" w:eastAsia="zh-CN" w:bidi="ar-SA"/>
    </w:rPr>
  </w:style>
  <w:style w:type="character" w:customStyle="1" w:styleId="593">
    <w:name w:val="标题 2 字符3"/>
    <w:qFormat/>
    <w:uiPriority w:val="0"/>
    <w:rPr>
      <w:rFonts w:ascii="Arial" w:hAnsi="Arial" w:eastAsia="黑体"/>
      <w:b/>
      <w:bCs/>
      <w:sz w:val="32"/>
      <w:szCs w:val="32"/>
      <w:lang w:bidi="ar-SA"/>
    </w:rPr>
  </w:style>
  <w:style w:type="character" w:customStyle="1" w:styleId="594">
    <w:name w:val="HTML 地址 字符3"/>
    <w:qFormat/>
    <w:locked/>
    <w:uiPriority w:val="0"/>
    <w:rPr>
      <w:rFonts w:ascii="宋体" w:eastAsia="宋体"/>
      <w:i/>
      <w:iCs/>
      <w:kern w:val="21"/>
      <w:sz w:val="21"/>
      <w:szCs w:val="21"/>
      <w:lang w:val="en-US" w:eastAsia="zh-CN" w:bidi="ar-SA"/>
    </w:rPr>
  </w:style>
  <w:style w:type="character" w:customStyle="1" w:styleId="595">
    <w:name w:val="页眉 字符3"/>
    <w:qFormat/>
    <w:uiPriority w:val="0"/>
    <w:rPr>
      <w:rFonts w:eastAsia="宋体"/>
      <w:kern w:val="2"/>
      <w:sz w:val="18"/>
      <w:szCs w:val="18"/>
      <w:lang w:val="en-US" w:eastAsia="zh-CN" w:bidi="ar-SA"/>
    </w:rPr>
  </w:style>
  <w:style w:type="character" w:customStyle="1" w:styleId="596">
    <w:name w:val="无间隔 字符4"/>
    <w:qFormat/>
    <w:uiPriority w:val="0"/>
    <w:rPr>
      <w:sz w:val="22"/>
      <w:szCs w:val="22"/>
      <w:lang w:val="en-US" w:eastAsia="zh-CN" w:bidi="ar-SA"/>
    </w:rPr>
  </w:style>
  <w:style w:type="character" w:customStyle="1" w:styleId="597">
    <w:name w:val="正文文本 2 字符3"/>
    <w:qFormat/>
    <w:uiPriority w:val="0"/>
    <w:rPr>
      <w:rFonts w:eastAsia="宋体"/>
      <w:kern w:val="2"/>
      <w:sz w:val="21"/>
      <w:szCs w:val="24"/>
      <w:lang w:val="en-US" w:eastAsia="zh-CN" w:bidi="ar-SA"/>
    </w:rPr>
  </w:style>
  <w:style w:type="character" w:customStyle="1" w:styleId="598">
    <w:name w:val="标题 字符3"/>
    <w:qFormat/>
    <w:uiPriority w:val="0"/>
    <w:rPr>
      <w:rFonts w:ascii="Arial" w:hAnsi="Arial" w:eastAsia="宋体"/>
      <w:b/>
      <w:bCs/>
      <w:kern w:val="2"/>
      <w:sz w:val="32"/>
      <w:szCs w:val="32"/>
      <w:lang w:bidi="ar-SA"/>
    </w:rPr>
  </w:style>
  <w:style w:type="character" w:customStyle="1" w:styleId="599">
    <w:name w:val="标题 4 字符3"/>
    <w:qFormat/>
    <w:uiPriority w:val="0"/>
    <w:rPr>
      <w:rFonts w:ascii="Arial" w:hAnsi="Arial" w:eastAsia="黑体"/>
      <w:sz w:val="28"/>
      <w:lang w:bidi="ar-SA"/>
    </w:rPr>
  </w:style>
  <w:style w:type="character" w:customStyle="1" w:styleId="600">
    <w:name w:val="Char Char50"/>
    <w:qFormat/>
    <w:uiPriority w:val="0"/>
    <w:rPr>
      <w:rFonts w:eastAsia="宋体"/>
      <w:b/>
      <w:bCs/>
      <w:kern w:val="44"/>
      <w:sz w:val="44"/>
      <w:szCs w:val="44"/>
      <w:lang w:val="en-US" w:eastAsia="zh-CN" w:bidi="ar-SA"/>
    </w:rPr>
  </w:style>
  <w:style w:type="character" w:customStyle="1" w:styleId="601">
    <w:name w:val="Char Char49"/>
    <w:qFormat/>
    <w:uiPriority w:val="0"/>
    <w:rPr>
      <w:rFonts w:ascii="Arial" w:hAnsi="Arial" w:eastAsia="黑体"/>
      <w:b/>
      <w:bCs/>
      <w:sz w:val="32"/>
      <w:szCs w:val="32"/>
      <w:lang w:bidi="ar-SA"/>
    </w:rPr>
  </w:style>
  <w:style w:type="character" w:customStyle="1" w:styleId="602">
    <w:name w:val="普通文字 Char Char7"/>
    <w:qFormat/>
    <w:uiPriority w:val="0"/>
    <w:rPr>
      <w:rFonts w:ascii="宋体" w:hAnsi="Courier New" w:eastAsia="宋体" w:cs="Courier New"/>
      <w:kern w:val="2"/>
      <w:sz w:val="21"/>
      <w:szCs w:val="21"/>
      <w:lang w:val="en-US" w:eastAsia="zh-CN" w:bidi="ar-SA"/>
    </w:rPr>
  </w:style>
  <w:style w:type="paragraph" w:customStyle="1" w:styleId="603">
    <w:name w:val="Char Char Char3"/>
    <w:basedOn w:val="1"/>
    <w:qFormat/>
    <w:uiPriority w:val="0"/>
    <w:pPr>
      <w:widowControl/>
      <w:spacing w:line="240" w:lineRule="exact"/>
      <w:jc w:val="left"/>
    </w:pPr>
    <w:rPr>
      <w:rFonts w:ascii="Verdana" w:hAnsi="Verdana"/>
      <w:kern w:val="0"/>
      <w:sz w:val="20"/>
      <w:szCs w:val="20"/>
      <w:lang w:eastAsia="en-US"/>
    </w:rPr>
  </w:style>
  <w:style w:type="character" w:customStyle="1" w:styleId="604">
    <w:name w:val="普通文字 Char Char2 Char"/>
    <w:qFormat/>
    <w:locked/>
    <w:uiPriority w:val="0"/>
    <w:rPr>
      <w:rFonts w:ascii="宋体" w:hAnsi="Courier New" w:eastAsia="宋体"/>
      <w:kern w:val="2"/>
      <w:sz w:val="21"/>
      <w:lang w:val="en-US" w:eastAsia="zh-CN" w:bidi="ar-SA"/>
    </w:rPr>
  </w:style>
  <w:style w:type="character" w:customStyle="1" w:styleId="605">
    <w:name w:val="标题 1 字符4"/>
    <w:qFormat/>
    <w:uiPriority w:val="0"/>
    <w:rPr>
      <w:rFonts w:eastAsia="宋体"/>
      <w:b/>
      <w:bCs/>
      <w:kern w:val="44"/>
      <w:sz w:val="44"/>
      <w:szCs w:val="44"/>
      <w:lang w:val="en-US" w:eastAsia="zh-CN" w:bidi="ar-SA"/>
    </w:rPr>
  </w:style>
  <w:style w:type="character" w:customStyle="1" w:styleId="606">
    <w:name w:val="标题 2 字符4"/>
    <w:qFormat/>
    <w:uiPriority w:val="0"/>
    <w:rPr>
      <w:rFonts w:ascii="Arial" w:hAnsi="Arial" w:eastAsia="黑体"/>
      <w:b/>
      <w:bCs/>
      <w:sz w:val="32"/>
      <w:szCs w:val="32"/>
      <w:lang w:bidi="ar-SA"/>
    </w:rPr>
  </w:style>
  <w:style w:type="character" w:customStyle="1" w:styleId="607">
    <w:name w:val="标题 3 字符4"/>
    <w:qFormat/>
    <w:uiPriority w:val="0"/>
    <w:rPr>
      <w:rFonts w:eastAsia="宋体"/>
      <w:b/>
      <w:bCs/>
      <w:sz w:val="32"/>
      <w:szCs w:val="32"/>
      <w:lang w:bidi="ar-SA"/>
    </w:rPr>
  </w:style>
  <w:style w:type="character" w:customStyle="1" w:styleId="608">
    <w:name w:val="标题 4 字符4"/>
    <w:qFormat/>
    <w:uiPriority w:val="0"/>
    <w:rPr>
      <w:rFonts w:ascii="Arial" w:hAnsi="Arial" w:eastAsia="黑体"/>
      <w:sz w:val="28"/>
      <w:lang w:bidi="ar-SA"/>
    </w:rPr>
  </w:style>
  <w:style w:type="character" w:customStyle="1" w:styleId="609">
    <w:name w:val="标题 5 字符4"/>
    <w:qFormat/>
    <w:uiPriority w:val="0"/>
    <w:rPr>
      <w:rFonts w:eastAsia="宋体"/>
      <w:b/>
      <w:kern w:val="2"/>
      <w:sz w:val="28"/>
      <w:szCs w:val="24"/>
      <w:lang w:val="en-US" w:eastAsia="zh-CN" w:bidi="ar-SA"/>
    </w:rPr>
  </w:style>
  <w:style w:type="character" w:customStyle="1" w:styleId="610">
    <w:name w:val="标题 6 字符4"/>
    <w:qFormat/>
    <w:uiPriority w:val="0"/>
    <w:rPr>
      <w:rFonts w:ascii="Arial" w:hAnsi="Arial" w:eastAsia="黑体"/>
      <w:b/>
      <w:kern w:val="2"/>
      <w:sz w:val="24"/>
      <w:szCs w:val="24"/>
      <w:lang w:val="en-US" w:eastAsia="zh-CN" w:bidi="ar-SA"/>
    </w:rPr>
  </w:style>
  <w:style w:type="character" w:customStyle="1" w:styleId="611">
    <w:name w:val="标题 7 字符4"/>
    <w:qFormat/>
    <w:uiPriority w:val="0"/>
    <w:rPr>
      <w:rFonts w:eastAsia="宋体"/>
      <w:b/>
      <w:kern w:val="2"/>
      <w:sz w:val="24"/>
      <w:szCs w:val="24"/>
      <w:lang w:val="en-US" w:eastAsia="zh-CN" w:bidi="ar-SA"/>
    </w:rPr>
  </w:style>
  <w:style w:type="character" w:customStyle="1" w:styleId="612">
    <w:name w:val="标题 8 字符4"/>
    <w:qFormat/>
    <w:uiPriority w:val="0"/>
    <w:rPr>
      <w:rFonts w:ascii="Arial" w:hAnsi="Arial" w:eastAsia="黑体"/>
      <w:kern w:val="2"/>
      <w:sz w:val="24"/>
      <w:szCs w:val="24"/>
      <w:lang w:val="en-US" w:eastAsia="zh-CN" w:bidi="ar-SA"/>
    </w:rPr>
  </w:style>
  <w:style w:type="character" w:customStyle="1" w:styleId="613">
    <w:name w:val="标题 9 字符4"/>
    <w:qFormat/>
    <w:uiPriority w:val="0"/>
    <w:rPr>
      <w:rFonts w:ascii="Arial" w:hAnsi="Arial" w:eastAsia="黑体"/>
      <w:kern w:val="2"/>
      <w:sz w:val="21"/>
      <w:szCs w:val="24"/>
      <w:lang w:val="en-US" w:eastAsia="zh-CN" w:bidi="ar-SA"/>
    </w:rPr>
  </w:style>
  <w:style w:type="character" w:customStyle="1" w:styleId="614">
    <w:name w:val="文档结构图 字符4"/>
    <w:qFormat/>
    <w:uiPriority w:val="0"/>
    <w:rPr>
      <w:rFonts w:eastAsia="宋体"/>
      <w:kern w:val="2"/>
      <w:sz w:val="21"/>
      <w:szCs w:val="24"/>
      <w:lang w:val="en-US" w:eastAsia="zh-CN" w:bidi="ar-SA"/>
    </w:rPr>
  </w:style>
  <w:style w:type="character" w:customStyle="1" w:styleId="615">
    <w:name w:val="批注文字 字符4"/>
    <w:qFormat/>
    <w:uiPriority w:val="0"/>
    <w:rPr>
      <w:rFonts w:eastAsia="宋体"/>
      <w:sz w:val="24"/>
      <w:lang w:bidi="ar-SA"/>
    </w:rPr>
  </w:style>
  <w:style w:type="character" w:customStyle="1" w:styleId="616">
    <w:name w:val="称呼 字符4"/>
    <w:qFormat/>
    <w:uiPriority w:val="0"/>
    <w:rPr>
      <w:kern w:val="2"/>
      <w:sz w:val="28"/>
      <w:szCs w:val="24"/>
    </w:rPr>
  </w:style>
  <w:style w:type="character" w:customStyle="1" w:styleId="617">
    <w:name w:val="正文文本 3 字符4"/>
    <w:qFormat/>
    <w:uiPriority w:val="0"/>
    <w:rPr>
      <w:rFonts w:eastAsia="宋体"/>
      <w:b/>
      <w:bCs/>
      <w:kern w:val="2"/>
      <w:sz w:val="24"/>
      <w:szCs w:val="24"/>
      <w:lang w:val="en-US" w:eastAsia="zh-CN" w:bidi="ar-SA"/>
    </w:rPr>
  </w:style>
  <w:style w:type="character" w:customStyle="1" w:styleId="618">
    <w:name w:val="正文文本 字符4"/>
    <w:qFormat/>
    <w:uiPriority w:val="0"/>
    <w:rPr>
      <w:rFonts w:eastAsia="宋体"/>
      <w:kern w:val="2"/>
      <w:sz w:val="24"/>
      <w:szCs w:val="24"/>
      <w:lang w:val="en-US" w:eastAsia="zh-CN" w:bidi="ar-SA"/>
    </w:rPr>
  </w:style>
  <w:style w:type="character" w:customStyle="1" w:styleId="619">
    <w:name w:val="正文文本缩进 字符4"/>
    <w:qFormat/>
    <w:uiPriority w:val="0"/>
    <w:rPr>
      <w:rFonts w:ascii="仿宋_GB2312" w:eastAsia="仿宋_GB2312"/>
      <w:kern w:val="2"/>
      <w:sz w:val="32"/>
      <w:lang w:val="en-US" w:eastAsia="zh-CN" w:bidi="ar-SA"/>
    </w:rPr>
  </w:style>
  <w:style w:type="character" w:customStyle="1" w:styleId="620">
    <w:name w:val="HTML 地址 字符4"/>
    <w:qFormat/>
    <w:locked/>
    <w:uiPriority w:val="0"/>
    <w:rPr>
      <w:rFonts w:ascii="宋体" w:eastAsia="宋体"/>
      <w:i/>
      <w:iCs/>
      <w:kern w:val="21"/>
      <w:sz w:val="21"/>
      <w:szCs w:val="21"/>
      <w:lang w:val="en-US" w:eastAsia="zh-CN" w:bidi="ar-SA"/>
    </w:rPr>
  </w:style>
  <w:style w:type="character" w:customStyle="1" w:styleId="621">
    <w:name w:val="TOC 3 字符"/>
    <w:qFormat/>
    <w:locked/>
    <w:uiPriority w:val="0"/>
    <w:rPr>
      <w:rFonts w:eastAsia="宋体"/>
      <w:kern w:val="2"/>
      <w:sz w:val="21"/>
      <w:szCs w:val="24"/>
      <w:lang w:val="en-US" w:eastAsia="zh-CN" w:bidi="ar-SA"/>
    </w:rPr>
  </w:style>
  <w:style w:type="character" w:customStyle="1" w:styleId="622">
    <w:name w:val="纯文本 字符5"/>
    <w:qFormat/>
    <w:uiPriority w:val="0"/>
    <w:rPr>
      <w:rFonts w:ascii="宋体" w:hAnsi="Courier New" w:eastAsia="宋体" w:cs="Courier New"/>
      <w:kern w:val="2"/>
      <w:sz w:val="21"/>
      <w:szCs w:val="21"/>
      <w:lang w:val="en-US" w:eastAsia="zh-CN" w:bidi="ar-SA"/>
    </w:rPr>
  </w:style>
  <w:style w:type="character" w:customStyle="1" w:styleId="623">
    <w:name w:val="日期 字符4"/>
    <w:qFormat/>
    <w:uiPriority w:val="0"/>
    <w:rPr>
      <w:rFonts w:ascii="宋体" w:hAnsi="Courier New" w:eastAsia="宋体" w:cs="Courier New"/>
      <w:kern w:val="2"/>
      <w:sz w:val="21"/>
      <w:szCs w:val="21"/>
      <w:lang w:val="en-US" w:eastAsia="zh-CN" w:bidi="ar-SA"/>
    </w:rPr>
  </w:style>
  <w:style w:type="character" w:customStyle="1" w:styleId="624">
    <w:name w:val="正文文本缩进 2 字符4"/>
    <w:qFormat/>
    <w:uiPriority w:val="0"/>
    <w:rPr>
      <w:rFonts w:eastAsia="宋体"/>
      <w:kern w:val="2"/>
      <w:sz w:val="32"/>
      <w:lang w:val="en-US" w:eastAsia="zh-CN" w:bidi="ar-SA"/>
    </w:rPr>
  </w:style>
  <w:style w:type="character" w:customStyle="1" w:styleId="625">
    <w:name w:val="尾注文本 字符4"/>
    <w:qFormat/>
    <w:uiPriority w:val="0"/>
    <w:rPr>
      <w:rFonts w:ascii="Calibri" w:hAnsi="Calibri"/>
      <w:kern w:val="2"/>
      <w:sz w:val="21"/>
      <w:szCs w:val="22"/>
    </w:rPr>
  </w:style>
  <w:style w:type="character" w:customStyle="1" w:styleId="626">
    <w:name w:val="页脚 字符4"/>
    <w:qFormat/>
    <w:uiPriority w:val="0"/>
    <w:rPr>
      <w:rFonts w:eastAsia="宋体"/>
      <w:kern w:val="2"/>
      <w:sz w:val="18"/>
      <w:szCs w:val="18"/>
      <w:lang w:val="en-US" w:eastAsia="zh-CN" w:bidi="ar-SA"/>
    </w:rPr>
  </w:style>
  <w:style w:type="character" w:customStyle="1" w:styleId="627">
    <w:name w:val="页眉 字符4"/>
    <w:qFormat/>
    <w:uiPriority w:val="0"/>
    <w:rPr>
      <w:rFonts w:eastAsia="宋体"/>
      <w:kern w:val="2"/>
      <w:sz w:val="18"/>
      <w:szCs w:val="18"/>
      <w:lang w:val="en-US" w:eastAsia="zh-CN" w:bidi="ar-SA"/>
    </w:rPr>
  </w:style>
  <w:style w:type="character" w:customStyle="1" w:styleId="628">
    <w:name w:val="脚注文本 字符4"/>
    <w:qFormat/>
    <w:locked/>
    <w:uiPriority w:val="0"/>
    <w:rPr>
      <w:rFonts w:ascii="宋体" w:eastAsia="宋体"/>
      <w:kern w:val="21"/>
      <w:sz w:val="18"/>
      <w:szCs w:val="18"/>
      <w:lang w:val="en-US" w:eastAsia="zh-CN" w:bidi="ar-SA"/>
    </w:rPr>
  </w:style>
  <w:style w:type="character" w:customStyle="1" w:styleId="629">
    <w:name w:val="正文文本缩进 3 字符4"/>
    <w:qFormat/>
    <w:uiPriority w:val="0"/>
    <w:rPr>
      <w:rFonts w:eastAsia="宋体"/>
      <w:kern w:val="2"/>
      <w:sz w:val="16"/>
      <w:szCs w:val="16"/>
      <w:lang w:val="en-US" w:eastAsia="zh-CN" w:bidi="ar-SA"/>
    </w:rPr>
  </w:style>
  <w:style w:type="character" w:customStyle="1" w:styleId="630">
    <w:name w:val="正文文本 2 字符4"/>
    <w:qFormat/>
    <w:uiPriority w:val="0"/>
    <w:rPr>
      <w:rFonts w:eastAsia="宋体"/>
      <w:kern w:val="2"/>
      <w:sz w:val="21"/>
      <w:szCs w:val="24"/>
      <w:lang w:val="en-US" w:eastAsia="zh-CN" w:bidi="ar-SA"/>
    </w:rPr>
  </w:style>
  <w:style w:type="character" w:customStyle="1" w:styleId="631">
    <w:name w:val="HTML 预设格式 字符4"/>
    <w:qFormat/>
    <w:uiPriority w:val="0"/>
    <w:rPr>
      <w:rFonts w:ascii="黑体" w:hAnsi="Courier New" w:eastAsia="黑体" w:cs="Courier New"/>
      <w:lang w:val="en-US" w:eastAsia="zh-CN" w:bidi="ar-SA"/>
    </w:rPr>
  </w:style>
  <w:style w:type="character" w:customStyle="1" w:styleId="632">
    <w:name w:val="标题 字符4"/>
    <w:qFormat/>
    <w:uiPriority w:val="0"/>
    <w:rPr>
      <w:rFonts w:ascii="Arial" w:hAnsi="Arial" w:eastAsia="宋体"/>
      <w:b/>
      <w:bCs/>
      <w:kern w:val="2"/>
      <w:sz w:val="32"/>
      <w:szCs w:val="32"/>
      <w:lang w:bidi="ar-SA"/>
    </w:rPr>
  </w:style>
  <w:style w:type="character" w:customStyle="1" w:styleId="633">
    <w:name w:val="无间隔 字符5"/>
    <w:qFormat/>
    <w:uiPriority w:val="0"/>
    <w:rPr>
      <w:sz w:val="22"/>
      <w:szCs w:val="22"/>
      <w:lang w:val="en-US" w:eastAsia="zh-CN" w:bidi="ar-SA"/>
    </w:rPr>
  </w:style>
  <w:style w:type="character" w:customStyle="1" w:styleId="634">
    <w:name w:val="Char Char53"/>
    <w:qFormat/>
    <w:uiPriority w:val="0"/>
    <w:rPr>
      <w:rFonts w:eastAsia="宋体"/>
      <w:b/>
      <w:bCs/>
      <w:kern w:val="44"/>
      <w:sz w:val="44"/>
      <w:szCs w:val="44"/>
      <w:lang w:val="en-US" w:eastAsia="zh-CN" w:bidi="ar-SA"/>
    </w:rPr>
  </w:style>
  <w:style w:type="character" w:customStyle="1" w:styleId="635">
    <w:name w:val="Char Char52"/>
    <w:qFormat/>
    <w:uiPriority w:val="0"/>
    <w:rPr>
      <w:rFonts w:ascii="Arial" w:hAnsi="Arial" w:eastAsia="黑体"/>
      <w:b/>
      <w:bCs/>
      <w:sz w:val="32"/>
      <w:szCs w:val="32"/>
      <w:lang w:bidi="ar-SA"/>
    </w:rPr>
  </w:style>
  <w:style w:type="character" w:customStyle="1" w:styleId="636">
    <w:name w:val="Char Char51"/>
    <w:qFormat/>
    <w:uiPriority w:val="0"/>
    <w:rPr>
      <w:rFonts w:eastAsia="宋体"/>
      <w:b/>
      <w:bCs/>
      <w:sz w:val="32"/>
      <w:szCs w:val="32"/>
      <w:lang w:bidi="ar-SA"/>
    </w:rPr>
  </w:style>
  <w:style w:type="character" w:customStyle="1" w:styleId="637">
    <w:name w:val="无间隔 字符6"/>
    <w:qFormat/>
    <w:uiPriority w:val="0"/>
    <w:rPr>
      <w:sz w:val="22"/>
      <w:szCs w:val="22"/>
      <w:lang w:val="en-US" w:eastAsia="zh-CN" w:bidi="ar-SA"/>
    </w:rPr>
  </w:style>
  <w:style w:type="character" w:customStyle="1" w:styleId="638">
    <w:name w:val="普通文字 Char Char8"/>
    <w:qFormat/>
    <w:uiPriority w:val="0"/>
    <w:rPr>
      <w:rFonts w:ascii="宋体" w:hAnsi="Courier New" w:eastAsia="宋体" w:cs="Courier New"/>
      <w:kern w:val="2"/>
      <w:sz w:val="21"/>
      <w:szCs w:val="21"/>
      <w:lang w:val="en-US" w:eastAsia="zh-CN" w:bidi="ar-SA"/>
    </w:rPr>
  </w:style>
  <w:style w:type="character" w:customStyle="1" w:styleId="639">
    <w:name w:val="font81"/>
    <w:basedOn w:val="55"/>
    <w:qFormat/>
    <w:uiPriority w:val="0"/>
    <w:rPr>
      <w:rFonts w:ascii="微软雅黑" w:hAnsi="微软雅黑" w:eastAsia="微软雅黑" w:cs="微软雅黑"/>
      <w:color w:val="000000"/>
      <w:sz w:val="18"/>
      <w:szCs w:val="18"/>
      <w:u w:val="none"/>
    </w:rPr>
  </w:style>
  <w:style w:type="character" w:customStyle="1" w:styleId="640">
    <w:name w:val="Char Char57"/>
    <w:qFormat/>
    <w:uiPriority w:val="0"/>
    <w:rPr>
      <w:rFonts w:eastAsia="宋体"/>
      <w:b/>
      <w:bCs/>
      <w:kern w:val="44"/>
      <w:sz w:val="44"/>
      <w:szCs w:val="44"/>
      <w:lang w:val="en-US" w:eastAsia="zh-CN" w:bidi="ar-SA"/>
    </w:rPr>
  </w:style>
  <w:style w:type="character" w:customStyle="1" w:styleId="641">
    <w:name w:val="Char Char56"/>
    <w:qFormat/>
    <w:uiPriority w:val="0"/>
    <w:rPr>
      <w:rFonts w:ascii="Arial" w:hAnsi="Arial" w:eastAsia="黑体"/>
      <w:b/>
      <w:bCs/>
      <w:sz w:val="32"/>
      <w:szCs w:val="32"/>
      <w:lang w:bidi="ar-SA"/>
    </w:rPr>
  </w:style>
  <w:style w:type="character" w:customStyle="1" w:styleId="642">
    <w:name w:val="Char Char55"/>
    <w:qFormat/>
    <w:uiPriority w:val="0"/>
    <w:rPr>
      <w:rFonts w:eastAsia="宋体"/>
      <w:b/>
      <w:bCs/>
      <w:sz w:val="32"/>
      <w:szCs w:val="32"/>
      <w:lang w:bidi="ar-SA"/>
    </w:rPr>
  </w:style>
  <w:style w:type="character" w:customStyle="1" w:styleId="643">
    <w:name w:val="Char Char54"/>
    <w:qFormat/>
    <w:uiPriority w:val="0"/>
    <w:rPr>
      <w:rFonts w:ascii="Arial" w:hAnsi="Arial" w:eastAsia="黑体"/>
      <w:sz w:val="28"/>
      <w:lang w:bidi="ar-SA"/>
    </w:rPr>
  </w:style>
  <w:style w:type="character" w:customStyle="1" w:styleId="644">
    <w:name w:val="无间隔 字符7"/>
    <w:qFormat/>
    <w:uiPriority w:val="0"/>
    <w:rPr>
      <w:sz w:val="22"/>
      <w:szCs w:val="22"/>
      <w:lang w:val="en-US" w:eastAsia="zh-CN" w:bidi="ar-SA"/>
    </w:rPr>
  </w:style>
  <w:style w:type="paragraph" w:customStyle="1" w:styleId="645">
    <w:name w:val="_Style 637"/>
    <w:basedOn w:val="1"/>
    <w:next w:val="1"/>
    <w:qFormat/>
    <w:uiPriority w:val="0"/>
    <w:pPr>
      <w:tabs>
        <w:tab w:val="right" w:leader="dot" w:pos="9185"/>
      </w:tabs>
      <w:adjustRightInd w:val="0"/>
      <w:spacing w:line="312" w:lineRule="atLeast"/>
      <w:ind w:left="3360"/>
      <w:textAlignment w:val="baseline"/>
    </w:pPr>
    <w:rPr>
      <w:kern w:val="0"/>
      <w:szCs w:val="20"/>
    </w:rPr>
  </w:style>
  <w:style w:type="character" w:customStyle="1" w:styleId="646">
    <w:name w:val="Char Char61"/>
    <w:qFormat/>
    <w:uiPriority w:val="0"/>
    <w:rPr>
      <w:rFonts w:eastAsia="宋体"/>
      <w:b/>
      <w:bCs/>
      <w:kern w:val="44"/>
      <w:sz w:val="44"/>
      <w:szCs w:val="44"/>
      <w:lang w:val="en-US" w:eastAsia="zh-CN" w:bidi="ar-SA"/>
    </w:rPr>
  </w:style>
  <w:style w:type="character" w:customStyle="1" w:styleId="647">
    <w:name w:val="Char Char60"/>
    <w:qFormat/>
    <w:uiPriority w:val="0"/>
    <w:rPr>
      <w:rFonts w:ascii="Arial" w:hAnsi="Arial" w:eastAsia="黑体"/>
      <w:b/>
      <w:bCs/>
      <w:sz w:val="32"/>
      <w:szCs w:val="32"/>
      <w:lang w:bidi="ar-SA"/>
    </w:rPr>
  </w:style>
  <w:style w:type="character" w:customStyle="1" w:styleId="648">
    <w:name w:val="Char Char59"/>
    <w:qFormat/>
    <w:uiPriority w:val="0"/>
    <w:rPr>
      <w:rFonts w:eastAsia="宋体"/>
      <w:b/>
      <w:bCs/>
      <w:sz w:val="32"/>
      <w:szCs w:val="32"/>
      <w:lang w:bidi="ar-SA"/>
    </w:rPr>
  </w:style>
  <w:style w:type="character" w:customStyle="1" w:styleId="649">
    <w:name w:val="Char Char58"/>
    <w:qFormat/>
    <w:uiPriority w:val="0"/>
    <w:rPr>
      <w:rFonts w:ascii="Arial" w:hAnsi="Arial" w:eastAsia="黑体"/>
      <w:sz w:val="28"/>
      <w:lang w:bidi="ar-SA"/>
    </w:rPr>
  </w:style>
  <w:style w:type="character" w:customStyle="1" w:styleId="650">
    <w:name w:val="无间隔 字符8"/>
    <w:qFormat/>
    <w:uiPriority w:val="0"/>
    <w:rPr>
      <w:sz w:val="22"/>
      <w:szCs w:val="22"/>
      <w:lang w:val="en-US" w:eastAsia="zh-CN" w:bidi="ar-SA"/>
    </w:rPr>
  </w:style>
  <w:style w:type="character" w:customStyle="1" w:styleId="651">
    <w:name w:val="font121"/>
    <w:basedOn w:val="55"/>
    <w:qFormat/>
    <w:uiPriority w:val="0"/>
    <w:rPr>
      <w:rFonts w:hint="eastAsia" w:ascii="宋体" w:hAnsi="宋体" w:eastAsia="宋体" w:cs="宋体"/>
      <w:b/>
      <w:bCs/>
      <w:color w:val="000000"/>
      <w:sz w:val="12"/>
      <w:szCs w:val="12"/>
      <w:u w:val="none"/>
    </w:rPr>
  </w:style>
  <w:style w:type="paragraph" w:customStyle="1" w:styleId="652">
    <w:name w:val="Table Text"/>
    <w:basedOn w:val="1"/>
    <w:semiHidden/>
    <w:qFormat/>
    <w:uiPriority w:val="0"/>
    <w:rPr>
      <w:rFonts w:ascii="宋体" w:hAnsi="宋体" w:cs="宋体"/>
      <w:sz w:val="20"/>
      <w:szCs w:val="20"/>
    </w:rPr>
  </w:style>
  <w:style w:type="paragraph" w:customStyle="1" w:styleId="653">
    <w:name w:val="null3"/>
    <w:basedOn w:val="1"/>
    <w:unhideWhenUsed/>
    <w:qFormat/>
    <w:uiPriority w:val="99"/>
    <w:pPr>
      <w:widowControl/>
    </w:pPr>
    <w:rPr>
      <w:rFonts w:hint="eastAsia" w:ascii="Calibri" w:hAnsi="Calibri" w:cs="Calibri"/>
      <w:sz w:val="20"/>
      <w:szCs w:val="20"/>
    </w:rPr>
  </w:style>
  <w:style w:type="paragraph" w:customStyle="1" w:styleId="654">
    <w:name w:val="列表段落11"/>
    <w:basedOn w:val="1"/>
    <w:qFormat/>
    <w:uiPriority w:val="34"/>
    <w:pPr>
      <w:ind w:firstLine="420" w:firstLineChars="200"/>
    </w:pPr>
    <w:rPr>
      <w:rFonts w:ascii="Calibri" w:hAnsi="Calibri"/>
      <w:szCs w:val="22"/>
    </w:rPr>
  </w:style>
  <w:style w:type="paragraph" w:customStyle="1" w:styleId="655">
    <w:name w:val="正文格式"/>
    <w:qFormat/>
    <w:uiPriority w:val="0"/>
    <w:pPr>
      <w:adjustRightInd w:val="0"/>
      <w:snapToGrid w:val="0"/>
      <w:spacing w:after="160" w:line="400" w:lineRule="atLeast"/>
      <w:ind w:firstLine="482"/>
      <w:jc w:val="both"/>
      <w:textAlignment w:val="baseline"/>
    </w:pPr>
    <w:rPr>
      <w:rFonts w:ascii="Times New Roman" w:hAnsi="Times New Roman" w:eastAsia="宋体" w:cs="Times New Roman"/>
      <w:sz w:val="24"/>
      <w:szCs w:val="24"/>
      <w:lang w:val="en-US" w:eastAsia="zh-CN" w:bidi="ar-SA"/>
    </w:rPr>
  </w:style>
  <w:style w:type="character" w:customStyle="1" w:styleId="656">
    <w:name w:val="NormalCharacter"/>
    <w:semiHidden/>
    <w:qFormat/>
    <w:uiPriority w:val="0"/>
  </w:style>
  <w:style w:type="paragraph" w:styleId="657">
    <w:name w:val="List Paragraph"/>
    <w:basedOn w:val="1"/>
    <w:unhideWhenUsed/>
    <w:qFormat/>
    <w:uiPriority w:val="99"/>
    <w:pPr>
      <w:ind w:firstLine="420" w:firstLineChars="200"/>
    </w:pPr>
  </w:style>
  <w:style w:type="paragraph" w:customStyle="1" w:styleId="65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659">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660">
    <w:name w:val="paragraph"/>
    <w:basedOn w:val="1"/>
    <w:semiHidden/>
    <w:qFormat/>
    <w:uiPriority w:val="0"/>
    <w:pPr>
      <w:widowControl/>
      <w:spacing w:before="100" w:beforeAutospacing="1" w:after="100" w:afterAutospacing="1" w:line="240" w:lineRule="auto"/>
      <w:jc w:val="left"/>
    </w:pPr>
    <w:rPr>
      <w:rFonts w:ascii="等线" w:hAnsi="等线" w:eastAsia="等线"/>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83</Pages>
  <Words>44024</Words>
  <Characters>46272</Characters>
  <Lines>57</Lines>
  <Paragraphs>101</Paragraphs>
  <TotalTime>66</TotalTime>
  <ScaleCrop>false</ScaleCrop>
  <LinksUpToDate>false</LinksUpToDate>
  <CharactersWithSpaces>48992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2022-05-31T11:06:00Z</dcterms:created>
  <dc:creator>聂泉源</dc:creator>
  <cp:lastModifiedBy>cgzx-li</cp:lastModifiedBy>
  <cp:lastPrinted>2026-05-01T15:57:00Z</cp:lastPrinted>
  <dcterms:modified xsi:type="dcterms:W3CDTF">2026-05-06T10:14:45Z</dcterms:modified>
  <dc:title>3</dc:title>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eyJoZGlkIjoiM2M2YmM5NGM0ZjNiMTdiNGRhNzIzN2RjZTRlYjUxMDciLCJ1c2VySWQiOiI1MzUxNTQxNTMifQ==</vt:lpwstr>
  </property>
  <property fmtid="{D5CDD505-2E9C-101B-9397-08002B2CF9AE}" pid="4" name="ICV">
    <vt:lpwstr>44B0E24C3613C75FD6CDE669DB1DBF5D_43</vt:lpwstr>
  </property>
</Properties>
</file>