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65171">
      <w:pPr>
        <w:spacing w:before="156" w:beforeLines="50"/>
        <w:jc w:val="center"/>
        <w:rPr>
          <w:rFonts w:hint="eastAsia" w:ascii="仿宋_GB2312" w:eastAsia="仿宋_GB2312"/>
          <w:b/>
          <w:color w:val="auto"/>
          <w:sz w:val="72"/>
          <w:szCs w:val="72"/>
          <w:highlight w:val="none"/>
        </w:rPr>
      </w:pPr>
      <w:bookmarkStart w:id="17" w:name="_GoBack"/>
    </w:p>
    <w:p w14:paraId="02B270C5">
      <w:pPr>
        <w:spacing w:before="156" w:beforeLines="50"/>
        <w:jc w:val="center"/>
        <w:rPr>
          <w:rFonts w:hint="eastAsia" w:ascii="仿宋_GB2312" w:eastAsia="仿宋_GB2312"/>
          <w:color w:val="auto"/>
          <w:sz w:val="72"/>
          <w:szCs w:val="72"/>
          <w:highlight w:val="none"/>
          <w:shd w:val="clear" w:color="auto" w:fill="auto"/>
        </w:rPr>
      </w:pPr>
      <w:r>
        <w:rPr>
          <w:rFonts w:hint="eastAsia" w:ascii="仿宋_GB2312" w:eastAsia="仿宋_GB2312"/>
          <w:color w:val="auto"/>
          <w:sz w:val="72"/>
          <w:szCs w:val="72"/>
          <w:highlight w:val="none"/>
          <w:shd w:val="clear" w:color="auto" w:fill="auto"/>
        </w:rPr>
        <w:t>公开招标采购文件</w:t>
      </w:r>
    </w:p>
    <w:p w14:paraId="69B6AE77">
      <w:pPr>
        <w:snapToGrid w:val="0"/>
        <w:jc w:val="center"/>
        <w:rPr>
          <w:rFonts w:hint="eastAsia" w:ascii="仿宋_GB2312" w:eastAsia="仿宋_GB2312"/>
          <w:color w:val="auto"/>
          <w:sz w:val="48"/>
          <w:szCs w:val="48"/>
          <w:highlight w:val="none"/>
          <w:shd w:val="clear" w:color="auto" w:fill="auto"/>
        </w:rPr>
      </w:pPr>
    </w:p>
    <w:p w14:paraId="5DC17B75">
      <w:pPr>
        <w:snapToGrid w:val="0"/>
        <w:jc w:val="center"/>
        <w:rPr>
          <w:rFonts w:hint="eastAsia" w:ascii="仿宋_GB2312" w:eastAsia="仿宋_GB2312"/>
          <w:color w:val="auto"/>
          <w:sz w:val="48"/>
          <w:szCs w:val="48"/>
          <w:highlight w:val="none"/>
          <w:shd w:val="clear" w:color="auto" w:fill="auto"/>
        </w:rPr>
      </w:pPr>
    </w:p>
    <w:p w14:paraId="7A4EFADC">
      <w:pPr>
        <w:snapToGrid w:val="0"/>
        <w:jc w:val="center"/>
        <w:rPr>
          <w:rFonts w:hint="eastAsia" w:ascii="仿宋_GB2312" w:eastAsia="仿宋_GB2312"/>
          <w:color w:val="auto"/>
          <w:sz w:val="48"/>
          <w:szCs w:val="48"/>
          <w:highlight w:val="none"/>
          <w:shd w:val="clear" w:color="auto" w:fill="auto"/>
        </w:rPr>
      </w:pPr>
    </w:p>
    <w:p w14:paraId="7EB5F7EE">
      <w:pPr>
        <w:snapToGrid w:val="0"/>
        <w:jc w:val="center"/>
        <w:rPr>
          <w:rFonts w:hint="eastAsia" w:ascii="仿宋_GB2312" w:eastAsia="仿宋_GB2312"/>
          <w:color w:val="auto"/>
          <w:sz w:val="48"/>
          <w:szCs w:val="48"/>
          <w:highlight w:val="none"/>
          <w:shd w:val="clear" w:color="auto" w:fill="auto"/>
        </w:rPr>
      </w:pPr>
    </w:p>
    <w:p w14:paraId="0E75517A">
      <w:pPr>
        <w:snapToGrid w:val="0"/>
        <w:ind w:firstLine="1485" w:firstLineChars="493"/>
        <w:rPr>
          <w:rFonts w:hint="eastAsia" w:ascii="仿宋_GB2312" w:eastAsia="仿宋_GB2312"/>
          <w:b/>
          <w:bCs/>
          <w:color w:val="auto"/>
          <w:sz w:val="30"/>
          <w:szCs w:val="30"/>
          <w:highlight w:val="none"/>
          <w:shd w:val="clear" w:color="auto" w:fill="auto"/>
          <w:lang w:eastAsia="zh-CN"/>
        </w:rPr>
      </w:pPr>
      <w:r>
        <w:rPr>
          <w:rFonts w:hint="eastAsia" w:ascii="仿宋_GB2312" w:eastAsia="仿宋_GB2312"/>
          <w:b/>
          <w:bCs/>
          <w:color w:val="auto"/>
          <w:sz w:val="30"/>
          <w:szCs w:val="30"/>
          <w:highlight w:val="none"/>
          <w:shd w:val="clear" w:color="auto" w:fill="auto"/>
        </w:rPr>
        <w:t>项目编号：GXZC2026-G1-000650-CGZX</w:t>
      </w:r>
      <w:r>
        <w:rPr>
          <w:rFonts w:ascii="仿宋_GB2312" w:hAnsi="宋体" w:eastAsia="仿宋_GB2312"/>
          <w:b/>
          <w:bCs/>
          <w:color w:val="auto"/>
          <w:sz w:val="30"/>
          <w:szCs w:val="30"/>
          <w:highlight w:val="none"/>
        </w:rPr>
        <w:t xml:space="preserve"> </w:t>
      </w:r>
    </w:p>
    <w:p w14:paraId="2D4A6AE2">
      <w:pPr>
        <w:snapToGrid w:val="0"/>
        <w:ind w:firstLine="1843"/>
        <w:rPr>
          <w:rFonts w:hint="eastAsia" w:ascii="仿宋_GB2312" w:eastAsia="仿宋_GB2312"/>
          <w:b/>
          <w:bCs/>
          <w:color w:val="auto"/>
          <w:sz w:val="30"/>
          <w:szCs w:val="30"/>
          <w:highlight w:val="none"/>
          <w:shd w:val="clear" w:color="auto" w:fill="auto"/>
        </w:rPr>
      </w:pPr>
    </w:p>
    <w:p w14:paraId="521ADDC1">
      <w:pPr>
        <w:snapToGrid w:val="0"/>
        <w:ind w:firstLine="1485" w:firstLineChars="493"/>
        <w:jc w:val="left"/>
        <w:rPr>
          <w:rFonts w:hint="eastAsia" w:ascii="仿宋_GB2312" w:eastAsia="仿宋_GB2312"/>
          <w:b/>
          <w:color w:val="auto"/>
          <w:sz w:val="30"/>
          <w:szCs w:val="72"/>
          <w:highlight w:val="none"/>
          <w:shd w:val="clear" w:color="auto" w:fill="auto"/>
        </w:rPr>
      </w:pPr>
      <w:r>
        <w:rPr>
          <w:rFonts w:hint="eastAsia" w:ascii="仿宋_GB2312" w:eastAsia="仿宋_GB2312"/>
          <w:b/>
          <w:color w:val="auto"/>
          <w:sz w:val="30"/>
          <w:szCs w:val="72"/>
          <w:highlight w:val="none"/>
          <w:shd w:val="clear" w:color="auto" w:fill="auto"/>
        </w:rPr>
        <w:t>项目名称：武鸣校区7#礼堂及5#学生活动综合楼</w:t>
      </w:r>
    </w:p>
    <w:p w14:paraId="0707016C">
      <w:pPr>
        <w:snapToGrid w:val="0"/>
        <w:ind w:firstLine="1485" w:firstLineChars="493"/>
        <w:jc w:val="left"/>
        <w:rPr>
          <w:rFonts w:hint="default" w:ascii="仿宋_GB2312" w:eastAsia="仿宋_GB2312"/>
          <w:b/>
          <w:color w:val="auto"/>
          <w:sz w:val="30"/>
          <w:szCs w:val="72"/>
          <w:highlight w:val="none"/>
          <w:shd w:val="clear" w:color="auto" w:fill="auto"/>
          <w:lang w:val="en-US" w:eastAsia="zh-CN"/>
        </w:rPr>
      </w:pPr>
      <w:r>
        <w:rPr>
          <w:rFonts w:hint="eastAsia" w:ascii="仿宋_GB2312" w:eastAsia="仿宋_GB2312"/>
          <w:b/>
          <w:color w:val="auto"/>
          <w:sz w:val="30"/>
          <w:szCs w:val="72"/>
          <w:highlight w:val="none"/>
          <w:shd w:val="clear" w:color="auto" w:fill="auto"/>
          <w:lang w:val="en-US" w:eastAsia="zh-CN"/>
        </w:rPr>
        <w:t xml:space="preserve">          </w:t>
      </w:r>
      <w:r>
        <w:rPr>
          <w:rFonts w:hint="eastAsia" w:ascii="仿宋_GB2312" w:eastAsia="仿宋_GB2312"/>
          <w:b/>
          <w:color w:val="auto"/>
          <w:sz w:val="30"/>
          <w:szCs w:val="72"/>
          <w:highlight w:val="none"/>
          <w:shd w:val="clear" w:color="auto" w:fill="auto"/>
        </w:rPr>
        <w:t>一层会议空间显示系统及家具采购</w:t>
      </w:r>
    </w:p>
    <w:p w14:paraId="2C091D63">
      <w:pPr>
        <w:snapToGrid w:val="0"/>
        <w:ind w:firstLine="1843" w:firstLineChars="612"/>
        <w:rPr>
          <w:rFonts w:hint="eastAsia" w:ascii="仿宋_GB2312" w:eastAsia="仿宋_GB2312"/>
          <w:b/>
          <w:color w:val="auto"/>
          <w:sz w:val="30"/>
          <w:szCs w:val="72"/>
          <w:highlight w:val="none"/>
          <w:shd w:val="clear" w:color="auto" w:fill="auto"/>
        </w:rPr>
      </w:pPr>
    </w:p>
    <w:p w14:paraId="4832F9DE">
      <w:pPr>
        <w:snapToGrid w:val="0"/>
        <w:ind w:firstLine="1485" w:firstLineChars="493"/>
        <w:rPr>
          <w:rFonts w:ascii="仿宋_GB2312" w:eastAsia="仿宋_GB2312"/>
          <w:b/>
          <w:color w:val="auto"/>
          <w:sz w:val="44"/>
          <w:szCs w:val="44"/>
          <w:highlight w:val="none"/>
          <w:shd w:val="clear" w:color="auto" w:fill="auto"/>
        </w:rPr>
      </w:pPr>
      <w:r>
        <w:rPr>
          <w:rFonts w:hint="eastAsia" w:ascii="仿宋_GB2312" w:eastAsia="仿宋_GB2312"/>
          <w:b/>
          <w:color w:val="auto"/>
          <w:sz w:val="30"/>
          <w:szCs w:val="72"/>
          <w:highlight w:val="none"/>
          <w:shd w:val="clear" w:color="auto" w:fill="auto"/>
        </w:rPr>
        <w:t>采购单位：</w:t>
      </w:r>
      <w:r>
        <w:rPr>
          <w:rFonts w:hint="eastAsia" w:ascii="仿宋_GB2312" w:hAnsi="宋体" w:eastAsia="仿宋_GB2312"/>
          <w:b/>
          <w:color w:val="auto"/>
          <w:sz w:val="30"/>
          <w:szCs w:val="72"/>
          <w:highlight w:val="none"/>
        </w:rPr>
        <w:t xml:space="preserve">广西建设职业技术学院 </w:t>
      </w:r>
    </w:p>
    <w:p w14:paraId="66E68CEF">
      <w:pPr>
        <w:snapToGrid w:val="0"/>
        <w:ind w:firstLine="2861" w:firstLineChars="950"/>
        <w:rPr>
          <w:rFonts w:hint="eastAsia" w:ascii="仿宋_GB2312" w:eastAsia="仿宋_GB2312"/>
          <w:b/>
          <w:color w:val="auto"/>
          <w:sz w:val="30"/>
          <w:szCs w:val="72"/>
          <w:highlight w:val="none"/>
          <w:shd w:val="clear" w:color="auto" w:fill="auto"/>
        </w:rPr>
      </w:pPr>
    </w:p>
    <w:p w14:paraId="0404A48E">
      <w:pPr>
        <w:ind w:firstLine="2861" w:firstLineChars="950"/>
        <w:rPr>
          <w:rFonts w:hint="eastAsia" w:ascii="仿宋_GB2312" w:eastAsia="仿宋_GB2312"/>
          <w:b/>
          <w:color w:val="auto"/>
          <w:sz w:val="30"/>
          <w:szCs w:val="72"/>
          <w:highlight w:val="none"/>
          <w:shd w:val="clear" w:color="auto" w:fill="auto"/>
        </w:rPr>
      </w:pPr>
    </w:p>
    <w:p w14:paraId="3437CD96">
      <w:pPr>
        <w:ind w:firstLine="2861" w:firstLineChars="950"/>
        <w:rPr>
          <w:rFonts w:hint="eastAsia" w:ascii="仿宋_GB2312" w:eastAsia="仿宋_GB2312"/>
          <w:b/>
          <w:color w:val="auto"/>
          <w:sz w:val="30"/>
          <w:szCs w:val="72"/>
          <w:highlight w:val="none"/>
          <w:shd w:val="clear" w:color="auto" w:fill="auto"/>
        </w:rPr>
      </w:pPr>
    </w:p>
    <w:p w14:paraId="1AD1FAF3">
      <w:pPr>
        <w:ind w:firstLine="2861" w:firstLineChars="950"/>
        <w:rPr>
          <w:rFonts w:hint="eastAsia" w:ascii="仿宋_GB2312" w:eastAsia="仿宋_GB2312"/>
          <w:b/>
          <w:color w:val="auto"/>
          <w:sz w:val="30"/>
          <w:szCs w:val="72"/>
          <w:highlight w:val="none"/>
          <w:shd w:val="clear" w:color="auto" w:fill="auto"/>
        </w:rPr>
      </w:pPr>
    </w:p>
    <w:p w14:paraId="753834B9">
      <w:pPr>
        <w:pStyle w:val="4"/>
        <w:rPr>
          <w:rFonts w:hint="eastAsia" w:ascii="仿宋_GB2312" w:eastAsia="仿宋_GB2312"/>
          <w:b/>
          <w:color w:val="auto"/>
          <w:sz w:val="30"/>
          <w:szCs w:val="72"/>
          <w:highlight w:val="none"/>
          <w:shd w:val="clear" w:color="auto" w:fill="auto"/>
        </w:rPr>
      </w:pPr>
    </w:p>
    <w:p w14:paraId="4B4F50AC">
      <w:pPr>
        <w:rPr>
          <w:rFonts w:hint="eastAsia" w:ascii="仿宋_GB2312" w:eastAsia="仿宋_GB2312"/>
          <w:b/>
          <w:color w:val="auto"/>
          <w:sz w:val="30"/>
          <w:szCs w:val="72"/>
          <w:highlight w:val="none"/>
          <w:shd w:val="clear" w:color="auto" w:fill="auto"/>
        </w:rPr>
      </w:pPr>
    </w:p>
    <w:p w14:paraId="3B58B57D">
      <w:pPr>
        <w:pStyle w:val="4"/>
        <w:rPr>
          <w:rFonts w:hint="eastAsia"/>
          <w:color w:val="auto"/>
          <w:highlight w:val="none"/>
        </w:rPr>
      </w:pPr>
    </w:p>
    <w:p w14:paraId="00119C15">
      <w:pPr>
        <w:snapToGrid w:val="0"/>
        <w:spacing w:before="156" w:beforeLines="50"/>
        <w:jc w:val="both"/>
        <w:rPr>
          <w:rFonts w:hint="eastAsia" w:ascii="仿宋_GB2312" w:eastAsia="仿宋_GB2312"/>
          <w:b/>
          <w:color w:val="auto"/>
          <w:sz w:val="30"/>
          <w:szCs w:val="72"/>
          <w:highlight w:val="none"/>
          <w:shd w:val="clear" w:color="auto" w:fill="auto"/>
        </w:rPr>
      </w:pPr>
      <w:r>
        <w:rPr>
          <w:rFonts w:hint="eastAsia" w:ascii="仿宋_GB2312" w:eastAsia="仿宋_GB2312"/>
          <w:b/>
          <w:color w:val="auto"/>
          <w:sz w:val="30"/>
          <w:szCs w:val="72"/>
          <w:highlight w:val="none"/>
          <w:shd w:val="clear" w:color="auto" w:fill="auto"/>
          <w:lang w:val="en-US" w:eastAsia="zh-CN"/>
        </w:rPr>
        <w:t xml:space="preserve">        </w:t>
      </w:r>
      <w:r>
        <w:rPr>
          <w:rFonts w:hint="eastAsia" w:ascii="仿宋_GB2312" w:eastAsia="仿宋_GB2312"/>
          <w:b/>
          <w:color w:val="auto"/>
          <w:sz w:val="30"/>
          <w:szCs w:val="72"/>
          <w:highlight w:val="none"/>
          <w:shd w:val="clear" w:color="auto" w:fill="auto"/>
        </w:rPr>
        <w:t>采购代理机构：广西壮族自治区政府采购中心</w:t>
      </w:r>
    </w:p>
    <w:p w14:paraId="1B93EE6C">
      <w:pPr>
        <w:snapToGrid w:val="0"/>
        <w:spacing w:before="156" w:beforeLines="50"/>
        <w:rPr>
          <w:rFonts w:hint="eastAsia" w:ascii="仿宋_GB2312" w:eastAsia="仿宋_GB2312"/>
          <w:b/>
          <w:color w:val="auto"/>
          <w:szCs w:val="21"/>
          <w:highlight w:val="none"/>
          <w:shd w:val="clear" w:color="auto" w:fill="auto"/>
        </w:rPr>
      </w:pPr>
    </w:p>
    <w:p w14:paraId="1DF499D4">
      <w:pPr>
        <w:snapToGrid w:val="0"/>
        <w:spacing w:before="156" w:beforeLines="50"/>
        <w:jc w:val="center"/>
        <w:rPr>
          <w:rFonts w:ascii="仿宋_GB2312" w:eastAsia="仿宋_GB2312"/>
          <w:b/>
          <w:color w:val="auto"/>
          <w:sz w:val="30"/>
          <w:szCs w:val="72"/>
          <w:highlight w:val="none"/>
          <w:shd w:val="clear" w:color="auto" w:fill="auto"/>
        </w:rPr>
      </w:pPr>
      <w:r>
        <w:rPr>
          <w:rFonts w:ascii="仿宋_GB2312" w:eastAsia="仿宋_GB2312"/>
          <w:b/>
          <w:color w:val="auto"/>
          <w:sz w:val="30"/>
          <w:szCs w:val="72"/>
          <w:highlight w:val="none"/>
          <w:shd w:val="clear" w:color="auto" w:fill="auto"/>
        </w:rPr>
        <w:t>202</w:t>
      </w:r>
      <w:r>
        <w:rPr>
          <w:rFonts w:hint="eastAsia" w:ascii="仿宋_GB2312" w:eastAsia="仿宋_GB2312"/>
          <w:b/>
          <w:color w:val="auto"/>
          <w:sz w:val="30"/>
          <w:szCs w:val="72"/>
          <w:highlight w:val="none"/>
          <w:shd w:val="clear" w:color="auto" w:fill="auto"/>
          <w:lang w:val="en-US" w:eastAsia="zh-CN"/>
        </w:rPr>
        <w:t>6</w:t>
      </w:r>
      <w:r>
        <w:rPr>
          <w:rFonts w:ascii="仿宋_GB2312" w:eastAsia="仿宋_GB2312"/>
          <w:b/>
          <w:color w:val="auto"/>
          <w:sz w:val="30"/>
          <w:szCs w:val="72"/>
          <w:highlight w:val="none"/>
          <w:shd w:val="clear" w:color="auto" w:fill="auto"/>
        </w:rPr>
        <w:t>年</w:t>
      </w:r>
      <w:r>
        <w:rPr>
          <w:rFonts w:hint="eastAsia" w:ascii="仿宋_GB2312" w:eastAsia="仿宋_GB2312"/>
          <w:b/>
          <w:color w:val="auto"/>
          <w:sz w:val="30"/>
          <w:szCs w:val="72"/>
          <w:highlight w:val="none"/>
          <w:shd w:val="clear" w:color="auto" w:fill="auto"/>
          <w:lang w:val="en-US" w:eastAsia="zh-CN"/>
        </w:rPr>
        <w:t>5</w:t>
      </w:r>
      <w:r>
        <w:rPr>
          <w:rFonts w:ascii="仿宋_GB2312" w:eastAsia="仿宋_GB2312"/>
          <w:b/>
          <w:color w:val="auto"/>
          <w:sz w:val="30"/>
          <w:szCs w:val="72"/>
          <w:highlight w:val="none"/>
          <w:shd w:val="clear" w:color="auto" w:fill="auto"/>
        </w:rPr>
        <w:t>月</w:t>
      </w:r>
    </w:p>
    <w:p w14:paraId="55BD9B9B">
      <w:pPr>
        <w:pStyle w:val="37"/>
        <w:rPr>
          <w:color w:val="auto"/>
          <w:highlight w:val="none"/>
          <w:shd w:val="clear" w:color="auto" w:fill="auto"/>
        </w:rPr>
      </w:pPr>
    </w:p>
    <w:p w14:paraId="6E6252B3">
      <w:pPr>
        <w:rPr>
          <w:rFonts w:hint="eastAsia"/>
          <w:color w:val="auto"/>
          <w:highlight w:val="none"/>
          <w:shd w:val="clear" w:color="auto" w:fill="auto"/>
        </w:rPr>
        <w:sectPr>
          <w:headerReference r:id="rId3" w:type="default"/>
          <w:footerReference r:id="rId4" w:type="default"/>
          <w:pgSz w:w="11906" w:h="16838"/>
          <w:pgMar w:top="1247" w:right="1247" w:bottom="1247" w:left="1247" w:header="851" w:footer="992" w:gutter="0"/>
          <w:pgBorders>
            <w:top w:val="none" w:sz="0" w:space="0"/>
            <w:left w:val="none" w:sz="0" w:space="0"/>
            <w:bottom w:val="none" w:sz="0" w:space="0"/>
            <w:right w:val="none" w:sz="0" w:space="0"/>
          </w:pgBorders>
          <w:pgNumType w:start="0"/>
          <w:cols w:space="720" w:num="1"/>
          <w:docGrid w:type="lines" w:linePitch="312" w:charSpace="0"/>
        </w:sectPr>
      </w:pPr>
    </w:p>
    <w:p w14:paraId="1FF3F05F">
      <w:pPr>
        <w:rPr>
          <w:rFonts w:hint="eastAsia"/>
          <w:color w:val="auto"/>
          <w:highlight w:val="none"/>
          <w:shd w:val="clear" w:color="auto" w:fill="auto"/>
        </w:rPr>
      </w:pPr>
    </w:p>
    <w:p w14:paraId="55D6A1A6">
      <w:pPr>
        <w:pStyle w:val="29"/>
        <w:tabs>
          <w:tab w:val="left" w:pos="4204"/>
        </w:tabs>
        <w:jc w:val="left"/>
        <w:rPr>
          <w:rFonts w:hint="eastAsia" w:ascii="隶书" w:eastAsia="隶书"/>
          <w:b/>
          <w:color w:val="auto"/>
          <w:sz w:val="44"/>
          <w:highlight w:val="none"/>
          <w:shd w:val="clear" w:color="auto" w:fill="auto"/>
        </w:rPr>
      </w:pPr>
      <w:r>
        <w:rPr>
          <w:rFonts w:hint="eastAsia" w:ascii="隶书" w:eastAsia="隶书"/>
          <w:b/>
          <w:color w:val="auto"/>
          <w:sz w:val="44"/>
          <w:highlight w:val="none"/>
          <w:shd w:val="clear" w:color="auto" w:fill="auto"/>
          <w:lang w:val="en-US" w:eastAsia="zh-CN"/>
        </w:rPr>
        <w:t xml:space="preserve">                </w:t>
      </w:r>
      <w:r>
        <w:rPr>
          <w:rFonts w:hint="eastAsia" w:ascii="隶书" w:eastAsia="隶书"/>
          <w:b/>
          <w:color w:val="auto"/>
          <w:sz w:val="44"/>
          <w:highlight w:val="none"/>
          <w:shd w:val="clear" w:color="auto" w:fill="auto"/>
        </w:rPr>
        <w:t>目   录</w:t>
      </w:r>
    </w:p>
    <w:p w14:paraId="7E2F00A0">
      <w:pPr>
        <w:spacing w:before="156" w:beforeLines="50" w:line="600" w:lineRule="auto"/>
        <w:ind w:left="360"/>
        <w:rPr>
          <w:rFonts w:hint="eastAsia" w:ascii="仿宋_GB2312" w:eastAsia="仿宋_GB2312"/>
          <w:b/>
          <w:color w:val="auto"/>
          <w:sz w:val="28"/>
          <w:szCs w:val="28"/>
          <w:highlight w:val="none"/>
          <w:shd w:val="clear" w:color="auto" w:fill="auto"/>
        </w:rPr>
      </w:pPr>
      <w:r>
        <w:rPr>
          <w:rFonts w:hint="eastAsia" w:ascii="仿宋_GB2312" w:eastAsia="仿宋_GB2312"/>
          <w:b/>
          <w:color w:val="auto"/>
          <w:sz w:val="28"/>
          <w:szCs w:val="28"/>
          <w:highlight w:val="none"/>
          <w:shd w:val="clear" w:color="auto" w:fill="auto"/>
        </w:rPr>
        <w:t>第一章 公开招标公告……………………………………………… 2</w:t>
      </w:r>
    </w:p>
    <w:p w14:paraId="19841EDE">
      <w:pPr>
        <w:spacing w:before="156" w:beforeLines="50" w:line="600" w:lineRule="auto"/>
        <w:ind w:firstLine="360" w:firstLineChars="128"/>
        <w:rPr>
          <w:rFonts w:hint="eastAsia" w:ascii="仿宋_GB2312" w:eastAsia="仿宋_GB2312"/>
          <w:b/>
          <w:color w:val="auto"/>
          <w:sz w:val="28"/>
          <w:szCs w:val="28"/>
          <w:highlight w:val="none"/>
          <w:shd w:val="clear" w:color="auto" w:fill="auto"/>
        </w:rPr>
      </w:pPr>
      <w:r>
        <w:rPr>
          <w:rFonts w:hint="eastAsia" w:ascii="仿宋_GB2312" w:eastAsia="仿宋_GB2312"/>
          <w:b/>
          <w:color w:val="auto"/>
          <w:sz w:val="28"/>
          <w:szCs w:val="28"/>
          <w:highlight w:val="none"/>
          <w:shd w:val="clear" w:color="auto" w:fill="auto"/>
        </w:rPr>
        <w:t>第二章 招标项目采购需求 …………………………………………</w:t>
      </w:r>
      <w:r>
        <w:rPr>
          <w:rFonts w:hint="eastAsia" w:ascii="仿宋_GB2312" w:eastAsia="仿宋_GB2312"/>
          <w:b/>
          <w:color w:val="auto"/>
          <w:sz w:val="28"/>
          <w:szCs w:val="28"/>
          <w:highlight w:val="none"/>
          <w:shd w:val="clear" w:color="auto" w:fill="auto"/>
          <w:lang w:val="en-US" w:eastAsia="zh-CN"/>
        </w:rPr>
        <w:t>6</w:t>
      </w:r>
      <w:r>
        <w:rPr>
          <w:rFonts w:hint="eastAsia" w:ascii="仿宋_GB2312" w:eastAsia="仿宋_GB2312"/>
          <w:b/>
          <w:color w:val="auto"/>
          <w:sz w:val="28"/>
          <w:szCs w:val="28"/>
          <w:highlight w:val="none"/>
          <w:shd w:val="clear" w:color="auto" w:fill="auto"/>
        </w:rPr>
        <w:t xml:space="preserve"> </w:t>
      </w:r>
    </w:p>
    <w:p w14:paraId="4195F2A9">
      <w:pPr>
        <w:spacing w:before="156" w:beforeLines="50" w:line="600" w:lineRule="auto"/>
        <w:ind w:left="360"/>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第三章 投标人须知…………………………………………………</w:t>
      </w:r>
      <w:r>
        <w:rPr>
          <w:rFonts w:hint="eastAsia" w:ascii="仿宋_GB2312" w:eastAsia="仿宋_GB2312"/>
          <w:b/>
          <w:color w:val="auto"/>
          <w:sz w:val="28"/>
          <w:szCs w:val="28"/>
          <w:highlight w:val="none"/>
          <w:shd w:val="clear" w:color="auto" w:fill="auto"/>
          <w:lang w:val="en-US" w:eastAsia="zh-CN"/>
        </w:rPr>
        <w:t>34</w:t>
      </w:r>
    </w:p>
    <w:p w14:paraId="1A7ACFE1">
      <w:pPr>
        <w:spacing w:before="156" w:beforeLines="50" w:line="600" w:lineRule="auto"/>
        <w:ind w:left="360"/>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第四章 评标</w:t>
      </w:r>
      <w:r>
        <w:rPr>
          <w:rFonts w:hint="eastAsia" w:ascii="仿宋_GB2312" w:eastAsia="仿宋_GB2312"/>
          <w:b/>
          <w:color w:val="auto"/>
          <w:sz w:val="28"/>
          <w:szCs w:val="28"/>
          <w:highlight w:val="none"/>
          <w:shd w:val="clear" w:color="auto" w:fill="auto"/>
          <w:lang w:eastAsia="zh-CN"/>
        </w:rPr>
        <w:t>方</w:t>
      </w:r>
      <w:r>
        <w:rPr>
          <w:rFonts w:hint="eastAsia" w:ascii="仿宋_GB2312" w:eastAsia="仿宋_GB2312"/>
          <w:b/>
          <w:color w:val="auto"/>
          <w:sz w:val="28"/>
          <w:szCs w:val="28"/>
          <w:highlight w:val="none"/>
          <w:shd w:val="clear" w:color="auto" w:fill="auto"/>
        </w:rPr>
        <w:t>法及评分标准………………………………………</w:t>
      </w:r>
      <w:r>
        <w:rPr>
          <w:rFonts w:hint="eastAsia" w:ascii="仿宋_GB2312" w:eastAsia="仿宋_GB2312"/>
          <w:b/>
          <w:color w:val="auto"/>
          <w:sz w:val="28"/>
          <w:szCs w:val="28"/>
          <w:highlight w:val="none"/>
          <w:shd w:val="clear" w:color="auto" w:fill="auto"/>
          <w:lang w:val="en-US" w:eastAsia="zh-CN"/>
        </w:rPr>
        <w:t>48</w:t>
      </w:r>
    </w:p>
    <w:p w14:paraId="2A2588A5">
      <w:pPr>
        <w:spacing w:before="156" w:beforeLines="50" w:line="600" w:lineRule="auto"/>
        <w:ind w:left="360"/>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第五章 政府采购合同主要条款……………………………………</w:t>
      </w:r>
      <w:r>
        <w:rPr>
          <w:rFonts w:hint="eastAsia" w:ascii="仿宋_GB2312" w:eastAsia="仿宋_GB2312"/>
          <w:b/>
          <w:color w:val="auto"/>
          <w:sz w:val="28"/>
          <w:szCs w:val="28"/>
          <w:highlight w:val="none"/>
          <w:shd w:val="clear" w:color="auto" w:fill="auto"/>
          <w:lang w:val="en-US" w:eastAsia="zh-CN"/>
        </w:rPr>
        <w:t>55</w:t>
      </w:r>
    </w:p>
    <w:p w14:paraId="39344CD0">
      <w:pPr>
        <w:spacing w:before="156" w:beforeLines="50" w:line="600" w:lineRule="auto"/>
        <w:ind w:left="360"/>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第六章 投标文件格式………………………………………………</w:t>
      </w:r>
      <w:r>
        <w:rPr>
          <w:rFonts w:hint="eastAsia" w:ascii="仿宋_GB2312" w:eastAsia="仿宋_GB2312"/>
          <w:b/>
          <w:color w:val="auto"/>
          <w:sz w:val="28"/>
          <w:szCs w:val="28"/>
          <w:highlight w:val="none"/>
          <w:shd w:val="clear" w:color="auto" w:fill="auto"/>
          <w:lang w:val="en-US" w:eastAsia="zh-CN"/>
        </w:rPr>
        <w:t>68</w:t>
      </w:r>
    </w:p>
    <w:p w14:paraId="7CF0E3B2">
      <w:pPr>
        <w:pStyle w:val="229"/>
        <w:widowControl w:val="0"/>
        <w:ind w:firstLine="880"/>
        <w:jc w:val="center"/>
        <w:rPr>
          <w:rFonts w:hint="eastAsia" w:ascii="仿宋_GB2312" w:eastAsia="仿宋_GB2312"/>
          <w:b/>
          <w:color w:val="auto"/>
          <w:sz w:val="44"/>
          <w:szCs w:val="44"/>
          <w:highlight w:val="none"/>
          <w:shd w:val="clear" w:color="auto" w:fill="auto"/>
        </w:rPr>
      </w:pPr>
    </w:p>
    <w:p w14:paraId="3C0951CF">
      <w:pPr>
        <w:pStyle w:val="229"/>
        <w:widowControl w:val="0"/>
        <w:ind w:firstLine="880"/>
        <w:jc w:val="center"/>
        <w:rPr>
          <w:rFonts w:hint="eastAsia" w:ascii="仿宋_GB2312" w:eastAsia="仿宋_GB2312"/>
          <w:b/>
          <w:color w:val="auto"/>
          <w:sz w:val="44"/>
          <w:szCs w:val="44"/>
          <w:highlight w:val="none"/>
          <w:shd w:val="clear" w:color="auto" w:fill="auto"/>
        </w:rPr>
      </w:pPr>
    </w:p>
    <w:p w14:paraId="2140260A">
      <w:pPr>
        <w:pStyle w:val="229"/>
        <w:widowControl w:val="0"/>
        <w:ind w:firstLine="880"/>
        <w:jc w:val="center"/>
        <w:rPr>
          <w:rFonts w:hint="eastAsia" w:ascii="仿宋_GB2312" w:eastAsia="仿宋_GB2312"/>
          <w:b/>
          <w:color w:val="auto"/>
          <w:sz w:val="44"/>
          <w:szCs w:val="44"/>
          <w:highlight w:val="none"/>
          <w:shd w:val="clear" w:color="auto" w:fill="auto"/>
        </w:rPr>
      </w:pPr>
    </w:p>
    <w:p w14:paraId="039C818E">
      <w:pPr>
        <w:pStyle w:val="229"/>
        <w:widowControl w:val="0"/>
        <w:ind w:firstLine="880"/>
        <w:jc w:val="center"/>
        <w:rPr>
          <w:rFonts w:hint="eastAsia" w:ascii="仿宋_GB2312" w:eastAsia="仿宋_GB2312"/>
          <w:b/>
          <w:color w:val="auto"/>
          <w:sz w:val="44"/>
          <w:szCs w:val="44"/>
          <w:highlight w:val="none"/>
          <w:shd w:val="clear" w:color="auto" w:fill="auto"/>
        </w:rPr>
      </w:pPr>
    </w:p>
    <w:p w14:paraId="30A708AE">
      <w:pPr>
        <w:pStyle w:val="229"/>
        <w:widowControl w:val="0"/>
        <w:ind w:firstLine="880"/>
        <w:jc w:val="center"/>
        <w:rPr>
          <w:rFonts w:hint="eastAsia" w:ascii="仿宋_GB2312" w:eastAsia="仿宋_GB2312"/>
          <w:b/>
          <w:color w:val="auto"/>
          <w:sz w:val="44"/>
          <w:szCs w:val="44"/>
          <w:highlight w:val="none"/>
          <w:shd w:val="clear" w:color="auto" w:fill="auto"/>
        </w:rPr>
      </w:pPr>
    </w:p>
    <w:p w14:paraId="7D6059BB">
      <w:pPr>
        <w:pStyle w:val="229"/>
        <w:widowControl w:val="0"/>
        <w:ind w:firstLine="880"/>
        <w:jc w:val="center"/>
        <w:rPr>
          <w:rFonts w:hint="eastAsia" w:ascii="仿宋_GB2312" w:eastAsia="仿宋_GB2312"/>
          <w:b/>
          <w:color w:val="auto"/>
          <w:sz w:val="44"/>
          <w:szCs w:val="44"/>
          <w:highlight w:val="none"/>
          <w:shd w:val="clear" w:color="auto" w:fill="auto"/>
        </w:rPr>
      </w:pPr>
    </w:p>
    <w:p w14:paraId="3ACCEC16">
      <w:pPr>
        <w:pStyle w:val="229"/>
        <w:widowControl w:val="0"/>
        <w:ind w:firstLine="880"/>
        <w:jc w:val="center"/>
        <w:rPr>
          <w:rFonts w:hint="eastAsia" w:ascii="仿宋_GB2312" w:eastAsia="仿宋_GB2312"/>
          <w:b/>
          <w:color w:val="auto"/>
          <w:sz w:val="44"/>
          <w:szCs w:val="44"/>
          <w:highlight w:val="none"/>
          <w:shd w:val="clear" w:color="auto" w:fill="auto"/>
        </w:rPr>
      </w:pPr>
    </w:p>
    <w:p w14:paraId="63A8D966">
      <w:pPr>
        <w:pStyle w:val="229"/>
        <w:widowControl w:val="0"/>
        <w:ind w:firstLine="880"/>
        <w:jc w:val="center"/>
        <w:rPr>
          <w:rFonts w:hint="eastAsia" w:ascii="仿宋_GB2312" w:eastAsia="仿宋_GB2312"/>
          <w:b/>
          <w:color w:val="auto"/>
          <w:sz w:val="44"/>
          <w:szCs w:val="44"/>
          <w:highlight w:val="none"/>
          <w:shd w:val="clear" w:color="auto" w:fill="auto"/>
        </w:rPr>
      </w:pPr>
    </w:p>
    <w:p w14:paraId="65FA0842">
      <w:pPr>
        <w:pStyle w:val="229"/>
        <w:widowControl w:val="0"/>
        <w:ind w:firstLine="880"/>
        <w:jc w:val="center"/>
        <w:rPr>
          <w:rFonts w:hint="eastAsia" w:ascii="仿宋_GB2312" w:eastAsia="仿宋_GB2312"/>
          <w:b/>
          <w:color w:val="auto"/>
          <w:sz w:val="44"/>
          <w:szCs w:val="44"/>
          <w:highlight w:val="none"/>
          <w:shd w:val="clear" w:color="auto" w:fill="auto"/>
        </w:rPr>
      </w:pPr>
    </w:p>
    <w:p w14:paraId="21F841E5">
      <w:pPr>
        <w:pStyle w:val="229"/>
        <w:widowControl w:val="0"/>
        <w:ind w:firstLine="880"/>
        <w:jc w:val="center"/>
        <w:rPr>
          <w:rFonts w:hint="eastAsia" w:ascii="仿宋_GB2312" w:eastAsia="仿宋_GB2312"/>
          <w:b/>
          <w:color w:val="auto"/>
          <w:sz w:val="44"/>
          <w:szCs w:val="44"/>
          <w:highlight w:val="none"/>
          <w:shd w:val="clear" w:color="auto" w:fill="auto"/>
        </w:rPr>
      </w:pPr>
    </w:p>
    <w:p w14:paraId="513D9837">
      <w:pPr>
        <w:pStyle w:val="229"/>
        <w:widowControl w:val="0"/>
        <w:ind w:firstLine="880"/>
        <w:jc w:val="center"/>
        <w:rPr>
          <w:rFonts w:hint="eastAsia" w:ascii="仿宋_GB2312" w:eastAsia="仿宋_GB2312"/>
          <w:b/>
          <w:color w:val="auto"/>
          <w:sz w:val="44"/>
          <w:szCs w:val="44"/>
          <w:highlight w:val="none"/>
          <w:shd w:val="clear" w:color="auto" w:fill="auto"/>
        </w:rPr>
      </w:pPr>
    </w:p>
    <w:p w14:paraId="556BBC1B">
      <w:pPr>
        <w:pStyle w:val="229"/>
        <w:widowControl w:val="0"/>
        <w:ind w:firstLine="880"/>
        <w:jc w:val="center"/>
        <w:rPr>
          <w:rFonts w:hint="eastAsia" w:ascii="仿宋_GB2312" w:eastAsia="仿宋_GB2312"/>
          <w:b/>
          <w:color w:val="auto"/>
          <w:sz w:val="44"/>
          <w:szCs w:val="44"/>
          <w:highlight w:val="none"/>
          <w:shd w:val="clear" w:color="auto" w:fill="auto"/>
        </w:rPr>
      </w:pPr>
    </w:p>
    <w:p w14:paraId="36786ECC">
      <w:pPr>
        <w:pStyle w:val="229"/>
        <w:widowControl w:val="0"/>
        <w:ind w:firstLine="880"/>
        <w:jc w:val="center"/>
        <w:rPr>
          <w:rFonts w:hint="eastAsia" w:ascii="仿宋_GB2312" w:eastAsia="仿宋_GB2312"/>
          <w:b/>
          <w:color w:val="auto"/>
          <w:sz w:val="44"/>
          <w:szCs w:val="44"/>
          <w:highlight w:val="none"/>
          <w:shd w:val="clear" w:color="auto" w:fill="auto"/>
        </w:rPr>
      </w:pPr>
    </w:p>
    <w:p w14:paraId="293597F2">
      <w:pPr>
        <w:pStyle w:val="229"/>
        <w:widowControl w:val="0"/>
        <w:ind w:firstLine="880"/>
        <w:jc w:val="center"/>
        <w:rPr>
          <w:rFonts w:hint="eastAsia" w:ascii="仿宋_GB2312" w:eastAsia="仿宋_GB2312"/>
          <w:b/>
          <w:color w:val="auto"/>
          <w:sz w:val="44"/>
          <w:szCs w:val="44"/>
          <w:highlight w:val="none"/>
          <w:shd w:val="clear" w:color="auto" w:fill="auto"/>
        </w:rPr>
      </w:pPr>
    </w:p>
    <w:p w14:paraId="14CA561F">
      <w:pPr>
        <w:pStyle w:val="229"/>
        <w:widowControl w:val="0"/>
        <w:ind w:firstLine="420"/>
        <w:jc w:val="center"/>
        <w:rPr>
          <w:rFonts w:hint="eastAsia" w:ascii="仿宋_GB2312" w:eastAsia="仿宋_GB2312"/>
          <w:b/>
          <w:color w:val="auto"/>
          <w:sz w:val="21"/>
          <w:szCs w:val="21"/>
          <w:highlight w:val="none"/>
          <w:shd w:val="clear" w:color="auto" w:fill="auto"/>
        </w:rPr>
      </w:pPr>
    </w:p>
    <w:p w14:paraId="7141668F">
      <w:pPr>
        <w:pStyle w:val="229"/>
        <w:widowControl w:val="0"/>
        <w:ind w:firstLine="420"/>
        <w:jc w:val="center"/>
        <w:rPr>
          <w:rFonts w:hint="eastAsia" w:ascii="仿宋_GB2312" w:eastAsia="仿宋_GB2312"/>
          <w:b/>
          <w:color w:val="auto"/>
          <w:sz w:val="21"/>
          <w:szCs w:val="21"/>
          <w:highlight w:val="none"/>
          <w:shd w:val="clear" w:color="auto" w:fill="auto"/>
        </w:rPr>
      </w:pPr>
    </w:p>
    <w:p w14:paraId="7B7E92CA">
      <w:pPr>
        <w:pStyle w:val="229"/>
        <w:widowControl w:val="0"/>
        <w:ind w:firstLine="420"/>
        <w:jc w:val="center"/>
        <w:rPr>
          <w:rFonts w:hint="eastAsia" w:ascii="仿宋_GB2312" w:eastAsia="仿宋_GB2312"/>
          <w:b/>
          <w:color w:val="auto"/>
          <w:sz w:val="21"/>
          <w:szCs w:val="21"/>
          <w:highlight w:val="none"/>
          <w:shd w:val="clear" w:color="auto" w:fill="auto"/>
        </w:rPr>
      </w:pPr>
    </w:p>
    <w:p w14:paraId="36A46561">
      <w:pPr>
        <w:pStyle w:val="229"/>
        <w:widowControl w:val="0"/>
        <w:ind w:firstLine="420"/>
        <w:jc w:val="center"/>
        <w:rPr>
          <w:rFonts w:hint="eastAsia" w:ascii="仿宋_GB2312" w:eastAsia="仿宋_GB2312"/>
          <w:b/>
          <w:color w:val="auto"/>
          <w:sz w:val="21"/>
          <w:szCs w:val="21"/>
          <w:highlight w:val="none"/>
          <w:shd w:val="clear" w:color="auto" w:fill="auto"/>
        </w:rPr>
      </w:pPr>
    </w:p>
    <w:p w14:paraId="3A60096B">
      <w:pPr>
        <w:pStyle w:val="229"/>
        <w:widowControl w:val="0"/>
        <w:ind w:firstLine="2182" w:firstLineChars="494"/>
        <w:rPr>
          <w:rFonts w:hint="eastAsia" w:ascii="黑体" w:eastAsia="黑体"/>
          <w:color w:val="auto"/>
          <w:sz w:val="32"/>
          <w:szCs w:val="32"/>
          <w:highlight w:val="none"/>
          <w:shd w:val="clear" w:color="auto" w:fill="auto"/>
        </w:rPr>
      </w:pPr>
      <w:r>
        <w:rPr>
          <w:rFonts w:hint="eastAsia" w:ascii="仿宋_GB2312" w:eastAsia="仿宋_GB2312"/>
          <w:b/>
          <w:color w:val="auto"/>
          <w:sz w:val="44"/>
          <w:szCs w:val="44"/>
          <w:highlight w:val="none"/>
          <w:shd w:val="clear" w:color="auto" w:fill="auto"/>
        </w:rPr>
        <w:t>第一章  公开招标公告</w:t>
      </w:r>
    </w:p>
    <w:p w14:paraId="0BC0B022">
      <w:pPr>
        <w:pStyle w:val="229"/>
        <w:widowControl w:val="0"/>
        <w:ind w:firstLine="3840" w:firstLineChars="1200"/>
        <w:rPr>
          <w:b/>
          <w:color w:val="auto"/>
          <w:sz w:val="32"/>
          <w:szCs w:val="32"/>
          <w:highlight w:val="none"/>
          <w:shd w:val="clear" w:color="auto" w:fill="auto"/>
        </w:rPr>
      </w:pPr>
      <w:r>
        <w:rPr>
          <w:rFonts w:hint="eastAsia" w:ascii="黑体" w:eastAsia="黑体"/>
          <w:color w:val="auto"/>
          <w:sz w:val="32"/>
          <w:szCs w:val="32"/>
          <w:highlight w:val="none"/>
          <w:shd w:val="clear" w:color="auto" w:fill="auto"/>
        </w:rPr>
        <w:br w:type="page"/>
      </w:r>
      <w:r>
        <w:rPr>
          <w:rFonts w:hint="eastAsia"/>
          <w:b/>
          <w:color w:val="auto"/>
          <w:sz w:val="32"/>
          <w:szCs w:val="32"/>
          <w:highlight w:val="none"/>
          <w:shd w:val="clear" w:color="auto" w:fill="auto"/>
        </w:rPr>
        <w:t>招标公告</w:t>
      </w:r>
    </w:p>
    <w:p w14:paraId="2EEB0DE8">
      <w:pPr>
        <w:pBdr>
          <w:top w:val="single" w:color="auto" w:sz="4" w:space="1"/>
          <w:left w:val="single" w:color="auto" w:sz="4" w:space="4"/>
          <w:bottom w:val="single" w:color="auto" w:sz="4" w:space="1"/>
          <w:right w:val="single" w:color="auto" w:sz="4" w:space="4"/>
        </w:pBdr>
        <w:adjustRightInd w:val="0"/>
        <w:snapToGrid w:val="0"/>
        <w:spacing w:line="320" w:lineRule="exact"/>
        <w:jc w:val="center"/>
        <w:rPr>
          <w:rFonts w:hint="eastAsia" w:ascii="宋体" w:hAnsi="宋体"/>
          <w:color w:val="auto"/>
          <w:highlight w:val="none"/>
          <w:shd w:val="clear" w:color="auto" w:fill="auto"/>
        </w:rPr>
      </w:pPr>
      <w:r>
        <w:rPr>
          <w:rFonts w:hint="eastAsia" w:ascii="宋体" w:hAnsi="宋体"/>
          <w:color w:val="auto"/>
          <w:highlight w:val="none"/>
          <w:shd w:val="clear" w:color="auto" w:fill="auto"/>
        </w:rPr>
        <w:t>项目概况</w:t>
      </w:r>
    </w:p>
    <w:p w14:paraId="2B956D5E">
      <w:pPr>
        <w:pBdr>
          <w:top w:val="single" w:color="auto" w:sz="4" w:space="1"/>
          <w:left w:val="single" w:color="auto" w:sz="4" w:space="4"/>
          <w:bottom w:val="single" w:color="auto" w:sz="4" w:space="1"/>
          <w:right w:val="single" w:color="auto" w:sz="4" w:space="4"/>
        </w:pBdr>
        <w:adjustRightInd w:val="0"/>
        <w:snapToGrid w:val="0"/>
        <w:spacing w:line="320" w:lineRule="exact"/>
        <w:ind w:firstLine="420" w:firstLineChars="200"/>
        <w:rPr>
          <w:rFonts w:hint="eastAsia" w:ascii="宋体" w:hAnsi="宋体"/>
          <w:color w:val="auto"/>
          <w:szCs w:val="21"/>
          <w:highlight w:val="none"/>
          <w:shd w:val="clear" w:color="auto" w:fill="auto"/>
        </w:rPr>
      </w:pPr>
      <w:r>
        <w:rPr>
          <w:rFonts w:hint="eastAsia"/>
          <w:color w:val="auto"/>
          <w:highlight w:val="none"/>
          <w:u w:val="single"/>
          <w:shd w:val="clear" w:color="auto" w:fill="auto"/>
        </w:rPr>
        <w:t>武鸣校区7#礼堂及5#学生活动综合楼一层会议空间显示系统及家具采购</w:t>
      </w:r>
      <w:r>
        <w:rPr>
          <w:color w:val="auto"/>
          <w:highlight w:val="none"/>
          <w:shd w:val="clear" w:color="auto" w:fill="auto"/>
        </w:rPr>
        <w:t>项目的潜在投标人应在广西政府采购云平台（网址：http://www.gcy.zfcg.gxzf.gov.cn）获取招标文件，并于 202</w:t>
      </w:r>
      <w:r>
        <w:rPr>
          <w:rFonts w:hint="eastAsia"/>
          <w:color w:val="auto"/>
          <w:highlight w:val="none"/>
          <w:shd w:val="clear" w:color="auto" w:fill="auto"/>
          <w:lang w:val="en-US" w:eastAsia="zh-CN"/>
        </w:rPr>
        <w:t>6</w:t>
      </w:r>
      <w:r>
        <w:rPr>
          <w:color w:val="auto"/>
          <w:highlight w:val="none"/>
          <w:shd w:val="clear" w:color="auto" w:fill="auto"/>
        </w:rPr>
        <w:t>年</w:t>
      </w:r>
      <w:r>
        <w:rPr>
          <w:rFonts w:hint="eastAsia"/>
          <w:color w:val="auto"/>
          <w:highlight w:val="none"/>
          <w:shd w:val="clear" w:color="auto" w:fill="auto"/>
          <w:lang w:val="en-US" w:eastAsia="zh-CN"/>
        </w:rPr>
        <w:t>6</w:t>
      </w:r>
      <w:r>
        <w:rPr>
          <w:color w:val="auto"/>
          <w:highlight w:val="none"/>
          <w:shd w:val="clear" w:color="auto" w:fill="auto"/>
        </w:rPr>
        <w:t>月</w:t>
      </w:r>
      <w:r>
        <w:rPr>
          <w:rFonts w:hint="eastAsia"/>
          <w:color w:val="auto"/>
          <w:highlight w:val="none"/>
          <w:shd w:val="clear" w:color="auto" w:fill="auto"/>
          <w:lang w:val="en-US" w:eastAsia="zh-CN"/>
        </w:rPr>
        <w:t>3</w:t>
      </w:r>
      <w:r>
        <w:rPr>
          <w:color w:val="auto"/>
          <w:highlight w:val="none"/>
          <w:shd w:val="clear" w:color="auto" w:fill="auto"/>
        </w:rPr>
        <w:t>日 10:00（北京时间）前递交投标文件。</w:t>
      </w:r>
    </w:p>
    <w:p w14:paraId="4630FA93">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b/>
          <w:color w:val="auto"/>
          <w:highlight w:val="none"/>
          <w:shd w:val="clear" w:color="auto" w:fill="auto"/>
        </w:rPr>
      </w:pPr>
      <w:bookmarkStart w:id="0" w:name="_Toc28359086"/>
      <w:bookmarkStart w:id="1" w:name="_Toc28359009"/>
      <w:r>
        <w:rPr>
          <w:rFonts w:hint="eastAsia"/>
          <w:b/>
          <w:color w:val="auto"/>
          <w:highlight w:val="none"/>
          <w:shd w:val="clear" w:color="auto" w:fill="auto"/>
        </w:rPr>
        <w:t>一、项目基本情况</w:t>
      </w:r>
    </w:p>
    <w:p w14:paraId="0D8CBC98">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项目编号：GXZC2026-G1-000650-CGZX</w:t>
      </w:r>
    </w:p>
    <w:p w14:paraId="3446B696">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shd w:val="clear" w:color="auto" w:fill="auto"/>
        </w:rPr>
      </w:pPr>
      <w:r>
        <w:rPr>
          <w:rFonts w:hint="eastAsia"/>
          <w:color w:val="auto"/>
          <w:highlight w:val="none"/>
          <w:shd w:val="clear" w:color="auto" w:fill="auto"/>
        </w:rPr>
        <w:t>项目名称：武鸣校区7#礼堂及5#学生活动综合楼一层会议空间显示系统及家具采购</w:t>
      </w:r>
    </w:p>
    <w:p w14:paraId="73A8CAD1">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eastAsia="宋体"/>
          <w:color w:val="auto"/>
          <w:highlight w:val="none"/>
          <w:shd w:val="clear" w:color="auto" w:fill="auto"/>
          <w:lang w:val="en-US" w:eastAsia="zh-CN"/>
        </w:rPr>
      </w:pPr>
      <w:r>
        <w:rPr>
          <w:rFonts w:hint="eastAsia"/>
          <w:color w:val="auto"/>
          <w:highlight w:val="none"/>
          <w:shd w:val="clear" w:color="auto" w:fill="auto"/>
        </w:rPr>
        <w:t>预算总金额（元）：3516000</w:t>
      </w:r>
    </w:p>
    <w:p w14:paraId="30576A19">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采购需求：</w:t>
      </w:r>
    </w:p>
    <w:p w14:paraId="3B7DC5F5">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标项一：</w:t>
      </w:r>
    </w:p>
    <w:p w14:paraId="262563EF">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rPr>
        <w:t xml:space="preserve">标项名称: </w:t>
      </w:r>
      <w:r>
        <w:rPr>
          <w:rFonts w:hint="eastAsia" w:ascii="Times New Roman" w:hAnsi="Times New Roman" w:eastAsia="宋体" w:cs="Times New Roman"/>
          <w:color w:val="auto"/>
          <w:highlight w:val="none"/>
          <w:shd w:val="clear" w:color="auto" w:fill="auto"/>
          <w:lang w:val="en-US" w:eastAsia="zh-CN"/>
        </w:rPr>
        <w:t xml:space="preserve"> </w:t>
      </w:r>
      <w:r>
        <w:rPr>
          <w:rFonts w:hint="eastAsia"/>
          <w:color w:val="auto"/>
          <w:highlight w:val="none"/>
          <w:shd w:val="clear" w:color="auto" w:fill="auto"/>
        </w:rPr>
        <w:t>武鸣校区7#礼堂及5#学生活动综合楼一层会议空间显示系统采购</w:t>
      </w:r>
      <w:r>
        <w:rPr>
          <w:rFonts w:hint="eastAsia" w:ascii="Times New Roman" w:hAnsi="Times New Roman" w:eastAsia="宋体" w:cs="Times New Roman"/>
          <w:color w:val="auto"/>
          <w:highlight w:val="none"/>
          <w:shd w:val="clear" w:color="auto" w:fill="auto"/>
          <w:lang w:val="en-US" w:eastAsia="zh-CN"/>
        </w:rPr>
        <w:t xml:space="preserve"> </w:t>
      </w:r>
    </w:p>
    <w:p w14:paraId="4DF93DB7">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rPr>
        <w:t xml:space="preserve">数量:1 </w:t>
      </w:r>
      <w:r>
        <w:rPr>
          <w:rFonts w:hint="eastAsia" w:ascii="Times New Roman" w:hAnsi="Times New Roman" w:eastAsia="宋体" w:cs="Times New Roman"/>
          <w:color w:val="auto"/>
          <w:highlight w:val="none"/>
          <w:shd w:val="clear" w:color="auto" w:fill="auto"/>
        </w:rPr>
        <w:br w:type="textWrapping"/>
      </w:r>
      <w:r>
        <w:rPr>
          <w:rFonts w:hint="eastAsia" w:ascii="Times New Roman" w:hAnsi="Times New Roman" w:eastAsia="宋体" w:cs="Times New Roman"/>
          <w:color w:val="auto"/>
          <w:highlight w:val="none"/>
          <w:shd w:val="clear" w:color="auto" w:fill="auto"/>
        </w:rPr>
        <w:t xml:space="preserve">   </w:t>
      </w: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color w:val="auto"/>
          <w:highlight w:val="none"/>
          <w:shd w:val="clear" w:color="auto" w:fill="auto"/>
        </w:rPr>
        <w:t>预算金额（元）</w:t>
      </w:r>
      <w:r>
        <w:rPr>
          <w:rFonts w:hint="eastAsia" w:cs="Times New Roman"/>
          <w:color w:val="auto"/>
          <w:highlight w:val="none"/>
          <w:shd w:val="clear" w:color="auto" w:fill="auto"/>
          <w:lang w:eastAsia="zh-CN"/>
        </w:rPr>
        <w:t>：</w:t>
      </w:r>
      <w:r>
        <w:rPr>
          <w:rFonts w:hint="eastAsia" w:hAnsi="宋体" w:cs="宋体"/>
          <w:b w:val="0"/>
          <w:color w:val="auto"/>
          <w:kern w:val="0"/>
          <w:szCs w:val="21"/>
          <w:highlight w:val="none"/>
          <w:lang w:val="en-US" w:eastAsia="zh-CN"/>
        </w:rPr>
        <w:t>2535100</w:t>
      </w:r>
    </w:p>
    <w:p w14:paraId="6840F3E8">
      <w:pPr>
        <w:pageBreakBefore w:val="0"/>
        <w:widowControl w:val="0"/>
        <w:kinsoku/>
        <w:wordWrap/>
        <w:overflowPunct/>
        <w:topLinePunct w:val="0"/>
        <w:autoSpaceDE/>
        <w:autoSpaceDN/>
        <w:bidi w:val="0"/>
        <w:spacing w:line="320" w:lineRule="exact"/>
        <w:textAlignment w:val="auto"/>
        <w:rPr>
          <w:rFonts w:hint="eastAsia" w:ascii="Times New Roman" w:hAnsi="Times New Roman" w:eastAsia="宋体" w:cs="Times New Roman"/>
          <w:color w:val="auto"/>
          <w:highlight w:val="none"/>
          <w:shd w:val="clear" w:color="auto" w:fill="auto"/>
        </w:rPr>
      </w:pPr>
      <w:r>
        <w:rPr>
          <w:rFonts w:hint="default" w:cs="Times New Roman"/>
          <w:color w:val="auto"/>
          <w:highlight w:val="none"/>
          <w:shd w:val="clear" w:color="auto" w:fill="auto"/>
        </w:rPr>
        <w:t xml:space="preserve">    </w:t>
      </w:r>
      <w:r>
        <w:rPr>
          <w:rFonts w:hint="eastAsia" w:ascii="Times New Roman" w:hAnsi="Times New Roman" w:eastAsia="宋体" w:cs="Times New Roman"/>
          <w:color w:val="auto"/>
          <w:highlight w:val="none"/>
          <w:shd w:val="clear" w:color="auto" w:fill="auto"/>
        </w:rPr>
        <w:t>简要规格描述或项目基本概况介绍、用途：</w:t>
      </w:r>
      <w:r>
        <w:rPr>
          <w:rFonts w:hint="eastAsia" w:ascii="宋体" w:hAnsi="宋体" w:eastAsia="宋体" w:cs="宋体"/>
          <w:i w:val="0"/>
          <w:iCs w:val="0"/>
          <w:color w:val="auto"/>
          <w:kern w:val="0"/>
          <w:sz w:val="21"/>
          <w:szCs w:val="21"/>
          <w:highlight w:val="none"/>
          <w:u w:val="none"/>
          <w:lang w:val="en-US" w:eastAsia="zh-CN"/>
        </w:rPr>
        <w:t>舞台背景显示大屏112.5平方</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观众席左侧显示大屏4.608平方</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观众席右侧显示大屏平方</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后舞台背景大屏52.2平方</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4K发送卡6套</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大屏管理软件1套、背景大屏除湿降温主机4套、管路系统4套、主舞台大屏安装钢结构126平方</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观众席大屏安装钢结构12平方</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后舞台背景大屏安装钢结构55平方</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光纤收发器6套</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网络交换机2台</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高清硬盘播放器1套</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高清云台摄像机3台</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196人厅会议显示终端</w:t>
      </w:r>
      <w:r>
        <w:rPr>
          <w:rFonts w:hint="eastAsia" w:ascii="宋体" w:hAnsi="宋体" w:cs="宋体"/>
          <w:i w:val="0"/>
          <w:iCs w:val="0"/>
          <w:color w:val="auto"/>
          <w:kern w:val="0"/>
          <w:sz w:val="21"/>
          <w:szCs w:val="21"/>
          <w:highlight w:val="none"/>
          <w:u w:val="none"/>
          <w:lang w:val="en-US" w:eastAsia="zh-CN"/>
        </w:rPr>
        <w:t>21.5平方；</w:t>
      </w:r>
      <w:r>
        <w:rPr>
          <w:rFonts w:hint="eastAsia" w:ascii="宋体" w:hAnsi="宋体" w:eastAsia="宋体" w:cs="宋体"/>
          <w:i w:val="0"/>
          <w:iCs w:val="0"/>
          <w:color w:val="auto"/>
          <w:kern w:val="0"/>
          <w:sz w:val="21"/>
          <w:szCs w:val="21"/>
          <w:highlight w:val="none"/>
          <w:u w:val="none"/>
          <w:lang w:val="en-US" w:eastAsia="zh-CN"/>
        </w:rPr>
        <w:t>72人厅会议显示终端</w:t>
      </w:r>
      <w:r>
        <w:rPr>
          <w:rFonts w:hint="eastAsia" w:ascii="宋体" w:hAnsi="宋体" w:cs="宋体"/>
          <w:i w:val="0"/>
          <w:iCs w:val="0"/>
          <w:color w:val="auto"/>
          <w:kern w:val="0"/>
          <w:sz w:val="21"/>
          <w:szCs w:val="21"/>
          <w:highlight w:val="none"/>
          <w:u w:val="none"/>
          <w:lang w:val="en-US" w:eastAsia="zh-CN"/>
        </w:rPr>
        <w:t>13平方；</w:t>
      </w:r>
      <w:r>
        <w:rPr>
          <w:rFonts w:hint="eastAsia" w:ascii="宋体" w:hAnsi="宋体" w:eastAsia="宋体" w:cs="宋体"/>
          <w:i w:val="0"/>
          <w:iCs w:val="0"/>
          <w:color w:val="auto"/>
          <w:kern w:val="0"/>
          <w:sz w:val="21"/>
          <w:szCs w:val="21"/>
          <w:highlight w:val="none"/>
          <w:u w:val="none"/>
          <w:lang w:val="en-US" w:eastAsia="zh-CN"/>
        </w:rPr>
        <w:t>LED视频处理器</w:t>
      </w:r>
      <w:r>
        <w:rPr>
          <w:rFonts w:hint="eastAsia" w:ascii="宋体" w:hAnsi="宋体" w:cs="宋体"/>
          <w:i w:val="0"/>
          <w:iCs w:val="0"/>
          <w:color w:val="auto"/>
          <w:kern w:val="0"/>
          <w:sz w:val="21"/>
          <w:szCs w:val="21"/>
          <w:highlight w:val="none"/>
          <w:u w:val="none"/>
          <w:lang w:val="en-US" w:eastAsia="zh-CN"/>
        </w:rPr>
        <w:t>2台；</w:t>
      </w:r>
      <w:r>
        <w:rPr>
          <w:rFonts w:hint="eastAsia" w:ascii="宋体" w:hAnsi="宋体" w:eastAsia="宋体" w:cs="宋体"/>
          <w:i w:val="0"/>
          <w:iCs w:val="0"/>
          <w:color w:val="auto"/>
          <w:kern w:val="0"/>
          <w:sz w:val="21"/>
          <w:szCs w:val="21"/>
          <w:highlight w:val="none"/>
          <w:u w:val="none"/>
          <w:lang w:val="en-US" w:eastAsia="zh-CN"/>
        </w:rPr>
        <w:t>无纸化显示终端电子桌牌</w:t>
      </w:r>
      <w:r>
        <w:rPr>
          <w:rFonts w:hint="eastAsia" w:ascii="宋体" w:hAnsi="宋体" w:cs="宋体"/>
          <w:i w:val="0"/>
          <w:iCs w:val="0"/>
          <w:color w:val="auto"/>
          <w:kern w:val="0"/>
          <w:sz w:val="21"/>
          <w:szCs w:val="21"/>
          <w:highlight w:val="none"/>
          <w:u w:val="none"/>
          <w:lang w:val="en-US" w:eastAsia="zh-CN"/>
        </w:rPr>
        <w:t>10套；</w:t>
      </w:r>
      <w:r>
        <w:rPr>
          <w:rFonts w:hint="eastAsia" w:ascii="宋体" w:hAnsi="宋体" w:eastAsia="宋体" w:cs="宋体"/>
          <w:i w:val="0"/>
          <w:iCs w:val="0"/>
          <w:color w:val="auto"/>
          <w:kern w:val="0"/>
          <w:sz w:val="21"/>
          <w:szCs w:val="21"/>
          <w:highlight w:val="none"/>
          <w:u w:val="none"/>
          <w:lang w:val="en-US" w:eastAsia="zh-CN"/>
        </w:rPr>
        <w:t>交互电子白板</w:t>
      </w:r>
      <w:r>
        <w:rPr>
          <w:rFonts w:hint="eastAsia" w:ascii="宋体" w:hAnsi="宋体" w:cs="宋体"/>
          <w:i w:val="0"/>
          <w:iCs w:val="0"/>
          <w:color w:val="auto"/>
          <w:kern w:val="0"/>
          <w:sz w:val="21"/>
          <w:szCs w:val="21"/>
          <w:highlight w:val="none"/>
          <w:u w:val="none"/>
          <w:lang w:val="en-US" w:eastAsia="zh-CN"/>
        </w:rPr>
        <w:t>1套；</w:t>
      </w:r>
      <w:r>
        <w:rPr>
          <w:rFonts w:hint="eastAsia" w:ascii="宋体" w:hAnsi="宋体" w:eastAsia="宋体" w:cs="宋体"/>
          <w:i w:val="0"/>
          <w:iCs w:val="0"/>
          <w:color w:val="auto"/>
          <w:kern w:val="0"/>
          <w:sz w:val="21"/>
          <w:szCs w:val="21"/>
          <w:highlight w:val="none"/>
          <w:u w:val="none"/>
          <w:lang w:val="en-US" w:eastAsia="zh-CN"/>
        </w:rPr>
        <w:t>视频工作站</w:t>
      </w:r>
      <w:r>
        <w:rPr>
          <w:rFonts w:hint="eastAsia" w:ascii="宋体" w:hAnsi="宋体" w:cs="宋体"/>
          <w:i w:val="0"/>
          <w:iCs w:val="0"/>
          <w:color w:val="auto"/>
          <w:kern w:val="0"/>
          <w:sz w:val="21"/>
          <w:szCs w:val="21"/>
          <w:highlight w:val="none"/>
          <w:u w:val="none"/>
          <w:lang w:val="en-US" w:eastAsia="zh-CN"/>
        </w:rPr>
        <w:t>2套</w:t>
      </w:r>
      <w:r>
        <w:rPr>
          <w:rFonts w:hint="default" w:ascii="Times New Roman" w:hAnsi="Times New Roman" w:eastAsia="宋体" w:cs="Times New Roman"/>
          <w:b w:val="0"/>
          <w:bCs w:val="0"/>
          <w:color w:val="auto"/>
          <w:kern w:val="2"/>
          <w:sz w:val="21"/>
          <w:szCs w:val="24"/>
          <w:highlight w:val="none"/>
          <w:shd w:val="clear" w:color="auto" w:fill="auto"/>
          <w:lang w:eastAsia="zh-CN" w:bidi="ar-SA"/>
        </w:rPr>
        <w:t>。</w:t>
      </w:r>
      <w:r>
        <w:rPr>
          <w:rFonts w:hint="eastAsia" w:ascii="Times New Roman" w:hAnsi="Times New Roman" w:eastAsia="宋体" w:cs="Times New Roman"/>
          <w:color w:val="auto"/>
          <w:highlight w:val="none"/>
          <w:shd w:val="clear" w:color="auto" w:fill="auto"/>
        </w:rPr>
        <w:t>如需进一步了解详细内容，详见采购文件。</w:t>
      </w:r>
    </w:p>
    <w:p w14:paraId="65C78360">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 xml:space="preserve">最高限价（如有）： </w:t>
      </w:r>
      <w:r>
        <w:rPr>
          <w:rFonts w:hint="default" w:ascii="Times New Roman" w:hAnsi="Times New Roman" w:eastAsia="宋体" w:cs="Times New Roman"/>
          <w:color w:val="auto"/>
          <w:highlight w:val="none"/>
          <w:shd w:val="clear" w:color="auto" w:fill="auto"/>
        </w:rPr>
        <w:t>/</w:t>
      </w:r>
    </w:p>
    <w:p w14:paraId="69F00447">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合同履约期限：自合同签订之日起至项目履约完毕</w:t>
      </w:r>
    </w:p>
    <w:p w14:paraId="5833CBEB">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s="Times New Roman"/>
          <w:color w:val="auto"/>
          <w:highlight w:val="none"/>
          <w:shd w:val="clear" w:color="auto" w:fill="auto"/>
          <w:lang w:eastAsia="zh-CN"/>
        </w:rPr>
      </w:pPr>
      <w:r>
        <w:rPr>
          <w:rFonts w:hint="eastAsia" w:ascii="Times New Roman" w:hAnsi="Times New Roman" w:eastAsia="宋体" w:cs="Times New Roman"/>
          <w:color w:val="auto"/>
          <w:highlight w:val="none"/>
          <w:shd w:val="clear" w:color="auto" w:fill="auto"/>
        </w:rPr>
        <w:t>本项目（否）接受联合体</w:t>
      </w:r>
      <w:r>
        <w:rPr>
          <w:rFonts w:hint="eastAsia" w:cs="Times New Roman"/>
          <w:color w:val="auto"/>
          <w:highlight w:val="none"/>
          <w:shd w:val="clear" w:color="auto" w:fill="auto"/>
          <w:lang w:eastAsia="zh-CN"/>
        </w:rPr>
        <w:t>投标</w:t>
      </w:r>
    </w:p>
    <w:p w14:paraId="4CFDA982">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s="Times New Roman"/>
          <w:color w:val="auto"/>
          <w:highlight w:val="none"/>
          <w:shd w:val="clear" w:color="auto" w:fill="auto"/>
          <w:lang w:eastAsia="zh-CN"/>
        </w:rPr>
      </w:pPr>
      <w:r>
        <w:rPr>
          <w:rFonts w:hint="eastAsia" w:ascii="Times New Roman" w:hAnsi="Times New Roman" w:eastAsia="宋体" w:cs="Times New Roman"/>
          <w:color w:val="auto"/>
          <w:highlight w:val="none"/>
          <w:shd w:val="clear" w:color="auto" w:fill="auto"/>
        </w:rPr>
        <w:t>备注：本项目为线上电子招标项目，有意向参与本项目的供应商应当做好参与全流程电子招投标交易的充分准备</w:t>
      </w:r>
      <w:r>
        <w:rPr>
          <w:rFonts w:hint="eastAsia" w:cs="Times New Roman"/>
          <w:color w:val="auto"/>
          <w:highlight w:val="none"/>
          <w:shd w:val="clear" w:color="auto" w:fill="auto"/>
          <w:lang w:eastAsia="zh-CN"/>
        </w:rPr>
        <w:t>。</w:t>
      </w:r>
    </w:p>
    <w:p w14:paraId="713583C3">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标项</w:t>
      </w:r>
      <w:r>
        <w:rPr>
          <w:rFonts w:hint="eastAsia" w:ascii="Times New Roman" w:hAnsi="Times New Roman" w:eastAsia="宋体" w:cs="Times New Roman"/>
          <w:color w:val="auto"/>
          <w:highlight w:val="none"/>
          <w:shd w:val="clear" w:color="auto" w:fill="auto"/>
          <w:lang w:eastAsia="zh-CN"/>
        </w:rPr>
        <w:t>二</w:t>
      </w:r>
      <w:r>
        <w:rPr>
          <w:rFonts w:hint="eastAsia" w:ascii="Times New Roman" w:hAnsi="Times New Roman" w:eastAsia="宋体" w:cs="Times New Roman"/>
          <w:color w:val="auto"/>
          <w:highlight w:val="none"/>
          <w:shd w:val="clear" w:color="auto" w:fill="auto"/>
        </w:rPr>
        <w:t>：</w:t>
      </w:r>
    </w:p>
    <w:p w14:paraId="5B8E0C64">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标项名称</w:t>
      </w:r>
      <w:r>
        <w:rPr>
          <w:rFonts w:hint="eastAsia" w:cs="Times New Roman"/>
          <w:color w:val="auto"/>
          <w:highlight w:val="none"/>
          <w:shd w:val="clear" w:color="auto" w:fill="auto"/>
          <w:lang w:eastAsia="zh-CN"/>
        </w:rPr>
        <w:t>：</w:t>
      </w:r>
      <w:r>
        <w:rPr>
          <w:rFonts w:hint="eastAsia"/>
          <w:color w:val="auto"/>
          <w:highlight w:val="none"/>
          <w:shd w:val="clear" w:color="auto" w:fill="auto"/>
        </w:rPr>
        <w:t>武鸣校区7#礼堂及5#学生活动综合楼一层会议空间家具采购</w:t>
      </w:r>
      <w:r>
        <w:rPr>
          <w:rFonts w:hint="eastAsia" w:ascii="Times New Roman" w:hAnsi="Times New Roman" w:eastAsia="宋体" w:cs="Times New Roman"/>
          <w:color w:val="auto"/>
          <w:highlight w:val="none"/>
          <w:shd w:val="clear" w:color="auto" w:fill="auto"/>
        </w:rPr>
        <w:t xml:space="preserve"> </w:t>
      </w:r>
    </w:p>
    <w:p w14:paraId="30B92A5E">
      <w:pPr>
        <w:pageBreakBefore w:val="0"/>
        <w:widowControl w:val="0"/>
        <w:kinsoku/>
        <w:wordWrap/>
        <w:overflowPunct/>
        <w:topLinePunct w:val="0"/>
        <w:autoSpaceDE/>
        <w:autoSpaceDN/>
        <w:bidi w:val="0"/>
        <w:spacing w:line="320" w:lineRule="exact"/>
        <w:textAlignment w:val="auto"/>
        <w:rPr>
          <w:rFonts w:hint="eastAsia" w:ascii="Times New Roman" w:hAnsi="Times New Roman" w:eastAsia="宋体" w:cs="Times New Roman"/>
          <w:color w:val="auto"/>
          <w:highlight w:val="none"/>
          <w:shd w:val="clear" w:color="auto" w:fill="auto"/>
        </w:rPr>
      </w:pP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color w:val="auto"/>
          <w:highlight w:val="none"/>
          <w:shd w:val="clear" w:color="auto" w:fill="auto"/>
        </w:rPr>
        <w:t xml:space="preserve">数量:1 </w:t>
      </w:r>
      <w:r>
        <w:rPr>
          <w:rFonts w:hint="eastAsia" w:ascii="Times New Roman" w:hAnsi="Times New Roman" w:eastAsia="宋体" w:cs="Times New Roman"/>
          <w:color w:val="auto"/>
          <w:highlight w:val="none"/>
          <w:shd w:val="clear" w:color="auto" w:fill="auto"/>
        </w:rPr>
        <w:br w:type="textWrapping"/>
      </w:r>
      <w:r>
        <w:rPr>
          <w:rFonts w:hint="eastAsia" w:ascii="Times New Roman" w:hAnsi="Times New Roman" w:eastAsia="宋体" w:cs="Times New Roman"/>
          <w:color w:val="auto"/>
          <w:highlight w:val="none"/>
          <w:shd w:val="clear" w:color="auto" w:fill="auto"/>
        </w:rPr>
        <w:t xml:space="preserve">   </w:t>
      </w: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color w:val="auto"/>
          <w:highlight w:val="none"/>
          <w:shd w:val="clear" w:color="auto" w:fill="auto"/>
        </w:rPr>
        <w:t>预算金额（元）:</w:t>
      </w:r>
      <w:r>
        <w:rPr>
          <w:rFonts w:hint="eastAsia" w:hAnsi="宋体" w:cs="宋体"/>
          <w:b w:val="0"/>
          <w:color w:val="auto"/>
          <w:kern w:val="0"/>
          <w:szCs w:val="21"/>
          <w:highlight w:val="none"/>
          <w:lang w:val="en-US" w:eastAsia="zh-CN"/>
        </w:rPr>
        <w:t>980900</w:t>
      </w:r>
      <w:r>
        <w:rPr>
          <w:rFonts w:hint="eastAsia" w:ascii="Times New Roman" w:hAnsi="Times New Roman" w:eastAsia="宋体" w:cs="Times New Roman"/>
          <w:color w:val="auto"/>
          <w:highlight w:val="none"/>
          <w:shd w:val="clear" w:color="auto" w:fill="auto"/>
        </w:rPr>
        <w:br w:type="textWrapping"/>
      </w:r>
      <w:r>
        <w:rPr>
          <w:rFonts w:hint="eastAsia" w:ascii="Times New Roman" w:hAnsi="Times New Roman" w:eastAsia="宋体" w:cs="Times New Roman"/>
          <w:color w:val="auto"/>
          <w:highlight w:val="none"/>
          <w:shd w:val="clear" w:color="auto" w:fill="auto"/>
        </w:rPr>
        <w:t xml:space="preserve">    简要规格描述或项目基本概况介绍、用途：</w:t>
      </w:r>
      <w:r>
        <w:rPr>
          <w:rFonts w:hint="eastAsia" w:ascii="宋体" w:hAnsi="宋体" w:eastAsia="宋体" w:cs="宋体"/>
          <w:i w:val="0"/>
          <w:iCs w:val="0"/>
          <w:color w:val="auto"/>
          <w:kern w:val="0"/>
          <w:sz w:val="21"/>
          <w:szCs w:val="21"/>
          <w:highlight w:val="none"/>
          <w:u w:val="none"/>
          <w:lang w:val="en-US" w:eastAsia="zh-CN"/>
        </w:rPr>
        <w:t>550mm中心距礼堂椅999张</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600mm中心距礼堂椅19张</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舞台会议椅72张</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1400mm舞台会议桌4张</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2100mm舞台会议桌1张</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演讲台1个</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1500mm会议桌2张</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9500mm会议桌1张</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办公椅20把</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接待沙发16张</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1400mm会议桌40张等。</w:t>
      </w:r>
      <w:r>
        <w:rPr>
          <w:rFonts w:hint="eastAsia" w:ascii="Times New Roman" w:hAnsi="Times New Roman" w:eastAsia="宋体" w:cs="Times New Roman"/>
          <w:color w:val="auto"/>
          <w:highlight w:val="none"/>
          <w:shd w:val="clear" w:color="auto" w:fill="auto"/>
        </w:rPr>
        <w:t>如需进一步了解详细内容，详见采购文件。</w:t>
      </w:r>
    </w:p>
    <w:p w14:paraId="27085701">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ascii="Times New Roman" w:hAnsi="Times New Roman" w:eastAsia="宋体" w:cs="Times New Roman"/>
          <w:color w:val="auto"/>
          <w:highlight w:val="none"/>
          <w:shd w:val="clear" w:color="auto" w:fill="auto"/>
          <w:lang w:eastAsia="zh-CN"/>
        </w:rPr>
      </w:pPr>
      <w:r>
        <w:rPr>
          <w:rFonts w:hint="eastAsia" w:ascii="Times New Roman" w:hAnsi="Times New Roman" w:eastAsia="宋体" w:cs="Times New Roman"/>
          <w:color w:val="auto"/>
          <w:highlight w:val="none"/>
          <w:shd w:val="clear" w:color="auto" w:fill="auto"/>
        </w:rPr>
        <w:t>最高限价（如有）：</w:t>
      </w:r>
      <w:r>
        <w:rPr>
          <w:rFonts w:hint="default" w:ascii="Times New Roman" w:hAnsi="Times New Roman" w:eastAsia="宋体" w:cs="Times New Roman"/>
          <w:color w:val="auto"/>
          <w:highlight w:val="none"/>
          <w:shd w:val="clear" w:color="auto" w:fill="auto"/>
          <w:lang w:eastAsia="zh-CN"/>
        </w:rPr>
        <w:t>/</w:t>
      </w:r>
    </w:p>
    <w:p w14:paraId="7E755139">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合同履约期限：自合同签订之日起至项目履约完毕</w:t>
      </w:r>
    </w:p>
    <w:p w14:paraId="7C560E91">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eastAsia="zh-CN"/>
        </w:rPr>
      </w:pPr>
      <w:r>
        <w:rPr>
          <w:rFonts w:hint="eastAsia" w:ascii="Times New Roman" w:hAnsi="Times New Roman" w:eastAsia="宋体" w:cs="Times New Roman"/>
          <w:color w:val="auto"/>
          <w:highlight w:val="none"/>
          <w:shd w:val="clear" w:color="auto" w:fill="auto"/>
        </w:rPr>
        <w:t>本项目（否）接受联合体</w:t>
      </w:r>
      <w:r>
        <w:rPr>
          <w:rFonts w:hint="eastAsia" w:cs="Times New Roman"/>
          <w:color w:val="auto"/>
          <w:highlight w:val="none"/>
          <w:shd w:val="clear" w:color="auto" w:fill="auto"/>
          <w:lang w:eastAsia="zh-CN"/>
        </w:rPr>
        <w:t>投标</w:t>
      </w:r>
      <w:r>
        <w:rPr>
          <w:rFonts w:hint="eastAsia" w:ascii="Times New Roman" w:hAnsi="Times New Roman" w:eastAsia="宋体" w:cs="Times New Roman"/>
          <w:color w:val="auto"/>
          <w:highlight w:val="none"/>
          <w:shd w:val="clear" w:color="auto" w:fill="auto"/>
        </w:rPr>
        <w:br w:type="textWrapping"/>
      </w: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color w:val="auto"/>
          <w:highlight w:val="none"/>
          <w:shd w:val="clear" w:color="auto" w:fill="auto"/>
        </w:rPr>
        <w:t>备注：本项目为线上电子招标项目，有意向参与本项目的供应商应当做好参与全流程电子招投标交易的充分准备</w:t>
      </w:r>
      <w:r>
        <w:rPr>
          <w:rFonts w:hint="eastAsia" w:cs="Times New Roman"/>
          <w:color w:val="auto"/>
          <w:highlight w:val="none"/>
          <w:shd w:val="clear" w:color="auto" w:fill="auto"/>
          <w:lang w:eastAsia="zh-CN"/>
        </w:rPr>
        <w:t>。</w:t>
      </w:r>
    </w:p>
    <w:p w14:paraId="1C81941B">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b/>
          <w:color w:val="auto"/>
          <w:highlight w:val="none"/>
          <w:shd w:val="clear" w:color="auto" w:fill="auto"/>
        </w:rPr>
      </w:pPr>
      <w:r>
        <w:rPr>
          <w:rFonts w:hint="eastAsia"/>
          <w:b/>
          <w:color w:val="auto"/>
          <w:highlight w:val="none"/>
          <w:shd w:val="clear" w:color="auto" w:fill="auto"/>
        </w:rPr>
        <w:t>二、申请人的资格要求：</w:t>
      </w:r>
    </w:p>
    <w:p w14:paraId="0DEC76A3">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1.满足《中华人民共和国政府采购法》第二十二条规定；</w:t>
      </w:r>
    </w:p>
    <w:p w14:paraId="79564BF7">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2.落实政府采购政策需满足的资格要求：</w:t>
      </w:r>
      <w:r>
        <w:rPr>
          <w:color w:val="auto"/>
          <w:highlight w:val="none"/>
          <w:shd w:val="clear" w:color="auto" w:fill="auto"/>
        </w:rPr>
        <w:t>分标1</w:t>
      </w:r>
      <w:r>
        <w:rPr>
          <w:rFonts w:hint="eastAsia"/>
          <w:color w:val="auto"/>
          <w:highlight w:val="none"/>
          <w:shd w:val="clear" w:color="auto" w:fill="auto"/>
          <w:lang w:eastAsia="zh-CN"/>
        </w:rPr>
        <w:t>、</w:t>
      </w:r>
      <w:r>
        <w:rPr>
          <w:rFonts w:hint="eastAsia"/>
          <w:color w:val="auto"/>
          <w:highlight w:val="none"/>
          <w:shd w:val="clear" w:color="auto" w:fill="auto"/>
          <w:lang w:val="en-US" w:eastAsia="zh-CN"/>
        </w:rPr>
        <w:t>2</w:t>
      </w:r>
      <w:r>
        <w:rPr>
          <w:rFonts w:hint="eastAsia"/>
          <w:color w:val="auto"/>
          <w:highlight w:val="none"/>
          <w:shd w:val="clear" w:color="auto" w:fill="auto"/>
        </w:rPr>
        <w:t>无</w:t>
      </w:r>
      <w:r>
        <w:rPr>
          <w:rFonts w:hint="eastAsia"/>
          <w:color w:val="auto"/>
          <w:highlight w:val="none"/>
          <w:shd w:val="clear" w:color="auto" w:fill="auto"/>
          <w:lang w:eastAsia="zh-CN"/>
        </w:rPr>
        <w:t>；</w:t>
      </w:r>
      <w:r>
        <w:rPr>
          <w:rFonts w:hint="eastAsia"/>
          <w:color w:val="auto"/>
          <w:highlight w:val="none"/>
          <w:shd w:val="clear" w:color="auto" w:fill="auto"/>
        </w:rPr>
        <w:t xml:space="preserve"> </w:t>
      </w:r>
    </w:p>
    <w:p w14:paraId="2E910EB1">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3.本项目的特定资格要求：无 </w:t>
      </w:r>
    </w:p>
    <w:p w14:paraId="702BCEA6">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b/>
          <w:color w:val="auto"/>
          <w:highlight w:val="none"/>
          <w:shd w:val="clear" w:color="auto" w:fill="auto"/>
        </w:rPr>
      </w:pPr>
      <w:r>
        <w:rPr>
          <w:rFonts w:hint="eastAsia"/>
          <w:b/>
          <w:color w:val="auto"/>
          <w:highlight w:val="none"/>
          <w:shd w:val="clear" w:color="auto" w:fill="auto"/>
        </w:rPr>
        <w:t xml:space="preserve">三、获取招标文件 </w:t>
      </w:r>
    </w:p>
    <w:p w14:paraId="348B93AA">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时间：</w:t>
      </w:r>
      <w:r>
        <w:rPr>
          <w:b/>
          <w:bCs/>
          <w:color w:val="auto"/>
          <w:highlight w:val="none"/>
          <w:shd w:val="clear" w:color="auto" w:fill="auto"/>
        </w:rPr>
        <w:t>202</w:t>
      </w:r>
      <w:r>
        <w:rPr>
          <w:rFonts w:hint="eastAsia"/>
          <w:b/>
          <w:bCs/>
          <w:color w:val="auto"/>
          <w:highlight w:val="none"/>
          <w:shd w:val="clear" w:color="auto" w:fill="auto"/>
          <w:lang w:val="en-US" w:eastAsia="zh-CN"/>
        </w:rPr>
        <w:t>6</w:t>
      </w:r>
      <w:r>
        <w:rPr>
          <w:b/>
          <w:bCs/>
          <w:color w:val="auto"/>
          <w:highlight w:val="none"/>
          <w:shd w:val="clear" w:color="auto" w:fill="auto"/>
        </w:rPr>
        <w:t>年</w:t>
      </w:r>
      <w:r>
        <w:rPr>
          <w:rFonts w:hint="eastAsia"/>
          <w:b/>
          <w:bCs/>
          <w:color w:val="auto"/>
          <w:highlight w:val="none"/>
          <w:shd w:val="clear" w:color="auto" w:fill="auto"/>
          <w:lang w:val="en-US" w:eastAsia="zh-CN"/>
        </w:rPr>
        <w:t>5</w:t>
      </w:r>
      <w:r>
        <w:rPr>
          <w:b/>
          <w:bCs/>
          <w:color w:val="auto"/>
          <w:highlight w:val="none"/>
          <w:shd w:val="clear" w:color="auto" w:fill="auto"/>
        </w:rPr>
        <w:t>月</w:t>
      </w:r>
      <w:r>
        <w:rPr>
          <w:rFonts w:hint="eastAsia"/>
          <w:b/>
          <w:bCs/>
          <w:color w:val="auto"/>
          <w:highlight w:val="none"/>
          <w:shd w:val="clear" w:color="auto" w:fill="auto"/>
          <w:lang w:val="en-US" w:eastAsia="zh-CN"/>
        </w:rPr>
        <w:t>12</w:t>
      </w:r>
      <w:r>
        <w:rPr>
          <w:b/>
          <w:bCs/>
          <w:color w:val="auto"/>
          <w:highlight w:val="none"/>
          <w:shd w:val="clear" w:color="auto" w:fill="auto"/>
        </w:rPr>
        <w:t>日</w:t>
      </w:r>
      <w:r>
        <w:rPr>
          <w:rFonts w:hint="eastAsia"/>
          <w:b/>
          <w:bCs/>
          <w:color w:val="auto"/>
          <w:highlight w:val="none"/>
          <w:shd w:val="clear" w:color="auto" w:fill="auto"/>
        </w:rPr>
        <w:t>至</w:t>
      </w:r>
      <w:r>
        <w:rPr>
          <w:b/>
          <w:bCs/>
          <w:color w:val="auto"/>
          <w:highlight w:val="none"/>
          <w:shd w:val="clear" w:color="auto" w:fill="auto"/>
        </w:rPr>
        <w:t>202</w:t>
      </w:r>
      <w:r>
        <w:rPr>
          <w:rFonts w:hint="eastAsia"/>
          <w:b/>
          <w:bCs/>
          <w:color w:val="auto"/>
          <w:highlight w:val="none"/>
          <w:shd w:val="clear" w:color="auto" w:fill="auto"/>
          <w:lang w:val="en-US" w:eastAsia="zh-CN"/>
        </w:rPr>
        <w:t>6</w:t>
      </w:r>
      <w:r>
        <w:rPr>
          <w:b/>
          <w:bCs/>
          <w:color w:val="auto"/>
          <w:highlight w:val="none"/>
          <w:shd w:val="clear" w:color="auto" w:fill="auto"/>
        </w:rPr>
        <w:t>年</w:t>
      </w:r>
      <w:r>
        <w:rPr>
          <w:rFonts w:hint="eastAsia"/>
          <w:b/>
          <w:bCs/>
          <w:color w:val="auto"/>
          <w:highlight w:val="none"/>
          <w:shd w:val="clear" w:color="auto" w:fill="auto"/>
          <w:lang w:val="en-US" w:eastAsia="zh-CN"/>
        </w:rPr>
        <w:t>5</w:t>
      </w:r>
      <w:r>
        <w:rPr>
          <w:b/>
          <w:bCs/>
          <w:color w:val="auto"/>
          <w:highlight w:val="none"/>
          <w:shd w:val="clear" w:color="auto" w:fill="auto"/>
        </w:rPr>
        <w:t>月</w:t>
      </w:r>
      <w:r>
        <w:rPr>
          <w:rFonts w:hint="eastAsia"/>
          <w:b/>
          <w:bCs/>
          <w:color w:val="auto"/>
          <w:highlight w:val="none"/>
          <w:shd w:val="clear" w:color="auto" w:fill="auto"/>
          <w:lang w:val="en-US" w:eastAsia="zh-CN"/>
        </w:rPr>
        <w:t>19</w:t>
      </w:r>
      <w:r>
        <w:rPr>
          <w:b/>
          <w:bCs/>
          <w:color w:val="auto"/>
          <w:highlight w:val="none"/>
          <w:shd w:val="clear" w:color="auto" w:fill="auto"/>
        </w:rPr>
        <w:t>日</w:t>
      </w:r>
      <w:r>
        <w:rPr>
          <w:rFonts w:hint="eastAsia"/>
          <w:color w:val="auto"/>
          <w:highlight w:val="none"/>
          <w:shd w:val="clear" w:color="auto" w:fill="auto"/>
        </w:rPr>
        <w:t>，</w:t>
      </w:r>
      <w:r>
        <w:rPr>
          <w:rFonts w:hint="eastAsia"/>
          <w:b/>
          <w:bCs/>
          <w:color w:val="auto"/>
          <w:highlight w:val="none"/>
          <w:shd w:val="clear" w:color="auto" w:fill="auto"/>
        </w:rPr>
        <w:t>每天上午00:00至12:00，下午12:00至23:59</w:t>
      </w:r>
      <w:r>
        <w:rPr>
          <w:rFonts w:hint="eastAsia"/>
          <w:color w:val="auto"/>
          <w:highlight w:val="none"/>
          <w:shd w:val="clear" w:color="auto" w:fill="auto"/>
        </w:rPr>
        <w:t>（北京时间，法定节假日除外）</w:t>
      </w:r>
    </w:p>
    <w:p w14:paraId="4D8FE146">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地点（网址）：</w:t>
      </w:r>
      <w:r>
        <w:rPr>
          <w:rFonts w:hint="default"/>
          <w:color w:val="auto"/>
          <w:highlight w:val="none"/>
          <w:shd w:val="clear" w:color="auto" w:fill="auto"/>
        </w:rPr>
        <w:t>广西政府采购云平台（网址：http://www.gcy.zfcg.gxzf.gov.cn）</w:t>
      </w:r>
      <w:r>
        <w:rPr>
          <w:rFonts w:hint="eastAsia"/>
          <w:color w:val="auto"/>
          <w:highlight w:val="none"/>
          <w:shd w:val="clear" w:color="auto" w:fill="auto"/>
        </w:rPr>
        <w:t xml:space="preserve"> </w:t>
      </w:r>
    </w:p>
    <w:p w14:paraId="340DE6E4">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方式：请登录</w:t>
      </w:r>
      <w:r>
        <w:rPr>
          <w:rFonts w:hint="default"/>
          <w:color w:val="auto"/>
          <w:highlight w:val="none"/>
          <w:shd w:val="clear" w:color="auto" w:fill="auto"/>
        </w:rPr>
        <w:t>广西政府采购云平台（网址：http://www.gcy.zfcg.gxzf.gov.cn）</w:t>
      </w:r>
      <w:r>
        <w:rPr>
          <w:rFonts w:hint="eastAsia"/>
          <w:color w:val="auto"/>
          <w:highlight w:val="none"/>
          <w:shd w:val="clear" w:color="auto" w:fill="auto"/>
        </w:rPr>
        <w:t>进行报名并获取采购文件；未注册的供应商可在</w:t>
      </w:r>
      <w:r>
        <w:rPr>
          <w:rFonts w:hint="eastAsia"/>
          <w:color w:val="auto"/>
          <w:highlight w:val="none"/>
          <w:shd w:val="clear" w:color="auto" w:fill="auto"/>
          <w:lang w:eastAsia="zh-CN"/>
        </w:rPr>
        <w:t>广西政府采购云平台</w:t>
      </w:r>
      <w:r>
        <w:rPr>
          <w:rFonts w:hint="eastAsia"/>
          <w:color w:val="auto"/>
          <w:highlight w:val="none"/>
          <w:shd w:val="clear" w:color="auto" w:fill="auto"/>
        </w:rPr>
        <w:t>完成注册后再行报名。如在操作过程中遇到问题或需技术支持，请致电</w:t>
      </w:r>
      <w:r>
        <w:rPr>
          <w:rFonts w:hint="default"/>
          <w:color w:val="auto"/>
          <w:highlight w:val="none"/>
          <w:shd w:val="clear" w:color="auto" w:fill="auto"/>
        </w:rPr>
        <w:t>广西政府采购云</w:t>
      </w:r>
      <w:r>
        <w:rPr>
          <w:rFonts w:hint="eastAsia"/>
          <w:color w:val="auto"/>
          <w:highlight w:val="none"/>
          <w:shd w:val="clear" w:color="auto" w:fill="auto"/>
        </w:rPr>
        <w:t>客服热线：95763。</w:t>
      </w:r>
    </w:p>
    <w:p w14:paraId="5F7FEC75">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提示：公开招标公告附件内的招标文件仅供阅览使用；供应商只有在“</w:t>
      </w:r>
      <w:r>
        <w:rPr>
          <w:rFonts w:hint="default"/>
          <w:color w:val="auto"/>
          <w:highlight w:val="none"/>
          <w:shd w:val="clear" w:color="auto" w:fill="auto"/>
        </w:rPr>
        <w:t>广西政府采购云平台</w:t>
      </w:r>
      <w:r>
        <w:rPr>
          <w:rFonts w:hint="eastAsia"/>
          <w:color w:val="auto"/>
          <w:highlight w:val="none"/>
          <w:shd w:val="clear" w:color="auto" w:fill="auto"/>
        </w:rPr>
        <w:t>”完成获取招标文件申请并下载了招标文件后才视作依法获取招标文件（法律法规所指的供应商获取招标文件时间以供应商完成获取招标文件申请后下载招标文件的时间为准）。</w:t>
      </w:r>
    </w:p>
    <w:p w14:paraId="2DDD0B44">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售价（元）：0 </w:t>
      </w:r>
    </w:p>
    <w:p w14:paraId="7C3A4A80">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b/>
          <w:color w:val="auto"/>
          <w:highlight w:val="none"/>
          <w:shd w:val="clear" w:color="auto" w:fill="auto"/>
        </w:rPr>
      </w:pPr>
      <w:r>
        <w:rPr>
          <w:rFonts w:hint="eastAsia"/>
          <w:b/>
          <w:color w:val="auto"/>
          <w:highlight w:val="none"/>
          <w:shd w:val="clear" w:color="auto" w:fill="auto"/>
        </w:rPr>
        <w:t>四、提交投标文件截止时间、开标时间和地点</w:t>
      </w:r>
    </w:p>
    <w:p w14:paraId="52C04FD4">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提交投标文件截止时间：</w:t>
      </w:r>
      <w:r>
        <w:rPr>
          <w:rFonts w:hint="eastAsia"/>
          <w:b/>
          <w:bCs/>
          <w:color w:val="auto"/>
          <w:highlight w:val="none"/>
          <w:shd w:val="clear" w:color="auto" w:fill="auto"/>
        </w:rPr>
        <w:t>202</w:t>
      </w:r>
      <w:r>
        <w:rPr>
          <w:rFonts w:hint="eastAsia"/>
          <w:b/>
          <w:bCs/>
          <w:color w:val="auto"/>
          <w:highlight w:val="none"/>
          <w:shd w:val="clear" w:color="auto" w:fill="auto"/>
          <w:lang w:val="en-US" w:eastAsia="zh-CN"/>
        </w:rPr>
        <w:t>6</w:t>
      </w:r>
      <w:r>
        <w:rPr>
          <w:rFonts w:hint="eastAsia"/>
          <w:b/>
          <w:bCs/>
          <w:color w:val="auto"/>
          <w:highlight w:val="none"/>
          <w:shd w:val="clear" w:color="auto" w:fill="auto"/>
        </w:rPr>
        <w:t>年</w:t>
      </w:r>
      <w:r>
        <w:rPr>
          <w:rFonts w:hint="eastAsia"/>
          <w:b/>
          <w:bCs/>
          <w:color w:val="auto"/>
          <w:highlight w:val="none"/>
          <w:shd w:val="clear" w:color="auto" w:fill="auto"/>
          <w:lang w:val="en-US" w:eastAsia="zh-CN"/>
        </w:rPr>
        <w:t>6</w:t>
      </w:r>
      <w:r>
        <w:rPr>
          <w:rFonts w:hint="eastAsia"/>
          <w:b/>
          <w:bCs/>
          <w:color w:val="auto"/>
          <w:highlight w:val="none"/>
          <w:shd w:val="clear" w:color="auto" w:fill="auto"/>
        </w:rPr>
        <w:t>月</w:t>
      </w:r>
      <w:r>
        <w:rPr>
          <w:rFonts w:hint="eastAsia"/>
          <w:b/>
          <w:bCs/>
          <w:color w:val="auto"/>
          <w:highlight w:val="none"/>
          <w:shd w:val="clear" w:color="auto" w:fill="auto"/>
          <w:lang w:val="en-US" w:eastAsia="zh-CN"/>
        </w:rPr>
        <w:t>3日</w:t>
      </w:r>
      <w:r>
        <w:rPr>
          <w:rFonts w:hint="eastAsia"/>
          <w:b/>
          <w:bCs/>
          <w:color w:val="auto"/>
          <w:highlight w:val="none"/>
          <w:shd w:val="clear" w:color="auto" w:fill="auto"/>
        </w:rPr>
        <w:t>10:00</w:t>
      </w:r>
      <w:r>
        <w:rPr>
          <w:rFonts w:hint="eastAsia"/>
          <w:color w:val="auto"/>
          <w:highlight w:val="none"/>
          <w:shd w:val="clear" w:color="auto" w:fill="auto"/>
        </w:rPr>
        <w:t>（北京时间）</w:t>
      </w:r>
    </w:p>
    <w:p w14:paraId="0240C024">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投标地点（网址）：</w:t>
      </w:r>
      <w:r>
        <w:rPr>
          <w:rFonts w:hint="default"/>
          <w:color w:val="auto"/>
          <w:highlight w:val="none"/>
          <w:shd w:val="clear" w:color="auto" w:fill="auto"/>
        </w:rPr>
        <w:t>http://www.gcy.zfcg.gxzf.gov.cn</w:t>
      </w:r>
      <w:r>
        <w:rPr>
          <w:rFonts w:hint="eastAsia"/>
          <w:color w:val="auto"/>
          <w:highlight w:val="none"/>
          <w:shd w:val="clear" w:color="auto" w:fill="auto"/>
        </w:rPr>
        <w:t>（本项目不要求投标供应商到达开标现场，但供应商应派法定代表人或委托代理人准时在线出席电子开评标会议，随时关注开评标进度，如在开评标过程中有电子询标，应在规定的时间内对电子询标函进行澄清回复。）</w:t>
      </w:r>
    </w:p>
    <w:p w14:paraId="71D70F20">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开标时间：</w:t>
      </w:r>
      <w:r>
        <w:rPr>
          <w:rFonts w:hint="eastAsia"/>
          <w:b/>
          <w:bCs/>
          <w:color w:val="auto"/>
          <w:highlight w:val="none"/>
          <w:shd w:val="clear" w:color="auto" w:fill="auto"/>
        </w:rPr>
        <w:t>202</w:t>
      </w:r>
      <w:r>
        <w:rPr>
          <w:rFonts w:hint="eastAsia"/>
          <w:b/>
          <w:bCs/>
          <w:color w:val="auto"/>
          <w:highlight w:val="none"/>
          <w:shd w:val="clear" w:color="auto" w:fill="auto"/>
          <w:lang w:val="en-US" w:eastAsia="zh-CN"/>
        </w:rPr>
        <w:t>6</w:t>
      </w:r>
      <w:r>
        <w:rPr>
          <w:rFonts w:hint="eastAsia"/>
          <w:b/>
          <w:bCs/>
          <w:color w:val="auto"/>
          <w:highlight w:val="none"/>
          <w:shd w:val="clear" w:color="auto" w:fill="auto"/>
        </w:rPr>
        <w:t>年</w:t>
      </w:r>
      <w:r>
        <w:rPr>
          <w:rFonts w:hint="eastAsia"/>
          <w:b/>
          <w:bCs/>
          <w:color w:val="auto"/>
          <w:highlight w:val="none"/>
          <w:shd w:val="clear" w:color="auto" w:fill="auto"/>
          <w:lang w:val="en-US" w:eastAsia="zh-CN"/>
        </w:rPr>
        <w:t>6</w:t>
      </w:r>
      <w:r>
        <w:rPr>
          <w:rFonts w:hint="eastAsia"/>
          <w:b/>
          <w:bCs/>
          <w:color w:val="auto"/>
          <w:highlight w:val="none"/>
          <w:shd w:val="clear" w:color="auto" w:fill="auto"/>
        </w:rPr>
        <w:t>月</w:t>
      </w:r>
      <w:r>
        <w:rPr>
          <w:rFonts w:hint="eastAsia"/>
          <w:b/>
          <w:bCs/>
          <w:color w:val="auto"/>
          <w:highlight w:val="none"/>
          <w:shd w:val="clear" w:color="auto" w:fill="auto"/>
          <w:lang w:val="en-US" w:eastAsia="zh-CN"/>
        </w:rPr>
        <w:t>3</w:t>
      </w:r>
      <w:r>
        <w:rPr>
          <w:rFonts w:hint="eastAsia"/>
          <w:b/>
          <w:bCs/>
          <w:color w:val="auto"/>
          <w:highlight w:val="none"/>
          <w:shd w:val="clear" w:color="auto" w:fill="auto"/>
        </w:rPr>
        <w:t>日10:00</w:t>
      </w:r>
      <w:r>
        <w:rPr>
          <w:rFonts w:hint="eastAsia"/>
          <w:color w:val="auto"/>
          <w:highlight w:val="none"/>
          <w:shd w:val="clear" w:color="auto" w:fill="auto"/>
        </w:rPr>
        <w:t>（北京时间）</w:t>
      </w:r>
    </w:p>
    <w:p w14:paraId="52F3A483">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开标地点：广西壮族自治区南宁市青秀区广西政府采购云平台开标大厅</w:t>
      </w:r>
    </w:p>
    <w:p w14:paraId="6FF3A5E0">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b/>
          <w:color w:val="auto"/>
          <w:highlight w:val="none"/>
          <w:shd w:val="clear" w:color="auto" w:fill="auto"/>
        </w:rPr>
      </w:pPr>
      <w:r>
        <w:rPr>
          <w:rFonts w:hint="eastAsia"/>
          <w:b/>
          <w:color w:val="auto"/>
          <w:highlight w:val="none"/>
          <w:shd w:val="clear" w:color="auto" w:fill="auto"/>
        </w:rPr>
        <w:t xml:space="preserve">五、公告期限 </w:t>
      </w:r>
    </w:p>
    <w:p w14:paraId="08232B03">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自本公告发布之日起5个工作日。</w:t>
      </w:r>
    </w:p>
    <w:p w14:paraId="30AAF1FE">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b/>
          <w:color w:val="auto"/>
          <w:highlight w:val="none"/>
          <w:shd w:val="clear" w:color="auto" w:fill="auto"/>
        </w:rPr>
      </w:pPr>
      <w:r>
        <w:rPr>
          <w:rFonts w:hint="eastAsia"/>
          <w:b/>
          <w:color w:val="auto"/>
          <w:highlight w:val="none"/>
          <w:shd w:val="clear" w:color="auto" w:fill="auto"/>
        </w:rPr>
        <w:t>六、其他补充事宜</w:t>
      </w:r>
    </w:p>
    <w:p w14:paraId="20C79C33">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color w:val="auto"/>
          <w:highlight w:val="none"/>
          <w:shd w:val="clear" w:color="auto" w:fill="auto"/>
        </w:rPr>
      </w:pPr>
      <w:r>
        <w:rPr>
          <w:rFonts w:hint="eastAsia"/>
          <w:b/>
          <w:color w:val="auto"/>
          <w:highlight w:val="none"/>
          <w:shd w:val="clear" w:color="auto" w:fill="auto"/>
        </w:rPr>
        <w:t xml:space="preserve"> </w:t>
      </w:r>
      <w:r>
        <w:rPr>
          <w:rFonts w:hint="eastAsia"/>
          <w:color w:val="auto"/>
          <w:highlight w:val="none"/>
          <w:shd w:val="clear" w:color="auto" w:fill="auto"/>
        </w:rPr>
        <w:t>1.投标保证金（人民币）：</w:t>
      </w:r>
      <w:r>
        <w:rPr>
          <w:rFonts w:hint="eastAsia"/>
          <w:b/>
          <w:bCs/>
          <w:color w:val="auto"/>
          <w:highlight w:val="none"/>
          <w:shd w:val="clear" w:color="auto" w:fill="auto"/>
        </w:rPr>
        <w:t>分标</w:t>
      </w:r>
      <w:r>
        <w:rPr>
          <w:b/>
          <w:bCs/>
          <w:color w:val="auto"/>
          <w:highlight w:val="none"/>
          <w:shd w:val="clear" w:color="auto" w:fill="auto"/>
        </w:rPr>
        <w:t>1</w:t>
      </w:r>
      <w:r>
        <w:rPr>
          <w:rFonts w:hint="eastAsia"/>
          <w:b/>
          <w:bCs/>
          <w:color w:val="auto"/>
          <w:highlight w:val="none"/>
          <w:shd w:val="clear" w:color="auto" w:fill="auto"/>
        </w:rPr>
        <w:t>：</w:t>
      </w:r>
      <w:r>
        <w:rPr>
          <w:rFonts w:hint="eastAsia"/>
          <w:b/>
          <w:bCs/>
          <w:color w:val="auto"/>
          <w:highlight w:val="none"/>
          <w:u w:val="single"/>
          <w:shd w:val="clear" w:color="auto" w:fill="auto"/>
          <w:lang w:val="en-US" w:eastAsia="zh-CN"/>
        </w:rPr>
        <w:t xml:space="preserve"> 2 </w:t>
      </w:r>
      <w:r>
        <w:rPr>
          <w:rFonts w:hint="eastAsia"/>
          <w:b/>
          <w:bCs/>
          <w:color w:val="auto"/>
          <w:highlight w:val="none"/>
          <w:shd w:val="clear" w:color="auto" w:fill="auto"/>
        </w:rPr>
        <w:t>万元；</w:t>
      </w:r>
      <w:r>
        <w:rPr>
          <w:rFonts w:hint="eastAsia"/>
          <w:b/>
          <w:bCs/>
          <w:color w:val="auto"/>
          <w:highlight w:val="none"/>
          <w:shd w:val="clear" w:color="auto" w:fill="auto"/>
          <w:lang w:eastAsia="zh-CN"/>
        </w:rPr>
        <w:t>分标</w:t>
      </w:r>
      <w:r>
        <w:rPr>
          <w:rFonts w:hint="eastAsia"/>
          <w:b/>
          <w:bCs/>
          <w:color w:val="auto"/>
          <w:highlight w:val="none"/>
          <w:shd w:val="clear" w:color="auto" w:fill="auto"/>
          <w:lang w:val="en-US" w:eastAsia="zh-CN"/>
        </w:rPr>
        <w:t>2：</w:t>
      </w:r>
      <w:r>
        <w:rPr>
          <w:rFonts w:hint="eastAsia"/>
          <w:b/>
          <w:bCs/>
          <w:color w:val="auto"/>
          <w:highlight w:val="none"/>
          <w:u w:val="single"/>
          <w:shd w:val="clear" w:color="auto" w:fill="auto"/>
          <w:lang w:val="en-US" w:eastAsia="zh-CN"/>
        </w:rPr>
        <w:t xml:space="preserve"> 0.9 </w:t>
      </w:r>
      <w:r>
        <w:rPr>
          <w:rFonts w:hint="eastAsia"/>
          <w:b/>
          <w:bCs/>
          <w:color w:val="auto"/>
          <w:highlight w:val="none"/>
          <w:shd w:val="clear" w:color="auto" w:fill="auto"/>
          <w:lang w:val="en-US" w:eastAsia="zh-CN"/>
        </w:rPr>
        <w:t>万元。</w:t>
      </w:r>
      <w:r>
        <w:rPr>
          <w:rFonts w:hint="eastAsia"/>
          <w:color w:val="auto"/>
          <w:highlight w:val="none"/>
          <w:shd w:val="clear" w:color="auto" w:fill="auto"/>
        </w:rPr>
        <w:t>(必须足额交纳)</w:t>
      </w:r>
    </w:p>
    <w:p w14:paraId="4021DA4F">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（1）投标保证金交纳形式：</w:t>
      </w:r>
      <w:r>
        <w:rPr>
          <w:rFonts w:hint="eastAsia"/>
          <w:color w:val="auto"/>
          <w:highlight w:val="none"/>
          <w:shd w:val="clear" w:color="auto" w:fill="auto"/>
          <w:lang w:eastAsia="zh-CN"/>
        </w:rPr>
        <w:t>支票、汇票、本票、金融机构、担保机构</w:t>
      </w:r>
      <w:r>
        <w:rPr>
          <w:rFonts w:hint="eastAsia"/>
          <w:color w:val="auto"/>
          <w:highlight w:val="none"/>
          <w:shd w:val="clear" w:color="auto" w:fill="auto"/>
        </w:rPr>
        <w:t>出具的保函等非现金形式。</w:t>
      </w:r>
    </w:p>
    <w:p w14:paraId="3262C433">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（2）采用网上银行转账形式的，投标人应于提交投标文件截止时间前将投标保证金交至以下账户。</w:t>
      </w:r>
    </w:p>
    <w:p w14:paraId="3C5AD525">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b/>
          <w:bCs/>
          <w:color w:val="auto"/>
          <w:highlight w:val="none"/>
          <w:shd w:val="clear" w:color="auto" w:fill="auto"/>
        </w:rPr>
      </w:pPr>
      <w:r>
        <w:rPr>
          <w:rFonts w:hint="eastAsia"/>
          <w:b/>
          <w:bCs/>
          <w:color w:val="auto"/>
          <w:highlight w:val="none"/>
          <w:shd w:val="clear" w:color="auto" w:fill="auto"/>
        </w:rPr>
        <w:t>开户名称：广西壮族自治区政府采购中心</w:t>
      </w:r>
    </w:p>
    <w:p w14:paraId="6D966688">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b/>
          <w:bCs/>
          <w:color w:val="auto"/>
          <w:highlight w:val="none"/>
          <w:shd w:val="clear" w:color="auto" w:fill="auto"/>
        </w:rPr>
      </w:pPr>
      <w:r>
        <w:rPr>
          <w:rFonts w:hint="eastAsia"/>
          <w:b/>
          <w:bCs/>
          <w:color w:val="auto"/>
          <w:highlight w:val="none"/>
          <w:shd w:val="clear" w:color="auto" w:fill="auto"/>
        </w:rPr>
        <w:t>开户银行：中国农业银行股份有限公司南宁市古城支行</w:t>
      </w:r>
    </w:p>
    <w:p w14:paraId="56A791FB">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color w:val="auto"/>
          <w:highlight w:val="none"/>
          <w:shd w:val="clear" w:color="auto" w:fill="auto"/>
        </w:rPr>
      </w:pPr>
      <w:r>
        <w:rPr>
          <w:rFonts w:hint="eastAsia"/>
          <w:b/>
          <w:bCs/>
          <w:color w:val="auto"/>
          <w:highlight w:val="none"/>
          <w:shd w:val="clear" w:color="auto" w:fill="auto"/>
        </w:rPr>
        <w:t>银行账号：20009101040051648</w:t>
      </w:r>
    </w:p>
    <w:p w14:paraId="3C755766">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（3）采用支票、汇票、本票或者保函等形式的，投标人应于提交投标文件截止时间前递交单独密封的支票、汇票、本票或者保函原件至我中心财务处。</w:t>
      </w:r>
    </w:p>
    <w:p w14:paraId="24F83095">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（4）本中心财务处联系方式：</w:t>
      </w:r>
    </w:p>
    <w:p w14:paraId="22E53BEF">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shd w:val="clear" w:color="auto" w:fill="auto"/>
        </w:rPr>
      </w:pPr>
      <w:r>
        <w:rPr>
          <w:color w:val="auto"/>
          <w:highlight w:val="none"/>
          <w:shd w:val="clear" w:color="auto" w:fill="auto"/>
        </w:rPr>
        <w:t>地址：广西南宁市星湖路22号广西壮族自治区政府采购中心综合楼3楼306室； 电话：0771-8600309。</w:t>
      </w:r>
    </w:p>
    <w:p w14:paraId="37753F97">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2.本项目需要落实的政府采购政策</w:t>
      </w:r>
    </w:p>
    <w:p w14:paraId="649A4B3B">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政府采购促进中小企业发展；</w:t>
      </w:r>
      <w:r>
        <w:rPr>
          <w:rFonts w:hint="eastAsia" w:hAnsi="Times New Roman" w:cs="Times New Roman"/>
          <w:b w:val="0"/>
          <w:color w:val="auto"/>
          <w:kern w:val="2"/>
          <w:szCs w:val="24"/>
          <w:highlight w:val="none"/>
          <w:shd w:val="clear" w:color="auto" w:fill="auto"/>
        </w:rPr>
        <w:t>政府采购支持采用本国产品的政策；</w:t>
      </w:r>
      <w:r>
        <w:rPr>
          <w:rFonts w:hint="eastAsia"/>
          <w:color w:val="auto"/>
          <w:highlight w:val="none"/>
          <w:shd w:val="clear" w:color="auto" w:fill="auto"/>
        </w:rPr>
        <w:t>强制采购节能产品；优先采购节能产品、环境标志产品；政府采购促进残疾人就业政策；政府采购支持监狱企业发展；政府采购扶持不发达地区和少数民族地区等。</w:t>
      </w:r>
    </w:p>
    <w:p w14:paraId="67D675D9">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3.网上公告媒体查询</w:t>
      </w:r>
    </w:p>
    <w:p w14:paraId="57BBD1B2">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中国政府采购网（www.ccgp.gov.cn）、广西壮族自治区政府采购网（zfcg.gxzf.gov.cn）、广西壮族自治区政府采购中心网站（gxggzy.gxzf.gov.cn）。</w:t>
      </w:r>
    </w:p>
    <w:p w14:paraId="1C5BA183">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4.其他注意事项</w:t>
      </w:r>
    </w:p>
    <w:p w14:paraId="4175FBAC">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（1）本项目实行电子投标，供应商应按照本项目招标文件和</w:t>
      </w:r>
      <w:r>
        <w:rPr>
          <w:rFonts w:hint="default"/>
          <w:color w:val="auto"/>
          <w:highlight w:val="none"/>
          <w:shd w:val="clear" w:color="auto" w:fill="auto"/>
        </w:rPr>
        <w:t>广西政府采购云平台</w:t>
      </w:r>
      <w:r>
        <w:rPr>
          <w:rFonts w:hint="eastAsia"/>
          <w:color w:val="auto"/>
          <w:highlight w:val="none"/>
          <w:shd w:val="clear" w:color="auto" w:fill="auto"/>
        </w:rPr>
        <w:t>的要求编制、加密并提交投标文件。供应商在使用系统参与投标过程中遇到涉及平台使用的任何问题，可致电</w:t>
      </w:r>
      <w:r>
        <w:rPr>
          <w:rFonts w:hint="default"/>
          <w:color w:val="auto"/>
          <w:highlight w:val="none"/>
          <w:shd w:val="clear" w:color="auto" w:fill="auto"/>
        </w:rPr>
        <w:t>广西政府采购云平台</w:t>
      </w:r>
      <w:r>
        <w:rPr>
          <w:rFonts w:hint="eastAsia"/>
          <w:color w:val="auto"/>
          <w:highlight w:val="none"/>
          <w:shd w:val="clear" w:color="auto" w:fill="auto"/>
        </w:rPr>
        <w:t xml:space="preserve">技术支持热线咨询，联系方式：95763。 </w:t>
      </w:r>
    </w:p>
    <w:p w14:paraId="653D76B9">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（2）供应商应及时熟悉掌握电子标系统操作指南（见</w:t>
      </w:r>
      <w:r>
        <w:rPr>
          <w:rFonts w:hint="default"/>
          <w:color w:val="auto"/>
          <w:highlight w:val="none"/>
          <w:shd w:val="clear" w:color="auto" w:fill="auto"/>
        </w:rPr>
        <w:t>广西政府采购云</w:t>
      </w:r>
      <w:r>
        <w:rPr>
          <w:rFonts w:hint="eastAsia"/>
          <w:color w:val="auto"/>
          <w:highlight w:val="none"/>
          <w:shd w:val="clear" w:color="auto" w:fill="auto"/>
        </w:rPr>
        <w:t>电子卖场首页右上角—服务中心—帮助文档—项目采购）：</w:t>
      </w:r>
      <w:r>
        <w:rPr>
          <w:rFonts w:hint="eastAsia"/>
          <w:color w:val="auto"/>
          <w:highlight w:val="none"/>
          <w:shd w:val="clear" w:color="auto" w:fill="auto"/>
        </w:rPr>
        <w:fldChar w:fldCharType="begin"/>
      </w:r>
      <w:r>
        <w:rPr>
          <w:rFonts w:hint="eastAsia"/>
          <w:color w:val="auto"/>
          <w:highlight w:val="none"/>
          <w:shd w:val="clear" w:color="auto" w:fill="auto"/>
        </w:rPr>
        <w:instrText xml:space="preserve"> HYPERLINK "https://service.zcygov.cn/#/knowledges/tree?tag=AG1DtGwBFdiHxlNdhY0r。" </w:instrText>
      </w:r>
      <w:r>
        <w:rPr>
          <w:rFonts w:hint="eastAsia"/>
          <w:color w:val="auto"/>
          <w:highlight w:val="none"/>
          <w:shd w:val="clear" w:color="auto" w:fill="auto"/>
        </w:rPr>
        <w:fldChar w:fldCharType="separate"/>
      </w:r>
      <w:r>
        <w:rPr>
          <w:rFonts w:hint="eastAsia"/>
          <w:color w:val="auto"/>
          <w:highlight w:val="none"/>
          <w:shd w:val="clear" w:color="auto" w:fill="auto"/>
        </w:rPr>
        <w:t>https://service.zcygov.cn/#/knowledges/tree?tag=AG1DtGwBFdiHxlNdhY0r。</w:t>
      </w:r>
      <w:r>
        <w:rPr>
          <w:rFonts w:hint="eastAsia"/>
          <w:color w:val="auto"/>
          <w:highlight w:val="none"/>
          <w:shd w:val="clear" w:color="auto" w:fill="auto"/>
        </w:rPr>
        <w:fldChar w:fldCharType="end"/>
      </w:r>
    </w:p>
    <w:p w14:paraId="58C456CA">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（3）供应商应及时完成CA申领和绑定（见广西壮族自治区政府采购网—办事服务—下载专区-政采云CA证书办理操作指南）。</w:t>
      </w:r>
    </w:p>
    <w:p w14:paraId="689358F9">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（4）供应商通过</w:t>
      </w:r>
      <w:r>
        <w:rPr>
          <w:rFonts w:hint="default"/>
          <w:color w:val="auto"/>
          <w:highlight w:val="none"/>
          <w:shd w:val="clear" w:color="auto" w:fill="auto"/>
        </w:rPr>
        <w:t>广西政府采购云</w:t>
      </w:r>
      <w:r>
        <w:rPr>
          <w:rFonts w:hint="eastAsia"/>
          <w:color w:val="auto"/>
          <w:highlight w:val="none"/>
          <w:shd w:val="clear" w:color="auto" w:fill="auto"/>
        </w:rPr>
        <w:t>投标客户端软件制作投标文件，</w:t>
      </w:r>
      <w:r>
        <w:rPr>
          <w:rFonts w:hint="default"/>
          <w:color w:val="auto"/>
          <w:highlight w:val="none"/>
          <w:shd w:val="clear" w:color="auto" w:fill="auto"/>
        </w:rPr>
        <w:t>广西政府采购云</w:t>
      </w:r>
      <w:r>
        <w:rPr>
          <w:rFonts w:hint="eastAsia"/>
          <w:color w:val="auto"/>
          <w:highlight w:val="none"/>
          <w:shd w:val="clear" w:color="auto" w:fill="auto"/>
        </w:rPr>
        <w:t xml:space="preserve">投标客户端软件请供应商自行前往下载并安装（见广西壮族自治区政府采购网—办事服务—下载专区-广西壮族自治区全流程电子招投标项目管理系统--供应商客户端）。 </w:t>
      </w:r>
    </w:p>
    <w:p w14:paraId="56B2818C">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（5）因未注册入库、未办理CA数字证书、CA证书故障、操作不当等原因造成无法投标或投标失败等后果由供应商自行承担。</w:t>
      </w:r>
    </w:p>
    <w:p w14:paraId="4BD9EBD7">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（6）投标文件网上提交截止后，</w:t>
      </w:r>
      <w:r>
        <w:rPr>
          <w:rFonts w:hint="default"/>
          <w:color w:val="auto"/>
          <w:highlight w:val="none"/>
          <w:shd w:val="clear" w:color="auto" w:fill="auto"/>
        </w:rPr>
        <w:t>广西政府采购云</w:t>
      </w:r>
      <w:r>
        <w:rPr>
          <w:rFonts w:hint="eastAsia"/>
          <w:color w:val="auto"/>
          <w:highlight w:val="none"/>
          <w:shd w:val="clear" w:color="auto" w:fill="auto"/>
        </w:rPr>
        <w:t>（电子标系统）自动提取所有投标文件，各供应商须在开标开始后30分钟内对上传</w:t>
      </w:r>
      <w:r>
        <w:rPr>
          <w:rFonts w:hint="default"/>
          <w:color w:val="auto"/>
          <w:highlight w:val="none"/>
          <w:shd w:val="clear" w:color="auto" w:fill="auto"/>
        </w:rPr>
        <w:t>广西政府采购云</w:t>
      </w:r>
      <w:r>
        <w:rPr>
          <w:rFonts w:hint="eastAsia"/>
          <w:color w:val="auto"/>
          <w:highlight w:val="none"/>
          <w:shd w:val="clear" w:color="auto" w:fill="auto"/>
        </w:rPr>
        <w:t>的投标文件进行解密，所有供应商在规定的解密时限内解密完成或解密时限结束后，我中心开启投标文件；供应商超过解密时限的，系统默认自动放弃。</w:t>
      </w:r>
    </w:p>
    <w:p w14:paraId="146B00F4">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b/>
          <w:color w:val="auto"/>
          <w:highlight w:val="none"/>
          <w:shd w:val="clear" w:color="auto" w:fill="auto"/>
        </w:rPr>
      </w:pPr>
      <w:r>
        <w:rPr>
          <w:b/>
          <w:color w:val="auto"/>
          <w:highlight w:val="none"/>
          <w:shd w:val="clear" w:color="auto" w:fill="auto"/>
        </w:rPr>
        <w:t xml:space="preserve">  </w:t>
      </w:r>
    </w:p>
    <w:p w14:paraId="12185D07">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b/>
          <w:color w:val="auto"/>
          <w:highlight w:val="none"/>
          <w:shd w:val="clear" w:color="auto" w:fill="auto"/>
        </w:rPr>
      </w:pPr>
      <w:r>
        <w:rPr>
          <w:rFonts w:hint="eastAsia"/>
          <w:b/>
          <w:color w:val="auto"/>
          <w:highlight w:val="none"/>
          <w:shd w:val="clear" w:color="auto" w:fill="auto"/>
        </w:rPr>
        <w:t>七、对本次采购提出询问，请按以下方式联系</w:t>
      </w:r>
    </w:p>
    <w:p w14:paraId="44195905">
      <w:pPr>
        <w:pageBreakBefore w:val="0"/>
        <w:widowControl w:val="0"/>
        <w:kinsoku/>
        <w:wordWrap/>
        <w:overflowPunct/>
        <w:topLinePunct w:val="0"/>
        <w:autoSpaceDE/>
        <w:autoSpaceDN/>
        <w:bidi w:val="0"/>
        <w:adjustRightInd w:val="0"/>
        <w:snapToGrid w:val="0"/>
        <w:spacing w:line="320" w:lineRule="exact"/>
        <w:ind w:firstLine="422" w:firstLineChars="200"/>
        <w:textAlignment w:val="auto"/>
        <w:rPr>
          <w:rFonts w:hint="eastAsia"/>
          <w:color w:val="auto"/>
          <w:highlight w:val="none"/>
          <w:shd w:val="clear" w:color="auto" w:fill="auto"/>
        </w:rPr>
      </w:pPr>
      <w:r>
        <w:rPr>
          <w:rFonts w:hint="eastAsia"/>
          <w:b/>
          <w:color w:val="auto"/>
          <w:highlight w:val="none"/>
          <w:shd w:val="clear" w:color="auto" w:fill="auto"/>
        </w:rPr>
        <w:t xml:space="preserve"> </w:t>
      </w:r>
      <w:r>
        <w:rPr>
          <w:rFonts w:hint="eastAsia"/>
          <w:color w:val="auto"/>
          <w:highlight w:val="none"/>
          <w:shd w:val="clear" w:color="auto" w:fill="auto"/>
        </w:rPr>
        <w:t xml:space="preserve">   1.采购人信息</w:t>
      </w:r>
    </w:p>
    <w:p w14:paraId="43774E73">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lang w:val="en-US" w:eastAsia="zh-CN"/>
        </w:rPr>
        <w:t xml:space="preserve">    </w:t>
      </w:r>
      <w:r>
        <w:rPr>
          <w:rFonts w:hint="eastAsia"/>
          <w:color w:val="auto"/>
          <w:highlight w:val="none"/>
          <w:shd w:val="clear" w:color="auto" w:fill="auto"/>
        </w:rPr>
        <w:t xml:space="preserve"> 名   称：广西建设职业技术学院 </w:t>
      </w:r>
    </w:p>
    <w:p w14:paraId="3CBC9B15">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w:t>
      </w:r>
      <w:r>
        <w:rPr>
          <w:rFonts w:hint="eastAsia"/>
          <w:color w:val="auto"/>
          <w:highlight w:val="none"/>
          <w:shd w:val="clear" w:color="auto" w:fill="auto"/>
          <w:lang w:val="en-US" w:eastAsia="zh-CN"/>
        </w:rPr>
        <w:t xml:space="preserve">    </w:t>
      </w:r>
      <w:r>
        <w:rPr>
          <w:rFonts w:hint="eastAsia"/>
          <w:color w:val="auto"/>
          <w:highlight w:val="none"/>
          <w:shd w:val="clear" w:color="auto" w:fill="auto"/>
        </w:rPr>
        <w:t xml:space="preserve">地   址：广西南宁市西乡塘区罗文大道33号 </w:t>
      </w:r>
    </w:p>
    <w:p w14:paraId="04CAFC06">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w:t>
      </w:r>
      <w:r>
        <w:rPr>
          <w:rFonts w:hint="eastAsia"/>
          <w:color w:val="auto"/>
          <w:highlight w:val="none"/>
          <w:shd w:val="clear" w:color="auto" w:fill="auto"/>
          <w:lang w:val="en-US" w:eastAsia="zh-CN"/>
        </w:rPr>
        <w:t xml:space="preserve">    </w:t>
      </w:r>
      <w:r>
        <w:rPr>
          <w:rFonts w:hint="eastAsia"/>
          <w:color w:val="auto"/>
          <w:highlight w:val="none"/>
          <w:shd w:val="clear" w:color="auto" w:fill="auto"/>
        </w:rPr>
        <w:t>项目联系人：朱国伟</w:t>
      </w:r>
      <w:r>
        <w:rPr>
          <w:rFonts w:hint="eastAsia"/>
          <w:color w:val="auto"/>
          <w:highlight w:val="none"/>
          <w:shd w:val="clear" w:color="auto" w:fill="auto"/>
          <w:lang w:eastAsia="zh-CN"/>
        </w:rPr>
        <w:t>、</w:t>
      </w:r>
      <w:r>
        <w:rPr>
          <w:rFonts w:hint="eastAsia" w:ascii="Times New Roman" w:hAnsi="Times New Roman" w:eastAsia="宋体" w:cs="Times New Roman"/>
          <w:color w:val="auto"/>
          <w:szCs w:val="24"/>
          <w:highlight w:val="none"/>
          <w:shd w:val="clear" w:color="auto" w:fill="auto"/>
          <w:lang w:val="en-US" w:eastAsia="zh-CN"/>
        </w:rPr>
        <w:t>施</w:t>
      </w:r>
      <w:r>
        <w:rPr>
          <w:rFonts w:hint="eastAsia" w:ascii="Times New Roman" w:hAnsi="Times New Roman"/>
          <w:color w:val="auto"/>
          <w:szCs w:val="24"/>
          <w:highlight w:val="none"/>
          <w:shd w:val="clear" w:color="auto" w:fill="auto"/>
          <w:lang w:eastAsia="zh-CN"/>
        </w:rPr>
        <w:t>老师</w:t>
      </w:r>
      <w:r>
        <w:rPr>
          <w:rFonts w:hint="eastAsia"/>
          <w:color w:val="auto"/>
          <w:highlight w:val="none"/>
          <w:shd w:val="clear" w:color="auto" w:fill="auto"/>
        </w:rPr>
        <w:t xml:space="preserve"> </w:t>
      </w:r>
    </w:p>
    <w:p w14:paraId="37DD97AD">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w:t>
      </w:r>
      <w:r>
        <w:rPr>
          <w:rFonts w:hint="eastAsia"/>
          <w:color w:val="auto"/>
          <w:highlight w:val="none"/>
          <w:shd w:val="clear" w:color="auto" w:fill="auto"/>
          <w:lang w:val="en-US" w:eastAsia="zh-CN"/>
        </w:rPr>
        <w:t xml:space="preserve">    </w:t>
      </w:r>
      <w:r>
        <w:rPr>
          <w:rFonts w:hint="eastAsia"/>
          <w:color w:val="auto"/>
          <w:highlight w:val="none"/>
          <w:shd w:val="clear" w:color="auto" w:fill="auto"/>
        </w:rPr>
        <w:t>项目联系方式：0771-3822569</w:t>
      </w:r>
      <w:r>
        <w:rPr>
          <w:rFonts w:hint="eastAsia"/>
          <w:color w:val="auto"/>
          <w:highlight w:val="none"/>
          <w:shd w:val="clear" w:color="auto" w:fill="auto"/>
          <w:lang w:eastAsia="zh-CN"/>
        </w:rPr>
        <w:t>、</w:t>
      </w:r>
      <w:r>
        <w:rPr>
          <w:rFonts w:hint="eastAsia" w:ascii="宋体" w:hAnsi="宋体" w:eastAsia="宋体" w:cs="Times New Roman"/>
          <w:color w:val="auto"/>
          <w:szCs w:val="21"/>
          <w:highlight w:val="none"/>
          <w:lang w:val="en-US" w:eastAsia="zh-CN"/>
        </w:rPr>
        <w:t>3185219</w:t>
      </w:r>
    </w:p>
    <w:p w14:paraId="43D60C8A">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lang w:val="en-US" w:eastAsia="zh-CN"/>
        </w:rPr>
        <w:t xml:space="preserve">    </w:t>
      </w:r>
      <w:r>
        <w:rPr>
          <w:rFonts w:hint="eastAsia"/>
          <w:color w:val="auto"/>
          <w:highlight w:val="none"/>
          <w:shd w:val="clear" w:color="auto" w:fill="auto"/>
        </w:rPr>
        <w:t>2.采购代理机构信息</w:t>
      </w:r>
    </w:p>
    <w:p w14:paraId="38704899">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名    称：广西壮族自治区政府采购中心  </w:t>
      </w:r>
    </w:p>
    <w:p w14:paraId="739836EF">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地    址：广西南宁市星湖路22号  </w:t>
      </w:r>
    </w:p>
    <w:p w14:paraId="723F3673">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eastAsia="宋体"/>
          <w:color w:val="auto"/>
          <w:highlight w:val="none"/>
          <w:shd w:val="clear" w:color="auto" w:fill="auto"/>
          <w:lang w:eastAsia="zh-CN"/>
        </w:rPr>
      </w:pPr>
      <w:r>
        <w:rPr>
          <w:rFonts w:hint="eastAsia"/>
          <w:color w:val="auto"/>
          <w:highlight w:val="none"/>
          <w:shd w:val="clear" w:color="auto" w:fill="auto"/>
        </w:rPr>
        <w:t xml:space="preserve">    项目联系人：</w:t>
      </w:r>
      <w:r>
        <w:rPr>
          <w:rFonts w:hint="eastAsia"/>
          <w:color w:val="auto"/>
          <w:highlight w:val="none"/>
          <w:shd w:val="clear" w:color="auto" w:fill="auto"/>
          <w:lang w:eastAsia="zh-CN"/>
        </w:rPr>
        <w:t>张国铨</w:t>
      </w:r>
    </w:p>
    <w:p w14:paraId="4748689E">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highlight w:val="none"/>
          <w:shd w:val="clear" w:color="auto" w:fill="auto"/>
          <w:lang w:val="en-US" w:eastAsia="zh-CN"/>
        </w:rPr>
      </w:pPr>
      <w:r>
        <w:rPr>
          <w:rFonts w:hint="eastAsia"/>
          <w:color w:val="auto"/>
          <w:highlight w:val="none"/>
          <w:shd w:val="clear" w:color="auto" w:fill="auto"/>
        </w:rPr>
        <w:t xml:space="preserve">    项目联系方式：</w:t>
      </w:r>
      <w:r>
        <w:rPr>
          <w:rFonts w:hint="eastAsia"/>
          <w:color w:val="auto"/>
          <w:highlight w:val="none"/>
          <w:shd w:val="clear" w:color="auto" w:fill="auto"/>
          <w:lang w:val="en-US" w:eastAsia="zh-CN"/>
        </w:rPr>
        <w:t xml:space="preserve">0771-8600343 </w:t>
      </w:r>
    </w:p>
    <w:p w14:paraId="2C180618">
      <w:pPr>
        <w:pageBreakBefore w:val="0"/>
        <w:widowControl w:val="0"/>
        <w:kinsoku/>
        <w:wordWrap/>
        <w:overflowPunct/>
        <w:topLinePunct w:val="0"/>
        <w:autoSpaceDE/>
        <w:autoSpaceDN/>
        <w:bidi w:val="0"/>
        <w:adjustRightInd w:val="0"/>
        <w:snapToGrid w:val="0"/>
        <w:spacing w:line="320" w:lineRule="exact"/>
        <w:ind w:firstLine="630" w:firstLineChars="300"/>
        <w:textAlignment w:val="auto"/>
        <w:rPr>
          <w:rFonts w:hint="eastAsia" w:ascii="宋体" w:hAnsi="宋体" w:cs="宋体"/>
          <w:color w:val="auto"/>
          <w:highlight w:val="none"/>
          <w:shd w:val="clear" w:color="auto" w:fill="auto"/>
        </w:rPr>
      </w:pPr>
    </w:p>
    <w:bookmarkEnd w:id="0"/>
    <w:bookmarkEnd w:id="1"/>
    <w:p w14:paraId="50AA9164">
      <w:pPr>
        <w:pageBreakBefore w:val="0"/>
        <w:widowControl w:val="0"/>
        <w:kinsoku/>
        <w:wordWrap/>
        <w:overflowPunct/>
        <w:topLinePunct w:val="0"/>
        <w:autoSpaceDE/>
        <w:autoSpaceDN/>
        <w:bidi w:val="0"/>
        <w:snapToGrid w:val="0"/>
        <w:spacing w:line="320" w:lineRule="exact"/>
        <w:ind w:left="238"/>
        <w:jc w:val="center"/>
        <w:textAlignment w:val="auto"/>
        <w:rPr>
          <w:rFonts w:ascii="宋体" w:cs="宋体"/>
          <w:color w:val="auto"/>
          <w:highlight w:val="none"/>
          <w:shd w:val="clear" w:color="auto" w:fill="auto"/>
        </w:rPr>
      </w:pPr>
      <w:r>
        <w:rPr>
          <w:rFonts w:hint="eastAsia" w:ascii="宋体" w:hAnsi="宋体" w:cs="宋体"/>
          <w:color w:val="auto"/>
          <w:highlight w:val="none"/>
          <w:shd w:val="clear" w:color="auto" w:fill="auto"/>
        </w:rPr>
        <w:t xml:space="preserve">                                广西壮族自治区政府采购中心</w:t>
      </w:r>
    </w:p>
    <w:p w14:paraId="59D65D2F">
      <w:pPr>
        <w:pageBreakBefore w:val="0"/>
        <w:widowControl w:val="0"/>
        <w:kinsoku/>
        <w:wordWrap/>
        <w:overflowPunct/>
        <w:topLinePunct w:val="0"/>
        <w:autoSpaceDE/>
        <w:autoSpaceDN/>
        <w:bidi w:val="0"/>
        <w:snapToGrid w:val="0"/>
        <w:spacing w:line="320" w:lineRule="exact"/>
        <w:ind w:left="238"/>
        <w:jc w:val="center"/>
        <w:textAlignment w:val="auto"/>
        <w:rPr>
          <w:rFonts w:ascii="黑体" w:eastAsia="黑体"/>
          <w:color w:val="auto"/>
          <w:sz w:val="32"/>
          <w:szCs w:val="32"/>
          <w:highlight w:val="none"/>
          <w:shd w:val="clear" w:color="auto" w:fill="auto"/>
        </w:rPr>
      </w:pPr>
      <w:r>
        <w:rPr>
          <w:rFonts w:hint="eastAsia" w:ascii="宋体" w:hAnsi="宋体" w:cs="宋体"/>
          <w:color w:val="auto"/>
          <w:highlight w:val="none"/>
          <w:shd w:val="clear" w:color="auto" w:fill="auto"/>
        </w:rPr>
        <w:t xml:space="preserve">                                 </w:t>
      </w:r>
      <w:r>
        <w:rPr>
          <w:rFonts w:ascii="宋体" w:hAnsi="宋体" w:cs="宋体"/>
          <w:color w:val="auto"/>
          <w:highlight w:val="none"/>
          <w:shd w:val="clear" w:color="auto" w:fill="auto"/>
        </w:rPr>
        <w:t>202</w:t>
      </w:r>
      <w:r>
        <w:rPr>
          <w:rFonts w:hint="eastAsia" w:ascii="宋体" w:hAnsi="宋体" w:cs="宋体"/>
          <w:color w:val="auto"/>
          <w:highlight w:val="none"/>
          <w:shd w:val="clear" w:color="auto" w:fill="auto"/>
          <w:lang w:val="en-US" w:eastAsia="zh-CN"/>
        </w:rPr>
        <w:t>6</w:t>
      </w:r>
      <w:r>
        <w:rPr>
          <w:rFonts w:ascii="宋体" w:hAnsi="宋体" w:cs="宋体"/>
          <w:color w:val="auto"/>
          <w:highlight w:val="none"/>
          <w:shd w:val="clear" w:color="auto" w:fill="auto"/>
        </w:rPr>
        <w:t>年</w:t>
      </w:r>
      <w:r>
        <w:rPr>
          <w:rFonts w:hint="eastAsia" w:ascii="宋体" w:hAnsi="宋体" w:cs="宋体"/>
          <w:color w:val="auto"/>
          <w:highlight w:val="none"/>
          <w:shd w:val="clear" w:color="auto" w:fill="auto"/>
          <w:lang w:val="en-US" w:eastAsia="zh-CN"/>
        </w:rPr>
        <w:t>5</w:t>
      </w:r>
      <w:r>
        <w:rPr>
          <w:rFonts w:ascii="宋体" w:hAnsi="宋体" w:cs="宋体"/>
          <w:color w:val="auto"/>
          <w:highlight w:val="none"/>
          <w:shd w:val="clear" w:color="auto" w:fill="auto"/>
        </w:rPr>
        <w:t>月</w:t>
      </w:r>
      <w:r>
        <w:rPr>
          <w:rFonts w:hint="eastAsia" w:ascii="宋体" w:hAnsi="宋体" w:cs="宋体"/>
          <w:color w:val="auto"/>
          <w:highlight w:val="none"/>
          <w:shd w:val="clear" w:color="auto" w:fill="auto"/>
          <w:lang w:val="en-US" w:eastAsia="zh-CN"/>
        </w:rPr>
        <w:t>12</w:t>
      </w:r>
      <w:r>
        <w:rPr>
          <w:rFonts w:ascii="宋体" w:hAnsi="宋体" w:cs="宋体"/>
          <w:color w:val="auto"/>
          <w:highlight w:val="none"/>
          <w:shd w:val="clear" w:color="auto" w:fill="auto"/>
        </w:rPr>
        <w:t>日</w:t>
      </w:r>
    </w:p>
    <w:p w14:paraId="15CBDEAF">
      <w:pPr>
        <w:pageBreakBefore w:val="0"/>
        <w:widowControl w:val="0"/>
        <w:kinsoku/>
        <w:wordWrap/>
        <w:overflowPunct/>
        <w:topLinePunct w:val="0"/>
        <w:autoSpaceDE/>
        <w:autoSpaceDN/>
        <w:bidi w:val="0"/>
        <w:snapToGrid w:val="0"/>
        <w:spacing w:before="156" w:beforeLines="50" w:after="156" w:afterLines="50" w:line="340" w:lineRule="exact"/>
        <w:ind w:left="238"/>
        <w:jc w:val="center"/>
        <w:textAlignment w:val="auto"/>
        <w:rPr>
          <w:rFonts w:hint="eastAsia" w:ascii="黑体" w:eastAsia="黑体"/>
          <w:color w:val="auto"/>
          <w:sz w:val="32"/>
          <w:szCs w:val="32"/>
          <w:highlight w:val="none"/>
          <w:shd w:val="clear" w:color="auto" w:fill="auto"/>
        </w:rPr>
      </w:pPr>
      <w:r>
        <w:rPr>
          <w:rFonts w:hint="eastAsia" w:ascii="黑体" w:eastAsia="黑体"/>
          <w:color w:val="auto"/>
          <w:sz w:val="32"/>
          <w:szCs w:val="32"/>
          <w:highlight w:val="none"/>
          <w:shd w:val="clear" w:color="auto" w:fill="auto"/>
        </w:rPr>
        <w:br w:type="page"/>
      </w:r>
    </w:p>
    <w:p w14:paraId="62F1A2B6">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14:paraId="5BBB77F5">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14:paraId="22C84A34">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14:paraId="3B0C9723">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14:paraId="49D5679B">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14:paraId="01238BD4">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14:paraId="1C4A3FA3">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14:paraId="245C394D">
      <w:pPr>
        <w:pStyle w:val="4"/>
        <w:rPr>
          <w:rFonts w:hint="eastAsia"/>
          <w:color w:val="auto"/>
          <w:highlight w:val="none"/>
        </w:rPr>
      </w:pPr>
    </w:p>
    <w:p w14:paraId="630F8F4A">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14:paraId="7A53F384">
      <w:pPr>
        <w:snapToGrid w:val="0"/>
        <w:spacing w:before="156" w:beforeLines="50" w:after="156" w:afterLines="50"/>
        <w:ind w:left="238"/>
        <w:jc w:val="center"/>
        <w:rPr>
          <w:rFonts w:hint="eastAsia" w:ascii="黑体" w:eastAsia="黑体"/>
          <w:color w:val="auto"/>
          <w:sz w:val="36"/>
          <w:szCs w:val="36"/>
          <w:highlight w:val="none"/>
          <w:shd w:val="clear" w:color="auto" w:fill="auto"/>
        </w:rPr>
      </w:pPr>
    </w:p>
    <w:p w14:paraId="38BD3F49">
      <w:pPr>
        <w:snapToGrid w:val="0"/>
        <w:spacing w:before="156" w:beforeLines="50" w:after="156" w:afterLines="50"/>
        <w:ind w:left="238"/>
        <w:jc w:val="center"/>
        <w:rPr>
          <w:rFonts w:hint="eastAsia" w:ascii="黑体" w:eastAsia="黑体"/>
          <w:color w:val="auto"/>
          <w:sz w:val="36"/>
          <w:szCs w:val="36"/>
          <w:highlight w:val="none"/>
          <w:shd w:val="clear" w:color="auto" w:fill="auto"/>
        </w:rPr>
      </w:pPr>
      <w:r>
        <w:rPr>
          <w:rFonts w:hint="eastAsia" w:ascii="仿宋_GB2312" w:eastAsia="仿宋_GB2312"/>
          <w:b/>
          <w:color w:val="auto"/>
          <w:sz w:val="36"/>
          <w:szCs w:val="36"/>
          <w:highlight w:val="none"/>
          <w:shd w:val="clear" w:color="auto" w:fill="auto"/>
        </w:rPr>
        <w:t xml:space="preserve">第二章  </w:t>
      </w:r>
      <w:r>
        <w:rPr>
          <w:rFonts w:hint="eastAsia" w:ascii="仿宋_GB2312" w:eastAsia="仿宋_GB2312"/>
          <w:b/>
          <w:bCs/>
          <w:color w:val="auto"/>
          <w:sz w:val="36"/>
          <w:szCs w:val="36"/>
          <w:highlight w:val="none"/>
          <w:shd w:val="clear" w:color="auto" w:fill="auto"/>
        </w:rPr>
        <w:t>招</w:t>
      </w:r>
      <w:r>
        <w:rPr>
          <w:rFonts w:hint="eastAsia" w:ascii="仿宋_GB2312" w:eastAsia="仿宋_GB2312"/>
          <w:b/>
          <w:color w:val="auto"/>
          <w:sz w:val="36"/>
          <w:szCs w:val="36"/>
          <w:highlight w:val="none"/>
          <w:shd w:val="clear" w:color="auto" w:fill="auto"/>
        </w:rPr>
        <w:t>标项目采购需求</w:t>
      </w:r>
    </w:p>
    <w:p w14:paraId="70E37C7A">
      <w:pPr>
        <w:jc w:val="center"/>
        <w:rPr>
          <w:rFonts w:hint="eastAsia"/>
          <w:color w:val="auto"/>
          <w:highlight w:val="none"/>
        </w:rPr>
      </w:pPr>
      <w:r>
        <w:rPr>
          <w:color w:val="auto"/>
          <w:highlight w:val="none"/>
          <w:shd w:val="clear" w:color="auto" w:fill="auto"/>
        </w:rPr>
        <w:br w:type="page"/>
      </w:r>
      <w:r>
        <w:rPr>
          <w:rFonts w:hint="eastAsia" w:ascii="宋体" w:hAnsi="宋体"/>
          <w:b/>
          <w:bCs/>
          <w:color w:val="auto"/>
          <w:sz w:val="36"/>
          <w:szCs w:val="36"/>
          <w:highlight w:val="none"/>
        </w:rPr>
        <w:t>招标项目采购需求</w:t>
      </w:r>
    </w:p>
    <w:p w14:paraId="16C64CD6">
      <w:pPr>
        <w:spacing w:line="360" w:lineRule="exact"/>
        <w:ind w:left="6" w:firstLine="43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1、本需求的货物品牌型号、技术参数及其性能（配置）仅起参考作用，投标人可选用其他品牌型号替代，但这些替代的产品要实质上相当于或优于参考品牌型号及其技术参数性能（配置）要求。</w:t>
      </w:r>
    </w:p>
    <w:p w14:paraId="73A06530">
      <w:pPr>
        <w:spacing w:line="360" w:lineRule="exact"/>
        <w:ind w:left="6" w:firstLine="43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14:paraId="5CBF3641">
      <w:pPr>
        <w:spacing w:line="360" w:lineRule="exact"/>
        <w:ind w:left="6" w:firstLine="43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3、凡在“技术参数及性能（配置）要求”中表述为“标配”或“标准配置”的设备，投标人应在投标报价明细表中将其标配参数详细列明。</w:t>
      </w:r>
    </w:p>
    <w:p w14:paraId="3588AB02">
      <w:pPr>
        <w:snapToGrid w:val="0"/>
        <w:spacing w:line="4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4、招标文件中标记“</w:t>
      </w:r>
      <w:bookmarkStart w:id="2" w:name="OLE_LINK13"/>
      <w:r>
        <w:rPr>
          <w:rFonts w:hint="eastAsia" w:ascii="宋体" w:hAnsi="宋体" w:eastAsia="宋体" w:cs="宋体"/>
          <w:b/>
          <w:bCs/>
          <w:color w:val="auto"/>
          <w:sz w:val="21"/>
          <w:szCs w:val="21"/>
          <w:highlight w:val="none"/>
        </w:rPr>
        <w:t>▲</w:t>
      </w:r>
      <w:bookmarkEnd w:id="2"/>
      <w:r>
        <w:rPr>
          <w:rFonts w:hint="eastAsia" w:ascii="宋体" w:hAnsi="宋体" w:eastAsia="宋体" w:cs="宋体"/>
          <w:b/>
          <w:bCs/>
          <w:color w:val="auto"/>
          <w:sz w:val="21"/>
          <w:szCs w:val="21"/>
          <w:highlight w:val="none"/>
        </w:rPr>
        <w:t>”的条款为本次采购的实质性(关键性)的商务、技术或服务要求，投标人须满足或优于，否则，将会被认定为无效投标。</w:t>
      </w:r>
      <w:bookmarkStart w:id="3" w:name="OLE_LINK7"/>
      <w:r>
        <w:rPr>
          <w:rFonts w:hint="eastAsia" w:ascii="宋体" w:hAnsi="宋体" w:eastAsia="宋体" w:cs="宋体"/>
          <w:b/>
          <w:bCs/>
          <w:color w:val="auto"/>
          <w:sz w:val="21"/>
          <w:szCs w:val="21"/>
          <w:highlight w:val="none"/>
        </w:rPr>
        <w:t>标记“</w:t>
      </w:r>
      <w:bookmarkStart w:id="4" w:name="OLE_LINK6"/>
      <w:r>
        <w:rPr>
          <w:rFonts w:hint="eastAsia" w:ascii="宋体" w:hAnsi="宋体" w:eastAsia="宋体" w:cs="宋体"/>
          <w:b/>
          <w:bCs/>
          <w:color w:val="auto"/>
          <w:sz w:val="21"/>
          <w:szCs w:val="21"/>
          <w:highlight w:val="none"/>
        </w:rPr>
        <w:t>★</w:t>
      </w:r>
      <w:bookmarkEnd w:id="4"/>
      <w:r>
        <w:rPr>
          <w:rFonts w:hint="eastAsia" w:ascii="宋体" w:hAnsi="宋体" w:eastAsia="宋体" w:cs="宋体"/>
          <w:b/>
          <w:bCs/>
          <w:color w:val="auto"/>
          <w:sz w:val="21"/>
          <w:szCs w:val="21"/>
          <w:highlight w:val="none"/>
        </w:rPr>
        <w:t>”的</w:t>
      </w:r>
      <w:bookmarkEnd w:id="3"/>
      <w:r>
        <w:rPr>
          <w:rFonts w:hint="eastAsia" w:ascii="宋体" w:hAnsi="宋体" w:eastAsia="宋体" w:cs="宋体"/>
          <w:b/>
          <w:bCs/>
          <w:color w:val="auto"/>
          <w:sz w:val="21"/>
          <w:szCs w:val="21"/>
          <w:highlight w:val="none"/>
        </w:rPr>
        <w:t>技术参数正偏离作为加分项。</w:t>
      </w:r>
    </w:p>
    <w:p w14:paraId="7305E656">
      <w:pPr>
        <w:snapToGrid w:val="0"/>
        <w:spacing w:line="400" w:lineRule="exact"/>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5、本项目标的所属行业均为：</w:t>
      </w:r>
      <w:r>
        <w:rPr>
          <w:rFonts w:hint="eastAsia" w:ascii="宋体" w:hAnsi="宋体" w:eastAsia="宋体" w:cs="宋体"/>
          <w:b/>
          <w:bCs/>
          <w:color w:val="auto"/>
          <w:sz w:val="21"/>
          <w:szCs w:val="21"/>
          <w:highlight w:val="none"/>
          <w:u w:val="single"/>
        </w:rPr>
        <w:t xml:space="preserve">   工业    </w:t>
      </w:r>
      <w:r>
        <w:rPr>
          <w:rFonts w:hint="eastAsia" w:ascii="宋体" w:hAnsi="宋体" w:eastAsia="宋体" w:cs="宋体"/>
          <w:b/>
          <w:bCs/>
          <w:color w:val="auto"/>
          <w:sz w:val="21"/>
          <w:szCs w:val="21"/>
          <w:highlight w:val="none"/>
        </w:rPr>
        <w:t>；划分依据：《关于印发中小企业划型标准规定的通知》（工信部联企业[2011]300号）</w:t>
      </w:r>
      <w:r>
        <w:rPr>
          <w:rFonts w:hint="eastAsia" w:ascii="宋体" w:hAnsi="宋体" w:eastAsia="宋体" w:cs="宋体"/>
          <w:b/>
          <w:bCs/>
          <w:color w:val="auto"/>
          <w:sz w:val="21"/>
          <w:szCs w:val="21"/>
          <w:highlight w:val="none"/>
          <w:lang w:eastAsia="zh-CN"/>
        </w:rPr>
        <w:t>。</w:t>
      </w:r>
    </w:p>
    <w:p w14:paraId="224C05BD">
      <w:pPr>
        <w:snapToGrid w:val="0"/>
        <w:spacing w:line="400" w:lineRule="exact"/>
        <w:ind w:firstLine="422" w:firstLineChars="200"/>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6、本项目采购预算：</w:t>
      </w:r>
      <w:r>
        <w:rPr>
          <w:rFonts w:hint="eastAsia" w:ascii="宋体" w:hAnsi="宋体" w:eastAsia="宋体" w:cs="宋体"/>
          <w:b/>
          <w:bCs/>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u w:val="single"/>
          <w:lang w:val="en-US" w:eastAsia="zh-CN"/>
        </w:rPr>
        <w:t>3516000.00</w:t>
      </w:r>
      <w:r>
        <w:rPr>
          <w:rFonts w:hint="default" w:ascii="宋体" w:hAnsi="宋体" w:eastAsia="宋体" w:cs="宋体"/>
          <w:b/>
          <w:bCs/>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rPr>
        <w:t>元。</w:t>
      </w:r>
      <w:r>
        <w:rPr>
          <w:rFonts w:hint="eastAsia" w:ascii="宋体" w:hAnsi="宋体" w:eastAsia="宋体" w:cs="宋体"/>
          <w:b/>
          <w:bCs/>
          <w:color w:val="auto"/>
          <w:kern w:val="0"/>
          <w:sz w:val="21"/>
          <w:szCs w:val="21"/>
          <w:highlight w:val="none"/>
          <w:lang w:eastAsia="zh-CN"/>
        </w:rPr>
        <w:t>分标</w:t>
      </w:r>
      <w:r>
        <w:rPr>
          <w:rFonts w:hint="eastAsia" w:ascii="宋体" w:hAnsi="宋体" w:eastAsia="宋体" w:cs="宋体"/>
          <w:b/>
          <w:bCs/>
          <w:color w:val="auto"/>
          <w:kern w:val="0"/>
          <w:sz w:val="21"/>
          <w:szCs w:val="21"/>
          <w:highlight w:val="none"/>
          <w:lang w:val="en-US" w:eastAsia="zh-CN"/>
        </w:rPr>
        <w:t>1：2535100.00元；</w:t>
      </w:r>
      <w:r>
        <w:rPr>
          <w:rFonts w:hint="eastAsia" w:ascii="宋体" w:hAnsi="宋体" w:eastAsia="宋体" w:cs="宋体"/>
          <w:b/>
          <w:bCs/>
          <w:color w:val="auto"/>
          <w:kern w:val="0"/>
          <w:sz w:val="21"/>
          <w:szCs w:val="21"/>
          <w:highlight w:val="none"/>
          <w:lang w:eastAsia="zh-CN"/>
        </w:rPr>
        <w:t>分标</w:t>
      </w:r>
      <w:r>
        <w:rPr>
          <w:rFonts w:hint="eastAsia" w:ascii="宋体" w:hAnsi="宋体" w:eastAsia="宋体" w:cs="宋体"/>
          <w:b/>
          <w:bCs/>
          <w:color w:val="auto"/>
          <w:kern w:val="0"/>
          <w:sz w:val="21"/>
          <w:szCs w:val="21"/>
          <w:highlight w:val="none"/>
          <w:lang w:val="en-US" w:eastAsia="zh-CN"/>
        </w:rPr>
        <w:t xml:space="preserve">2：980900.00元。    </w:t>
      </w:r>
    </w:p>
    <w:p w14:paraId="08F558BE">
      <w:pPr>
        <w:snapToGrid w:val="0"/>
        <w:rPr>
          <w:rFonts w:hint="eastAsia" w:ascii="仿宋_GB2312" w:eastAsia="仿宋_GB2312"/>
          <w:b/>
          <w:color w:val="auto"/>
          <w:szCs w:val="21"/>
          <w:highlight w:val="none"/>
          <w:shd w:val="clear" w:color="auto" w:fill="auto"/>
        </w:rPr>
      </w:pPr>
    </w:p>
    <w:p w14:paraId="63ADF968">
      <w:pPr>
        <w:snapToGrid w:val="0"/>
        <w:spacing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分标1：</w:t>
      </w:r>
    </w:p>
    <w:tbl>
      <w:tblPr>
        <w:tblStyle w:val="53"/>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8"/>
        <w:gridCol w:w="1093"/>
        <w:gridCol w:w="314"/>
        <w:gridCol w:w="778"/>
        <w:gridCol w:w="691"/>
        <w:gridCol w:w="6040"/>
      </w:tblGrid>
      <w:tr w14:paraId="5BF19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8" w:type="pct"/>
            <w:tcBorders>
              <w:top w:val="single" w:color="auto" w:sz="4" w:space="0"/>
              <w:left w:val="single" w:color="auto" w:sz="4" w:space="0"/>
              <w:bottom w:val="single" w:color="auto" w:sz="4" w:space="0"/>
              <w:right w:val="single" w:color="auto" w:sz="4" w:space="0"/>
            </w:tcBorders>
            <w:vAlign w:val="center"/>
          </w:tcPr>
          <w:p w14:paraId="5A790167">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项号</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0122F857">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404" w:type="pct"/>
            <w:tcBorders>
              <w:top w:val="single" w:color="auto" w:sz="4" w:space="0"/>
              <w:left w:val="single" w:color="auto" w:sz="4" w:space="0"/>
              <w:bottom w:val="single" w:color="auto" w:sz="4" w:space="0"/>
              <w:right w:val="single" w:color="auto" w:sz="4" w:space="0"/>
            </w:tcBorders>
            <w:vAlign w:val="center"/>
          </w:tcPr>
          <w:p w14:paraId="1A6D7E7C">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359" w:type="pct"/>
            <w:tcBorders>
              <w:top w:val="single" w:color="auto" w:sz="4" w:space="0"/>
              <w:left w:val="single" w:color="auto" w:sz="4" w:space="0"/>
              <w:bottom w:val="single" w:color="auto" w:sz="4" w:space="0"/>
              <w:right w:val="single" w:color="auto" w:sz="4" w:space="0"/>
            </w:tcBorders>
            <w:vAlign w:val="center"/>
          </w:tcPr>
          <w:p w14:paraId="796BDDE8">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3135" w:type="pct"/>
            <w:tcBorders>
              <w:top w:val="single" w:color="auto" w:sz="4" w:space="0"/>
              <w:left w:val="single" w:color="auto" w:sz="4" w:space="0"/>
              <w:bottom w:val="single" w:color="auto" w:sz="4" w:space="0"/>
              <w:right w:val="single" w:color="auto" w:sz="4" w:space="0"/>
            </w:tcBorders>
            <w:vAlign w:val="center"/>
          </w:tcPr>
          <w:p w14:paraId="061C28B2">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技术参数及性能（配置）要求</w:t>
            </w:r>
          </w:p>
        </w:tc>
      </w:tr>
      <w:tr w14:paraId="56B0DA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2FC67525">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05E239A3">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舞台背景</w:t>
            </w:r>
          </w:p>
          <w:p w14:paraId="2D1F8178">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显示大屏</w:t>
            </w:r>
          </w:p>
        </w:tc>
        <w:tc>
          <w:tcPr>
            <w:tcW w:w="404" w:type="pct"/>
            <w:tcBorders>
              <w:top w:val="single" w:color="auto" w:sz="4" w:space="0"/>
              <w:left w:val="single" w:color="auto" w:sz="4" w:space="0"/>
              <w:bottom w:val="single" w:color="auto" w:sz="4" w:space="0"/>
              <w:right w:val="single" w:color="auto" w:sz="4" w:space="0"/>
            </w:tcBorders>
            <w:vAlign w:val="center"/>
          </w:tcPr>
          <w:p w14:paraId="2F29488D">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112.5</w:t>
            </w:r>
          </w:p>
        </w:tc>
        <w:tc>
          <w:tcPr>
            <w:tcW w:w="359" w:type="pct"/>
            <w:tcBorders>
              <w:top w:val="single" w:color="auto" w:sz="4" w:space="0"/>
              <w:left w:val="single" w:color="auto" w:sz="4" w:space="0"/>
              <w:bottom w:val="single" w:color="auto" w:sz="4" w:space="0"/>
              <w:right w:val="single" w:color="auto" w:sz="4" w:space="0"/>
            </w:tcBorders>
            <w:vAlign w:val="center"/>
          </w:tcPr>
          <w:p w14:paraId="6AA96552">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平方</w:t>
            </w:r>
          </w:p>
        </w:tc>
        <w:tc>
          <w:tcPr>
            <w:tcW w:w="3135" w:type="pct"/>
            <w:tcBorders>
              <w:top w:val="single" w:color="auto" w:sz="4" w:space="0"/>
              <w:left w:val="single" w:color="auto" w:sz="4" w:space="0"/>
              <w:bottom w:val="single" w:color="auto" w:sz="4" w:space="0"/>
              <w:right w:val="single" w:color="auto" w:sz="4" w:space="0"/>
            </w:tcBorders>
            <w:vAlign w:val="center"/>
          </w:tcPr>
          <w:p w14:paraId="54E1769D">
            <w:pPr>
              <w:keepNext w:val="0"/>
              <w:keepLines w:val="0"/>
              <w:widowControl/>
              <w:suppressLineNumbers w:val="0"/>
              <w:snapToGrid w:val="0"/>
              <w:jc w:val="left"/>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1、全彩显示屏净尺寸：≥15360mm宽*7200mm高</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2、像素结构：1R1G1B 表贴三合一LED</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3、整屏分辨率：≥5K</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rPr>
              <w:t>4、像素点间距≤2.5mm</w:t>
            </w:r>
            <w:r>
              <w:rPr>
                <w:rFonts w:hint="eastAsia" w:ascii="宋体" w:hAnsi="宋体" w:cs="宋体"/>
                <w:b/>
                <w:bCs/>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5、像素点组成：1R1G1B</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6、支持前后安装箱体结构，包含电源模块及接收模块</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rPr>
              <w:t>7、亮度范围：0-1800cd/㎡无级调节（白平衡亮度≥1000cd/㎡）</w:t>
            </w:r>
            <w:r>
              <w:rPr>
                <w:rFonts w:hint="eastAsia"/>
                <w:b w:val="0"/>
                <w:bCs/>
                <w:color w:val="auto"/>
                <w:highlight w:val="none"/>
              </w:rPr>
              <w:t>（</w:t>
            </w:r>
            <w:r>
              <w:rPr>
                <w:rFonts w:hint="eastAsia"/>
                <w:b w:val="0"/>
                <w:bCs/>
                <w:color w:val="auto"/>
                <w:highlight w:val="none"/>
              </w:rPr>
              <w:t>投标时</w:t>
            </w:r>
            <w:r>
              <w:rPr>
                <w:rFonts w:hint="eastAsia"/>
                <w:b w:val="0"/>
                <w:bCs/>
                <w:color w:val="auto"/>
                <w:highlight w:val="none"/>
                <w:lang w:val="en-US" w:eastAsia="zh-CN"/>
              </w:rPr>
              <w:t>如有请</w:t>
            </w:r>
            <w:r>
              <w:rPr>
                <w:rFonts w:hint="eastAsia"/>
                <w:b w:val="0"/>
                <w:bCs/>
                <w:color w:val="auto"/>
                <w:highlight w:val="none"/>
              </w:rPr>
              <w:t>提供</w:t>
            </w:r>
            <w:r>
              <w:rPr>
                <w:rFonts w:hint="eastAsia"/>
                <w:b w:val="0"/>
                <w:bCs/>
                <w:color w:val="auto"/>
                <w:highlight w:val="none"/>
                <w:lang w:val="en-US" w:eastAsia="zh-CN"/>
              </w:rPr>
              <w:t>优于</w:t>
            </w:r>
            <w:r>
              <w:rPr>
                <w:rFonts w:hint="eastAsia"/>
                <w:b w:val="0"/>
                <w:bCs/>
                <w:color w:val="auto"/>
                <w:highlight w:val="none"/>
              </w:rPr>
              <w:t>本款功能参数的第三方有资质的检测机构出具的</w:t>
            </w:r>
            <w:r>
              <w:rPr>
                <w:rFonts w:hint="eastAsia"/>
                <w:b w:val="0"/>
                <w:bCs/>
                <w:color w:val="auto"/>
                <w:highlight w:val="none"/>
                <w:lang w:eastAsia="zh-CN"/>
              </w:rPr>
              <w:t>带有CMA</w:t>
            </w:r>
            <w:r>
              <w:rPr>
                <w:rFonts w:hint="eastAsia"/>
                <w:b w:val="0"/>
                <w:bCs/>
                <w:color w:val="auto"/>
                <w:highlight w:val="none"/>
                <w:lang w:val="en-US" w:eastAsia="zh-CN"/>
              </w:rPr>
              <w:t>或CNAS</w:t>
            </w:r>
            <w:r>
              <w:rPr>
                <w:rFonts w:hint="eastAsia"/>
                <w:b w:val="0"/>
                <w:bCs/>
                <w:color w:val="auto"/>
                <w:highlight w:val="none"/>
                <w:lang w:eastAsia="zh-CN"/>
              </w:rPr>
              <w:t>标识的</w:t>
            </w:r>
            <w:r>
              <w:rPr>
                <w:rFonts w:hint="eastAsia"/>
                <w:b w:val="0"/>
                <w:bCs/>
                <w:color w:val="auto"/>
                <w:highlight w:val="none"/>
              </w:rPr>
              <w:t>检测报告复印件）</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 xml:space="preserve">8、刷新率/换帧频率：≥3840Hz/60Hz </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 xml:space="preserve">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9、静态对比度：≥15000:1，动态对比度：≥10000000:1</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10、LED显示屏符合IEC TR 62778:2014《IEC 62471的应用：光源和灯具的蓝光危害评估》要求，通过蓝光认证标准测试</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11、LED显示屏需通过辐射危害的曝辐限制、眼睛的近紫外危害曝辐限制，符合肉眼观看标准，并符合GB/T 20145-2006 光生物安全性标准</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rPr>
              <w:t>12、阻燃测试：符合GB/T5169.16-2017电工电子产品着火危险试验(PCB 满足V-0阻燃等级要求</w:t>
            </w:r>
            <w:r>
              <w:rPr>
                <w:rFonts w:hint="eastAsia"/>
                <w:b w:val="0"/>
                <w:bCs/>
                <w:color w:val="auto"/>
                <w:highlight w:val="none"/>
              </w:rPr>
              <w:t>（</w:t>
            </w:r>
            <w:r>
              <w:rPr>
                <w:rFonts w:hint="eastAsia"/>
                <w:b/>
                <w:bCs w:val="0"/>
                <w:strike w:val="0"/>
                <w:color w:val="auto"/>
                <w:highlight w:val="none"/>
                <w:lang w:val="en-US" w:eastAsia="zh-CN"/>
              </w:rPr>
              <w:t>供货</w:t>
            </w:r>
            <w:r>
              <w:rPr>
                <w:rFonts w:hint="eastAsia"/>
                <w:b/>
                <w:bCs w:val="0"/>
                <w:color w:val="auto"/>
                <w:highlight w:val="none"/>
              </w:rPr>
              <w:t>时</w:t>
            </w:r>
            <w:r>
              <w:rPr>
                <w:rFonts w:hint="eastAsia"/>
                <w:b/>
                <w:bCs w:val="0"/>
                <w:color w:val="auto"/>
                <w:highlight w:val="none"/>
                <w:lang w:val="en-US" w:eastAsia="zh-CN"/>
              </w:rPr>
              <w:t>须</w:t>
            </w:r>
            <w:r>
              <w:rPr>
                <w:rFonts w:hint="eastAsia"/>
                <w:b/>
                <w:bCs w:val="0"/>
                <w:color w:val="auto"/>
                <w:highlight w:val="none"/>
              </w:rPr>
              <w:t>提供</w:t>
            </w:r>
            <w:r>
              <w:rPr>
                <w:rFonts w:hint="eastAsia"/>
                <w:b/>
                <w:bCs w:val="0"/>
                <w:color w:val="auto"/>
                <w:highlight w:val="none"/>
                <w:lang w:val="en-US" w:eastAsia="zh-CN"/>
              </w:rPr>
              <w:t>满足</w:t>
            </w:r>
            <w:r>
              <w:rPr>
                <w:rFonts w:hint="eastAsia"/>
                <w:b/>
                <w:bCs w:val="0"/>
                <w:color w:val="auto"/>
                <w:highlight w:val="none"/>
              </w:rPr>
              <w:t>本款功能参数的第三方有资质的检测机构出具的</w:t>
            </w:r>
            <w:r>
              <w:rPr>
                <w:rFonts w:hint="eastAsia"/>
                <w:b/>
                <w:bCs w:val="0"/>
                <w:color w:val="auto"/>
                <w:highlight w:val="none"/>
                <w:lang w:eastAsia="zh-CN"/>
              </w:rPr>
              <w:t>带有CMA</w:t>
            </w:r>
            <w:r>
              <w:rPr>
                <w:rFonts w:hint="eastAsia"/>
                <w:b/>
                <w:bCs w:val="0"/>
                <w:color w:val="auto"/>
                <w:highlight w:val="none"/>
                <w:lang w:val="en-US" w:eastAsia="zh-CN"/>
              </w:rPr>
              <w:t>或CNAS</w:t>
            </w:r>
            <w:r>
              <w:rPr>
                <w:rFonts w:hint="eastAsia"/>
                <w:b/>
                <w:bCs w:val="0"/>
                <w:color w:val="auto"/>
                <w:highlight w:val="none"/>
                <w:lang w:eastAsia="zh-CN"/>
              </w:rPr>
              <w:t>标识的</w:t>
            </w:r>
            <w:r>
              <w:rPr>
                <w:rFonts w:hint="eastAsia"/>
                <w:b/>
                <w:bCs w:val="0"/>
                <w:color w:val="auto"/>
                <w:highlight w:val="none"/>
              </w:rPr>
              <w:t>检测报告复印件</w:t>
            </w:r>
            <w:r>
              <w:rPr>
                <w:rFonts w:hint="eastAsia"/>
                <w:b w:val="0"/>
                <w:bCs/>
                <w:color w:val="auto"/>
                <w:highlight w:val="none"/>
              </w:rPr>
              <w:t>）</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rPr>
              <w:t>13、屏体可靠性：符合GB/T2423.9-2001国家标准，裸机在50℃、湿度90%环境内连续工作≥200个小时无故障</w:t>
            </w:r>
            <w:r>
              <w:rPr>
                <w:rFonts w:hint="eastAsia"/>
                <w:b w:val="0"/>
                <w:bCs/>
                <w:color w:val="auto"/>
                <w:highlight w:val="none"/>
              </w:rPr>
              <w:t>（投标时</w:t>
            </w:r>
            <w:r>
              <w:rPr>
                <w:rFonts w:hint="eastAsia"/>
                <w:b w:val="0"/>
                <w:bCs/>
                <w:color w:val="auto"/>
                <w:highlight w:val="none"/>
                <w:lang w:val="en-US" w:eastAsia="zh-CN"/>
              </w:rPr>
              <w:t>如有请</w:t>
            </w:r>
            <w:r>
              <w:rPr>
                <w:rFonts w:hint="eastAsia"/>
                <w:b w:val="0"/>
                <w:bCs/>
                <w:color w:val="auto"/>
                <w:highlight w:val="none"/>
              </w:rPr>
              <w:t>提供</w:t>
            </w:r>
            <w:r>
              <w:rPr>
                <w:rFonts w:hint="eastAsia"/>
                <w:b w:val="0"/>
                <w:bCs/>
                <w:color w:val="auto"/>
                <w:highlight w:val="none"/>
                <w:lang w:val="en-US" w:eastAsia="zh-CN"/>
              </w:rPr>
              <w:t>优于</w:t>
            </w:r>
            <w:r>
              <w:rPr>
                <w:rFonts w:hint="eastAsia"/>
                <w:b w:val="0"/>
                <w:bCs/>
                <w:color w:val="auto"/>
                <w:highlight w:val="none"/>
              </w:rPr>
              <w:t>本款功能参数的第三方有资质的检测机构出具的</w:t>
            </w:r>
            <w:r>
              <w:rPr>
                <w:rFonts w:hint="eastAsia"/>
                <w:b w:val="0"/>
                <w:bCs/>
                <w:color w:val="auto"/>
                <w:highlight w:val="none"/>
                <w:lang w:eastAsia="zh-CN"/>
              </w:rPr>
              <w:t>带有CMA</w:t>
            </w:r>
            <w:r>
              <w:rPr>
                <w:rFonts w:hint="eastAsia"/>
                <w:b w:val="0"/>
                <w:bCs/>
                <w:color w:val="auto"/>
                <w:highlight w:val="none"/>
                <w:lang w:val="en-US" w:eastAsia="zh-CN"/>
              </w:rPr>
              <w:t>或CNAS</w:t>
            </w:r>
            <w:r>
              <w:rPr>
                <w:rFonts w:hint="eastAsia"/>
                <w:b w:val="0"/>
                <w:bCs/>
                <w:color w:val="auto"/>
                <w:highlight w:val="none"/>
                <w:lang w:eastAsia="zh-CN"/>
              </w:rPr>
              <w:t>标识的</w:t>
            </w:r>
            <w:r>
              <w:rPr>
                <w:rFonts w:hint="eastAsia"/>
                <w:b w:val="0"/>
                <w:bCs/>
                <w:color w:val="auto"/>
                <w:highlight w:val="none"/>
              </w:rPr>
              <w:t>检测报告复印件）</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14、盐雾腐蚀：经过35℃连续喷雾48h试验，符合GB/T 2423.17-2008盐雾10级要求</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15、LED显示屏的回扫线或频闪现象、图像均匀性、大面积色彩还原、灰度表现力(伪轮廓现象)、运动图像清晰度、静态图像清晰度符合SJ/T 11590-2016 LED显示屏图像质量检测标准</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rPr>
              <w:t>16、LED显示屏支持任意倍频技术，可调节控制倍频契合摄像器材工作频率，有效消除拍摄的描线。LED接收卡支持向导调屏、智能串线，支持拍照自动完成连接设置，实现傻瓜式调屏</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rPr>
              <w:t>17、</w:t>
            </w:r>
            <w:r>
              <w:rPr>
                <w:rFonts w:hint="eastAsia" w:ascii="宋体" w:hAnsi="宋体" w:cs="宋体"/>
                <w:b/>
                <w:bCs/>
                <w:i w:val="0"/>
                <w:iCs w:val="0"/>
                <w:color w:val="auto"/>
                <w:kern w:val="0"/>
                <w:sz w:val="21"/>
                <w:szCs w:val="21"/>
                <w:highlight w:val="none"/>
                <w:u w:val="none"/>
                <w:lang w:val="en-US" w:eastAsia="zh-CN"/>
              </w:rPr>
              <w:t>投标时须提供</w:t>
            </w:r>
            <w:r>
              <w:rPr>
                <w:rFonts w:hint="eastAsia" w:ascii="宋体" w:hAnsi="宋体" w:eastAsia="宋体" w:cs="宋体"/>
                <w:b/>
                <w:bCs/>
                <w:i w:val="0"/>
                <w:iCs w:val="0"/>
                <w:color w:val="auto"/>
                <w:kern w:val="0"/>
                <w:sz w:val="21"/>
                <w:szCs w:val="21"/>
                <w:highlight w:val="none"/>
                <w:u w:val="none"/>
                <w:lang w:val="en-US" w:eastAsia="zh-CN"/>
              </w:rPr>
              <w:t>LED显示屏产品通过CCC、节能认证</w:t>
            </w:r>
            <w:r>
              <w:rPr>
                <w:rFonts w:hint="eastAsia"/>
                <w:b/>
                <w:bCs/>
                <w:color w:val="auto"/>
                <w:highlight w:val="none"/>
                <w:lang w:val="en-US" w:eastAsia="zh-CN"/>
              </w:rPr>
              <w:t>证书复印件。</w:t>
            </w:r>
          </w:p>
        </w:tc>
      </w:tr>
      <w:tr w14:paraId="073088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368" w:type="pct"/>
            <w:tcBorders>
              <w:top w:val="single" w:color="auto" w:sz="4" w:space="0"/>
              <w:left w:val="single" w:color="auto" w:sz="4" w:space="0"/>
              <w:bottom w:val="single" w:color="auto" w:sz="4" w:space="0"/>
              <w:right w:val="single" w:color="auto" w:sz="4" w:space="0"/>
            </w:tcBorders>
            <w:vAlign w:val="center"/>
          </w:tcPr>
          <w:p w14:paraId="191B1873">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2</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3A6216E2">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观众席左侧显示大屏</w:t>
            </w:r>
          </w:p>
        </w:tc>
        <w:tc>
          <w:tcPr>
            <w:tcW w:w="404" w:type="pct"/>
            <w:tcBorders>
              <w:top w:val="single" w:color="auto" w:sz="4" w:space="0"/>
              <w:left w:val="single" w:color="auto" w:sz="4" w:space="0"/>
              <w:bottom w:val="single" w:color="auto" w:sz="4" w:space="0"/>
              <w:right w:val="single" w:color="auto" w:sz="4" w:space="0"/>
            </w:tcBorders>
            <w:vAlign w:val="center"/>
          </w:tcPr>
          <w:p w14:paraId="383B3156">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4.608</w:t>
            </w:r>
          </w:p>
        </w:tc>
        <w:tc>
          <w:tcPr>
            <w:tcW w:w="359" w:type="pct"/>
            <w:tcBorders>
              <w:top w:val="single" w:color="auto" w:sz="4" w:space="0"/>
              <w:left w:val="single" w:color="auto" w:sz="4" w:space="0"/>
              <w:bottom w:val="single" w:color="auto" w:sz="4" w:space="0"/>
              <w:right w:val="single" w:color="auto" w:sz="4" w:space="0"/>
            </w:tcBorders>
            <w:vAlign w:val="center"/>
          </w:tcPr>
          <w:p w14:paraId="5C591A40">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平方</w:t>
            </w:r>
          </w:p>
        </w:tc>
        <w:tc>
          <w:tcPr>
            <w:tcW w:w="3135" w:type="pct"/>
            <w:tcBorders>
              <w:top w:val="single" w:color="auto" w:sz="4" w:space="0"/>
              <w:left w:val="single" w:color="auto" w:sz="4" w:space="0"/>
              <w:bottom w:val="single" w:color="auto" w:sz="4" w:space="0"/>
              <w:right w:val="single" w:color="auto" w:sz="4" w:space="0"/>
            </w:tcBorders>
            <w:vAlign w:val="center"/>
          </w:tcPr>
          <w:p w14:paraId="53F25FA7">
            <w:pPr>
              <w:keepNext w:val="0"/>
              <w:keepLines w:val="0"/>
              <w:widowControl/>
              <w:suppressLineNumbers w:val="0"/>
              <w:snapToGrid w:val="0"/>
              <w:jc w:val="left"/>
              <w:textAlignment w:val="top"/>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1、全彩显示屏净尺寸：≥2880mm宽*1600mm高</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2、像素结构：1R1G1B 表贴三合一LED或采用全倒装芯片·COB·封装(集成三合一)技术</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3、整屏分辨率：≥</w:t>
            </w:r>
            <w:r>
              <w:rPr>
                <w:rFonts w:hint="eastAsia" w:ascii="宋体" w:hAnsi="宋体" w:cs="宋体"/>
                <w:i w:val="0"/>
                <w:iCs w:val="0"/>
                <w:color w:val="auto"/>
                <w:kern w:val="0"/>
                <w:sz w:val="21"/>
                <w:szCs w:val="21"/>
                <w:highlight w:val="none"/>
                <w:u w:val="none"/>
                <w:lang w:val="en-US" w:eastAsia="zh-CN"/>
              </w:rPr>
              <w:t>2K；</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rPr>
              <w:t>4、像素点间距≤1.</w:t>
            </w:r>
            <w:r>
              <w:rPr>
                <w:rFonts w:hint="eastAsia" w:ascii="宋体" w:hAnsi="宋体" w:cs="宋体"/>
                <w:b/>
                <w:bCs/>
                <w:i w:val="0"/>
                <w:iCs w:val="0"/>
                <w:color w:val="auto"/>
                <w:kern w:val="0"/>
                <w:sz w:val="21"/>
                <w:szCs w:val="21"/>
                <w:highlight w:val="none"/>
                <w:u w:val="none"/>
                <w:lang w:val="en-US" w:eastAsia="zh-CN"/>
              </w:rPr>
              <w:t>56</w:t>
            </w:r>
            <w:r>
              <w:rPr>
                <w:rFonts w:hint="eastAsia" w:ascii="宋体" w:hAnsi="宋体" w:eastAsia="宋体" w:cs="宋体"/>
                <w:b/>
                <w:bCs/>
                <w:i w:val="0"/>
                <w:iCs w:val="0"/>
                <w:color w:val="auto"/>
                <w:kern w:val="0"/>
                <w:sz w:val="21"/>
                <w:szCs w:val="21"/>
                <w:highlight w:val="none"/>
                <w:u w:val="none"/>
                <w:lang w:val="en-US" w:eastAsia="zh-CN"/>
              </w:rPr>
              <w:t>mm</w:t>
            </w:r>
            <w:r>
              <w:rPr>
                <w:rFonts w:hint="eastAsia" w:ascii="宋体" w:hAnsi="宋体" w:cs="宋体"/>
                <w:b/>
                <w:bCs/>
                <w:i w:val="0"/>
                <w:iCs w:val="0"/>
                <w:color w:val="auto"/>
                <w:kern w:val="0"/>
                <w:sz w:val="21"/>
                <w:szCs w:val="21"/>
                <w:highlight w:val="none"/>
                <w:u w:val="none"/>
                <w:lang w:val="en-US" w:eastAsia="zh-CN"/>
              </w:rPr>
              <w:t>；</w:t>
            </w:r>
            <w:r>
              <w:rPr>
                <w:rFonts w:hint="eastAsia" w:ascii="宋体" w:hAnsi="宋体" w:eastAsia="宋体" w:cs="宋体"/>
                <w:b/>
                <w:bCs/>
                <w:i w:val="0"/>
                <w:iCs w:val="0"/>
                <w:color w:val="auto"/>
                <w:kern w:val="0"/>
                <w:sz w:val="21"/>
                <w:szCs w:val="21"/>
                <w:highlight w:val="none"/>
                <w:u w:val="none"/>
                <w:lang w:val="en-US" w:eastAsia="zh-CN"/>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rPr>
              <w:t>5、单元厚度（含箱体）≤15mm，单元重量≤3KG</w:t>
            </w:r>
            <w:r>
              <w:rPr>
                <w:rFonts w:hint="eastAsia" w:ascii="宋体" w:hAnsi="宋体" w:cs="宋体"/>
                <w:b/>
                <w:bCs/>
                <w:i w:val="0"/>
                <w:iCs w:val="0"/>
                <w:color w:val="auto"/>
                <w:kern w:val="0"/>
                <w:sz w:val="21"/>
                <w:szCs w:val="21"/>
                <w:highlight w:val="none"/>
                <w:u w:val="none"/>
                <w:lang w:val="en-US" w:eastAsia="zh-CN"/>
              </w:rPr>
              <w:t>；</w:t>
            </w:r>
            <w:r>
              <w:rPr>
                <w:rFonts w:hint="eastAsia" w:ascii="宋体" w:hAnsi="宋体" w:eastAsia="宋体" w:cs="宋体"/>
                <w:b/>
                <w:bCs/>
                <w:i w:val="0"/>
                <w:iCs w:val="0"/>
                <w:color w:val="auto"/>
                <w:kern w:val="0"/>
                <w:sz w:val="21"/>
                <w:szCs w:val="21"/>
                <w:highlight w:val="none"/>
                <w:u w:val="none"/>
                <w:lang w:val="en-US" w:eastAsia="zh-CN"/>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rPr>
              <w:t>6、</w:t>
            </w:r>
            <w:r>
              <w:rPr>
                <w:rFonts w:hint="eastAsia" w:ascii="宋体" w:hAnsi="宋体"/>
                <w:b/>
                <w:bCs/>
                <w:color w:val="auto"/>
                <w:highlight w:val="none"/>
              </w:rPr>
              <w:t>安装方式：LED显示单元采用免</w:t>
            </w:r>
            <w:r>
              <w:rPr>
                <w:rFonts w:hint="eastAsia" w:ascii="宋体" w:hAnsi="宋体"/>
                <w:b/>
                <w:bCs/>
                <w:color w:val="auto"/>
                <w:highlight w:val="none"/>
                <w:lang w:val="en-US" w:eastAsia="zh-CN"/>
              </w:rPr>
              <w:t>结构</w:t>
            </w:r>
            <w:r>
              <w:rPr>
                <w:rFonts w:hint="eastAsia" w:ascii="宋体" w:hAnsi="宋体"/>
                <w:b/>
                <w:bCs/>
                <w:color w:val="auto"/>
                <w:highlight w:val="none"/>
              </w:rPr>
              <w:t>支架设计，支持墙体</w:t>
            </w:r>
            <w:r>
              <w:rPr>
                <w:rFonts w:hint="eastAsia" w:ascii="宋体" w:hAnsi="宋体"/>
                <w:b/>
                <w:bCs/>
                <w:color w:val="auto"/>
                <w:highlight w:val="none"/>
                <w:lang w:val="en-US" w:eastAsia="zh-CN"/>
              </w:rPr>
              <w:t>装饰面</w:t>
            </w:r>
            <w:r>
              <w:rPr>
                <w:rFonts w:hint="eastAsia" w:ascii="宋体" w:hAnsi="宋体"/>
                <w:b/>
                <w:bCs/>
                <w:color w:val="auto"/>
                <w:highlight w:val="none"/>
              </w:rPr>
              <w:t>贴装和落地安装、吊装</w:t>
            </w:r>
            <w:r>
              <w:rPr>
                <w:rFonts w:hint="eastAsia" w:ascii="宋体" w:hAnsi="宋体"/>
                <w:b/>
                <w:bCs/>
                <w:color w:val="auto"/>
                <w:highlight w:val="none"/>
                <w:lang w:val="en-US" w:eastAsia="zh-CN"/>
              </w:rPr>
              <w:t>等</w:t>
            </w:r>
            <w:r>
              <w:rPr>
                <w:rFonts w:hint="eastAsia" w:ascii="宋体" w:hAnsi="宋体"/>
                <w:b/>
                <w:bCs/>
                <w:color w:val="auto"/>
                <w:highlight w:val="none"/>
              </w:rPr>
              <w:t>安装方式</w:t>
            </w:r>
            <w:r>
              <w:rPr>
                <w:rFonts w:hint="eastAsia" w:ascii="宋体" w:hAnsi="宋体"/>
                <w:b/>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7、亮度范围：0-1</w:t>
            </w:r>
            <w:r>
              <w:rPr>
                <w:rFonts w:hint="eastAsia" w:ascii="宋体" w:hAnsi="宋体" w:cs="宋体"/>
                <w:i w:val="0"/>
                <w:iCs w:val="0"/>
                <w:color w:val="auto"/>
                <w:kern w:val="0"/>
                <w:sz w:val="21"/>
                <w:szCs w:val="21"/>
                <w:highlight w:val="none"/>
                <w:u w:val="none"/>
                <w:lang w:val="en-US" w:eastAsia="zh-CN"/>
              </w:rPr>
              <w:t>0</w:t>
            </w:r>
            <w:r>
              <w:rPr>
                <w:rFonts w:hint="eastAsia" w:ascii="宋体" w:hAnsi="宋体" w:eastAsia="宋体" w:cs="宋体"/>
                <w:i w:val="0"/>
                <w:iCs w:val="0"/>
                <w:color w:val="auto"/>
                <w:kern w:val="0"/>
                <w:sz w:val="21"/>
                <w:szCs w:val="21"/>
                <w:highlight w:val="none"/>
                <w:u w:val="none"/>
                <w:lang w:val="en-US" w:eastAsia="zh-CN"/>
              </w:rPr>
              <w:t>00cd/㎡无级调节（白平衡亮度≥</w:t>
            </w:r>
            <w:r>
              <w:rPr>
                <w:rFonts w:hint="eastAsia" w:ascii="宋体" w:hAnsi="宋体" w:cs="宋体"/>
                <w:i w:val="0"/>
                <w:iCs w:val="0"/>
                <w:color w:val="auto"/>
                <w:kern w:val="0"/>
                <w:sz w:val="21"/>
                <w:szCs w:val="21"/>
                <w:highlight w:val="none"/>
                <w:u w:val="none"/>
                <w:lang w:val="en-US" w:eastAsia="zh-CN"/>
              </w:rPr>
              <w:t>650</w:t>
            </w:r>
            <w:r>
              <w:rPr>
                <w:rFonts w:hint="eastAsia" w:ascii="宋体" w:hAnsi="宋体" w:eastAsia="宋体" w:cs="宋体"/>
                <w:i w:val="0"/>
                <w:iCs w:val="0"/>
                <w:color w:val="auto"/>
                <w:kern w:val="0"/>
                <w:sz w:val="21"/>
                <w:szCs w:val="21"/>
                <w:highlight w:val="none"/>
                <w:u w:val="none"/>
                <w:lang w:val="en-US" w:eastAsia="zh-CN"/>
              </w:rPr>
              <w:t>cd/㎡）</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rPr>
              <w:t>8、刷新率/换帧频率：≥3840Hz/60Hz</w:t>
            </w:r>
            <w:r>
              <w:rPr>
                <w:rFonts w:hint="eastAsia" w:ascii="宋体" w:hAnsi="宋体" w:cs="宋体"/>
                <w:i w:val="0"/>
                <w:iCs w:val="0"/>
                <w:color w:val="auto"/>
                <w:kern w:val="0"/>
                <w:sz w:val="21"/>
                <w:szCs w:val="21"/>
                <w:highlight w:val="none"/>
                <w:u w:val="none"/>
                <w:lang w:val="en-US" w:eastAsia="zh-CN"/>
              </w:rPr>
              <w:t>，</w:t>
            </w:r>
            <w:r>
              <w:rPr>
                <w:rFonts w:hint="eastAsia" w:ascii="宋体" w:hAnsi="宋体"/>
                <w:color w:val="auto"/>
                <w:highlight w:val="none"/>
              </w:rPr>
              <w:t>LED显示屏静态对比度≥100000:1，动态对比度≥1000000:1</w:t>
            </w:r>
            <w:r>
              <w:rPr>
                <w:rFonts w:hint="eastAsia"/>
                <w:b w:val="0"/>
                <w:bCs/>
                <w:color w:val="auto"/>
                <w:highlight w:val="none"/>
              </w:rPr>
              <w:t>（</w:t>
            </w:r>
            <w:r>
              <w:rPr>
                <w:rFonts w:hint="eastAsia"/>
                <w:b w:val="0"/>
                <w:bCs/>
                <w:color w:val="auto"/>
                <w:highlight w:val="none"/>
              </w:rPr>
              <w:t>投标时</w:t>
            </w:r>
            <w:r>
              <w:rPr>
                <w:rFonts w:hint="eastAsia"/>
                <w:b w:val="0"/>
                <w:bCs/>
                <w:color w:val="auto"/>
                <w:highlight w:val="none"/>
                <w:lang w:val="en-US" w:eastAsia="zh-CN"/>
              </w:rPr>
              <w:t>如有请</w:t>
            </w:r>
            <w:r>
              <w:rPr>
                <w:rFonts w:hint="eastAsia"/>
                <w:b w:val="0"/>
                <w:bCs/>
                <w:color w:val="auto"/>
                <w:highlight w:val="none"/>
              </w:rPr>
              <w:t>提供</w:t>
            </w:r>
            <w:r>
              <w:rPr>
                <w:rFonts w:hint="eastAsia"/>
                <w:b w:val="0"/>
                <w:bCs/>
                <w:color w:val="auto"/>
                <w:highlight w:val="none"/>
                <w:lang w:val="en-US" w:eastAsia="zh-CN"/>
              </w:rPr>
              <w:t>优于</w:t>
            </w:r>
            <w:r>
              <w:rPr>
                <w:rFonts w:hint="eastAsia"/>
                <w:b w:val="0"/>
                <w:bCs/>
                <w:color w:val="auto"/>
                <w:highlight w:val="none"/>
              </w:rPr>
              <w:t>本款功能参数的第三方有资质的检测机构出具的</w:t>
            </w:r>
            <w:r>
              <w:rPr>
                <w:rFonts w:hint="eastAsia"/>
                <w:b w:val="0"/>
                <w:bCs/>
                <w:color w:val="auto"/>
                <w:highlight w:val="none"/>
                <w:lang w:eastAsia="zh-CN"/>
              </w:rPr>
              <w:t>带有CMA</w:t>
            </w:r>
            <w:r>
              <w:rPr>
                <w:rFonts w:hint="eastAsia"/>
                <w:b w:val="0"/>
                <w:bCs/>
                <w:color w:val="auto"/>
                <w:highlight w:val="none"/>
                <w:lang w:val="en-US" w:eastAsia="zh-CN"/>
              </w:rPr>
              <w:t>或CNAS</w:t>
            </w:r>
            <w:r>
              <w:rPr>
                <w:rFonts w:hint="eastAsia"/>
                <w:b w:val="0"/>
                <w:bCs/>
                <w:color w:val="auto"/>
                <w:highlight w:val="none"/>
                <w:lang w:eastAsia="zh-CN"/>
              </w:rPr>
              <w:t>标识的</w:t>
            </w:r>
            <w:r>
              <w:rPr>
                <w:rFonts w:hint="eastAsia"/>
                <w:b w:val="0"/>
                <w:bCs/>
                <w:color w:val="auto"/>
                <w:highlight w:val="none"/>
              </w:rPr>
              <w:t>检测报告复印件）</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rPr>
              <w:t xml:space="preserve">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rPr>
              <w:t>9、</w:t>
            </w:r>
            <w:r>
              <w:rPr>
                <w:rFonts w:hint="eastAsia" w:ascii="宋体" w:hAnsi="宋体"/>
                <w:color w:val="auto"/>
                <w:highlight w:val="none"/>
              </w:rPr>
              <w:t>LED显示单元采用恒流低压降驱动技术和超低行扫阻抗设计，</w:t>
            </w:r>
            <w:r>
              <w:rPr>
                <w:rFonts w:hint="eastAsia" w:ascii="宋体" w:hAnsi="宋体"/>
                <w:color w:val="auto"/>
                <w:highlight w:val="none"/>
                <w:lang w:val="en-US" w:eastAsia="zh-CN"/>
              </w:rPr>
              <w:t>平均</w:t>
            </w:r>
            <w:r>
              <w:rPr>
                <w:rFonts w:hint="eastAsia" w:ascii="宋体" w:hAnsi="宋体"/>
                <w:color w:val="auto"/>
                <w:highlight w:val="none"/>
              </w:rPr>
              <w:t>功耗</w:t>
            </w:r>
            <w:r>
              <w:rPr>
                <w:rFonts w:hint="eastAsia" w:ascii="宋体" w:hAnsi="宋体"/>
                <w:color w:val="auto"/>
                <w:highlight w:val="none"/>
                <w:lang w:val="en-US" w:eastAsia="zh-CN"/>
              </w:rPr>
              <w:t>小于12</w:t>
            </w:r>
            <w:r>
              <w:rPr>
                <w:rFonts w:hint="eastAsia" w:ascii="宋体" w:hAnsi="宋体"/>
                <w:color w:val="auto"/>
                <w:highlight w:val="none"/>
              </w:rPr>
              <w:t>0W</w:t>
            </w:r>
            <w:r>
              <w:rPr>
                <w:rFonts w:hint="eastAsia" w:ascii="宋体" w:hAnsi="宋体"/>
                <w:color w:val="auto"/>
                <w:highlight w:val="none"/>
                <w:lang w:val="en-US" w:eastAsia="zh-CN"/>
              </w:rPr>
              <w:t>/</w:t>
            </w:r>
            <w:r>
              <w:rPr>
                <w:rFonts w:hint="eastAsia" w:ascii="宋体" w:hAnsi="宋体"/>
                <w:color w:val="auto"/>
                <w:highlight w:val="none"/>
              </w:rPr>
              <w:t>㎡</w:t>
            </w:r>
            <w:r>
              <w:rPr>
                <w:rFonts w:hint="eastAsia" w:ascii="宋体" w:hAnsi="宋体"/>
                <w:color w:val="auto"/>
                <w:highlight w:val="none"/>
              </w:rPr>
              <w:t>，实现</w:t>
            </w:r>
            <w:r>
              <w:rPr>
                <w:rFonts w:hint="eastAsia" w:ascii="宋体" w:hAnsi="宋体"/>
                <w:color w:val="auto"/>
                <w:highlight w:val="none"/>
                <w:lang w:val="en-US" w:eastAsia="zh-CN"/>
              </w:rPr>
              <w:t>用电安全与</w:t>
            </w:r>
            <w:r>
              <w:rPr>
                <w:rFonts w:hint="eastAsia" w:ascii="宋体" w:hAnsi="宋体"/>
                <w:color w:val="auto"/>
                <w:highlight w:val="none"/>
              </w:rPr>
              <w:t>节能</w:t>
            </w:r>
            <w:r>
              <w:rPr>
                <w:rFonts w:hint="eastAsia" w:ascii="宋体" w:hAnsi="宋体"/>
                <w:color w:val="auto"/>
                <w:highlight w:val="none"/>
                <w:lang w:val="en-US" w:eastAsia="zh-CN"/>
              </w:rPr>
              <w:t>环保</w:t>
            </w:r>
            <w:r>
              <w:rPr>
                <w:rFonts w:hint="eastAsia"/>
                <w:b w:val="0"/>
                <w:bCs/>
                <w:color w:val="auto"/>
                <w:highlight w:val="none"/>
              </w:rPr>
              <w:t>（投标时</w:t>
            </w:r>
            <w:r>
              <w:rPr>
                <w:rFonts w:hint="eastAsia"/>
                <w:b w:val="0"/>
                <w:bCs/>
                <w:color w:val="auto"/>
                <w:highlight w:val="none"/>
                <w:lang w:val="en-US" w:eastAsia="zh-CN"/>
              </w:rPr>
              <w:t>如有请</w:t>
            </w:r>
            <w:r>
              <w:rPr>
                <w:rFonts w:hint="eastAsia"/>
                <w:b w:val="0"/>
                <w:bCs/>
                <w:color w:val="auto"/>
                <w:highlight w:val="none"/>
              </w:rPr>
              <w:t>提供</w:t>
            </w:r>
            <w:r>
              <w:rPr>
                <w:rFonts w:hint="eastAsia"/>
                <w:b w:val="0"/>
                <w:bCs/>
                <w:color w:val="auto"/>
                <w:highlight w:val="none"/>
                <w:lang w:val="en-US" w:eastAsia="zh-CN"/>
              </w:rPr>
              <w:t>优于</w:t>
            </w:r>
            <w:r>
              <w:rPr>
                <w:rFonts w:hint="eastAsia"/>
                <w:b w:val="0"/>
                <w:bCs/>
                <w:color w:val="auto"/>
                <w:highlight w:val="none"/>
              </w:rPr>
              <w:t>本款功能参数的第三方有资质的检测机构出具的</w:t>
            </w:r>
            <w:r>
              <w:rPr>
                <w:rFonts w:hint="eastAsia"/>
                <w:b w:val="0"/>
                <w:bCs/>
                <w:color w:val="auto"/>
                <w:highlight w:val="none"/>
                <w:lang w:eastAsia="zh-CN"/>
              </w:rPr>
              <w:t>带有CMA</w:t>
            </w:r>
            <w:r>
              <w:rPr>
                <w:rFonts w:hint="eastAsia"/>
                <w:b w:val="0"/>
                <w:bCs/>
                <w:color w:val="auto"/>
                <w:highlight w:val="none"/>
                <w:lang w:val="en-US" w:eastAsia="zh-CN"/>
              </w:rPr>
              <w:t>或CNAS</w:t>
            </w:r>
            <w:r>
              <w:rPr>
                <w:rFonts w:hint="eastAsia"/>
                <w:b w:val="0"/>
                <w:bCs/>
                <w:color w:val="auto"/>
                <w:highlight w:val="none"/>
                <w:lang w:eastAsia="zh-CN"/>
              </w:rPr>
              <w:t>标识的</w:t>
            </w:r>
            <w:r>
              <w:rPr>
                <w:rFonts w:hint="eastAsia"/>
                <w:b w:val="0"/>
                <w:bCs/>
                <w:color w:val="auto"/>
                <w:highlight w:val="none"/>
              </w:rPr>
              <w:t>检测报告复印件）</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10、LED显示屏符合IEC TR 62778:2014《IEC 62471的应用：光源和灯具的蓝光危害评估》要求，通过蓝光认证标准测试</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11、LED显示屏需通过辐射危害的曝辐限制、眼睛的近紫外危害曝辐限制，符合肉眼观看标准，并符合GB/T 20145-2006 光生物安全性标准</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12、阻燃测试：符合GB/T5169.16-2017电工电子产品着火危险试验(PCB 满足V-0阻燃等级要求</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rPr>
              <w:t>13、屏体可靠性：</w:t>
            </w:r>
            <w:r>
              <w:rPr>
                <w:rFonts w:hint="eastAsia" w:ascii="宋体" w:hAnsi="宋体"/>
                <w:color w:val="auto"/>
                <w:highlight w:val="none"/>
              </w:rPr>
              <w:t>L</w:t>
            </w:r>
            <w:r>
              <w:rPr>
                <w:rFonts w:ascii="宋体" w:hAnsi="宋体"/>
                <w:color w:val="auto"/>
                <w:highlight w:val="none"/>
              </w:rPr>
              <w:t>ED</w:t>
            </w:r>
            <w:r>
              <w:rPr>
                <w:rFonts w:hint="eastAsia" w:ascii="宋体" w:hAnsi="宋体"/>
                <w:color w:val="auto"/>
                <w:highlight w:val="none"/>
              </w:rPr>
              <w:t>显示屏的平均使用寿命≥</w:t>
            </w:r>
            <w:r>
              <w:rPr>
                <w:rFonts w:hint="eastAsia" w:ascii="宋体" w:hAnsi="宋体"/>
                <w:color w:val="auto"/>
                <w:highlight w:val="none"/>
                <w:lang w:val="en-US" w:eastAsia="zh-CN"/>
              </w:rPr>
              <w:t>18</w:t>
            </w:r>
            <w:r>
              <w:rPr>
                <w:rFonts w:ascii="宋体" w:hAnsi="宋体"/>
                <w:color w:val="auto"/>
                <w:highlight w:val="none"/>
              </w:rPr>
              <w:t>0000</w:t>
            </w:r>
            <w:r>
              <w:rPr>
                <w:rFonts w:hint="eastAsia" w:ascii="宋体" w:hAnsi="宋体"/>
                <w:color w:val="auto"/>
                <w:highlight w:val="none"/>
              </w:rPr>
              <w:t>小时，</w:t>
            </w:r>
            <w:r>
              <w:rPr>
                <w:rFonts w:ascii="宋体" w:hAnsi="宋体"/>
                <w:color w:val="auto"/>
                <w:highlight w:val="none"/>
              </w:rPr>
              <w:t>MTBF</w:t>
            </w:r>
            <w:r>
              <w:rPr>
                <w:rFonts w:hint="eastAsia" w:ascii="宋体" w:hAnsi="宋体"/>
                <w:color w:val="auto"/>
                <w:highlight w:val="none"/>
              </w:rPr>
              <w:t>≥</w:t>
            </w:r>
            <w:r>
              <w:rPr>
                <w:rFonts w:hint="eastAsia" w:ascii="宋体" w:hAnsi="宋体"/>
                <w:color w:val="auto"/>
                <w:highlight w:val="none"/>
                <w:lang w:val="en-US" w:eastAsia="zh-CN"/>
              </w:rPr>
              <w:t>18</w:t>
            </w:r>
            <w:r>
              <w:rPr>
                <w:rFonts w:ascii="宋体" w:hAnsi="宋体"/>
                <w:color w:val="auto"/>
                <w:highlight w:val="none"/>
              </w:rPr>
              <w:t>0000</w:t>
            </w:r>
            <w:r>
              <w:rPr>
                <w:rFonts w:hint="eastAsia" w:ascii="宋体" w:hAnsi="宋体"/>
                <w:color w:val="auto"/>
                <w:highlight w:val="none"/>
              </w:rPr>
              <w:t>小时，</w:t>
            </w:r>
            <w:r>
              <w:rPr>
                <w:rFonts w:ascii="宋体" w:hAnsi="宋体"/>
                <w:color w:val="auto"/>
                <w:highlight w:val="none"/>
              </w:rPr>
              <w:t>MTTR</w:t>
            </w:r>
            <w:r>
              <w:rPr>
                <w:rFonts w:hint="eastAsia" w:ascii="宋体" w:hAnsi="宋体"/>
                <w:color w:val="auto"/>
                <w:highlight w:val="none"/>
              </w:rPr>
              <w:t>≤</w:t>
            </w:r>
            <w:r>
              <w:rPr>
                <w:rFonts w:hint="eastAsia" w:ascii="宋体" w:hAnsi="宋体"/>
                <w:color w:val="auto"/>
                <w:highlight w:val="none"/>
                <w:lang w:val="en-US" w:eastAsia="zh-CN"/>
              </w:rPr>
              <w:t>2</w:t>
            </w:r>
            <w:r>
              <w:rPr>
                <w:rFonts w:hint="eastAsia" w:ascii="宋体" w:hAnsi="宋体"/>
                <w:color w:val="auto"/>
                <w:highlight w:val="none"/>
              </w:rPr>
              <w:t>分钟，可用度≥</w:t>
            </w:r>
            <w:r>
              <w:rPr>
                <w:rFonts w:ascii="宋体" w:hAnsi="宋体"/>
                <w:color w:val="auto"/>
                <w:highlight w:val="none"/>
              </w:rPr>
              <w:t>9</w:t>
            </w:r>
            <w:r>
              <w:rPr>
                <w:rFonts w:hint="eastAsia" w:ascii="宋体" w:hAnsi="宋体"/>
                <w:color w:val="auto"/>
                <w:highlight w:val="none"/>
                <w:lang w:val="en-US" w:eastAsia="zh-CN"/>
              </w:rPr>
              <w:t>8</w:t>
            </w:r>
            <w:r>
              <w:rPr>
                <w:rFonts w:hint="eastAsia" w:ascii="宋体" w:hAnsi="宋体"/>
                <w:color w:val="auto"/>
                <w:highlight w:val="none"/>
              </w:rPr>
              <w:t>%</w:t>
            </w:r>
            <w:r>
              <w:rPr>
                <w:rFonts w:hint="eastAsia"/>
                <w:b w:val="0"/>
                <w:bCs/>
                <w:color w:val="auto"/>
                <w:highlight w:val="none"/>
              </w:rPr>
              <w:t>（</w:t>
            </w:r>
            <w:r>
              <w:rPr>
                <w:rFonts w:hint="eastAsia"/>
                <w:b w:val="0"/>
                <w:bCs/>
                <w:color w:val="auto"/>
                <w:highlight w:val="none"/>
              </w:rPr>
              <w:t>投标时</w:t>
            </w:r>
            <w:r>
              <w:rPr>
                <w:rFonts w:hint="eastAsia"/>
                <w:b w:val="0"/>
                <w:bCs/>
                <w:color w:val="auto"/>
                <w:highlight w:val="none"/>
                <w:lang w:val="en-US" w:eastAsia="zh-CN"/>
              </w:rPr>
              <w:t>如有请</w:t>
            </w:r>
            <w:r>
              <w:rPr>
                <w:rFonts w:hint="eastAsia"/>
                <w:b w:val="0"/>
                <w:bCs/>
                <w:color w:val="auto"/>
                <w:highlight w:val="none"/>
              </w:rPr>
              <w:t>提供</w:t>
            </w:r>
            <w:r>
              <w:rPr>
                <w:rFonts w:hint="eastAsia"/>
                <w:b w:val="0"/>
                <w:bCs/>
                <w:color w:val="auto"/>
                <w:highlight w:val="none"/>
                <w:lang w:val="en-US" w:eastAsia="zh-CN"/>
              </w:rPr>
              <w:t>优于</w:t>
            </w:r>
            <w:r>
              <w:rPr>
                <w:rFonts w:hint="eastAsia"/>
                <w:b w:val="0"/>
                <w:bCs/>
                <w:color w:val="auto"/>
                <w:highlight w:val="none"/>
              </w:rPr>
              <w:t>本款功能参数的第三方有资质的检测机构出具的</w:t>
            </w:r>
            <w:r>
              <w:rPr>
                <w:rFonts w:hint="eastAsia"/>
                <w:b w:val="0"/>
                <w:bCs/>
                <w:color w:val="auto"/>
                <w:highlight w:val="none"/>
                <w:lang w:eastAsia="zh-CN"/>
              </w:rPr>
              <w:t>带有CMA</w:t>
            </w:r>
            <w:r>
              <w:rPr>
                <w:rFonts w:hint="eastAsia"/>
                <w:b w:val="0"/>
                <w:bCs/>
                <w:color w:val="auto"/>
                <w:highlight w:val="none"/>
                <w:lang w:val="en-US" w:eastAsia="zh-CN"/>
              </w:rPr>
              <w:t>或CNAS</w:t>
            </w:r>
            <w:r>
              <w:rPr>
                <w:rFonts w:hint="eastAsia"/>
                <w:b w:val="0"/>
                <w:bCs/>
                <w:color w:val="auto"/>
                <w:highlight w:val="none"/>
                <w:lang w:eastAsia="zh-CN"/>
              </w:rPr>
              <w:t>标识的</w:t>
            </w:r>
            <w:r>
              <w:rPr>
                <w:rFonts w:hint="eastAsia"/>
                <w:b w:val="0"/>
                <w:bCs/>
                <w:color w:val="auto"/>
                <w:highlight w:val="none"/>
              </w:rPr>
              <w:t>检测报告复印件）</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14、盐雾腐蚀：经过35℃连续喷雾48h试验，符合GB/T 2423.17-2008盐雾10级要求</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color w:val="auto"/>
                <w:highlight w:val="none"/>
              </w:rPr>
              <w:t>▲</w:t>
            </w:r>
            <w:r>
              <w:rPr>
                <w:rFonts w:hint="eastAsia" w:ascii="宋体" w:hAnsi="宋体" w:eastAsia="宋体" w:cs="宋体"/>
                <w:b/>
                <w:bCs/>
                <w:i w:val="0"/>
                <w:iCs w:val="0"/>
                <w:color w:val="auto"/>
                <w:kern w:val="0"/>
                <w:sz w:val="21"/>
                <w:szCs w:val="21"/>
                <w:highlight w:val="none"/>
                <w:u w:val="none"/>
                <w:lang w:val="en-US" w:eastAsia="zh-CN"/>
              </w:rPr>
              <w:t>15、显示单元内无220V开关电源，实现强电隔离，屏体内采用24V直流低电压设计，</w:t>
            </w:r>
            <w:r>
              <w:rPr>
                <w:rFonts w:hint="eastAsia" w:ascii="宋体" w:hAnsi="宋体"/>
                <w:b/>
                <w:bCs/>
                <w:color w:val="auto"/>
                <w:highlight w:val="none"/>
                <w:lang w:val="en-US" w:eastAsia="zh-CN"/>
              </w:rPr>
              <w:t>屏体采用单模单芯光纤通讯接口；</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16、LED显示屏支持任意倍频技术，可调节控制倍频契合摄像器材工作频率，有效消除拍摄的描线。LED接收卡支持向导调屏、智能串线，支持拍照自动完成连接设置，实现傻瓜式调屏</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rPr>
              <w:t>17、</w:t>
            </w:r>
            <w:r>
              <w:rPr>
                <w:rFonts w:hint="eastAsia" w:ascii="宋体" w:hAnsi="宋体" w:cs="宋体"/>
                <w:b/>
                <w:bCs/>
                <w:i w:val="0"/>
                <w:iCs w:val="0"/>
                <w:color w:val="auto"/>
                <w:kern w:val="0"/>
                <w:sz w:val="21"/>
                <w:szCs w:val="21"/>
                <w:highlight w:val="none"/>
                <w:u w:val="none"/>
                <w:lang w:val="en-US" w:eastAsia="zh-CN"/>
              </w:rPr>
              <w:t>投标时须提供</w:t>
            </w:r>
            <w:r>
              <w:rPr>
                <w:rFonts w:hint="eastAsia" w:ascii="宋体" w:hAnsi="宋体" w:eastAsia="宋体" w:cs="宋体"/>
                <w:b/>
                <w:bCs/>
                <w:i w:val="0"/>
                <w:iCs w:val="0"/>
                <w:color w:val="auto"/>
                <w:kern w:val="0"/>
                <w:sz w:val="21"/>
                <w:szCs w:val="21"/>
                <w:highlight w:val="none"/>
                <w:u w:val="none"/>
                <w:lang w:val="en-US" w:eastAsia="zh-CN"/>
              </w:rPr>
              <w:t>LED显示屏产品通过CCC、节能认证</w:t>
            </w:r>
            <w:r>
              <w:rPr>
                <w:rFonts w:hint="eastAsia"/>
                <w:b/>
                <w:bCs/>
                <w:color w:val="auto"/>
                <w:highlight w:val="none"/>
                <w:lang w:val="en-US" w:eastAsia="zh-CN"/>
              </w:rPr>
              <w:t>证书复印件。</w:t>
            </w:r>
          </w:p>
        </w:tc>
      </w:tr>
      <w:tr w14:paraId="4E2961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2F28678F">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3</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151AEF06">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观众席右侧显示大屏</w:t>
            </w:r>
          </w:p>
        </w:tc>
        <w:tc>
          <w:tcPr>
            <w:tcW w:w="404" w:type="pct"/>
            <w:tcBorders>
              <w:top w:val="single" w:color="auto" w:sz="4" w:space="0"/>
              <w:left w:val="single" w:color="auto" w:sz="4" w:space="0"/>
              <w:bottom w:val="single" w:color="auto" w:sz="4" w:space="0"/>
              <w:right w:val="single" w:color="auto" w:sz="4" w:space="0"/>
            </w:tcBorders>
            <w:vAlign w:val="center"/>
          </w:tcPr>
          <w:p w14:paraId="0F8D156C">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4.608</w:t>
            </w:r>
          </w:p>
        </w:tc>
        <w:tc>
          <w:tcPr>
            <w:tcW w:w="359" w:type="pct"/>
            <w:tcBorders>
              <w:top w:val="single" w:color="auto" w:sz="4" w:space="0"/>
              <w:left w:val="single" w:color="auto" w:sz="4" w:space="0"/>
              <w:bottom w:val="single" w:color="auto" w:sz="4" w:space="0"/>
              <w:right w:val="single" w:color="auto" w:sz="4" w:space="0"/>
            </w:tcBorders>
            <w:vAlign w:val="center"/>
          </w:tcPr>
          <w:p w14:paraId="14E7E90A">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平方</w:t>
            </w:r>
          </w:p>
        </w:tc>
        <w:tc>
          <w:tcPr>
            <w:tcW w:w="3135" w:type="pct"/>
            <w:tcBorders>
              <w:top w:val="single" w:color="auto" w:sz="4" w:space="0"/>
              <w:left w:val="single" w:color="auto" w:sz="4" w:space="0"/>
              <w:bottom w:val="single" w:color="auto" w:sz="4" w:space="0"/>
              <w:right w:val="single" w:color="auto" w:sz="4" w:space="0"/>
            </w:tcBorders>
            <w:vAlign w:val="center"/>
          </w:tcPr>
          <w:p w14:paraId="0DD57F68">
            <w:pPr>
              <w:keepNext w:val="0"/>
              <w:keepLines w:val="0"/>
              <w:widowControl/>
              <w:suppressLineNumbers w:val="0"/>
              <w:snapToGrid w:val="0"/>
              <w:jc w:val="left"/>
              <w:textAlignment w:val="top"/>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1、全彩显示屏净尺寸：≥2880mm宽*1600mm高</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2、像素结构：1R1G1B 表贴三合一LED或采用全倒装芯片·COB·封装(集成三合一)技术</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3、整屏分辨率：≥</w:t>
            </w:r>
            <w:r>
              <w:rPr>
                <w:rFonts w:hint="eastAsia" w:ascii="宋体" w:hAnsi="宋体" w:cs="宋体"/>
                <w:i w:val="0"/>
                <w:iCs w:val="0"/>
                <w:color w:val="auto"/>
                <w:kern w:val="0"/>
                <w:sz w:val="21"/>
                <w:szCs w:val="21"/>
                <w:highlight w:val="none"/>
                <w:u w:val="none"/>
                <w:lang w:val="en-US" w:eastAsia="zh-CN"/>
              </w:rPr>
              <w:t>2K；</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4、像素点间距≤1.</w:t>
            </w:r>
            <w:r>
              <w:rPr>
                <w:rFonts w:hint="eastAsia" w:ascii="宋体" w:hAnsi="宋体" w:cs="宋体"/>
                <w:i w:val="0"/>
                <w:iCs w:val="0"/>
                <w:color w:val="auto"/>
                <w:kern w:val="0"/>
                <w:sz w:val="21"/>
                <w:szCs w:val="21"/>
                <w:highlight w:val="none"/>
                <w:u w:val="none"/>
                <w:lang w:val="en-US" w:eastAsia="zh-CN"/>
              </w:rPr>
              <w:t>56</w:t>
            </w:r>
            <w:r>
              <w:rPr>
                <w:rFonts w:hint="eastAsia" w:ascii="宋体" w:hAnsi="宋体" w:eastAsia="宋体" w:cs="宋体"/>
                <w:i w:val="0"/>
                <w:iCs w:val="0"/>
                <w:color w:val="auto"/>
                <w:kern w:val="0"/>
                <w:sz w:val="21"/>
                <w:szCs w:val="21"/>
                <w:highlight w:val="none"/>
                <w:u w:val="none"/>
                <w:lang w:val="en-US" w:eastAsia="zh-CN"/>
              </w:rPr>
              <w:t>mm</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5、单元厚度（含箱体）≤15mm，单元重量≤3KG</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w:t>
            </w:r>
            <w:r>
              <w:rPr>
                <w:rFonts w:hint="eastAsia" w:ascii="宋体" w:hAnsi="宋体"/>
                <w:color w:val="auto"/>
                <w:highlight w:val="none"/>
              </w:rPr>
              <w:t>安装方式：LED显示单元采用免</w:t>
            </w:r>
            <w:r>
              <w:rPr>
                <w:rFonts w:hint="eastAsia" w:ascii="宋体" w:hAnsi="宋体"/>
                <w:color w:val="auto"/>
                <w:highlight w:val="none"/>
                <w:lang w:val="en-US" w:eastAsia="zh-CN"/>
              </w:rPr>
              <w:t>结构</w:t>
            </w:r>
            <w:r>
              <w:rPr>
                <w:rFonts w:hint="eastAsia" w:ascii="宋体" w:hAnsi="宋体"/>
                <w:color w:val="auto"/>
                <w:highlight w:val="none"/>
              </w:rPr>
              <w:t>支架设计，支持墙体</w:t>
            </w:r>
            <w:r>
              <w:rPr>
                <w:rFonts w:hint="eastAsia" w:ascii="宋体" w:hAnsi="宋体"/>
                <w:color w:val="auto"/>
                <w:highlight w:val="none"/>
                <w:lang w:val="en-US" w:eastAsia="zh-CN"/>
              </w:rPr>
              <w:t>装饰面</w:t>
            </w:r>
            <w:r>
              <w:rPr>
                <w:rFonts w:hint="eastAsia" w:ascii="宋体" w:hAnsi="宋体"/>
                <w:color w:val="auto"/>
                <w:highlight w:val="none"/>
              </w:rPr>
              <w:t>贴装和落地安装、吊装</w:t>
            </w:r>
            <w:r>
              <w:rPr>
                <w:rFonts w:hint="eastAsia" w:ascii="宋体" w:hAnsi="宋体"/>
                <w:color w:val="auto"/>
                <w:highlight w:val="none"/>
                <w:lang w:val="en-US" w:eastAsia="zh-CN"/>
              </w:rPr>
              <w:t>等</w:t>
            </w:r>
            <w:r>
              <w:rPr>
                <w:rFonts w:hint="eastAsia" w:ascii="宋体" w:hAnsi="宋体"/>
                <w:color w:val="auto"/>
                <w:highlight w:val="none"/>
              </w:rPr>
              <w:t>安装方式</w:t>
            </w:r>
            <w:r>
              <w:rPr>
                <w:rFonts w:hint="eastAsia" w:ascii="宋体" w:hAnsi="宋体"/>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7、亮度范围：0-1</w:t>
            </w:r>
            <w:r>
              <w:rPr>
                <w:rFonts w:hint="eastAsia" w:ascii="宋体" w:hAnsi="宋体" w:cs="宋体"/>
                <w:i w:val="0"/>
                <w:iCs w:val="0"/>
                <w:color w:val="auto"/>
                <w:kern w:val="0"/>
                <w:sz w:val="21"/>
                <w:szCs w:val="21"/>
                <w:highlight w:val="none"/>
                <w:u w:val="none"/>
                <w:lang w:val="en-US" w:eastAsia="zh-CN"/>
              </w:rPr>
              <w:t>0</w:t>
            </w:r>
            <w:r>
              <w:rPr>
                <w:rFonts w:hint="eastAsia" w:ascii="宋体" w:hAnsi="宋体" w:eastAsia="宋体" w:cs="宋体"/>
                <w:i w:val="0"/>
                <w:iCs w:val="0"/>
                <w:color w:val="auto"/>
                <w:kern w:val="0"/>
                <w:sz w:val="21"/>
                <w:szCs w:val="21"/>
                <w:highlight w:val="none"/>
                <w:u w:val="none"/>
                <w:lang w:val="en-US" w:eastAsia="zh-CN"/>
              </w:rPr>
              <w:t>00cd/㎡无级调节（白平衡亮度≥</w:t>
            </w:r>
            <w:r>
              <w:rPr>
                <w:rFonts w:hint="eastAsia" w:ascii="宋体" w:hAnsi="宋体" w:cs="宋体"/>
                <w:i w:val="0"/>
                <w:iCs w:val="0"/>
                <w:color w:val="auto"/>
                <w:kern w:val="0"/>
                <w:sz w:val="21"/>
                <w:szCs w:val="21"/>
                <w:highlight w:val="none"/>
                <w:u w:val="none"/>
                <w:lang w:val="en-US" w:eastAsia="zh-CN"/>
              </w:rPr>
              <w:t>650</w:t>
            </w:r>
            <w:r>
              <w:rPr>
                <w:rFonts w:hint="eastAsia" w:ascii="宋体" w:hAnsi="宋体" w:eastAsia="宋体" w:cs="宋体"/>
                <w:i w:val="0"/>
                <w:iCs w:val="0"/>
                <w:color w:val="auto"/>
                <w:kern w:val="0"/>
                <w:sz w:val="21"/>
                <w:szCs w:val="21"/>
                <w:highlight w:val="none"/>
                <w:u w:val="none"/>
                <w:lang w:val="en-US" w:eastAsia="zh-CN"/>
              </w:rPr>
              <w:t>cd/㎡）</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8、刷新率/换帧频率：≥3840Hz/60Hz</w:t>
            </w:r>
            <w:r>
              <w:rPr>
                <w:rFonts w:hint="eastAsia" w:ascii="宋体" w:hAnsi="宋体" w:cs="宋体"/>
                <w:i w:val="0"/>
                <w:iCs w:val="0"/>
                <w:color w:val="auto"/>
                <w:kern w:val="0"/>
                <w:sz w:val="21"/>
                <w:szCs w:val="21"/>
                <w:highlight w:val="none"/>
                <w:u w:val="none"/>
                <w:lang w:val="en-US" w:eastAsia="zh-CN"/>
              </w:rPr>
              <w:t>，</w:t>
            </w:r>
            <w:r>
              <w:rPr>
                <w:rFonts w:hint="eastAsia" w:ascii="宋体" w:hAnsi="宋体"/>
                <w:color w:val="auto"/>
                <w:highlight w:val="none"/>
              </w:rPr>
              <w:t>LED显示屏静态对比度≥100000:1，动态对比度≥1000000:1</w:t>
            </w:r>
            <w:r>
              <w:rPr>
                <w:rFonts w:hint="eastAsia" w:ascii="宋体" w:hAnsi="宋体"/>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rPr>
              <w:t xml:space="preserve">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w:t>
            </w:r>
            <w:r>
              <w:rPr>
                <w:rFonts w:hint="eastAsia" w:ascii="宋体" w:hAnsi="宋体"/>
                <w:color w:val="auto"/>
                <w:highlight w:val="none"/>
              </w:rPr>
              <w:t>LED显示单元采用恒流低压降驱动技术和超低行扫阻抗设计，</w:t>
            </w:r>
            <w:r>
              <w:rPr>
                <w:rFonts w:hint="eastAsia" w:ascii="宋体" w:hAnsi="宋体"/>
                <w:color w:val="auto"/>
                <w:highlight w:val="none"/>
                <w:lang w:val="en-US" w:eastAsia="zh-CN"/>
              </w:rPr>
              <w:t>平均</w:t>
            </w:r>
            <w:r>
              <w:rPr>
                <w:rFonts w:hint="eastAsia" w:ascii="宋体" w:hAnsi="宋体"/>
                <w:color w:val="auto"/>
                <w:highlight w:val="none"/>
              </w:rPr>
              <w:t>功耗</w:t>
            </w:r>
            <w:r>
              <w:rPr>
                <w:rFonts w:hint="eastAsia" w:ascii="宋体" w:hAnsi="宋体"/>
                <w:color w:val="auto"/>
                <w:highlight w:val="none"/>
                <w:lang w:val="en-US" w:eastAsia="zh-CN"/>
              </w:rPr>
              <w:t>小于12</w:t>
            </w:r>
            <w:r>
              <w:rPr>
                <w:rFonts w:hint="eastAsia" w:ascii="宋体" w:hAnsi="宋体"/>
                <w:color w:val="auto"/>
                <w:highlight w:val="none"/>
              </w:rPr>
              <w:t>0W</w:t>
            </w:r>
            <w:r>
              <w:rPr>
                <w:rFonts w:hint="eastAsia" w:ascii="宋体" w:hAnsi="宋体"/>
                <w:color w:val="auto"/>
                <w:highlight w:val="none"/>
                <w:lang w:val="en-US" w:eastAsia="zh-CN"/>
              </w:rPr>
              <w:t>/</w:t>
            </w:r>
            <w:r>
              <w:rPr>
                <w:rFonts w:hint="eastAsia" w:ascii="宋体" w:hAnsi="宋体"/>
                <w:color w:val="auto"/>
                <w:highlight w:val="none"/>
              </w:rPr>
              <w:t>㎡</w:t>
            </w:r>
            <w:r>
              <w:rPr>
                <w:rFonts w:hint="eastAsia" w:ascii="宋体" w:hAnsi="宋体"/>
                <w:color w:val="auto"/>
                <w:highlight w:val="none"/>
              </w:rPr>
              <w:t>，实现</w:t>
            </w:r>
            <w:r>
              <w:rPr>
                <w:rFonts w:hint="eastAsia" w:ascii="宋体" w:hAnsi="宋体"/>
                <w:color w:val="auto"/>
                <w:highlight w:val="none"/>
                <w:lang w:val="en-US" w:eastAsia="zh-CN"/>
              </w:rPr>
              <w:t>用电安全与</w:t>
            </w:r>
            <w:r>
              <w:rPr>
                <w:rFonts w:hint="eastAsia" w:ascii="宋体" w:hAnsi="宋体"/>
                <w:color w:val="auto"/>
                <w:highlight w:val="none"/>
              </w:rPr>
              <w:t>节能</w:t>
            </w:r>
            <w:r>
              <w:rPr>
                <w:rFonts w:hint="eastAsia" w:ascii="宋体" w:hAnsi="宋体"/>
                <w:color w:val="auto"/>
                <w:highlight w:val="none"/>
                <w:lang w:val="en-US" w:eastAsia="zh-CN"/>
              </w:rPr>
              <w:t>环保；</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10、LED显示屏符合IEC TR 62778:2014《IEC 62471的应用：光源和灯具的蓝光危害评估》要求，通过蓝光认证标准测试</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11、LED显示屏需通过辐射危害的曝辐限制、眼睛的近紫外危害曝辐限制，符合肉眼观看标准，并符合GB/T 20145-2006 光生物安全性标准</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12、阻燃测试：符合GB/T5169.16-2017电工电子产品着火危险试验(PCB 满足V-0阻燃等级要求</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13、屏体可靠性：</w:t>
            </w:r>
            <w:r>
              <w:rPr>
                <w:rFonts w:hint="eastAsia" w:ascii="宋体" w:hAnsi="宋体"/>
                <w:color w:val="auto"/>
                <w:highlight w:val="none"/>
              </w:rPr>
              <w:t>L</w:t>
            </w:r>
            <w:r>
              <w:rPr>
                <w:rFonts w:ascii="宋体" w:hAnsi="宋体"/>
                <w:color w:val="auto"/>
                <w:highlight w:val="none"/>
              </w:rPr>
              <w:t>ED</w:t>
            </w:r>
            <w:r>
              <w:rPr>
                <w:rFonts w:hint="eastAsia" w:ascii="宋体" w:hAnsi="宋体"/>
                <w:color w:val="auto"/>
                <w:highlight w:val="none"/>
              </w:rPr>
              <w:t>显示屏的平均使用寿命≥</w:t>
            </w:r>
            <w:r>
              <w:rPr>
                <w:rFonts w:hint="eastAsia" w:ascii="宋体" w:hAnsi="宋体"/>
                <w:color w:val="auto"/>
                <w:highlight w:val="none"/>
                <w:lang w:val="en-US" w:eastAsia="zh-CN"/>
              </w:rPr>
              <w:t>18</w:t>
            </w:r>
            <w:r>
              <w:rPr>
                <w:rFonts w:ascii="宋体" w:hAnsi="宋体"/>
                <w:color w:val="auto"/>
                <w:highlight w:val="none"/>
              </w:rPr>
              <w:t>0000</w:t>
            </w:r>
            <w:r>
              <w:rPr>
                <w:rFonts w:hint="eastAsia" w:ascii="宋体" w:hAnsi="宋体"/>
                <w:color w:val="auto"/>
                <w:highlight w:val="none"/>
              </w:rPr>
              <w:t>小时，</w:t>
            </w:r>
            <w:r>
              <w:rPr>
                <w:rFonts w:ascii="宋体" w:hAnsi="宋体"/>
                <w:color w:val="auto"/>
                <w:highlight w:val="none"/>
              </w:rPr>
              <w:t>MTBF</w:t>
            </w:r>
            <w:r>
              <w:rPr>
                <w:rFonts w:hint="eastAsia" w:ascii="宋体" w:hAnsi="宋体"/>
                <w:color w:val="auto"/>
                <w:highlight w:val="none"/>
              </w:rPr>
              <w:t>≥</w:t>
            </w:r>
            <w:r>
              <w:rPr>
                <w:rFonts w:hint="eastAsia" w:ascii="宋体" w:hAnsi="宋体"/>
                <w:color w:val="auto"/>
                <w:highlight w:val="none"/>
                <w:lang w:val="en-US" w:eastAsia="zh-CN"/>
              </w:rPr>
              <w:t>18</w:t>
            </w:r>
            <w:r>
              <w:rPr>
                <w:rFonts w:ascii="宋体" w:hAnsi="宋体"/>
                <w:color w:val="auto"/>
                <w:highlight w:val="none"/>
              </w:rPr>
              <w:t>0000</w:t>
            </w:r>
            <w:r>
              <w:rPr>
                <w:rFonts w:hint="eastAsia" w:ascii="宋体" w:hAnsi="宋体"/>
                <w:color w:val="auto"/>
                <w:highlight w:val="none"/>
              </w:rPr>
              <w:t>小时，</w:t>
            </w:r>
            <w:r>
              <w:rPr>
                <w:rFonts w:ascii="宋体" w:hAnsi="宋体"/>
                <w:color w:val="auto"/>
                <w:highlight w:val="none"/>
              </w:rPr>
              <w:t>MTTR</w:t>
            </w:r>
            <w:r>
              <w:rPr>
                <w:rFonts w:hint="eastAsia" w:ascii="宋体" w:hAnsi="宋体"/>
                <w:color w:val="auto"/>
                <w:highlight w:val="none"/>
              </w:rPr>
              <w:t>≤</w:t>
            </w:r>
            <w:r>
              <w:rPr>
                <w:rFonts w:hint="eastAsia" w:ascii="宋体" w:hAnsi="宋体"/>
                <w:color w:val="auto"/>
                <w:highlight w:val="none"/>
                <w:lang w:val="en-US" w:eastAsia="zh-CN"/>
              </w:rPr>
              <w:t>2</w:t>
            </w:r>
            <w:r>
              <w:rPr>
                <w:rFonts w:hint="eastAsia" w:ascii="宋体" w:hAnsi="宋体"/>
                <w:color w:val="auto"/>
                <w:highlight w:val="none"/>
              </w:rPr>
              <w:t>分钟，可用度≥</w:t>
            </w:r>
            <w:r>
              <w:rPr>
                <w:rFonts w:ascii="宋体" w:hAnsi="宋体"/>
                <w:color w:val="auto"/>
                <w:highlight w:val="none"/>
              </w:rPr>
              <w:t>9</w:t>
            </w:r>
            <w:r>
              <w:rPr>
                <w:rFonts w:hint="eastAsia" w:ascii="宋体" w:hAnsi="宋体"/>
                <w:color w:val="auto"/>
                <w:highlight w:val="none"/>
                <w:lang w:val="en-US" w:eastAsia="zh-CN"/>
              </w:rPr>
              <w:t>8</w:t>
            </w:r>
            <w:r>
              <w:rPr>
                <w:rFonts w:hint="eastAsia" w:ascii="宋体" w:hAnsi="宋体"/>
                <w:color w:val="auto"/>
                <w:highlight w:val="none"/>
              </w:rPr>
              <w:t>%</w:t>
            </w:r>
            <w:r>
              <w:rPr>
                <w:rFonts w:hint="eastAsia" w:ascii="宋体" w:hAnsi="宋体"/>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14、盐雾腐蚀：经过35℃连续喷雾48h试验，符合GB/T 2423.17-2008盐雾10级要求</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15、显示单元内无220V开关电源，实现强电隔离，屏体内采用24V直流低电压设计，</w:t>
            </w:r>
            <w:r>
              <w:rPr>
                <w:rFonts w:hint="eastAsia" w:ascii="宋体" w:hAnsi="宋体"/>
                <w:color w:val="auto"/>
                <w:highlight w:val="none"/>
                <w:lang w:val="en-US" w:eastAsia="zh-CN"/>
              </w:rPr>
              <w:t>屏体采用单模单芯光纤通讯接口；</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16、LED显示屏支持任意倍频技术，可调节控制倍频契合摄像器材工作频率，有效消除拍摄的描线。LED接收卡支持向导调屏、智能串线，支持拍照自动完成连接设置，实现傻瓜式调屏</w:t>
            </w:r>
            <w:r>
              <w:rPr>
                <w:rFonts w:hint="eastAsia" w:ascii="宋体" w:hAnsi="宋体" w:cs="宋体"/>
                <w:i w:val="0"/>
                <w:iCs w:val="0"/>
                <w:color w:val="auto"/>
                <w:kern w:val="0"/>
                <w:sz w:val="21"/>
                <w:szCs w:val="21"/>
                <w:highlight w:val="none"/>
                <w:u w:val="none"/>
                <w:lang w:val="en-US" w:eastAsia="zh-CN"/>
              </w:rPr>
              <w:t>。</w:t>
            </w:r>
          </w:p>
        </w:tc>
      </w:tr>
      <w:tr w14:paraId="21F9FE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5E19A942">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4</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59C4B28C">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后舞台</w:t>
            </w:r>
          </w:p>
          <w:p w14:paraId="3C31309F">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背景大屏</w:t>
            </w:r>
          </w:p>
        </w:tc>
        <w:tc>
          <w:tcPr>
            <w:tcW w:w="404" w:type="pct"/>
            <w:tcBorders>
              <w:top w:val="single" w:color="auto" w:sz="4" w:space="0"/>
              <w:left w:val="single" w:color="auto" w:sz="4" w:space="0"/>
              <w:bottom w:val="single" w:color="auto" w:sz="4" w:space="0"/>
              <w:right w:val="single" w:color="auto" w:sz="4" w:space="0"/>
            </w:tcBorders>
            <w:vAlign w:val="center"/>
          </w:tcPr>
          <w:p w14:paraId="4BF20E8F">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52.2</w:t>
            </w:r>
          </w:p>
        </w:tc>
        <w:tc>
          <w:tcPr>
            <w:tcW w:w="359" w:type="pct"/>
            <w:tcBorders>
              <w:top w:val="single" w:color="auto" w:sz="4" w:space="0"/>
              <w:left w:val="single" w:color="auto" w:sz="4" w:space="0"/>
              <w:bottom w:val="single" w:color="auto" w:sz="4" w:space="0"/>
              <w:right w:val="single" w:color="auto" w:sz="4" w:space="0"/>
            </w:tcBorders>
            <w:vAlign w:val="center"/>
          </w:tcPr>
          <w:p w14:paraId="52FEE192">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平方</w:t>
            </w:r>
          </w:p>
        </w:tc>
        <w:tc>
          <w:tcPr>
            <w:tcW w:w="3135" w:type="pct"/>
            <w:tcBorders>
              <w:top w:val="single" w:color="auto" w:sz="4" w:space="0"/>
              <w:left w:val="single" w:color="auto" w:sz="4" w:space="0"/>
              <w:bottom w:val="single" w:color="auto" w:sz="4" w:space="0"/>
              <w:right w:val="single" w:color="auto" w:sz="4" w:space="0"/>
            </w:tcBorders>
            <w:vAlign w:val="center"/>
          </w:tcPr>
          <w:p w14:paraId="503C9D76">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1、全彩显示屏净尺寸：≥9600mm宽*5280mm高</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2、像素结构：1R1G1B 表贴三合一LED</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3、整屏分辨率：≥4K</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4、像素点间距≤2.5mm</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5、像素点组成：1R1G1B</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6、支持前后安装箱体结构，包含电源模块及接收模块</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7、亮度范围：0-1800cd/㎡无级调节（白平衡亮度≥1000cd/㎡）</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8、刷新率/换帧频率：≥3840Hz/60Hz</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 xml:space="preserve">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9、静态对比度：≥15000:1，动态对比度：≥10000000:1</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10、LED显示屏符合IEC TR 62778:2014《IEC 62471的应用：光源和灯具的蓝光危害评估》要求，通过蓝光认证标准测试</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11、LED显示屏需通过辐射危害的曝辐限制、眼睛的近紫外危害曝辐限制，符合肉眼观看标准，并符合GB/T 20145-2006 光生物安全性标准</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12、阻燃测试：符合GB/T5169.16-2017电工电子产品着火危险试验(PCB 满足V-0阻燃等级要求</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13、屏体可靠性：符合GB/T2423.9-2001国家标准，裸机在50℃、湿度90%环境内连续工作≥200个小时无故障</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14、盐雾腐蚀：经过35℃连续喷雾48h试验，符合GB/T 2423.17-2008盐雾10级要求</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15、LED显示屏的回扫线或频闪现象、图像均匀性、大面积色彩还原、灰度表现力(伪轮廓现象)、运动图像清晰度、静态图像清晰度符合SJ/T 11590-2016 LED显示屏图像质量检测标准</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16、LED显示屏支持任意倍频技术，可调节控制倍频契合摄像器材工作频率，有效消除拍摄的描线。LED接收卡支持向导调屏、智能串线，支持拍照自动完成连接设置，实现傻瓜式调屏</w:t>
            </w:r>
            <w:r>
              <w:rPr>
                <w:rFonts w:hint="eastAsia" w:ascii="宋体" w:hAnsi="宋体" w:cs="宋体"/>
                <w:i w:val="0"/>
                <w:iCs w:val="0"/>
                <w:color w:val="auto"/>
                <w:kern w:val="0"/>
                <w:sz w:val="21"/>
                <w:szCs w:val="21"/>
                <w:highlight w:val="none"/>
                <w:u w:val="none"/>
                <w:lang w:val="en-US" w:eastAsia="zh-CN"/>
              </w:rPr>
              <w:t>。</w:t>
            </w:r>
          </w:p>
        </w:tc>
      </w:tr>
      <w:tr w14:paraId="2F2C2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50FE0DC7">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5</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1E0B1E23">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4K发送卡</w:t>
            </w:r>
          </w:p>
        </w:tc>
        <w:tc>
          <w:tcPr>
            <w:tcW w:w="404" w:type="pct"/>
            <w:tcBorders>
              <w:top w:val="single" w:color="auto" w:sz="4" w:space="0"/>
              <w:left w:val="single" w:color="auto" w:sz="4" w:space="0"/>
              <w:bottom w:val="single" w:color="auto" w:sz="4" w:space="0"/>
              <w:right w:val="single" w:color="auto" w:sz="4" w:space="0"/>
            </w:tcBorders>
            <w:vAlign w:val="center"/>
          </w:tcPr>
          <w:p w14:paraId="1F066B4A">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6</w:t>
            </w:r>
          </w:p>
        </w:tc>
        <w:tc>
          <w:tcPr>
            <w:tcW w:w="359" w:type="pct"/>
            <w:tcBorders>
              <w:top w:val="single" w:color="auto" w:sz="4" w:space="0"/>
              <w:left w:val="single" w:color="auto" w:sz="4" w:space="0"/>
              <w:bottom w:val="single" w:color="auto" w:sz="4" w:space="0"/>
              <w:right w:val="single" w:color="auto" w:sz="4" w:space="0"/>
            </w:tcBorders>
            <w:vAlign w:val="center"/>
          </w:tcPr>
          <w:p w14:paraId="164EA0A4">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3FEFBCCF">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1、单台设备最大带载为4096 X 2160@ 60Hz，可自定义分辨率</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2、支持发送卡模式和光电转换模式互相切换</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3、支持3D功能，配合3D发射器EMT200和3D眼镜，实现3D显示效果</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4、输入接口包括DP1.2，4路DVI接口（2个双链DVI，4个单链DVI）</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5、支持16路千兆网口输出和4路10G光纤输出，2主2备</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6、支持视频源位深 8bit\10bit\12bit</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7、支持超大分辨率设置，最高支持7680x1080@60Hz</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8、支持光电转换模式切换，可以远距离接收传输的光纤信号</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9、支持新一代逐点亮色度校正技术，校正过程快速高效</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10、可级联多台进行统一控制</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11、支持中控对接，可平板控制实现一键3D\2D画面</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12、根据显示屏所用LED的不同特性，实现白平衡校准及色域匹配，确保色彩真实还原</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13、支持液晶配屏，无需电脑，随时配屏</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14、采用G4引擎，画面稳定无闪烁、无扫描线、图像细腻、层次感好</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15、采用创新型架构，实现智能配置，极大缩短舞台准备时间</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cs="宋体"/>
                <w:i w:val="0"/>
                <w:iCs w:val="0"/>
                <w:color w:val="auto"/>
                <w:kern w:val="0"/>
                <w:sz w:val="21"/>
                <w:szCs w:val="21"/>
                <w:highlight w:val="none"/>
                <w:u w:val="none"/>
                <w:lang w:val="en-US" w:eastAsia="zh-CN"/>
              </w:rPr>
              <w:t>16</w:t>
            </w:r>
            <w:r>
              <w:rPr>
                <w:rFonts w:hint="eastAsia" w:ascii="宋体" w:hAnsi="宋体" w:eastAsia="宋体" w:cs="宋体"/>
                <w:i w:val="0"/>
                <w:iCs w:val="0"/>
                <w:color w:val="auto"/>
                <w:kern w:val="0"/>
                <w:sz w:val="21"/>
                <w:szCs w:val="21"/>
                <w:highlight w:val="none"/>
                <w:u w:val="none"/>
                <w:lang w:val="en-US" w:eastAsia="zh-CN"/>
              </w:rPr>
              <w:t>、自动备份功能--让系统不担心信号中断问题，现场使用更稳定</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w:t>
            </w:r>
            <w:r>
              <w:rPr>
                <w:rFonts w:hint="eastAsia" w:ascii="宋体" w:hAnsi="宋体" w:cs="宋体"/>
                <w:i w:val="0"/>
                <w:iCs w:val="0"/>
                <w:color w:val="auto"/>
                <w:kern w:val="0"/>
                <w:sz w:val="21"/>
                <w:szCs w:val="21"/>
                <w:highlight w:val="none"/>
                <w:u w:val="none"/>
                <w:lang w:val="en-US" w:eastAsia="zh-CN"/>
              </w:rPr>
              <w:t>7</w:t>
            </w:r>
            <w:r>
              <w:rPr>
                <w:rFonts w:hint="eastAsia" w:ascii="宋体" w:hAnsi="宋体" w:eastAsia="宋体" w:cs="宋体"/>
                <w:i w:val="0"/>
                <w:iCs w:val="0"/>
                <w:color w:val="auto"/>
                <w:kern w:val="0"/>
                <w:sz w:val="21"/>
                <w:szCs w:val="21"/>
                <w:highlight w:val="none"/>
                <w:u w:val="none"/>
                <w:lang w:val="en-US" w:eastAsia="zh-CN"/>
              </w:rPr>
              <w:t>、独有的同步处理技术，可以解决显示屏因拼接带载而带来的撕裂问题</w:t>
            </w:r>
            <w:r>
              <w:rPr>
                <w:rFonts w:hint="eastAsia" w:ascii="宋体" w:hAnsi="宋体" w:cs="宋体"/>
                <w:i w:val="0"/>
                <w:iCs w:val="0"/>
                <w:color w:val="auto"/>
                <w:kern w:val="0"/>
                <w:sz w:val="21"/>
                <w:szCs w:val="21"/>
                <w:highlight w:val="none"/>
                <w:u w:val="none"/>
                <w:lang w:val="en-US" w:eastAsia="zh-CN"/>
              </w:rPr>
              <w:t>。</w:t>
            </w:r>
          </w:p>
        </w:tc>
      </w:tr>
      <w:tr w14:paraId="4563E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71617F88">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6</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0CC9380D">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大屏管理</w:t>
            </w:r>
          </w:p>
          <w:p w14:paraId="2B81AECD">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软件</w:t>
            </w:r>
          </w:p>
        </w:tc>
        <w:tc>
          <w:tcPr>
            <w:tcW w:w="404" w:type="pct"/>
            <w:tcBorders>
              <w:top w:val="single" w:color="auto" w:sz="4" w:space="0"/>
              <w:left w:val="single" w:color="auto" w:sz="4" w:space="0"/>
              <w:bottom w:val="single" w:color="auto" w:sz="4" w:space="0"/>
              <w:right w:val="single" w:color="auto" w:sz="4" w:space="0"/>
            </w:tcBorders>
            <w:vAlign w:val="center"/>
          </w:tcPr>
          <w:p w14:paraId="65E829B8">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359" w:type="pct"/>
            <w:tcBorders>
              <w:top w:val="single" w:color="auto" w:sz="4" w:space="0"/>
              <w:left w:val="single" w:color="auto" w:sz="4" w:space="0"/>
              <w:bottom w:val="single" w:color="auto" w:sz="4" w:space="0"/>
              <w:right w:val="single" w:color="auto" w:sz="4" w:space="0"/>
            </w:tcBorders>
            <w:vAlign w:val="center"/>
          </w:tcPr>
          <w:p w14:paraId="38CB6A81">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1A64558B">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1、大屏控制软件提供中文操作、控制和维护界面</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2、大屏控制软件要支持选配PPT嵌入控制功能，可以完成PPT的在线实时翻页，并且必须保留PPT所有的翻页特效</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3、大屏控制软件可实现大屏幕开关机控制</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大屏控制软件负责控制大屏幕的图像拼接、色彩和显示效果的调整，对需要显示的信号和图像进行预案处理等。实现通过软件控制方式实现输入信号的灵活显示控制，满足视频会议等应用系统相应信号上墙显示需要</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大屏控制软件具备一个简单、易用、简洁的全中文操作界面，所有操作通过大屏控制软件的图形界面即可进行统一控制，不需要频繁的切换不同控制软件界面。用户只需通过鼠标和键盘简单的点击步骤，就可对大屏系统的多种设备进行同步控制操作，灵活实现各类图像的显示控制</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大屏控制软件可以安装在用户PC机（工作站）上，并与用户系统兼容，不会影响用户原来各种应用系统的运行。网络上的工作站安装控制软件后，即可一台控制终端，随时管理控制大屏幕系统；软件支持C/S或B/S架构</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大屏控制软件具备强大全面的功能前提下，操作方式实用简捷，方便易学，使用户轻松掌握大屏系统的日常操作。用户只需通过鼠标和键盘简单的点击步骤，就可对大屏系统的多种设备进行同步控制操作，灵活实现各类图像的显示控制</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8、大屏控制软件支持应用模板，可直接载用，也可以自定义模板，模板中可灵活设置窗口数量，坐标，数量，页面支持一个或多个窗口同时显示，支持100个以上模式设置</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9、大屏控制软件能够做到对整个大屏幕系统显示的亮度和色彩一致性进行智能化调整</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10、大屏控制软件提供多用户的认证和授权机制，管理员可对各操作员授予各种操作功能的权限，也可以根据大屏幕不同区域设定各操作员的可操作区域</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rPr>
              <w:t>11、大屏控制软件提供模式和预案的管理。操作员可对各种信号窗口的显示方式和布局保存成模式，或者根据时序定制为预案，并可通过快捷键对模式和预案进行快速调用，实现自动化控制管理功能</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rPr>
              <w:t>12、为保证数据信息安全，依据GB/T 25000.51-2016《系统与软件工程系统与软件质量要求和评价(SQuaRE)第51部分：就绪可用软件产品(RUSP)的质量要求和测试细则》，对系统进行Web漏洞扫描测试，以验证系统符合安全需求定义和质量标准。大屏控制软件安全漏洞扫描应未发现风险等级为中级以上(含中级)的安全风险问题，符合安全需求的定义和质量标准</w:t>
            </w:r>
            <w:r>
              <w:rPr>
                <w:rFonts w:hint="eastAsia"/>
                <w:b w:val="0"/>
                <w:bCs/>
                <w:color w:val="auto"/>
                <w:highlight w:val="none"/>
              </w:rPr>
              <w:t>（</w:t>
            </w:r>
            <w:r>
              <w:rPr>
                <w:rFonts w:hint="eastAsia"/>
                <w:b/>
                <w:bCs w:val="0"/>
                <w:color w:val="auto"/>
                <w:highlight w:val="none"/>
              </w:rPr>
              <w:t>投标时</w:t>
            </w:r>
            <w:r>
              <w:rPr>
                <w:rFonts w:hint="eastAsia"/>
                <w:b/>
                <w:bCs w:val="0"/>
                <w:color w:val="auto"/>
                <w:highlight w:val="none"/>
                <w:lang w:val="en-US" w:eastAsia="zh-CN"/>
              </w:rPr>
              <w:t>须</w:t>
            </w:r>
            <w:r>
              <w:rPr>
                <w:rFonts w:hint="eastAsia"/>
                <w:b/>
                <w:bCs w:val="0"/>
                <w:color w:val="auto"/>
                <w:highlight w:val="none"/>
              </w:rPr>
              <w:t>提供</w:t>
            </w:r>
            <w:r>
              <w:rPr>
                <w:rFonts w:hint="eastAsia"/>
                <w:b/>
                <w:bCs w:val="0"/>
                <w:color w:val="auto"/>
                <w:highlight w:val="none"/>
                <w:lang w:val="en-US" w:eastAsia="zh-CN"/>
              </w:rPr>
              <w:t>满足</w:t>
            </w:r>
            <w:r>
              <w:rPr>
                <w:rFonts w:hint="eastAsia"/>
                <w:b/>
                <w:bCs w:val="0"/>
                <w:color w:val="auto"/>
                <w:highlight w:val="none"/>
              </w:rPr>
              <w:t>本款功能参数的第三方有资质的检测机构出具的</w:t>
            </w:r>
            <w:r>
              <w:rPr>
                <w:rFonts w:hint="eastAsia"/>
                <w:b/>
                <w:bCs w:val="0"/>
                <w:color w:val="auto"/>
                <w:highlight w:val="none"/>
                <w:lang w:eastAsia="zh-CN"/>
              </w:rPr>
              <w:t>带有CMA</w:t>
            </w:r>
            <w:r>
              <w:rPr>
                <w:rFonts w:hint="eastAsia"/>
                <w:b/>
                <w:bCs w:val="0"/>
                <w:color w:val="auto"/>
                <w:highlight w:val="none"/>
                <w:lang w:val="en-US" w:eastAsia="zh-CN"/>
              </w:rPr>
              <w:t>或CNAS</w:t>
            </w:r>
            <w:r>
              <w:rPr>
                <w:rFonts w:hint="eastAsia"/>
                <w:b/>
                <w:bCs w:val="0"/>
                <w:color w:val="auto"/>
                <w:highlight w:val="none"/>
                <w:lang w:eastAsia="zh-CN"/>
              </w:rPr>
              <w:t>标识的</w:t>
            </w:r>
            <w:r>
              <w:rPr>
                <w:rFonts w:hint="eastAsia"/>
                <w:b/>
                <w:bCs w:val="0"/>
                <w:color w:val="auto"/>
                <w:highlight w:val="none"/>
              </w:rPr>
              <w:t>检测报告复印件</w:t>
            </w:r>
            <w:r>
              <w:rPr>
                <w:rFonts w:hint="eastAsia"/>
                <w:b w:val="0"/>
                <w:bCs/>
                <w:color w:val="auto"/>
                <w:highlight w:val="none"/>
              </w:rPr>
              <w:t>）</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rPr>
              <w:t>13、大屏控制软件可运行于</w:t>
            </w:r>
            <w:r>
              <w:rPr>
                <w:rFonts w:hint="eastAsia" w:ascii="宋体" w:hAnsi="宋体" w:eastAsia="宋体" w:cs="宋体"/>
                <w:i w:val="0"/>
                <w:iCs w:val="0"/>
                <w:color w:val="auto"/>
                <w:kern w:val="0"/>
                <w:sz w:val="21"/>
                <w:szCs w:val="21"/>
                <w:highlight w:val="none"/>
                <w:u w:val="none"/>
                <w:lang w:val="en-US" w:eastAsia="zh-CN"/>
              </w:rPr>
              <w:t>Windows、中标麒麟、iOS、Android、Linux和Unix</w:t>
            </w:r>
            <w:r>
              <w:rPr>
                <w:rFonts w:hint="eastAsia" w:ascii="宋体" w:hAnsi="宋体" w:cs="宋体"/>
                <w:i w:val="0"/>
                <w:iCs w:val="0"/>
                <w:color w:val="auto"/>
                <w:kern w:val="0"/>
                <w:sz w:val="21"/>
                <w:szCs w:val="21"/>
                <w:highlight w:val="none"/>
                <w:u w:val="none"/>
                <w:lang w:val="en-US" w:eastAsia="zh-CN"/>
              </w:rPr>
              <w:t>等</w:t>
            </w:r>
            <w:r>
              <w:rPr>
                <w:rFonts w:hint="eastAsia" w:ascii="宋体" w:hAnsi="宋体" w:eastAsia="宋体" w:cs="宋体"/>
                <w:i w:val="0"/>
                <w:iCs w:val="0"/>
                <w:color w:val="auto"/>
                <w:kern w:val="0"/>
                <w:sz w:val="21"/>
                <w:szCs w:val="21"/>
                <w:highlight w:val="none"/>
                <w:u w:val="none"/>
                <w:lang w:val="en-US" w:eastAsia="zh-CN"/>
              </w:rPr>
              <w:t>平台上</w:t>
            </w:r>
            <w:r>
              <w:rPr>
                <w:rFonts w:hint="eastAsia" w:ascii="宋体" w:hAnsi="宋体" w:cs="宋体"/>
                <w:i w:val="0"/>
                <w:iCs w:val="0"/>
                <w:color w:val="auto"/>
                <w:kern w:val="0"/>
                <w:sz w:val="21"/>
                <w:szCs w:val="21"/>
                <w:highlight w:val="none"/>
                <w:u w:val="none"/>
                <w:lang w:val="en-US" w:eastAsia="zh-CN"/>
              </w:rPr>
              <w:t>。</w:t>
            </w:r>
          </w:p>
        </w:tc>
      </w:tr>
      <w:tr w14:paraId="2D0B8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53BEC5FA">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7</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0D084BC9">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背景大屏</w:t>
            </w:r>
          </w:p>
          <w:p w14:paraId="42C3041B">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除湿降温</w:t>
            </w:r>
          </w:p>
          <w:p w14:paraId="3B383302">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主机</w:t>
            </w:r>
          </w:p>
        </w:tc>
        <w:tc>
          <w:tcPr>
            <w:tcW w:w="404" w:type="pct"/>
            <w:tcBorders>
              <w:top w:val="single" w:color="auto" w:sz="4" w:space="0"/>
              <w:left w:val="single" w:color="auto" w:sz="4" w:space="0"/>
              <w:bottom w:val="single" w:color="auto" w:sz="4" w:space="0"/>
              <w:right w:val="single" w:color="auto" w:sz="4" w:space="0"/>
            </w:tcBorders>
            <w:vAlign w:val="center"/>
          </w:tcPr>
          <w:p w14:paraId="7FA5763B">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4</w:t>
            </w:r>
          </w:p>
        </w:tc>
        <w:tc>
          <w:tcPr>
            <w:tcW w:w="359" w:type="pct"/>
            <w:tcBorders>
              <w:top w:val="single" w:color="auto" w:sz="4" w:space="0"/>
              <w:left w:val="single" w:color="auto" w:sz="4" w:space="0"/>
              <w:bottom w:val="single" w:color="auto" w:sz="4" w:space="0"/>
              <w:right w:val="single" w:color="auto" w:sz="4" w:space="0"/>
            </w:tcBorders>
            <w:vAlign w:val="center"/>
          </w:tcPr>
          <w:p w14:paraId="77E997EA">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493A2E25">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rPr>
              <w:t>1、本系统用于显示终端模组框架内环境智控自控</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2、系统安装方式可采用天花吊顶安装，壁挂式安装</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3、整体式降噪设计，有效降低机组的噪音，内壁均采用吸音保温材料</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4、机组采用模块化设计，以模块为基本单元，根据环境的温度和湿度要求调节运行工况</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5、采用全封闭低噪离心电机，循环风量220m3/h，除湿量26L/D全电脑分档调节温度、湿度控制</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rPr>
              <w:t>6、三种控制模式，APP手机控制、智能控制面板、红外遥控，且自带RS485通讯接口，系统需接入环控系统控制及监测</w:t>
            </w:r>
            <w:r>
              <w:rPr>
                <w:rFonts w:hint="eastAsia" w:ascii="宋体" w:hAnsi="宋体" w:cs="宋体"/>
                <w:b/>
                <w:bCs/>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7、过滤效率G4,可加设活性炭过滤器及紫外杀菌灯或负离子空气净化器</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8、LCD蓝屏液晶全数字显示，实时数据监测</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9、全自动除霜装置，配置内部微蒸发及管路外排装置</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10、电源220v~50HZ~1P断电恢复记忆功能</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11、可定时开机关机设定</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12、压缩机过载、高温、高低压保护装置</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13、电路保护系统、故障代码显示</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14、内置高精度温度、湿度感应1%精确调节控制系统</w:t>
            </w:r>
            <w:r>
              <w:rPr>
                <w:rFonts w:hint="eastAsia" w:ascii="宋体" w:hAnsi="宋体" w:cs="宋体"/>
                <w:i w:val="0"/>
                <w:iCs w:val="0"/>
                <w:color w:val="auto"/>
                <w:kern w:val="0"/>
                <w:sz w:val="21"/>
                <w:szCs w:val="21"/>
                <w:highlight w:val="none"/>
                <w:u w:val="none"/>
                <w:lang w:val="en-US" w:eastAsia="zh-CN"/>
              </w:rPr>
              <w:t>。</w:t>
            </w:r>
          </w:p>
        </w:tc>
      </w:tr>
      <w:tr w14:paraId="5694E9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1CF11A5B">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8</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06C56BE2">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管路系统</w:t>
            </w:r>
          </w:p>
        </w:tc>
        <w:tc>
          <w:tcPr>
            <w:tcW w:w="404" w:type="pct"/>
            <w:tcBorders>
              <w:top w:val="single" w:color="auto" w:sz="4" w:space="0"/>
              <w:left w:val="single" w:color="auto" w:sz="4" w:space="0"/>
              <w:bottom w:val="single" w:color="auto" w:sz="4" w:space="0"/>
              <w:right w:val="single" w:color="auto" w:sz="4" w:space="0"/>
            </w:tcBorders>
            <w:vAlign w:val="center"/>
          </w:tcPr>
          <w:p w14:paraId="73C1A61D">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4</w:t>
            </w:r>
          </w:p>
        </w:tc>
        <w:tc>
          <w:tcPr>
            <w:tcW w:w="359" w:type="pct"/>
            <w:tcBorders>
              <w:top w:val="single" w:color="auto" w:sz="4" w:space="0"/>
              <w:left w:val="single" w:color="auto" w:sz="4" w:space="0"/>
              <w:bottom w:val="single" w:color="auto" w:sz="4" w:space="0"/>
              <w:right w:val="single" w:color="auto" w:sz="4" w:space="0"/>
            </w:tcBorders>
            <w:vAlign w:val="center"/>
          </w:tcPr>
          <w:p w14:paraId="1F352691">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279D27CC">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rPr>
              <w:t>1、根据现场施工环境，确定管路排列路线</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2、结构内部采用下送上排方式，布置端点不少于4组，覆盖面积需满足50M²工况需求</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3、管路接头处采用一体成型分路卡口，带自旋紧固装置</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rPr>
              <w:t>4、管路末端需配置数据传感器采集实时信息</w:t>
            </w:r>
            <w:r>
              <w:rPr>
                <w:rFonts w:hint="eastAsia" w:ascii="宋体" w:hAnsi="宋体" w:cs="宋体"/>
                <w:b/>
                <w:bCs/>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5、配置防虫防鼠安全阻拦网，及可拆卸更换模块</w:t>
            </w:r>
            <w:r>
              <w:rPr>
                <w:rFonts w:hint="eastAsia" w:ascii="宋体" w:hAnsi="宋体" w:cs="宋体"/>
                <w:i w:val="0"/>
                <w:iCs w:val="0"/>
                <w:color w:val="auto"/>
                <w:kern w:val="0"/>
                <w:sz w:val="21"/>
                <w:szCs w:val="21"/>
                <w:highlight w:val="none"/>
                <w:u w:val="none"/>
                <w:lang w:val="en-US" w:eastAsia="zh-CN"/>
              </w:rPr>
              <w:t>。</w:t>
            </w:r>
          </w:p>
        </w:tc>
      </w:tr>
      <w:tr w14:paraId="659E2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6F956C53">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9</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01E9761B">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主舞台大屏安装钢结构</w:t>
            </w:r>
          </w:p>
        </w:tc>
        <w:tc>
          <w:tcPr>
            <w:tcW w:w="404" w:type="pct"/>
            <w:tcBorders>
              <w:top w:val="single" w:color="auto" w:sz="4" w:space="0"/>
              <w:left w:val="single" w:color="auto" w:sz="4" w:space="0"/>
              <w:bottom w:val="single" w:color="auto" w:sz="4" w:space="0"/>
              <w:right w:val="single" w:color="auto" w:sz="4" w:space="0"/>
            </w:tcBorders>
            <w:vAlign w:val="center"/>
          </w:tcPr>
          <w:p w14:paraId="5B824693">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126</w:t>
            </w:r>
          </w:p>
        </w:tc>
        <w:tc>
          <w:tcPr>
            <w:tcW w:w="359" w:type="pct"/>
            <w:tcBorders>
              <w:top w:val="single" w:color="auto" w:sz="4" w:space="0"/>
              <w:left w:val="single" w:color="auto" w:sz="4" w:space="0"/>
              <w:bottom w:val="single" w:color="auto" w:sz="4" w:space="0"/>
              <w:right w:val="single" w:color="auto" w:sz="4" w:space="0"/>
            </w:tcBorders>
            <w:vAlign w:val="center"/>
          </w:tcPr>
          <w:p w14:paraId="30D84B43">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平方</w:t>
            </w:r>
          </w:p>
        </w:tc>
        <w:tc>
          <w:tcPr>
            <w:tcW w:w="3135" w:type="pct"/>
            <w:tcBorders>
              <w:top w:val="single" w:color="auto" w:sz="4" w:space="0"/>
              <w:left w:val="single" w:color="auto" w:sz="4" w:space="0"/>
              <w:bottom w:val="single" w:color="auto" w:sz="4" w:space="0"/>
              <w:right w:val="single" w:color="auto" w:sz="4" w:space="0"/>
            </w:tcBorders>
            <w:vAlign w:val="center"/>
          </w:tcPr>
          <w:p w14:paraId="77BE5C5B">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1、安装结构尺寸根据舞台机械安装结构现场定制</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2、构架材质：铝材，钢材</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 表面处理：三遍防锈底漆、2遍防火面漆处理</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4、安装高度≥9000mm</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 xml:space="preserve">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5、装饰包边：铝合金、实木材质包边</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6、散热系统：自动温控对流散热系统</w:t>
            </w:r>
            <w:r>
              <w:rPr>
                <w:rFonts w:hint="eastAsia" w:ascii="宋体" w:hAnsi="宋体" w:cs="宋体"/>
                <w:i w:val="0"/>
                <w:iCs w:val="0"/>
                <w:color w:val="auto"/>
                <w:kern w:val="0"/>
                <w:sz w:val="21"/>
                <w:szCs w:val="21"/>
                <w:highlight w:val="none"/>
                <w:u w:val="none"/>
                <w:lang w:val="en-US" w:eastAsia="zh-CN"/>
              </w:rPr>
              <w:t>。</w:t>
            </w:r>
          </w:p>
        </w:tc>
      </w:tr>
      <w:tr w14:paraId="17B0C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2AFABA60">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10</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16A0DBF2">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观众席大屏安装钢结构</w:t>
            </w:r>
          </w:p>
        </w:tc>
        <w:tc>
          <w:tcPr>
            <w:tcW w:w="404" w:type="pct"/>
            <w:tcBorders>
              <w:top w:val="single" w:color="auto" w:sz="4" w:space="0"/>
              <w:left w:val="single" w:color="auto" w:sz="4" w:space="0"/>
              <w:bottom w:val="single" w:color="auto" w:sz="4" w:space="0"/>
              <w:right w:val="single" w:color="auto" w:sz="4" w:space="0"/>
            </w:tcBorders>
            <w:vAlign w:val="center"/>
          </w:tcPr>
          <w:p w14:paraId="78424BC7">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12</w:t>
            </w:r>
          </w:p>
        </w:tc>
        <w:tc>
          <w:tcPr>
            <w:tcW w:w="359" w:type="pct"/>
            <w:tcBorders>
              <w:top w:val="single" w:color="auto" w:sz="4" w:space="0"/>
              <w:left w:val="single" w:color="auto" w:sz="4" w:space="0"/>
              <w:bottom w:val="single" w:color="auto" w:sz="4" w:space="0"/>
              <w:right w:val="single" w:color="auto" w:sz="4" w:space="0"/>
            </w:tcBorders>
            <w:vAlign w:val="center"/>
          </w:tcPr>
          <w:p w14:paraId="1985470C">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平方</w:t>
            </w:r>
          </w:p>
        </w:tc>
        <w:tc>
          <w:tcPr>
            <w:tcW w:w="3135" w:type="pct"/>
            <w:tcBorders>
              <w:top w:val="single" w:color="auto" w:sz="4" w:space="0"/>
              <w:left w:val="single" w:color="auto" w:sz="4" w:space="0"/>
              <w:bottom w:val="single" w:color="auto" w:sz="4" w:space="0"/>
              <w:right w:val="single" w:color="auto" w:sz="4" w:space="0"/>
            </w:tcBorders>
            <w:vAlign w:val="center"/>
          </w:tcPr>
          <w:p w14:paraId="38AC4D43">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1、安装结构尺寸根据舞台机械安装结构现场定制</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2、构架材质：铝材，钢材</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 表面处理：三遍防锈底漆、2遍防火面漆处理</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 xml:space="preserve">4、安装高度≥9000mm </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5、装饰包边：铝合金、实木材质包边</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6、散热系统：自动温控对流散热系统</w:t>
            </w:r>
            <w:r>
              <w:rPr>
                <w:rFonts w:hint="eastAsia" w:ascii="宋体" w:hAnsi="宋体" w:cs="宋体"/>
                <w:i w:val="0"/>
                <w:iCs w:val="0"/>
                <w:color w:val="auto"/>
                <w:kern w:val="0"/>
                <w:sz w:val="21"/>
                <w:szCs w:val="21"/>
                <w:highlight w:val="none"/>
                <w:u w:val="none"/>
                <w:lang w:val="en-US" w:eastAsia="zh-CN"/>
              </w:rPr>
              <w:t>。</w:t>
            </w:r>
          </w:p>
        </w:tc>
      </w:tr>
      <w:tr w14:paraId="77B610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3399AECE">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11</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561B6F8C">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后舞台背景大屏安装钢结构</w:t>
            </w:r>
          </w:p>
        </w:tc>
        <w:tc>
          <w:tcPr>
            <w:tcW w:w="404" w:type="pct"/>
            <w:tcBorders>
              <w:top w:val="single" w:color="auto" w:sz="4" w:space="0"/>
              <w:left w:val="single" w:color="auto" w:sz="4" w:space="0"/>
              <w:bottom w:val="single" w:color="auto" w:sz="4" w:space="0"/>
              <w:right w:val="single" w:color="auto" w:sz="4" w:space="0"/>
            </w:tcBorders>
            <w:vAlign w:val="center"/>
          </w:tcPr>
          <w:p w14:paraId="3096947F">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55</w:t>
            </w:r>
          </w:p>
        </w:tc>
        <w:tc>
          <w:tcPr>
            <w:tcW w:w="359" w:type="pct"/>
            <w:tcBorders>
              <w:top w:val="single" w:color="auto" w:sz="4" w:space="0"/>
              <w:left w:val="single" w:color="auto" w:sz="4" w:space="0"/>
              <w:bottom w:val="single" w:color="auto" w:sz="4" w:space="0"/>
              <w:right w:val="single" w:color="auto" w:sz="4" w:space="0"/>
            </w:tcBorders>
            <w:vAlign w:val="center"/>
          </w:tcPr>
          <w:p w14:paraId="6B59D934">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平方</w:t>
            </w:r>
          </w:p>
        </w:tc>
        <w:tc>
          <w:tcPr>
            <w:tcW w:w="3135" w:type="pct"/>
            <w:tcBorders>
              <w:top w:val="single" w:color="auto" w:sz="4" w:space="0"/>
              <w:left w:val="single" w:color="auto" w:sz="4" w:space="0"/>
              <w:bottom w:val="single" w:color="auto" w:sz="4" w:space="0"/>
              <w:right w:val="single" w:color="auto" w:sz="4" w:space="0"/>
            </w:tcBorders>
            <w:vAlign w:val="center"/>
          </w:tcPr>
          <w:p w14:paraId="0DBF79E7">
            <w:pPr>
              <w:keepNext w:val="0"/>
              <w:keepLines w:val="0"/>
              <w:widowControl/>
              <w:suppressLineNumbers w:val="0"/>
              <w:snapToGrid w:val="0"/>
              <w:jc w:val="left"/>
              <w:textAlignment w:val="center"/>
              <w:rPr>
                <w:rFonts w:hint="eastAsia" w:ascii="宋体" w:hAnsi="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1、安装结构尺寸根据舞台机械安装结构现场定制</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2、构架材质：铝材，钢材</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 表面处理：三遍防锈底漆、2遍防火面漆处理</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4、安装高度≥200-18000mm</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 xml:space="preserve">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5、装饰包边：铝合金、实木材质包边</w:t>
            </w:r>
            <w:r>
              <w:rPr>
                <w:rFonts w:hint="eastAsia" w:ascii="宋体" w:hAnsi="宋体" w:cs="宋体"/>
                <w:i w:val="0"/>
                <w:iCs w:val="0"/>
                <w:color w:val="auto"/>
                <w:kern w:val="0"/>
                <w:sz w:val="21"/>
                <w:szCs w:val="21"/>
                <w:highlight w:val="none"/>
                <w:u w:val="none"/>
                <w:lang w:val="en-US" w:eastAsia="zh-CN"/>
              </w:rPr>
              <w:t>；</w:t>
            </w:r>
          </w:p>
          <w:p w14:paraId="341394F1">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6、散热系统：自动温控对流散热系统</w:t>
            </w:r>
            <w:r>
              <w:rPr>
                <w:rFonts w:hint="eastAsia" w:ascii="宋体" w:hAnsi="宋体" w:cs="宋体"/>
                <w:i w:val="0"/>
                <w:iCs w:val="0"/>
                <w:color w:val="auto"/>
                <w:kern w:val="0"/>
                <w:sz w:val="21"/>
                <w:szCs w:val="21"/>
                <w:highlight w:val="none"/>
                <w:u w:val="none"/>
                <w:lang w:val="en-US" w:eastAsia="zh-CN"/>
              </w:rPr>
              <w:t>。</w:t>
            </w:r>
          </w:p>
        </w:tc>
      </w:tr>
      <w:tr w14:paraId="419AE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4939AA2F">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12</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750E1F3C">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光纤收发器</w:t>
            </w:r>
          </w:p>
        </w:tc>
        <w:tc>
          <w:tcPr>
            <w:tcW w:w="404" w:type="pct"/>
            <w:tcBorders>
              <w:top w:val="single" w:color="auto" w:sz="4" w:space="0"/>
              <w:left w:val="single" w:color="auto" w:sz="4" w:space="0"/>
              <w:bottom w:val="single" w:color="auto" w:sz="4" w:space="0"/>
              <w:right w:val="single" w:color="auto" w:sz="4" w:space="0"/>
            </w:tcBorders>
            <w:vAlign w:val="center"/>
          </w:tcPr>
          <w:p w14:paraId="2E95356D">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8</w:t>
            </w:r>
          </w:p>
        </w:tc>
        <w:tc>
          <w:tcPr>
            <w:tcW w:w="359" w:type="pct"/>
            <w:tcBorders>
              <w:top w:val="single" w:color="auto" w:sz="4" w:space="0"/>
              <w:left w:val="single" w:color="auto" w:sz="4" w:space="0"/>
              <w:bottom w:val="single" w:color="auto" w:sz="4" w:space="0"/>
              <w:right w:val="single" w:color="auto" w:sz="4" w:space="0"/>
            </w:tcBorders>
            <w:vAlign w:val="center"/>
          </w:tcPr>
          <w:p w14:paraId="13EAC31C">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7C582D96">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1、符合IEEE 802.3 10Base-T以太网及IEEE 802.3 10Base-TX快速以太网标准；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2、用户可设置两个不同IP地址，内置网络处理器；</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3、以广播模式向网络发送数据包；</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4、可以在广播或单播模式下管理Artnet，支持无线AP节点功能；</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5、标准1U机箱架构，方便安装在标准机柜中；</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6、具有1个10/100自适应双速RJ45端口，支持MDI/MDIX自动翻转；</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7、具有4个光纤接口，速度为100Mbps。面板指示灯显示工作状态</w:t>
            </w:r>
            <w:r>
              <w:rPr>
                <w:rFonts w:hint="eastAsia" w:ascii="宋体" w:hAnsi="宋体" w:cs="宋体"/>
                <w:i w:val="0"/>
                <w:iCs w:val="0"/>
                <w:color w:val="auto"/>
                <w:kern w:val="0"/>
                <w:sz w:val="21"/>
                <w:szCs w:val="21"/>
                <w:highlight w:val="none"/>
                <w:u w:val="none"/>
                <w:lang w:val="en-US" w:eastAsia="zh-CN"/>
              </w:rPr>
              <w:t>。</w:t>
            </w:r>
          </w:p>
        </w:tc>
      </w:tr>
      <w:tr w14:paraId="5E3757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17DD161D">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13</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7561CD10">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网络交换机</w:t>
            </w:r>
          </w:p>
        </w:tc>
        <w:tc>
          <w:tcPr>
            <w:tcW w:w="404" w:type="pct"/>
            <w:tcBorders>
              <w:top w:val="single" w:color="auto" w:sz="4" w:space="0"/>
              <w:left w:val="single" w:color="auto" w:sz="4" w:space="0"/>
              <w:bottom w:val="single" w:color="auto" w:sz="4" w:space="0"/>
              <w:right w:val="single" w:color="auto" w:sz="4" w:space="0"/>
            </w:tcBorders>
            <w:vAlign w:val="center"/>
          </w:tcPr>
          <w:p w14:paraId="13A3EBE2">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2</w:t>
            </w:r>
          </w:p>
        </w:tc>
        <w:tc>
          <w:tcPr>
            <w:tcW w:w="359" w:type="pct"/>
            <w:tcBorders>
              <w:top w:val="single" w:color="auto" w:sz="4" w:space="0"/>
              <w:left w:val="single" w:color="auto" w:sz="4" w:space="0"/>
              <w:bottom w:val="single" w:color="auto" w:sz="4" w:space="0"/>
              <w:right w:val="single" w:color="auto" w:sz="4" w:space="0"/>
            </w:tcBorders>
            <w:vAlign w:val="center"/>
          </w:tcPr>
          <w:p w14:paraId="09C218E1">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台</w:t>
            </w:r>
          </w:p>
        </w:tc>
        <w:tc>
          <w:tcPr>
            <w:tcW w:w="3135" w:type="pct"/>
            <w:tcBorders>
              <w:top w:val="single" w:color="auto" w:sz="4" w:space="0"/>
              <w:left w:val="single" w:color="auto" w:sz="4" w:space="0"/>
              <w:bottom w:val="single" w:color="auto" w:sz="4" w:space="0"/>
              <w:right w:val="single" w:color="auto" w:sz="4" w:space="0"/>
            </w:tcBorders>
            <w:vAlign w:val="center"/>
          </w:tcPr>
          <w:p w14:paraId="3E43148B">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1、主要参数：产品类型千兆以太网交换机，应用层级二层，传输速率10/100/1000Mbps，交换方式存储-转发，交换容量不劣于50Gbps，包转发率不劣于40Mpps</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2、端口参数：端口结构非模块化，端口描述24个10/100/1000Base-T以太网端口，4个1000Base-X以太网端口，控制端口1个Console口</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3、传输模式全双工/半双工自适应</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4、功能特性：VLAN支持802.1Q（最大4K个VLAN），支持基于MAC的VLAN，支持GUEST VLAN，QOS支持Diff-Serv QoS</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5、组播管理支持IGMP V1/V2/V3 Snooping</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6、网络管理支持Console/AUX Modem/Telnet/SSH2.0命令行配置，支持FTP、TFTP、Xmodem、SFTP文件上下载管理</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7、安全管理支持用户分级管理和口令保护，支持SSHv2，为用户登录提供安全加密通道，支持SSL，保障数据传输安全</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8、支持可控IP地址的FTP登录和口令机制，支持防止ARP、未知组播报文、广播报文、未知单播报文、本机网段路由扫描报文、TTL=1报文、协议报文等攻击功能</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9、支持IP＋MAC+PORT+VLAN绑定功能，支持IEEE 802.1x</w:t>
            </w:r>
            <w:r>
              <w:rPr>
                <w:rFonts w:hint="eastAsia" w:ascii="宋体" w:hAnsi="宋体" w:cs="宋体"/>
                <w:i w:val="0"/>
                <w:iCs w:val="0"/>
                <w:color w:val="auto"/>
                <w:kern w:val="0"/>
                <w:sz w:val="21"/>
                <w:szCs w:val="21"/>
                <w:highlight w:val="none"/>
                <w:u w:val="none"/>
                <w:lang w:val="en-US" w:eastAsia="zh-CN"/>
              </w:rPr>
              <w:t>。</w:t>
            </w:r>
          </w:p>
        </w:tc>
      </w:tr>
      <w:tr w14:paraId="0A1953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10F81842">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14</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44386122">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光纤终端盒</w:t>
            </w:r>
          </w:p>
        </w:tc>
        <w:tc>
          <w:tcPr>
            <w:tcW w:w="404" w:type="pct"/>
            <w:tcBorders>
              <w:top w:val="single" w:color="auto" w:sz="4" w:space="0"/>
              <w:left w:val="single" w:color="auto" w:sz="4" w:space="0"/>
              <w:bottom w:val="single" w:color="auto" w:sz="4" w:space="0"/>
              <w:right w:val="single" w:color="auto" w:sz="4" w:space="0"/>
            </w:tcBorders>
            <w:vAlign w:val="center"/>
          </w:tcPr>
          <w:p w14:paraId="79A9CE4C">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2</w:t>
            </w:r>
          </w:p>
        </w:tc>
        <w:tc>
          <w:tcPr>
            <w:tcW w:w="359" w:type="pct"/>
            <w:tcBorders>
              <w:top w:val="single" w:color="auto" w:sz="4" w:space="0"/>
              <w:left w:val="single" w:color="auto" w:sz="4" w:space="0"/>
              <w:bottom w:val="single" w:color="auto" w:sz="4" w:space="0"/>
              <w:right w:val="single" w:color="auto" w:sz="4" w:space="0"/>
            </w:tcBorders>
            <w:vAlign w:val="center"/>
          </w:tcPr>
          <w:p w14:paraId="2EFD5AA5">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12A6A1FE">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rPr>
              <w:t>1.4口配线箱（可装SC,FC,ST，LC 适配器） 机架式</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2.16芯光缆续接盒配套</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3.配置光纤尾纤</w:t>
            </w:r>
            <w:r>
              <w:rPr>
                <w:rFonts w:hint="eastAsia" w:ascii="宋体" w:hAnsi="宋体" w:cs="宋体"/>
                <w:i w:val="0"/>
                <w:iCs w:val="0"/>
                <w:color w:val="auto"/>
                <w:kern w:val="0"/>
                <w:sz w:val="21"/>
                <w:szCs w:val="21"/>
                <w:highlight w:val="none"/>
                <w:u w:val="none"/>
                <w:lang w:val="en-US" w:eastAsia="zh-CN"/>
              </w:rPr>
              <w:t>。</w:t>
            </w:r>
          </w:p>
        </w:tc>
      </w:tr>
      <w:tr w14:paraId="2CF402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2417BF48">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15</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6A451E57">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光纤熔纤</w:t>
            </w:r>
          </w:p>
        </w:tc>
        <w:tc>
          <w:tcPr>
            <w:tcW w:w="404" w:type="pct"/>
            <w:tcBorders>
              <w:top w:val="single" w:color="auto" w:sz="4" w:space="0"/>
              <w:left w:val="single" w:color="auto" w:sz="4" w:space="0"/>
              <w:bottom w:val="single" w:color="auto" w:sz="4" w:space="0"/>
              <w:right w:val="single" w:color="auto" w:sz="4" w:space="0"/>
            </w:tcBorders>
            <w:vAlign w:val="center"/>
          </w:tcPr>
          <w:p w14:paraId="5D33019B">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120</w:t>
            </w:r>
          </w:p>
        </w:tc>
        <w:tc>
          <w:tcPr>
            <w:tcW w:w="359" w:type="pct"/>
            <w:tcBorders>
              <w:top w:val="single" w:color="auto" w:sz="4" w:space="0"/>
              <w:left w:val="single" w:color="auto" w:sz="4" w:space="0"/>
              <w:bottom w:val="single" w:color="auto" w:sz="4" w:space="0"/>
              <w:right w:val="single" w:color="auto" w:sz="4" w:space="0"/>
            </w:tcBorders>
            <w:vAlign w:val="center"/>
          </w:tcPr>
          <w:p w14:paraId="047DEABB">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点</w:t>
            </w:r>
          </w:p>
        </w:tc>
        <w:tc>
          <w:tcPr>
            <w:tcW w:w="3135" w:type="pct"/>
            <w:tcBorders>
              <w:top w:val="single" w:color="auto" w:sz="4" w:space="0"/>
              <w:left w:val="single" w:color="auto" w:sz="4" w:space="0"/>
              <w:bottom w:val="single" w:color="auto" w:sz="4" w:space="0"/>
              <w:right w:val="single" w:color="auto" w:sz="4" w:space="0"/>
            </w:tcBorders>
            <w:vAlign w:val="center"/>
          </w:tcPr>
          <w:p w14:paraId="50A93AAB">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单模多模光纤续接、尾纤熔纤，</w:t>
            </w:r>
            <w:r>
              <w:rPr>
                <w:rStyle w:val="496"/>
                <w:rFonts w:hint="eastAsia" w:ascii="宋体" w:hAnsi="宋体" w:eastAsia="宋体" w:cs="宋体"/>
                <w:color w:val="auto"/>
                <w:sz w:val="21"/>
                <w:szCs w:val="21"/>
                <w:highlight w:val="none"/>
                <w:lang w:val="en-US" w:eastAsia="zh-CN"/>
              </w:rPr>
              <w:t>300</w:t>
            </w:r>
            <w:r>
              <w:rPr>
                <w:rFonts w:hint="eastAsia" w:ascii="宋体" w:hAnsi="宋体" w:eastAsia="宋体" w:cs="宋体"/>
                <w:i w:val="0"/>
                <w:iCs w:val="0"/>
                <w:color w:val="auto"/>
                <w:kern w:val="0"/>
                <w:sz w:val="21"/>
                <w:szCs w:val="21"/>
                <w:highlight w:val="none"/>
                <w:u w:val="none"/>
                <w:lang w:val="en-US" w:eastAsia="zh-CN"/>
              </w:rPr>
              <w:t>熔纤点含法兰接口</w:t>
            </w:r>
            <w:r>
              <w:rPr>
                <w:rFonts w:hint="eastAsia" w:ascii="宋体" w:hAnsi="宋体" w:cs="宋体"/>
                <w:i w:val="0"/>
                <w:iCs w:val="0"/>
                <w:color w:val="auto"/>
                <w:kern w:val="0"/>
                <w:sz w:val="21"/>
                <w:szCs w:val="21"/>
                <w:highlight w:val="none"/>
                <w:u w:val="none"/>
                <w:lang w:val="en-US" w:eastAsia="zh-CN"/>
              </w:rPr>
              <w:t>。</w:t>
            </w:r>
          </w:p>
        </w:tc>
      </w:tr>
      <w:tr w14:paraId="0334B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53186578">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16</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5B178643">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2K高清节点输入模块</w:t>
            </w:r>
          </w:p>
        </w:tc>
        <w:tc>
          <w:tcPr>
            <w:tcW w:w="404" w:type="pct"/>
            <w:tcBorders>
              <w:top w:val="single" w:color="auto" w:sz="4" w:space="0"/>
              <w:left w:val="single" w:color="auto" w:sz="4" w:space="0"/>
              <w:bottom w:val="single" w:color="auto" w:sz="4" w:space="0"/>
              <w:right w:val="single" w:color="auto" w:sz="4" w:space="0"/>
            </w:tcBorders>
            <w:vAlign w:val="center"/>
          </w:tcPr>
          <w:p w14:paraId="72450F81">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7</w:t>
            </w:r>
          </w:p>
        </w:tc>
        <w:tc>
          <w:tcPr>
            <w:tcW w:w="359" w:type="pct"/>
            <w:tcBorders>
              <w:top w:val="single" w:color="auto" w:sz="4" w:space="0"/>
              <w:left w:val="single" w:color="auto" w:sz="4" w:space="0"/>
              <w:bottom w:val="single" w:color="auto" w:sz="4" w:space="0"/>
              <w:right w:val="single" w:color="auto" w:sz="4" w:space="0"/>
            </w:tcBorders>
            <w:vAlign w:val="center"/>
          </w:tcPr>
          <w:p w14:paraId="1A97863E">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05E7972E">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w:t>
            </w:r>
            <w:r>
              <w:rPr>
                <w:rFonts w:hint="eastAsia" w:ascii="宋体" w:hAnsi="宋体" w:eastAsia="宋体" w:cs="宋体"/>
                <w:b/>
                <w:bCs/>
                <w:i w:val="0"/>
                <w:iCs w:val="0"/>
                <w:color w:val="auto"/>
                <w:kern w:val="0"/>
                <w:sz w:val="21"/>
                <w:szCs w:val="21"/>
                <w:highlight w:val="none"/>
                <w:u w:val="none"/>
                <w:lang w:val="en-US" w:eastAsia="zh-CN"/>
              </w:rPr>
              <w:t>1、采用完全分布式架构，无需配置服务器即可构建去中心化分布式音视频网络；</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2、支持分辨率：2K并向下兼容；</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3、具备≥1路HDMI输入、≥1路HDMI环出</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4、具备≥1路RJ45 接口带 POE、≥1路立体声音频输入、≥1路立体声音频输出、≥1个MIC接口</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5、为实现音视频互联互通且保证高品质音频传输，要求节点自带独立音频接口，提供无压缩音视频流或AAC、G711a、G711U、PCM编码音频流，支持视、音频同步或异步切换；</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 xml:space="preserve">6、采用主流领先的压缩编码与解码技术，支持 ITU-T H.264 High Profile/Main Profile/Baseline Profile@Level 5.1编码，支持 ITU-TH.265 MainlO/Main Profile@Level 5.1 Main Tier编码,支持B帧 </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 xml:space="preserve">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 xml:space="preserve">7、为满足互联互通需求，节点间采用单播协议，无需交换机和接入网络具备组播支持情况下可支持超过160 路以上并发；同时可兼容组播，组播并发数量不受限制，单播和组播均具有完善的流控措施，无任何花屏或马赛克情况；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8、为满足快速排查故障，节点支持点名功能，节点选中后以声、光、电其中一种或多种方式示意，无需逐一查找故障节点，以加快排查效率；</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9、支持RTSP等标准流媒体协议，系统可支持IPC网络摄像头信号接入直接输出显示到大屏，无需第三方提供转码服务器；可输岀显示</w:t>
            </w:r>
            <w:r>
              <w:rPr>
                <w:rFonts w:hint="eastAsia" w:ascii="宋体" w:hAnsi="宋体" w:eastAsia="宋体" w:cs="宋体"/>
                <w:i w:val="0"/>
                <w:iCs w:val="0"/>
                <w:color w:val="auto"/>
                <w:kern w:val="0"/>
                <w:sz w:val="21"/>
                <w:szCs w:val="21"/>
                <w:highlight w:val="none"/>
                <w:u w:val="none"/>
                <w:lang w:val="en-US" w:eastAsia="zh-CN"/>
              </w:rPr>
              <w:t>海康、大华</w:t>
            </w:r>
            <w:r>
              <w:rPr>
                <w:rFonts w:hint="eastAsia" w:ascii="宋体" w:hAnsi="宋体" w:cs="宋体"/>
                <w:color w:val="auto"/>
                <w:kern w:val="0"/>
                <w:szCs w:val="21"/>
                <w:highlight w:val="none"/>
                <w:u w:val="none"/>
                <w:lang w:eastAsia="zh-CN"/>
              </w:rPr>
              <w:t>、</w:t>
            </w:r>
            <w:r>
              <w:rPr>
                <w:rFonts w:hint="eastAsia" w:ascii="宋体" w:hAnsi="宋体" w:cs="宋体"/>
                <w:color w:val="auto"/>
                <w:kern w:val="0"/>
                <w:szCs w:val="21"/>
                <w:highlight w:val="none"/>
                <w:u w:val="none"/>
                <w:lang w:val="en-US" w:eastAsia="zh-CN"/>
              </w:rPr>
              <w:t>宇视</w:t>
            </w:r>
            <w:r>
              <w:rPr>
                <w:rFonts w:hint="eastAsia" w:ascii="宋体" w:hAnsi="宋体" w:eastAsia="宋体" w:cs="宋体"/>
                <w:i w:val="0"/>
                <w:iCs w:val="0"/>
                <w:color w:val="auto"/>
                <w:kern w:val="0"/>
                <w:sz w:val="21"/>
                <w:szCs w:val="21"/>
                <w:highlight w:val="none"/>
                <w:u w:val="none"/>
                <w:lang w:val="en-US" w:eastAsia="zh-CN"/>
              </w:rPr>
              <w:t>等国标协议的网络摄像头的信号。</w:t>
            </w:r>
          </w:p>
        </w:tc>
      </w:tr>
      <w:tr w14:paraId="4F17D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3B491EEB">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17</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0F49BE6C">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4K高清KVM输入管控</w:t>
            </w:r>
          </w:p>
          <w:p w14:paraId="627EDA71">
            <w:pPr>
              <w:keepNext w:val="0"/>
              <w:keepLines w:val="0"/>
              <w:widowControl/>
              <w:suppressLineNumbers w:val="0"/>
              <w:snapToGrid w:val="0"/>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模块</w:t>
            </w:r>
          </w:p>
        </w:tc>
        <w:tc>
          <w:tcPr>
            <w:tcW w:w="404" w:type="pct"/>
            <w:tcBorders>
              <w:top w:val="single" w:color="auto" w:sz="4" w:space="0"/>
              <w:left w:val="single" w:color="auto" w:sz="4" w:space="0"/>
              <w:bottom w:val="single" w:color="auto" w:sz="4" w:space="0"/>
              <w:right w:val="single" w:color="auto" w:sz="4" w:space="0"/>
            </w:tcBorders>
            <w:vAlign w:val="center"/>
          </w:tcPr>
          <w:p w14:paraId="42E6E4CC">
            <w:pPr>
              <w:keepNext w:val="0"/>
              <w:keepLines w:val="0"/>
              <w:widowControl/>
              <w:suppressLineNumbers w:val="0"/>
              <w:snapToGrid w:val="0"/>
              <w:jc w:val="left"/>
              <w:textAlignment w:val="center"/>
              <w:rPr>
                <w:rFonts w:hint="eastAsia" w:ascii="宋体" w:hAnsi="宋体" w:eastAsia="宋体" w:cs="宋体"/>
                <w:b/>
                <w:bCs/>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359" w:type="pct"/>
            <w:tcBorders>
              <w:top w:val="single" w:color="auto" w:sz="4" w:space="0"/>
              <w:left w:val="single" w:color="auto" w:sz="4" w:space="0"/>
              <w:bottom w:val="single" w:color="auto" w:sz="4" w:space="0"/>
              <w:right w:val="single" w:color="auto" w:sz="4" w:space="0"/>
            </w:tcBorders>
            <w:vAlign w:val="center"/>
          </w:tcPr>
          <w:p w14:paraId="5D412F0F">
            <w:pPr>
              <w:keepNext w:val="0"/>
              <w:keepLines w:val="0"/>
              <w:widowControl/>
              <w:suppressLineNumbers w:val="0"/>
              <w:snapToGrid w:val="0"/>
              <w:jc w:val="left"/>
              <w:textAlignment w:val="center"/>
              <w:rPr>
                <w:rFonts w:hint="eastAsia" w:ascii="宋体" w:hAnsi="宋体" w:eastAsia="宋体" w:cs="宋体"/>
                <w:b/>
                <w:bCs/>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52AD2A28">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b/>
                <w:bCs/>
                <w:i w:val="0"/>
                <w:iCs w:val="0"/>
                <w:color w:val="auto"/>
                <w:kern w:val="0"/>
                <w:sz w:val="21"/>
                <w:szCs w:val="21"/>
                <w:highlight w:val="none"/>
                <w:u w:val="none"/>
                <w:lang w:val="en-US" w:eastAsia="zh-CN"/>
              </w:rPr>
              <w:t>▲1、采用完全分布式架构，无需配置服务器即可构建去中心化分布式音视频网络；</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2、支持分辨率：4K并向下兼容；</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★3、具备≥1路HDMI输出；≥1路RJ45 接口带 POE；≥1路立体声音频输入；≥1路立体声音频输出</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4、为实现音视频互联互通且保证高品质音频传输，要求节点自带独立音频接口，提供无压缩音视频流或AAC、G711a、G711U、PCM编码音频流，支持视、音频同步或异步切换；</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5、采用主流领先的压缩编码与解码技术，支持 ITU-T H.264 High Profile/Main Profile/Baseline Profile@Level 5.1编码，支持 ITU-TH.265 MainlO/Main Profile@Level 5.1 Main Tier编码,支持B帧。自动适应编解码方式,码率500K-40Mbps 可调</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6、席位跟随功能：支持权限管理，不同帐户可设置不同权限，且系统自动记忆每个用户的当前动作和状 态；用户可通过密码或者指纹登录方式，重新登录时恢复之前的操作状态；根据各类坐席人员开展各种需要实时调整，实现工位职能互换、工位权限互换、组别互换等；</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7、支持软KVM直控功能：实现pad端远程操作电脑主机里的文件和内容，如使用触摸板一样操作鼠标移动和点击；</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8、具备与安全通讯模块通讯的接口，杜绝KVM系统的USB 口与业务系统主机的USB口直接相连，而是通过独立KVM适配器，以物理隔离方式连接电脑主机USB 口；</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9、通过OSD菜单，可预览坐席系统内所有有权限接管的节点的画面，便于准确直观操作；可显示设备 的ID, IP,实时码率；可获取当前信号源的用户列 表，以便了解该节点的用户情况减少互相干扰</w:t>
            </w:r>
            <w:r>
              <w:rPr>
                <w:rFonts w:hint="eastAsia" w:ascii="宋体" w:hAnsi="宋体" w:cs="宋体"/>
                <w:i w:val="0"/>
                <w:iCs w:val="0"/>
                <w:color w:val="auto"/>
                <w:kern w:val="0"/>
                <w:sz w:val="21"/>
                <w:szCs w:val="21"/>
                <w:highlight w:val="none"/>
                <w:u w:val="none"/>
                <w:lang w:val="en-US" w:eastAsia="zh-CN"/>
              </w:rPr>
              <w:t>。</w:t>
            </w:r>
          </w:p>
        </w:tc>
      </w:tr>
      <w:tr w14:paraId="3F82A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43AA9412">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18</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5B85EA27">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视频会议</w:t>
            </w:r>
          </w:p>
          <w:p w14:paraId="7E9832E9">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双流节点</w:t>
            </w:r>
          </w:p>
        </w:tc>
        <w:tc>
          <w:tcPr>
            <w:tcW w:w="404" w:type="pct"/>
            <w:tcBorders>
              <w:top w:val="single" w:color="auto" w:sz="4" w:space="0"/>
              <w:left w:val="single" w:color="auto" w:sz="4" w:space="0"/>
              <w:bottom w:val="single" w:color="auto" w:sz="4" w:space="0"/>
              <w:right w:val="single" w:color="auto" w:sz="4" w:space="0"/>
            </w:tcBorders>
            <w:vAlign w:val="center"/>
          </w:tcPr>
          <w:p w14:paraId="5D3B9E86">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359" w:type="pct"/>
            <w:tcBorders>
              <w:top w:val="single" w:color="auto" w:sz="4" w:space="0"/>
              <w:left w:val="single" w:color="auto" w:sz="4" w:space="0"/>
              <w:bottom w:val="single" w:color="auto" w:sz="4" w:space="0"/>
              <w:right w:val="single" w:color="auto" w:sz="4" w:space="0"/>
            </w:tcBorders>
            <w:vAlign w:val="center"/>
          </w:tcPr>
          <w:p w14:paraId="38C0D162">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5C47570B">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rPr>
              <w:t>▲1、采用完全分布式架构，无需配置服务器即可构建去中心化分布式音视频网络；</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2、支持分辨率：4K并向下兼容；</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3、节点具备≥2路HDMI输入、≥2路HDMI输出；≥1路立体声音频输入、≥1路立体声音频输出、≥1个MIC接口、≥1路RS232接口、≥1路RS485接口、≥3组I0/IR接口</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4、采用主流领先的压缩编码与解码技术，支持 ITU-T H.264 High Profile/Main Profile/Baseline Profile@Level 5.1编码，支持 ITU-TH.265 MainlO/Main Profile@Level 5.1 Main Tier编码,支持B帧。自动适应编解码方式,码率500K-40Mbps 可调</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 xml:space="preserve">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 xml:space="preserve">5、节点间采用单播协议，无需交换机和接入网络具备组播支持情况下可支持超过200 路以上并发；同时可兼容组播，组播并发数量不受限制，单播和组播均具有完善的流控措施，无任何花屏或马赛克情况；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6、操作终端可预先所见所得的对屏幕进行布局，而不影响屏幕显示；布局完成并需要切换场景时一键发送</w:t>
            </w:r>
            <w:r>
              <w:rPr>
                <w:rFonts w:hint="eastAsia" w:ascii="宋体" w:hAnsi="宋体" w:cs="宋体"/>
                <w:i w:val="0"/>
                <w:iCs w:val="0"/>
                <w:color w:val="auto"/>
                <w:kern w:val="0"/>
                <w:sz w:val="21"/>
                <w:szCs w:val="21"/>
                <w:highlight w:val="none"/>
                <w:u w:val="none"/>
                <w:lang w:val="en-US" w:eastAsia="zh-CN"/>
              </w:rPr>
              <w:t>。</w:t>
            </w:r>
          </w:p>
        </w:tc>
      </w:tr>
      <w:tr w14:paraId="3D34E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2A252FEF">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19</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5B2BBD83">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4K高清节点输入模块</w:t>
            </w:r>
          </w:p>
        </w:tc>
        <w:tc>
          <w:tcPr>
            <w:tcW w:w="404" w:type="pct"/>
            <w:tcBorders>
              <w:top w:val="single" w:color="auto" w:sz="4" w:space="0"/>
              <w:left w:val="single" w:color="auto" w:sz="4" w:space="0"/>
              <w:bottom w:val="single" w:color="auto" w:sz="4" w:space="0"/>
              <w:right w:val="single" w:color="auto" w:sz="4" w:space="0"/>
            </w:tcBorders>
            <w:vAlign w:val="center"/>
          </w:tcPr>
          <w:p w14:paraId="4D571AB5">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359" w:type="pct"/>
            <w:tcBorders>
              <w:top w:val="single" w:color="auto" w:sz="4" w:space="0"/>
              <w:left w:val="single" w:color="auto" w:sz="4" w:space="0"/>
              <w:bottom w:val="single" w:color="auto" w:sz="4" w:space="0"/>
              <w:right w:val="single" w:color="auto" w:sz="4" w:space="0"/>
            </w:tcBorders>
            <w:vAlign w:val="center"/>
          </w:tcPr>
          <w:p w14:paraId="1D144610">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66DE5A4D">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b/>
                <w:bCs/>
                <w:i w:val="0"/>
                <w:iCs w:val="0"/>
                <w:color w:val="auto"/>
                <w:kern w:val="0"/>
                <w:sz w:val="21"/>
                <w:szCs w:val="21"/>
                <w:highlight w:val="none"/>
                <w:u w:val="none"/>
                <w:lang w:val="en-US" w:eastAsia="zh-CN"/>
              </w:rPr>
              <w:t>▲1、采用完全分布式架构，无需配置服务器即可构建去中心化分布式音视频网络；</w:t>
            </w:r>
            <w:r>
              <w:rPr>
                <w:rFonts w:hint="eastAsia" w:ascii="宋体" w:hAnsi="宋体" w:eastAsia="宋体" w:cs="宋体"/>
                <w:i w:val="0"/>
                <w:iCs w:val="0"/>
                <w:color w:val="auto"/>
                <w:kern w:val="0"/>
                <w:sz w:val="21"/>
                <w:szCs w:val="21"/>
                <w:highlight w:val="none"/>
                <w:u w:val="none"/>
                <w:lang w:val="en-US" w:eastAsia="zh-CN"/>
              </w:rPr>
              <w:t xml:space="preserve">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2、支持分辨率：4K并向下兼容；</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3、具备≥1路HDMI视频输入接口、1路HDMI环出接口；≥1路RJ45 接口带 POE；≥1路3.81 凤凰端子的立体声音频输入和输出、≥1路3.5mm接口；≥1路RS485接口</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rPr>
              <w:t xml:space="preserve">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4、为实现音视频互联互通且保证高品质音频传输，要求节点自带独立音频接口，提供无压缩音视频流或AAC、G711a、G711U、PCM编码音频流，支持视、音频同步或异步切换；</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5、采用主流领先的压缩编码与解码技术，支持 ITU-T H.264 High Profile/Main Profile/Baseline Profile@Level 5.1编码，支持 ITU-TH.265 MainlO/Main Profile@Level 5.1 Main Tier编码,支持B帧。自动适应编解码方式,码率1Mbps-40Mbps 可调</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 xml:space="preserve">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6、为满足快速排查故障，节点支持点名功能，节点选中后以声、光、电其中一种或多种方式示意，无需逐一查找故障节点，以加快排查效率；</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7、支持实时输入信号预览,支持至少128路信号同时回显,且可设置回显画面分辨率；</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支持浏览所有输入信号的预览画面，图像流畅无卡顿；支持软件预监输入音频；支持整面拼接屏的整体回显功能，显示内容与实际输出画面一致，可外接显示器或解码器观看大屏回显，图像帧率可达60帧/秒；支持大屏音频回显输出，音频与画面实时同步</w:t>
            </w:r>
            <w:r>
              <w:rPr>
                <w:rFonts w:hint="eastAsia" w:ascii="宋体" w:hAnsi="宋体" w:cs="宋体"/>
                <w:i w:val="0"/>
                <w:iCs w:val="0"/>
                <w:color w:val="auto"/>
                <w:kern w:val="0"/>
                <w:sz w:val="21"/>
                <w:szCs w:val="21"/>
                <w:highlight w:val="none"/>
                <w:u w:val="none"/>
                <w:lang w:val="en-US" w:eastAsia="zh-CN"/>
              </w:rPr>
              <w:t>。</w:t>
            </w:r>
          </w:p>
        </w:tc>
      </w:tr>
      <w:tr w14:paraId="0DEB40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7487E441">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20</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51A72354">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4K高清节点输出模块</w:t>
            </w:r>
          </w:p>
        </w:tc>
        <w:tc>
          <w:tcPr>
            <w:tcW w:w="404" w:type="pct"/>
            <w:tcBorders>
              <w:top w:val="single" w:color="auto" w:sz="4" w:space="0"/>
              <w:left w:val="single" w:color="auto" w:sz="4" w:space="0"/>
              <w:bottom w:val="single" w:color="auto" w:sz="4" w:space="0"/>
              <w:right w:val="single" w:color="auto" w:sz="4" w:space="0"/>
            </w:tcBorders>
            <w:vAlign w:val="center"/>
          </w:tcPr>
          <w:p w14:paraId="02D9A352">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6</w:t>
            </w:r>
          </w:p>
        </w:tc>
        <w:tc>
          <w:tcPr>
            <w:tcW w:w="359" w:type="pct"/>
            <w:tcBorders>
              <w:top w:val="single" w:color="auto" w:sz="4" w:space="0"/>
              <w:left w:val="single" w:color="auto" w:sz="4" w:space="0"/>
              <w:bottom w:val="single" w:color="auto" w:sz="4" w:space="0"/>
              <w:right w:val="single" w:color="auto" w:sz="4" w:space="0"/>
            </w:tcBorders>
            <w:vAlign w:val="center"/>
          </w:tcPr>
          <w:p w14:paraId="59291E14">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6117683A">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b/>
                <w:bCs/>
                <w:i w:val="0"/>
                <w:iCs w:val="0"/>
                <w:color w:val="auto"/>
                <w:kern w:val="0"/>
                <w:sz w:val="21"/>
                <w:szCs w:val="21"/>
                <w:highlight w:val="none"/>
                <w:u w:val="none"/>
                <w:lang w:val="en-US" w:eastAsia="zh-CN"/>
              </w:rPr>
              <w:t>▲1、采用完全分布式架构，无需配置服务器即可构建去中心化分布式音视频网络；</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2、支持分辨率：4K并向下兼容；</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3、具备≥1路HDMI输出、≥1路RJ45 接口（带POE)、≥1路立体声音频输入、≥1路立体声音频输出、≥1路MIC、≥1路RS232、≥2路IO/2路IR</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4、支持音频加嵌、解嵌功能，可在操作界面推杆式控制节点音量大小，并可实时动态显示音量状态，支持视、音频同步或异步切换；</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 xml:space="preserve">5、节点间采用单播协议，无需交换机和接入网络具备组播支持情况下可支持超过150路以上并发；同时可兼容组播，组播并发数量不受限制，单播和组播均具有完善的流控措施，无任何花屏或马赛克情况；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6、支持RTSP等标准流媒体协议，系统可支持IPC网络摄像头信号接入直接输出显示到大屏，无需第三方提供转码服务器；可输岀显示海康、大华等国标协议的网络摄像头的信号</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7、端到端传输延时≤16ms(最低可低至0ms)，支持输出节点直接连接LED发送卡进行拼接;拼接效果肉眼目测完全无画面撕裂,无同步误差</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 xml:space="preserve">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8、支持画质调整功能:能对输出的亮度、对比度、色彩饱和度以及增益进行调整</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 xml:space="preserve">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 xml:space="preserve">9、支持信号裁剪上墙，以便突出重点，屏蔽无需上墙的内容；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10、支持图像开窗、窗口叠加、窗口漫游、窗口缩放、字符叠加、输出字符叠加、保存场景、读取场景、大底图显示功能；</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11、支持可视化管理、坐席管控、影像切换、混音控制、语音控制、体感控制、大屏拼接、远距离传输、音视频矩阵、控制管理、投影融合等功能</w:t>
            </w:r>
            <w:r>
              <w:rPr>
                <w:rFonts w:hint="eastAsia" w:ascii="宋体" w:hAnsi="宋体" w:cs="宋体"/>
                <w:i w:val="0"/>
                <w:iCs w:val="0"/>
                <w:color w:val="auto"/>
                <w:kern w:val="0"/>
                <w:sz w:val="21"/>
                <w:szCs w:val="21"/>
                <w:highlight w:val="none"/>
                <w:u w:val="none"/>
                <w:lang w:val="en-US" w:eastAsia="zh-CN"/>
              </w:rPr>
              <w:t>。</w:t>
            </w:r>
          </w:p>
        </w:tc>
      </w:tr>
      <w:tr w14:paraId="39D06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3C1D5186">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21</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07A1BCDC">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高清硬盘</w:t>
            </w:r>
          </w:p>
          <w:p w14:paraId="2C7FFFFB">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播放器</w:t>
            </w:r>
          </w:p>
        </w:tc>
        <w:tc>
          <w:tcPr>
            <w:tcW w:w="404" w:type="pct"/>
            <w:tcBorders>
              <w:top w:val="single" w:color="auto" w:sz="4" w:space="0"/>
              <w:left w:val="single" w:color="auto" w:sz="4" w:space="0"/>
              <w:bottom w:val="single" w:color="auto" w:sz="4" w:space="0"/>
              <w:right w:val="single" w:color="auto" w:sz="4" w:space="0"/>
            </w:tcBorders>
            <w:vAlign w:val="center"/>
          </w:tcPr>
          <w:p w14:paraId="648A2C75">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359" w:type="pct"/>
            <w:tcBorders>
              <w:top w:val="single" w:color="auto" w:sz="4" w:space="0"/>
              <w:left w:val="single" w:color="auto" w:sz="4" w:space="0"/>
              <w:bottom w:val="single" w:color="auto" w:sz="4" w:space="0"/>
              <w:right w:val="single" w:color="auto" w:sz="4" w:space="0"/>
            </w:tcBorders>
            <w:vAlign w:val="center"/>
          </w:tcPr>
          <w:p w14:paraId="1676EA37">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4FA2E6B0">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1、Dolby HDR 高动态对比度，BT.2020 广色域</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2、10bit色深，支持智能中控232窜口协议</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3、UHD 4K (H.265 HEVC)分辨率4096x2160@60fps、UHD 4K (H.264 AVC)分辨率4096x2160@30fps</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4、高码率高清、超清蓝光原盘影片支持（ISO、BDMV、M2TS）、专业蓝光3D(全格式)支持</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5、专业影院音频7.1支持：Dolby Digital&amp;Dolby TrueHD/ DTS Audio&amp;DTS-HD、解码及原码输出, 杜比全景声（Atmos）支持</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6、专业级视频、音频全格式支持; 多语言内嵌字幕、外挂字幕支持</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7、专业支持36bit Deep-color（深色），影院级丽色效果</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8、Movie Center智能影院海报墙系统</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9、智能分析硬盘及Samba/NFS中的本地影片库信息，有工具能自动从网络获取影片海报及信息，建立影片分类、图形化影片海报、详情介绍等</w:t>
            </w:r>
            <w:r>
              <w:rPr>
                <w:rFonts w:hint="eastAsia" w:ascii="宋体" w:hAnsi="宋体" w:cs="宋体"/>
                <w:i w:val="0"/>
                <w:iCs w:val="0"/>
                <w:color w:val="auto"/>
                <w:kern w:val="0"/>
                <w:sz w:val="21"/>
                <w:szCs w:val="21"/>
                <w:highlight w:val="none"/>
                <w:u w:val="none"/>
                <w:lang w:val="en-US" w:eastAsia="zh-CN"/>
              </w:rPr>
              <w:t>。</w:t>
            </w:r>
          </w:p>
        </w:tc>
      </w:tr>
      <w:tr w14:paraId="42DF9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04B8B073">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22</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02C9583D">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节点软件端授权</w:t>
            </w:r>
          </w:p>
        </w:tc>
        <w:tc>
          <w:tcPr>
            <w:tcW w:w="404" w:type="pct"/>
            <w:tcBorders>
              <w:top w:val="single" w:color="auto" w:sz="4" w:space="0"/>
              <w:left w:val="single" w:color="auto" w:sz="4" w:space="0"/>
              <w:bottom w:val="single" w:color="auto" w:sz="4" w:space="0"/>
              <w:right w:val="single" w:color="auto" w:sz="4" w:space="0"/>
            </w:tcBorders>
            <w:vAlign w:val="center"/>
          </w:tcPr>
          <w:p w14:paraId="6C9F0967">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16</w:t>
            </w:r>
          </w:p>
        </w:tc>
        <w:tc>
          <w:tcPr>
            <w:tcW w:w="359" w:type="pct"/>
            <w:tcBorders>
              <w:top w:val="single" w:color="auto" w:sz="4" w:space="0"/>
              <w:left w:val="single" w:color="auto" w:sz="4" w:space="0"/>
              <w:bottom w:val="single" w:color="auto" w:sz="4" w:space="0"/>
              <w:right w:val="single" w:color="auto" w:sz="4" w:space="0"/>
            </w:tcBorders>
            <w:vAlign w:val="center"/>
          </w:tcPr>
          <w:p w14:paraId="33950440">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1D1CB009">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b/>
                <w:bCs/>
                <w:i w:val="0"/>
                <w:iCs w:val="0"/>
                <w:color w:val="auto"/>
                <w:kern w:val="0"/>
                <w:sz w:val="21"/>
                <w:szCs w:val="21"/>
                <w:highlight w:val="none"/>
                <w:u w:val="none"/>
                <w:lang w:val="en-US" w:eastAsia="zh-CN"/>
              </w:rPr>
              <w:t>▲1、实现多个单元跨区域、跨部门远程互联，进行音、视频信号获取或者推送</w:t>
            </w:r>
            <w:r>
              <w:rPr>
                <w:rFonts w:hint="eastAsia" w:ascii="宋体" w:hAnsi="宋体" w:eastAsia="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2、可视化管理具备信号源统一管理、信号源预监、感应器检测结果显示等，通过直观拖拽方式实现信号源调度等功能；</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3、一体化控制具有显示单元控制、显示预案调取管理、音频控制管理、设备使用状态查询、文案PPT控制、播放软件控制等功能；</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4、具有发现协议和对时协议，确保单个视频流在多个单元分割输出显示时帧同步；</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5、系统具备严格的权限控制能力：在可编程人机界面上，管理员可独立创；</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6、建和删除用户，并对其控制行为进行严格区隔，对用户进行授权管理；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b/>
                <w:bCs/>
                <w:i w:val="0"/>
                <w:iCs w:val="0"/>
                <w:color w:val="auto"/>
                <w:kern w:val="0"/>
                <w:sz w:val="21"/>
                <w:szCs w:val="21"/>
                <w:highlight w:val="none"/>
                <w:u w:val="none"/>
                <w:lang w:val="en-US" w:eastAsia="zh-CN"/>
              </w:rPr>
              <w:t>▲7、支持大屏本地及异地信号轮询功能，可改变轮询时间、轮询个数，一组大屏上支持多组轮询信号</w:t>
            </w:r>
            <w:r>
              <w:rPr>
                <w:rFonts w:hint="eastAsia" w:ascii="宋体" w:hAnsi="宋体" w:cs="宋体"/>
                <w:b/>
                <w:bCs/>
                <w:i w:val="0"/>
                <w:iCs w:val="0"/>
                <w:color w:val="auto"/>
                <w:kern w:val="0"/>
                <w:sz w:val="21"/>
                <w:szCs w:val="21"/>
                <w:highlight w:val="none"/>
                <w:u w:val="none"/>
                <w:lang w:val="en-US" w:eastAsia="zh-CN"/>
              </w:rPr>
              <w:t>。</w:t>
            </w:r>
          </w:p>
        </w:tc>
      </w:tr>
      <w:tr w14:paraId="6F5DA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44814E3E">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23</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77231686">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系统控制</w:t>
            </w:r>
          </w:p>
          <w:p w14:paraId="3F1ED611">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平台</w:t>
            </w:r>
          </w:p>
        </w:tc>
        <w:tc>
          <w:tcPr>
            <w:tcW w:w="404" w:type="pct"/>
            <w:tcBorders>
              <w:top w:val="single" w:color="auto" w:sz="4" w:space="0"/>
              <w:left w:val="single" w:color="auto" w:sz="4" w:space="0"/>
              <w:bottom w:val="single" w:color="auto" w:sz="4" w:space="0"/>
              <w:right w:val="single" w:color="auto" w:sz="4" w:space="0"/>
            </w:tcBorders>
            <w:vAlign w:val="center"/>
          </w:tcPr>
          <w:p w14:paraId="3B6AC404">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359" w:type="pct"/>
            <w:tcBorders>
              <w:top w:val="single" w:color="auto" w:sz="4" w:space="0"/>
              <w:left w:val="single" w:color="auto" w:sz="4" w:space="0"/>
              <w:bottom w:val="single" w:color="auto" w:sz="4" w:space="0"/>
              <w:right w:val="single" w:color="auto" w:sz="4" w:space="0"/>
            </w:tcBorders>
            <w:vAlign w:val="center"/>
          </w:tcPr>
          <w:p w14:paraId="274BE88C">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5AADD280">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1、后期系统编程、界面编辑、脚本语言编程，多平台解析软件，可根据用户要求定制化管理界面，设置多级管理权限，软件运稳定界面友好、简学易用；</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2、在PC端可预览所有单元发出的视频,可以将视频在平板终端上的虚拟拼接屏进行拼接、层叠</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3、PC端可感知单元控制的设备的状态和数据，PC端可在视频预览框直接对设备进行控制；</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4、PC端可实时反馈光感检测、PM2.5检测、门磁检测、温度检测湿度检测等各种感应检测器的检测结果，支持定时控制，自定义个性化设置控制的时间，系统会根据当前设定的时间为基础做控制；</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5、支持大屏本地及异地信号轮询功能，可改变轮询时间、轮询个数，一组大屏上支持多组轮询信号；</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6、支持设置信号收藏夹，任意添加删减收藏夹内信号，并支持信号模糊检索</w:t>
            </w:r>
            <w:r>
              <w:rPr>
                <w:rFonts w:hint="eastAsia" w:ascii="宋体" w:hAnsi="宋体" w:cs="宋体"/>
                <w:i w:val="0"/>
                <w:iCs w:val="0"/>
                <w:color w:val="auto"/>
                <w:kern w:val="0"/>
                <w:sz w:val="21"/>
                <w:szCs w:val="21"/>
                <w:highlight w:val="none"/>
                <w:u w:val="none"/>
                <w:lang w:val="en-US" w:eastAsia="zh-CN"/>
              </w:rPr>
              <w:t>。</w:t>
            </w:r>
          </w:p>
        </w:tc>
      </w:tr>
      <w:tr w14:paraId="5F87D3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74FD6D4B">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24</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5FA6A755">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客户端授权ID</w:t>
            </w:r>
          </w:p>
        </w:tc>
        <w:tc>
          <w:tcPr>
            <w:tcW w:w="404" w:type="pct"/>
            <w:tcBorders>
              <w:top w:val="single" w:color="auto" w:sz="4" w:space="0"/>
              <w:left w:val="single" w:color="auto" w:sz="4" w:space="0"/>
              <w:bottom w:val="single" w:color="auto" w:sz="4" w:space="0"/>
              <w:right w:val="single" w:color="auto" w:sz="4" w:space="0"/>
            </w:tcBorders>
            <w:vAlign w:val="center"/>
          </w:tcPr>
          <w:p w14:paraId="1E09B2DC">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359" w:type="pct"/>
            <w:tcBorders>
              <w:top w:val="single" w:color="auto" w:sz="4" w:space="0"/>
              <w:left w:val="single" w:color="auto" w:sz="4" w:space="0"/>
              <w:bottom w:val="single" w:color="auto" w:sz="4" w:space="0"/>
              <w:right w:val="single" w:color="auto" w:sz="4" w:space="0"/>
            </w:tcBorders>
            <w:vAlign w:val="center"/>
          </w:tcPr>
          <w:p w14:paraId="73AAB792">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36A12FD1">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客户端授权秘钥</w:t>
            </w:r>
            <w:r>
              <w:rPr>
                <w:rFonts w:hint="eastAsia" w:ascii="宋体" w:hAnsi="宋体" w:cs="宋体"/>
                <w:i w:val="0"/>
                <w:iCs w:val="0"/>
                <w:color w:val="auto"/>
                <w:kern w:val="0"/>
                <w:sz w:val="21"/>
                <w:szCs w:val="21"/>
                <w:highlight w:val="none"/>
                <w:u w:val="none"/>
                <w:lang w:val="en-US" w:eastAsia="zh-CN"/>
              </w:rPr>
              <w:t>。</w:t>
            </w:r>
          </w:p>
        </w:tc>
      </w:tr>
      <w:tr w14:paraId="65821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370DBA1D">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25</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6864FD69">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高清云台</w:t>
            </w:r>
          </w:p>
          <w:p w14:paraId="385BA1B4">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摄像机</w:t>
            </w:r>
          </w:p>
        </w:tc>
        <w:tc>
          <w:tcPr>
            <w:tcW w:w="404" w:type="pct"/>
            <w:tcBorders>
              <w:top w:val="single" w:color="auto" w:sz="4" w:space="0"/>
              <w:left w:val="single" w:color="auto" w:sz="4" w:space="0"/>
              <w:bottom w:val="single" w:color="auto" w:sz="4" w:space="0"/>
              <w:right w:val="single" w:color="auto" w:sz="4" w:space="0"/>
            </w:tcBorders>
            <w:vAlign w:val="center"/>
          </w:tcPr>
          <w:p w14:paraId="6F94F071">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3</w:t>
            </w:r>
          </w:p>
        </w:tc>
        <w:tc>
          <w:tcPr>
            <w:tcW w:w="359" w:type="pct"/>
            <w:tcBorders>
              <w:top w:val="single" w:color="auto" w:sz="4" w:space="0"/>
              <w:left w:val="single" w:color="auto" w:sz="4" w:space="0"/>
              <w:bottom w:val="single" w:color="auto" w:sz="4" w:space="0"/>
              <w:right w:val="single" w:color="auto" w:sz="4" w:space="0"/>
            </w:tcBorders>
            <w:vAlign w:val="center"/>
          </w:tcPr>
          <w:p w14:paraId="1D7B16FC">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台</w:t>
            </w:r>
          </w:p>
        </w:tc>
        <w:tc>
          <w:tcPr>
            <w:tcW w:w="3135" w:type="pct"/>
            <w:tcBorders>
              <w:top w:val="single" w:color="auto" w:sz="4" w:space="0"/>
              <w:left w:val="single" w:color="auto" w:sz="4" w:space="0"/>
              <w:bottom w:val="single" w:color="auto" w:sz="4" w:space="0"/>
              <w:right w:val="single" w:color="auto" w:sz="4" w:space="0"/>
            </w:tcBorders>
            <w:vAlign w:val="center"/>
          </w:tcPr>
          <w:p w14:paraId="72B37957">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1、内装SONY IMX415  1/2.8英寸4K CMOS 800万像素传感器，配合性能强大的图像引擎和成像算法，提供高达4K30的全高清广播级图像体验；</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w:t>
            </w:r>
            <w:r>
              <w:rPr>
                <w:rFonts w:hint="eastAsia" w:ascii="宋体" w:hAnsi="宋体" w:eastAsia="宋体" w:cs="宋体"/>
                <w:b/>
                <w:bCs/>
                <w:i w:val="0"/>
                <w:iCs w:val="0"/>
                <w:color w:val="auto"/>
                <w:kern w:val="0"/>
                <w:sz w:val="21"/>
                <w:szCs w:val="21"/>
                <w:highlight w:val="none"/>
                <w:u w:val="none"/>
                <w:lang w:val="en-US" w:eastAsia="zh-CN"/>
              </w:rPr>
              <w:t>内置20倍500万像素高性能电动变焦镜头，高达240倍的变焦效果（20倍光学+12倍数字），镜头无畸变，并可达到58°广角水平视角</w:t>
            </w:r>
            <w:r>
              <w:rPr>
                <w:rFonts w:hint="eastAsia" w:ascii="宋体" w:hAnsi="宋体" w:eastAsia="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3、采用新型的步进电机马达，云台运行安静平稳，定位精确迅速，水平最高速度可达200度/秒；</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4、宽动态范围，高信噪比的图像效果，配合独有的2D/3D降噪算法，大幅降低图像噪声，在低照环境下依然保持画面干净清晰</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5、支持2400/4800/9600/19200/38400 bps通信波特率，支持G.711alaw/G.711ulaw/AAC音频编码；</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6、采用高精度步进电机以及精密电机驱动控制器，确保云台低速运行平稳，并且无噪声；</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7、支持多路4K高清视频输出接口, HDMI、USB3.0、SDI、IP网络接口，支持同时2路高清视频并发的高质量图像传输</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8、支持内置视音频编码能力，支持H.265/H.264/MJPEG视频编码，可实现全高清超低带宽传输；</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9、支持YUV/H.264/MJPEG视频压缩</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 xml:space="preserve"> H.264: (3840×2160, 1920×1080，1280×720,800*600,640*480,704*576,320*240) 25/30fps</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MJPEG: (3840×2160,1920×1080，1280*720,800*600,640*480,704*576,320*240) /25/30fps</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YUV:(3840×2160)15fps(1920×1080，1280×720,800*600,640*480,704*576,320*240) 25/30fps</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10、支持IPV4, TCP, UDP, HTTP, FTP, NTP,DNS, DHCP,ARP, RTSP, RTP,RTCP, RTMP,NDI,SRT网络协议</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11、支持视频制式（高清）：</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3840x2160  25/30/29.97/23.98/59.94fps</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1920×1080 1280x720 25/30/29.97/23.98/59.94fps</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12、支持低功耗休眠/唤醒，耗低量低于10W；</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13、支持VISCA，VISCA OVER IP，支持标准协议(ONVIF)、支持私有SDK和第三方管理平台接入</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14、支持RS232、RS485和IP接口控制，兼容各种主流的通信协议，可实现对摄像机全面灵活的控制；</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15、支持多达255个预置位(遥控器设置调用为10个)；</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16、采用三级防静电、防雷保护技术，可抗8000V静电，符合GB/T17618-1998国家标准；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17、采用外置DC12V电源适配器供电方式，保证电压在不稳定情况下也能安全、稳定使用；</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18、支持中文简体、中文繁体、英文屏幕菜单，配合多功能红外遥控器，操作简便灵活</w:t>
            </w:r>
            <w:r>
              <w:rPr>
                <w:rFonts w:hint="eastAsia" w:ascii="宋体" w:hAnsi="宋体" w:cs="宋体"/>
                <w:i w:val="0"/>
                <w:iCs w:val="0"/>
                <w:color w:val="auto"/>
                <w:kern w:val="0"/>
                <w:sz w:val="21"/>
                <w:szCs w:val="21"/>
                <w:highlight w:val="none"/>
                <w:u w:val="none"/>
                <w:lang w:val="en-US" w:eastAsia="zh-CN"/>
              </w:rPr>
              <w:t>。</w:t>
            </w:r>
          </w:p>
        </w:tc>
      </w:tr>
      <w:tr w14:paraId="7840B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17161573">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26</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784A97F0">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摄像机</w:t>
            </w:r>
          </w:p>
          <w:p w14:paraId="26AFC5FF">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安装支架</w:t>
            </w:r>
          </w:p>
        </w:tc>
        <w:tc>
          <w:tcPr>
            <w:tcW w:w="404" w:type="pct"/>
            <w:tcBorders>
              <w:top w:val="single" w:color="auto" w:sz="4" w:space="0"/>
              <w:left w:val="single" w:color="auto" w:sz="4" w:space="0"/>
              <w:bottom w:val="single" w:color="auto" w:sz="4" w:space="0"/>
              <w:right w:val="single" w:color="auto" w:sz="4" w:space="0"/>
            </w:tcBorders>
            <w:vAlign w:val="center"/>
          </w:tcPr>
          <w:p w14:paraId="199BF931">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3</w:t>
            </w:r>
          </w:p>
        </w:tc>
        <w:tc>
          <w:tcPr>
            <w:tcW w:w="359" w:type="pct"/>
            <w:tcBorders>
              <w:top w:val="single" w:color="auto" w:sz="4" w:space="0"/>
              <w:left w:val="single" w:color="auto" w:sz="4" w:space="0"/>
              <w:bottom w:val="single" w:color="auto" w:sz="4" w:space="0"/>
              <w:right w:val="single" w:color="auto" w:sz="4" w:space="0"/>
            </w:tcBorders>
            <w:vAlign w:val="center"/>
          </w:tcPr>
          <w:p w14:paraId="34D0BDB0">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0DF0BF80">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1、配套定制摄像机安装支架，承载负载≥15KG</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2、支持侧装、倒装、吊装及立式安装</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3、含配套禁锢安装件</w:t>
            </w:r>
            <w:r>
              <w:rPr>
                <w:rFonts w:hint="eastAsia" w:ascii="宋体" w:hAnsi="宋体" w:cs="宋体"/>
                <w:i w:val="0"/>
                <w:iCs w:val="0"/>
                <w:color w:val="auto"/>
                <w:kern w:val="0"/>
                <w:sz w:val="21"/>
                <w:szCs w:val="21"/>
                <w:highlight w:val="none"/>
                <w:u w:val="none"/>
                <w:lang w:val="en-US" w:eastAsia="zh-CN"/>
              </w:rPr>
              <w:t>。</w:t>
            </w:r>
          </w:p>
        </w:tc>
      </w:tr>
      <w:tr w14:paraId="682AF3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2A273E96">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27</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22F5B1F2">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移动平板</w:t>
            </w:r>
          </w:p>
        </w:tc>
        <w:tc>
          <w:tcPr>
            <w:tcW w:w="404" w:type="pct"/>
            <w:tcBorders>
              <w:top w:val="single" w:color="auto" w:sz="4" w:space="0"/>
              <w:left w:val="single" w:color="auto" w:sz="4" w:space="0"/>
              <w:bottom w:val="single" w:color="auto" w:sz="4" w:space="0"/>
              <w:right w:val="single" w:color="auto" w:sz="4" w:space="0"/>
            </w:tcBorders>
            <w:vAlign w:val="center"/>
          </w:tcPr>
          <w:p w14:paraId="000A4640">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359" w:type="pct"/>
            <w:tcBorders>
              <w:top w:val="single" w:color="auto" w:sz="4" w:space="0"/>
              <w:left w:val="single" w:color="auto" w:sz="4" w:space="0"/>
              <w:bottom w:val="single" w:color="auto" w:sz="4" w:space="0"/>
              <w:right w:val="single" w:color="auto" w:sz="4" w:space="0"/>
            </w:tcBorders>
            <w:vAlign w:val="center"/>
          </w:tcPr>
          <w:p w14:paraId="0D47B669">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台</w:t>
            </w:r>
          </w:p>
        </w:tc>
        <w:tc>
          <w:tcPr>
            <w:tcW w:w="3135" w:type="pct"/>
            <w:tcBorders>
              <w:top w:val="single" w:color="auto" w:sz="4" w:space="0"/>
              <w:left w:val="single" w:color="auto" w:sz="4" w:space="0"/>
              <w:bottom w:val="single" w:color="auto" w:sz="4" w:space="0"/>
              <w:right w:val="single" w:color="auto" w:sz="4" w:space="0"/>
            </w:tcBorders>
            <w:vAlign w:val="center"/>
          </w:tcPr>
          <w:p w14:paraId="7A09C648">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1、屏幕尺寸 10.95英寸</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2、色域 DCI-P3广色域</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3、屏幕分辨率 2560x1600</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4、处理器核心 八核心</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5、系统内存 6GB</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6、内存类型 LPDDR4x</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7、存储容量 128GB</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8、存储介质 UFS3.1</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9、存储扩展 支持Micro SD（TF）卡，最大支持1TB</w:t>
            </w:r>
            <w:r>
              <w:rPr>
                <w:rFonts w:hint="eastAsia" w:ascii="宋体" w:hAnsi="宋体" w:cs="宋体"/>
                <w:i w:val="0"/>
                <w:iCs w:val="0"/>
                <w:color w:val="auto"/>
                <w:kern w:val="0"/>
                <w:sz w:val="21"/>
                <w:szCs w:val="21"/>
                <w:highlight w:val="none"/>
                <w:u w:val="none"/>
                <w:lang w:val="en-US" w:eastAsia="zh-CN"/>
              </w:rPr>
              <w:t>。</w:t>
            </w:r>
          </w:p>
        </w:tc>
      </w:tr>
      <w:tr w14:paraId="15AF0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68" w:type="pct"/>
            <w:tcBorders>
              <w:top w:val="single" w:color="auto" w:sz="4" w:space="0"/>
              <w:left w:val="single" w:color="auto" w:sz="4" w:space="0"/>
              <w:bottom w:val="single" w:color="auto" w:sz="4" w:space="0"/>
              <w:right w:val="single" w:color="auto" w:sz="4" w:space="0"/>
            </w:tcBorders>
            <w:vAlign w:val="center"/>
          </w:tcPr>
          <w:p w14:paraId="6C7067FB">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28</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0631EDCC">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网络交换机</w:t>
            </w:r>
          </w:p>
        </w:tc>
        <w:tc>
          <w:tcPr>
            <w:tcW w:w="404" w:type="pct"/>
            <w:tcBorders>
              <w:top w:val="single" w:color="auto" w:sz="4" w:space="0"/>
              <w:left w:val="single" w:color="auto" w:sz="4" w:space="0"/>
              <w:bottom w:val="single" w:color="auto" w:sz="4" w:space="0"/>
              <w:right w:val="single" w:color="auto" w:sz="4" w:space="0"/>
            </w:tcBorders>
            <w:vAlign w:val="center"/>
          </w:tcPr>
          <w:p w14:paraId="2DCE2273">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4</w:t>
            </w:r>
          </w:p>
        </w:tc>
        <w:tc>
          <w:tcPr>
            <w:tcW w:w="359" w:type="pct"/>
            <w:tcBorders>
              <w:top w:val="single" w:color="auto" w:sz="4" w:space="0"/>
              <w:left w:val="single" w:color="auto" w:sz="4" w:space="0"/>
              <w:bottom w:val="single" w:color="auto" w:sz="4" w:space="0"/>
              <w:right w:val="single" w:color="auto" w:sz="4" w:space="0"/>
            </w:tcBorders>
            <w:vAlign w:val="center"/>
          </w:tcPr>
          <w:p w14:paraId="0AF52166">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台</w:t>
            </w:r>
          </w:p>
        </w:tc>
        <w:tc>
          <w:tcPr>
            <w:tcW w:w="3135" w:type="pct"/>
            <w:tcBorders>
              <w:top w:val="single" w:color="auto" w:sz="4" w:space="0"/>
              <w:left w:val="single" w:color="auto" w:sz="4" w:space="0"/>
              <w:bottom w:val="single" w:color="auto" w:sz="4" w:space="0"/>
              <w:right w:val="single" w:color="auto" w:sz="4" w:space="0"/>
            </w:tcBorders>
            <w:vAlign w:val="center"/>
          </w:tcPr>
          <w:p w14:paraId="3A128609">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rPr>
              <w:t>1、主要参数：产品类型千兆以太网交换机，应用层级二层，传输速率10/100/1000Mbps，交换方式存储-转发，交换容量不劣于50Gbps，包转发率不劣于40Mpps</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2、端口参数：端口结构非模块化，端口描述24个10/100/1000Base-T以太网端口，4个1000Base-X以太网端口，控制端口1个Console口</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3、传输模式全双工/半双工自适应</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4、功能特性：VLAN支持802.1Q（最大4K个VLAN），支持基于MAC的VLAN，支持GUEST VLAN，QOS支持Diff-Serv QoS</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5、组播管理支持IGMP V1/V2/V3 Snooping</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6、网络管理支持Console/AUX Modem/Telnet/SSH2.0命令行配置，支持FTP、TFTP、Xmodem、SFTP文件上下载管理</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7、安全管理支持用户分级管理和口令保护，支持SSHv2，为用户登录提供安全加密通道，支持SSL，保障数据传输安全</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8、支持可控IP地址的FTP登录和口令机制，支持防止ARP、未知组播报文、广播报文、未知单播报文、本机网段路由扫描报文、TTL=1报文、协议报文等攻击功能</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9、支持IP＋MAC+PORT+VLAN绑定功能，支持IEEE 802.1x</w:t>
            </w:r>
            <w:r>
              <w:rPr>
                <w:rFonts w:hint="eastAsia" w:ascii="宋体" w:hAnsi="宋体" w:cs="宋体"/>
                <w:i w:val="0"/>
                <w:iCs w:val="0"/>
                <w:color w:val="auto"/>
                <w:kern w:val="0"/>
                <w:sz w:val="21"/>
                <w:szCs w:val="21"/>
                <w:highlight w:val="none"/>
                <w:u w:val="none"/>
                <w:lang w:val="en-US" w:eastAsia="zh-CN"/>
              </w:rPr>
              <w:t>。</w:t>
            </w:r>
          </w:p>
        </w:tc>
      </w:tr>
      <w:tr w14:paraId="3CA4B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368" w:type="pct"/>
            <w:tcBorders>
              <w:top w:val="single" w:color="auto" w:sz="4" w:space="0"/>
              <w:left w:val="single" w:color="auto" w:sz="4" w:space="0"/>
              <w:bottom w:val="single" w:color="auto" w:sz="4" w:space="0"/>
              <w:right w:val="single" w:color="auto" w:sz="4" w:space="0"/>
            </w:tcBorders>
            <w:vAlign w:val="center"/>
          </w:tcPr>
          <w:p w14:paraId="48C6DDB9">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29</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5E102B72">
            <w:pPr>
              <w:keepNext w:val="0"/>
              <w:keepLines w:val="0"/>
              <w:widowControl/>
              <w:suppressLineNumbers w:val="0"/>
              <w:snapToGrid w:val="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无线同屏器</w:t>
            </w:r>
          </w:p>
        </w:tc>
        <w:tc>
          <w:tcPr>
            <w:tcW w:w="404" w:type="pct"/>
            <w:tcBorders>
              <w:top w:val="single" w:color="auto" w:sz="4" w:space="0"/>
              <w:left w:val="single" w:color="auto" w:sz="4" w:space="0"/>
              <w:bottom w:val="single" w:color="auto" w:sz="4" w:space="0"/>
              <w:right w:val="single" w:color="auto" w:sz="4" w:space="0"/>
            </w:tcBorders>
            <w:vAlign w:val="center"/>
          </w:tcPr>
          <w:p w14:paraId="0F48C511">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359" w:type="pct"/>
            <w:tcBorders>
              <w:top w:val="single" w:color="auto" w:sz="4" w:space="0"/>
              <w:left w:val="single" w:color="auto" w:sz="4" w:space="0"/>
              <w:bottom w:val="single" w:color="auto" w:sz="4" w:space="0"/>
              <w:right w:val="single" w:color="auto" w:sz="4" w:space="0"/>
            </w:tcBorders>
            <w:vAlign w:val="center"/>
          </w:tcPr>
          <w:p w14:paraId="0752CF32">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04E1F343">
            <w:pPr>
              <w:keepNext w:val="0"/>
              <w:keepLines w:val="0"/>
              <w:widowControl/>
              <w:suppressLineNumbers w:val="0"/>
              <w:snapToGrid w:val="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rPr>
              <w:t>1、配置安装同一个网络构架下</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2、支持系统类型 Windows,Apple Mac</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3、支持分辨率 2K~4K</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4、帧率 音视频30~60帧，整体延迟 5~20ms</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5、显示模式 支持扩展桌面</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6、触摸反控 支持鼠标模式回传（Windows,Mac）</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7、连接路数 1~100（依据版本不同开放不同权限）</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8、最大同时显示路数4路</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9、具备触摸屏幕列表选择指定PC传屏，与会人员模式优先等级按下传屏按钮谁就获取传屏控制权</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10、无线速率 接收端1200Mbps,发射端1200Mbps</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11、无线传输协议 IEEE 802.11 a/g/n</w:t>
            </w:r>
            <w:r>
              <w:rPr>
                <w:rFonts w:hint="eastAsia" w:ascii="宋体" w:hAnsi="宋体" w:cs="宋体"/>
                <w:i w:val="0"/>
                <w:iCs w:val="0"/>
                <w:color w:val="auto"/>
                <w:kern w:val="0"/>
                <w:sz w:val="21"/>
                <w:szCs w:val="21"/>
                <w:highlight w:val="none"/>
                <w:u w:val="none"/>
                <w:lang w:val="en-US" w:eastAsia="zh-CN"/>
              </w:rPr>
              <w:t>。</w:t>
            </w:r>
          </w:p>
        </w:tc>
      </w:tr>
      <w:tr w14:paraId="7B0D1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368" w:type="pct"/>
            <w:tcBorders>
              <w:top w:val="single" w:color="auto" w:sz="4" w:space="0"/>
              <w:left w:val="single" w:color="auto" w:sz="4" w:space="0"/>
              <w:bottom w:val="single" w:color="auto" w:sz="4" w:space="0"/>
              <w:right w:val="single" w:color="auto" w:sz="4" w:space="0"/>
            </w:tcBorders>
            <w:vAlign w:val="center"/>
          </w:tcPr>
          <w:p w14:paraId="0CAEF10A">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30</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4227A0D8">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观众席及舞台信息终端</w:t>
            </w:r>
          </w:p>
        </w:tc>
        <w:tc>
          <w:tcPr>
            <w:tcW w:w="404" w:type="pct"/>
            <w:tcBorders>
              <w:top w:val="single" w:color="auto" w:sz="4" w:space="0"/>
              <w:left w:val="single" w:color="auto" w:sz="4" w:space="0"/>
              <w:bottom w:val="single" w:color="auto" w:sz="4" w:space="0"/>
              <w:right w:val="single" w:color="auto" w:sz="4" w:space="0"/>
            </w:tcBorders>
            <w:vAlign w:val="center"/>
          </w:tcPr>
          <w:p w14:paraId="32944B4F">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5</w:t>
            </w:r>
          </w:p>
        </w:tc>
        <w:tc>
          <w:tcPr>
            <w:tcW w:w="359" w:type="pct"/>
            <w:tcBorders>
              <w:top w:val="single" w:color="auto" w:sz="4" w:space="0"/>
              <w:left w:val="single" w:color="auto" w:sz="4" w:space="0"/>
              <w:bottom w:val="single" w:color="auto" w:sz="4" w:space="0"/>
              <w:right w:val="single" w:color="auto" w:sz="4" w:space="0"/>
            </w:tcBorders>
            <w:vAlign w:val="center"/>
          </w:tcPr>
          <w:p w14:paraId="0B8E0380">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64DE8C77">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1、隐蔽安装信息采集模块</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2、具备3.5mm/6.5mm/卡龙/DA-NET信号接口</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3、具备2K-4K节点平台模块信号输出接口</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4、配置电源模块</w:t>
            </w:r>
            <w:r>
              <w:rPr>
                <w:rFonts w:hint="eastAsia" w:ascii="宋体" w:hAnsi="宋体" w:cs="宋体"/>
                <w:i w:val="0"/>
                <w:iCs w:val="0"/>
                <w:color w:val="auto"/>
                <w:kern w:val="0"/>
                <w:sz w:val="21"/>
                <w:szCs w:val="21"/>
                <w:highlight w:val="none"/>
                <w:u w:val="none"/>
                <w:lang w:val="en-US" w:eastAsia="zh-CN"/>
              </w:rPr>
              <w:t>。</w:t>
            </w:r>
          </w:p>
        </w:tc>
      </w:tr>
      <w:tr w14:paraId="2656B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368" w:type="pct"/>
            <w:tcBorders>
              <w:top w:val="single" w:color="auto" w:sz="4" w:space="0"/>
              <w:left w:val="single" w:color="auto" w:sz="4" w:space="0"/>
              <w:bottom w:val="single" w:color="auto" w:sz="4" w:space="0"/>
              <w:right w:val="single" w:color="auto" w:sz="4" w:space="0"/>
            </w:tcBorders>
            <w:vAlign w:val="center"/>
          </w:tcPr>
          <w:p w14:paraId="20564E6D">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31</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5BA868D9">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控制室信号显示屏</w:t>
            </w:r>
          </w:p>
        </w:tc>
        <w:tc>
          <w:tcPr>
            <w:tcW w:w="404" w:type="pct"/>
            <w:tcBorders>
              <w:top w:val="single" w:color="auto" w:sz="4" w:space="0"/>
              <w:left w:val="single" w:color="auto" w:sz="4" w:space="0"/>
              <w:bottom w:val="single" w:color="auto" w:sz="4" w:space="0"/>
              <w:right w:val="single" w:color="auto" w:sz="4" w:space="0"/>
            </w:tcBorders>
            <w:vAlign w:val="center"/>
          </w:tcPr>
          <w:p w14:paraId="6E10828E">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4</w:t>
            </w:r>
          </w:p>
        </w:tc>
        <w:tc>
          <w:tcPr>
            <w:tcW w:w="359" w:type="pct"/>
            <w:tcBorders>
              <w:top w:val="single" w:color="auto" w:sz="4" w:space="0"/>
              <w:left w:val="single" w:color="auto" w:sz="4" w:space="0"/>
              <w:bottom w:val="single" w:color="auto" w:sz="4" w:space="0"/>
              <w:right w:val="single" w:color="auto" w:sz="4" w:space="0"/>
            </w:tcBorders>
            <w:vAlign w:val="center"/>
          </w:tcPr>
          <w:p w14:paraId="742607F2">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3B32E55C">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1、采用≥32英寸IPS面板4K原装屏体</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2、分辨率：3840×2160（4K）；</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3、可视角度178°，刷新率60HZ，支持双频无线WIFI，支持红外功能，支持蓝牙5.0传输协议</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4、内置网络投屏系统，支持安卓、苹果系统；</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5、亮度：500cd/㎡；</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6、静态对比度：3000：1；</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7、可视角度：≥178度(H)/178度(V)；</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8、连续工作时间：7*24H</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9、接口：视频接口DVI-D/DP1、2/HDMI*2/ USB *2，控制接口 RS232/RJ45，内置8W音箱*2</w:t>
            </w:r>
            <w:r>
              <w:rPr>
                <w:rFonts w:hint="eastAsia" w:ascii="宋体" w:hAnsi="宋体" w:cs="宋体"/>
                <w:i w:val="0"/>
                <w:iCs w:val="0"/>
                <w:color w:val="auto"/>
                <w:kern w:val="0"/>
                <w:sz w:val="21"/>
                <w:szCs w:val="21"/>
                <w:highlight w:val="none"/>
                <w:u w:val="none"/>
                <w:lang w:val="en-US" w:eastAsia="zh-CN"/>
              </w:rPr>
              <w:t>。</w:t>
            </w:r>
          </w:p>
        </w:tc>
      </w:tr>
      <w:tr w14:paraId="1AD72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368" w:type="pct"/>
            <w:tcBorders>
              <w:top w:val="single" w:color="auto" w:sz="4" w:space="0"/>
              <w:left w:val="single" w:color="auto" w:sz="4" w:space="0"/>
              <w:bottom w:val="single" w:color="auto" w:sz="4" w:space="0"/>
              <w:right w:val="single" w:color="auto" w:sz="4" w:space="0"/>
            </w:tcBorders>
            <w:vAlign w:val="center"/>
          </w:tcPr>
          <w:p w14:paraId="4D30D0BF">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32</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3C8A590F">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视频工作站</w:t>
            </w:r>
          </w:p>
        </w:tc>
        <w:tc>
          <w:tcPr>
            <w:tcW w:w="404" w:type="pct"/>
            <w:tcBorders>
              <w:top w:val="single" w:color="auto" w:sz="4" w:space="0"/>
              <w:left w:val="single" w:color="auto" w:sz="4" w:space="0"/>
              <w:bottom w:val="single" w:color="auto" w:sz="4" w:space="0"/>
              <w:right w:val="single" w:color="auto" w:sz="4" w:space="0"/>
            </w:tcBorders>
            <w:vAlign w:val="center"/>
          </w:tcPr>
          <w:p w14:paraId="226B9BB4">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2</w:t>
            </w:r>
          </w:p>
        </w:tc>
        <w:tc>
          <w:tcPr>
            <w:tcW w:w="359" w:type="pct"/>
            <w:tcBorders>
              <w:top w:val="single" w:color="auto" w:sz="4" w:space="0"/>
              <w:left w:val="single" w:color="auto" w:sz="4" w:space="0"/>
              <w:bottom w:val="single" w:color="auto" w:sz="4" w:space="0"/>
              <w:right w:val="single" w:color="auto" w:sz="4" w:space="0"/>
            </w:tcBorders>
            <w:vAlign w:val="center"/>
          </w:tcPr>
          <w:p w14:paraId="0B222FCD">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1B141F39">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1、主板，电源等关键部件有原厂商统一品牌标志</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b/>
                <w:bCs/>
                <w:i w:val="0"/>
                <w:iCs w:val="0"/>
                <w:color w:val="auto"/>
                <w:kern w:val="0"/>
                <w:sz w:val="21"/>
                <w:szCs w:val="21"/>
                <w:highlight w:val="none"/>
                <w:u w:val="none"/>
                <w:lang w:val="en-US" w:eastAsia="zh-CN"/>
              </w:rPr>
              <w:t>▲2、CPU：英特尔第九代酷睿六核处理器I5或以上，配置风扇导流罩</w:t>
            </w:r>
            <w:r>
              <w:rPr>
                <w:rFonts w:hint="eastAsia" w:ascii="宋体" w:hAnsi="宋体" w:cs="宋体"/>
                <w:b/>
                <w:bCs/>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3、主板：英特尔 B365芯片组或以上，PCI扩展插槽≥2个PCI+1个PCI-Ex1+1个PCI-Ex16</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b/>
                <w:bCs/>
                <w:i w:val="0"/>
                <w:iCs w:val="0"/>
                <w:color w:val="auto"/>
                <w:kern w:val="0"/>
                <w:sz w:val="21"/>
                <w:szCs w:val="21"/>
                <w:highlight w:val="none"/>
                <w:u w:val="none"/>
                <w:lang w:val="en-US" w:eastAsia="zh-CN"/>
              </w:rPr>
              <w:t>▲4、内存：≥16G DDR4 2666MHZ</w:t>
            </w:r>
            <w:r>
              <w:rPr>
                <w:rFonts w:hint="eastAsia" w:ascii="宋体" w:hAnsi="宋体" w:cs="宋体"/>
                <w:b/>
                <w:bCs/>
                <w:i w:val="0"/>
                <w:iCs w:val="0"/>
                <w:color w:val="auto"/>
                <w:kern w:val="0"/>
                <w:sz w:val="21"/>
                <w:szCs w:val="21"/>
                <w:highlight w:val="none"/>
                <w:u w:val="none"/>
                <w:lang w:val="en-US" w:eastAsia="zh-CN"/>
              </w:rPr>
              <w:t>；</w:t>
            </w:r>
            <w:r>
              <w:rPr>
                <w:rFonts w:hint="eastAsia" w:ascii="宋体" w:hAnsi="宋体" w:eastAsia="宋体" w:cs="宋体"/>
                <w:b/>
                <w:bCs/>
                <w:i w:val="0"/>
                <w:iCs w:val="0"/>
                <w:color w:val="auto"/>
                <w:kern w:val="0"/>
                <w:sz w:val="21"/>
                <w:szCs w:val="21"/>
                <w:highlight w:val="none"/>
                <w:u w:val="none"/>
                <w:lang w:val="en-US" w:eastAsia="zh-CN"/>
              </w:rPr>
              <w:br w:type="textWrapping"/>
            </w:r>
            <w:r>
              <w:rPr>
                <w:rFonts w:hint="eastAsia" w:ascii="宋体" w:hAnsi="宋体" w:eastAsia="宋体" w:cs="宋体"/>
                <w:b/>
                <w:bCs/>
                <w:i w:val="0"/>
                <w:iCs w:val="0"/>
                <w:color w:val="auto"/>
                <w:kern w:val="0"/>
                <w:sz w:val="21"/>
                <w:szCs w:val="21"/>
                <w:highlight w:val="none"/>
                <w:u w:val="none"/>
                <w:lang w:val="en-US" w:eastAsia="zh-CN"/>
              </w:rPr>
              <w:t>▲5、硬盘：≥512G固态</w:t>
            </w:r>
            <w:r>
              <w:rPr>
                <w:rFonts w:hint="eastAsia" w:ascii="宋体" w:hAnsi="宋体" w:cs="宋体"/>
                <w:b/>
                <w:bCs/>
                <w:i w:val="0"/>
                <w:iCs w:val="0"/>
                <w:color w:val="auto"/>
                <w:kern w:val="0"/>
                <w:sz w:val="21"/>
                <w:szCs w:val="21"/>
                <w:highlight w:val="none"/>
                <w:u w:val="none"/>
                <w:lang w:val="en-US" w:eastAsia="zh-CN"/>
              </w:rPr>
              <w:t>；</w:t>
            </w:r>
            <w:r>
              <w:rPr>
                <w:rFonts w:hint="eastAsia" w:ascii="宋体" w:hAnsi="宋体" w:eastAsia="宋体" w:cs="宋体"/>
                <w:b/>
                <w:bCs/>
                <w:i w:val="0"/>
                <w:iCs w:val="0"/>
                <w:color w:val="auto"/>
                <w:kern w:val="0"/>
                <w:sz w:val="21"/>
                <w:szCs w:val="21"/>
                <w:highlight w:val="none"/>
                <w:u w:val="none"/>
                <w:lang w:val="en-US" w:eastAsia="zh-CN"/>
              </w:rPr>
              <w:br w:type="textWrapping"/>
            </w:r>
            <w:r>
              <w:rPr>
                <w:rFonts w:hint="eastAsia" w:ascii="宋体" w:hAnsi="宋体" w:eastAsia="宋体" w:cs="宋体"/>
                <w:b/>
                <w:bCs/>
                <w:i w:val="0"/>
                <w:iCs w:val="0"/>
                <w:color w:val="auto"/>
                <w:kern w:val="0"/>
                <w:sz w:val="21"/>
                <w:szCs w:val="21"/>
                <w:highlight w:val="none"/>
                <w:u w:val="none"/>
                <w:lang w:val="en-US" w:eastAsia="zh-CN"/>
              </w:rPr>
              <w:t>▲6、显卡：配置≥2G独立显卡</w:t>
            </w:r>
            <w:r>
              <w:rPr>
                <w:rFonts w:hint="eastAsia" w:ascii="宋体" w:hAnsi="宋体" w:cs="宋体"/>
                <w:b/>
                <w:bCs/>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7、光驱：无</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8、电源：更好扩展性，≥290W节能电源</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9、接口：≥8个USB口（前置≥4个USB 3.0），≥1个VGA接口，≥1个HDMI接口, ≥1个9针COM接口，≥2个PS/2接口</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10、机箱：方便扩展与散热，机型体积大于17L，顶置隐藏式提手，后置电源故障诊断灯</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11、系统配置KVM坐席控制平台</w:t>
            </w:r>
            <w:r>
              <w:rPr>
                <w:rFonts w:hint="eastAsia" w:ascii="宋体" w:hAnsi="宋体" w:cs="宋体"/>
                <w:i w:val="0"/>
                <w:iCs w:val="0"/>
                <w:color w:val="auto"/>
                <w:kern w:val="0"/>
                <w:sz w:val="21"/>
                <w:szCs w:val="21"/>
                <w:highlight w:val="none"/>
                <w:u w:val="none"/>
                <w:lang w:val="en-US" w:eastAsia="zh-CN"/>
              </w:rPr>
              <w:t>。</w:t>
            </w:r>
          </w:p>
        </w:tc>
      </w:tr>
      <w:tr w14:paraId="1F2E3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368" w:type="pct"/>
            <w:tcBorders>
              <w:top w:val="single" w:color="auto" w:sz="4" w:space="0"/>
              <w:left w:val="single" w:color="auto" w:sz="4" w:space="0"/>
              <w:bottom w:val="single" w:color="auto" w:sz="4" w:space="0"/>
              <w:right w:val="single" w:color="auto" w:sz="4" w:space="0"/>
            </w:tcBorders>
            <w:vAlign w:val="center"/>
          </w:tcPr>
          <w:p w14:paraId="2D97A902">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33</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33168D13">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控制室万向导轨支架</w:t>
            </w:r>
          </w:p>
        </w:tc>
        <w:tc>
          <w:tcPr>
            <w:tcW w:w="404" w:type="pct"/>
            <w:tcBorders>
              <w:top w:val="single" w:color="auto" w:sz="4" w:space="0"/>
              <w:left w:val="single" w:color="auto" w:sz="4" w:space="0"/>
              <w:bottom w:val="single" w:color="auto" w:sz="4" w:space="0"/>
              <w:right w:val="single" w:color="auto" w:sz="4" w:space="0"/>
            </w:tcBorders>
            <w:vAlign w:val="center"/>
          </w:tcPr>
          <w:p w14:paraId="00513B1B">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4</w:t>
            </w:r>
          </w:p>
        </w:tc>
        <w:tc>
          <w:tcPr>
            <w:tcW w:w="359" w:type="pct"/>
            <w:tcBorders>
              <w:top w:val="single" w:color="auto" w:sz="4" w:space="0"/>
              <w:left w:val="single" w:color="auto" w:sz="4" w:space="0"/>
              <w:bottom w:val="single" w:color="auto" w:sz="4" w:space="0"/>
              <w:right w:val="single" w:color="auto" w:sz="4" w:space="0"/>
            </w:tcBorders>
            <w:vAlign w:val="center"/>
          </w:tcPr>
          <w:p w14:paraId="7E926C34">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2EAC8BF7">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1、智能万向架，采用高强度压铸铝主臂，单臂承重范围为：4-10kg</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2、支架底座设计有安全防护垫胶，可桌面的平行安装，支持安装厚度为10-90mm</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3、采用气弹簧助力系统，可自由悬停，高低升降度为0-560mm</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4、可倾仰调节，适合不同角度的需求，调节角度可达-85°-15°</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5、可实现360°左右旋转与XY轴万向旋转，满足不同工作需求</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6、支架主体采用隐藏式走线结构</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7、双USB充电信息接口，支架单臂可实现前后延伸最大范围720max</w:t>
            </w:r>
            <w:r>
              <w:rPr>
                <w:rFonts w:hint="eastAsia" w:ascii="宋体" w:hAnsi="宋体" w:cs="宋体"/>
                <w:i w:val="0"/>
                <w:iCs w:val="0"/>
                <w:color w:val="auto"/>
                <w:kern w:val="0"/>
                <w:sz w:val="21"/>
                <w:szCs w:val="21"/>
                <w:highlight w:val="none"/>
                <w:u w:val="none"/>
                <w:lang w:val="en-US" w:eastAsia="zh-CN"/>
              </w:rPr>
              <w:t>。</w:t>
            </w:r>
          </w:p>
        </w:tc>
      </w:tr>
      <w:tr w14:paraId="460F1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368" w:type="pct"/>
            <w:tcBorders>
              <w:top w:val="single" w:color="auto" w:sz="4" w:space="0"/>
              <w:left w:val="single" w:color="auto" w:sz="4" w:space="0"/>
              <w:bottom w:val="single" w:color="auto" w:sz="4" w:space="0"/>
              <w:right w:val="single" w:color="auto" w:sz="4" w:space="0"/>
            </w:tcBorders>
            <w:vAlign w:val="center"/>
          </w:tcPr>
          <w:p w14:paraId="7FED86B1">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34</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36F47987">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高清数据</w:t>
            </w:r>
          </w:p>
          <w:p w14:paraId="6FB2AA43">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传输线缆</w:t>
            </w:r>
          </w:p>
        </w:tc>
        <w:tc>
          <w:tcPr>
            <w:tcW w:w="404" w:type="pct"/>
            <w:tcBorders>
              <w:top w:val="single" w:color="auto" w:sz="4" w:space="0"/>
              <w:left w:val="single" w:color="auto" w:sz="4" w:space="0"/>
              <w:bottom w:val="single" w:color="auto" w:sz="4" w:space="0"/>
              <w:right w:val="single" w:color="auto" w:sz="4" w:space="0"/>
            </w:tcBorders>
            <w:vAlign w:val="center"/>
          </w:tcPr>
          <w:p w14:paraId="69234605">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400</w:t>
            </w:r>
          </w:p>
        </w:tc>
        <w:tc>
          <w:tcPr>
            <w:tcW w:w="359" w:type="pct"/>
            <w:tcBorders>
              <w:top w:val="single" w:color="auto" w:sz="4" w:space="0"/>
              <w:left w:val="single" w:color="auto" w:sz="4" w:space="0"/>
              <w:bottom w:val="single" w:color="auto" w:sz="4" w:space="0"/>
              <w:right w:val="single" w:color="auto" w:sz="4" w:space="0"/>
            </w:tcBorders>
            <w:vAlign w:val="center"/>
          </w:tcPr>
          <w:p w14:paraId="3FEAF087">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米</w:t>
            </w:r>
          </w:p>
        </w:tc>
        <w:tc>
          <w:tcPr>
            <w:tcW w:w="3135" w:type="pct"/>
            <w:tcBorders>
              <w:top w:val="single" w:color="auto" w:sz="4" w:space="0"/>
              <w:left w:val="single" w:color="auto" w:sz="4" w:space="0"/>
              <w:bottom w:val="single" w:color="auto" w:sz="4" w:space="0"/>
              <w:right w:val="single" w:color="auto" w:sz="4" w:space="0"/>
            </w:tcBorders>
            <w:vAlign w:val="center"/>
          </w:tcPr>
          <w:p w14:paraId="2DBDCA2E">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1、节点之间HDMI/VGA/DVI/SID高清数据线传输，包含高清数据接插件</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2、设备终端间电源线、网线、485控制线传输</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3、线缆管线施工预埋敷设，包含开槽及恢复施工作业</w:t>
            </w:r>
            <w:r>
              <w:rPr>
                <w:rFonts w:hint="eastAsia" w:ascii="宋体" w:hAnsi="宋体" w:cs="宋体"/>
                <w:i w:val="0"/>
                <w:iCs w:val="0"/>
                <w:color w:val="auto"/>
                <w:kern w:val="0"/>
                <w:sz w:val="21"/>
                <w:szCs w:val="21"/>
                <w:highlight w:val="none"/>
                <w:u w:val="none"/>
                <w:lang w:val="en-US" w:eastAsia="zh-CN"/>
              </w:rPr>
              <w:t>。</w:t>
            </w:r>
          </w:p>
        </w:tc>
      </w:tr>
      <w:tr w14:paraId="07033C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368" w:type="pct"/>
            <w:tcBorders>
              <w:top w:val="single" w:color="auto" w:sz="4" w:space="0"/>
              <w:left w:val="single" w:color="auto" w:sz="4" w:space="0"/>
              <w:bottom w:val="single" w:color="auto" w:sz="4" w:space="0"/>
              <w:right w:val="single" w:color="auto" w:sz="4" w:space="0"/>
            </w:tcBorders>
            <w:vAlign w:val="center"/>
          </w:tcPr>
          <w:p w14:paraId="0CF4E719">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35</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25EB68D7">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大屏分区</w:t>
            </w:r>
          </w:p>
          <w:p w14:paraId="248F69E6">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配电电缆线</w:t>
            </w:r>
          </w:p>
        </w:tc>
        <w:tc>
          <w:tcPr>
            <w:tcW w:w="404" w:type="pct"/>
            <w:tcBorders>
              <w:top w:val="single" w:color="auto" w:sz="4" w:space="0"/>
              <w:left w:val="single" w:color="auto" w:sz="4" w:space="0"/>
              <w:bottom w:val="single" w:color="auto" w:sz="4" w:space="0"/>
              <w:right w:val="single" w:color="auto" w:sz="4" w:space="0"/>
            </w:tcBorders>
            <w:vAlign w:val="center"/>
          </w:tcPr>
          <w:p w14:paraId="2244A0A6">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4500</w:t>
            </w:r>
          </w:p>
        </w:tc>
        <w:tc>
          <w:tcPr>
            <w:tcW w:w="359" w:type="pct"/>
            <w:tcBorders>
              <w:top w:val="single" w:color="auto" w:sz="4" w:space="0"/>
              <w:left w:val="single" w:color="auto" w:sz="4" w:space="0"/>
              <w:bottom w:val="single" w:color="auto" w:sz="4" w:space="0"/>
              <w:right w:val="single" w:color="auto" w:sz="4" w:space="0"/>
            </w:tcBorders>
            <w:vAlign w:val="center"/>
          </w:tcPr>
          <w:p w14:paraId="19ECFD27">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米</w:t>
            </w:r>
          </w:p>
        </w:tc>
        <w:tc>
          <w:tcPr>
            <w:tcW w:w="3135" w:type="pct"/>
            <w:tcBorders>
              <w:top w:val="single" w:color="auto" w:sz="4" w:space="0"/>
              <w:left w:val="single" w:color="auto" w:sz="4" w:space="0"/>
              <w:bottom w:val="single" w:color="auto" w:sz="4" w:space="0"/>
              <w:right w:val="single" w:color="auto" w:sz="4" w:space="0"/>
            </w:tcBorders>
            <w:vAlign w:val="center"/>
          </w:tcPr>
          <w:p w14:paraId="300C00EC">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RVV3*2.5mm平方橡胶护套电缆</w:t>
            </w:r>
            <w:r>
              <w:rPr>
                <w:rFonts w:hint="eastAsia" w:ascii="宋体" w:hAnsi="宋体" w:cs="宋体"/>
                <w:i w:val="0"/>
                <w:iCs w:val="0"/>
                <w:color w:val="auto"/>
                <w:kern w:val="0"/>
                <w:sz w:val="21"/>
                <w:szCs w:val="21"/>
                <w:highlight w:val="none"/>
                <w:u w:val="none"/>
                <w:lang w:val="en-US" w:eastAsia="zh-CN"/>
              </w:rPr>
              <w:t>。</w:t>
            </w:r>
          </w:p>
        </w:tc>
      </w:tr>
      <w:tr w14:paraId="71413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368" w:type="pct"/>
            <w:tcBorders>
              <w:top w:val="single" w:color="auto" w:sz="4" w:space="0"/>
              <w:left w:val="single" w:color="auto" w:sz="4" w:space="0"/>
              <w:bottom w:val="single" w:color="auto" w:sz="4" w:space="0"/>
              <w:right w:val="single" w:color="auto" w:sz="4" w:space="0"/>
            </w:tcBorders>
            <w:vAlign w:val="center"/>
          </w:tcPr>
          <w:p w14:paraId="664C3309">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36</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5D0D5572">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大屏主配</w:t>
            </w:r>
            <w:r>
              <w:rPr>
                <w:rFonts w:hint="eastAsia" w:ascii="宋体" w:hAnsi="宋体" w:eastAsia="宋体" w:cs="宋体"/>
                <w:i w:val="0"/>
                <w:iCs w:val="0"/>
                <w:color w:val="auto"/>
                <w:kern w:val="0"/>
                <w:sz w:val="21"/>
                <w:szCs w:val="21"/>
                <w:highlight w:val="none"/>
                <w:u w:val="none"/>
                <w:lang w:val="en-US" w:eastAsia="zh-CN"/>
              </w:rPr>
              <w:t>电电</w:t>
            </w:r>
            <w:r>
              <w:rPr>
                <w:rFonts w:hint="eastAsia" w:ascii="宋体" w:hAnsi="宋体" w:eastAsia="宋体" w:cs="宋体"/>
                <w:i w:val="0"/>
                <w:iCs w:val="0"/>
                <w:color w:val="auto"/>
                <w:kern w:val="0"/>
                <w:sz w:val="21"/>
                <w:szCs w:val="21"/>
                <w:highlight w:val="none"/>
                <w:u w:val="none"/>
                <w:lang w:val="en-US" w:eastAsia="zh-CN"/>
              </w:rPr>
              <w:t>缆线</w:t>
            </w:r>
          </w:p>
        </w:tc>
        <w:tc>
          <w:tcPr>
            <w:tcW w:w="404" w:type="pct"/>
            <w:tcBorders>
              <w:top w:val="single" w:color="auto" w:sz="4" w:space="0"/>
              <w:left w:val="single" w:color="auto" w:sz="4" w:space="0"/>
              <w:bottom w:val="single" w:color="auto" w:sz="4" w:space="0"/>
              <w:right w:val="single" w:color="auto" w:sz="4" w:space="0"/>
            </w:tcBorders>
            <w:vAlign w:val="center"/>
          </w:tcPr>
          <w:p w14:paraId="156CE2C9">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320</w:t>
            </w:r>
          </w:p>
        </w:tc>
        <w:tc>
          <w:tcPr>
            <w:tcW w:w="359" w:type="pct"/>
            <w:tcBorders>
              <w:top w:val="single" w:color="auto" w:sz="4" w:space="0"/>
              <w:left w:val="single" w:color="auto" w:sz="4" w:space="0"/>
              <w:bottom w:val="single" w:color="auto" w:sz="4" w:space="0"/>
              <w:right w:val="single" w:color="auto" w:sz="4" w:space="0"/>
            </w:tcBorders>
            <w:vAlign w:val="center"/>
          </w:tcPr>
          <w:p w14:paraId="5AAC83B4">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米</w:t>
            </w:r>
          </w:p>
        </w:tc>
        <w:tc>
          <w:tcPr>
            <w:tcW w:w="3135" w:type="pct"/>
            <w:tcBorders>
              <w:top w:val="single" w:color="auto" w:sz="4" w:space="0"/>
              <w:left w:val="single" w:color="auto" w:sz="4" w:space="0"/>
              <w:bottom w:val="single" w:color="auto" w:sz="4" w:space="0"/>
              <w:right w:val="single" w:color="auto" w:sz="4" w:space="0"/>
            </w:tcBorders>
            <w:vAlign w:val="center"/>
          </w:tcPr>
          <w:p w14:paraId="708457EC">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RVV4*25mm+1*16mm平方橡胶护套电缆</w:t>
            </w:r>
            <w:r>
              <w:rPr>
                <w:rFonts w:hint="eastAsia" w:ascii="宋体" w:hAnsi="宋体" w:cs="宋体"/>
                <w:i w:val="0"/>
                <w:iCs w:val="0"/>
                <w:color w:val="auto"/>
                <w:kern w:val="0"/>
                <w:sz w:val="21"/>
                <w:szCs w:val="21"/>
                <w:highlight w:val="none"/>
                <w:u w:val="none"/>
                <w:lang w:val="en-US" w:eastAsia="zh-CN"/>
              </w:rPr>
              <w:t>。</w:t>
            </w:r>
          </w:p>
        </w:tc>
      </w:tr>
      <w:tr w14:paraId="4F5819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368" w:type="pct"/>
            <w:tcBorders>
              <w:top w:val="single" w:color="auto" w:sz="4" w:space="0"/>
              <w:left w:val="single" w:color="auto" w:sz="4" w:space="0"/>
              <w:bottom w:val="single" w:color="auto" w:sz="4" w:space="0"/>
              <w:right w:val="single" w:color="auto" w:sz="4" w:space="0"/>
            </w:tcBorders>
            <w:vAlign w:val="center"/>
          </w:tcPr>
          <w:p w14:paraId="3AFB64E5">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37</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11585F03">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信号传输</w:t>
            </w:r>
          </w:p>
          <w:p w14:paraId="7C9435C3">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网络布线</w:t>
            </w:r>
          </w:p>
        </w:tc>
        <w:tc>
          <w:tcPr>
            <w:tcW w:w="404" w:type="pct"/>
            <w:tcBorders>
              <w:top w:val="single" w:color="auto" w:sz="4" w:space="0"/>
              <w:left w:val="single" w:color="auto" w:sz="4" w:space="0"/>
              <w:bottom w:val="single" w:color="auto" w:sz="4" w:space="0"/>
              <w:right w:val="single" w:color="auto" w:sz="4" w:space="0"/>
            </w:tcBorders>
            <w:vAlign w:val="center"/>
          </w:tcPr>
          <w:p w14:paraId="60650B20">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1800</w:t>
            </w:r>
          </w:p>
        </w:tc>
        <w:tc>
          <w:tcPr>
            <w:tcW w:w="359" w:type="pct"/>
            <w:tcBorders>
              <w:top w:val="single" w:color="auto" w:sz="4" w:space="0"/>
              <w:left w:val="single" w:color="auto" w:sz="4" w:space="0"/>
              <w:bottom w:val="single" w:color="auto" w:sz="4" w:space="0"/>
              <w:right w:val="single" w:color="auto" w:sz="4" w:space="0"/>
            </w:tcBorders>
            <w:vAlign w:val="center"/>
          </w:tcPr>
          <w:p w14:paraId="05FC7CA7">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米</w:t>
            </w:r>
          </w:p>
        </w:tc>
        <w:tc>
          <w:tcPr>
            <w:tcW w:w="3135" w:type="pct"/>
            <w:tcBorders>
              <w:top w:val="single" w:color="auto" w:sz="4" w:space="0"/>
              <w:left w:val="single" w:color="auto" w:sz="4" w:space="0"/>
              <w:bottom w:val="single" w:color="auto" w:sz="4" w:space="0"/>
              <w:right w:val="single" w:color="auto" w:sz="4" w:space="0"/>
            </w:tcBorders>
            <w:vAlign w:val="center"/>
          </w:tcPr>
          <w:p w14:paraId="104AE707">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超五类网络线</w:t>
            </w:r>
            <w:r>
              <w:rPr>
                <w:rFonts w:hint="eastAsia" w:ascii="宋体" w:hAnsi="宋体" w:cs="宋体"/>
                <w:i w:val="0"/>
                <w:iCs w:val="0"/>
                <w:color w:val="auto"/>
                <w:kern w:val="0"/>
                <w:sz w:val="21"/>
                <w:szCs w:val="21"/>
                <w:highlight w:val="none"/>
                <w:u w:val="none"/>
                <w:lang w:val="en-US" w:eastAsia="zh-CN"/>
              </w:rPr>
              <w:t>。</w:t>
            </w:r>
          </w:p>
        </w:tc>
      </w:tr>
      <w:tr w14:paraId="38F71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368" w:type="pct"/>
            <w:tcBorders>
              <w:top w:val="single" w:color="auto" w:sz="4" w:space="0"/>
              <w:left w:val="single" w:color="auto" w:sz="4" w:space="0"/>
              <w:bottom w:val="single" w:color="auto" w:sz="4" w:space="0"/>
              <w:right w:val="single" w:color="auto" w:sz="4" w:space="0"/>
            </w:tcBorders>
            <w:vAlign w:val="center"/>
          </w:tcPr>
          <w:p w14:paraId="571E43BB">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38</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7D9F0F8B">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信号传输</w:t>
            </w:r>
          </w:p>
          <w:p w14:paraId="49E2E044">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光模块</w:t>
            </w:r>
          </w:p>
        </w:tc>
        <w:tc>
          <w:tcPr>
            <w:tcW w:w="404" w:type="pct"/>
            <w:tcBorders>
              <w:top w:val="single" w:color="auto" w:sz="4" w:space="0"/>
              <w:left w:val="single" w:color="auto" w:sz="4" w:space="0"/>
              <w:bottom w:val="single" w:color="auto" w:sz="4" w:space="0"/>
              <w:right w:val="single" w:color="auto" w:sz="4" w:space="0"/>
            </w:tcBorders>
            <w:vAlign w:val="center"/>
          </w:tcPr>
          <w:p w14:paraId="7418ED0F">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28</w:t>
            </w:r>
          </w:p>
        </w:tc>
        <w:tc>
          <w:tcPr>
            <w:tcW w:w="359" w:type="pct"/>
            <w:tcBorders>
              <w:top w:val="single" w:color="auto" w:sz="4" w:space="0"/>
              <w:left w:val="single" w:color="auto" w:sz="4" w:space="0"/>
              <w:bottom w:val="single" w:color="auto" w:sz="4" w:space="0"/>
              <w:right w:val="single" w:color="auto" w:sz="4" w:space="0"/>
            </w:tcBorders>
            <w:vAlign w:val="center"/>
          </w:tcPr>
          <w:p w14:paraId="28C3AF93">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35ECC16E">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1、工业级光电信号传输模块，适应SC/LC传输接口</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2、1000M自适应传输速率</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3、主机配置光模块，传输距离20KM</w:t>
            </w:r>
            <w:r>
              <w:rPr>
                <w:rFonts w:hint="eastAsia" w:ascii="宋体" w:hAnsi="宋体" w:cs="宋体"/>
                <w:i w:val="0"/>
                <w:iCs w:val="0"/>
                <w:color w:val="auto"/>
                <w:kern w:val="0"/>
                <w:sz w:val="21"/>
                <w:szCs w:val="21"/>
                <w:highlight w:val="none"/>
                <w:u w:val="none"/>
                <w:lang w:val="en-US" w:eastAsia="zh-CN"/>
              </w:rPr>
              <w:t>。</w:t>
            </w:r>
          </w:p>
        </w:tc>
      </w:tr>
      <w:tr w14:paraId="483ED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368" w:type="pct"/>
            <w:tcBorders>
              <w:top w:val="single" w:color="auto" w:sz="4" w:space="0"/>
              <w:left w:val="single" w:color="auto" w:sz="4" w:space="0"/>
              <w:bottom w:val="single" w:color="auto" w:sz="4" w:space="0"/>
              <w:right w:val="single" w:color="auto" w:sz="4" w:space="0"/>
            </w:tcBorders>
            <w:vAlign w:val="center"/>
          </w:tcPr>
          <w:p w14:paraId="0994315C">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39</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735C6688">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24口光纤</w:t>
            </w:r>
          </w:p>
          <w:p w14:paraId="62C95ED0">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配线架</w:t>
            </w:r>
          </w:p>
        </w:tc>
        <w:tc>
          <w:tcPr>
            <w:tcW w:w="404" w:type="pct"/>
            <w:tcBorders>
              <w:top w:val="single" w:color="auto" w:sz="4" w:space="0"/>
              <w:left w:val="single" w:color="auto" w:sz="4" w:space="0"/>
              <w:bottom w:val="single" w:color="auto" w:sz="4" w:space="0"/>
              <w:right w:val="single" w:color="auto" w:sz="4" w:space="0"/>
            </w:tcBorders>
            <w:vAlign w:val="center"/>
          </w:tcPr>
          <w:p w14:paraId="400938DA">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2</w:t>
            </w:r>
          </w:p>
        </w:tc>
        <w:tc>
          <w:tcPr>
            <w:tcW w:w="359" w:type="pct"/>
            <w:tcBorders>
              <w:top w:val="single" w:color="auto" w:sz="4" w:space="0"/>
              <w:left w:val="single" w:color="auto" w:sz="4" w:space="0"/>
              <w:bottom w:val="single" w:color="auto" w:sz="4" w:space="0"/>
              <w:right w:val="single" w:color="auto" w:sz="4" w:space="0"/>
            </w:tcBorders>
            <w:vAlign w:val="center"/>
          </w:tcPr>
          <w:p w14:paraId="2996DFA2">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5F49B484">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SC/LC传输接口，含跳线及尾纤</w:t>
            </w:r>
            <w:r>
              <w:rPr>
                <w:rFonts w:hint="eastAsia" w:ascii="宋体" w:hAnsi="宋体" w:cs="宋体"/>
                <w:i w:val="0"/>
                <w:iCs w:val="0"/>
                <w:color w:val="auto"/>
                <w:kern w:val="0"/>
                <w:sz w:val="21"/>
                <w:szCs w:val="21"/>
                <w:highlight w:val="none"/>
                <w:u w:val="none"/>
                <w:lang w:val="en-US" w:eastAsia="zh-CN"/>
              </w:rPr>
              <w:t>。</w:t>
            </w:r>
          </w:p>
        </w:tc>
      </w:tr>
      <w:tr w14:paraId="1BB49A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368" w:type="pct"/>
            <w:tcBorders>
              <w:top w:val="single" w:color="auto" w:sz="4" w:space="0"/>
              <w:left w:val="single" w:color="auto" w:sz="4" w:space="0"/>
              <w:bottom w:val="single" w:color="auto" w:sz="4" w:space="0"/>
              <w:right w:val="single" w:color="auto" w:sz="4" w:space="0"/>
            </w:tcBorders>
            <w:vAlign w:val="center"/>
          </w:tcPr>
          <w:p w14:paraId="07D43B73">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40</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4C8384A3">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机架电源</w:t>
            </w:r>
          </w:p>
        </w:tc>
        <w:tc>
          <w:tcPr>
            <w:tcW w:w="404" w:type="pct"/>
            <w:tcBorders>
              <w:top w:val="single" w:color="auto" w:sz="4" w:space="0"/>
              <w:left w:val="single" w:color="auto" w:sz="4" w:space="0"/>
              <w:bottom w:val="single" w:color="auto" w:sz="4" w:space="0"/>
              <w:right w:val="single" w:color="auto" w:sz="4" w:space="0"/>
            </w:tcBorders>
            <w:vAlign w:val="center"/>
          </w:tcPr>
          <w:p w14:paraId="2A6B2193">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2</w:t>
            </w:r>
          </w:p>
        </w:tc>
        <w:tc>
          <w:tcPr>
            <w:tcW w:w="359" w:type="pct"/>
            <w:tcBorders>
              <w:top w:val="single" w:color="auto" w:sz="4" w:space="0"/>
              <w:left w:val="single" w:color="auto" w:sz="4" w:space="0"/>
              <w:bottom w:val="single" w:color="auto" w:sz="4" w:space="0"/>
              <w:right w:val="single" w:color="auto" w:sz="4" w:space="0"/>
            </w:tcBorders>
            <w:vAlign w:val="center"/>
          </w:tcPr>
          <w:p w14:paraId="6980B9B4">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091DBD51">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1、主副备份双电源输出，含电源模块</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2、16路电源卡槽，内置通风散热系统</w:t>
            </w:r>
            <w:r>
              <w:rPr>
                <w:rFonts w:hint="eastAsia" w:ascii="宋体" w:hAnsi="宋体" w:cs="宋体"/>
                <w:i w:val="0"/>
                <w:iCs w:val="0"/>
                <w:color w:val="auto"/>
                <w:kern w:val="0"/>
                <w:sz w:val="21"/>
                <w:szCs w:val="21"/>
                <w:highlight w:val="none"/>
                <w:u w:val="none"/>
                <w:lang w:val="en-US" w:eastAsia="zh-CN"/>
              </w:rPr>
              <w:t>。</w:t>
            </w:r>
          </w:p>
        </w:tc>
      </w:tr>
      <w:tr w14:paraId="009DB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368" w:type="pct"/>
            <w:tcBorders>
              <w:top w:val="single" w:color="auto" w:sz="4" w:space="0"/>
              <w:left w:val="single" w:color="auto" w:sz="4" w:space="0"/>
              <w:bottom w:val="single" w:color="auto" w:sz="4" w:space="0"/>
              <w:right w:val="single" w:color="auto" w:sz="4" w:space="0"/>
            </w:tcBorders>
            <w:vAlign w:val="center"/>
          </w:tcPr>
          <w:p w14:paraId="2793D1C7">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41</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380F9C41">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中控电源</w:t>
            </w:r>
          </w:p>
          <w:p w14:paraId="4F59FF36">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控制器</w:t>
            </w:r>
          </w:p>
        </w:tc>
        <w:tc>
          <w:tcPr>
            <w:tcW w:w="404" w:type="pct"/>
            <w:tcBorders>
              <w:top w:val="single" w:color="auto" w:sz="4" w:space="0"/>
              <w:left w:val="single" w:color="auto" w:sz="4" w:space="0"/>
              <w:bottom w:val="single" w:color="auto" w:sz="4" w:space="0"/>
              <w:right w:val="single" w:color="auto" w:sz="4" w:space="0"/>
            </w:tcBorders>
            <w:vAlign w:val="center"/>
          </w:tcPr>
          <w:p w14:paraId="37E38E8F">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2</w:t>
            </w:r>
          </w:p>
        </w:tc>
        <w:tc>
          <w:tcPr>
            <w:tcW w:w="359" w:type="pct"/>
            <w:tcBorders>
              <w:top w:val="single" w:color="auto" w:sz="4" w:space="0"/>
              <w:left w:val="single" w:color="auto" w:sz="4" w:space="0"/>
              <w:bottom w:val="single" w:color="auto" w:sz="4" w:space="0"/>
              <w:right w:val="single" w:color="auto" w:sz="4" w:space="0"/>
            </w:tcBorders>
            <w:vAlign w:val="center"/>
          </w:tcPr>
          <w:p w14:paraId="6ED94BD6">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台</w:t>
            </w:r>
          </w:p>
        </w:tc>
        <w:tc>
          <w:tcPr>
            <w:tcW w:w="3135" w:type="pct"/>
            <w:tcBorders>
              <w:top w:val="single" w:color="auto" w:sz="4" w:space="0"/>
              <w:left w:val="single" w:color="auto" w:sz="4" w:space="0"/>
              <w:bottom w:val="single" w:color="auto" w:sz="4" w:space="0"/>
              <w:right w:val="single" w:color="auto" w:sz="4" w:space="0"/>
            </w:tcBorders>
            <w:vAlign w:val="center"/>
          </w:tcPr>
          <w:p w14:paraId="31AC0257">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1、5寸彩色液晶电容触摸显示窗，可实时显示当前电压、日期时间、通道开关状态</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2、支持多台设备级联顺序控制，级联自动检测设备，设备设有触发功能</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3、配置232接口、485接口，支持外部中控设备控制</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4、每台设备自带ID设置和检测，可远程集中控制，及实现云端数据管理</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5、支持面板LOCK锁定功能，防止误操作</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6、支持每路延时开启和关闭时间可自由设置，每路16次循环定时开关</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7、具有欠压、超压检测及报警功能</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8、支持中控一键场景调用模式，10组设备开关场景数据保存/调用，场景管理应用简单便捷</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9、1-7路带独立滤波器，可净化电源，抗干扰能力更强</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10、支持IPHONE/安卓系统手机及笔记本无线控制调试，实现一键开关机及模式调用</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 xml:space="preserve">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11、支持PC软件调试，可对每路单独编辑及远程控制，并可进行一键场景模式调用</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12、带有外部IO触发，可对接中控设备实现的开机和关机</w:t>
            </w:r>
            <w:r>
              <w:rPr>
                <w:rFonts w:hint="eastAsia" w:ascii="宋体" w:hAnsi="宋体" w:cs="宋体"/>
                <w:i w:val="0"/>
                <w:iCs w:val="0"/>
                <w:color w:val="auto"/>
                <w:kern w:val="0"/>
                <w:sz w:val="21"/>
                <w:szCs w:val="21"/>
                <w:highlight w:val="none"/>
                <w:u w:val="none"/>
                <w:lang w:val="en-US" w:eastAsia="zh-CN"/>
              </w:rPr>
              <w:t>。</w:t>
            </w:r>
          </w:p>
        </w:tc>
      </w:tr>
      <w:tr w14:paraId="50706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368" w:type="pct"/>
            <w:tcBorders>
              <w:top w:val="single" w:color="auto" w:sz="4" w:space="0"/>
              <w:left w:val="single" w:color="auto" w:sz="4" w:space="0"/>
              <w:bottom w:val="single" w:color="auto" w:sz="4" w:space="0"/>
              <w:right w:val="single" w:color="auto" w:sz="4" w:space="0"/>
            </w:tcBorders>
            <w:vAlign w:val="center"/>
          </w:tcPr>
          <w:p w14:paraId="7C0AA027">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42</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5D80F084">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带铠室内</w:t>
            </w:r>
          </w:p>
          <w:p w14:paraId="0C9D8204">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光纤</w:t>
            </w:r>
          </w:p>
        </w:tc>
        <w:tc>
          <w:tcPr>
            <w:tcW w:w="404" w:type="pct"/>
            <w:tcBorders>
              <w:top w:val="single" w:color="auto" w:sz="4" w:space="0"/>
              <w:left w:val="single" w:color="auto" w:sz="4" w:space="0"/>
              <w:bottom w:val="single" w:color="auto" w:sz="4" w:space="0"/>
              <w:right w:val="single" w:color="auto" w:sz="4" w:space="0"/>
            </w:tcBorders>
            <w:vAlign w:val="center"/>
          </w:tcPr>
          <w:p w14:paraId="4E896F47">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200</w:t>
            </w:r>
          </w:p>
        </w:tc>
        <w:tc>
          <w:tcPr>
            <w:tcW w:w="359" w:type="pct"/>
            <w:tcBorders>
              <w:top w:val="single" w:color="auto" w:sz="4" w:space="0"/>
              <w:left w:val="single" w:color="auto" w:sz="4" w:space="0"/>
              <w:bottom w:val="single" w:color="auto" w:sz="4" w:space="0"/>
              <w:right w:val="single" w:color="auto" w:sz="4" w:space="0"/>
            </w:tcBorders>
            <w:vAlign w:val="center"/>
          </w:tcPr>
          <w:p w14:paraId="08C3B8ED">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米</w:t>
            </w:r>
          </w:p>
        </w:tc>
        <w:tc>
          <w:tcPr>
            <w:tcW w:w="3135" w:type="pct"/>
            <w:tcBorders>
              <w:top w:val="single" w:color="auto" w:sz="4" w:space="0"/>
              <w:left w:val="single" w:color="auto" w:sz="4" w:space="0"/>
              <w:bottom w:val="single" w:color="auto" w:sz="4" w:space="0"/>
              <w:right w:val="single" w:color="auto" w:sz="4" w:space="0"/>
            </w:tcBorders>
            <w:vAlign w:val="center"/>
          </w:tcPr>
          <w:p w14:paraId="72FD8913">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1、24芯带铠单模光纤，加粗磷化钢丝及刚铠甲保护层</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2、含安装敷管线敷设</w:t>
            </w:r>
            <w:r>
              <w:rPr>
                <w:rFonts w:hint="eastAsia" w:ascii="宋体" w:hAnsi="宋体" w:cs="宋体"/>
                <w:i w:val="0"/>
                <w:iCs w:val="0"/>
                <w:color w:val="auto"/>
                <w:kern w:val="0"/>
                <w:sz w:val="21"/>
                <w:szCs w:val="21"/>
                <w:highlight w:val="none"/>
                <w:u w:val="none"/>
                <w:lang w:val="en-US" w:eastAsia="zh-CN"/>
              </w:rPr>
              <w:t>。</w:t>
            </w:r>
          </w:p>
        </w:tc>
      </w:tr>
      <w:tr w14:paraId="5D405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68" w:type="pct"/>
            <w:tcBorders>
              <w:top w:val="single" w:color="auto" w:sz="4" w:space="0"/>
              <w:left w:val="single" w:color="auto" w:sz="4" w:space="0"/>
              <w:bottom w:val="single" w:color="auto" w:sz="4" w:space="0"/>
              <w:right w:val="single" w:color="auto" w:sz="4" w:space="0"/>
            </w:tcBorders>
            <w:vAlign w:val="center"/>
          </w:tcPr>
          <w:p w14:paraId="1CD0A2B5">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43</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2EEF376A">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光纤熔纤</w:t>
            </w:r>
          </w:p>
        </w:tc>
        <w:tc>
          <w:tcPr>
            <w:tcW w:w="404" w:type="pct"/>
            <w:tcBorders>
              <w:top w:val="single" w:color="auto" w:sz="4" w:space="0"/>
              <w:left w:val="single" w:color="auto" w:sz="4" w:space="0"/>
              <w:bottom w:val="single" w:color="auto" w:sz="4" w:space="0"/>
              <w:right w:val="single" w:color="auto" w:sz="4" w:space="0"/>
            </w:tcBorders>
            <w:vAlign w:val="center"/>
          </w:tcPr>
          <w:p w14:paraId="0DDB3CDA">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50</w:t>
            </w:r>
          </w:p>
        </w:tc>
        <w:tc>
          <w:tcPr>
            <w:tcW w:w="359" w:type="pct"/>
            <w:tcBorders>
              <w:top w:val="single" w:color="auto" w:sz="4" w:space="0"/>
              <w:left w:val="single" w:color="auto" w:sz="4" w:space="0"/>
              <w:bottom w:val="single" w:color="auto" w:sz="4" w:space="0"/>
              <w:right w:val="single" w:color="auto" w:sz="4" w:space="0"/>
            </w:tcBorders>
            <w:vAlign w:val="center"/>
          </w:tcPr>
          <w:p w14:paraId="2E7E9881">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点</w:t>
            </w:r>
          </w:p>
        </w:tc>
        <w:tc>
          <w:tcPr>
            <w:tcW w:w="3135" w:type="pct"/>
            <w:tcBorders>
              <w:top w:val="single" w:color="auto" w:sz="4" w:space="0"/>
              <w:left w:val="single" w:color="auto" w:sz="4" w:space="0"/>
              <w:bottom w:val="single" w:color="auto" w:sz="4" w:space="0"/>
              <w:right w:val="single" w:color="auto" w:sz="4" w:space="0"/>
            </w:tcBorders>
            <w:vAlign w:val="center"/>
          </w:tcPr>
          <w:p w14:paraId="6DCCCD0E">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单模多模光纤续接、尾纤熔纤，熔纤点含法兰接口</w:t>
            </w:r>
            <w:r>
              <w:rPr>
                <w:rFonts w:hint="eastAsia" w:ascii="宋体" w:hAnsi="宋体" w:cs="宋体"/>
                <w:i w:val="0"/>
                <w:iCs w:val="0"/>
                <w:color w:val="auto"/>
                <w:kern w:val="0"/>
                <w:sz w:val="21"/>
                <w:szCs w:val="21"/>
                <w:highlight w:val="none"/>
                <w:u w:val="none"/>
                <w:lang w:val="en-US" w:eastAsia="zh-CN"/>
              </w:rPr>
              <w:t>。</w:t>
            </w:r>
          </w:p>
        </w:tc>
      </w:tr>
      <w:tr w14:paraId="418FE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68" w:type="pct"/>
            <w:tcBorders>
              <w:top w:val="single" w:color="auto" w:sz="4" w:space="0"/>
              <w:left w:val="single" w:color="auto" w:sz="4" w:space="0"/>
              <w:bottom w:val="single" w:color="auto" w:sz="4" w:space="0"/>
              <w:right w:val="single" w:color="auto" w:sz="4" w:space="0"/>
            </w:tcBorders>
            <w:vAlign w:val="center"/>
          </w:tcPr>
          <w:p w14:paraId="6FCBFEAB">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44</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0660C767">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工控机柜</w:t>
            </w:r>
          </w:p>
        </w:tc>
        <w:tc>
          <w:tcPr>
            <w:tcW w:w="404" w:type="pct"/>
            <w:tcBorders>
              <w:top w:val="single" w:color="auto" w:sz="4" w:space="0"/>
              <w:left w:val="single" w:color="auto" w:sz="4" w:space="0"/>
              <w:bottom w:val="single" w:color="auto" w:sz="4" w:space="0"/>
              <w:right w:val="single" w:color="auto" w:sz="4" w:space="0"/>
            </w:tcBorders>
            <w:vAlign w:val="center"/>
          </w:tcPr>
          <w:p w14:paraId="4CE8C224">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359" w:type="pct"/>
            <w:tcBorders>
              <w:top w:val="single" w:color="auto" w:sz="4" w:space="0"/>
              <w:left w:val="single" w:color="auto" w:sz="4" w:space="0"/>
              <w:bottom w:val="single" w:color="auto" w:sz="4" w:space="0"/>
              <w:right w:val="single" w:color="auto" w:sz="4" w:space="0"/>
            </w:tcBorders>
            <w:vAlign w:val="center"/>
          </w:tcPr>
          <w:p w14:paraId="0EE7CEEE">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1C03E69D">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1、尺寸600mm宽*1600mm高*800mm深</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2、容积（U）:32,体积(CBM):0.9360</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3、标准配置:前门玻璃门，后门钢板门，6位国标排插组件1套</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4、配件：固定板3块，风扇组件1套，重型脚轮4只，方螺母螺钉40套，支脚4只，内六扳手1只</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5、电源：工业12路PTU3套</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6、防护等级:IP20</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7、主要材料:SPCC优质冷扎钢板制作；厚度：方孔条2.0mm，安装梁1.5mm，其它1.2mm。</w:t>
            </w:r>
          </w:p>
        </w:tc>
      </w:tr>
      <w:tr w14:paraId="7AFDC1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68" w:type="pct"/>
            <w:tcBorders>
              <w:top w:val="single" w:color="auto" w:sz="4" w:space="0"/>
              <w:left w:val="single" w:color="auto" w:sz="4" w:space="0"/>
              <w:bottom w:val="single" w:color="auto" w:sz="4" w:space="0"/>
              <w:right w:val="single" w:color="auto" w:sz="4" w:space="0"/>
            </w:tcBorders>
            <w:vAlign w:val="center"/>
          </w:tcPr>
          <w:p w14:paraId="47E0BBC6">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45</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2EC1A4C3">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大屏系统敷设线管</w:t>
            </w:r>
          </w:p>
        </w:tc>
        <w:tc>
          <w:tcPr>
            <w:tcW w:w="404" w:type="pct"/>
            <w:tcBorders>
              <w:top w:val="single" w:color="auto" w:sz="4" w:space="0"/>
              <w:left w:val="single" w:color="auto" w:sz="4" w:space="0"/>
              <w:bottom w:val="single" w:color="auto" w:sz="4" w:space="0"/>
              <w:right w:val="single" w:color="auto" w:sz="4" w:space="0"/>
            </w:tcBorders>
            <w:vAlign w:val="center"/>
          </w:tcPr>
          <w:p w14:paraId="6DA2A47B">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300</w:t>
            </w:r>
          </w:p>
        </w:tc>
        <w:tc>
          <w:tcPr>
            <w:tcW w:w="359" w:type="pct"/>
            <w:tcBorders>
              <w:top w:val="single" w:color="auto" w:sz="4" w:space="0"/>
              <w:left w:val="single" w:color="auto" w:sz="4" w:space="0"/>
              <w:bottom w:val="single" w:color="auto" w:sz="4" w:space="0"/>
              <w:right w:val="single" w:color="auto" w:sz="4" w:space="0"/>
            </w:tcBorders>
            <w:vAlign w:val="center"/>
          </w:tcPr>
          <w:p w14:paraId="550D4940">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米</w:t>
            </w:r>
          </w:p>
        </w:tc>
        <w:tc>
          <w:tcPr>
            <w:tcW w:w="3135" w:type="pct"/>
            <w:tcBorders>
              <w:top w:val="single" w:color="auto" w:sz="4" w:space="0"/>
              <w:left w:val="single" w:color="auto" w:sz="4" w:space="0"/>
              <w:bottom w:val="single" w:color="auto" w:sz="4" w:space="0"/>
              <w:right w:val="single" w:color="auto" w:sz="4" w:space="0"/>
            </w:tcBorders>
            <w:vAlign w:val="center"/>
          </w:tcPr>
          <w:p w14:paraId="6180CD7C">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1、名称及规格：PVC25电线管</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2、敷设方式:埋地、穿墙</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3、包含管道敷设、穿线用牵引铁线、砼结构内的管道预埋施工、标识、接地等</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4、其他:按设计图纸、技术需求书及施工规范要求综合考虑</w:t>
            </w:r>
            <w:r>
              <w:rPr>
                <w:rFonts w:hint="eastAsia" w:ascii="宋体" w:hAnsi="宋体" w:cs="宋体"/>
                <w:i w:val="0"/>
                <w:iCs w:val="0"/>
                <w:color w:val="auto"/>
                <w:kern w:val="0"/>
                <w:sz w:val="21"/>
                <w:szCs w:val="21"/>
                <w:highlight w:val="none"/>
                <w:u w:val="none"/>
                <w:lang w:val="en-US" w:eastAsia="zh-CN"/>
              </w:rPr>
              <w:t>。</w:t>
            </w:r>
          </w:p>
        </w:tc>
      </w:tr>
      <w:tr w14:paraId="79D3A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68" w:type="pct"/>
            <w:tcBorders>
              <w:top w:val="single" w:color="auto" w:sz="4" w:space="0"/>
              <w:left w:val="single" w:color="auto" w:sz="4" w:space="0"/>
              <w:bottom w:val="single" w:color="auto" w:sz="4" w:space="0"/>
              <w:right w:val="single" w:color="auto" w:sz="4" w:space="0"/>
            </w:tcBorders>
            <w:vAlign w:val="center"/>
          </w:tcPr>
          <w:p w14:paraId="4B0B7ECB">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46</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47EEE8FE">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大屏系统</w:t>
            </w:r>
          </w:p>
          <w:p w14:paraId="122222FE">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敷设金属</w:t>
            </w:r>
          </w:p>
          <w:p w14:paraId="700FF5F2">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桥架</w:t>
            </w:r>
          </w:p>
        </w:tc>
        <w:tc>
          <w:tcPr>
            <w:tcW w:w="404" w:type="pct"/>
            <w:tcBorders>
              <w:top w:val="single" w:color="auto" w:sz="4" w:space="0"/>
              <w:left w:val="single" w:color="auto" w:sz="4" w:space="0"/>
              <w:bottom w:val="single" w:color="auto" w:sz="4" w:space="0"/>
              <w:right w:val="single" w:color="auto" w:sz="4" w:space="0"/>
            </w:tcBorders>
            <w:vAlign w:val="center"/>
          </w:tcPr>
          <w:p w14:paraId="49D60194">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300</w:t>
            </w:r>
          </w:p>
        </w:tc>
        <w:tc>
          <w:tcPr>
            <w:tcW w:w="359" w:type="pct"/>
            <w:tcBorders>
              <w:top w:val="single" w:color="auto" w:sz="4" w:space="0"/>
              <w:left w:val="single" w:color="auto" w:sz="4" w:space="0"/>
              <w:bottom w:val="single" w:color="auto" w:sz="4" w:space="0"/>
              <w:right w:val="single" w:color="auto" w:sz="4" w:space="0"/>
            </w:tcBorders>
            <w:vAlign w:val="center"/>
          </w:tcPr>
          <w:p w14:paraId="270234E6">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米</w:t>
            </w:r>
          </w:p>
        </w:tc>
        <w:tc>
          <w:tcPr>
            <w:tcW w:w="3135" w:type="pct"/>
            <w:tcBorders>
              <w:top w:val="single" w:color="auto" w:sz="4" w:space="0"/>
              <w:left w:val="single" w:color="auto" w:sz="4" w:space="0"/>
              <w:bottom w:val="single" w:color="auto" w:sz="4" w:space="0"/>
              <w:right w:val="single" w:color="auto" w:sz="4" w:space="0"/>
            </w:tcBorders>
            <w:vAlign w:val="center"/>
          </w:tcPr>
          <w:p w14:paraId="70968F26">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1、名称及规格：镀锌金属桥架MR100mm*100mm</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2、敷设方式:埋地、穿墙、吊顶</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3、包含线槽及附件、配件安装、支（吊）架制作安装、除锈、刷油（含刷防火涂料）、接地、防火堵洞、刷防火漆等</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4、其他:按设计图纸、技术需求书及施工规范要求综合考虑</w:t>
            </w:r>
            <w:r>
              <w:rPr>
                <w:rFonts w:hint="eastAsia" w:ascii="宋体" w:hAnsi="宋体" w:cs="宋体"/>
                <w:i w:val="0"/>
                <w:iCs w:val="0"/>
                <w:color w:val="auto"/>
                <w:kern w:val="0"/>
                <w:sz w:val="21"/>
                <w:szCs w:val="21"/>
                <w:highlight w:val="none"/>
                <w:u w:val="none"/>
                <w:lang w:val="en-US" w:eastAsia="zh-CN"/>
              </w:rPr>
              <w:t>。</w:t>
            </w:r>
          </w:p>
        </w:tc>
      </w:tr>
      <w:tr w14:paraId="10F332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68" w:type="pct"/>
            <w:tcBorders>
              <w:top w:val="single" w:color="auto" w:sz="4" w:space="0"/>
              <w:left w:val="single" w:color="auto" w:sz="4" w:space="0"/>
              <w:bottom w:val="single" w:color="auto" w:sz="4" w:space="0"/>
              <w:right w:val="single" w:color="auto" w:sz="4" w:space="0"/>
            </w:tcBorders>
            <w:vAlign w:val="center"/>
          </w:tcPr>
          <w:p w14:paraId="3E20D1FF">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47</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23C0A69C">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196人厅会议显示终端</w:t>
            </w:r>
          </w:p>
        </w:tc>
        <w:tc>
          <w:tcPr>
            <w:tcW w:w="404" w:type="pct"/>
            <w:tcBorders>
              <w:top w:val="single" w:color="auto" w:sz="4" w:space="0"/>
              <w:left w:val="single" w:color="auto" w:sz="4" w:space="0"/>
              <w:bottom w:val="single" w:color="auto" w:sz="4" w:space="0"/>
              <w:right w:val="single" w:color="auto" w:sz="4" w:space="0"/>
            </w:tcBorders>
            <w:vAlign w:val="center"/>
          </w:tcPr>
          <w:p w14:paraId="1D2CF104">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21.5</w:t>
            </w:r>
          </w:p>
        </w:tc>
        <w:tc>
          <w:tcPr>
            <w:tcW w:w="359" w:type="pct"/>
            <w:tcBorders>
              <w:top w:val="single" w:color="auto" w:sz="4" w:space="0"/>
              <w:left w:val="single" w:color="auto" w:sz="4" w:space="0"/>
              <w:bottom w:val="single" w:color="auto" w:sz="4" w:space="0"/>
              <w:right w:val="single" w:color="auto" w:sz="4" w:space="0"/>
            </w:tcBorders>
            <w:vAlign w:val="center"/>
          </w:tcPr>
          <w:p w14:paraId="0118C2F7">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平方</w:t>
            </w:r>
          </w:p>
        </w:tc>
        <w:tc>
          <w:tcPr>
            <w:tcW w:w="3135" w:type="pct"/>
            <w:tcBorders>
              <w:top w:val="single" w:color="auto" w:sz="4" w:space="0"/>
              <w:left w:val="single" w:color="auto" w:sz="4" w:space="0"/>
              <w:bottom w:val="single" w:color="auto" w:sz="4" w:space="0"/>
              <w:right w:val="single" w:color="auto" w:sz="4" w:space="0"/>
            </w:tcBorders>
            <w:vAlign w:val="center"/>
          </w:tcPr>
          <w:p w14:paraId="0C1520B8">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1、全彩显示屏净尺寸：≥6400mm宽*3360mm高</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2、像素结构：1R1G1B 表贴三合一LED</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3、整屏分辨率：≥3K</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rPr>
              <w:t>4、</w:t>
            </w:r>
            <w:r>
              <w:rPr>
                <w:rFonts w:hint="eastAsia" w:ascii="宋体" w:hAnsi="宋体" w:eastAsia="宋体" w:cs="宋体"/>
                <w:b/>
                <w:bCs/>
                <w:i w:val="0"/>
                <w:iCs w:val="0"/>
                <w:color w:val="auto"/>
                <w:kern w:val="0"/>
                <w:sz w:val="21"/>
                <w:szCs w:val="21"/>
                <w:highlight w:val="none"/>
                <w:u w:val="none"/>
                <w:lang w:val="en-US" w:eastAsia="zh-CN"/>
              </w:rPr>
              <w:t>像素点间距≤1.86mm</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5、像素点组成：1R1G1B</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6、支持前后安装箱体结构，包含电源模块及接收模块</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7、亮度范围：0-1800cd/㎡无级调节（白平衡亮度≥1000cd/㎡）</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8、刷新率/换帧频率：≥3840Hz/60Hz</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 xml:space="preserve">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rPr>
              <w:t>9、静态对比度：≥15000:1，动态对比度：≥10000000:1</w:t>
            </w:r>
            <w:r>
              <w:rPr>
                <w:rFonts w:hint="eastAsia"/>
                <w:b w:val="0"/>
                <w:bCs/>
                <w:color w:val="auto"/>
                <w:highlight w:val="none"/>
              </w:rPr>
              <w:t>（投标时</w:t>
            </w:r>
            <w:r>
              <w:rPr>
                <w:rFonts w:hint="eastAsia"/>
                <w:b w:val="0"/>
                <w:bCs/>
                <w:color w:val="auto"/>
                <w:highlight w:val="none"/>
                <w:lang w:val="en-US" w:eastAsia="zh-CN"/>
              </w:rPr>
              <w:t>如有请</w:t>
            </w:r>
            <w:r>
              <w:rPr>
                <w:rFonts w:hint="eastAsia"/>
                <w:b w:val="0"/>
                <w:bCs/>
                <w:color w:val="auto"/>
                <w:highlight w:val="none"/>
              </w:rPr>
              <w:t>提供</w:t>
            </w:r>
            <w:r>
              <w:rPr>
                <w:rFonts w:hint="eastAsia"/>
                <w:b w:val="0"/>
                <w:bCs/>
                <w:color w:val="auto"/>
                <w:highlight w:val="none"/>
                <w:lang w:val="en-US" w:eastAsia="zh-CN"/>
              </w:rPr>
              <w:t>优于</w:t>
            </w:r>
            <w:r>
              <w:rPr>
                <w:rFonts w:hint="eastAsia"/>
                <w:b w:val="0"/>
                <w:bCs/>
                <w:color w:val="auto"/>
                <w:highlight w:val="none"/>
              </w:rPr>
              <w:t>本款功能参数的第三方有资质的检测机构出具的</w:t>
            </w:r>
            <w:r>
              <w:rPr>
                <w:rFonts w:hint="eastAsia"/>
                <w:b w:val="0"/>
                <w:bCs/>
                <w:color w:val="auto"/>
                <w:highlight w:val="none"/>
                <w:lang w:eastAsia="zh-CN"/>
              </w:rPr>
              <w:t>带有CMA</w:t>
            </w:r>
            <w:r>
              <w:rPr>
                <w:rFonts w:hint="eastAsia"/>
                <w:b w:val="0"/>
                <w:bCs/>
                <w:color w:val="auto"/>
                <w:highlight w:val="none"/>
                <w:lang w:val="en-US" w:eastAsia="zh-CN"/>
              </w:rPr>
              <w:t>或CNAS</w:t>
            </w:r>
            <w:r>
              <w:rPr>
                <w:rFonts w:hint="eastAsia"/>
                <w:b w:val="0"/>
                <w:bCs/>
                <w:color w:val="auto"/>
                <w:highlight w:val="none"/>
                <w:lang w:eastAsia="zh-CN"/>
              </w:rPr>
              <w:t>标识的</w:t>
            </w:r>
            <w:r>
              <w:rPr>
                <w:rFonts w:hint="eastAsia"/>
                <w:b w:val="0"/>
                <w:bCs/>
                <w:color w:val="auto"/>
                <w:highlight w:val="none"/>
              </w:rPr>
              <w:t>检测报告复印件）</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10、LED显示屏符合IEC TR 62778:2014《IEC 62471的应用：光源和灯具的蓝光危害评估》要求，通过蓝光认证标准测试</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11、LED显示屏需通过辐射危害的曝辐限制、眼睛的近紫外危害曝辐限制，符合肉眼观看标准，并符合GB/T 20145-2006 光生物安全性标准</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rPr>
              <w:t>12、阻燃测试：符合GB/T5169.16-2017电工电子产品着火危险试验(PCB 满足V-0阻燃等级要求</w:t>
            </w:r>
            <w:r>
              <w:rPr>
                <w:rFonts w:hint="eastAsia"/>
                <w:b w:val="0"/>
                <w:bCs/>
                <w:color w:val="auto"/>
                <w:highlight w:val="none"/>
              </w:rPr>
              <w:t>（</w:t>
            </w:r>
            <w:r>
              <w:rPr>
                <w:rFonts w:hint="eastAsia"/>
                <w:b/>
                <w:bCs w:val="0"/>
                <w:color w:val="auto"/>
                <w:highlight w:val="none"/>
                <w:lang w:val="en-US" w:eastAsia="zh-CN"/>
              </w:rPr>
              <w:t>供货</w:t>
            </w:r>
            <w:r>
              <w:rPr>
                <w:rFonts w:hint="eastAsia"/>
                <w:b/>
                <w:bCs w:val="0"/>
                <w:color w:val="auto"/>
                <w:highlight w:val="none"/>
              </w:rPr>
              <w:t>时</w:t>
            </w:r>
            <w:r>
              <w:rPr>
                <w:rFonts w:hint="eastAsia"/>
                <w:b/>
                <w:bCs w:val="0"/>
                <w:color w:val="auto"/>
                <w:highlight w:val="none"/>
                <w:lang w:val="en-US" w:eastAsia="zh-CN"/>
              </w:rPr>
              <w:t>须</w:t>
            </w:r>
            <w:r>
              <w:rPr>
                <w:rFonts w:hint="eastAsia"/>
                <w:b/>
                <w:bCs w:val="0"/>
                <w:color w:val="auto"/>
                <w:highlight w:val="none"/>
              </w:rPr>
              <w:t>提供</w:t>
            </w:r>
            <w:r>
              <w:rPr>
                <w:rFonts w:hint="eastAsia"/>
                <w:b/>
                <w:bCs w:val="0"/>
                <w:color w:val="auto"/>
                <w:highlight w:val="none"/>
                <w:lang w:val="en-US" w:eastAsia="zh-CN"/>
              </w:rPr>
              <w:t>满足</w:t>
            </w:r>
            <w:r>
              <w:rPr>
                <w:rFonts w:hint="eastAsia"/>
                <w:b/>
                <w:bCs w:val="0"/>
                <w:color w:val="auto"/>
                <w:highlight w:val="none"/>
              </w:rPr>
              <w:t>本款功能参数的第三方有资质的检测机构出具的</w:t>
            </w:r>
            <w:r>
              <w:rPr>
                <w:rFonts w:hint="eastAsia"/>
                <w:b/>
                <w:bCs w:val="0"/>
                <w:color w:val="auto"/>
                <w:highlight w:val="none"/>
                <w:lang w:eastAsia="zh-CN"/>
              </w:rPr>
              <w:t>带有CMA</w:t>
            </w:r>
            <w:r>
              <w:rPr>
                <w:rFonts w:hint="eastAsia"/>
                <w:b/>
                <w:bCs w:val="0"/>
                <w:color w:val="auto"/>
                <w:highlight w:val="none"/>
                <w:lang w:val="en-US" w:eastAsia="zh-CN"/>
              </w:rPr>
              <w:t>或CNAS</w:t>
            </w:r>
            <w:r>
              <w:rPr>
                <w:rFonts w:hint="eastAsia"/>
                <w:b/>
                <w:bCs w:val="0"/>
                <w:color w:val="auto"/>
                <w:highlight w:val="none"/>
                <w:lang w:eastAsia="zh-CN"/>
              </w:rPr>
              <w:t>标识的</w:t>
            </w:r>
            <w:r>
              <w:rPr>
                <w:rFonts w:hint="eastAsia"/>
                <w:b/>
                <w:bCs w:val="0"/>
                <w:color w:val="auto"/>
                <w:highlight w:val="none"/>
              </w:rPr>
              <w:t>检测报告复印件</w:t>
            </w:r>
            <w:r>
              <w:rPr>
                <w:rFonts w:hint="eastAsia"/>
                <w:b w:val="0"/>
                <w:bCs/>
                <w:color w:val="auto"/>
                <w:highlight w:val="none"/>
              </w:rPr>
              <w:t>）</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rPr>
              <w:t>13、屏体可靠性：符合GB/T2423.9-2001国家标准，裸机在50℃、湿度90%环境内连续工作≥200个小时无故障</w:t>
            </w:r>
            <w:r>
              <w:rPr>
                <w:rFonts w:hint="eastAsia"/>
                <w:b w:val="0"/>
                <w:bCs/>
                <w:color w:val="auto"/>
                <w:highlight w:val="none"/>
              </w:rPr>
              <w:t>（投标时</w:t>
            </w:r>
            <w:r>
              <w:rPr>
                <w:rFonts w:hint="eastAsia"/>
                <w:b w:val="0"/>
                <w:bCs/>
                <w:color w:val="auto"/>
                <w:highlight w:val="none"/>
                <w:lang w:val="en-US" w:eastAsia="zh-CN"/>
              </w:rPr>
              <w:t>如有请</w:t>
            </w:r>
            <w:r>
              <w:rPr>
                <w:rFonts w:hint="eastAsia"/>
                <w:b w:val="0"/>
                <w:bCs/>
                <w:color w:val="auto"/>
                <w:highlight w:val="none"/>
              </w:rPr>
              <w:t>提供</w:t>
            </w:r>
            <w:r>
              <w:rPr>
                <w:rFonts w:hint="eastAsia"/>
                <w:b w:val="0"/>
                <w:bCs/>
                <w:color w:val="auto"/>
                <w:highlight w:val="none"/>
                <w:lang w:val="en-US" w:eastAsia="zh-CN"/>
              </w:rPr>
              <w:t>优于</w:t>
            </w:r>
            <w:r>
              <w:rPr>
                <w:rFonts w:hint="eastAsia"/>
                <w:b w:val="0"/>
                <w:bCs/>
                <w:color w:val="auto"/>
                <w:highlight w:val="none"/>
              </w:rPr>
              <w:t>本款功能参数的第三方有资质的检测机构出具的</w:t>
            </w:r>
            <w:r>
              <w:rPr>
                <w:rFonts w:hint="eastAsia"/>
                <w:b w:val="0"/>
                <w:bCs/>
                <w:color w:val="auto"/>
                <w:highlight w:val="none"/>
                <w:lang w:eastAsia="zh-CN"/>
              </w:rPr>
              <w:t>带有CMA</w:t>
            </w:r>
            <w:r>
              <w:rPr>
                <w:rFonts w:hint="eastAsia"/>
                <w:b w:val="0"/>
                <w:bCs/>
                <w:color w:val="auto"/>
                <w:highlight w:val="none"/>
                <w:lang w:val="en-US" w:eastAsia="zh-CN"/>
              </w:rPr>
              <w:t>或CNAS</w:t>
            </w:r>
            <w:r>
              <w:rPr>
                <w:rFonts w:hint="eastAsia"/>
                <w:b w:val="0"/>
                <w:bCs/>
                <w:color w:val="auto"/>
                <w:highlight w:val="none"/>
                <w:lang w:eastAsia="zh-CN"/>
              </w:rPr>
              <w:t>标识的</w:t>
            </w:r>
            <w:r>
              <w:rPr>
                <w:rFonts w:hint="eastAsia"/>
                <w:b w:val="0"/>
                <w:bCs/>
                <w:color w:val="auto"/>
                <w:highlight w:val="none"/>
              </w:rPr>
              <w:t>检测报告复印件）</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14、盐雾腐蚀：经过35℃连续喷雾48h试验，符合GB/T 2423.17-2008盐雾10级要求</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15、LED显示屏的回扫线或频闪现象、图像均匀性、大面积色彩还原、灰度表现力(伪轮廓现象)、运动图像清晰度、静态图像清晰度符合SJ/T 11590-2016 LED显示屏图像质量检测标准</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rPr>
              <w:t>16、LED显示屏支持任意倍频技术，可调节控制倍频契合摄像器材工作频率，有效消除拍摄的描线。LED接收卡支持向导调屏、智能串线，支持拍照自动完成连接设置，实现傻瓜式调屏</w:t>
            </w:r>
            <w:r>
              <w:rPr>
                <w:rFonts w:hint="eastAsia"/>
                <w:b w:val="0"/>
                <w:bCs/>
                <w:color w:val="auto"/>
                <w:highlight w:val="none"/>
                <w:lang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color w:val="auto"/>
                <w:highlight w:val="none"/>
              </w:rPr>
              <w:t>▲</w:t>
            </w:r>
            <w:r>
              <w:rPr>
                <w:rFonts w:hint="eastAsia" w:ascii="宋体" w:hAnsi="宋体" w:eastAsia="宋体" w:cs="宋体"/>
                <w:i w:val="0"/>
                <w:iCs w:val="0"/>
                <w:color w:val="auto"/>
                <w:kern w:val="0"/>
                <w:sz w:val="21"/>
                <w:szCs w:val="21"/>
                <w:highlight w:val="none"/>
                <w:u w:val="none"/>
                <w:lang w:val="en-US" w:eastAsia="zh-CN"/>
              </w:rPr>
              <w:t>17、</w:t>
            </w:r>
            <w:r>
              <w:rPr>
                <w:rFonts w:hint="eastAsia" w:ascii="宋体" w:hAnsi="宋体" w:cs="宋体"/>
                <w:b/>
                <w:bCs/>
                <w:i w:val="0"/>
                <w:iCs w:val="0"/>
                <w:color w:val="auto"/>
                <w:kern w:val="0"/>
                <w:sz w:val="21"/>
                <w:szCs w:val="21"/>
                <w:highlight w:val="none"/>
                <w:u w:val="none"/>
                <w:lang w:val="en-US" w:eastAsia="zh-CN"/>
              </w:rPr>
              <w:t>投标时须提供</w:t>
            </w:r>
            <w:r>
              <w:rPr>
                <w:rFonts w:hint="eastAsia" w:ascii="宋体" w:hAnsi="宋体" w:eastAsia="宋体" w:cs="宋体"/>
                <w:b/>
                <w:bCs/>
                <w:i w:val="0"/>
                <w:iCs w:val="0"/>
                <w:color w:val="auto"/>
                <w:kern w:val="0"/>
                <w:sz w:val="21"/>
                <w:szCs w:val="21"/>
                <w:highlight w:val="none"/>
                <w:u w:val="none"/>
                <w:lang w:val="en-US" w:eastAsia="zh-CN"/>
              </w:rPr>
              <w:t>LED显示屏产品通过CCC、节能认证</w:t>
            </w:r>
            <w:r>
              <w:rPr>
                <w:rFonts w:hint="eastAsia"/>
                <w:b/>
                <w:bCs/>
                <w:color w:val="auto"/>
                <w:highlight w:val="none"/>
                <w:lang w:val="en-US" w:eastAsia="zh-CN"/>
              </w:rPr>
              <w:t>证书复印件。</w:t>
            </w:r>
          </w:p>
        </w:tc>
      </w:tr>
      <w:tr w14:paraId="5F817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68" w:type="pct"/>
            <w:tcBorders>
              <w:top w:val="single" w:color="auto" w:sz="4" w:space="0"/>
              <w:left w:val="single" w:color="auto" w:sz="4" w:space="0"/>
              <w:bottom w:val="single" w:color="auto" w:sz="4" w:space="0"/>
              <w:right w:val="single" w:color="auto" w:sz="4" w:space="0"/>
            </w:tcBorders>
            <w:vAlign w:val="center"/>
          </w:tcPr>
          <w:p w14:paraId="2F4B436B">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48</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3DFA9AB2">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72人厅</w:t>
            </w:r>
          </w:p>
          <w:p w14:paraId="63CC932D">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会议显示</w:t>
            </w:r>
          </w:p>
          <w:p w14:paraId="21B5EE88">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终端</w:t>
            </w:r>
          </w:p>
        </w:tc>
        <w:tc>
          <w:tcPr>
            <w:tcW w:w="404" w:type="pct"/>
            <w:tcBorders>
              <w:top w:val="single" w:color="auto" w:sz="4" w:space="0"/>
              <w:left w:val="single" w:color="auto" w:sz="4" w:space="0"/>
              <w:bottom w:val="single" w:color="auto" w:sz="4" w:space="0"/>
              <w:right w:val="single" w:color="auto" w:sz="4" w:space="0"/>
            </w:tcBorders>
            <w:vAlign w:val="center"/>
          </w:tcPr>
          <w:p w14:paraId="2FEE1BAB">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13</w:t>
            </w:r>
          </w:p>
        </w:tc>
        <w:tc>
          <w:tcPr>
            <w:tcW w:w="359" w:type="pct"/>
            <w:tcBorders>
              <w:top w:val="single" w:color="auto" w:sz="4" w:space="0"/>
              <w:left w:val="single" w:color="auto" w:sz="4" w:space="0"/>
              <w:bottom w:val="single" w:color="auto" w:sz="4" w:space="0"/>
              <w:right w:val="single" w:color="auto" w:sz="4" w:space="0"/>
            </w:tcBorders>
            <w:vAlign w:val="center"/>
          </w:tcPr>
          <w:p w14:paraId="5CF0823C">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平方</w:t>
            </w:r>
          </w:p>
        </w:tc>
        <w:tc>
          <w:tcPr>
            <w:tcW w:w="3135" w:type="pct"/>
            <w:tcBorders>
              <w:top w:val="single" w:color="auto" w:sz="4" w:space="0"/>
              <w:left w:val="single" w:color="auto" w:sz="4" w:space="0"/>
              <w:bottom w:val="single" w:color="auto" w:sz="4" w:space="0"/>
              <w:right w:val="single" w:color="auto" w:sz="4" w:space="0"/>
            </w:tcBorders>
            <w:vAlign w:val="center"/>
          </w:tcPr>
          <w:p w14:paraId="0B325BB3">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1、全彩显示屏净尺寸：≥4800mm宽*2720mm高</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2、像素结构：1R1G1B 表贴三合一LED</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3、整屏分辨率：≥2K</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4、像素点间距≤1.86mm</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5、像素点组成：1R1G1B</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6、模组拼装结构，包含电源模块及接收模块</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7、亮度范围：0-1800cd/㎡无级调节（白平衡亮度≥1000cd/㎡）</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8、刷新率/换帧频率：≥3840Hz/60Hz</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 xml:space="preserve">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9、静态对比度：≥15000:1，动态对比度：≥10000000:1</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10、LED显示屏符合IEC TR 62778:2014《IEC 62471的应用：光源和灯具的蓝光危害评估》要求，通过蓝光认证标准测试</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11、LED显示屏需通过辐射危害的曝辐限制、眼睛的近紫外危害曝辐限制，符合肉眼观看标准，并符合GB/T 20145-2006 光生物安全性标准</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12、阻燃测试：符合GB/T5169.16-2017电工电子产品着火危险试验(PCB 满足V-0阻燃等级要求</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13、屏体可靠性：符合GB/T2423.9-2001国家标准，裸机在50℃、湿度90%环境内连续工作≥200个小时无故障</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14、盐雾腐蚀：经过35℃连续喷雾48h试验，符合GB/T 2423.17-2008盐雾10级要求</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15、LED显示屏的回扫线或频闪现象、图像均匀性、大面积色彩还原、灰度表现力(伪轮廓现象)、运动图像清晰度、静态图像清晰度符合SJ/T 11590-2016 LED显示屏图像质量检测标准</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16、LED显示屏支持任意倍频技术，可调节控制倍频契合摄像器材工作频率，有效消除拍摄的描线。LED接收卡支持向导调屏、智能串线，支持拍照自动完成连接设置，实现傻瓜式调屏</w:t>
            </w:r>
            <w:r>
              <w:rPr>
                <w:rFonts w:hint="eastAsia" w:ascii="宋体" w:hAnsi="宋体" w:cs="宋体"/>
                <w:i w:val="0"/>
                <w:iCs w:val="0"/>
                <w:color w:val="auto"/>
                <w:kern w:val="0"/>
                <w:sz w:val="21"/>
                <w:szCs w:val="21"/>
                <w:highlight w:val="none"/>
                <w:u w:val="none"/>
                <w:lang w:val="en-US" w:eastAsia="zh-CN"/>
              </w:rPr>
              <w:t>。</w:t>
            </w:r>
          </w:p>
        </w:tc>
      </w:tr>
      <w:tr w14:paraId="7AD51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68" w:type="pct"/>
            <w:tcBorders>
              <w:top w:val="single" w:color="auto" w:sz="4" w:space="0"/>
              <w:left w:val="single" w:color="auto" w:sz="4" w:space="0"/>
              <w:bottom w:val="single" w:color="auto" w:sz="4" w:space="0"/>
              <w:right w:val="single" w:color="auto" w:sz="4" w:space="0"/>
            </w:tcBorders>
            <w:vAlign w:val="center"/>
          </w:tcPr>
          <w:p w14:paraId="1883C063">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49</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471F7FAB">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LED视频</w:t>
            </w:r>
          </w:p>
          <w:p w14:paraId="520D8467">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处理器</w:t>
            </w:r>
          </w:p>
        </w:tc>
        <w:tc>
          <w:tcPr>
            <w:tcW w:w="404" w:type="pct"/>
            <w:tcBorders>
              <w:top w:val="single" w:color="auto" w:sz="4" w:space="0"/>
              <w:left w:val="single" w:color="auto" w:sz="4" w:space="0"/>
              <w:bottom w:val="single" w:color="auto" w:sz="4" w:space="0"/>
              <w:right w:val="single" w:color="auto" w:sz="4" w:space="0"/>
            </w:tcBorders>
            <w:vAlign w:val="center"/>
          </w:tcPr>
          <w:p w14:paraId="59B3E08C">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2</w:t>
            </w:r>
          </w:p>
        </w:tc>
        <w:tc>
          <w:tcPr>
            <w:tcW w:w="359" w:type="pct"/>
            <w:tcBorders>
              <w:top w:val="single" w:color="auto" w:sz="4" w:space="0"/>
              <w:left w:val="single" w:color="auto" w:sz="4" w:space="0"/>
              <w:bottom w:val="single" w:color="auto" w:sz="4" w:space="0"/>
              <w:right w:val="single" w:color="auto" w:sz="4" w:space="0"/>
            </w:tcBorders>
            <w:vAlign w:val="center"/>
          </w:tcPr>
          <w:p w14:paraId="252138F9">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台</w:t>
            </w:r>
          </w:p>
        </w:tc>
        <w:tc>
          <w:tcPr>
            <w:tcW w:w="3135" w:type="pct"/>
            <w:tcBorders>
              <w:top w:val="single" w:color="auto" w:sz="4" w:space="0"/>
              <w:left w:val="single" w:color="auto" w:sz="4" w:space="0"/>
              <w:bottom w:val="single" w:color="auto" w:sz="4" w:space="0"/>
              <w:right w:val="single" w:color="auto" w:sz="4" w:space="0"/>
            </w:tcBorders>
            <w:vAlign w:val="center"/>
          </w:tcPr>
          <w:p w14:paraId="0AC6DAF1">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1、2路DVI视频输入，2路双链HDMI视频输入；</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2、支持一路音频输入；</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3、16路网口输出；</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4、USB 接口控制，可级联多台进行统一控制；</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5、单路最大带载分辨率≥3840*2160</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6、一路光探头接口</w:t>
            </w:r>
            <w:r>
              <w:rPr>
                <w:rFonts w:hint="eastAsia" w:ascii="宋体" w:hAnsi="宋体" w:cs="宋体"/>
                <w:i w:val="0"/>
                <w:iCs w:val="0"/>
                <w:color w:val="auto"/>
                <w:kern w:val="0"/>
                <w:sz w:val="21"/>
                <w:szCs w:val="21"/>
                <w:highlight w:val="none"/>
                <w:u w:val="none"/>
                <w:lang w:val="en-US" w:eastAsia="zh-CN"/>
              </w:rPr>
              <w:t>。</w:t>
            </w:r>
          </w:p>
        </w:tc>
      </w:tr>
      <w:tr w14:paraId="50353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68" w:type="pct"/>
            <w:tcBorders>
              <w:top w:val="single" w:color="auto" w:sz="4" w:space="0"/>
              <w:left w:val="single" w:color="auto" w:sz="4" w:space="0"/>
              <w:bottom w:val="single" w:color="auto" w:sz="4" w:space="0"/>
              <w:right w:val="single" w:color="auto" w:sz="4" w:space="0"/>
            </w:tcBorders>
            <w:vAlign w:val="center"/>
          </w:tcPr>
          <w:p w14:paraId="4AEF40F7">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50</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790A5DBA">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安装钢结构</w:t>
            </w:r>
          </w:p>
        </w:tc>
        <w:tc>
          <w:tcPr>
            <w:tcW w:w="404" w:type="pct"/>
            <w:tcBorders>
              <w:top w:val="single" w:color="auto" w:sz="4" w:space="0"/>
              <w:left w:val="single" w:color="auto" w:sz="4" w:space="0"/>
              <w:bottom w:val="single" w:color="auto" w:sz="4" w:space="0"/>
              <w:right w:val="single" w:color="auto" w:sz="4" w:space="0"/>
            </w:tcBorders>
            <w:vAlign w:val="center"/>
          </w:tcPr>
          <w:p w14:paraId="05CA1940">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35</w:t>
            </w:r>
          </w:p>
        </w:tc>
        <w:tc>
          <w:tcPr>
            <w:tcW w:w="359" w:type="pct"/>
            <w:tcBorders>
              <w:top w:val="single" w:color="auto" w:sz="4" w:space="0"/>
              <w:left w:val="single" w:color="auto" w:sz="4" w:space="0"/>
              <w:bottom w:val="single" w:color="auto" w:sz="4" w:space="0"/>
              <w:right w:val="single" w:color="auto" w:sz="4" w:space="0"/>
            </w:tcBorders>
            <w:vAlign w:val="center"/>
          </w:tcPr>
          <w:p w14:paraId="17926057">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平方</w:t>
            </w:r>
          </w:p>
        </w:tc>
        <w:tc>
          <w:tcPr>
            <w:tcW w:w="3135" w:type="pct"/>
            <w:tcBorders>
              <w:top w:val="single" w:color="auto" w:sz="4" w:space="0"/>
              <w:left w:val="single" w:color="auto" w:sz="4" w:space="0"/>
              <w:bottom w:val="single" w:color="auto" w:sz="4" w:space="0"/>
              <w:right w:val="single" w:color="auto" w:sz="4" w:space="0"/>
            </w:tcBorders>
            <w:vAlign w:val="center"/>
          </w:tcPr>
          <w:p w14:paraId="4FC4FC33">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1、构架尺寸根据施工现场及甲方要求</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2、构架材质：铝材，钢材</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3、含底面背景墙饰面装饰，背景墙加强钢结构支撑</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4、安装高度：根据现场实际尺寸及甲方要求，含边框的制作及安装</w:t>
            </w:r>
            <w:r>
              <w:rPr>
                <w:rFonts w:hint="eastAsia" w:ascii="宋体" w:hAnsi="宋体" w:cs="宋体"/>
                <w:i w:val="0"/>
                <w:iCs w:val="0"/>
                <w:color w:val="auto"/>
                <w:kern w:val="0"/>
                <w:sz w:val="21"/>
                <w:szCs w:val="21"/>
                <w:highlight w:val="none"/>
                <w:u w:val="none"/>
                <w:lang w:val="en-US" w:eastAsia="zh-CN"/>
              </w:rPr>
              <w:t>。</w:t>
            </w:r>
          </w:p>
        </w:tc>
      </w:tr>
      <w:tr w14:paraId="20D4DF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68" w:type="pct"/>
            <w:tcBorders>
              <w:top w:val="single" w:color="auto" w:sz="4" w:space="0"/>
              <w:left w:val="single" w:color="auto" w:sz="4" w:space="0"/>
              <w:bottom w:val="single" w:color="auto" w:sz="4" w:space="0"/>
              <w:right w:val="single" w:color="auto" w:sz="4" w:space="0"/>
            </w:tcBorders>
            <w:vAlign w:val="center"/>
          </w:tcPr>
          <w:p w14:paraId="2E5BD033">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51</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452C5CC0">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无纸化</w:t>
            </w:r>
          </w:p>
          <w:p w14:paraId="155F3D4E">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显示终端</w:t>
            </w:r>
          </w:p>
          <w:p w14:paraId="72850984">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电子桌牌</w:t>
            </w:r>
          </w:p>
        </w:tc>
        <w:tc>
          <w:tcPr>
            <w:tcW w:w="404" w:type="pct"/>
            <w:tcBorders>
              <w:top w:val="single" w:color="auto" w:sz="4" w:space="0"/>
              <w:left w:val="single" w:color="auto" w:sz="4" w:space="0"/>
              <w:bottom w:val="single" w:color="auto" w:sz="4" w:space="0"/>
              <w:right w:val="single" w:color="auto" w:sz="4" w:space="0"/>
            </w:tcBorders>
            <w:vAlign w:val="center"/>
          </w:tcPr>
          <w:p w14:paraId="33C36407">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10</w:t>
            </w:r>
          </w:p>
        </w:tc>
        <w:tc>
          <w:tcPr>
            <w:tcW w:w="359" w:type="pct"/>
            <w:tcBorders>
              <w:top w:val="single" w:color="auto" w:sz="4" w:space="0"/>
              <w:left w:val="single" w:color="auto" w:sz="4" w:space="0"/>
              <w:bottom w:val="single" w:color="auto" w:sz="4" w:space="0"/>
              <w:right w:val="single" w:color="auto" w:sz="4" w:space="0"/>
            </w:tcBorders>
            <w:vAlign w:val="center"/>
          </w:tcPr>
          <w:p w14:paraId="399ADA0F">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4BA772C1">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w:t>
            </w:r>
            <w:r>
              <w:rPr>
                <w:rStyle w:val="110"/>
                <w:rFonts w:hint="eastAsia" w:ascii="宋体" w:hAnsi="宋体" w:eastAsia="宋体" w:cs="宋体"/>
                <w:color w:val="auto"/>
                <w:sz w:val="21"/>
                <w:szCs w:val="21"/>
                <w:highlight w:val="none"/>
                <w:lang w:val="en-US" w:eastAsia="zh-CN"/>
              </w:rPr>
              <w:t>不小于</w:t>
            </w:r>
            <w:r>
              <w:rPr>
                <w:rStyle w:val="160"/>
                <w:rFonts w:hint="eastAsia" w:ascii="宋体" w:hAnsi="宋体" w:eastAsia="宋体" w:cs="宋体"/>
                <w:color w:val="auto"/>
                <w:sz w:val="21"/>
                <w:szCs w:val="21"/>
                <w:highlight w:val="none"/>
                <w:lang w:val="en-US" w:eastAsia="zh-CN"/>
              </w:rPr>
              <w:t>7.5英寸双显屏分辨率</w:t>
            </w:r>
            <w:r>
              <w:rPr>
                <w:rStyle w:val="110"/>
                <w:rFonts w:hint="eastAsia" w:ascii="宋体" w:hAnsi="宋体" w:eastAsia="宋体" w:cs="宋体"/>
                <w:color w:val="auto"/>
                <w:sz w:val="21"/>
                <w:szCs w:val="21"/>
                <w:highlight w:val="none"/>
                <w:lang w:val="en-US" w:eastAsia="zh-CN"/>
              </w:rPr>
              <w:t>不小于</w:t>
            </w:r>
            <w:r>
              <w:rPr>
                <w:rStyle w:val="160"/>
                <w:rFonts w:hint="eastAsia" w:ascii="宋体" w:hAnsi="宋体" w:eastAsia="宋体" w:cs="宋体"/>
                <w:color w:val="auto"/>
                <w:sz w:val="21"/>
                <w:szCs w:val="21"/>
                <w:highlight w:val="none"/>
                <w:lang w:val="en-US" w:eastAsia="zh-CN"/>
              </w:rPr>
              <w:t xml:space="preserve">880x528 </w:t>
            </w:r>
            <w:r>
              <w:rPr>
                <w:rStyle w:val="160"/>
                <w:rFonts w:hint="eastAsia" w:ascii="宋体" w:hAnsi="宋体" w:cs="宋体"/>
                <w:color w:val="auto"/>
                <w:sz w:val="21"/>
                <w:szCs w:val="21"/>
                <w:highlight w:val="none"/>
                <w:lang w:val="en-US" w:eastAsia="zh-CN"/>
              </w:rPr>
              <w:t>；</w:t>
            </w:r>
            <w:r>
              <w:rPr>
                <w:rStyle w:val="160"/>
                <w:rFonts w:hint="eastAsia" w:ascii="宋体" w:hAnsi="宋体" w:eastAsia="宋体" w:cs="宋体"/>
                <w:color w:val="auto"/>
                <w:sz w:val="21"/>
                <w:szCs w:val="21"/>
                <w:highlight w:val="none"/>
                <w:lang w:val="en-US" w:eastAsia="zh-CN"/>
              </w:rPr>
              <w:br w:type="textWrapping"/>
            </w:r>
            <w:r>
              <w:rPr>
                <w:rStyle w:val="160"/>
                <w:rFonts w:hint="eastAsia" w:ascii="宋体" w:hAnsi="宋体" w:eastAsia="宋体" w:cs="宋体"/>
                <w:color w:val="auto"/>
                <w:sz w:val="21"/>
                <w:szCs w:val="21"/>
                <w:highlight w:val="none"/>
                <w:lang w:val="en-US" w:eastAsia="zh-CN"/>
              </w:rPr>
              <w:t>2、ABS环保材质，钢琴烤漆工艺</w:t>
            </w:r>
            <w:r>
              <w:rPr>
                <w:rStyle w:val="160"/>
                <w:rFonts w:hint="eastAsia" w:ascii="宋体" w:hAnsi="宋体" w:cs="宋体"/>
                <w:color w:val="auto"/>
                <w:sz w:val="21"/>
                <w:szCs w:val="21"/>
                <w:highlight w:val="none"/>
                <w:lang w:val="en-US" w:eastAsia="zh-CN"/>
              </w:rPr>
              <w:t>；</w:t>
            </w:r>
            <w:r>
              <w:rPr>
                <w:rStyle w:val="160"/>
                <w:rFonts w:hint="eastAsia" w:ascii="宋体" w:hAnsi="宋体" w:eastAsia="宋体" w:cs="宋体"/>
                <w:color w:val="auto"/>
                <w:sz w:val="21"/>
                <w:szCs w:val="21"/>
                <w:highlight w:val="none"/>
                <w:lang w:val="en-US" w:eastAsia="zh-CN"/>
              </w:rPr>
              <w:br w:type="textWrapping"/>
            </w:r>
            <w:r>
              <w:rPr>
                <w:rStyle w:val="160"/>
                <w:rFonts w:hint="eastAsia" w:ascii="宋体" w:hAnsi="宋体" w:eastAsia="宋体" w:cs="宋体"/>
                <w:color w:val="auto"/>
                <w:sz w:val="21"/>
                <w:szCs w:val="21"/>
                <w:highlight w:val="none"/>
                <w:lang w:val="en-US" w:eastAsia="zh-CN"/>
              </w:rPr>
              <w:t>3、尺寸不小于20.8cm*2.4cm*13.4cm</w:t>
            </w:r>
            <w:r>
              <w:rPr>
                <w:rStyle w:val="160"/>
                <w:rFonts w:hint="eastAsia" w:ascii="宋体" w:hAnsi="宋体" w:cs="宋体"/>
                <w:color w:val="auto"/>
                <w:sz w:val="21"/>
                <w:szCs w:val="21"/>
                <w:highlight w:val="none"/>
                <w:lang w:val="en-US" w:eastAsia="zh-CN"/>
              </w:rPr>
              <w:t>；</w:t>
            </w:r>
            <w:r>
              <w:rPr>
                <w:rStyle w:val="160"/>
                <w:rFonts w:hint="eastAsia" w:ascii="宋体" w:hAnsi="宋体" w:eastAsia="宋体" w:cs="宋体"/>
                <w:color w:val="auto"/>
                <w:sz w:val="21"/>
                <w:szCs w:val="21"/>
                <w:highlight w:val="none"/>
                <w:lang w:val="en-US" w:eastAsia="zh-CN"/>
              </w:rPr>
              <w:br w:type="textWrapping"/>
            </w:r>
            <w:r>
              <w:rPr>
                <w:rStyle w:val="160"/>
                <w:rFonts w:hint="eastAsia" w:ascii="宋体" w:hAnsi="宋体" w:eastAsia="宋体" w:cs="宋体"/>
                <w:color w:val="auto"/>
                <w:sz w:val="21"/>
                <w:szCs w:val="21"/>
                <w:highlight w:val="none"/>
                <w:lang w:val="en-US" w:eastAsia="zh-CN"/>
              </w:rPr>
              <w:t>4、双面屏展示，支持姓名、职位、会议主题，logo。自定义字体、字体颜色、背景颜色</w:t>
            </w:r>
            <w:r>
              <w:rPr>
                <w:rStyle w:val="160"/>
                <w:rFonts w:hint="eastAsia" w:ascii="宋体" w:hAnsi="宋体" w:cs="宋体"/>
                <w:color w:val="auto"/>
                <w:sz w:val="21"/>
                <w:szCs w:val="21"/>
                <w:highlight w:val="none"/>
                <w:lang w:val="en-US" w:eastAsia="zh-CN"/>
              </w:rPr>
              <w:t>；</w:t>
            </w:r>
            <w:r>
              <w:rPr>
                <w:rStyle w:val="160"/>
                <w:rFonts w:hint="eastAsia" w:ascii="宋体" w:hAnsi="宋体" w:eastAsia="宋体" w:cs="宋体"/>
                <w:color w:val="auto"/>
                <w:sz w:val="21"/>
                <w:szCs w:val="21"/>
                <w:highlight w:val="none"/>
                <w:lang w:val="en-US" w:eastAsia="zh-CN"/>
              </w:rPr>
              <w:br w:type="textWrapping"/>
            </w:r>
            <w:r>
              <w:rPr>
                <w:rStyle w:val="160"/>
                <w:rFonts w:hint="eastAsia" w:ascii="宋体" w:hAnsi="宋体" w:eastAsia="宋体" w:cs="宋体"/>
                <w:color w:val="auto"/>
                <w:sz w:val="21"/>
                <w:szCs w:val="21"/>
                <w:highlight w:val="none"/>
                <w:lang w:val="en-US" w:eastAsia="zh-CN"/>
              </w:rPr>
              <w:t>5、无线传输模式，通信距离&gt;100米</w:t>
            </w:r>
            <w:r>
              <w:rPr>
                <w:rStyle w:val="160"/>
                <w:rFonts w:hint="eastAsia" w:ascii="宋体" w:hAnsi="宋体" w:cs="宋体"/>
                <w:color w:val="auto"/>
                <w:sz w:val="21"/>
                <w:szCs w:val="21"/>
                <w:highlight w:val="none"/>
                <w:lang w:val="en-US" w:eastAsia="zh-CN"/>
              </w:rPr>
              <w:t>；</w:t>
            </w:r>
            <w:r>
              <w:rPr>
                <w:rStyle w:val="160"/>
                <w:rFonts w:hint="eastAsia" w:ascii="宋体" w:hAnsi="宋体" w:eastAsia="宋体" w:cs="宋体"/>
                <w:color w:val="auto"/>
                <w:sz w:val="21"/>
                <w:szCs w:val="21"/>
                <w:highlight w:val="none"/>
                <w:lang w:val="en-US" w:eastAsia="zh-CN"/>
              </w:rPr>
              <w:br w:type="textWrapping"/>
            </w:r>
            <w:r>
              <w:rPr>
                <w:rStyle w:val="160"/>
                <w:rFonts w:hint="eastAsia" w:ascii="宋体" w:hAnsi="宋体" w:eastAsia="宋体" w:cs="宋体"/>
                <w:color w:val="auto"/>
                <w:sz w:val="21"/>
                <w:szCs w:val="21"/>
                <w:highlight w:val="none"/>
                <w:lang w:val="en-US" w:eastAsia="zh-CN"/>
              </w:rPr>
              <w:t>6、锂电池供电，正常持续工作&gt;168小时，待机时间&gt;1年</w:t>
            </w:r>
            <w:r>
              <w:rPr>
                <w:rStyle w:val="160"/>
                <w:rFonts w:hint="eastAsia" w:ascii="宋体" w:hAnsi="宋体" w:cs="宋体"/>
                <w:color w:val="auto"/>
                <w:sz w:val="21"/>
                <w:szCs w:val="21"/>
                <w:highlight w:val="none"/>
                <w:lang w:val="en-US" w:eastAsia="zh-CN"/>
              </w:rPr>
              <w:t>；</w:t>
            </w:r>
            <w:r>
              <w:rPr>
                <w:rStyle w:val="160"/>
                <w:rFonts w:hint="eastAsia" w:ascii="宋体" w:hAnsi="宋体" w:eastAsia="宋体" w:cs="宋体"/>
                <w:color w:val="auto"/>
                <w:sz w:val="21"/>
                <w:szCs w:val="21"/>
                <w:highlight w:val="none"/>
                <w:lang w:val="en-US" w:eastAsia="zh-CN"/>
              </w:rPr>
              <w:br w:type="textWrapping"/>
            </w:r>
            <w:r>
              <w:rPr>
                <w:rStyle w:val="160"/>
                <w:rFonts w:hint="eastAsia" w:ascii="宋体" w:hAnsi="宋体" w:eastAsia="宋体" w:cs="宋体"/>
                <w:color w:val="auto"/>
                <w:sz w:val="21"/>
                <w:szCs w:val="21"/>
                <w:highlight w:val="none"/>
                <w:lang w:val="en-US" w:eastAsia="zh-CN"/>
              </w:rPr>
              <w:t>7、会议签到、投票表决、信息收发、呼叫服务。</w:t>
            </w:r>
          </w:p>
        </w:tc>
      </w:tr>
      <w:tr w14:paraId="62680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68" w:type="pct"/>
            <w:tcBorders>
              <w:top w:val="single" w:color="auto" w:sz="4" w:space="0"/>
              <w:left w:val="single" w:color="auto" w:sz="4" w:space="0"/>
              <w:bottom w:val="single" w:color="auto" w:sz="4" w:space="0"/>
              <w:right w:val="single" w:color="auto" w:sz="4" w:space="0"/>
            </w:tcBorders>
            <w:vAlign w:val="center"/>
          </w:tcPr>
          <w:p w14:paraId="2C7FA85E">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52</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448B3645">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电子桌牌</w:t>
            </w:r>
          </w:p>
          <w:p w14:paraId="7628AF5B">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信号发射器</w:t>
            </w:r>
          </w:p>
        </w:tc>
        <w:tc>
          <w:tcPr>
            <w:tcW w:w="404" w:type="pct"/>
            <w:tcBorders>
              <w:top w:val="single" w:color="auto" w:sz="4" w:space="0"/>
              <w:left w:val="single" w:color="auto" w:sz="4" w:space="0"/>
              <w:bottom w:val="single" w:color="auto" w:sz="4" w:space="0"/>
              <w:right w:val="single" w:color="auto" w:sz="4" w:space="0"/>
            </w:tcBorders>
            <w:vAlign w:val="center"/>
          </w:tcPr>
          <w:p w14:paraId="341AAA59">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w:t>
            </w:r>
          </w:p>
        </w:tc>
        <w:tc>
          <w:tcPr>
            <w:tcW w:w="359" w:type="pct"/>
            <w:tcBorders>
              <w:top w:val="single" w:color="auto" w:sz="4" w:space="0"/>
              <w:left w:val="single" w:color="auto" w:sz="4" w:space="0"/>
              <w:bottom w:val="single" w:color="auto" w:sz="4" w:space="0"/>
              <w:right w:val="single" w:color="auto" w:sz="4" w:space="0"/>
            </w:tcBorders>
            <w:vAlign w:val="center"/>
          </w:tcPr>
          <w:p w14:paraId="2E73D2E4">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1A336297">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1、基站编号、信道的设置及修改</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2、网络ip地址自动获取</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3、基站参数的备份/恢复</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4、子键键盘的配对</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5、键盘号的设置，按键方式自定义</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6、键盘屏幕背光显示时间设置，震动时间设置</w:t>
            </w:r>
            <w:r>
              <w:rPr>
                <w:rFonts w:hint="eastAsia" w:ascii="宋体" w:hAnsi="宋体" w:cs="宋体"/>
                <w:i w:val="0"/>
                <w:iCs w:val="0"/>
                <w:color w:val="auto"/>
                <w:kern w:val="0"/>
                <w:sz w:val="21"/>
                <w:szCs w:val="21"/>
                <w:highlight w:val="none"/>
                <w:u w:val="none"/>
                <w:lang w:val="en-US" w:eastAsia="zh-CN"/>
              </w:rPr>
              <w:t>。</w:t>
            </w:r>
          </w:p>
        </w:tc>
      </w:tr>
      <w:tr w14:paraId="207DB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68" w:type="pct"/>
            <w:tcBorders>
              <w:top w:val="single" w:color="auto" w:sz="4" w:space="0"/>
              <w:left w:val="single" w:color="auto" w:sz="4" w:space="0"/>
              <w:bottom w:val="single" w:color="auto" w:sz="4" w:space="0"/>
              <w:right w:val="single" w:color="auto" w:sz="4" w:space="0"/>
            </w:tcBorders>
            <w:vAlign w:val="center"/>
          </w:tcPr>
          <w:p w14:paraId="2D4521DD">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53</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0F189500">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交互</w:t>
            </w:r>
          </w:p>
          <w:p w14:paraId="3D1D4867">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电子白板</w:t>
            </w:r>
          </w:p>
        </w:tc>
        <w:tc>
          <w:tcPr>
            <w:tcW w:w="404" w:type="pct"/>
            <w:tcBorders>
              <w:top w:val="single" w:color="auto" w:sz="4" w:space="0"/>
              <w:left w:val="single" w:color="auto" w:sz="4" w:space="0"/>
              <w:bottom w:val="single" w:color="auto" w:sz="4" w:space="0"/>
              <w:right w:val="single" w:color="auto" w:sz="4" w:space="0"/>
            </w:tcBorders>
            <w:vAlign w:val="center"/>
          </w:tcPr>
          <w:p w14:paraId="117DAFD9">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 xml:space="preserve">1 </w:t>
            </w:r>
          </w:p>
        </w:tc>
        <w:tc>
          <w:tcPr>
            <w:tcW w:w="359" w:type="pct"/>
            <w:tcBorders>
              <w:top w:val="single" w:color="auto" w:sz="4" w:space="0"/>
              <w:left w:val="single" w:color="auto" w:sz="4" w:space="0"/>
              <w:bottom w:val="single" w:color="auto" w:sz="4" w:space="0"/>
              <w:right w:val="single" w:color="auto" w:sz="4" w:space="0"/>
            </w:tcBorders>
            <w:vAlign w:val="center"/>
          </w:tcPr>
          <w:p w14:paraId="7E68D070">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4E1DC3B6">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1、四种标示特性感识终端，含可替换标示芯片</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2、兼容系统Max OS X版本，Windows版本</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3、有效区域：宽度252厘米x高度150厘米x2个并联区域，配置带跨区互动终端，可适配连接使用区域任何显示端</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4、智能自动识别区域，无线校准操作</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5、语音提示：功能菜单语音提示；</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6、LED显示：工作状态提示</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7、支持的操作系统：Android，iOS，Mac，Windows</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8、APP应用环境：智能手机IOS版本，Android版本；</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9、设备内存：8G，存储页面数：10000页</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10、可编辑内容：共享文件二次编辑保存及上传共享功能</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11、云应用：Dropbox，Evernote，icloud，无限共享会话参与者数量；</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12、捕捉技术：红外线/超声波，应用程序兼容性和语言全球主流应用15种以上语言；</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13、无线技术：蓝牙2.1，电源：USB /充电电池，电池续航时间：48小时</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14、无网络及断网自动记录存储功能，离线存储空间≥8G,接入网络自动上传</w:t>
            </w:r>
            <w:r>
              <w:rPr>
                <w:rFonts w:hint="eastAsia" w:ascii="宋体" w:hAnsi="宋体" w:cs="宋体"/>
                <w:i w:val="0"/>
                <w:iCs w:val="0"/>
                <w:color w:val="auto"/>
                <w:kern w:val="0"/>
                <w:sz w:val="21"/>
                <w:szCs w:val="21"/>
                <w:highlight w:val="none"/>
                <w:u w:val="none"/>
                <w:lang w:val="en-US" w:eastAsia="zh-CN"/>
              </w:rPr>
              <w:t>。</w:t>
            </w:r>
          </w:p>
        </w:tc>
      </w:tr>
      <w:tr w14:paraId="6695A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68" w:type="pct"/>
            <w:tcBorders>
              <w:top w:val="single" w:color="auto" w:sz="4" w:space="0"/>
              <w:left w:val="single" w:color="auto" w:sz="4" w:space="0"/>
              <w:bottom w:val="single" w:color="auto" w:sz="4" w:space="0"/>
              <w:right w:val="single" w:color="auto" w:sz="4" w:space="0"/>
            </w:tcBorders>
            <w:vAlign w:val="center"/>
          </w:tcPr>
          <w:p w14:paraId="23447FA9">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54</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5A921CF7">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视频工作站</w:t>
            </w:r>
          </w:p>
        </w:tc>
        <w:tc>
          <w:tcPr>
            <w:tcW w:w="404" w:type="pct"/>
            <w:tcBorders>
              <w:top w:val="single" w:color="auto" w:sz="4" w:space="0"/>
              <w:left w:val="single" w:color="auto" w:sz="4" w:space="0"/>
              <w:bottom w:val="single" w:color="auto" w:sz="4" w:space="0"/>
              <w:right w:val="single" w:color="auto" w:sz="4" w:space="0"/>
            </w:tcBorders>
            <w:vAlign w:val="center"/>
          </w:tcPr>
          <w:p w14:paraId="0DEB5DF8">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2</w:t>
            </w:r>
          </w:p>
        </w:tc>
        <w:tc>
          <w:tcPr>
            <w:tcW w:w="359" w:type="pct"/>
            <w:tcBorders>
              <w:top w:val="single" w:color="auto" w:sz="4" w:space="0"/>
              <w:left w:val="single" w:color="auto" w:sz="4" w:space="0"/>
              <w:bottom w:val="single" w:color="auto" w:sz="4" w:space="0"/>
              <w:right w:val="single" w:color="auto" w:sz="4" w:space="0"/>
            </w:tcBorders>
            <w:vAlign w:val="center"/>
          </w:tcPr>
          <w:p w14:paraId="37ADB66C">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套</w:t>
            </w:r>
          </w:p>
        </w:tc>
        <w:tc>
          <w:tcPr>
            <w:tcW w:w="3135" w:type="pct"/>
            <w:tcBorders>
              <w:top w:val="single" w:color="auto" w:sz="4" w:space="0"/>
              <w:left w:val="single" w:color="auto" w:sz="4" w:space="0"/>
              <w:bottom w:val="single" w:color="auto" w:sz="4" w:space="0"/>
              <w:right w:val="single" w:color="auto" w:sz="4" w:space="0"/>
            </w:tcBorders>
            <w:vAlign w:val="center"/>
          </w:tcPr>
          <w:p w14:paraId="603EC46D">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1、主板，电源等关键部件有原厂商统一品牌标志</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color w:val="auto"/>
                <w:highlight w:val="none"/>
              </w:rPr>
              <w:t>▲</w:t>
            </w:r>
            <w:r>
              <w:rPr>
                <w:rFonts w:hint="eastAsia" w:ascii="宋体" w:hAnsi="宋体" w:eastAsia="宋体" w:cs="宋体"/>
                <w:b/>
                <w:bCs/>
                <w:i w:val="0"/>
                <w:iCs w:val="0"/>
                <w:color w:val="auto"/>
                <w:kern w:val="0"/>
                <w:sz w:val="21"/>
                <w:szCs w:val="21"/>
                <w:highlight w:val="none"/>
                <w:u w:val="none"/>
                <w:lang w:val="en-US" w:eastAsia="zh-CN"/>
              </w:rPr>
              <w:t>2、CPU：英特尔第九代酷睿六核处理器I5或以上，配置风扇导流罩</w:t>
            </w:r>
            <w:r>
              <w:rPr>
                <w:rFonts w:hint="eastAsia" w:ascii="宋体" w:hAnsi="宋体" w:cs="宋体"/>
                <w:b/>
                <w:bCs/>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3、主板：英特尔 B365芯片组或以上，PCI扩展插槽≥2个PCI+1个PCI-Ex1+1个PCI-Ex16</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rPr>
              <w:t>4、内存：≥16G DDR4 2666MHZ</w:t>
            </w:r>
            <w:r>
              <w:rPr>
                <w:rFonts w:hint="eastAsia" w:ascii="宋体" w:hAnsi="宋体" w:cs="宋体"/>
                <w:b/>
                <w:bCs/>
                <w:i w:val="0"/>
                <w:iCs w:val="0"/>
                <w:color w:val="auto"/>
                <w:kern w:val="0"/>
                <w:sz w:val="21"/>
                <w:szCs w:val="21"/>
                <w:highlight w:val="none"/>
                <w:u w:val="none"/>
                <w:lang w:val="en-US" w:eastAsia="zh-CN"/>
              </w:rPr>
              <w:t>；</w:t>
            </w:r>
            <w:r>
              <w:rPr>
                <w:rFonts w:hint="eastAsia" w:ascii="宋体" w:hAnsi="宋体" w:eastAsia="宋体" w:cs="宋体"/>
                <w:b/>
                <w:bCs/>
                <w:i w:val="0"/>
                <w:iCs w:val="0"/>
                <w:color w:val="auto"/>
                <w:kern w:val="0"/>
                <w:sz w:val="21"/>
                <w:szCs w:val="21"/>
                <w:highlight w:val="none"/>
                <w:u w:val="none"/>
                <w:lang w:val="en-US" w:eastAsia="zh-CN"/>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rPr>
              <w:t>5、硬盘：≥512G固态</w:t>
            </w:r>
            <w:r>
              <w:rPr>
                <w:rFonts w:hint="eastAsia" w:ascii="宋体" w:hAnsi="宋体" w:cs="宋体"/>
                <w:b/>
                <w:bCs/>
                <w:i w:val="0"/>
                <w:iCs w:val="0"/>
                <w:color w:val="auto"/>
                <w:kern w:val="0"/>
                <w:sz w:val="21"/>
                <w:szCs w:val="21"/>
                <w:highlight w:val="none"/>
                <w:u w:val="none"/>
                <w:lang w:val="en-US" w:eastAsia="zh-CN"/>
              </w:rPr>
              <w:t>；</w:t>
            </w:r>
            <w:r>
              <w:rPr>
                <w:rFonts w:hint="eastAsia" w:ascii="宋体" w:hAnsi="宋体" w:eastAsia="宋体" w:cs="宋体"/>
                <w:b/>
                <w:bCs/>
                <w:i w:val="0"/>
                <w:iCs w:val="0"/>
                <w:color w:val="auto"/>
                <w:kern w:val="0"/>
                <w:sz w:val="21"/>
                <w:szCs w:val="21"/>
                <w:highlight w:val="none"/>
                <w:u w:val="none"/>
                <w:lang w:val="en-US" w:eastAsia="zh-CN"/>
              </w:rPr>
              <w:br w:type="textWrapping"/>
            </w:r>
            <w:r>
              <w:rPr>
                <w:rFonts w:hint="eastAsia"/>
                <w:b/>
                <w:bCs/>
                <w:color w:val="auto"/>
                <w:highlight w:val="none"/>
              </w:rPr>
              <w:t>▲</w:t>
            </w:r>
            <w:r>
              <w:rPr>
                <w:rFonts w:hint="eastAsia" w:ascii="宋体" w:hAnsi="宋体" w:eastAsia="宋体" w:cs="宋体"/>
                <w:b/>
                <w:bCs/>
                <w:i w:val="0"/>
                <w:iCs w:val="0"/>
                <w:color w:val="auto"/>
                <w:kern w:val="0"/>
                <w:sz w:val="21"/>
                <w:szCs w:val="21"/>
                <w:highlight w:val="none"/>
                <w:u w:val="none"/>
                <w:lang w:val="en-US" w:eastAsia="zh-CN"/>
              </w:rPr>
              <w:t>6、显卡：配置≥2G独立显卡</w:t>
            </w:r>
            <w:r>
              <w:rPr>
                <w:rFonts w:hint="eastAsia" w:ascii="宋体" w:hAnsi="宋体" w:cs="宋体"/>
                <w:b/>
                <w:bCs/>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7、光驱：无</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8、电源：更好扩展性，≥290W节能电源</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9、接口：≥8个USB口（前置≥4个USB 3.0），≥1个VGA接口，≥1个HDMI接口, ≥1个9针COM接口，≥2个PS/2接口</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10、机箱：方便扩展与散热，机型体积大于17L，顶置隐藏式提手，后置电源故障诊断灯</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11、系统配置KVM坐席控制平台</w:t>
            </w:r>
            <w:r>
              <w:rPr>
                <w:rFonts w:hint="eastAsia" w:ascii="宋体" w:hAnsi="宋体" w:cs="宋体"/>
                <w:i w:val="0"/>
                <w:iCs w:val="0"/>
                <w:color w:val="auto"/>
                <w:kern w:val="0"/>
                <w:sz w:val="21"/>
                <w:szCs w:val="21"/>
                <w:highlight w:val="none"/>
                <w:u w:val="none"/>
                <w:lang w:val="en-US" w:eastAsia="zh-CN"/>
              </w:rPr>
              <w:t>。</w:t>
            </w:r>
          </w:p>
        </w:tc>
      </w:tr>
      <w:tr w14:paraId="07A75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68" w:type="pct"/>
            <w:tcBorders>
              <w:top w:val="single" w:color="auto" w:sz="4" w:space="0"/>
              <w:left w:val="single" w:color="auto" w:sz="4" w:space="0"/>
              <w:bottom w:val="single" w:color="auto" w:sz="4" w:space="0"/>
              <w:right w:val="single" w:color="auto" w:sz="4" w:space="0"/>
            </w:tcBorders>
            <w:vAlign w:val="center"/>
          </w:tcPr>
          <w:p w14:paraId="1BE78AE1">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55</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48E55ED7">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分区配电</w:t>
            </w:r>
          </w:p>
          <w:p w14:paraId="60C95382">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电缆线</w:t>
            </w:r>
          </w:p>
        </w:tc>
        <w:tc>
          <w:tcPr>
            <w:tcW w:w="404" w:type="pct"/>
            <w:tcBorders>
              <w:top w:val="single" w:color="auto" w:sz="4" w:space="0"/>
              <w:left w:val="single" w:color="auto" w:sz="4" w:space="0"/>
              <w:bottom w:val="single" w:color="auto" w:sz="4" w:space="0"/>
              <w:right w:val="single" w:color="auto" w:sz="4" w:space="0"/>
            </w:tcBorders>
            <w:vAlign w:val="center"/>
          </w:tcPr>
          <w:p w14:paraId="738DF2A3">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400</w:t>
            </w:r>
          </w:p>
        </w:tc>
        <w:tc>
          <w:tcPr>
            <w:tcW w:w="359" w:type="pct"/>
            <w:tcBorders>
              <w:top w:val="single" w:color="auto" w:sz="4" w:space="0"/>
              <w:left w:val="single" w:color="auto" w:sz="4" w:space="0"/>
              <w:bottom w:val="single" w:color="auto" w:sz="4" w:space="0"/>
              <w:right w:val="single" w:color="auto" w:sz="4" w:space="0"/>
            </w:tcBorders>
            <w:vAlign w:val="center"/>
          </w:tcPr>
          <w:p w14:paraId="5509D22B">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米</w:t>
            </w:r>
          </w:p>
        </w:tc>
        <w:tc>
          <w:tcPr>
            <w:tcW w:w="3135" w:type="pct"/>
            <w:tcBorders>
              <w:top w:val="single" w:color="auto" w:sz="4" w:space="0"/>
              <w:left w:val="single" w:color="auto" w:sz="4" w:space="0"/>
              <w:bottom w:val="single" w:color="auto" w:sz="4" w:space="0"/>
              <w:right w:val="single" w:color="auto" w:sz="4" w:space="0"/>
            </w:tcBorders>
            <w:vAlign w:val="center"/>
          </w:tcPr>
          <w:p w14:paraId="1DB4C97A">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RVV3*2.5mm平方橡胶护套电缆</w:t>
            </w:r>
            <w:r>
              <w:rPr>
                <w:rFonts w:hint="eastAsia" w:ascii="宋体" w:hAnsi="宋体" w:cs="宋体"/>
                <w:i w:val="0"/>
                <w:iCs w:val="0"/>
                <w:color w:val="auto"/>
                <w:kern w:val="0"/>
                <w:sz w:val="21"/>
                <w:szCs w:val="21"/>
                <w:highlight w:val="none"/>
                <w:u w:val="none"/>
                <w:lang w:val="en-US" w:eastAsia="zh-CN"/>
              </w:rPr>
              <w:t>。</w:t>
            </w:r>
          </w:p>
        </w:tc>
      </w:tr>
      <w:tr w14:paraId="6A78D5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68" w:type="pct"/>
            <w:tcBorders>
              <w:top w:val="single" w:color="auto" w:sz="4" w:space="0"/>
              <w:left w:val="single" w:color="auto" w:sz="4" w:space="0"/>
              <w:bottom w:val="single" w:color="auto" w:sz="4" w:space="0"/>
              <w:right w:val="single" w:color="auto" w:sz="4" w:space="0"/>
            </w:tcBorders>
            <w:vAlign w:val="center"/>
          </w:tcPr>
          <w:p w14:paraId="25D3452F">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56</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378DB04A">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信号传输</w:t>
            </w:r>
          </w:p>
          <w:p w14:paraId="45229C9A">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网络布线</w:t>
            </w:r>
          </w:p>
        </w:tc>
        <w:tc>
          <w:tcPr>
            <w:tcW w:w="404" w:type="pct"/>
            <w:tcBorders>
              <w:top w:val="single" w:color="auto" w:sz="4" w:space="0"/>
              <w:left w:val="single" w:color="auto" w:sz="4" w:space="0"/>
              <w:bottom w:val="single" w:color="auto" w:sz="4" w:space="0"/>
              <w:right w:val="single" w:color="auto" w:sz="4" w:space="0"/>
            </w:tcBorders>
            <w:vAlign w:val="center"/>
          </w:tcPr>
          <w:p w14:paraId="2B7AE15E">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600</w:t>
            </w:r>
          </w:p>
        </w:tc>
        <w:tc>
          <w:tcPr>
            <w:tcW w:w="359" w:type="pct"/>
            <w:tcBorders>
              <w:top w:val="single" w:color="auto" w:sz="4" w:space="0"/>
              <w:left w:val="single" w:color="auto" w:sz="4" w:space="0"/>
              <w:bottom w:val="single" w:color="auto" w:sz="4" w:space="0"/>
              <w:right w:val="single" w:color="auto" w:sz="4" w:space="0"/>
            </w:tcBorders>
            <w:vAlign w:val="center"/>
          </w:tcPr>
          <w:p w14:paraId="3C0502CD">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米</w:t>
            </w:r>
          </w:p>
        </w:tc>
        <w:tc>
          <w:tcPr>
            <w:tcW w:w="3135" w:type="pct"/>
            <w:tcBorders>
              <w:top w:val="single" w:color="auto" w:sz="4" w:space="0"/>
              <w:left w:val="single" w:color="auto" w:sz="4" w:space="0"/>
              <w:bottom w:val="single" w:color="auto" w:sz="4" w:space="0"/>
              <w:right w:val="single" w:color="auto" w:sz="4" w:space="0"/>
            </w:tcBorders>
            <w:vAlign w:val="center"/>
          </w:tcPr>
          <w:p w14:paraId="5AFEB67E">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超五类网络线</w:t>
            </w:r>
            <w:r>
              <w:rPr>
                <w:rFonts w:hint="eastAsia" w:ascii="宋体" w:hAnsi="宋体" w:cs="宋体"/>
                <w:i w:val="0"/>
                <w:iCs w:val="0"/>
                <w:color w:val="auto"/>
                <w:kern w:val="0"/>
                <w:sz w:val="21"/>
                <w:szCs w:val="21"/>
                <w:highlight w:val="none"/>
                <w:u w:val="none"/>
                <w:lang w:val="en-US" w:eastAsia="zh-CN"/>
              </w:rPr>
              <w:t>。</w:t>
            </w:r>
          </w:p>
        </w:tc>
      </w:tr>
      <w:tr w14:paraId="7E3E1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68" w:type="pct"/>
            <w:tcBorders>
              <w:top w:val="single" w:color="auto" w:sz="4" w:space="0"/>
              <w:left w:val="single" w:color="auto" w:sz="4" w:space="0"/>
              <w:bottom w:val="single" w:color="auto" w:sz="4" w:space="0"/>
              <w:right w:val="single" w:color="auto" w:sz="4" w:space="0"/>
            </w:tcBorders>
            <w:vAlign w:val="center"/>
          </w:tcPr>
          <w:p w14:paraId="5D1E50AB">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57</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39F0126C">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高清数据</w:t>
            </w:r>
          </w:p>
          <w:p w14:paraId="37A4C89D">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传输线缆</w:t>
            </w:r>
          </w:p>
        </w:tc>
        <w:tc>
          <w:tcPr>
            <w:tcW w:w="404" w:type="pct"/>
            <w:tcBorders>
              <w:top w:val="single" w:color="auto" w:sz="4" w:space="0"/>
              <w:left w:val="single" w:color="auto" w:sz="4" w:space="0"/>
              <w:bottom w:val="single" w:color="auto" w:sz="4" w:space="0"/>
              <w:right w:val="single" w:color="auto" w:sz="4" w:space="0"/>
            </w:tcBorders>
            <w:vAlign w:val="center"/>
          </w:tcPr>
          <w:p w14:paraId="3CDEE172">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100</w:t>
            </w:r>
          </w:p>
        </w:tc>
        <w:tc>
          <w:tcPr>
            <w:tcW w:w="359" w:type="pct"/>
            <w:tcBorders>
              <w:top w:val="single" w:color="auto" w:sz="4" w:space="0"/>
              <w:left w:val="single" w:color="auto" w:sz="4" w:space="0"/>
              <w:bottom w:val="single" w:color="auto" w:sz="4" w:space="0"/>
              <w:right w:val="single" w:color="auto" w:sz="4" w:space="0"/>
            </w:tcBorders>
            <w:vAlign w:val="center"/>
          </w:tcPr>
          <w:p w14:paraId="53F43D4B">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米</w:t>
            </w:r>
          </w:p>
        </w:tc>
        <w:tc>
          <w:tcPr>
            <w:tcW w:w="3135" w:type="pct"/>
            <w:tcBorders>
              <w:top w:val="single" w:color="auto" w:sz="4" w:space="0"/>
              <w:left w:val="single" w:color="auto" w:sz="4" w:space="0"/>
              <w:bottom w:val="single" w:color="auto" w:sz="4" w:space="0"/>
              <w:right w:val="single" w:color="auto" w:sz="4" w:space="0"/>
            </w:tcBorders>
            <w:vAlign w:val="center"/>
          </w:tcPr>
          <w:p w14:paraId="36FA8059">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1、节点之间HDMI/VGA/DVI/SID高清数据线传输，包含高清数据接插件</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2、设备终端间电源线、网线、485控制线传输</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3、线缆管线施工预埋敷设，包含开槽及恢复施工作业</w:t>
            </w:r>
            <w:r>
              <w:rPr>
                <w:rFonts w:hint="eastAsia" w:ascii="宋体" w:hAnsi="宋体" w:cs="宋体"/>
                <w:i w:val="0"/>
                <w:iCs w:val="0"/>
                <w:color w:val="auto"/>
                <w:kern w:val="0"/>
                <w:sz w:val="21"/>
                <w:szCs w:val="21"/>
                <w:highlight w:val="none"/>
                <w:u w:val="none"/>
                <w:lang w:val="en-US" w:eastAsia="zh-CN"/>
              </w:rPr>
              <w:t>。</w:t>
            </w:r>
          </w:p>
        </w:tc>
      </w:tr>
      <w:tr w14:paraId="04A4F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68" w:type="pct"/>
            <w:tcBorders>
              <w:top w:val="single" w:color="auto" w:sz="4" w:space="0"/>
              <w:left w:val="single" w:color="auto" w:sz="4" w:space="0"/>
              <w:bottom w:val="single" w:color="auto" w:sz="4" w:space="0"/>
              <w:right w:val="single" w:color="auto" w:sz="4" w:space="0"/>
            </w:tcBorders>
            <w:vAlign w:val="center"/>
          </w:tcPr>
          <w:p w14:paraId="49EDB7A1">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58</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32D81A8F">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中控电源</w:t>
            </w:r>
          </w:p>
          <w:p w14:paraId="3B00419A">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控制器</w:t>
            </w:r>
          </w:p>
        </w:tc>
        <w:tc>
          <w:tcPr>
            <w:tcW w:w="404" w:type="pct"/>
            <w:tcBorders>
              <w:top w:val="single" w:color="auto" w:sz="4" w:space="0"/>
              <w:left w:val="single" w:color="auto" w:sz="4" w:space="0"/>
              <w:bottom w:val="single" w:color="auto" w:sz="4" w:space="0"/>
              <w:right w:val="single" w:color="auto" w:sz="4" w:space="0"/>
            </w:tcBorders>
            <w:vAlign w:val="center"/>
          </w:tcPr>
          <w:p w14:paraId="34C33948">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2</w:t>
            </w:r>
          </w:p>
        </w:tc>
        <w:tc>
          <w:tcPr>
            <w:tcW w:w="359" w:type="pct"/>
            <w:tcBorders>
              <w:top w:val="single" w:color="auto" w:sz="4" w:space="0"/>
              <w:left w:val="single" w:color="auto" w:sz="4" w:space="0"/>
              <w:bottom w:val="single" w:color="auto" w:sz="4" w:space="0"/>
              <w:right w:val="single" w:color="auto" w:sz="4" w:space="0"/>
            </w:tcBorders>
            <w:vAlign w:val="center"/>
          </w:tcPr>
          <w:p w14:paraId="15056FD2">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台</w:t>
            </w:r>
          </w:p>
        </w:tc>
        <w:tc>
          <w:tcPr>
            <w:tcW w:w="3135" w:type="pct"/>
            <w:tcBorders>
              <w:top w:val="single" w:color="auto" w:sz="4" w:space="0"/>
              <w:left w:val="single" w:color="auto" w:sz="4" w:space="0"/>
              <w:bottom w:val="single" w:color="auto" w:sz="4" w:space="0"/>
              <w:right w:val="single" w:color="auto" w:sz="4" w:space="0"/>
            </w:tcBorders>
            <w:vAlign w:val="center"/>
          </w:tcPr>
          <w:p w14:paraId="57FEA847">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1、5寸彩色液晶电容触摸显示窗，可实时显示当前电压、日期时间、通道开关状态</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2、支持多台设备级联顺序控制，级联自动检测设备，设备设有触发功能</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3、配置232接口、485接口，支持外部中控设备控制</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4、每台设备自带ID设置和检测，可远程集中控制，及实现云端数据管理</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5、支持面板LOCK锁定功能，防止误操作</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6、支持每路延时开启和关闭时间可自由设置，每路16次循环定时开关</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7、具有欠压、超压检测及报警功能</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8、支持中控一键场景调用模式，10组设备开关场景数据保存/调用，场景管理应用简单便捷</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9、1-7路带独立滤波器，可净化电源，抗干扰能力更强</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10、支持IPHONE/安卓系统手机及笔记本无线控制调试，实现一键开关机及模式调用</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 xml:space="preserve">                                 </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11、支持PC软件调试，可对每路单独编辑及远程控制，并可进行一键场景模式调用</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12、带有外部IO触发，可对接中控设备实现的开机和关机</w:t>
            </w:r>
            <w:r>
              <w:rPr>
                <w:rFonts w:hint="eastAsia" w:ascii="宋体" w:hAnsi="宋体" w:cs="宋体"/>
                <w:i w:val="0"/>
                <w:iCs w:val="0"/>
                <w:color w:val="auto"/>
                <w:kern w:val="0"/>
                <w:sz w:val="21"/>
                <w:szCs w:val="21"/>
                <w:highlight w:val="none"/>
                <w:u w:val="none"/>
                <w:lang w:val="en-US" w:eastAsia="zh-CN"/>
              </w:rPr>
              <w:t>。</w:t>
            </w:r>
          </w:p>
        </w:tc>
      </w:tr>
      <w:tr w14:paraId="1EFCD5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68" w:type="pct"/>
            <w:tcBorders>
              <w:top w:val="single" w:color="auto" w:sz="4" w:space="0"/>
              <w:left w:val="single" w:color="auto" w:sz="4" w:space="0"/>
              <w:bottom w:val="single" w:color="auto" w:sz="4" w:space="0"/>
              <w:right w:val="single" w:color="auto" w:sz="4" w:space="0"/>
            </w:tcBorders>
            <w:vAlign w:val="center"/>
          </w:tcPr>
          <w:p w14:paraId="39D9D6C1">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59</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0BC2684D">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大屏系统</w:t>
            </w:r>
          </w:p>
          <w:p w14:paraId="13F9C64A">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敷设线管</w:t>
            </w:r>
          </w:p>
        </w:tc>
        <w:tc>
          <w:tcPr>
            <w:tcW w:w="404" w:type="pct"/>
            <w:tcBorders>
              <w:top w:val="single" w:color="auto" w:sz="4" w:space="0"/>
              <w:left w:val="single" w:color="auto" w:sz="4" w:space="0"/>
              <w:bottom w:val="single" w:color="auto" w:sz="4" w:space="0"/>
              <w:right w:val="single" w:color="auto" w:sz="4" w:space="0"/>
            </w:tcBorders>
            <w:vAlign w:val="center"/>
          </w:tcPr>
          <w:p w14:paraId="5066B2A0">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100</w:t>
            </w:r>
          </w:p>
        </w:tc>
        <w:tc>
          <w:tcPr>
            <w:tcW w:w="359" w:type="pct"/>
            <w:tcBorders>
              <w:top w:val="single" w:color="auto" w:sz="4" w:space="0"/>
              <w:left w:val="single" w:color="auto" w:sz="4" w:space="0"/>
              <w:bottom w:val="single" w:color="auto" w:sz="4" w:space="0"/>
              <w:right w:val="single" w:color="auto" w:sz="4" w:space="0"/>
            </w:tcBorders>
            <w:vAlign w:val="center"/>
          </w:tcPr>
          <w:p w14:paraId="1FE9BDF1">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米</w:t>
            </w:r>
          </w:p>
        </w:tc>
        <w:tc>
          <w:tcPr>
            <w:tcW w:w="3135" w:type="pct"/>
            <w:tcBorders>
              <w:top w:val="single" w:color="auto" w:sz="4" w:space="0"/>
              <w:left w:val="single" w:color="auto" w:sz="4" w:space="0"/>
              <w:bottom w:val="single" w:color="auto" w:sz="4" w:space="0"/>
              <w:right w:val="single" w:color="auto" w:sz="4" w:space="0"/>
            </w:tcBorders>
            <w:vAlign w:val="center"/>
          </w:tcPr>
          <w:p w14:paraId="0BD0529C">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1、名称及规格：PVC25电线管</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2、敷设方式:埋地、穿墙</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3、包含管道敷设、穿线用牵引铁线、砼结构内的管道预埋施工、标识、接地等</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4、其他:按设计图纸、技术需求书及施工规范要求综合考虑</w:t>
            </w:r>
            <w:r>
              <w:rPr>
                <w:rFonts w:hint="eastAsia" w:ascii="宋体" w:hAnsi="宋体" w:cs="宋体"/>
                <w:i w:val="0"/>
                <w:iCs w:val="0"/>
                <w:color w:val="auto"/>
                <w:kern w:val="0"/>
                <w:sz w:val="21"/>
                <w:szCs w:val="21"/>
                <w:highlight w:val="none"/>
                <w:u w:val="none"/>
                <w:lang w:val="en-US" w:eastAsia="zh-CN"/>
              </w:rPr>
              <w:t>。</w:t>
            </w:r>
          </w:p>
        </w:tc>
      </w:tr>
      <w:tr w14:paraId="31727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68" w:type="pct"/>
            <w:tcBorders>
              <w:top w:val="single" w:color="auto" w:sz="4" w:space="0"/>
              <w:left w:val="single" w:color="auto" w:sz="4" w:space="0"/>
              <w:bottom w:val="single" w:color="auto" w:sz="4" w:space="0"/>
              <w:right w:val="single" w:color="auto" w:sz="4" w:space="0"/>
            </w:tcBorders>
            <w:vAlign w:val="center"/>
          </w:tcPr>
          <w:p w14:paraId="0135114A">
            <w:pPr>
              <w:keepNext w:val="0"/>
              <w:keepLines w:val="0"/>
              <w:widowControl/>
              <w:suppressLineNumbers w:val="0"/>
              <w:snapToGrid w:val="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60</w:t>
            </w:r>
          </w:p>
        </w:tc>
        <w:tc>
          <w:tcPr>
            <w:tcW w:w="731" w:type="pct"/>
            <w:gridSpan w:val="2"/>
            <w:tcBorders>
              <w:top w:val="single" w:color="auto" w:sz="4" w:space="0"/>
              <w:left w:val="single" w:color="auto" w:sz="4" w:space="0"/>
              <w:bottom w:val="single" w:color="auto" w:sz="4" w:space="0"/>
              <w:right w:val="single" w:color="auto" w:sz="4" w:space="0"/>
            </w:tcBorders>
            <w:vAlign w:val="center"/>
          </w:tcPr>
          <w:p w14:paraId="089D65F7">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大屏系统</w:t>
            </w:r>
          </w:p>
          <w:p w14:paraId="22CFB8D3">
            <w:pPr>
              <w:keepNext w:val="0"/>
              <w:keepLines w:val="0"/>
              <w:widowControl/>
              <w:suppressLineNumbers w:val="0"/>
              <w:snapToGrid w:val="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敷设金属</w:t>
            </w:r>
          </w:p>
          <w:p w14:paraId="59FB0206">
            <w:pPr>
              <w:keepNext w:val="0"/>
              <w:keepLines w:val="0"/>
              <w:widowControl/>
              <w:suppressLineNumbers w:val="0"/>
              <w:snapToGrid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桥架</w:t>
            </w:r>
          </w:p>
        </w:tc>
        <w:tc>
          <w:tcPr>
            <w:tcW w:w="404" w:type="pct"/>
            <w:tcBorders>
              <w:top w:val="single" w:color="auto" w:sz="4" w:space="0"/>
              <w:left w:val="single" w:color="auto" w:sz="4" w:space="0"/>
              <w:bottom w:val="single" w:color="auto" w:sz="4" w:space="0"/>
              <w:right w:val="single" w:color="auto" w:sz="4" w:space="0"/>
            </w:tcBorders>
            <w:vAlign w:val="center"/>
          </w:tcPr>
          <w:p w14:paraId="7F19A91A">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100</w:t>
            </w:r>
          </w:p>
        </w:tc>
        <w:tc>
          <w:tcPr>
            <w:tcW w:w="359" w:type="pct"/>
            <w:tcBorders>
              <w:top w:val="single" w:color="auto" w:sz="4" w:space="0"/>
              <w:left w:val="single" w:color="auto" w:sz="4" w:space="0"/>
              <w:bottom w:val="single" w:color="auto" w:sz="4" w:space="0"/>
              <w:right w:val="single" w:color="auto" w:sz="4" w:space="0"/>
            </w:tcBorders>
            <w:vAlign w:val="center"/>
          </w:tcPr>
          <w:p w14:paraId="6A19848B">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米</w:t>
            </w:r>
          </w:p>
        </w:tc>
        <w:tc>
          <w:tcPr>
            <w:tcW w:w="3135" w:type="pct"/>
            <w:tcBorders>
              <w:top w:val="single" w:color="auto" w:sz="4" w:space="0"/>
              <w:left w:val="single" w:color="auto" w:sz="4" w:space="0"/>
              <w:bottom w:val="single" w:color="auto" w:sz="4" w:space="0"/>
              <w:right w:val="single" w:color="auto" w:sz="4" w:space="0"/>
            </w:tcBorders>
            <w:vAlign w:val="center"/>
          </w:tcPr>
          <w:p w14:paraId="0332084B">
            <w:pPr>
              <w:keepNext w:val="0"/>
              <w:keepLines w:val="0"/>
              <w:widowControl/>
              <w:suppressLineNumbers w:val="0"/>
              <w:snapToGrid w:val="0"/>
              <w:jc w:val="left"/>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rPr>
              <w:t>1、名称及规格：镀锌金属桥架MR100mm*100mm</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2、敷设方式:埋地、穿墙、吊顶</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3、包含线槽及附件、配件安装、支（吊）架制作安装、除锈、刷油（含刷防火涂料）、接地、防火堵洞、刷防火漆等</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4、其他:按设计图纸、技术需求书及施工规范要求综合考虑</w:t>
            </w:r>
            <w:r>
              <w:rPr>
                <w:rFonts w:hint="eastAsia" w:ascii="宋体" w:hAnsi="宋体" w:cs="宋体"/>
                <w:i w:val="0"/>
                <w:iCs w:val="0"/>
                <w:color w:val="auto"/>
                <w:kern w:val="0"/>
                <w:sz w:val="21"/>
                <w:szCs w:val="21"/>
                <w:highlight w:val="none"/>
                <w:u w:val="none"/>
                <w:lang w:val="en-US" w:eastAsia="zh-CN"/>
              </w:rPr>
              <w:t>。</w:t>
            </w:r>
          </w:p>
        </w:tc>
      </w:tr>
      <w:tr w14:paraId="481A2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1A15A00">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商务要求</w:t>
            </w:r>
          </w:p>
        </w:tc>
      </w:tr>
      <w:tr w14:paraId="1A068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936" w:type="pct"/>
            <w:gridSpan w:val="2"/>
            <w:tcBorders>
              <w:top w:val="single" w:color="auto" w:sz="4" w:space="0"/>
              <w:left w:val="single" w:color="auto" w:sz="4" w:space="0"/>
              <w:bottom w:val="single" w:color="auto" w:sz="4" w:space="0"/>
              <w:right w:val="single" w:color="auto" w:sz="4" w:space="0"/>
            </w:tcBorders>
            <w:vAlign w:val="center"/>
          </w:tcPr>
          <w:p w14:paraId="11E7EDE3">
            <w:pPr>
              <w:widowControl/>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交付时间及地点</w:t>
            </w:r>
          </w:p>
        </w:tc>
        <w:tc>
          <w:tcPr>
            <w:tcW w:w="4063" w:type="pct"/>
            <w:gridSpan w:val="4"/>
            <w:tcBorders>
              <w:top w:val="single" w:color="auto" w:sz="4" w:space="0"/>
              <w:left w:val="single" w:color="auto" w:sz="4" w:space="0"/>
              <w:bottom w:val="single" w:color="auto" w:sz="4" w:space="0"/>
              <w:right w:val="single" w:color="auto" w:sz="4" w:space="0"/>
            </w:tcBorders>
            <w:vAlign w:val="center"/>
          </w:tcPr>
          <w:p w14:paraId="5308FAF1">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1.交付时间：自合同签订之日起</w:t>
            </w:r>
            <w:r>
              <w:rPr>
                <w:rFonts w:hint="eastAsia" w:ascii="宋体" w:hAnsi="宋体" w:eastAsia="宋体" w:cs="宋体"/>
                <w:b/>
                <w:bCs/>
                <w:color w:val="auto"/>
                <w:kern w:val="0"/>
                <w:sz w:val="21"/>
                <w:szCs w:val="21"/>
                <w:highlight w:val="none"/>
                <w:u w:val="single"/>
              </w:rPr>
              <w:t xml:space="preserve"> </w:t>
            </w:r>
            <w:r>
              <w:rPr>
                <w:rFonts w:hint="default" w:ascii="宋体" w:hAnsi="宋体" w:eastAsia="宋体" w:cs="宋体"/>
                <w:b/>
                <w:bCs/>
                <w:color w:val="auto"/>
                <w:kern w:val="0"/>
                <w:sz w:val="21"/>
                <w:szCs w:val="21"/>
                <w:highlight w:val="none"/>
                <w:u w:val="single"/>
                <w:lang w:eastAsia="zh-CN"/>
              </w:rPr>
              <w:t xml:space="preserve"> </w:t>
            </w:r>
            <w:r>
              <w:rPr>
                <w:rFonts w:hint="eastAsia" w:ascii="宋体" w:hAnsi="宋体" w:eastAsia="宋体" w:cs="宋体"/>
                <w:b/>
                <w:bCs/>
                <w:color w:val="auto"/>
                <w:kern w:val="0"/>
                <w:sz w:val="21"/>
                <w:szCs w:val="21"/>
                <w:highlight w:val="none"/>
                <w:u w:val="single"/>
                <w:lang w:val="en-US" w:eastAsia="zh-CN"/>
              </w:rPr>
              <w:t>30</w:t>
            </w:r>
            <w:r>
              <w:rPr>
                <w:rFonts w:hint="default" w:ascii="宋体" w:hAnsi="宋体" w:eastAsia="宋体" w:cs="宋体"/>
                <w:b/>
                <w:bCs/>
                <w:color w:val="auto"/>
                <w:kern w:val="0"/>
                <w:sz w:val="21"/>
                <w:szCs w:val="21"/>
                <w:highlight w:val="none"/>
                <w:u w:val="single"/>
                <w:lang w:eastAsia="zh-CN"/>
              </w:rPr>
              <w:t xml:space="preserve"> </w:t>
            </w:r>
            <w:r>
              <w:rPr>
                <w:rFonts w:hint="eastAsia" w:ascii="宋体" w:hAnsi="宋体" w:eastAsia="宋体" w:cs="宋体"/>
                <w:b/>
                <w:bCs/>
                <w:color w:val="auto"/>
                <w:kern w:val="0"/>
                <w:sz w:val="21"/>
                <w:szCs w:val="21"/>
                <w:highlight w:val="none"/>
                <w:u w:val="single"/>
              </w:rPr>
              <w:t>个日历</w:t>
            </w:r>
            <w:r>
              <w:rPr>
                <w:rFonts w:hint="eastAsia" w:ascii="宋体" w:hAnsi="宋体" w:eastAsia="宋体" w:cs="宋体"/>
                <w:color w:val="auto"/>
                <w:kern w:val="0"/>
                <w:sz w:val="21"/>
                <w:szCs w:val="21"/>
                <w:highlight w:val="none"/>
              </w:rPr>
              <w:t>日内交付货物并完成所有的安装及调试；</w:t>
            </w:r>
          </w:p>
          <w:p w14:paraId="2455BE60">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2.交付地点：广西南宁市</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采购人指定地点</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tc>
      </w:tr>
      <w:tr w14:paraId="3E826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936" w:type="pct"/>
            <w:gridSpan w:val="2"/>
            <w:tcBorders>
              <w:top w:val="single" w:color="auto" w:sz="4" w:space="0"/>
              <w:left w:val="single" w:color="auto" w:sz="4" w:space="0"/>
              <w:bottom w:val="single" w:color="auto" w:sz="4" w:space="0"/>
              <w:right w:val="single" w:color="auto" w:sz="4" w:space="0"/>
            </w:tcBorders>
            <w:vAlign w:val="center"/>
          </w:tcPr>
          <w:p w14:paraId="50E88323">
            <w:pPr>
              <w:widowControl/>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质保期限</w:t>
            </w:r>
          </w:p>
        </w:tc>
        <w:tc>
          <w:tcPr>
            <w:tcW w:w="4063" w:type="pct"/>
            <w:gridSpan w:val="4"/>
            <w:tcBorders>
              <w:top w:val="single" w:color="auto" w:sz="4" w:space="0"/>
              <w:left w:val="single" w:color="auto" w:sz="4" w:space="0"/>
              <w:bottom w:val="single" w:color="auto" w:sz="4" w:space="0"/>
              <w:right w:val="single" w:color="auto" w:sz="4" w:space="0"/>
            </w:tcBorders>
            <w:vAlign w:val="center"/>
          </w:tcPr>
          <w:p w14:paraId="4670B0FF">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按国家有关产品“三包”规定执行“三包”，自全部货物验收合格之日起计算，产品质保期至少</w:t>
            </w:r>
            <w:r>
              <w:rPr>
                <w:rFonts w:hint="eastAsia" w:ascii="宋体" w:hAnsi="宋体" w:eastAsia="宋体" w:cs="宋体"/>
                <w:color w:val="auto"/>
                <w:kern w:val="0"/>
                <w:sz w:val="21"/>
                <w:szCs w:val="21"/>
                <w:highlight w:val="none"/>
                <w:u w:val="single"/>
              </w:rPr>
              <w:t xml:space="preserve"> 一年</w:t>
            </w:r>
            <w:r>
              <w:rPr>
                <w:rFonts w:hint="eastAsia" w:ascii="宋体" w:hAnsi="宋体" w:eastAsia="宋体" w:cs="宋体"/>
                <w:color w:val="auto"/>
                <w:kern w:val="0"/>
                <w:sz w:val="21"/>
                <w:szCs w:val="21"/>
                <w:highlight w:val="none"/>
              </w:rPr>
              <w:t>（“技术参数要求”有要求的则按其要求）。若分项货物质保期超过此年限的，合同履行过程中按分项货物质保期要求规定执行。</w:t>
            </w:r>
          </w:p>
        </w:tc>
      </w:tr>
      <w:tr w14:paraId="08BD0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936" w:type="pct"/>
            <w:gridSpan w:val="2"/>
            <w:tcBorders>
              <w:top w:val="single" w:color="auto" w:sz="4" w:space="0"/>
              <w:left w:val="single" w:color="auto" w:sz="4" w:space="0"/>
              <w:bottom w:val="single" w:color="auto" w:sz="4" w:space="0"/>
              <w:right w:val="single" w:color="auto" w:sz="4" w:space="0"/>
            </w:tcBorders>
            <w:vAlign w:val="center"/>
          </w:tcPr>
          <w:p w14:paraId="3A792470">
            <w:pPr>
              <w:spacing w:line="264"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核心产品</w:t>
            </w:r>
          </w:p>
        </w:tc>
        <w:tc>
          <w:tcPr>
            <w:tcW w:w="4063" w:type="pct"/>
            <w:gridSpan w:val="4"/>
            <w:tcBorders>
              <w:top w:val="single" w:color="auto" w:sz="4" w:space="0"/>
              <w:left w:val="single" w:color="auto" w:sz="4" w:space="0"/>
              <w:bottom w:val="single" w:color="auto" w:sz="4" w:space="0"/>
              <w:right w:val="single" w:color="auto" w:sz="4" w:space="0"/>
            </w:tcBorders>
            <w:vAlign w:val="center"/>
          </w:tcPr>
          <w:p w14:paraId="0C3B4BF6">
            <w:pPr>
              <w:keepNext w:val="0"/>
              <w:keepLines w:val="0"/>
              <w:widowControl/>
              <w:suppressLineNumbers w:val="0"/>
              <w:snapToGrid w:val="0"/>
              <w:jc w:val="both"/>
              <w:textAlignment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eastAsia="zh-CN"/>
              </w:rPr>
              <w:t>项号</w:t>
            </w: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i w:val="0"/>
                <w:iCs w:val="0"/>
                <w:color w:val="auto"/>
                <w:kern w:val="0"/>
                <w:sz w:val="21"/>
                <w:szCs w:val="21"/>
                <w:highlight w:val="none"/>
                <w:u w:val="none"/>
                <w:lang w:val="en-US" w:eastAsia="zh-CN"/>
              </w:rPr>
              <w:t>舞台背景显示大屏</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color w:val="auto"/>
                <w:kern w:val="0"/>
                <w:sz w:val="21"/>
                <w:szCs w:val="21"/>
                <w:highlight w:val="none"/>
                <w:lang w:eastAsia="zh-CN"/>
              </w:rPr>
              <w:t xml:space="preserve">。 </w:t>
            </w:r>
          </w:p>
        </w:tc>
      </w:tr>
      <w:tr w14:paraId="6550FF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936" w:type="pct"/>
            <w:gridSpan w:val="2"/>
            <w:tcBorders>
              <w:top w:val="single" w:color="auto" w:sz="4" w:space="0"/>
              <w:left w:val="single" w:color="auto" w:sz="4" w:space="0"/>
              <w:bottom w:val="single" w:color="auto" w:sz="4" w:space="0"/>
              <w:right w:val="single" w:color="auto" w:sz="4" w:space="0"/>
            </w:tcBorders>
            <w:vAlign w:val="center"/>
          </w:tcPr>
          <w:p w14:paraId="10863ECA">
            <w:pPr>
              <w:widowControl/>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售后服务要求</w:t>
            </w:r>
          </w:p>
        </w:tc>
        <w:tc>
          <w:tcPr>
            <w:tcW w:w="4063" w:type="pct"/>
            <w:gridSpan w:val="4"/>
            <w:tcBorders>
              <w:top w:val="single" w:color="auto" w:sz="4" w:space="0"/>
              <w:left w:val="single" w:color="auto" w:sz="4" w:space="0"/>
              <w:bottom w:val="single" w:color="auto" w:sz="4" w:space="0"/>
              <w:right w:val="single" w:color="auto" w:sz="4" w:space="0"/>
            </w:tcBorders>
            <w:vAlign w:val="center"/>
          </w:tcPr>
          <w:p w14:paraId="385DD998">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中标</w:t>
            </w:r>
            <w:r>
              <w:rPr>
                <w:rFonts w:hint="eastAsia" w:ascii="宋体" w:hAnsi="宋体" w:eastAsia="宋体" w:cs="宋体"/>
                <w:color w:val="auto"/>
                <w:kern w:val="0"/>
                <w:sz w:val="21"/>
                <w:szCs w:val="21"/>
                <w:highlight w:val="none"/>
              </w:rPr>
              <w:t>供应商按采购人指定的地点负责送货上门、安装、调试，负责培训使用人员和维护人员。</w:t>
            </w:r>
          </w:p>
          <w:p w14:paraId="1A694854">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中标</w:t>
            </w:r>
            <w:r>
              <w:rPr>
                <w:rFonts w:hint="eastAsia" w:ascii="宋体" w:hAnsi="宋体" w:eastAsia="宋体" w:cs="宋体"/>
                <w:color w:val="auto"/>
                <w:kern w:val="0"/>
                <w:sz w:val="21"/>
                <w:szCs w:val="21"/>
                <w:highlight w:val="none"/>
              </w:rPr>
              <w:t>供应商必须在交货后10个日历日内进行安装、测试和调整服务，并于10个日历日内完成相关安装调试服务。</w:t>
            </w:r>
            <w:r>
              <w:rPr>
                <w:rFonts w:hint="eastAsia" w:ascii="宋体" w:hAnsi="宋体" w:eastAsia="宋体" w:cs="宋体"/>
                <w:color w:val="auto"/>
                <w:kern w:val="0"/>
                <w:sz w:val="21"/>
                <w:szCs w:val="21"/>
                <w:highlight w:val="none"/>
                <w:lang w:eastAsia="zh-CN"/>
              </w:rPr>
              <w:t>中标</w:t>
            </w:r>
            <w:r>
              <w:rPr>
                <w:rFonts w:hint="eastAsia" w:ascii="宋体" w:hAnsi="宋体" w:eastAsia="宋体" w:cs="宋体"/>
                <w:color w:val="auto"/>
                <w:kern w:val="0"/>
                <w:sz w:val="21"/>
                <w:szCs w:val="21"/>
                <w:highlight w:val="none"/>
              </w:rPr>
              <w:t>供应商在施工、安装、调试等全过程中接受采购人的监督。</w:t>
            </w:r>
          </w:p>
          <w:p w14:paraId="03E3164E">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3.在质保期内，供应商应对货物出现的质量及安全问题负责处理解决并承担一切费用。</w:t>
            </w:r>
          </w:p>
          <w:p w14:paraId="017FDA56">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4.质保期内出现无法排除的故障，供应商无条件更换同型号产品。</w:t>
            </w:r>
          </w:p>
          <w:p w14:paraId="2C6A2A55">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5.在质保期满后，采购人需要在本招标采购需求范围内，继续由原</w:t>
            </w:r>
            <w:r>
              <w:rPr>
                <w:rFonts w:hint="eastAsia" w:ascii="宋体" w:hAnsi="宋体" w:eastAsia="宋体" w:cs="宋体"/>
                <w:color w:val="auto"/>
                <w:kern w:val="0"/>
                <w:sz w:val="21"/>
                <w:szCs w:val="21"/>
                <w:highlight w:val="none"/>
                <w:lang w:eastAsia="zh-CN"/>
              </w:rPr>
              <w:t>中标</w:t>
            </w:r>
            <w:r>
              <w:rPr>
                <w:rFonts w:hint="eastAsia" w:ascii="宋体" w:hAnsi="宋体" w:eastAsia="宋体" w:cs="宋体"/>
                <w:color w:val="auto"/>
                <w:kern w:val="0"/>
                <w:sz w:val="21"/>
                <w:szCs w:val="21"/>
                <w:highlight w:val="none"/>
              </w:rPr>
              <w:t>供应商提供售后服务的，</w:t>
            </w:r>
            <w:r>
              <w:rPr>
                <w:rFonts w:hint="eastAsia" w:ascii="宋体" w:hAnsi="宋体" w:eastAsia="宋体" w:cs="宋体"/>
                <w:color w:val="auto"/>
                <w:kern w:val="0"/>
                <w:sz w:val="21"/>
                <w:szCs w:val="21"/>
                <w:highlight w:val="none"/>
                <w:lang w:eastAsia="zh-CN"/>
              </w:rPr>
              <w:t>中标</w:t>
            </w:r>
            <w:r>
              <w:rPr>
                <w:rFonts w:hint="eastAsia" w:ascii="宋体" w:hAnsi="宋体" w:eastAsia="宋体" w:cs="宋体"/>
                <w:color w:val="auto"/>
                <w:kern w:val="0"/>
                <w:sz w:val="21"/>
                <w:szCs w:val="21"/>
                <w:highlight w:val="none"/>
              </w:rPr>
              <w:t>供应商和制造商应以优惠价格提供售后服务，售后服务费不得超过中标合同总金额的10%，双方另行协商，报财政监管部门审批或备案后方可签订补充协议。</w:t>
            </w:r>
          </w:p>
          <w:p w14:paraId="4DEA8321">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6.因人为因素出现的故障不在免费保修范围内。</w:t>
            </w:r>
          </w:p>
          <w:p w14:paraId="68ECA7F1">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eastAsia="zh-CN"/>
              </w:rPr>
              <w:t>中标</w:t>
            </w:r>
            <w:r>
              <w:rPr>
                <w:rFonts w:hint="eastAsia" w:ascii="宋体" w:hAnsi="宋体" w:eastAsia="宋体" w:cs="宋体"/>
                <w:color w:val="auto"/>
                <w:kern w:val="0"/>
                <w:sz w:val="21"/>
                <w:szCs w:val="21"/>
                <w:highlight w:val="none"/>
              </w:rPr>
              <w:t>供应商接故障通知后，在2小时内需要作出响应，6小时内进行电话、网上诊断协助排除故障，如需现场处理故障的，应24小时内到达采购人指定现场排除故障。</w:t>
            </w:r>
          </w:p>
          <w:p w14:paraId="2D4376BE">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8.质保期外维修响应时间：如果系统出现故障，在接到维修服务的请求后，</w:t>
            </w:r>
            <w:r>
              <w:rPr>
                <w:rFonts w:hint="eastAsia" w:ascii="宋体" w:hAnsi="宋体" w:eastAsia="宋体" w:cs="宋体"/>
                <w:color w:val="auto"/>
                <w:kern w:val="0"/>
                <w:sz w:val="21"/>
                <w:szCs w:val="21"/>
                <w:highlight w:val="none"/>
                <w:lang w:eastAsia="zh-CN"/>
              </w:rPr>
              <w:t>中标</w:t>
            </w:r>
            <w:r>
              <w:rPr>
                <w:rFonts w:hint="eastAsia" w:ascii="宋体" w:hAnsi="宋体" w:eastAsia="宋体" w:cs="宋体"/>
                <w:color w:val="auto"/>
                <w:kern w:val="0"/>
                <w:sz w:val="21"/>
                <w:szCs w:val="21"/>
                <w:highlight w:val="none"/>
              </w:rPr>
              <w:t>供应商工程师应在 2小时内作出响应，6小时内进行电话指导、网上诊断协助排除故障。必要时，在48小时内到达现场，重大问题或其它无法迅速解决的问题应在 5 个工作日内解决或提出明确解决方案（具体以合同为准）。</w:t>
            </w:r>
          </w:p>
        </w:tc>
      </w:tr>
      <w:tr w14:paraId="3FCDE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936" w:type="pct"/>
            <w:gridSpan w:val="2"/>
            <w:tcBorders>
              <w:top w:val="single" w:color="auto" w:sz="4" w:space="0"/>
              <w:left w:val="single" w:color="auto" w:sz="4" w:space="0"/>
              <w:bottom w:val="single" w:color="auto" w:sz="4" w:space="0"/>
              <w:right w:val="single" w:color="auto" w:sz="4" w:space="0"/>
            </w:tcBorders>
            <w:vAlign w:val="center"/>
          </w:tcPr>
          <w:p w14:paraId="7F4E882D">
            <w:pPr>
              <w:widowControl/>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付款方式</w:t>
            </w:r>
          </w:p>
        </w:tc>
        <w:tc>
          <w:tcPr>
            <w:tcW w:w="4063" w:type="pct"/>
            <w:gridSpan w:val="4"/>
            <w:tcBorders>
              <w:top w:val="single" w:color="auto" w:sz="4" w:space="0"/>
              <w:left w:val="single" w:color="auto" w:sz="4" w:space="0"/>
              <w:bottom w:val="single" w:color="auto" w:sz="4" w:space="0"/>
              <w:right w:val="single" w:color="auto" w:sz="4" w:space="0"/>
            </w:tcBorders>
            <w:vAlign w:val="center"/>
          </w:tcPr>
          <w:p w14:paraId="0494ED3A">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1.预付款；合同生效、担保措施生效以及实施条件具备后10个</w:t>
            </w:r>
            <w:r>
              <w:rPr>
                <w:rFonts w:hint="eastAsia" w:ascii="宋体" w:hAnsi="宋体" w:eastAsia="宋体" w:cs="宋体"/>
                <w:color w:val="auto"/>
                <w:kern w:val="0"/>
                <w:sz w:val="21"/>
                <w:szCs w:val="21"/>
                <w:highlight w:val="none"/>
                <w:lang w:val="en-US" w:eastAsia="zh-CN"/>
              </w:rPr>
              <w:t>工作</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rPr>
              <w:t>内，支付合同总金额的30%</w:t>
            </w:r>
            <w:r>
              <w:rPr>
                <w:rFonts w:hint="eastAsia" w:ascii="宋体" w:hAnsi="宋体" w:eastAsia="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中标人提供</w:t>
            </w:r>
            <w:r>
              <w:rPr>
                <w:rFonts w:hint="eastAsia" w:ascii="宋体" w:hAnsi="宋体" w:eastAsia="宋体" w:cs="宋体"/>
                <w:b/>
                <w:bCs/>
                <w:color w:val="auto"/>
                <w:kern w:val="0"/>
                <w:sz w:val="21"/>
                <w:szCs w:val="21"/>
                <w:highlight w:val="none"/>
              </w:rPr>
              <w:t>等额预付款担保</w:t>
            </w:r>
            <w:r>
              <w:rPr>
                <w:rFonts w:hint="eastAsia" w:ascii="宋体" w:hAnsi="宋体" w:eastAsia="宋体" w:cs="宋体"/>
                <w:b/>
                <w:bCs/>
                <w:color w:val="auto"/>
                <w:kern w:val="0"/>
                <w:sz w:val="21"/>
                <w:szCs w:val="21"/>
                <w:highlight w:val="none"/>
                <w:lang w:val="en-US" w:eastAsia="zh-CN"/>
              </w:rPr>
              <w:t>函</w:t>
            </w:r>
            <w:r>
              <w:rPr>
                <w:rFonts w:hint="eastAsia" w:ascii="宋体" w:hAnsi="宋体" w:eastAsia="宋体" w:cs="宋体"/>
                <w:b/>
                <w:bCs/>
                <w:color w:val="auto"/>
                <w:kern w:val="0"/>
                <w:sz w:val="21"/>
                <w:szCs w:val="21"/>
                <w:highlight w:val="none"/>
              </w:rPr>
              <w:t>（预付款担保的有效期至项目验收合格之日止）</w:t>
            </w:r>
            <w:r>
              <w:rPr>
                <w:rFonts w:hint="eastAsia" w:ascii="宋体" w:hAnsi="宋体" w:eastAsia="宋体" w:cs="宋体"/>
                <w:b/>
                <w:bCs/>
                <w:color w:val="auto"/>
                <w:kern w:val="0"/>
                <w:sz w:val="21"/>
                <w:szCs w:val="21"/>
                <w:highlight w:val="none"/>
                <w:lang w:val="en-US" w:eastAsia="zh-CN"/>
              </w:rPr>
              <w:t>或银行转账</w:t>
            </w:r>
            <w:r>
              <w:rPr>
                <w:rFonts w:hint="eastAsia" w:ascii="宋体" w:hAnsi="宋体" w:eastAsia="宋体" w:cs="宋体"/>
                <w:color w:val="auto"/>
                <w:kern w:val="0"/>
                <w:sz w:val="21"/>
                <w:szCs w:val="21"/>
                <w:highlight w:val="none"/>
              </w:rPr>
              <w:t>；项目实施完毕且验收通过后10个</w:t>
            </w:r>
            <w:r>
              <w:rPr>
                <w:rFonts w:hint="eastAsia" w:ascii="宋体" w:hAnsi="宋体" w:eastAsia="宋体" w:cs="宋体"/>
                <w:color w:val="auto"/>
                <w:kern w:val="0"/>
                <w:sz w:val="21"/>
                <w:szCs w:val="21"/>
                <w:highlight w:val="none"/>
                <w:lang w:val="en-US" w:eastAsia="zh-CN"/>
              </w:rPr>
              <w:t>工作</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rPr>
              <w:t>内，支付至合同总金额的100%。</w:t>
            </w:r>
          </w:p>
          <w:p w14:paraId="6196B90D">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2.采购人付款前，</w:t>
            </w:r>
            <w:r>
              <w:rPr>
                <w:rFonts w:hint="eastAsia" w:ascii="宋体" w:hAnsi="宋体" w:eastAsia="宋体" w:cs="宋体"/>
                <w:color w:val="auto"/>
                <w:kern w:val="0"/>
                <w:sz w:val="21"/>
                <w:szCs w:val="21"/>
                <w:highlight w:val="none"/>
                <w:lang w:eastAsia="zh-CN"/>
              </w:rPr>
              <w:t>中标</w:t>
            </w:r>
            <w:r>
              <w:rPr>
                <w:rFonts w:hint="eastAsia" w:ascii="宋体" w:hAnsi="宋体" w:eastAsia="宋体" w:cs="宋体"/>
                <w:color w:val="auto"/>
                <w:kern w:val="0"/>
                <w:sz w:val="21"/>
                <w:szCs w:val="21"/>
                <w:highlight w:val="none"/>
              </w:rPr>
              <w:t>供应商应向采购人开具等额有效的增值税</w:t>
            </w:r>
            <w:r>
              <w:rPr>
                <w:rFonts w:hint="eastAsia" w:ascii="宋体" w:hAnsi="宋体" w:eastAsia="宋体" w:cs="宋体"/>
                <w:color w:val="auto"/>
                <w:kern w:val="0"/>
                <w:sz w:val="21"/>
                <w:szCs w:val="21"/>
                <w:highlight w:val="none"/>
                <w:lang w:val="en-US" w:eastAsia="zh-CN"/>
              </w:rPr>
              <w:t>专用</w:t>
            </w:r>
            <w:r>
              <w:rPr>
                <w:rFonts w:hint="eastAsia" w:ascii="宋体" w:hAnsi="宋体" w:eastAsia="宋体" w:cs="宋体"/>
                <w:color w:val="auto"/>
                <w:kern w:val="0"/>
                <w:sz w:val="21"/>
                <w:szCs w:val="21"/>
                <w:highlight w:val="none"/>
              </w:rPr>
              <w:t>发票，采购人未收到合格有效发票的，有权不予支付相应款项直至</w:t>
            </w:r>
            <w:r>
              <w:rPr>
                <w:rFonts w:hint="eastAsia" w:ascii="宋体" w:hAnsi="宋体" w:eastAsia="宋体" w:cs="宋体"/>
                <w:color w:val="auto"/>
                <w:kern w:val="0"/>
                <w:sz w:val="21"/>
                <w:szCs w:val="21"/>
                <w:highlight w:val="none"/>
                <w:lang w:eastAsia="zh-CN"/>
              </w:rPr>
              <w:t>中标</w:t>
            </w:r>
            <w:r>
              <w:rPr>
                <w:rFonts w:hint="eastAsia" w:ascii="宋体" w:hAnsi="宋体" w:eastAsia="宋体" w:cs="宋体"/>
                <w:color w:val="auto"/>
                <w:kern w:val="0"/>
                <w:sz w:val="21"/>
                <w:szCs w:val="21"/>
                <w:highlight w:val="none"/>
              </w:rPr>
              <w:t>供应商提供合格发票，并不承担延迟付款责任。发票认证通过是付款的必要前提之一。</w:t>
            </w:r>
          </w:p>
          <w:p w14:paraId="0E670319">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3.付款方式：银行转账。</w:t>
            </w:r>
          </w:p>
        </w:tc>
      </w:tr>
      <w:tr w14:paraId="79976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936" w:type="pct"/>
            <w:gridSpan w:val="2"/>
            <w:tcBorders>
              <w:top w:val="single" w:color="auto" w:sz="4" w:space="0"/>
              <w:left w:val="single" w:color="auto" w:sz="4" w:space="0"/>
              <w:bottom w:val="single" w:color="auto" w:sz="4" w:space="0"/>
              <w:right w:val="single" w:color="auto" w:sz="4" w:space="0"/>
            </w:tcBorders>
            <w:vAlign w:val="center"/>
          </w:tcPr>
          <w:p w14:paraId="46C297C0">
            <w:pPr>
              <w:widowControl/>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履约保证金</w:t>
            </w:r>
          </w:p>
        </w:tc>
        <w:tc>
          <w:tcPr>
            <w:tcW w:w="4063" w:type="pct"/>
            <w:gridSpan w:val="4"/>
            <w:tcBorders>
              <w:top w:val="single" w:color="auto" w:sz="4" w:space="0"/>
              <w:left w:val="single" w:color="auto" w:sz="4" w:space="0"/>
              <w:bottom w:val="single" w:color="auto" w:sz="4" w:space="0"/>
              <w:right w:val="single" w:color="auto" w:sz="4" w:space="0"/>
            </w:tcBorders>
            <w:vAlign w:val="center"/>
          </w:tcPr>
          <w:p w14:paraId="788AC5D8">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1.履约保证金金额：</w:t>
            </w:r>
            <w:r>
              <w:rPr>
                <w:rFonts w:hint="eastAsia" w:ascii="宋体" w:hAnsi="宋体" w:eastAsia="宋体" w:cs="宋体"/>
                <w:color w:val="auto"/>
                <w:kern w:val="0"/>
                <w:sz w:val="21"/>
                <w:szCs w:val="21"/>
                <w:highlight w:val="none"/>
                <w:lang w:eastAsia="zh-CN"/>
              </w:rPr>
              <w:t>中标</w:t>
            </w:r>
            <w:r>
              <w:rPr>
                <w:rFonts w:hint="eastAsia" w:ascii="宋体" w:hAnsi="宋体" w:eastAsia="宋体" w:cs="宋体"/>
                <w:color w:val="auto"/>
                <w:kern w:val="0"/>
                <w:sz w:val="21"/>
                <w:szCs w:val="21"/>
                <w:highlight w:val="none"/>
              </w:rPr>
              <w:t>金额的</w:t>
            </w:r>
            <w:r>
              <w:rPr>
                <w:rFonts w:hint="eastAsia" w:ascii="宋体" w:hAnsi="宋体" w:eastAsia="宋体" w:cs="宋体"/>
                <w:color w:val="auto"/>
                <w:kern w:val="0"/>
                <w:sz w:val="21"/>
                <w:szCs w:val="21"/>
                <w:highlight w:val="none"/>
                <w:u w:val="single"/>
              </w:rPr>
              <w:t xml:space="preserve"> 5 %</w:t>
            </w:r>
            <w:r>
              <w:rPr>
                <w:rFonts w:hint="eastAsia" w:ascii="宋体" w:hAnsi="宋体" w:eastAsia="宋体" w:cs="宋体"/>
                <w:color w:val="auto"/>
                <w:kern w:val="0"/>
                <w:sz w:val="21"/>
                <w:szCs w:val="21"/>
                <w:highlight w:val="none"/>
              </w:rPr>
              <w:t>。（若</w:t>
            </w:r>
            <w:r>
              <w:rPr>
                <w:rFonts w:hint="eastAsia" w:ascii="宋体" w:hAnsi="宋体" w:eastAsia="宋体" w:cs="宋体"/>
                <w:color w:val="auto"/>
                <w:kern w:val="0"/>
                <w:sz w:val="21"/>
                <w:szCs w:val="21"/>
                <w:highlight w:val="none"/>
                <w:lang w:eastAsia="zh-CN"/>
              </w:rPr>
              <w:t>中标</w:t>
            </w:r>
            <w:r>
              <w:rPr>
                <w:rFonts w:hint="eastAsia" w:ascii="宋体" w:hAnsi="宋体" w:eastAsia="宋体" w:cs="宋体"/>
                <w:color w:val="auto"/>
                <w:kern w:val="0"/>
                <w:sz w:val="21"/>
                <w:szCs w:val="21"/>
                <w:highlight w:val="none"/>
              </w:rPr>
              <w:t>供应商被认定为中小企业的，履约保证金数额将按</w:t>
            </w:r>
            <w:r>
              <w:rPr>
                <w:rFonts w:hint="eastAsia" w:ascii="宋体" w:hAnsi="宋体" w:eastAsia="宋体" w:cs="宋体"/>
                <w:color w:val="auto"/>
                <w:kern w:val="0"/>
                <w:sz w:val="21"/>
                <w:szCs w:val="21"/>
                <w:highlight w:val="none"/>
                <w:lang w:eastAsia="zh-CN"/>
              </w:rPr>
              <w:t>中标</w:t>
            </w:r>
            <w:r>
              <w:rPr>
                <w:rFonts w:hint="eastAsia" w:ascii="宋体" w:hAnsi="宋体" w:eastAsia="宋体" w:cs="宋体"/>
                <w:color w:val="auto"/>
                <w:kern w:val="0"/>
                <w:sz w:val="21"/>
                <w:szCs w:val="21"/>
                <w:highlight w:val="none"/>
              </w:rPr>
              <w:t>金额的</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2%</w:t>
            </w:r>
            <w:r>
              <w:rPr>
                <w:rFonts w:hint="eastAsia" w:ascii="宋体" w:hAnsi="宋体" w:eastAsia="宋体" w:cs="宋体"/>
                <w:color w:val="auto"/>
                <w:kern w:val="0"/>
                <w:sz w:val="21"/>
                <w:szCs w:val="21"/>
                <w:highlight w:val="none"/>
              </w:rPr>
              <w:t>收取）</w:t>
            </w:r>
          </w:p>
          <w:p w14:paraId="275A77C2">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2.履约保证金递交方式：银行转账、电汇、网上支付、支票、汇票、本票、保函等非现金形式。</w:t>
            </w:r>
          </w:p>
          <w:p w14:paraId="48EEC3C7">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3.履约保证金递交时间：签订合同前5个工作日内由</w:t>
            </w:r>
            <w:r>
              <w:rPr>
                <w:rFonts w:hint="eastAsia" w:ascii="宋体" w:hAnsi="宋体" w:eastAsia="宋体" w:cs="宋体"/>
                <w:color w:val="auto"/>
                <w:kern w:val="0"/>
                <w:sz w:val="21"/>
                <w:szCs w:val="21"/>
                <w:highlight w:val="none"/>
                <w:lang w:eastAsia="zh-CN"/>
              </w:rPr>
              <w:t>中标</w:t>
            </w:r>
            <w:r>
              <w:rPr>
                <w:rFonts w:hint="eastAsia" w:ascii="宋体" w:hAnsi="宋体" w:eastAsia="宋体" w:cs="宋体"/>
                <w:color w:val="auto"/>
                <w:kern w:val="0"/>
                <w:sz w:val="21"/>
                <w:szCs w:val="21"/>
                <w:highlight w:val="none"/>
              </w:rPr>
              <w:t>供应商转入采购人指定保证金账户。</w:t>
            </w:r>
          </w:p>
          <w:p w14:paraId="01319A11">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4.履约保证金退还：履约完成并验收合格后无质量问题，</w:t>
            </w:r>
            <w:r>
              <w:rPr>
                <w:rFonts w:hint="eastAsia" w:ascii="宋体" w:hAnsi="宋体" w:eastAsia="宋体" w:cs="宋体"/>
                <w:color w:val="auto"/>
                <w:kern w:val="0"/>
                <w:sz w:val="21"/>
                <w:szCs w:val="21"/>
                <w:highlight w:val="none"/>
                <w:lang w:val="en-US" w:eastAsia="zh-CN"/>
              </w:rPr>
              <w:t>且待</w:t>
            </w:r>
            <w:r>
              <w:rPr>
                <w:rFonts w:hint="eastAsia" w:ascii="宋体" w:hAnsi="宋体" w:eastAsia="宋体" w:cs="宋体"/>
                <w:color w:val="auto"/>
                <w:kern w:val="0"/>
                <w:sz w:val="21"/>
                <w:szCs w:val="21"/>
                <w:highlight w:val="none"/>
                <w:lang w:eastAsia="zh-CN"/>
              </w:rPr>
              <w:t>中标</w:t>
            </w:r>
            <w:r>
              <w:rPr>
                <w:rFonts w:hint="eastAsia" w:ascii="宋体" w:hAnsi="宋体" w:eastAsia="宋体" w:cs="宋体"/>
                <w:color w:val="auto"/>
                <w:kern w:val="0"/>
                <w:sz w:val="21"/>
                <w:szCs w:val="21"/>
                <w:highlight w:val="none"/>
              </w:rPr>
              <w:t>供应商</w:t>
            </w:r>
            <w:r>
              <w:rPr>
                <w:rFonts w:hint="eastAsia" w:ascii="宋体" w:hAnsi="宋体" w:eastAsia="宋体" w:cs="宋体"/>
                <w:color w:val="auto"/>
                <w:kern w:val="0"/>
                <w:sz w:val="21"/>
                <w:szCs w:val="21"/>
                <w:highlight w:val="none"/>
                <w:lang w:val="en-US" w:eastAsia="zh-CN"/>
              </w:rPr>
              <w:t>履行完质保义务后无息退还</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eastAsia="zh-CN"/>
              </w:rPr>
              <w:t>中标</w:t>
            </w:r>
            <w:r>
              <w:rPr>
                <w:rFonts w:hint="eastAsia" w:ascii="宋体" w:hAnsi="宋体" w:eastAsia="宋体" w:cs="宋体"/>
                <w:color w:val="auto"/>
                <w:kern w:val="0"/>
                <w:sz w:val="21"/>
                <w:szCs w:val="21"/>
                <w:highlight w:val="none"/>
              </w:rPr>
              <w:t>供应商提供《政府采购项目履约保证金退付意见书》及《政府采购项目合同验收报告》，向采购人提出书面申请退还，采购人在收到申请后十个工作日内以银行转账方式无息退还。保证金指定账户：</w:t>
            </w:r>
          </w:p>
          <w:p w14:paraId="2E69582C">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开户名：</w:t>
            </w:r>
            <w:r>
              <w:rPr>
                <w:rFonts w:hint="eastAsia" w:ascii="宋体" w:hAnsi="宋体" w:cs="宋体"/>
                <w:color w:val="auto"/>
                <w:szCs w:val="21"/>
                <w:highlight w:val="none"/>
              </w:rPr>
              <w:t>广西建设职业技术学院</w:t>
            </w:r>
          </w:p>
          <w:p w14:paraId="48E5EF8A">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开户行：</w:t>
            </w:r>
            <w:r>
              <w:rPr>
                <w:rFonts w:hint="eastAsia" w:ascii="宋体" w:hAnsi="宋体" w:cs="宋体"/>
                <w:color w:val="auto"/>
                <w:szCs w:val="21"/>
                <w:highlight w:val="none"/>
              </w:rPr>
              <w:t>建行南宁市高新支行</w:t>
            </w:r>
          </w:p>
          <w:p w14:paraId="580CA5E4">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r>
              <w:rPr>
                <w:rFonts w:hint="eastAsia" w:ascii="宋体" w:hAnsi="宋体" w:cs="宋体"/>
                <w:color w:val="auto"/>
                <w:szCs w:val="21"/>
                <w:highlight w:val="none"/>
              </w:rPr>
              <w:t>45001604850059000000</w:t>
            </w:r>
          </w:p>
        </w:tc>
      </w:tr>
      <w:tr w14:paraId="32418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936" w:type="pct"/>
            <w:gridSpan w:val="2"/>
            <w:tcBorders>
              <w:top w:val="single" w:color="auto" w:sz="4" w:space="0"/>
              <w:left w:val="single" w:color="auto" w:sz="4" w:space="0"/>
              <w:bottom w:val="single" w:color="auto" w:sz="4" w:space="0"/>
              <w:right w:val="single" w:color="auto" w:sz="4" w:space="0"/>
            </w:tcBorders>
            <w:vAlign w:val="center"/>
          </w:tcPr>
          <w:p w14:paraId="71AF811C">
            <w:pPr>
              <w:widowControl/>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报价要求</w:t>
            </w:r>
          </w:p>
        </w:tc>
        <w:tc>
          <w:tcPr>
            <w:tcW w:w="4063" w:type="pct"/>
            <w:gridSpan w:val="4"/>
            <w:tcBorders>
              <w:top w:val="single" w:color="auto" w:sz="4" w:space="0"/>
              <w:left w:val="single" w:color="auto" w:sz="4" w:space="0"/>
              <w:bottom w:val="single" w:color="auto" w:sz="4" w:space="0"/>
              <w:right w:val="single" w:color="auto" w:sz="4" w:space="0"/>
            </w:tcBorders>
            <w:vAlign w:val="center"/>
          </w:tcPr>
          <w:p w14:paraId="1385855C">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供应商须就本项目需求清单中的所有实施内容作完整报价。总报价包括但不限于采购标的及相关配件的价格、运输费用、安装调试费用、安全文明施工费系统对接费、项目技术支持费、项目使用培训费用、派出技术人员的交通费、住宿费、伙食及通信补助费、税金、售后服务费及其他所有可能发生的一切费用。合同实施时，采购人将不予支付</w:t>
            </w:r>
            <w:r>
              <w:rPr>
                <w:rFonts w:hint="eastAsia" w:ascii="宋体" w:hAnsi="宋体" w:eastAsia="宋体" w:cs="宋体"/>
                <w:color w:val="auto"/>
                <w:kern w:val="0"/>
                <w:sz w:val="21"/>
                <w:szCs w:val="21"/>
                <w:highlight w:val="none"/>
                <w:lang w:eastAsia="zh-CN"/>
              </w:rPr>
              <w:t>中标</w:t>
            </w:r>
            <w:r>
              <w:rPr>
                <w:rFonts w:hint="eastAsia" w:ascii="宋体" w:hAnsi="宋体" w:eastAsia="宋体" w:cs="宋体"/>
                <w:color w:val="auto"/>
                <w:kern w:val="0"/>
                <w:sz w:val="21"/>
                <w:szCs w:val="21"/>
                <w:highlight w:val="none"/>
              </w:rPr>
              <w:t>供应商没有列入的项目费用，并认为此项目的费用已包括在总报价中。</w:t>
            </w:r>
          </w:p>
        </w:tc>
      </w:tr>
      <w:tr w14:paraId="73E17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936" w:type="pct"/>
            <w:gridSpan w:val="2"/>
            <w:tcBorders>
              <w:top w:val="single" w:color="auto" w:sz="4" w:space="0"/>
              <w:left w:val="single" w:color="auto" w:sz="4" w:space="0"/>
              <w:bottom w:val="single" w:color="auto" w:sz="4" w:space="0"/>
              <w:right w:val="single" w:color="auto" w:sz="4" w:space="0"/>
            </w:tcBorders>
            <w:vAlign w:val="center"/>
          </w:tcPr>
          <w:p w14:paraId="5739689E">
            <w:pPr>
              <w:widowControl/>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规范标准</w:t>
            </w:r>
          </w:p>
        </w:tc>
        <w:tc>
          <w:tcPr>
            <w:tcW w:w="4063" w:type="pct"/>
            <w:gridSpan w:val="4"/>
            <w:tcBorders>
              <w:top w:val="single" w:color="auto" w:sz="4" w:space="0"/>
              <w:left w:val="single" w:color="auto" w:sz="4" w:space="0"/>
              <w:bottom w:val="single" w:color="auto" w:sz="4" w:space="0"/>
              <w:right w:val="single" w:color="auto" w:sz="4" w:space="0"/>
            </w:tcBorders>
            <w:vAlign w:val="center"/>
          </w:tcPr>
          <w:p w14:paraId="45971177">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采购标的需执行的国家标准、行业标准、地方标准或者其他标准、规范。多项标准的，按最新标准或较高标准执行。</w:t>
            </w:r>
          </w:p>
        </w:tc>
      </w:tr>
      <w:tr w14:paraId="01B2A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936" w:type="pct"/>
            <w:gridSpan w:val="2"/>
            <w:tcBorders>
              <w:top w:val="single" w:color="auto" w:sz="4" w:space="0"/>
              <w:left w:val="single" w:color="auto" w:sz="4" w:space="0"/>
              <w:bottom w:val="single" w:color="auto" w:sz="4" w:space="0"/>
              <w:right w:val="single" w:color="auto" w:sz="4" w:space="0"/>
            </w:tcBorders>
            <w:vAlign w:val="center"/>
          </w:tcPr>
          <w:p w14:paraId="1515880D">
            <w:pPr>
              <w:widowControl/>
              <w:tabs>
                <w:tab w:val="left" w:pos="132"/>
              </w:tabs>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验收标准及要求</w:t>
            </w:r>
          </w:p>
        </w:tc>
        <w:tc>
          <w:tcPr>
            <w:tcW w:w="4063" w:type="pct"/>
            <w:gridSpan w:val="4"/>
            <w:tcBorders>
              <w:top w:val="single" w:color="auto" w:sz="4" w:space="0"/>
              <w:left w:val="single" w:color="auto" w:sz="4" w:space="0"/>
              <w:bottom w:val="single" w:color="auto" w:sz="4" w:space="0"/>
              <w:right w:val="single" w:color="auto" w:sz="4" w:space="0"/>
            </w:tcBorders>
            <w:vAlign w:val="center"/>
          </w:tcPr>
          <w:p w14:paraId="3DB497B3">
            <w:pPr>
              <w:keepNext w:val="0"/>
              <w:keepLines w:val="0"/>
              <w:pageBreakBefore w:val="0"/>
              <w:widowControl w:val="0"/>
              <w:kinsoku/>
              <w:wordWrap/>
              <w:overflowPunct/>
              <w:topLinePunct w:val="0"/>
              <w:bidi w:val="0"/>
              <w:adjustRightInd/>
              <w:snapToGrid/>
              <w:spacing w:line="360" w:lineRule="exact"/>
              <w:textAlignment w:val="auto"/>
              <w:rPr>
                <w:color w:val="auto"/>
                <w:highlight w:val="none"/>
              </w:rPr>
            </w:pPr>
            <w:r>
              <w:rPr>
                <w:rFonts w:hint="eastAsia"/>
                <w:color w:val="auto"/>
                <w:highlight w:val="none"/>
                <w:lang w:val="en-US" w:eastAsia="zh-CN"/>
              </w:rPr>
              <w:t>1.</w:t>
            </w:r>
            <w:r>
              <w:rPr>
                <w:rFonts w:hint="eastAsia"/>
                <w:color w:val="auto"/>
                <w:highlight w:val="none"/>
              </w:rPr>
              <w:t>验收过程中所产生的一切费用均由中标人承担。报价时应考虑相关费用。</w:t>
            </w:r>
          </w:p>
          <w:p w14:paraId="2012BA60">
            <w:pPr>
              <w:widowControl/>
              <w:jc w:val="left"/>
              <w:textAlignment w:val="center"/>
              <w:rPr>
                <w:rFonts w:hint="eastAsia"/>
                <w:color w:val="auto"/>
                <w:highlight w:val="none"/>
              </w:rPr>
            </w:pPr>
            <w:r>
              <w:rPr>
                <w:rFonts w:hint="eastAsia"/>
                <w:color w:val="auto"/>
                <w:highlight w:val="none"/>
                <w:lang w:val="en-US" w:eastAsia="zh-CN"/>
              </w:rPr>
              <w:t>2.</w:t>
            </w:r>
            <w:r>
              <w:rPr>
                <w:rFonts w:hint="eastAsia"/>
                <w:color w:val="auto"/>
                <w:highlight w:val="none"/>
              </w:rPr>
              <w:t>中标人在货物验收时由采购单位对照招标文件的功能目标及技术指标全面核对检验，</w:t>
            </w:r>
            <w:r>
              <w:rPr>
                <w:rFonts w:hint="eastAsia"/>
                <w:color w:val="auto"/>
                <w:highlight w:val="none"/>
                <w:lang w:val="en-US" w:eastAsia="zh-CN"/>
              </w:rPr>
              <w:t>由第三方技术咨询单位</w:t>
            </w:r>
            <w:r>
              <w:rPr>
                <w:rFonts w:hint="eastAsia"/>
                <w:color w:val="auto"/>
                <w:highlight w:val="none"/>
              </w:rPr>
              <w:t>对所有要求</w:t>
            </w:r>
            <w:r>
              <w:rPr>
                <w:rFonts w:hint="eastAsia"/>
                <w:color w:val="auto"/>
                <w:highlight w:val="none"/>
                <w:lang w:val="en-US" w:eastAsia="zh-CN"/>
              </w:rPr>
              <w:t>必须</w:t>
            </w:r>
            <w:r>
              <w:rPr>
                <w:rFonts w:hint="eastAsia"/>
                <w:color w:val="auto"/>
                <w:highlight w:val="none"/>
              </w:rPr>
              <w:t>出具的证明文件</w:t>
            </w:r>
            <w:r>
              <w:rPr>
                <w:rFonts w:hint="eastAsia"/>
                <w:color w:val="auto"/>
                <w:highlight w:val="none"/>
                <w:lang w:val="en-US" w:eastAsia="zh-CN"/>
              </w:rPr>
              <w:t>及关键技术参数提供的加分证明文件</w:t>
            </w:r>
            <w:r>
              <w:rPr>
                <w:rFonts w:hint="eastAsia"/>
                <w:color w:val="auto"/>
                <w:highlight w:val="none"/>
              </w:rPr>
              <w:t>的原件进行核查，如不符合招标文件的技术需求及要求以及提供虚假承诺的，按相关规定做退货处理及违约处理，中标人承担所有责任和费用，采购人保留进一步追究责任的权利。</w:t>
            </w:r>
          </w:p>
          <w:p w14:paraId="4D9B0BF1">
            <w:pPr>
              <w:bidi w:val="0"/>
              <w:rPr>
                <w:rFonts w:hint="eastAsia"/>
                <w:color w:val="auto"/>
                <w:highlight w:val="none"/>
                <w:lang w:val="en-US" w:eastAsia="zh-CN"/>
              </w:rPr>
            </w:pPr>
            <w:r>
              <w:rPr>
                <w:rFonts w:hint="eastAsia"/>
                <w:color w:val="auto"/>
                <w:highlight w:val="none"/>
                <w:lang w:val="en-US" w:eastAsia="zh-CN"/>
              </w:rPr>
              <w:t>3.项目涉及与装饰、舞台灯光、音响等项目存在交叉施工作业面，为保障项目顺利实施，中标人在项目实施过程中，按照中标人提供的技术交底资料（包括不限于系统设计图、施工图、技术方案、项目实施方案等），需接受第三方技术咨询单位的现场施工督查，包括技术协调、施工过程监督检查、施工过程进度监督及问题整改监督。</w:t>
            </w:r>
          </w:p>
          <w:p w14:paraId="49482535">
            <w:pPr>
              <w:bidi w:val="0"/>
              <w:rPr>
                <w:rFonts w:hint="eastAsia"/>
                <w:color w:val="auto"/>
                <w:highlight w:val="none"/>
                <w:lang w:val="en-US" w:eastAsia="zh-CN"/>
              </w:rPr>
            </w:pPr>
            <w:r>
              <w:rPr>
                <w:rFonts w:hint="eastAsia"/>
                <w:color w:val="auto"/>
                <w:highlight w:val="none"/>
                <w:lang w:val="en-US" w:eastAsia="zh-CN"/>
              </w:rPr>
              <w:t>4.中标人在项目调试及竣工验收阶段，需提供竣工文件、工程图纸、技术档案资料等，</w:t>
            </w:r>
          </w:p>
          <w:p w14:paraId="552B35C0">
            <w:pPr>
              <w:bidi w:val="0"/>
              <w:rPr>
                <w:rFonts w:hint="eastAsia"/>
                <w:color w:val="auto"/>
                <w:highlight w:val="none"/>
                <w:lang w:val="en-US" w:eastAsia="zh-CN"/>
              </w:rPr>
            </w:pPr>
            <w:r>
              <w:rPr>
                <w:rFonts w:hint="eastAsia"/>
                <w:color w:val="auto"/>
                <w:highlight w:val="none"/>
                <w:lang w:val="en-US" w:eastAsia="zh-CN"/>
              </w:rPr>
              <w:t>配合第三方技术咨询单位对现场6组LED显示大屏及周边播控等系统进行指标综合检测，为达到用户使用要求，各使用节点LED显示屏应联调联试、节点之间信号必须满足互联互通，若测试结果不能满足采购文件参数要求以及投标文件所承诺的技术功能要求，达不到验收标准的，采购单位有权单方面终止合同，并追究中标人责任</w:t>
            </w:r>
          </w:p>
          <w:p w14:paraId="765991B5">
            <w:pPr>
              <w:bidi w:val="0"/>
              <w:rPr>
                <w:rFonts w:hint="default"/>
                <w:color w:val="auto"/>
                <w:highlight w:val="none"/>
                <w:lang w:val="en-US" w:eastAsia="zh-CN"/>
              </w:rPr>
            </w:pPr>
            <w:r>
              <w:rPr>
                <w:rFonts w:hint="eastAsia"/>
                <w:color w:val="auto"/>
                <w:highlight w:val="none"/>
                <w:lang w:val="en-US" w:eastAsia="zh-CN"/>
              </w:rPr>
              <w:t>5.</w:t>
            </w:r>
            <w:r>
              <w:rPr>
                <w:rFonts w:hint="eastAsia"/>
                <w:color w:val="auto"/>
                <w:highlight w:val="none"/>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506BDE9E">
            <w:pPr>
              <w:bidi w:val="0"/>
              <w:rPr>
                <w:rFonts w:hint="eastAsia"/>
                <w:color w:val="auto"/>
                <w:highlight w:val="none"/>
                <w:lang w:val="en-US" w:eastAsia="zh-CN"/>
              </w:rPr>
            </w:pPr>
            <w:r>
              <w:rPr>
                <w:rFonts w:hint="eastAsia"/>
                <w:color w:val="auto"/>
                <w:highlight w:val="none"/>
                <w:lang w:val="en-US" w:eastAsia="zh-CN"/>
              </w:rPr>
              <w:t>6.</w:t>
            </w:r>
            <w:r>
              <w:rPr>
                <w:rFonts w:hint="eastAsia"/>
                <w:color w:val="auto"/>
                <w:highlight w:val="none"/>
              </w:rPr>
              <w:t>合同履行过程中，如不符合采购文件的技术需求及要求以及提供虚假承诺的，按相关规定做退货处理及违约处理，中标供应商须承担所有责任和费用，采购人保留进一步追究责任的权利。</w:t>
            </w:r>
          </w:p>
          <w:p w14:paraId="74C12025">
            <w:pPr>
              <w:widowControl/>
              <w:jc w:val="left"/>
              <w:textAlignment w:val="center"/>
              <w:rPr>
                <w:rFonts w:hint="eastAsia"/>
                <w:color w:val="auto"/>
                <w:highlight w:val="none"/>
              </w:rPr>
            </w:pPr>
            <w:r>
              <w:rPr>
                <w:rFonts w:hint="eastAsia"/>
                <w:color w:val="auto"/>
                <w:highlight w:val="none"/>
                <w:lang w:val="en-US" w:eastAsia="zh-CN"/>
              </w:rPr>
              <w:t>7.</w:t>
            </w:r>
            <w:r>
              <w:rPr>
                <w:rFonts w:hint="eastAsia"/>
                <w:color w:val="auto"/>
                <w:highlight w:val="none"/>
              </w:rPr>
              <w:t>本章《项目需求》有其他要求的按其要求执行。</w:t>
            </w:r>
          </w:p>
          <w:p w14:paraId="63A051AD">
            <w:pPr>
              <w:pStyle w:val="7"/>
              <w:ind w:left="0" w:leftChars="0" w:firstLine="0" w:firstLineChars="0"/>
              <w:rPr>
                <w:rFonts w:hint="eastAsia" w:ascii="宋体" w:hAnsi="宋体" w:cs="宋体"/>
                <w:color w:val="auto"/>
                <w:szCs w:val="21"/>
                <w:highlight w:val="none"/>
                <w:lang w:eastAsia="zh-CN"/>
              </w:rPr>
            </w:pPr>
            <w:r>
              <w:rPr>
                <w:rFonts w:hint="eastAsia" w:ascii="宋体" w:hAnsi="宋体" w:eastAsia="宋体" w:cs="宋体"/>
                <w:color w:val="auto"/>
                <w:kern w:val="0"/>
                <w:sz w:val="21"/>
                <w:szCs w:val="21"/>
                <w:highlight w:val="none"/>
                <w:lang w:val="en-US" w:eastAsia="zh-CN"/>
              </w:rPr>
              <w:t>8.</w:t>
            </w:r>
            <w:r>
              <w:rPr>
                <w:rFonts w:hint="eastAsia" w:ascii="宋体" w:hAnsi="宋体" w:cs="宋体"/>
                <w:color w:val="auto"/>
                <w:szCs w:val="21"/>
                <w:highlight w:val="none"/>
              </w:rPr>
              <w:t>如投标人投标产品存在侵犯他人的知识产权或者专利成果行为的，由投标人自行承担相应法律责任</w:t>
            </w:r>
            <w:r>
              <w:rPr>
                <w:rFonts w:hint="eastAsia" w:ascii="宋体" w:hAnsi="宋体" w:cs="宋体"/>
                <w:color w:val="auto"/>
                <w:szCs w:val="21"/>
                <w:highlight w:val="none"/>
                <w:lang w:eastAsia="zh-CN"/>
              </w:rPr>
              <w:t>。</w:t>
            </w:r>
          </w:p>
          <w:p w14:paraId="6E639384">
            <w:pPr>
              <w:pStyle w:val="7"/>
              <w:ind w:left="0" w:leftChars="0" w:firstLine="0" w:firstLineChars="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采购货物纳入强制性产品认证（3C认证）的，投标人所投产品必须从其规定。</w:t>
            </w:r>
          </w:p>
          <w:p w14:paraId="5807DFC5">
            <w:pPr>
              <w:pStyle w:val="7"/>
              <w:ind w:left="0" w:leftChars="0" w:firstLine="0" w:firstLineChars="0"/>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供应商</w:t>
            </w:r>
            <w:r>
              <w:rPr>
                <w:rFonts w:hint="eastAsia" w:ascii="宋体" w:hAnsi="宋体" w:eastAsia="宋体" w:cs="宋体"/>
                <w:color w:val="auto"/>
                <w:kern w:val="2"/>
                <w:sz w:val="21"/>
                <w:szCs w:val="21"/>
                <w:highlight w:val="none"/>
                <w:lang w:eastAsia="zh-CN"/>
              </w:rPr>
              <w:t>所投</w:t>
            </w:r>
            <w:r>
              <w:rPr>
                <w:rFonts w:hint="eastAsia" w:ascii="宋体" w:hAnsi="宋体" w:eastAsia="宋体" w:cs="宋体"/>
                <w:color w:val="auto"/>
                <w:kern w:val="2"/>
                <w:sz w:val="21"/>
                <w:szCs w:val="21"/>
                <w:highlight w:val="none"/>
              </w:rPr>
              <w:t>产品的</w:t>
            </w:r>
            <w:r>
              <w:rPr>
                <w:rFonts w:hint="eastAsia" w:ascii="宋体" w:hAnsi="宋体" w:eastAsia="宋体" w:cs="宋体"/>
                <w:b/>
                <w:bCs/>
                <w:color w:val="auto"/>
                <w:kern w:val="2"/>
                <w:sz w:val="21"/>
                <w:szCs w:val="21"/>
                <w:highlight w:val="none"/>
              </w:rPr>
              <w:t>配件（辅材）涉及节能认证、国家强制认证</w:t>
            </w:r>
            <w:r>
              <w:rPr>
                <w:rFonts w:hint="eastAsia" w:ascii="宋体" w:hAnsi="宋体" w:eastAsia="宋体" w:cs="宋体"/>
                <w:b/>
                <w:bCs/>
                <w:color w:val="auto"/>
                <w:kern w:val="2"/>
                <w:sz w:val="21"/>
                <w:szCs w:val="21"/>
                <w:highlight w:val="none"/>
                <w:lang w:eastAsia="zh-CN"/>
              </w:rPr>
              <w:t>（除采购需求约定外）</w:t>
            </w:r>
            <w:r>
              <w:rPr>
                <w:rFonts w:hint="eastAsia" w:ascii="宋体" w:hAnsi="宋体" w:eastAsia="宋体" w:cs="宋体"/>
                <w:b/>
                <w:bCs/>
                <w:color w:val="auto"/>
                <w:kern w:val="2"/>
                <w:sz w:val="21"/>
                <w:szCs w:val="21"/>
                <w:highlight w:val="none"/>
              </w:rPr>
              <w:t>，在验收时必须提供产品、配件的相关节能认证证书、国家强制认证证书</w:t>
            </w:r>
            <w:r>
              <w:rPr>
                <w:rFonts w:hint="eastAsia" w:ascii="宋体" w:hAnsi="宋体" w:eastAsia="宋体" w:cs="宋体"/>
                <w:color w:val="auto"/>
                <w:kern w:val="2"/>
                <w:sz w:val="21"/>
                <w:szCs w:val="21"/>
                <w:highlight w:val="none"/>
              </w:rPr>
              <w:t>，不能提供认证证书的采购人有权拒绝验收</w:t>
            </w:r>
            <w:r>
              <w:rPr>
                <w:rFonts w:hint="eastAsia" w:ascii="宋体" w:hAnsi="宋体" w:eastAsia="宋体" w:cs="宋体"/>
                <w:color w:val="auto"/>
                <w:kern w:val="2"/>
                <w:sz w:val="21"/>
                <w:szCs w:val="21"/>
                <w:highlight w:val="none"/>
                <w:lang w:val="zh-CN"/>
              </w:rPr>
              <w:t>，由此产生的一切后果由供应商承担。</w:t>
            </w:r>
          </w:p>
        </w:tc>
      </w:tr>
      <w:tr w14:paraId="6D7F1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936" w:type="pct"/>
            <w:gridSpan w:val="2"/>
            <w:tcBorders>
              <w:top w:val="single" w:color="auto" w:sz="4" w:space="0"/>
              <w:left w:val="single" w:color="auto" w:sz="4" w:space="0"/>
              <w:bottom w:val="single" w:color="auto" w:sz="4" w:space="0"/>
              <w:right w:val="single" w:color="auto" w:sz="4" w:space="0"/>
            </w:tcBorders>
            <w:vAlign w:val="center"/>
          </w:tcPr>
          <w:p w14:paraId="70BCF98C">
            <w:pPr>
              <w:widowControl/>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其他要求</w:t>
            </w:r>
          </w:p>
        </w:tc>
        <w:tc>
          <w:tcPr>
            <w:tcW w:w="4063" w:type="pct"/>
            <w:gridSpan w:val="4"/>
            <w:tcBorders>
              <w:top w:val="single" w:color="auto" w:sz="4" w:space="0"/>
              <w:left w:val="single" w:color="auto" w:sz="4" w:space="0"/>
              <w:bottom w:val="single" w:color="auto" w:sz="4" w:space="0"/>
              <w:right w:val="single" w:color="auto" w:sz="4" w:space="0"/>
            </w:tcBorders>
            <w:vAlign w:val="center"/>
          </w:tcPr>
          <w:p w14:paraId="210FB579">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投标前，投标人可根据自身的情况决定是否参加采购人统一组织的现场考察。现场考察须携带的资料：持投标人授权委托书、个人身份证原件。现场考察统一时间。</w:t>
            </w:r>
            <w:r>
              <w:rPr>
                <w:rFonts w:hint="eastAsia" w:ascii="宋体" w:hAnsi="宋体" w:eastAsia="宋体" w:cs="宋体"/>
                <w:b/>
                <w:bCs/>
                <w:color w:val="auto"/>
                <w:sz w:val="21"/>
                <w:szCs w:val="21"/>
                <w:highlight w:val="none"/>
              </w:rPr>
              <w:t>现场考察集中时间：202</w:t>
            </w:r>
            <w:r>
              <w:rPr>
                <w:rFonts w:hint="default" w:ascii="宋体" w:hAnsi="宋体" w:eastAsia="宋体" w:cs="宋体"/>
                <w:b/>
                <w:bCs/>
                <w:color w:val="auto"/>
                <w:sz w:val="21"/>
                <w:szCs w:val="21"/>
                <w:highlight w:val="none"/>
                <w:lang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日上午</w:t>
            </w:r>
            <w:r>
              <w:rPr>
                <w:rFonts w:hint="default" w:ascii="宋体" w:hAnsi="宋体" w:eastAsia="宋体" w:cs="宋体"/>
                <w:b/>
                <w:bCs/>
                <w:color w:val="auto"/>
                <w:sz w:val="21"/>
                <w:szCs w:val="21"/>
                <w:highlight w:val="none"/>
              </w:rPr>
              <w:t>10</w:t>
            </w:r>
            <w:r>
              <w:rPr>
                <w:rFonts w:hint="eastAsia" w:ascii="宋体" w:hAnsi="宋体" w:eastAsia="宋体" w:cs="宋体"/>
                <w:b/>
                <w:bCs/>
                <w:color w:val="auto"/>
                <w:sz w:val="21"/>
                <w:szCs w:val="21"/>
                <w:highlight w:val="none"/>
              </w:rPr>
              <w:t>:</w:t>
            </w:r>
            <w:r>
              <w:rPr>
                <w:rFonts w:hint="default" w:ascii="宋体" w:hAnsi="宋体" w:eastAsia="宋体" w:cs="宋体"/>
                <w:b/>
                <w:bCs/>
                <w:color w:val="auto"/>
                <w:sz w:val="21"/>
                <w:szCs w:val="21"/>
                <w:highlight w:val="none"/>
              </w:rPr>
              <w:t>0</w:t>
            </w:r>
            <w:r>
              <w:rPr>
                <w:rFonts w:hint="eastAsia" w:ascii="宋体" w:hAnsi="宋体" w:eastAsia="宋体" w:cs="宋体"/>
                <w:b/>
                <w:bCs/>
                <w:color w:val="auto"/>
                <w:sz w:val="21"/>
                <w:szCs w:val="21"/>
                <w:highlight w:val="none"/>
              </w:rPr>
              <w:t>0，过期不候。集中地点：</w:t>
            </w:r>
            <w:r>
              <w:rPr>
                <w:rFonts w:hint="eastAsia" w:ascii="宋体" w:hAnsi="宋体" w:eastAsia="宋体" w:cs="宋体"/>
                <w:b/>
                <w:bCs/>
                <w:color w:val="auto"/>
                <w:sz w:val="21"/>
                <w:szCs w:val="21"/>
                <w:highlight w:val="none"/>
                <w:u w:val="single"/>
                <w:lang w:val="en-US" w:eastAsia="zh-CN"/>
              </w:rPr>
              <w:t>广西建设职业技术学院武鸣校区</w:t>
            </w:r>
            <w:r>
              <w:rPr>
                <w:rFonts w:hint="eastAsia" w:ascii="宋体" w:hAnsi="宋体" w:eastAsia="宋体" w:cs="宋体"/>
                <w:b/>
                <w:bCs/>
                <w:color w:val="auto"/>
                <w:sz w:val="21"/>
                <w:szCs w:val="21"/>
                <w:highlight w:val="none"/>
              </w:rPr>
              <w:t>；联系人：</w:t>
            </w:r>
            <w:r>
              <w:rPr>
                <w:rFonts w:hint="eastAsia" w:ascii="宋体" w:hAnsi="宋体" w:eastAsia="宋体" w:cs="宋体"/>
                <w:b/>
                <w:bCs/>
                <w:color w:val="auto"/>
                <w:sz w:val="21"/>
                <w:szCs w:val="21"/>
                <w:highlight w:val="none"/>
                <w:u w:val="single"/>
                <w:lang w:val="en-US" w:eastAsia="zh-CN"/>
              </w:rPr>
              <w:t>施炜</w:t>
            </w:r>
            <w:r>
              <w:rPr>
                <w:rFonts w:hint="eastAsia" w:ascii="宋体" w:hAnsi="宋体" w:eastAsia="宋体" w:cs="宋体"/>
                <w:b/>
                <w:bCs/>
                <w:color w:val="auto"/>
                <w:sz w:val="21"/>
                <w:szCs w:val="21"/>
                <w:highlight w:val="none"/>
              </w:rPr>
              <w:t>；联系电话：</w:t>
            </w:r>
            <w:r>
              <w:rPr>
                <w:rFonts w:hint="eastAsia" w:ascii="宋体" w:hAnsi="宋体" w:eastAsia="宋体" w:cs="宋体"/>
                <w:b/>
                <w:bCs/>
                <w:color w:val="auto"/>
                <w:sz w:val="21"/>
                <w:szCs w:val="21"/>
                <w:highlight w:val="none"/>
                <w:u w:val="single"/>
                <w:lang w:val="en-US" w:eastAsia="zh-CN"/>
              </w:rPr>
              <w:t>13517889255</w:t>
            </w:r>
            <w:r>
              <w:rPr>
                <w:rFonts w:hint="eastAsia" w:ascii="宋体" w:hAnsi="宋体" w:eastAsia="宋体" w:cs="宋体"/>
                <w:color w:val="auto"/>
                <w:sz w:val="21"/>
                <w:szCs w:val="21"/>
                <w:highlight w:val="none"/>
              </w:rPr>
              <w:t>。</w:t>
            </w:r>
          </w:p>
          <w:p w14:paraId="7EA9279D">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b/>
                <w:bCs/>
                <w:color w:val="auto"/>
                <w:kern w:val="0"/>
                <w:sz w:val="21"/>
                <w:szCs w:val="21"/>
                <w:highlight w:val="none"/>
              </w:rPr>
              <w:t>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号）的规定，采购需求中的产品属于节能产品政府采购品目清单内标注“★”的，供应商的投标货物必须使用政府强制采购的节能产品，否则</w:t>
            </w:r>
            <w:r>
              <w:rPr>
                <w:rFonts w:hint="eastAsia" w:ascii="宋体" w:hAnsi="宋体" w:eastAsia="宋体" w:cs="宋体"/>
                <w:b/>
                <w:bCs/>
                <w:color w:val="auto"/>
                <w:kern w:val="0"/>
                <w:sz w:val="21"/>
                <w:szCs w:val="21"/>
                <w:highlight w:val="none"/>
                <w:lang w:eastAsia="zh-CN"/>
              </w:rPr>
              <w:t>投标文件</w:t>
            </w:r>
            <w:r>
              <w:rPr>
                <w:rFonts w:hint="eastAsia" w:ascii="宋体" w:hAnsi="宋体" w:eastAsia="宋体" w:cs="宋体"/>
                <w:b/>
                <w:bCs/>
                <w:color w:val="auto"/>
                <w:kern w:val="0"/>
                <w:sz w:val="21"/>
                <w:szCs w:val="21"/>
                <w:highlight w:val="none"/>
              </w:rPr>
              <w:t>作无效投标处理</w:t>
            </w:r>
            <w:r>
              <w:rPr>
                <w:rFonts w:hint="eastAsia" w:ascii="宋体" w:hAnsi="宋体" w:eastAsia="宋体" w:cs="宋体"/>
                <w:color w:val="auto"/>
                <w:kern w:val="0"/>
                <w:sz w:val="21"/>
                <w:szCs w:val="21"/>
                <w:highlight w:val="none"/>
              </w:rPr>
              <w:t>。</w:t>
            </w:r>
          </w:p>
          <w:p w14:paraId="38BD88DB">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本项目中涉及采购的货物不接受进口产品投标（即通过中国海关报关验放进入中国境内且产自关境外的产品），如有此类产品参与投标的作无效投标处理。</w:t>
            </w:r>
          </w:p>
        </w:tc>
      </w:tr>
    </w:tbl>
    <w:p w14:paraId="69000262">
      <w:pPr>
        <w:rPr>
          <w:rFonts w:hint="eastAsia"/>
          <w:color w:val="auto"/>
          <w:highlight w:val="none"/>
        </w:rPr>
      </w:pPr>
    </w:p>
    <w:p w14:paraId="3B996CD3">
      <w:pPr>
        <w:pStyle w:val="52"/>
        <w:rPr>
          <w:rFonts w:hint="eastAsia" w:ascii="宋体" w:hAnsi="宋体" w:eastAsia="宋体" w:cs="Times New Roman"/>
          <w:b/>
          <w:bCs/>
          <w:color w:val="auto"/>
          <w:kern w:val="0"/>
          <w:sz w:val="21"/>
          <w:szCs w:val="21"/>
          <w:highlight w:val="none"/>
          <w:lang w:val="en-US" w:eastAsia="zh-CN" w:bidi="ar-SA"/>
        </w:rPr>
      </w:pPr>
    </w:p>
    <w:p w14:paraId="2D8C9C24">
      <w:pPr>
        <w:pStyle w:val="52"/>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分标</w:t>
      </w:r>
      <w:r>
        <w:rPr>
          <w:rFonts w:hint="default" w:ascii="宋体" w:hAnsi="宋体" w:cs="Times New Roman"/>
          <w:b/>
          <w:bCs/>
          <w:color w:val="auto"/>
          <w:kern w:val="0"/>
          <w:sz w:val="21"/>
          <w:szCs w:val="21"/>
          <w:highlight w:val="none"/>
          <w:lang w:eastAsia="zh-CN" w:bidi="ar-SA"/>
        </w:rPr>
        <w:t>2</w:t>
      </w:r>
      <w:r>
        <w:rPr>
          <w:rFonts w:hint="eastAsia" w:ascii="宋体" w:hAnsi="宋体" w:cs="Times New Roman"/>
          <w:b/>
          <w:bCs/>
          <w:color w:val="auto"/>
          <w:kern w:val="0"/>
          <w:sz w:val="21"/>
          <w:szCs w:val="21"/>
          <w:highlight w:val="none"/>
          <w:lang w:val="en-US" w:eastAsia="zh-CN" w:bidi="ar-SA"/>
        </w:rPr>
        <w:t>：</w:t>
      </w:r>
    </w:p>
    <w:tbl>
      <w:tblPr>
        <w:tblStyle w:val="53"/>
        <w:tblW w:w="9944"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276"/>
        <w:gridCol w:w="215"/>
        <w:gridCol w:w="574"/>
        <w:gridCol w:w="911"/>
        <w:gridCol w:w="4903"/>
        <w:gridCol w:w="1639"/>
      </w:tblGrid>
      <w:tr w14:paraId="0E2D6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426" w:type="dxa"/>
            <w:tcBorders>
              <w:top w:val="single" w:color="auto" w:sz="4" w:space="0"/>
              <w:left w:val="single" w:color="auto" w:sz="4" w:space="0"/>
              <w:bottom w:val="single" w:color="auto" w:sz="4" w:space="0"/>
              <w:right w:val="single" w:color="auto" w:sz="4" w:space="0"/>
            </w:tcBorders>
            <w:vAlign w:val="center"/>
          </w:tcPr>
          <w:p w14:paraId="474C7E0A">
            <w:pPr>
              <w:jc w:val="center"/>
              <w:rPr>
                <w:rFonts w:ascii="宋体" w:hAnsi="宋体"/>
                <w:b/>
                <w:color w:val="auto"/>
                <w:szCs w:val="21"/>
                <w:highlight w:val="none"/>
              </w:rPr>
            </w:pPr>
            <w:r>
              <w:rPr>
                <w:rFonts w:hint="eastAsia" w:ascii="宋体" w:hAnsi="宋体"/>
                <w:b/>
                <w:color w:val="auto"/>
                <w:szCs w:val="21"/>
                <w:highlight w:val="none"/>
              </w:rPr>
              <w:t>项号</w:t>
            </w:r>
          </w:p>
        </w:tc>
        <w:tc>
          <w:tcPr>
            <w:tcW w:w="1276" w:type="dxa"/>
            <w:tcBorders>
              <w:top w:val="single" w:color="auto" w:sz="4" w:space="0"/>
              <w:left w:val="single" w:color="auto" w:sz="4" w:space="0"/>
              <w:bottom w:val="single" w:color="auto" w:sz="4" w:space="0"/>
              <w:right w:val="single" w:color="auto" w:sz="4" w:space="0"/>
            </w:tcBorders>
            <w:vAlign w:val="center"/>
          </w:tcPr>
          <w:p w14:paraId="73CB613C">
            <w:pPr>
              <w:jc w:val="center"/>
              <w:rPr>
                <w:rFonts w:hint="eastAsia" w:ascii="宋体" w:hAnsi="宋体"/>
                <w:b/>
                <w:color w:val="auto"/>
                <w:szCs w:val="21"/>
                <w:highlight w:val="none"/>
              </w:rPr>
            </w:pPr>
            <w:r>
              <w:rPr>
                <w:rFonts w:hint="eastAsia" w:ascii="宋体" w:hAnsi="宋体"/>
                <w:b/>
                <w:color w:val="auto"/>
                <w:szCs w:val="21"/>
                <w:highlight w:val="none"/>
              </w:rPr>
              <w:t>货物</w:t>
            </w:r>
          </w:p>
          <w:p w14:paraId="6F9D6E7A">
            <w:pPr>
              <w:jc w:val="center"/>
              <w:rPr>
                <w:rFonts w:ascii="宋体" w:hAnsi="宋体"/>
                <w:b/>
                <w:color w:val="auto"/>
                <w:szCs w:val="21"/>
                <w:highlight w:val="none"/>
              </w:rPr>
            </w:pPr>
            <w:r>
              <w:rPr>
                <w:rFonts w:hint="eastAsia" w:ascii="宋体" w:hAnsi="宋体"/>
                <w:b/>
                <w:color w:val="auto"/>
                <w:szCs w:val="21"/>
                <w:highlight w:val="none"/>
              </w:rPr>
              <w:t>名称</w:t>
            </w:r>
          </w:p>
        </w:tc>
        <w:tc>
          <w:tcPr>
            <w:tcW w:w="789" w:type="dxa"/>
            <w:gridSpan w:val="2"/>
            <w:tcBorders>
              <w:top w:val="single" w:color="auto" w:sz="4" w:space="0"/>
              <w:left w:val="single" w:color="auto" w:sz="4" w:space="0"/>
              <w:bottom w:val="single" w:color="auto" w:sz="4" w:space="0"/>
              <w:right w:val="single" w:color="auto" w:sz="4" w:space="0"/>
            </w:tcBorders>
            <w:vAlign w:val="center"/>
          </w:tcPr>
          <w:p w14:paraId="4B405601">
            <w:pPr>
              <w:jc w:val="center"/>
              <w:rPr>
                <w:rFonts w:ascii="宋体" w:hAnsi="宋体"/>
                <w:b/>
                <w:color w:val="auto"/>
                <w:szCs w:val="21"/>
                <w:highlight w:val="none"/>
              </w:rPr>
            </w:pPr>
            <w:r>
              <w:rPr>
                <w:rFonts w:hint="eastAsia" w:ascii="宋体" w:hAnsi="宋体"/>
                <w:b/>
                <w:color w:val="auto"/>
                <w:szCs w:val="21"/>
                <w:highlight w:val="none"/>
              </w:rPr>
              <w:t>数 量</w:t>
            </w:r>
          </w:p>
        </w:tc>
        <w:tc>
          <w:tcPr>
            <w:tcW w:w="911" w:type="dxa"/>
            <w:tcBorders>
              <w:top w:val="single" w:color="auto" w:sz="4" w:space="0"/>
              <w:left w:val="single" w:color="auto" w:sz="4" w:space="0"/>
              <w:bottom w:val="single" w:color="auto" w:sz="4" w:space="0"/>
              <w:right w:val="single" w:color="auto" w:sz="4" w:space="0"/>
            </w:tcBorders>
            <w:vAlign w:val="center"/>
          </w:tcPr>
          <w:p w14:paraId="23A821D8">
            <w:pPr>
              <w:jc w:val="center"/>
              <w:rPr>
                <w:rFonts w:ascii="宋体" w:hAnsi="宋体"/>
                <w:b/>
                <w:bCs/>
                <w:color w:val="auto"/>
                <w:szCs w:val="21"/>
                <w:highlight w:val="none"/>
              </w:rPr>
            </w:pPr>
            <w:r>
              <w:rPr>
                <w:rFonts w:hint="eastAsia" w:ascii="宋体" w:hAnsi="宋体"/>
                <w:b/>
                <w:bCs/>
                <w:color w:val="auto"/>
                <w:szCs w:val="21"/>
                <w:highlight w:val="none"/>
              </w:rPr>
              <w:t>单位</w:t>
            </w:r>
          </w:p>
        </w:tc>
        <w:tc>
          <w:tcPr>
            <w:tcW w:w="4903" w:type="dxa"/>
            <w:tcBorders>
              <w:top w:val="single" w:color="auto" w:sz="4" w:space="0"/>
              <w:left w:val="single" w:color="auto" w:sz="4" w:space="0"/>
              <w:bottom w:val="single" w:color="auto" w:sz="4" w:space="0"/>
              <w:right w:val="single" w:color="auto" w:sz="4" w:space="0"/>
            </w:tcBorders>
            <w:vAlign w:val="center"/>
          </w:tcPr>
          <w:p w14:paraId="351D98ED">
            <w:pPr>
              <w:jc w:val="center"/>
              <w:rPr>
                <w:rFonts w:hint="eastAsia" w:ascii="宋体" w:hAnsi="宋体"/>
                <w:b/>
                <w:color w:val="auto"/>
                <w:szCs w:val="21"/>
                <w:highlight w:val="none"/>
              </w:rPr>
            </w:pPr>
            <w:r>
              <w:rPr>
                <w:rFonts w:hint="eastAsia" w:ascii="宋体" w:hAnsi="宋体"/>
                <w:b/>
                <w:color w:val="auto"/>
                <w:szCs w:val="21"/>
                <w:highlight w:val="none"/>
              </w:rPr>
              <w:t>技术参数及性能（配置）要求</w:t>
            </w:r>
          </w:p>
          <w:p w14:paraId="160AE970">
            <w:pPr>
              <w:jc w:val="center"/>
              <w:rPr>
                <w:rFonts w:ascii="宋体" w:hAnsi="宋体"/>
                <w:b/>
                <w:bCs/>
                <w:color w:val="auto"/>
                <w:szCs w:val="21"/>
                <w:highlight w:val="none"/>
              </w:rPr>
            </w:pPr>
            <w:r>
              <w:rPr>
                <w:rFonts w:hint="eastAsia" w:ascii="宋体" w:hAnsi="宋体"/>
                <w:b/>
                <w:color w:val="auto"/>
                <w:szCs w:val="21"/>
                <w:highlight w:val="none"/>
              </w:rPr>
              <w:t>（材质工艺要求说明）</w:t>
            </w:r>
          </w:p>
        </w:tc>
        <w:tc>
          <w:tcPr>
            <w:tcW w:w="1639" w:type="dxa"/>
            <w:tcBorders>
              <w:top w:val="single" w:color="auto" w:sz="4" w:space="0"/>
              <w:left w:val="single" w:color="auto" w:sz="4" w:space="0"/>
              <w:bottom w:val="single" w:color="auto" w:sz="4" w:space="0"/>
              <w:right w:val="single" w:color="auto" w:sz="4" w:space="0"/>
            </w:tcBorders>
            <w:vAlign w:val="center"/>
          </w:tcPr>
          <w:p w14:paraId="4FDA150F">
            <w:pPr>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eastAsia="zh-CN"/>
              </w:rPr>
              <w:t>参考图片</w:t>
            </w:r>
          </w:p>
        </w:tc>
      </w:tr>
      <w:tr w14:paraId="71C3D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426" w:type="dxa"/>
            <w:tcBorders>
              <w:top w:val="single" w:color="auto" w:sz="4" w:space="0"/>
              <w:left w:val="single" w:color="auto" w:sz="4" w:space="0"/>
              <w:right w:val="single" w:color="auto" w:sz="4" w:space="0"/>
            </w:tcBorders>
            <w:vAlign w:val="center"/>
          </w:tcPr>
          <w:p w14:paraId="064AA858">
            <w:pPr>
              <w:widowControl/>
              <w:jc w:val="center"/>
              <w:textAlignment w:val="center"/>
              <w:rPr>
                <w:rFonts w:hint="eastAsia" w:ascii="宋体" w:hAnsi="宋体"/>
                <w:color w:val="auto"/>
                <w:szCs w:val="21"/>
                <w:highlight w:val="none"/>
              </w:rPr>
            </w:pPr>
            <w:r>
              <w:rPr>
                <w:rFonts w:hint="eastAsia" w:ascii="宋体" w:hAnsi="宋体"/>
                <w:color w:val="auto"/>
                <w:szCs w:val="21"/>
                <w:highlight w:val="none"/>
              </w:rPr>
              <w:t>1</w:t>
            </w:r>
          </w:p>
        </w:tc>
        <w:tc>
          <w:tcPr>
            <w:tcW w:w="1276" w:type="dxa"/>
            <w:tcBorders>
              <w:top w:val="single" w:color="auto" w:sz="4" w:space="0"/>
              <w:left w:val="single" w:color="auto" w:sz="4" w:space="0"/>
              <w:right w:val="single" w:color="auto" w:sz="4" w:space="0"/>
            </w:tcBorders>
            <w:vAlign w:val="center"/>
          </w:tcPr>
          <w:p w14:paraId="282E2463">
            <w:pPr>
              <w:widowControl/>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rPr>
              <w:t>礼堂椅</w:t>
            </w:r>
          </w:p>
        </w:tc>
        <w:tc>
          <w:tcPr>
            <w:tcW w:w="789" w:type="dxa"/>
            <w:gridSpan w:val="2"/>
            <w:tcBorders>
              <w:top w:val="single" w:color="auto" w:sz="4" w:space="0"/>
              <w:left w:val="single" w:color="auto" w:sz="4" w:space="0"/>
              <w:right w:val="single" w:color="auto" w:sz="4" w:space="0"/>
            </w:tcBorders>
            <w:vAlign w:val="center"/>
          </w:tcPr>
          <w:p w14:paraId="168A0872">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999</w:t>
            </w:r>
          </w:p>
        </w:tc>
        <w:tc>
          <w:tcPr>
            <w:tcW w:w="911" w:type="dxa"/>
            <w:tcBorders>
              <w:top w:val="single" w:color="auto" w:sz="4" w:space="0"/>
              <w:left w:val="single" w:color="auto" w:sz="4" w:space="0"/>
              <w:right w:val="single" w:color="auto" w:sz="4" w:space="0"/>
            </w:tcBorders>
            <w:vAlign w:val="center"/>
          </w:tcPr>
          <w:p w14:paraId="18D9DC9B">
            <w:pPr>
              <w:widowControl/>
              <w:jc w:val="center"/>
              <w:textAlignment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张</w:t>
            </w:r>
          </w:p>
        </w:tc>
        <w:tc>
          <w:tcPr>
            <w:tcW w:w="4903" w:type="dxa"/>
            <w:tcBorders>
              <w:top w:val="single" w:color="auto" w:sz="4" w:space="0"/>
              <w:left w:val="single" w:color="auto" w:sz="4" w:space="0"/>
              <w:right w:val="single" w:color="auto" w:sz="4" w:space="0"/>
            </w:tcBorders>
            <w:vAlign w:val="center"/>
          </w:tcPr>
          <w:p w14:paraId="3EF58B9C">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 xml:space="preserve">礼堂椅规格尺寸：座椅扶手中心距：550MM，背高：1020MM，座高：450MM，座深:420MM </w:t>
            </w:r>
            <w:r>
              <w:rPr>
                <w:rFonts w:hint="eastAsia" w:ascii="宋体" w:hAnsi="宋体"/>
                <w:color w:val="auto"/>
                <w:szCs w:val="21"/>
                <w:highlight w:val="none"/>
                <w:lang w:eastAsia="zh-CN"/>
              </w:rPr>
              <w:t>。</w:t>
            </w:r>
          </w:p>
          <w:p w14:paraId="5E0807B4">
            <w:pPr>
              <w:widowControl/>
              <w:jc w:val="left"/>
              <w:textAlignment w:val="center"/>
              <w:rPr>
                <w:rFonts w:hint="eastAsia" w:ascii="宋体" w:hAnsi="宋体"/>
                <w:color w:val="auto"/>
                <w:szCs w:val="21"/>
                <w:highlight w:val="none"/>
              </w:rPr>
            </w:pPr>
            <w:r>
              <w:rPr>
                <w:rFonts w:hint="eastAsia" w:ascii="宋体" w:hAnsi="宋体" w:eastAsia="宋体" w:cs="宋体"/>
                <w:b/>
                <w:bCs/>
                <w:color w:val="auto"/>
                <w:kern w:val="0"/>
                <w:sz w:val="21"/>
                <w:szCs w:val="21"/>
                <w:highlight w:val="none"/>
              </w:rPr>
              <w:t>★</w:t>
            </w:r>
            <w:r>
              <w:rPr>
                <w:rFonts w:hint="eastAsia" w:ascii="宋体" w:hAnsi="宋体"/>
                <w:color w:val="auto"/>
                <w:szCs w:val="21"/>
                <w:highlight w:val="none"/>
              </w:rPr>
              <w:t>1、站脚: 框架采用≥1.5 mm优质冷轧钢板冲压成型，上框架长400mm，下框架长230mm，宽50mm，总高度360mm外扣式更加美观，稳固，耐用。立柱管采用80mm*40mm*1.5mm,底脚板:采用1.8优质冷轧钢板冲压成型，造型尺寸为长</w:t>
            </w:r>
            <w:r>
              <w:rPr>
                <w:rFonts w:hint="eastAsia" w:ascii="宋体" w:hAnsi="宋体"/>
                <w:color w:val="auto"/>
                <w:szCs w:val="21"/>
                <w:highlight w:val="none"/>
                <w:lang w:eastAsia="zh-CN"/>
              </w:rPr>
              <w:t>（约）</w:t>
            </w:r>
            <w:r>
              <w:rPr>
                <w:rFonts w:hint="eastAsia" w:ascii="宋体" w:hAnsi="宋体"/>
                <w:color w:val="auto"/>
                <w:szCs w:val="21"/>
                <w:highlight w:val="none"/>
              </w:rPr>
              <w:t>260mm，宽</w:t>
            </w:r>
            <w:r>
              <w:rPr>
                <w:rFonts w:hint="eastAsia" w:ascii="宋体" w:hAnsi="宋体"/>
                <w:color w:val="auto"/>
                <w:szCs w:val="21"/>
                <w:highlight w:val="none"/>
                <w:lang w:eastAsia="zh-CN"/>
              </w:rPr>
              <w:t>（约）</w:t>
            </w:r>
            <w:r>
              <w:rPr>
                <w:rFonts w:hint="eastAsia" w:ascii="宋体" w:hAnsi="宋体"/>
                <w:color w:val="auto"/>
                <w:szCs w:val="21"/>
                <w:highlight w:val="none"/>
              </w:rPr>
              <w:t>123mm的三角形，打破常规两孔固定采用三孔固定，呈不规则三角形外观，设有前端孔1个，后端2个孔距</w:t>
            </w:r>
            <w:r>
              <w:rPr>
                <w:rFonts w:hint="eastAsia" w:ascii="宋体" w:hAnsi="宋体"/>
                <w:color w:val="auto"/>
                <w:szCs w:val="21"/>
                <w:highlight w:val="none"/>
                <w:lang w:eastAsia="zh-CN"/>
              </w:rPr>
              <w:t>（约）</w:t>
            </w:r>
            <w:r>
              <w:rPr>
                <w:rFonts w:hint="eastAsia" w:ascii="宋体" w:hAnsi="宋体"/>
                <w:color w:val="auto"/>
                <w:szCs w:val="21"/>
                <w:highlight w:val="none"/>
              </w:rPr>
              <w:t>50mm，前后孔距</w:t>
            </w:r>
            <w:r>
              <w:rPr>
                <w:rFonts w:hint="eastAsia" w:ascii="宋体" w:hAnsi="宋体"/>
                <w:color w:val="auto"/>
                <w:szCs w:val="21"/>
                <w:highlight w:val="none"/>
                <w:lang w:eastAsia="zh-CN"/>
              </w:rPr>
              <w:t>（约）</w:t>
            </w:r>
            <w:r>
              <w:rPr>
                <w:rFonts w:hint="eastAsia" w:ascii="宋体" w:hAnsi="宋体"/>
                <w:color w:val="auto"/>
                <w:szCs w:val="21"/>
                <w:highlight w:val="none"/>
              </w:rPr>
              <w:t>180mm，共3个地爆螺丝固定孔，更为稳固，底部焊接小酒杯型固定件；采用M8x600mm预埋式拉爆结构安装，牢固耐用所有五金件必须经酸洗、磷化后高温粉末喷涂</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p>
          <w:p w14:paraId="4A1B4CA2">
            <w:pPr>
              <w:widowControl/>
              <w:jc w:val="left"/>
              <w:textAlignment w:val="center"/>
              <w:rPr>
                <w:rFonts w:hint="eastAsia" w:ascii="宋体" w:hAnsi="宋体"/>
                <w:color w:val="auto"/>
                <w:szCs w:val="21"/>
                <w:highlight w:val="none"/>
              </w:rPr>
            </w:pPr>
            <w:r>
              <w:rPr>
                <w:rFonts w:hint="eastAsia" w:ascii="宋体" w:hAnsi="宋体"/>
                <w:color w:val="auto"/>
                <w:szCs w:val="21"/>
                <w:highlight w:val="none"/>
              </w:rPr>
              <w:t>可根据场地坡度调节水平，表面不允许有龟裂，破损，掉漆，明显修补痕迹等，手能触及的地方必须圆滑，不得有锐利的棱角，毛刺。钢板需经第三方抽样检测。</w:t>
            </w:r>
          </w:p>
          <w:p w14:paraId="5607DA50">
            <w:pPr>
              <w:widowControl/>
              <w:jc w:val="left"/>
              <w:textAlignment w:val="center"/>
              <w:rPr>
                <w:rFonts w:hint="eastAsia" w:ascii="宋体" w:hAnsi="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color w:val="auto"/>
                <w:szCs w:val="21"/>
                <w:highlight w:val="none"/>
              </w:rPr>
              <w:t>2.扶手面： 采用实木块精制而成型，表面油环保聚氨酯漆，五底三面工艺，长</w:t>
            </w:r>
            <w:r>
              <w:rPr>
                <w:rFonts w:hint="eastAsia" w:ascii="宋体" w:hAnsi="宋体"/>
                <w:color w:val="auto"/>
                <w:szCs w:val="21"/>
                <w:highlight w:val="none"/>
                <w:lang w:eastAsia="zh-CN"/>
              </w:rPr>
              <w:t>（约）</w:t>
            </w:r>
            <w:r>
              <w:rPr>
                <w:rFonts w:hint="eastAsia" w:ascii="宋体" w:hAnsi="宋体"/>
                <w:color w:val="auto"/>
                <w:szCs w:val="21"/>
                <w:highlight w:val="none"/>
              </w:rPr>
              <w:t>400mm,宽</w:t>
            </w:r>
            <w:r>
              <w:rPr>
                <w:rFonts w:hint="eastAsia" w:ascii="宋体" w:hAnsi="宋体"/>
                <w:color w:val="auto"/>
                <w:szCs w:val="21"/>
                <w:highlight w:val="none"/>
                <w:lang w:eastAsia="zh-CN"/>
              </w:rPr>
              <w:t>约</w:t>
            </w:r>
            <w:r>
              <w:rPr>
                <w:rFonts w:hint="eastAsia" w:ascii="宋体" w:hAnsi="宋体"/>
                <w:color w:val="auto"/>
                <w:szCs w:val="21"/>
                <w:highlight w:val="none"/>
              </w:rPr>
              <w:t>50mm,高</w:t>
            </w:r>
            <w:r>
              <w:rPr>
                <w:rFonts w:hint="eastAsia" w:ascii="宋体" w:hAnsi="宋体"/>
                <w:color w:val="auto"/>
                <w:szCs w:val="21"/>
                <w:highlight w:val="none"/>
                <w:lang w:eastAsia="zh-CN"/>
              </w:rPr>
              <w:t>（约）</w:t>
            </w:r>
            <w:r>
              <w:rPr>
                <w:rFonts w:hint="eastAsia" w:ascii="宋体" w:hAnsi="宋体"/>
                <w:color w:val="auto"/>
                <w:szCs w:val="21"/>
                <w:highlight w:val="none"/>
              </w:rPr>
              <w:t>25mm,美观典雅,饰面为多种颜色选择的油漆面。木材需经第三方抽样检测，实木块经过第三方检测机构检测，必须符合GB/T 3324-2017 《木家具通用技术条件》、GB/T 16734-1997《中国主要木材名称》、GB/T 18513-2001 《中国主要进口木材名称》、GB/T 29894-2013 《木材鉴别方法通则》标准要求。</w:t>
            </w:r>
          </w:p>
          <w:p w14:paraId="29D7A2B4">
            <w:pPr>
              <w:widowControl/>
              <w:jc w:val="left"/>
              <w:textAlignment w:val="center"/>
              <w:rPr>
                <w:rFonts w:hint="eastAsia" w:ascii="宋体" w:hAnsi="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color w:val="auto"/>
                <w:szCs w:val="21"/>
                <w:highlight w:val="none"/>
              </w:rPr>
              <w:t xml:space="preserve">3.靠背海绵 ：采用优质冷发泡聚氨酯（PU）经专用精密发泡模具发泡一次成型，海绵密度为40-50KG/m³，椅背根据人体工程学原理，采用流线型设计，外形更高档，且有效缓解长时间保持坐姿而产生的疲劳感; 座海绵：厚度不低于120mm采用优质冷发泡聚氨酯（PU）经专用精密发泡模具发泡一次成型，海绵密度为50-60KG/m³，无毒无味无刺激，久坐不塌陷不变形。海绵经过第三方检测机构检测，必须符合GB/T 10802-2006《通用软质聚醚型聚氨酯泡沫塑料》标准要求。               </w:t>
            </w:r>
          </w:p>
          <w:p w14:paraId="4EF8501B">
            <w:pPr>
              <w:widowControl/>
              <w:jc w:val="left"/>
              <w:textAlignment w:val="center"/>
              <w:rPr>
                <w:rFonts w:hint="eastAsia" w:ascii="宋体" w:hAnsi="宋体"/>
                <w:color w:val="auto"/>
                <w:szCs w:val="21"/>
                <w:highlight w:val="none"/>
              </w:rPr>
            </w:pPr>
            <w:r>
              <w:rPr>
                <w:rFonts w:hint="eastAsia" w:ascii="宋体" w:hAnsi="宋体"/>
                <w:color w:val="auto"/>
                <w:szCs w:val="21"/>
                <w:highlight w:val="none"/>
              </w:rPr>
              <w:t>4.坐背内板： 采用无甲醛环保胶热压成型，外形成弧形，厚度为：7</w:t>
            </w:r>
            <w:r>
              <w:rPr>
                <w:rFonts w:hint="eastAsia" w:ascii="宋体" w:hAnsi="宋体"/>
                <w:color w:val="auto"/>
                <w:szCs w:val="21"/>
                <w:highlight w:val="none"/>
                <w:lang w:val="en-US" w:eastAsia="zh-CN"/>
              </w:rPr>
              <w:t>mm</w:t>
            </w:r>
            <w:r>
              <w:rPr>
                <w:rFonts w:hint="eastAsia" w:ascii="宋体" w:hAnsi="宋体"/>
                <w:color w:val="auto"/>
                <w:szCs w:val="21"/>
                <w:highlight w:val="none"/>
              </w:rPr>
              <w:t>，安全可靠，不易折断。</w:t>
            </w:r>
          </w:p>
          <w:p w14:paraId="41DB83F8">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5.座背外板：  采用15mM多层板精磨而成承托力强，抗变形，背外板采用优质高密度硬木多层板经冷轧钢板模压一次成型;坐板:是由木制多层板高温覆膜吸塑一次成型，厚度15mm。造型优美、高雅，表面（包括立面）用PVC真空覆膜技术经高温高压吸覆于座板上，具有防火、防水、环保等优点，配有至少121个蜂窝式吸音孔能在0.1秒内消除回音，保证了座椅良好吸音效果</w:t>
            </w:r>
            <w:r>
              <w:rPr>
                <w:rFonts w:hint="eastAsia" w:ascii="宋体" w:hAnsi="宋体"/>
                <w:color w:val="auto"/>
                <w:szCs w:val="21"/>
                <w:highlight w:val="none"/>
                <w:lang w:eastAsia="zh-CN"/>
              </w:rPr>
              <w:t>。</w:t>
            </w:r>
          </w:p>
          <w:p w14:paraId="65694AC5">
            <w:pPr>
              <w:widowControl/>
              <w:jc w:val="left"/>
              <w:textAlignment w:val="center"/>
              <w:rPr>
                <w:rFonts w:hint="eastAsia" w:ascii="宋体" w:hAnsi="宋体"/>
                <w:color w:val="auto"/>
                <w:szCs w:val="21"/>
                <w:highlight w:val="none"/>
              </w:rPr>
            </w:pPr>
            <w:r>
              <w:rPr>
                <w:rFonts w:hint="eastAsia" w:ascii="宋体" w:hAnsi="宋体"/>
                <w:color w:val="auto"/>
                <w:szCs w:val="21"/>
                <w:highlight w:val="none"/>
              </w:rPr>
              <w:t xml:space="preserve">6.座位挂钩/座包框架： 采用加强型连接结构，在两背角码间装有预留孔位，能适合多种场地安装，座框架，采用优质冷轧刚厚度1.5mm经模具冲压焊接组合成型，框架两边采用优质5mm冷轧钢片，耳顶采用穿透式T型角码直径14mm,消音垫：直接在耳顶处加上消音圈，摒弃座包受外力作用时与背相碰撞时受力点在海绵上，而更加耐用、牢固、更舒适、牢固包采用阻尼回复机构，座包采用阻尼回复机构，无噪音慢回位，扭簧105*☉37*☉12圈扭力，确保扭力永久不失效。另设计配置15级扭力调节器，可调节座包回位速度快慢。                    </w:t>
            </w:r>
          </w:p>
          <w:p w14:paraId="33E38127">
            <w:pPr>
              <w:widowControl/>
              <w:jc w:val="left"/>
              <w:textAlignment w:val="center"/>
              <w:rPr>
                <w:rFonts w:hint="eastAsia" w:ascii="宋体" w:hAnsi="宋体"/>
                <w:color w:val="auto"/>
                <w:szCs w:val="21"/>
                <w:highlight w:val="none"/>
              </w:rPr>
            </w:pPr>
            <w:r>
              <w:rPr>
                <w:rFonts w:hint="eastAsia" w:ascii="宋体" w:hAnsi="宋体"/>
                <w:color w:val="auto"/>
                <w:szCs w:val="21"/>
                <w:highlight w:val="none"/>
              </w:rPr>
              <w:t xml:space="preserve">7.阻尼器选用优质2.2级标准.安全可调节快慢回位轻盈，无杂声，加载部位无明显变形，翻转灵活自如，零故障。                       </w:t>
            </w:r>
          </w:p>
          <w:p w14:paraId="43171FFC">
            <w:pPr>
              <w:widowControl/>
              <w:jc w:val="left"/>
              <w:textAlignment w:val="center"/>
              <w:rPr>
                <w:rFonts w:hint="eastAsia" w:ascii="宋体" w:hAnsi="宋体"/>
                <w:color w:val="auto"/>
                <w:szCs w:val="21"/>
                <w:highlight w:val="none"/>
              </w:rPr>
            </w:pPr>
            <w:r>
              <w:rPr>
                <w:rFonts w:hint="eastAsia" w:ascii="宋体" w:hAnsi="宋体" w:eastAsia="宋体" w:cs="Times New Roman"/>
                <w:b w:val="0"/>
                <w:bCs w:val="0"/>
                <w:color w:val="auto"/>
                <w:kern w:val="2"/>
                <w:sz w:val="21"/>
                <w:szCs w:val="21"/>
                <w:highlight w:val="none"/>
              </w:rPr>
              <w:t>★</w:t>
            </w:r>
            <w:r>
              <w:rPr>
                <w:rFonts w:hint="eastAsia" w:ascii="宋体" w:hAnsi="宋体"/>
                <w:color w:val="auto"/>
                <w:szCs w:val="21"/>
                <w:highlight w:val="none"/>
              </w:rPr>
              <w:t>8.侧板: 采用5mm厚度中纤板基材面履高级优质工程亚麻布料一张式组成，安装方式为内嵌式钉扣，使用过程中不容易被抠掉。座椅背面配置水杯架。</w:t>
            </w:r>
          </w:p>
          <w:p w14:paraId="47450968">
            <w:pPr>
              <w:widowControl/>
              <w:jc w:val="left"/>
              <w:textAlignment w:val="center"/>
              <w:rPr>
                <w:rFonts w:hint="eastAsia" w:ascii="宋体" w:hAnsi="宋体"/>
                <w:color w:val="auto"/>
                <w:szCs w:val="21"/>
                <w:highlight w:val="none"/>
              </w:rPr>
            </w:pPr>
            <w:r>
              <w:rPr>
                <w:rFonts w:hint="eastAsia" w:ascii="宋体" w:hAnsi="宋体"/>
                <w:color w:val="auto"/>
                <w:szCs w:val="21"/>
                <w:highlight w:val="none"/>
              </w:rPr>
              <w:t>9.布面料 ：表面覆盖物为高级麻绒专用布料，抗污，防褪色，接触面舒适，触感细腻。可根据客户要求进行特殊3M（防潮、防尘、防污）处理，阻燃等。布面料经过第三方检测机构检测，必须符合GB 18401-2010 《国家纺织产品基本安全技术规范》标准要求</w:t>
            </w:r>
          </w:p>
          <w:p w14:paraId="10DB380D">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10.表面涂装： 金属件通过除油、除锈、中和、磷化、表调等前置处理，经过高温烘干炉烘烤后静电喷涂环氧树脂粉体，再进入高温炉定时使表面粉体流平固化。</w:t>
            </w:r>
            <w:r>
              <w:rPr>
                <w:rFonts w:hint="eastAsia" w:ascii="宋体" w:hAnsi="宋体"/>
                <w:b/>
                <w:bCs/>
                <w:color w:val="auto"/>
                <w:szCs w:val="21"/>
                <w:highlight w:val="none"/>
              </w:rPr>
              <w:t>礼堂椅产品需经第三方抽样检测，必须符合QB/T 2602-2013 《影剧院公共座椅》标准要求</w:t>
            </w:r>
            <w:r>
              <w:rPr>
                <w:rFonts w:hint="eastAsia" w:ascii="宋体" w:hAnsi="宋体"/>
                <w:b/>
                <w:bCs/>
                <w:color w:val="auto"/>
                <w:szCs w:val="21"/>
                <w:highlight w:val="none"/>
                <w:lang w:eastAsia="zh-CN"/>
              </w:rPr>
              <w:t>，</w:t>
            </w:r>
            <w:r>
              <w:rPr>
                <w:rFonts w:hint="eastAsia"/>
                <w:b w:val="0"/>
                <w:bCs/>
                <w:color w:val="auto"/>
                <w:highlight w:val="none"/>
              </w:rPr>
              <w:t>（</w:t>
            </w:r>
            <w:r>
              <w:rPr>
                <w:rFonts w:hint="eastAsia"/>
                <w:b w:val="0"/>
                <w:bCs/>
                <w:color w:val="auto"/>
                <w:highlight w:val="none"/>
                <w:lang w:val="en-US" w:eastAsia="zh-CN"/>
              </w:rPr>
              <w:t>供货时需</w:t>
            </w:r>
            <w:r>
              <w:rPr>
                <w:rFonts w:hint="eastAsia"/>
                <w:b w:val="0"/>
                <w:bCs/>
                <w:color w:val="auto"/>
                <w:highlight w:val="none"/>
              </w:rPr>
              <w:t>提供第三方有资质的检测机构出具的</w:t>
            </w:r>
            <w:r>
              <w:rPr>
                <w:rFonts w:hint="eastAsia"/>
                <w:b w:val="0"/>
                <w:bCs/>
                <w:color w:val="auto"/>
                <w:highlight w:val="none"/>
                <w:lang w:eastAsia="zh-CN"/>
              </w:rPr>
              <w:t>带有CMA</w:t>
            </w:r>
            <w:r>
              <w:rPr>
                <w:rFonts w:hint="eastAsia"/>
                <w:b w:val="0"/>
                <w:bCs/>
                <w:color w:val="auto"/>
                <w:highlight w:val="none"/>
                <w:lang w:val="en-US" w:eastAsia="zh-CN"/>
              </w:rPr>
              <w:t>或CNAS</w:t>
            </w:r>
            <w:r>
              <w:rPr>
                <w:rFonts w:hint="eastAsia"/>
                <w:b w:val="0"/>
                <w:bCs/>
                <w:color w:val="auto"/>
                <w:highlight w:val="none"/>
                <w:lang w:eastAsia="zh-CN"/>
              </w:rPr>
              <w:t>标识的</w:t>
            </w:r>
            <w:r>
              <w:rPr>
                <w:rFonts w:hint="eastAsia"/>
                <w:b w:val="0"/>
                <w:bCs/>
                <w:color w:val="auto"/>
                <w:highlight w:val="none"/>
              </w:rPr>
              <w:t>检测报告复印件）</w:t>
            </w:r>
            <w:r>
              <w:rPr>
                <w:rFonts w:hint="eastAsia"/>
                <w:b w:val="0"/>
                <w:bCs/>
                <w:color w:val="auto"/>
                <w:highlight w:val="none"/>
                <w:lang w:eastAsia="zh-CN"/>
              </w:rPr>
              <w:t>。</w:t>
            </w:r>
          </w:p>
        </w:tc>
        <w:tc>
          <w:tcPr>
            <w:tcW w:w="1639" w:type="dxa"/>
            <w:tcBorders>
              <w:top w:val="single" w:color="auto" w:sz="4" w:space="0"/>
              <w:left w:val="single" w:color="auto" w:sz="4" w:space="0"/>
              <w:right w:val="single" w:color="auto" w:sz="4" w:space="0"/>
            </w:tcBorders>
            <w:vAlign w:val="center"/>
          </w:tcPr>
          <w:p w14:paraId="35B52AD1">
            <w:pPr>
              <w:widowControl/>
              <w:jc w:val="left"/>
              <w:textAlignment w:val="center"/>
              <w:rPr>
                <w:rFonts w:ascii="宋体" w:hAnsi="宋体"/>
                <w:color w:val="auto"/>
                <w:szCs w:val="21"/>
                <w:highlight w:val="none"/>
              </w:rPr>
            </w:pPr>
            <w:r>
              <w:rPr>
                <w:color w:val="auto"/>
                <w:highlight w:val="none"/>
              </w:rPr>
              <w:drawing>
                <wp:inline distT="0" distB="0" distL="0" distR="0">
                  <wp:extent cx="1076325" cy="1414145"/>
                  <wp:effectExtent l="0" t="0" r="9525" b="14605"/>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8" cstate="print"/>
                          <a:srcRect/>
                          <a:stretch>
                            <a:fillRect/>
                          </a:stretch>
                        </pic:blipFill>
                        <pic:spPr>
                          <a:xfrm>
                            <a:off x="0" y="0"/>
                            <a:ext cx="1076325" cy="1414145"/>
                          </a:xfrm>
                          <a:prstGeom prst="rect">
                            <a:avLst/>
                          </a:prstGeom>
                          <a:ln>
                            <a:noFill/>
                          </a:ln>
                        </pic:spPr>
                      </pic:pic>
                    </a:graphicData>
                  </a:graphic>
                </wp:inline>
              </w:drawing>
            </w:r>
          </w:p>
        </w:tc>
      </w:tr>
      <w:tr w14:paraId="63253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426" w:type="dxa"/>
            <w:tcBorders>
              <w:top w:val="single" w:color="auto" w:sz="4" w:space="0"/>
              <w:left w:val="single" w:color="auto" w:sz="4" w:space="0"/>
              <w:right w:val="single" w:color="auto" w:sz="4" w:space="0"/>
            </w:tcBorders>
            <w:vAlign w:val="center"/>
          </w:tcPr>
          <w:p w14:paraId="27E41352">
            <w:pPr>
              <w:widowControl/>
              <w:jc w:val="center"/>
              <w:textAlignment w:val="center"/>
              <w:rPr>
                <w:rFonts w:hint="default" w:ascii="宋体" w:hAnsi="宋体"/>
                <w:color w:val="auto"/>
                <w:szCs w:val="21"/>
                <w:highlight w:val="none"/>
              </w:rPr>
            </w:pPr>
            <w:r>
              <w:rPr>
                <w:rFonts w:hint="default" w:ascii="宋体" w:hAnsi="宋体"/>
                <w:color w:val="auto"/>
                <w:szCs w:val="21"/>
                <w:highlight w:val="none"/>
              </w:rPr>
              <w:t>2</w:t>
            </w:r>
          </w:p>
        </w:tc>
        <w:tc>
          <w:tcPr>
            <w:tcW w:w="1276" w:type="dxa"/>
            <w:tcBorders>
              <w:top w:val="single" w:color="auto" w:sz="4" w:space="0"/>
              <w:left w:val="single" w:color="auto" w:sz="4" w:space="0"/>
              <w:right w:val="single" w:color="auto" w:sz="4" w:space="0"/>
            </w:tcBorders>
            <w:vAlign w:val="center"/>
          </w:tcPr>
          <w:p w14:paraId="6B2E5B70">
            <w:pPr>
              <w:widowControl/>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rPr>
              <w:t>礼堂椅</w:t>
            </w:r>
          </w:p>
        </w:tc>
        <w:tc>
          <w:tcPr>
            <w:tcW w:w="789" w:type="dxa"/>
            <w:gridSpan w:val="2"/>
            <w:tcBorders>
              <w:top w:val="single" w:color="auto" w:sz="4" w:space="0"/>
              <w:left w:val="single" w:color="auto" w:sz="4" w:space="0"/>
              <w:right w:val="single" w:color="auto" w:sz="4" w:space="0"/>
            </w:tcBorders>
            <w:vAlign w:val="center"/>
          </w:tcPr>
          <w:p w14:paraId="0B807FC5">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911" w:type="dxa"/>
            <w:tcBorders>
              <w:top w:val="single" w:color="auto" w:sz="4" w:space="0"/>
              <w:left w:val="single" w:color="auto" w:sz="4" w:space="0"/>
              <w:right w:val="single" w:color="auto" w:sz="4" w:space="0"/>
            </w:tcBorders>
            <w:vAlign w:val="center"/>
          </w:tcPr>
          <w:p w14:paraId="0B8C1A96">
            <w:pPr>
              <w:widowControl/>
              <w:jc w:val="center"/>
              <w:textAlignment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张</w:t>
            </w:r>
          </w:p>
        </w:tc>
        <w:tc>
          <w:tcPr>
            <w:tcW w:w="4903" w:type="dxa"/>
            <w:tcBorders>
              <w:top w:val="single" w:color="auto" w:sz="4" w:space="0"/>
              <w:left w:val="single" w:color="auto" w:sz="4" w:space="0"/>
              <w:right w:val="single" w:color="auto" w:sz="4" w:space="0"/>
            </w:tcBorders>
            <w:vAlign w:val="center"/>
          </w:tcPr>
          <w:p w14:paraId="6967D0C5">
            <w:pPr>
              <w:widowControl/>
              <w:jc w:val="left"/>
              <w:textAlignment w:val="center"/>
              <w:rPr>
                <w:rFonts w:hint="eastAsia" w:eastAsia="宋体"/>
                <w:color w:val="auto"/>
                <w:highlight w:val="none"/>
                <w:lang w:eastAsia="zh-CN"/>
              </w:rPr>
            </w:pPr>
            <w:r>
              <w:rPr>
                <w:rFonts w:hint="eastAsia"/>
                <w:color w:val="auto"/>
                <w:highlight w:val="none"/>
              </w:rPr>
              <w:t xml:space="preserve">礼堂椅规格尺寸：座椅扶手中心距：600MM，背高：1020MM，座高：450MM，座深:480MM </w:t>
            </w:r>
            <w:r>
              <w:rPr>
                <w:rFonts w:hint="eastAsia"/>
                <w:color w:val="auto"/>
                <w:highlight w:val="none"/>
                <w:lang w:eastAsia="zh-CN"/>
              </w:rPr>
              <w:t>。</w:t>
            </w:r>
          </w:p>
          <w:p w14:paraId="3BCBFC01">
            <w:pPr>
              <w:widowControl/>
              <w:jc w:val="left"/>
              <w:textAlignment w:val="center"/>
              <w:rPr>
                <w:rFonts w:hint="eastAsia"/>
                <w:color w:val="auto"/>
                <w:highlight w:val="none"/>
              </w:rPr>
            </w:pPr>
            <w:r>
              <w:rPr>
                <w:rFonts w:hint="eastAsia"/>
                <w:color w:val="auto"/>
                <w:highlight w:val="none"/>
              </w:rPr>
              <w:t>1、站脚: 框架采用≥1.5 mm优质冷轧钢板冲压成型，上框架长400mm，下框架长230mm，宽50mm，总高度360mm外扣式更加美观，稳固，耐用。立柱管采用80mm*40mm*1.5mm,底脚板:采用1.8优质冷轧钢板冲压成型，造型尺寸为长</w:t>
            </w:r>
            <w:r>
              <w:rPr>
                <w:rFonts w:hint="eastAsia" w:ascii="宋体" w:hAnsi="宋体"/>
                <w:color w:val="auto"/>
                <w:szCs w:val="21"/>
                <w:highlight w:val="none"/>
                <w:lang w:eastAsia="zh-CN"/>
              </w:rPr>
              <w:t>（约）</w:t>
            </w:r>
            <w:r>
              <w:rPr>
                <w:rFonts w:hint="eastAsia"/>
                <w:color w:val="auto"/>
                <w:highlight w:val="none"/>
              </w:rPr>
              <w:t>260mm，宽</w:t>
            </w:r>
            <w:r>
              <w:rPr>
                <w:rFonts w:hint="eastAsia" w:ascii="宋体" w:hAnsi="宋体"/>
                <w:color w:val="auto"/>
                <w:szCs w:val="21"/>
                <w:highlight w:val="none"/>
                <w:lang w:eastAsia="zh-CN"/>
              </w:rPr>
              <w:t>（约）</w:t>
            </w:r>
            <w:r>
              <w:rPr>
                <w:rFonts w:hint="eastAsia"/>
                <w:color w:val="auto"/>
                <w:highlight w:val="none"/>
              </w:rPr>
              <w:t>123mm的三角形，打破常规两孔固定采用三孔固定，呈不规则三角形外观，设有前端孔1个，后端2个孔距</w:t>
            </w:r>
            <w:r>
              <w:rPr>
                <w:rFonts w:hint="eastAsia" w:ascii="宋体" w:hAnsi="宋体"/>
                <w:color w:val="auto"/>
                <w:szCs w:val="21"/>
                <w:highlight w:val="none"/>
                <w:lang w:eastAsia="zh-CN"/>
              </w:rPr>
              <w:t>（约）</w:t>
            </w:r>
            <w:r>
              <w:rPr>
                <w:rFonts w:hint="eastAsia"/>
                <w:color w:val="auto"/>
                <w:highlight w:val="none"/>
              </w:rPr>
              <w:t>50mm，前后孔距</w:t>
            </w:r>
            <w:r>
              <w:rPr>
                <w:rFonts w:hint="eastAsia" w:ascii="宋体" w:hAnsi="宋体"/>
                <w:color w:val="auto"/>
                <w:szCs w:val="21"/>
                <w:highlight w:val="none"/>
                <w:lang w:eastAsia="zh-CN"/>
              </w:rPr>
              <w:t>（约）</w:t>
            </w:r>
            <w:r>
              <w:rPr>
                <w:rFonts w:hint="eastAsia"/>
                <w:color w:val="auto"/>
                <w:highlight w:val="none"/>
              </w:rPr>
              <w:t>180mm，共3个地爆螺丝固定孔，更为稳固，底部焊接小酒杯型固定件；采用M8x600mm预埋式拉爆结构安装，牢固耐用所有五金件必须经酸洗、磷化后高温粉末喷涂</w:t>
            </w:r>
            <w:r>
              <w:rPr>
                <w:rFonts w:hint="eastAsia"/>
                <w:color w:val="auto"/>
                <w:highlight w:val="none"/>
                <w:lang w:eastAsia="zh-CN"/>
              </w:rPr>
              <w:t>。</w:t>
            </w:r>
            <w:r>
              <w:rPr>
                <w:rFonts w:hint="eastAsia"/>
                <w:color w:val="auto"/>
                <w:highlight w:val="none"/>
              </w:rPr>
              <w:t xml:space="preserve">                  </w:t>
            </w:r>
          </w:p>
          <w:p w14:paraId="176DF9EB">
            <w:pPr>
              <w:widowControl/>
              <w:jc w:val="left"/>
              <w:textAlignment w:val="center"/>
              <w:rPr>
                <w:rFonts w:hint="eastAsia"/>
                <w:color w:val="auto"/>
                <w:highlight w:val="none"/>
              </w:rPr>
            </w:pPr>
            <w:r>
              <w:rPr>
                <w:rFonts w:hint="eastAsia"/>
                <w:color w:val="auto"/>
                <w:highlight w:val="none"/>
              </w:rPr>
              <w:t>可根据场地坡度调节水平，表面不允许有龟裂，破损，掉漆，明显修补痕迹等，手能触及的地方必须圆滑，不得有锐利的棱角，毛刺。钢板需经第三方抽样检测，钢板经过第三方检测机构检测。</w:t>
            </w:r>
          </w:p>
          <w:p w14:paraId="159FF51C">
            <w:pPr>
              <w:widowControl/>
              <w:jc w:val="left"/>
              <w:textAlignment w:val="center"/>
              <w:rPr>
                <w:rFonts w:hint="eastAsia"/>
                <w:color w:val="auto"/>
                <w:highlight w:val="none"/>
              </w:rPr>
            </w:pPr>
            <w:r>
              <w:rPr>
                <w:rFonts w:hint="eastAsia"/>
                <w:color w:val="auto"/>
                <w:highlight w:val="none"/>
              </w:rPr>
              <w:t>2.扶手面： 采用实木块精制而成型，表面油环保聚氨酯漆，五底三面工艺，长400mm,宽80mm,高25mm,美观典雅,饰面为多种颜色选择的油漆面。木材需经第三方抽样检测，实木块经过第三方检测机构检测，必须符合GB/T 3324-2017 《木家具通用技术条件》、GB/T 16734-1997《中国主要木材名称》、GB/T 18513-2001 《中国主要进口木材名称》、GB/T 29894-2013 《木材鉴别方法通则》标准要求。</w:t>
            </w:r>
          </w:p>
          <w:p w14:paraId="6B86BC25">
            <w:pPr>
              <w:widowControl/>
              <w:jc w:val="left"/>
              <w:textAlignment w:val="center"/>
              <w:rPr>
                <w:rFonts w:hint="eastAsia"/>
                <w:color w:val="auto"/>
                <w:highlight w:val="none"/>
              </w:rPr>
            </w:pPr>
            <w:r>
              <w:rPr>
                <w:rFonts w:hint="eastAsia"/>
                <w:color w:val="auto"/>
                <w:highlight w:val="none"/>
              </w:rPr>
              <w:t xml:space="preserve">3.靠背海绵 ：采用优质冷发泡聚氨酯（PU）经专用精密发泡模具发泡一次成型，海绵密度为40-50KG/m³，椅背根据人体工程学原理，采用流线型设计，外形更高档，且有效缓解长时间保持坐姿而产生的疲劳感; 座海绵：厚度不低于120mm采用优质冷发泡聚氨酯（PU）经专用精密发泡模具发泡一次成型，海绵密度为50-60KG/m³，无毒无味无刺激，久坐不塌陷不变形。海绵经过第三方检测机构检测，必须符合GB/T 10802-2006《通用软质聚醚型聚氨酯泡沫塑料》标准要求。               </w:t>
            </w:r>
          </w:p>
          <w:p w14:paraId="1D80869C">
            <w:pPr>
              <w:widowControl/>
              <w:jc w:val="left"/>
              <w:textAlignment w:val="center"/>
              <w:rPr>
                <w:rFonts w:hint="eastAsia"/>
                <w:color w:val="auto"/>
                <w:highlight w:val="none"/>
              </w:rPr>
            </w:pPr>
            <w:r>
              <w:rPr>
                <w:rFonts w:hint="eastAsia"/>
                <w:color w:val="auto"/>
                <w:highlight w:val="none"/>
              </w:rPr>
              <w:t>4.坐背内板： 采用无甲醛环保胶热压成型，外形成弧形，厚度为：7mm，安全可靠，不易折断。</w:t>
            </w:r>
          </w:p>
          <w:p w14:paraId="7A4E73D4">
            <w:pPr>
              <w:widowControl/>
              <w:jc w:val="left"/>
              <w:textAlignment w:val="center"/>
              <w:rPr>
                <w:rFonts w:hint="eastAsia" w:eastAsia="宋体"/>
                <w:color w:val="auto"/>
                <w:highlight w:val="none"/>
                <w:lang w:eastAsia="zh-CN"/>
              </w:rPr>
            </w:pPr>
            <w:r>
              <w:rPr>
                <w:rFonts w:hint="eastAsia"/>
                <w:color w:val="auto"/>
                <w:highlight w:val="none"/>
              </w:rPr>
              <w:t>5.座背外板：  采用15mM多层板精磨而成承托力强，抗变形，背外板采用优质高密度硬木多层板经冷轧钢板模压一次成型;坐板:是由木制多层板高温覆膜吸塑一次成型，厚度15mm。造型优美、高雅，表面（包括立面）用PVC真空覆膜技术经高温高压吸覆于座板上，具有防火、防水、环保等优点，配有至少121个蜂窝式吸音孔能在0.1秒内消除回音，保证了座椅良好吸音效果</w:t>
            </w:r>
            <w:r>
              <w:rPr>
                <w:rFonts w:hint="eastAsia"/>
                <w:color w:val="auto"/>
                <w:highlight w:val="none"/>
                <w:lang w:eastAsia="zh-CN"/>
              </w:rPr>
              <w:t>。</w:t>
            </w:r>
          </w:p>
          <w:p w14:paraId="55248FA3">
            <w:pPr>
              <w:widowControl/>
              <w:jc w:val="left"/>
              <w:textAlignment w:val="center"/>
              <w:rPr>
                <w:rFonts w:hint="eastAsia"/>
                <w:color w:val="auto"/>
                <w:highlight w:val="none"/>
              </w:rPr>
            </w:pPr>
            <w:r>
              <w:rPr>
                <w:rFonts w:hint="eastAsia"/>
                <w:color w:val="auto"/>
                <w:highlight w:val="none"/>
              </w:rPr>
              <w:t xml:space="preserve">6.座位挂钩/座包框架： 采用加强型连接结构，在两背角码间装有预留孔位，能适合多种场地安装，座框架，采用优质冷轧刚厚度1.5mm经模具冲压焊接组合成型，框架两边采用优质5mm冷轧钢片，耳顶采用穿透式T型角码直径14mm,消音垫：直接在耳顶处加上消音圈，摒弃座包受外力作用时与背相碰撞时受力点在海绵上，而更加耐用、牢固、更舒适、牢固包采用阻尼回复机构，座包采用阻尼回复机构，无噪音慢回位，扭簧105*☉37*☉12圈扭力，确保扭力永久不失效。另设计配置15级扭力调节器，可调节座包回位速度快慢。                    </w:t>
            </w:r>
          </w:p>
          <w:p w14:paraId="16813B66">
            <w:pPr>
              <w:widowControl/>
              <w:jc w:val="left"/>
              <w:textAlignment w:val="center"/>
              <w:rPr>
                <w:rFonts w:hint="eastAsia"/>
                <w:color w:val="auto"/>
                <w:highlight w:val="none"/>
              </w:rPr>
            </w:pPr>
            <w:r>
              <w:rPr>
                <w:rFonts w:hint="eastAsia"/>
                <w:color w:val="auto"/>
                <w:highlight w:val="none"/>
              </w:rPr>
              <w:t xml:space="preserve">7.阻尼器选用优质2.2级标准.安全可调节快慢回位轻盈，无杂声，加载部位无明显变形，翻转灵活自如，零故障。                       </w:t>
            </w:r>
          </w:p>
          <w:p w14:paraId="11923FD3">
            <w:pPr>
              <w:widowControl/>
              <w:jc w:val="left"/>
              <w:textAlignment w:val="center"/>
              <w:rPr>
                <w:rFonts w:hint="eastAsia"/>
                <w:color w:val="auto"/>
                <w:highlight w:val="none"/>
              </w:rPr>
            </w:pPr>
            <w:r>
              <w:rPr>
                <w:rFonts w:hint="eastAsia"/>
                <w:color w:val="auto"/>
                <w:highlight w:val="none"/>
              </w:rPr>
              <w:t>8.侧板: 采用5mm厚度中纤板基材面履高级优质工程亚麻布料一张式组成，安装方式为内嵌式钉扣，使用过程中不容易被抠掉。座椅背面配置水杯架。</w:t>
            </w:r>
          </w:p>
          <w:p w14:paraId="46AE73CD">
            <w:pPr>
              <w:widowControl/>
              <w:jc w:val="left"/>
              <w:textAlignment w:val="center"/>
              <w:rPr>
                <w:rFonts w:hint="eastAsia" w:eastAsia="宋体"/>
                <w:color w:val="auto"/>
                <w:highlight w:val="none"/>
                <w:lang w:eastAsia="zh-CN"/>
              </w:rPr>
            </w:pPr>
            <w:r>
              <w:rPr>
                <w:rFonts w:hint="eastAsia"/>
                <w:color w:val="auto"/>
                <w:highlight w:val="none"/>
              </w:rPr>
              <w:t>9.布面料 ：表面覆盖物为高级麻绒专用布料，抗污，防褪色，接触面舒适，触感细腻。可根据客户要求进行特殊3M（防潮、防尘、防污）处理，阻燃等。布面料经过第三方检测机构检测，必须符合GB 18401-2010 《国家纺织产品基本安全技术规范》、参照QB/T 2602-2013 《影剧院公共座椅》标准要求</w:t>
            </w:r>
            <w:r>
              <w:rPr>
                <w:rFonts w:hint="eastAsia"/>
                <w:color w:val="auto"/>
                <w:highlight w:val="none"/>
                <w:lang w:eastAsia="zh-CN"/>
              </w:rPr>
              <w:t>。</w:t>
            </w:r>
          </w:p>
          <w:p w14:paraId="6EDE9A60">
            <w:pPr>
              <w:widowControl/>
              <w:jc w:val="left"/>
              <w:textAlignment w:val="center"/>
              <w:rPr>
                <w:rFonts w:hint="eastAsia" w:eastAsia="宋体"/>
                <w:color w:val="auto"/>
                <w:highlight w:val="none"/>
                <w:lang w:eastAsia="zh-CN"/>
              </w:rPr>
            </w:pPr>
            <w:r>
              <w:rPr>
                <w:rFonts w:hint="eastAsia"/>
                <w:color w:val="auto"/>
                <w:highlight w:val="none"/>
              </w:rPr>
              <w:t>10.表面涂装： 金属件通过除油、除锈、中和、磷化、表调等前置处理，经过高温烘干炉烘烤后静电喷涂环氧树脂粉体，再进入高温炉定时使表面粉体流平固化。礼堂椅产品需经第三方抽样检测，必须符合QB/T 2602-2013 《影剧院公共座椅》标准要求，检测结果必须符合至少以下4项基本检测要求： ①含水率：木材含水率应为8%～12%（产品所在地区年平均木材平衡含水率+1%）； ②用料要求。座面软质聚氨酯泡沫材料密度≥60kg/m³，其他部位软质聚氨酯泡沫材料密度≥45kg/m³；软质聚氨酯泡沫材料回弹性≥55%；③软包件纺织面料耐干摩擦色牢度≥4级；④甲醛释放量≤0.08mg/㎡h。</w:t>
            </w:r>
          </w:p>
        </w:tc>
        <w:tc>
          <w:tcPr>
            <w:tcW w:w="1639" w:type="dxa"/>
            <w:tcBorders>
              <w:top w:val="single" w:color="auto" w:sz="4" w:space="0"/>
              <w:left w:val="single" w:color="auto" w:sz="4" w:space="0"/>
              <w:right w:val="single" w:color="auto" w:sz="4" w:space="0"/>
            </w:tcBorders>
            <w:vAlign w:val="center"/>
          </w:tcPr>
          <w:p w14:paraId="0753D7DB">
            <w:pPr>
              <w:widowControl/>
              <w:jc w:val="both"/>
              <w:textAlignment w:val="center"/>
              <w:rPr>
                <w:rFonts w:ascii="宋体" w:hAnsi="宋体"/>
                <w:color w:val="auto"/>
                <w:szCs w:val="21"/>
                <w:highlight w:val="none"/>
              </w:rPr>
            </w:pPr>
            <w:r>
              <w:rPr>
                <w:color w:val="auto"/>
                <w:highlight w:val="none"/>
              </w:rPr>
              <w:drawing>
                <wp:inline distT="0" distB="0" distL="0" distR="0">
                  <wp:extent cx="1076325" cy="1414145"/>
                  <wp:effectExtent l="0" t="0" r="9525" b="14605"/>
                  <wp:docPr id="1027" name="图片 1"/>
                  <wp:cNvGraphicFramePr/>
                  <a:graphic xmlns:a="http://schemas.openxmlformats.org/drawingml/2006/main">
                    <a:graphicData uri="http://schemas.openxmlformats.org/drawingml/2006/picture">
                      <pic:pic xmlns:pic="http://schemas.openxmlformats.org/drawingml/2006/picture">
                        <pic:nvPicPr>
                          <pic:cNvPr id="1027" name="图片 1"/>
                          <pic:cNvPicPr/>
                        </pic:nvPicPr>
                        <pic:blipFill>
                          <a:blip r:embed="rId8" cstate="print"/>
                          <a:srcRect/>
                          <a:stretch>
                            <a:fillRect/>
                          </a:stretch>
                        </pic:blipFill>
                        <pic:spPr>
                          <a:xfrm>
                            <a:off x="0" y="0"/>
                            <a:ext cx="1076325" cy="1414145"/>
                          </a:xfrm>
                          <a:prstGeom prst="rect">
                            <a:avLst/>
                          </a:prstGeom>
                          <a:ln>
                            <a:noFill/>
                          </a:ln>
                        </pic:spPr>
                      </pic:pic>
                    </a:graphicData>
                  </a:graphic>
                </wp:inline>
              </w:drawing>
            </w:r>
          </w:p>
        </w:tc>
      </w:tr>
      <w:tr w14:paraId="245A40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426" w:type="dxa"/>
            <w:tcBorders>
              <w:top w:val="single" w:color="auto" w:sz="4" w:space="0"/>
              <w:left w:val="single" w:color="auto" w:sz="4" w:space="0"/>
              <w:right w:val="single" w:color="auto" w:sz="4" w:space="0"/>
            </w:tcBorders>
            <w:vAlign w:val="center"/>
          </w:tcPr>
          <w:p w14:paraId="238577C3">
            <w:pPr>
              <w:widowControl/>
              <w:jc w:val="center"/>
              <w:textAlignment w:val="center"/>
              <w:rPr>
                <w:rFonts w:hint="default" w:ascii="宋体" w:hAnsi="宋体"/>
                <w:color w:val="auto"/>
                <w:szCs w:val="21"/>
                <w:highlight w:val="none"/>
              </w:rPr>
            </w:pPr>
            <w:r>
              <w:rPr>
                <w:rFonts w:hint="default" w:ascii="宋体" w:hAnsi="宋体"/>
                <w:color w:val="auto"/>
                <w:szCs w:val="21"/>
                <w:highlight w:val="none"/>
              </w:rPr>
              <w:t>3</w:t>
            </w:r>
          </w:p>
        </w:tc>
        <w:tc>
          <w:tcPr>
            <w:tcW w:w="1276" w:type="dxa"/>
            <w:tcBorders>
              <w:top w:val="single" w:color="auto" w:sz="4" w:space="0"/>
              <w:left w:val="single" w:color="auto" w:sz="4" w:space="0"/>
              <w:right w:val="single" w:color="auto" w:sz="4" w:space="0"/>
            </w:tcBorders>
            <w:vAlign w:val="center"/>
          </w:tcPr>
          <w:p w14:paraId="405B52BF">
            <w:pPr>
              <w:widowControl/>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rPr>
              <w:t>舞台会议椅</w:t>
            </w:r>
          </w:p>
        </w:tc>
        <w:tc>
          <w:tcPr>
            <w:tcW w:w="789" w:type="dxa"/>
            <w:gridSpan w:val="2"/>
            <w:tcBorders>
              <w:top w:val="single" w:color="auto" w:sz="4" w:space="0"/>
              <w:left w:val="single" w:color="auto" w:sz="4" w:space="0"/>
              <w:right w:val="single" w:color="auto" w:sz="4" w:space="0"/>
            </w:tcBorders>
            <w:vAlign w:val="center"/>
          </w:tcPr>
          <w:p w14:paraId="5C409B22">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72</w:t>
            </w:r>
          </w:p>
        </w:tc>
        <w:tc>
          <w:tcPr>
            <w:tcW w:w="911" w:type="dxa"/>
            <w:tcBorders>
              <w:top w:val="single" w:color="auto" w:sz="4" w:space="0"/>
              <w:left w:val="single" w:color="auto" w:sz="4" w:space="0"/>
              <w:right w:val="single" w:color="auto" w:sz="4" w:space="0"/>
            </w:tcBorders>
            <w:vAlign w:val="center"/>
          </w:tcPr>
          <w:p w14:paraId="1E26721C">
            <w:pPr>
              <w:widowControl/>
              <w:jc w:val="center"/>
              <w:textAlignment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张</w:t>
            </w:r>
          </w:p>
        </w:tc>
        <w:tc>
          <w:tcPr>
            <w:tcW w:w="4903" w:type="dxa"/>
            <w:tcBorders>
              <w:top w:val="single" w:color="auto" w:sz="4" w:space="0"/>
              <w:left w:val="single" w:color="auto" w:sz="4" w:space="0"/>
              <w:right w:val="single" w:color="auto" w:sz="4" w:space="0"/>
            </w:tcBorders>
            <w:vAlign w:val="center"/>
          </w:tcPr>
          <w:p w14:paraId="0570F696">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规格：约620×680×1080mm</w:t>
            </w:r>
            <w:r>
              <w:rPr>
                <w:rFonts w:hint="eastAsia" w:ascii="宋体" w:hAnsi="宋体"/>
                <w:color w:val="auto"/>
                <w:szCs w:val="21"/>
                <w:highlight w:val="none"/>
                <w:lang w:eastAsia="zh-CN"/>
              </w:rPr>
              <w:t>。</w:t>
            </w:r>
          </w:p>
          <w:p w14:paraId="47E59ECB">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1.面料：采用优质牛皮面料，防磨防污性好</w:t>
            </w:r>
            <w:r>
              <w:rPr>
                <w:rFonts w:hint="eastAsia" w:ascii="宋体" w:hAnsi="宋体"/>
                <w:color w:val="auto"/>
                <w:szCs w:val="21"/>
                <w:highlight w:val="none"/>
                <w:lang w:eastAsia="zh-CN"/>
              </w:rPr>
              <w:t>；</w:t>
            </w:r>
          </w:p>
          <w:p w14:paraId="09A5D224">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2.辅料：坐垫及靠背采用≥50#一次成型海绵，海绵回弹率≥35%，干热老化后拉伸强度≥55kPa，湿热老化后拉伸强度≥55kPa，压陷性能必须符合GB/T10802-2006《通用软质聚醚型聚氨酯泡沫塑料》标准的要求</w:t>
            </w:r>
            <w:r>
              <w:rPr>
                <w:rFonts w:hint="eastAsia" w:ascii="宋体" w:hAnsi="宋体"/>
                <w:color w:val="auto"/>
                <w:szCs w:val="21"/>
                <w:highlight w:val="none"/>
                <w:lang w:eastAsia="zh-CN"/>
              </w:rPr>
              <w:t>；</w:t>
            </w:r>
          </w:p>
          <w:p w14:paraId="0C52684F">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3.坐垫靠背内板：使用多层板</w:t>
            </w:r>
            <w:r>
              <w:rPr>
                <w:rFonts w:hint="eastAsia" w:ascii="宋体" w:hAnsi="宋体"/>
                <w:color w:val="auto"/>
                <w:szCs w:val="21"/>
                <w:highlight w:val="none"/>
                <w:lang w:eastAsia="zh-CN"/>
              </w:rPr>
              <w:t>；</w:t>
            </w:r>
          </w:p>
          <w:p w14:paraId="1B334310">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4.椅架：橡胶木实木椅架</w:t>
            </w:r>
            <w:r>
              <w:rPr>
                <w:rFonts w:hint="eastAsia" w:ascii="宋体" w:hAnsi="宋体"/>
                <w:color w:val="auto"/>
                <w:szCs w:val="21"/>
                <w:highlight w:val="none"/>
                <w:lang w:eastAsia="zh-CN"/>
              </w:rPr>
              <w:t>；</w:t>
            </w:r>
          </w:p>
          <w:p w14:paraId="42A9071C">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5.油漆：采用环保型PU聚酯漆</w:t>
            </w:r>
            <w:r>
              <w:rPr>
                <w:rFonts w:hint="eastAsia" w:ascii="宋体" w:hAnsi="宋体"/>
                <w:color w:val="auto"/>
                <w:szCs w:val="21"/>
                <w:highlight w:val="none"/>
                <w:lang w:eastAsia="zh-CN"/>
              </w:rPr>
              <w:t>；</w:t>
            </w:r>
          </w:p>
          <w:p w14:paraId="73873977">
            <w:pPr>
              <w:widowControl/>
              <w:jc w:val="left"/>
              <w:textAlignment w:val="center"/>
              <w:rPr>
                <w:rFonts w:ascii="宋体" w:hAnsi="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color w:val="auto"/>
                <w:szCs w:val="21"/>
                <w:highlight w:val="none"/>
              </w:rPr>
              <w:t>6.会议椅</w:t>
            </w:r>
            <w:r>
              <w:rPr>
                <w:rFonts w:hint="eastAsia" w:ascii="宋体" w:hAnsi="宋体"/>
                <w:color w:val="auto"/>
                <w:szCs w:val="21"/>
                <w:highlight w:val="none"/>
                <w:lang w:eastAsia="zh-CN"/>
              </w:rPr>
              <w:t>：</w:t>
            </w:r>
            <w:r>
              <w:rPr>
                <w:rFonts w:hint="eastAsia" w:ascii="宋体" w:hAnsi="宋体"/>
                <w:color w:val="auto"/>
                <w:szCs w:val="21"/>
                <w:highlight w:val="none"/>
              </w:rPr>
              <w:t>阻燃性、甲醛释放量、总挥发有机化合物（TVOC）必须符合GB/T35607-2017绿色产品评价家具、GB17927.2-2011软体家具床垫和沙发抗引燃特性的评定第2部分:模拟火柴火焰等标准要求。</w:t>
            </w:r>
          </w:p>
        </w:tc>
        <w:tc>
          <w:tcPr>
            <w:tcW w:w="1639" w:type="dxa"/>
            <w:tcBorders>
              <w:top w:val="single" w:color="auto" w:sz="4" w:space="0"/>
              <w:left w:val="single" w:color="auto" w:sz="4" w:space="0"/>
              <w:right w:val="single" w:color="auto" w:sz="4" w:space="0"/>
            </w:tcBorders>
            <w:vAlign w:val="center"/>
          </w:tcPr>
          <w:p w14:paraId="63EE13BA">
            <w:pPr>
              <w:widowControl/>
              <w:jc w:val="left"/>
              <w:textAlignment w:val="center"/>
              <w:rPr>
                <w:rFonts w:ascii="宋体" w:hAnsi="宋体"/>
                <w:color w:val="auto"/>
                <w:szCs w:val="21"/>
                <w:highlight w:val="none"/>
              </w:rPr>
            </w:pPr>
            <w:r>
              <w:rPr>
                <w:color w:val="auto"/>
                <w:highlight w:val="none"/>
              </w:rPr>
              <w:drawing>
                <wp:inline distT="0" distB="0" distL="0" distR="0">
                  <wp:extent cx="913130" cy="1105535"/>
                  <wp:effectExtent l="0" t="0" r="1270" b="18415"/>
                  <wp:docPr id="1028" name="图片 4"/>
                  <wp:cNvGraphicFramePr/>
                  <a:graphic xmlns:a="http://schemas.openxmlformats.org/drawingml/2006/main">
                    <a:graphicData uri="http://schemas.openxmlformats.org/drawingml/2006/picture">
                      <pic:pic xmlns:pic="http://schemas.openxmlformats.org/drawingml/2006/picture">
                        <pic:nvPicPr>
                          <pic:cNvPr id="1028" name="图片 4"/>
                          <pic:cNvPicPr/>
                        </pic:nvPicPr>
                        <pic:blipFill>
                          <a:blip r:embed="rId9" cstate="print"/>
                          <a:srcRect/>
                          <a:stretch>
                            <a:fillRect/>
                          </a:stretch>
                        </pic:blipFill>
                        <pic:spPr>
                          <a:xfrm>
                            <a:off x="0" y="0"/>
                            <a:ext cx="913764" cy="1105535"/>
                          </a:xfrm>
                          <a:prstGeom prst="rect">
                            <a:avLst/>
                          </a:prstGeom>
                          <a:ln>
                            <a:noFill/>
                          </a:ln>
                        </pic:spPr>
                      </pic:pic>
                    </a:graphicData>
                  </a:graphic>
                </wp:inline>
              </w:drawing>
            </w:r>
          </w:p>
        </w:tc>
      </w:tr>
      <w:tr w14:paraId="65D8A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426" w:type="dxa"/>
            <w:tcBorders>
              <w:top w:val="single" w:color="auto" w:sz="4" w:space="0"/>
              <w:left w:val="single" w:color="auto" w:sz="4" w:space="0"/>
              <w:right w:val="single" w:color="auto" w:sz="4" w:space="0"/>
            </w:tcBorders>
            <w:vAlign w:val="center"/>
          </w:tcPr>
          <w:p w14:paraId="6EE287F5">
            <w:pPr>
              <w:widowControl/>
              <w:jc w:val="center"/>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1276" w:type="dxa"/>
            <w:tcBorders>
              <w:top w:val="single" w:color="auto" w:sz="4" w:space="0"/>
              <w:left w:val="single" w:color="auto" w:sz="4" w:space="0"/>
              <w:right w:val="single" w:color="auto" w:sz="4" w:space="0"/>
            </w:tcBorders>
            <w:vAlign w:val="center"/>
          </w:tcPr>
          <w:p w14:paraId="6CD58B88">
            <w:pPr>
              <w:widowControl/>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rPr>
              <w:t>舞台会议桌</w:t>
            </w:r>
          </w:p>
        </w:tc>
        <w:tc>
          <w:tcPr>
            <w:tcW w:w="789" w:type="dxa"/>
            <w:gridSpan w:val="2"/>
            <w:tcBorders>
              <w:top w:val="single" w:color="auto" w:sz="4" w:space="0"/>
              <w:left w:val="single" w:color="auto" w:sz="4" w:space="0"/>
              <w:right w:val="single" w:color="auto" w:sz="4" w:space="0"/>
            </w:tcBorders>
            <w:vAlign w:val="center"/>
          </w:tcPr>
          <w:p w14:paraId="00589E8A">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911" w:type="dxa"/>
            <w:tcBorders>
              <w:top w:val="single" w:color="auto" w:sz="4" w:space="0"/>
              <w:left w:val="single" w:color="auto" w:sz="4" w:space="0"/>
              <w:right w:val="single" w:color="auto" w:sz="4" w:space="0"/>
            </w:tcBorders>
            <w:vAlign w:val="center"/>
          </w:tcPr>
          <w:p w14:paraId="2BB2C523">
            <w:pPr>
              <w:widowControl/>
              <w:jc w:val="center"/>
              <w:textAlignment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张</w:t>
            </w:r>
          </w:p>
        </w:tc>
        <w:tc>
          <w:tcPr>
            <w:tcW w:w="4903" w:type="dxa"/>
            <w:tcBorders>
              <w:top w:val="single" w:color="auto" w:sz="4" w:space="0"/>
              <w:left w:val="single" w:color="auto" w:sz="4" w:space="0"/>
              <w:right w:val="single" w:color="auto" w:sz="4" w:space="0"/>
            </w:tcBorders>
            <w:vAlign w:val="center"/>
          </w:tcPr>
          <w:p w14:paraId="74659664">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 xml:space="preserve">规格：1400×600×760mm </w:t>
            </w:r>
            <w:r>
              <w:rPr>
                <w:rFonts w:hint="eastAsia" w:ascii="宋体" w:hAnsi="宋体"/>
                <w:color w:val="auto"/>
                <w:szCs w:val="21"/>
                <w:highlight w:val="none"/>
                <w:lang w:eastAsia="zh-CN"/>
              </w:rPr>
              <w:t>。</w:t>
            </w:r>
          </w:p>
          <w:p w14:paraId="3F60BE18">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1.基材：采用E0级中密度纤维板，板材苯、甲苯、二甲苯有害物质必须符合GB/T35601-2017《绿色产品评价人造板和木质地板》标准要求</w:t>
            </w:r>
            <w:r>
              <w:rPr>
                <w:rFonts w:hint="eastAsia" w:ascii="宋体" w:hAnsi="宋体"/>
                <w:color w:val="auto"/>
                <w:szCs w:val="21"/>
                <w:highlight w:val="none"/>
                <w:lang w:eastAsia="zh-CN"/>
              </w:rPr>
              <w:t>；</w:t>
            </w:r>
          </w:p>
          <w:p w14:paraId="506234EC">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2.木皮饰面：采购0.6mm厚胡桃木皮</w:t>
            </w:r>
            <w:r>
              <w:rPr>
                <w:rFonts w:hint="eastAsia" w:ascii="宋体" w:hAnsi="宋体"/>
                <w:color w:val="auto"/>
                <w:szCs w:val="21"/>
                <w:highlight w:val="none"/>
                <w:lang w:eastAsia="zh-CN"/>
              </w:rPr>
              <w:t>；</w:t>
            </w:r>
          </w:p>
          <w:p w14:paraId="41810A0B">
            <w:pPr>
              <w:widowControl/>
              <w:jc w:val="left"/>
              <w:textAlignment w:val="center"/>
              <w:rPr>
                <w:rFonts w:hint="eastAsia" w:ascii="宋体" w:hAnsi="宋体" w:eastAsia="宋体"/>
                <w:color w:val="auto"/>
                <w:szCs w:val="21"/>
                <w:highlight w:val="none"/>
                <w:lang w:eastAsia="zh-CN"/>
              </w:rPr>
            </w:pPr>
            <w:r>
              <w:rPr>
                <w:rFonts w:hint="eastAsia" w:ascii="宋体" w:hAnsi="宋体" w:eastAsia="宋体" w:cs="宋体"/>
                <w:color w:val="auto"/>
                <w:szCs w:val="21"/>
                <w:highlight w:val="none"/>
                <w:lang w:val="en-US" w:eastAsia="zh-CN"/>
              </w:rPr>
              <w:t>▲</w:t>
            </w:r>
            <w:r>
              <w:rPr>
                <w:rFonts w:hint="eastAsia" w:ascii="宋体" w:hAnsi="宋体"/>
                <w:color w:val="auto"/>
                <w:szCs w:val="21"/>
                <w:highlight w:val="none"/>
              </w:rPr>
              <w:t>3.油漆：采用环保型PU聚酯漆，底漆和面漆的乙二醇醚及醚酯总和含量;多环芳烃总和含量:苯含量;卤代烃总和含量必须符合GB 18581-2020《木器涂料中有害物质限量》标准</w:t>
            </w:r>
            <w:r>
              <w:rPr>
                <w:rFonts w:hint="eastAsia" w:ascii="宋体" w:hAnsi="宋体"/>
                <w:color w:val="auto"/>
                <w:szCs w:val="21"/>
                <w:highlight w:val="none"/>
                <w:lang w:eastAsia="zh-CN"/>
              </w:rPr>
              <w:t>；</w:t>
            </w:r>
          </w:p>
          <w:p w14:paraId="3037F2C2">
            <w:pPr>
              <w:widowControl/>
              <w:jc w:val="left"/>
              <w:textAlignment w:val="center"/>
              <w:rPr>
                <w:rFonts w:ascii="宋体" w:hAnsi="宋体"/>
                <w:color w:val="auto"/>
                <w:szCs w:val="21"/>
                <w:highlight w:val="none"/>
              </w:rPr>
            </w:pPr>
            <w:r>
              <w:rPr>
                <w:rFonts w:hint="eastAsia" w:ascii="宋体" w:hAnsi="宋体"/>
                <w:color w:val="auto"/>
                <w:szCs w:val="21"/>
                <w:highlight w:val="none"/>
              </w:rPr>
              <w:t>4.五金配件：采用优质三合一连接件。</w:t>
            </w:r>
          </w:p>
        </w:tc>
        <w:tc>
          <w:tcPr>
            <w:tcW w:w="1639" w:type="dxa"/>
            <w:tcBorders>
              <w:top w:val="single" w:color="auto" w:sz="4" w:space="0"/>
              <w:left w:val="single" w:color="auto" w:sz="4" w:space="0"/>
              <w:right w:val="single" w:color="auto" w:sz="4" w:space="0"/>
            </w:tcBorders>
            <w:vAlign w:val="center"/>
          </w:tcPr>
          <w:p w14:paraId="7A5636B1">
            <w:pPr>
              <w:widowControl/>
              <w:jc w:val="left"/>
              <w:textAlignment w:val="center"/>
              <w:rPr>
                <w:rFonts w:ascii="宋体" w:hAnsi="宋体"/>
                <w:color w:val="auto"/>
                <w:szCs w:val="21"/>
                <w:highlight w:val="none"/>
              </w:rPr>
            </w:pPr>
            <w:r>
              <w:rPr>
                <w:color w:val="auto"/>
                <w:highlight w:val="none"/>
              </w:rPr>
              <w:drawing>
                <wp:inline distT="0" distB="0" distL="0" distR="0">
                  <wp:extent cx="1004570" cy="835025"/>
                  <wp:effectExtent l="0" t="0" r="5080" b="3175"/>
                  <wp:docPr id="1029" name="图片 40" descr="700df3669e419f8e7e9def37a590699"/>
                  <wp:cNvGraphicFramePr/>
                  <a:graphic xmlns:a="http://schemas.openxmlformats.org/drawingml/2006/main">
                    <a:graphicData uri="http://schemas.openxmlformats.org/drawingml/2006/picture">
                      <pic:pic xmlns:pic="http://schemas.openxmlformats.org/drawingml/2006/picture">
                        <pic:nvPicPr>
                          <pic:cNvPr id="1029" name="图片 40" descr="700df3669e419f8e7e9def37a590699"/>
                          <pic:cNvPicPr/>
                        </pic:nvPicPr>
                        <pic:blipFill>
                          <a:blip r:embed="rId10" cstate="print"/>
                          <a:srcRect/>
                          <a:stretch>
                            <a:fillRect/>
                          </a:stretch>
                        </pic:blipFill>
                        <pic:spPr>
                          <a:xfrm>
                            <a:off x="0" y="0"/>
                            <a:ext cx="1005204" cy="835025"/>
                          </a:xfrm>
                          <a:prstGeom prst="rect">
                            <a:avLst/>
                          </a:prstGeom>
                          <a:ln>
                            <a:noFill/>
                          </a:ln>
                        </pic:spPr>
                      </pic:pic>
                    </a:graphicData>
                  </a:graphic>
                </wp:inline>
              </w:drawing>
            </w:r>
          </w:p>
        </w:tc>
      </w:tr>
      <w:tr w14:paraId="7AED3B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426" w:type="dxa"/>
            <w:tcBorders>
              <w:top w:val="single" w:color="auto" w:sz="4" w:space="0"/>
              <w:left w:val="single" w:color="auto" w:sz="4" w:space="0"/>
              <w:right w:val="single" w:color="auto" w:sz="4" w:space="0"/>
            </w:tcBorders>
            <w:vAlign w:val="center"/>
          </w:tcPr>
          <w:p w14:paraId="3A422E61">
            <w:pPr>
              <w:widowControl/>
              <w:jc w:val="center"/>
              <w:textAlignment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5</w:t>
            </w:r>
          </w:p>
        </w:tc>
        <w:tc>
          <w:tcPr>
            <w:tcW w:w="1276" w:type="dxa"/>
            <w:tcBorders>
              <w:top w:val="single" w:color="auto" w:sz="4" w:space="0"/>
              <w:left w:val="single" w:color="auto" w:sz="4" w:space="0"/>
              <w:right w:val="single" w:color="auto" w:sz="4" w:space="0"/>
            </w:tcBorders>
            <w:vAlign w:val="center"/>
          </w:tcPr>
          <w:p w14:paraId="22EEABD1">
            <w:pPr>
              <w:widowControl/>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rPr>
              <w:t>舞台会议桌</w:t>
            </w:r>
          </w:p>
        </w:tc>
        <w:tc>
          <w:tcPr>
            <w:tcW w:w="789" w:type="dxa"/>
            <w:gridSpan w:val="2"/>
            <w:tcBorders>
              <w:top w:val="single" w:color="auto" w:sz="4" w:space="0"/>
              <w:left w:val="single" w:color="auto" w:sz="4" w:space="0"/>
              <w:right w:val="single" w:color="auto" w:sz="4" w:space="0"/>
            </w:tcBorders>
            <w:vAlign w:val="center"/>
          </w:tcPr>
          <w:p w14:paraId="1F7BA561">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911" w:type="dxa"/>
            <w:tcBorders>
              <w:top w:val="single" w:color="auto" w:sz="4" w:space="0"/>
              <w:left w:val="single" w:color="auto" w:sz="4" w:space="0"/>
              <w:right w:val="single" w:color="auto" w:sz="4" w:space="0"/>
            </w:tcBorders>
            <w:vAlign w:val="center"/>
          </w:tcPr>
          <w:p w14:paraId="58F510BB">
            <w:pPr>
              <w:widowControl/>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rPr>
              <w:t>张</w:t>
            </w:r>
          </w:p>
        </w:tc>
        <w:tc>
          <w:tcPr>
            <w:tcW w:w="4903" w:type="dxa"/>
            <w:tcBorders>
              <w:top w:val="single" w:color="auto" w:sz="4" w:space="0"/>
              <w:left w:val="single" w:color="auto" w:sz="4" w:space="0"/>
              <w:right w:val="single" w:color="auto" w:sz="4" w:space="0"/>
            </w:tcBorders>
            <w:vAlign w:val="center"/>
          </w:tcPr>
          <w:p w14:paraId="21781447">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 xml:space="preserve">规格：2100×600×760mm </w:t>
            </w:r>
            <w:r>
              <w:rPr>
                <w:rFonts w:hint="eastAsia" w:ascii="宋体" w:hAnsi="宋体"/>
                <w:color w:val="auto"/>
                <w:szCs w:val="21"/>
                <w:highlight w:val="none"/>
                <w:lang w:eastAsia="zh-CN"/>
              </w:rPr>
              <w:t>。</w:t>
            </w:r>
          </w:p>
          <w:p w14:paraId="7698643F">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1.基材：采用E0级中密度纤维板，板材苯、甲苯、二甲苯有害物质符合GB/T35601-2017《绿色产品评价人造板和木质地板》标准要求</w:t>
            </w:r>
            <w:r>
              <w:rPr>
                <w:rFonts w:hint="eastAsia" w:ascii="宋体" w:hAnsi="宋体"/>
                <w:color w:val="auto"/>
                <w:szCs w:val="21"/>
                <w:highlight w:val="none"/>
                <w:lang w:eastAsia="zh-CN"/>
              </w:rPr>
              <w:t>；</w:t>
            </w:r>
          </w:p>
          <w:p w14:paraId="1A3D6151">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2.木皮饰面：采购0.6mm厚胡桃木皮</w:t>
            </w:r>
            <w:r>
              <w:rPr>
                <w:rFonts w:hint="eastAsia" w:ascii="宋体" w:hAnsi="宋体"/>
                <w:color w:val="auto"/>
                <w:szCs w:val="21"/>
                <w:highlight w:val="none"/>
                <w:lang w:eastAsia="zh-CN"/>
              </w:rPr>
              <w:t>；</w:t>
            </w:r>
          </w:p>
          <w:p w14:paraId="7BEA359D">
            <w:pPr>
              <w:widowControl/>
              <w:jc w:val="left"/>
              <w:textAlignment w:val="center"/>
              <w:rPr>
                <w:rFonts w:hint="eastAsia" w:ascii="宋体" w:hAnsi="宋体" w:eastAsia="宋体"/>
                <w:color w:val="auto"/>
                <w:szCs w:val="21"/>
                <w:highlight w:val="none"/>
                <w:lang w:eastAsia="zh-CN"/>
              </w:rPr>
            </w:pPr>
            <w:r>
              <w:rPr>
                <w:rFonts w:hint="eastAsia" w:ascii="宋体" w:hAnsi="宋体" w:eastAsia="宋体" w:cs="宋体"/>
                <w:color w:val="auto"/>
                <w:szCs w:val="21"/>
                <w:highlight w:val="none"/>
                <w:lang w:val="en-US" w:eastAsia="zh-CN"/>
              </w:rPr>
              <w:t>▲</w:t>
            </w:r>
            <w:r>
              <w:rPr>
                <w:rFonts w:hint="eastAsia" w:ascii="宋体" w:hAnsi="宋体"/>
                <w:color w:val="auto"/>
                <w:szCs w:val="21"/>
                <w:highlight w:val="none"/>
              </w:rPr>
              <w:t>3.油漆：采用环保型PU聚酯漆，底漆和面漆的乙二醇醚及醚酯总和含量;多环芳烃总和含量:苯含量;卤代烃总和含量符合GB 18581-2020《木器涂料中有害物质限量》标准</w:t>
            </w:r>
            <w:r>
              <w:rPr>
                <w:rFonts w:hint="eastAsia" w:ascii="宋体" w:hAnsi="宋体"/>
                <w:color w:val="auto"/>
                <w:szCs w:val="21"/>
                <w:highlight w:val="none"/>
                <w:lang w:eastAsia="zh-CN"/>
              </w:rPr>
              <w:t>；</w:t>
            </w:r>
          </w:p>
          <w:p w14:paraId="21559001">
            <w:pPr>
              <w:widowControl/>
              <w:jc w:val="left"/>
              <w:textAlignment w:val="center"/>
              <w:rPr>
                <w:rFonts w:ascii="宋体" w:hAnsi="宋体"/>
                <w:color w:val="auto"/>
                <w:szCs w:val="21"/>
                <w:highlight w:val="none"/>
              </w:rPr>
            </w:pPr>
            <w:r>
              <w:rPr>
                <w:rFonts w:hint="eastAsia" w:ascii="宋体" w:hAnsi="宋体"/>
                <w:color w:val="auto"/>
                <w:szCs w:val="21"/>
                <w:highlight w:val="none"/>
              </w:rPr>
              <w:t>4.五金配件：采用优质三合一连接件。</w:t>
            </w:r>
          </w:p>
        </w:tc>
        <w:tc>
          <w:tcPr>
            <w:tcW w:w="1639" w:type="dxa"/>
            <w:tcBorders>
              <w:top w:val="single" w:color="auto" w:sz="4" w:space="0"/>
              <w:left w:val="single" w:color="auto" w:sz="4" w:space="0"/>
              <w:right w:val="single" w:color="auto" w:sz="4" w:space="0"/>
            </w:tcBorders>
            <w:vAlign w:val="center"/>
          </w:tcPr>
          <w:p w14:paraId="46956AC3">
            <w:pPr>
              <w:widowControl/>
              <w:jc w:val="left"/>
              <w:textAlignment w:val="center"/>
              <w:rPr>
                <w:rFonts w:ascii="宋体" w:hAnsi="宋体"/>
                <w:color w:val="auto"/>
                <w:szCs w:val="21"/>
                <w:highlight w:val="none"/>
              </w:rPr>
            </w:pPr>
            <w:r>
              <w:rPr>
                <w:color w:val="auto"/>
                <w:highlight w:val="none"/>
              </w:rPr>
              <w:drawing>
                <wp:inline distT="0" distB="0" distL="0" distR="0">
                  <wp:extent cx="1004570" cy="835025"/>
                  <wp:effectExtent l="0" t="0" r="5080" b="3175"/>
                  <wp:docPr id="1030" name="图片 40" descr="700df3669e419f8e7e9def37a590699"/>
                  <wp:cNvGraphicFramePr/>
                  <a:graphic xmlns:a="http://schemas.openxmlformats.org/drawingml/2006/main">
                    <a:graphicData uri="http://schemas.openxmlformats.org/drawingml/2006/picture">
                      <pic:pic xmlns:pic="http://schemas.openxmlformats.org/drawingml/2006/picture">
                        <pic:nvPicPr>
                          <pic:cNvPr id="1030" name="图片 40" descr="700df3669e419f8e7e9def37a590699"/>
                          <pic:cNvPicPr/>
                        </pic:nvPicPr>
                        <pic:blipFill>
                          <a:blip r:embed="rId10" cstate="print"/>
                          <a:srcRect/>
                          <a:stretch>
                            <a:fillRect/>
                          </a:stretch>
                        </pic:blipFill>
                        <pic:spPr>
                          <a:xfrm>
                            <a:off x="0" y="0"/>
                            <a:ext cx="1005204" cy="835025"/>
                          </a:xfrm>
                          <a:prstGeom prst="rect">
                            <a:avLst/>
                          </a:prstGeom>
                          <a:ln>
                            <a:noFill/>
                          </a:ln>
                        </pic:spPr>
                      </pic:pic>
                    </a:graphicData>
                  </a:graphic>
                </wp:inline>
              </w:drawing>
            </w:r>
          </w:p>
        </w:tc>
      </w:tr>
      <w:tr w14:paraId="37729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426" w:type="dxa"/>
            <w:tcBorders>
              <w:top w:val="single" w:color="auto" w:sz="4" w:space="0"/>
              <w:left w:val="single" w:color="auto" w:sz="4" w:space="0"/>
              <w:right w:val="single" w:color="auto" w:sz="4" w:space="0"/>
            </w:tcBorders>
            <w:vAlign w:val="center"/>
          </w:tcPr>
          <w:p w14:paraId="0EE0935B">
            <w:pPr>
              <w:widowControl/>
              <w:jc w:val="center"/>
              <w:textAlignment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6</w:t>
            </w:r>
          </w:p>
        </w:tc>
        <w:tc>
          <w:tcPr>
            <w:tcW w:w="1276" w:type="dxa"/>
            <w:tcBorders>
              <w:top w:val="single" w:color="auto" w:sz="4" w:space="0"/>
              <w:left w:val="single" w:color="auto" w:sz="4" w:space="0"/>
              <w:right w:val="single" w:color="auto" w:sz="4" w:space="0"/>
            </w:tcBorders>
            <w:vAlign w:val="center"/>
          </w:tcPr>
          <w:p w14:paraId="27F868FB">
            <w:pPr>
              <w:widowControl/>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rPr>
              <w:t>演讲台</w:t>
            </w:r>
          </w:p>
        </w:tc>
        <w:tc>
          <w:tcPr>
            <w:tcW w:w="789" w:type="dxa"/>
            <w:gridSpan w:val="2"/>
            <w:tcBorders>
              <w:top w:val="single" w:color="auto" w:sz="4" w:space="0"/>
              <w:left w:val="single" w:color="auto" w:sz="4" w:space="0"/>
              <w:right w:val="single" w:color="auto" w:sz="4" w:space="0"/>
            </w:tcBorders>
            <w:vAlign w:val="center"/>
          </w:tcPr>
          <w:p w14:paraId="31FB6509">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911" w:type="dxa"/>
            <w:tcBorders>
              <w:top w:val="single" w:color="auto" w:sz="4" w:space="0"/>
              <w:left w:val="single" w:color="auto" w:sz="4" w:space="0"/>
              <w:right w:val="single" w:color="auto" w:sz="4" w:space="0"/>
            </w:tcBorders>
            <w:vAlign w:val="center"/>
          </w:tcPr>
          <w:p w14:paraId="6B3CFFE6">
            <w:pPr>
              <w:widowControl/>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rPr>
              <w:t>个</w:t>
            </w:r>
          </w:p>
        </w:tc>
        <w:tc>
          <w:tcPr>
            <w:tcW w:w="4903" w:type="dxa"/>
            <w:tcBorders>
              <w:top w:val="single" w:color="auto" w:sz="4" w:space="0"/>
              <w:left w:val="single" w:color="auto" w:sz="4" w:space="0"/>
              <w:right w:val="single" w:color="auto" w:sz="4" w:space="0"/>
            </w:tcBorders>
            <w:vAlign w:val="center"/>
          </w:tcPr>
          <w:p w14:paraId="4032F662">
            <w:pPr>
              <w:widowControl/>
              <w:jc w:val="left"/>
              <w:textAlignment w:val="center"/>
              <w:rPr>
                <w:rFonts w:hint="eastAsia" w:ascii="宋体" w:hAnsi="宋体"/>
                <w:color w:val="auto"/>
                <w:szCs w:val="21"/>
                <w:highlight w:val="none"/>
              </w:rPr>
            </w:pPr>
            <w:r>
              <w:rPr>
                <w:rFonts w:hint="eastAsia" w:ascii="宋体" w:hAnsi="宋体"/>
                <w:color w:val="auto"/>
                <w:szCs w:val="21"/>
                <w:highlight w:val="none"/>
              </w:rPr>
              <w:t>规格：750×500×1150mm</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p>
          <w:p w14:paraId="6ED16795">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1.基材：采用E0级中密度纤维板，板材苯、甲苯、二甲苯有害物质符合GB/T35601-2017《绿色产品评价人造板和木质地板》标准要求</w:t>
            </w:r>
            <w:r>
              <w:rPr>
                <w:rFonts w:hint="eastAsia" w:ascii="宋体" w:hAnsi="宋体"/>
                <w:color w:val="auto"/>
                <w:szCs w:val="21"/>
                <w:highlight w:val="none"/>
                <w:lang w:eastAsia="zh-CN"/>
              </w:rPr>
              <w:t>；</w:t>
            </w:r>
          </w:p>
          <w:p w14:paraId="79A70F26">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2.木皮饰面：采购0.6mm厚胡桃木皮</w:t>
            </w:r>
            <w:r>
              <w:rPr>
                <w:rFonts w:hint="eastAsia" w:ascii="宋体" w:hAnsi="宋体"/>
                <w:color w:val="auto"/>
                <w:szCs w:val="21"/>
                <w:highlight w:val="none"/>
                <w:lang w:eastAsia="zh-CN"/>
              </w:rPr>
              <w:t>；</w:t>
            </w:r>
          </w:p>
          <w:p w14:paraId="4A749B8F">
            <w:pPr>
              <w:widowControl/>
              <w:jc w:val="left"/>
              <w:textAlignment w:val="center"/>
              <w:rPr>
                <w:rFonts w:hint="eastAsia" w:ascii="宋体" w:hAnsi="宋体" w:eastAsia="宋体"/>
                <w:color w:val="auto"/>
                <w:szCs w:val="21"/>
                <w:highlight w:val="none"/>
                <w:lang w:eastAsia="zh-CN"/>
              </w:rPr>
            </w:pPr>
            <w:r>
              <w:rPr>
                <w:rFonts w:hint="eastAsia" w:ascii="宋体" w:hAnsi="宋体" w:eastAsia="宋体" w:cs="宋体"/>
                <w:color w:val="auto"/>
                <w:szCs w:val="21"/>
                <w:highlight w:val="none"/>
                <w:lang w:val="en-US" w:eastAsia="zh-CN"/>
              </w:rPr>
              <w:t>▲</w:t>
            </w:r>
            <w:r>
              <w:rPr>
                <w:rFonts w:hint="eastAsia" w:ascii="宋体" w:hAnsi="宋体"/>
                <w:color w:val="auto"/>
                <w:szCs w:val="21"/>
                <w:highlight w:val="none"/>
              </w:rPr>
              <w:t>3.油漆：采用环保型PU聚酯漆，底漆和面漆的乙二醇醚及醚酯总和含量;多环芳烃总和含量:苯含量;卤代烃总和含量符合GB 18581-2020《木器涂料中有害物质限量》标准</w:t>
            </w:r>
            <w:r>
              <w:rPr>
                <w:rFonts w:hint="eastAsia" w:ascii="宋体" w:hAnsi="宋体"/>
                <w:color w:val="auto"/>
                <w:szCs w:val="21"/>
                <w:highlight w:val="none"/>
                <w:lang w:eastAsia="zh-CN"/>
              </w:rPr>
              <w:t>；</w:t>
            </w:r>
          </w:p>
          <w:p w14:paraId="3EC70F34">
            <w:pPr>
              <w:widowControl/>
              <w:jc w:val="left"/>
              <w:textAlignment w:val="center"/>
              <w:rPr>
                <w:rFonts w:ascii="宋体" w:hAnsi="宋体"/>
                <w:color w:val="auto"/>
                <w:szCs w:val="21"/>
                <w:highlight w:val="none"/>
              </w:rPr>
            </w:pPr>
            <w:r>
              <w:rPr>
                <w:rFonts w:hint="eastAsia" w:ascii="宋体" w:hAnsi="宋体"/>
                <w:color w:val="auto"/>
                <w:szCs w:val="21"/>
                <w:highlight w:val="none"/>
              </w:rPr>
              <w:t>4.五金配件：采用优质三合一连接件。</w:t>
            </w:r>
          </w:p>
        </w:tc>
        <w:tc>
          <w:tcPr>
            <w:tcW w:w="1639" w:type="dxa"/>
            <w:tcBorders>
              <w:top w:val="single" w:color="auto" w:sz="4" w:space="0"/>
              <w:left w:val="single" w:color="auto" w:sz="4" w:space="0"/>
              <w:right w:val="single" w:color="auto" w:sz="4" w:space="0"/>
            </w:tcBorders>
            <w:vAlign w:val="center"/>
          </w:tcPr>
          <w:p w14:paraId="7A49B0B0">
            <w:pPr>
              <w:widowControl/>
              <w:jc w:val="left"/>
              <w:textAlignment w:val="center"/>
              <w:rPr>
                <w:rFonts w:ascii="宋体" w:hAnsi="宋体"/>
                <w:color w:val="auto"/>
                <w:szCs w:val="21"/>
                <w:highlight w:val="none"/>
              </w:rPr>
            </w:pPr>
            <w:r>
              <w:rPr>
                <w:color w:val="auto"/>
                <w:highlight w:val="none"/>
              </w:rPr>
              <w:drawing>
                <wp:inline distT="0" distB="0" distL="0" distR="0">
                  <wp:extent cx="843280" cy="1086485"/>
                  <wp:effectExtent l="0" t="0" r="13970" b="18415"/>
                  <wp:docPr id="1031" name="图片 1"/>
                  <wp:cNvGraphicFramePr/>
                  <a:graphic xmlns:a="http://schemas.openxmlformats.org/drawingml/2006/main">
                    <a:graphicData uri="http://schemas.openxmlformats.org/drawingml/2006/picture">
                      <pic:pic xmlns:pic="http://schemas.openxmlformats.org/drawingml/2006/picture">
                        <pic:nvPicPr>
                          <pic:cNvPr id="1031" name="图片 1"/>
                          <pic:cNvPicPr/>
                        </pic:nvPicPr>
                        <pic:blipFill>
                          <a:blip r:embed="rId11" cstate="print"/>
                          <a:srcRect/>
                          <a:stretch>
                            <a:fillRect/>
                          </a:stretch>
                        </pic:blipFill>
                        <pic:spPr>
                          <a:xfrm>
                            <a:off x="0" y="0"/>
                            <a:ext cx="843280" cy="1086485"/>
                          </a:xfrm>
                          <a:prstGeom prst="rect">
                            <a:avLst/>
                          </a:prstGeom>
                          <a:ln>
                            <a:noFill/>
                          </a:ln>
                        </pic:spPr>
                      </pic:pic>
                    </a:graphicData>
                  </a:graphic>
                </wp:inline>
              </w:drawing>
            </w:r>
          </w:p>
        </w:tc>
      </w:tr>
      <w:tr w14:paraId="0BFB8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426" w:type="dxa"/>
            <w:tcBorders>
              <w:top w:val="single" w:color="auto" w:sz="4" w:space="0"/>
              <w:left w:val="single" w:color="auto" w:sz="4" w:space="0"/>
              <w:right w:val="single" w:color="auto" w:sz="4" w:space="0"/>
            </w:tcBorders>
            <w:vAlign w:val="center"/>
          </w:tcPr>
          <w:p w14:paraId="17D1509A">
            <w:pPr>
              <w:widowControl/>
              <w:jc w:val="center"/>
              <w:textAlignment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7</w:t>
            </w:r>
          </w:p>
        </w:tc>
        <w:tc>
          <w:tcPr>
            <w:tcW w:w="1276" w:type="dxa"/>
            <w:tcBorders>
              <w:top w:val="single" w:color="auto" w:sz="4" w:space="0"/>
              <w:left w:val="single" w:color="auto" w:sz="4" w:space="0"/>
              <w:right w:val="single" w:color="auto" w:sz="4" w:space="0"/>
            </w:tcBorders>
            <w:vAlign w:val="center"/>
          </w:tcPr>
          <w:p w14:paraId="01CA2DD9">
            <w:pPr>
              <w:widowControl/>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rPr>
              <w:t>会议桌</w:t>
            </w:r>
          </w:p>
        </w:tc>
        <w:tc>
          <w:tcPr>
            <w:tcW w:w="789" w:type="dxa"/>
            <w:gridSpan w:val="2"/>
            <w:tcBorders>
              <w:top w:val="single" w:color="auto" w:sz="4" w:space="0"/>
              <w:left w:val="single" w:color="auto" w:sz="4" w:space="0"/>
              <w:right w:val="single" w:color="auto" w:sz="4" w:space="0"/>
            </w:tcBorders>
            <w:vAlign w:val="center"/>
          </w:tcPr>
          <w:p w14:paraId="7644BC61">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911" w:type="dxa"/>
            <w:tcBorders>
              <w:top w:val="single" w:color="auto" w:sz="4" w:space="0"/>
              <w:left w:val="single" w:color="auto" w:sz="4" w:space="0"/>
              <w:right w:val="single" w:color="auto" w:sz="4" w:space="0"/>
            </w:tcBorders>
            <w:vAlign w:val="center"/>
          </w:tcPr>
          <w:p w14:paraId="06557075">
            <w:pPr>
              <w:widowControl/>
              <w:jc w:val="center"/>
              <w:textAlignment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张</w:t>
            </w:r>
          </w:p>
        </w:tc>
        <w:tc>
          <w:tcPr>
            <w:tcW w:w="4903" w:type="dxa"/>
            <w:tcBorders>
              <w:top w:val="single" w:color="auto" w:sz="4" w:space="0"/>
              <w:left w:val="single" w:color="auto" w:sz="4" w:space="0"/>
              <w:right w:val="single" w:color="auto" w:sz="4" w:space="0"/>
            </w:tcBorders>
            <w:vAlign w:val="center"/>
          </w:tcPr>
          <w:p w14:paraId="47CC215D">
            <w:pPr>
              <w:widowControl/>
              <w:jc w:val="left"/>
              <w:textAlignment w:val="center"/>
              <w:rPr>
                <w:rFonts w:hint="eastAsia" w:ascii="宋体" w:hAnsi="宋体"/>
                <w:color w:val="auto"/>
                <w:szCs w:val="21"/>
                <w:highlight w:val="none"/>
              </w:rPr>
            </w:pPr>
            <w:r>
              <w:rPr>
                <w:rFonts w:hint="eastAsia" w:ascii="宋体" w:hAnsi="宋体"/>
                <w:color w:val="auto"/>
                <w:szCs w:val="21"/>
                <w:highlight w:val="none"/>
              </w:rPr>
              <w:t>规格：1500×400×750mm</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p>
          <w:p w14:paraId="50147D5B">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1.基材：采用E0级中密度纤维板，板材苯、甲苯、二甲苯有害物质必须符合GB/T35601-2017《绿色产品评价人造板和木质地板》标准要求</w:t>
            </w:r>
            <w:r>
              <w:rPr>
                <w:rFonts w:hint="eastAsia" w:ascii="宋体" w:hAnsi="宋体"/>
                <w:color w:val="auto"/>
                <w:szCs w:val="21"/>
                <w:highlight w:val="none"/>
                <w:lang w:eastAsia="zh-CN"/>
              </w:rPr>
              <w:t>；</w:t>
            </w:r>
          </w:p>
          <w:p w14:paraId="77CB4BAF">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2.木皮饰面：采购0.6mm厚胡桃木皮</w:t>
            </w:r>
            <w:r>
              <w:rPr>
                <w:rFonts w:hint="eastAsia" w:ascii="宋体" w:hAnsi="宋体"/>
                <w:color w:val="auto"/>
                <w:szCs w:val="21"/>
                <w:highlight w:val="none"/>
                <w:lang w:eastAsia="zh-CN"/>
              </w:rPr>
              <w:t>；</w:t>
            </w:r>
          </w:p>
          <w:p w14:paraId="1601A5AC">
            <w:pPr>
              <w:widowControl/>
              <w:jc w:val="left"/>
              <w:textAlignment w:val="center"/>
              <w:rPr>
                <w:rFonts w:hint="eastAsia" w:ascii="宋体" w:hAnsi="宋体" w:eastAsia="宋体"/>
                <w:color w:val="auto"/>
                <w:szCs w:val="21"/>
                <w:highlight w:val="none"/>
                <w:lang w:eastAsia="zh-CN"/>
              </w:rPr>
            </w:pPr>
            <w:r>
              <w:rPr>
                <w:rFonts w:hint="eastAsia" w:ascii="宋体" w:hAnsi="宋体" w:eastAsia="宋体" w:cs="宋体"/>
                <w:color w:val="auto"/>
                <w:szCs w:val="21"/>
                <w:highlight w:val="none"/>
                <w:lang w:val="en-US" w:eastAsia="zh-CN"/>
              </w:rPr>
              <w:t>▲</w:t>
            </w:r>
            <w:r>
              <w:rPr>
                <w:rFonts w:hint="eastAsia" w:ascii="宋体" w:hAnsi="宋体"/>
                <w:color w:val="auto"/>
                <w:szCs w:val="21"/>
                <w:highlight w:val="none"/>
              </w:rPr>
              <w:t>3.油漆：采用环保型PU聚酯漆，底漆和面漆的乙二醇醚及醚酯总和含量;多环芳烃总和含量:苯含量;卤代烃总和含量必须符合GB 18581-2020《木器涂料中有害物质限量》标准</w:t>
            </w:r>
            <w:r>
              <w:rPr>
                <w:rFonts w:hint="eastAsia" w:ascii="宋体" w:hAnsi="宋体"/>
                <w:color w:val="auto"/>
                <w:szCs w:val="21"/>
                <w:highlight w:val="none"/>
                <w:lang w:eastAsia="zh-CN"/>
              </w:rPr>
              <w:t>；</w:t>
            </w:r>
          </w:p>
          <w:p w14:paraId="3EB93690">
            <w:pPr>
              <w:widowControl/>
              <w:jc w:val="left"/>
              <w:textAlignment w:val="center"/>
              <w:rPr>
                <w:rFonts w:ascii="宋体" w:hAnsi="宋体"/>
                <w:color w:val="auto"/>
                <w:szCs w:val="21"/>
                <w:highlight w:val="none"/>
              </w:rPr>
            </w:pPr>
            <w:r>
              <w:rPr>
                <w:rFonts w:hint="eastAsia" w:ascii="宋体" w:hAnsi="宋体"/>
                <w:color w:val="auto"/>
                <w:szCs w:val="21"/>
                <w:highlight w:val="none"/>
              </w:rPr>
              <w:t>4.五金配件：采用优质三合一连接件。</w:t>
            </w:r>
          </w:p>
        </w:tc>
        <w:tc>
          <w:tcPr>
            <w:tcW w:w="1639" w:type="dxa"/>
            <w:tcBorders>
              <w:top w:val="single" w:color="auto" w:sz="4" w:space="0"/>
              <w:left w:val="single" w:color="auto" w:sz="4" w:space="0"/>
              <w:right w:val="single" w:color="auto" w:sz="4" w:space="0"/>
            </w:tcBorders>
            <w:vAlign w:val="center"/>
          </w:tcPr>
          <w:p w14:paraId="78D89065">
            <w:pPr>
              <w:widowControl/>
              <w:jc w:val="left"/>
              <w:textAlignment w:val="center"/>
              <w:rPr>
                <w:rFonts w:ascii="宋体" w:hAnsi="宋体"/>
                <w:color w:val="auto"/>
                <w:szCs w:val="21"/>
                <w:highlight w:val="none"/>
              </w:rPr>
            </w:pPr>
            <w:r>
              <w:rPr>
                <w:color w:val="auto"/>
                <w:highlight w:val="none"/>
              </w:rPr>
              <w:drawing>
                <wp:inline distT="0" distB="0" distL="0" distR="0">
                  <wp:extent cx="970915" cy="845185"/>
                  <wp:effectExtent l="0" t="0" r="635" b="12065"/>
                  <wp:docPr id="1032" name="图片 27" descr="83e16cbeb4bb779d635f3efd9ac7636"/>
                  <wp:cNvGraphicFramePr/>
                  <a:graphic xmlns:a="http://schemas.openxmlformats.org/drawingml/2006/main">
                    <a:graphicData uri="http://schemas.openxmlformats.org/drawingml/2006/picture">
                      <pic:pic xmlns:pic="http://schemas.openxmlformats.org/drawingml/2006/picture">
                        <pic:nvPicPr>
                          <pic:cNvPr id="1032" name="图片 27" descr="83e16cbeb4bb779d635f3efd9ac7636"/>
                          <pic:cNvPicPr/>
                        </pic:nvPicPr>
                        <pic:blipFill>
                          <a:blip r:embed="rId12" cstate="print"/>
                          <a:srcRect/>
                          <a:stretch>
                            <a:fillRect/>
                          </a:stretch>
                        </pic:blipFill>
                        <pic:spPr>
                          <a:xfrm>
                            <a:off x="0" y="0"/>
                            <a:ext cx="970915" cy="845185"/>
                          </a:xfrm>
                          <a:prstGeom prst="rect">
                            <a:avLst/>
                          </a:prstGeom>
                          <a:ln>
                            <a:noFill/>
                          </a:ln>
                        </pic:spPr>
                      </pic:pic>
                    </a:graphicData>
                  </a:graphic>
                </wp:inline>
              </w:drawing>
            </w:r>
          </w:p>
        </w:tc>
      </w:tr>
      <w:tr w14:paraId="09BD0A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41" w:hRule="atLeast"/>
        </w:trPr>
        <w:tc>
          <w:tcPr>
            <w:tcW w:w="426" w:type="dxa"/>
            <w:tcBorders>
              <w:top w:val="single" w:color="auto" w:sz="4" w:space="0"/>
              <w:left w:val="single" w:color="auto" w:sz="4" w:space="0"/>
              <w:right w:val="single" w:color="auto" w:sz="4" w:space="0"/>
            </w:tcBorders>
            <w:vAlign w:val="center"/>
          </w:tcPr>
          <w:p w14:paraId="377B0A84">
            <w:pPr>
              <w:widowControl/>
              <w:jc w:val="center"/>
              <w:textAlignment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8</w:t>
            </w:r>
          </w:p>
        </w:tc>
        <w:tc>
          <w:tcPr>
            <w:tcW w:w="1276" w:type="dxa"/>
            <w:tcBorders>
              <w:top w:val="single" w:color="auto" w:sz="4" w:space="0"/>
              <w:left w:val="single" w:color="auto" w:sz="4" w:space="0"/>
              <w:right w:val="single" w:color="auto" w:sz="4" w:space="0"/>
            </w:tcBorders>
            <w:vAlign w:val="center"/>
          </w:tcPr>
          <w:p w14:paraId="686EB3B8">
            <w:pPr>
              <w:widowControl/>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rPr>
              <w:t>会议桌</w:t>
            </w:r>
          </w:p>
        </w:tc>
        <w:tc>
          <w:tcPr>
            <w:tcW w:w="789" w:type="dxa"/>
            <w:gridSpan w:val="2"/>
            <w:tcBorders>
              <w:top w:val="single" w:color="auto" w:sz="4" w:space="0"/>
              <w:left w:val="single" w:color="auto" w:sz="4" w:space="0"/>
              <w:right w:val="single" w:color="auto" w:sz="4" w:space="0"/>
            </w:tcBorders>
            <w:vAlign w:val="center"/>
          </w:tcPr>
          <w:p w14:paraId="040BF521">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911" w:type="dxa"/>
            <w:tcBorders>
              <w:top w:val="single" w:color="auto" w:sz="4" w:space="0"/>
              <w:left w:val="single" w:color="auto" w:sz="4" w:space="0"/>
              <w:right w:val="single" w:color="auto" w:sz="4" w:space="0"/>
            </w:tcBorders>
            <w:vAlign w:val="center"/>
          </w:tcPr>
          <w:p w14:paraId="665BE736">
            <w:pPr>
              <w:widowControl/>
              <w:jc w:val="center"/>
              <w:textAlignment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张</w:t>
            </w:r>
          </w:p>
        </w:tc>
        <w:tc>
          <w:tcPr>
            <w:tcW w:w="4903" w:type="dxa"/>
            <w:tcBorders>
              <w:top w:val="single" w:color="auto" w:sz="4" w:space="0"/>
              <w:left w:val="single" w:color="auto" w:sz="4" w:space="0"/>
              <w:right w:val="single" w:color="auto" w:sz="4" w:space="0"/>
            </w:tcBorders>
            <w:vAlign w:val="center"/>
          </w:tcPr>
          <w:p w14:paraId="0C56C290">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规格（mm）：总长9500mm,宽400mm，高度750mm</w:t>
            </w:r>
            <w:r>
              <w:rPr>
                <w:rFonts w:hint="eastAsia" w:ascii="宋体" w:hAnsi="宋体"/>
                <w:color w:val="auto"/>
                <w:szCs w:val="21"/>
                <w:highlight w:val="none"/>
                <w:lang w:eastAsia="zh-CN"/>
              </w:rPr>
              <w:t>。</w:t>
            </w:r>
          </w:p>
          <w:p w14:paraId="67DCC5D4">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1.基材：采用E0级中密度纤维板，板材苯、甲苯、二甲苯有害物质必须符合GB/T35601-2017《绿色产品评价人造板和木质地板》标准要求</w:t>
            </w:r>
            <w:r>
              <w:rPr>
                <w:rFonts w:hint="eastAsia" w:ascii="宋体" w:hAnsi="宋体"/>
                <w:color w:val="auto"/>
                <w:szCs w:val="21"/>
                <w:highlight w:val="none"/>
                <w:lang w:eastAsia="zh-CN"/>
              </w:rPr>
              <w:t>；</w:t>
            </w:r>
          </w:p>
          <w:p w14:paraId="5E835366">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2.木皮饰面：采购0.6mm厚胡桃木皮</w:t>
            </w:r>
            <w:r>
              <w:rPr>
                <w:rFonts w:hint="eastAsia" w:ascii="宋体" w:hAnsi="宋体"/>
                <w:color w:val="auto"/>
                <w:szCs w:val="21"/>
                <w:highlight w:val="none"/>
                <w:lang w:eastAsia="zh-CN"/>
              </w:rPr>
              <w:t>；</w:t>
            </w:r>
          </w:p>
          <w:p w14:paraId="0210A73F">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3.油漆：采用环保型PU聚酯漆，底漆和面漆的乙二醇醚及醚酯总和含量;多环芳烃总和含量:苯含量;卤代烃总和含量必须符合GB 18581-2020《木器涂料中有害物质限量》标准</w:t>
            </w:r>
            <w:r>
              <w:rPr>
                <w:rFonts w:hint="eastAsia" w:ascii="宋体" w:hAnsi="宋体"/>
                <w:color w:val="auto"/>
                <w:szCs w:val="21"/>
                <w:highlight w:val="none"/>
                <w:lang w:eastAsia="zh-CN"/>
              </w:rPr>
              <w:t>；</w:t>
            </w:r>
          </w:p>
          <w:p w14:paraId="3943DF32">
            <w:pPr>
              <w:widowControl/>
              <w:jc w:val="left"/>
              <w:textAlignment w:val="center"/>
              <w:rPr>
                <w:rFonts w:ascii="宋体" w:hAnsi="宋体"/>
                <w:color w:val="auto"/>
                <w:szCs w:val="21"/>
                <w:highlight w:val="none"/>
              </w:rPr>
            </w:pPr>
            <w:r>
              <w:rPr>
                <w:rFonts w:hint="eastAsia" w:ascii="宋体" w:hAnsi="宋体"/>
                <w:color w:val="auto"/>
                <w:szCs w:val="21"/>
                <w:highlight w:val="none"/>
              </w:rPr>
              <w:t>4.五金配件：采用优质三合一连接件。</w:t>
            </w:r>
          </w:p>
        </w:tc>
        <w:tc>
          <w:tcPr>
            <w:tcW w:w="1639" w:type="dxa"/>
            <w:tcBorders>
              <w:top w:val="single" w:color="auto" w:sz="4" w:space="0"/>
              <w:left w:val="single" w:color="auto" w:sz="4" w:space="0"/>
              <w:right w:val="single" w:color="auto" w:sz="4" w:space="0"/>
            </w:tcBorders>
            <w:vAlign w:val="center"/>
          </w:tcPr>
          <w:p w14:paraId="02B438E3">
            <w:pPr>
              <w:widowControl/>
              <w:jc w:val="left"/>
              <w:textAlignment w:val="center"/>
              <w:rPr>
                <w:rFonts w:ascii="宋体" w:hAnsi="宋体"/>
                <w:color w:val="auto"/>
                <w:szCs w:val="21"/>
                <w:highlight w:val="none"/>
              </w:rPr>
            </w:pPr>
            <w:r>
              <w:rPr>
                <w:color w:val="auto"/>
                <w:highlight w:val="none"/>
              </w:rPr>
              <w:drawing>
                <wp:inline distT="0" distB="0" distL="0" distR="0">
                  <wp:extent cx="970915" cy="845185"/>
                  <wp:effectExtent l="0" t="0" r="635" b="12065"/>
                  <wp:docPr id="1033" name="图片 27" descr="83e16cbeb4bb779d635f3efd9ac7636"/>
                  <wp:cNvGraphicFramePr/>
                  <a:graphic xmlns:a="http://schemas.openxmlformats.org/drawingml/2006/main">
                    <a:graphicData uri="http://schemas.openxmlformats.org/drawingml/2006/picture">
                      <pic:pic xmlns:pic="http://schemas.openxmlformats.org/drawingml/2006/picture">
                        <pic:nvPicPr>
                          <pic:cNvPr id="1033" name="图片 27" descr="83e16cbeb4bb779d635f3efd9ac7636"/>
                          <pic:cNvPicPr/>
                        </pic:nvPicPr>
                        <pic:blipFill>
                          <a:blip r:embed="rId12" cstate="print"/>
                          <a:srcRect/>
                          <a:stretch>
                            <a:fillRect/>
                          </a:stretch>
                        </pic:blipFill>
                        <pic:spPr>
                          <a:xfrm>
                            <a:off x="0" y="0"/>
                            <a:ext cx="970915" cy="845185"/>
                          </a:xfrm>
                          <a:prstGeom prst="rect">
                            <a:avLst/>
                          </a:prstGeom>
                          <a:ln>
                            <a:noFill/>
                          </a:ln>
                        </pic:spPr>
                      </pic:pic>
                    </a:graphicData>
                  </a:graphic>
                </wp:inline>
              </w:drawing>
            </w:r>
          </w:p>
        </w:tc>
      </w:tr>
      <w:tr w14:paraId="732E9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426" w:type="dxa"/>
            <w:tcBorders>
              <w:top w:val="single" w:color="auto" w:sz="4" w:space="0"/>
              <w:left w:val="single" w:color="auto" w:sz="4" w:space="0"/>
              <w:right w:val="single" w:color="auto" w:sz="4" w:space="0"/>
            </w:tcBorders>
            <w:vAlign w:val="center"/>
          </w:tcPr>
          <w:p w14:paraId="27CD3CE5">
            <w:pPr>
              <w:widowControl/>
              <w:jc w:val="center"/>
              <w:textAlignment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9</w:t>
            </w:r>
          </w:p>
        </w:tc>
        <w:tc>
          <w:tcPr>
            <w:tcW w:w="1276" w:type="dxa"/>
            <w:tcBorders>
              <w:top w:val="single" w:color="auto" w:sz="4" w:space="0"/>
              <w:left w:val="single" w:color="auto" w:sz="4" w:space="0"/>
              <w:right w:val="single" w:color="auto" w:sz="4" w:space="0"/>
            </w:tcBorders>
            <w:vAlign w:val="center"/>
          </w:tcPr>
          <w:p w14:paraId="29EB5236">
            <w:pPr>
              <w:widowControl/>
              <w:jc w:val="center"/>
              <w:textAlignment w:val="center"/>
              <w:rPr>
                <w:rFonts w:hint="default" w:ascii="宋体" w:hAnsi="宋体"/>
                <w:color w:val="auto"/>
                <w:szCs w:val="21"/>
                <w:highlight w:val="none"/>
                <w:lang w:val="en-US"/>
              </w:rPr>
            </w:pPr>
            <w:r>
              <w:rPr>
                <w:rFonts w:hint="eastAsia" w:ascii="宋体" w:hAnsi="宋体" w:eastAsia="宋体" w:cs="宋体"/>
                <w:i w:val="0"/>
                <w:iCs w:val="0"/>
                <w:color w:val="auto"/>
                <w:kern w:val="0"/>
                <w:sz w:val="21"/>
                <w:szCs w:val="21"/>
                <w:highlight w:val="none"/>
                <w:u w:val="none"/>
                <w:lang w:val="en-US" w:eastAsia="zh-CN"/>
              </w:rPr>
              <w:t>办公椅</w:t>
            </w:r>
          </w:p>
        </w:tc>
        <w:tc>
          <w:tcPr>
            <w:tcW w:w="789" w:type="dxa"/>
            <w:gridSpan w:val="2"/>
            <w:tcBorders>
              <w:top w:val="single" w:color="auto" w:sz="4" w:space="0"/>
              <w:left w:val="single" w:color="auto" w:sz="4" w:space="0"/>
              <w:right w:val="single" w:color="auto" w:sz="4" w:space="0"/>
            </w:tcBorders>
            <w:vAlign w:val="center"/>
          </w:tcPr>
          <w:p w14:paraId="530E265F">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911" w:type="dxa"/>
            <w:tcBorders>
              <w:top w:val="single" w:color="auto" w:sz="4" w:space="0"/>
              <w:left w:val="single" w:color="auto" w:sz="4" w:space="0"/>
              <w:right w:val="single" w:color="auto" w:sz="4" w:space="0"/>
            </w:tcBorders>
            <w:vAlign w:val="center"/>
          </w:tcPr>
          <w:p w14:paraId="40C9E3BD">
            <w:pPr>
              <w:widowControl/>
              <w:jc w:val="center"/>
              <w:textAlignment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把</w:t>
            </w:r>
          </w:p>
        </w:tc>
        <w:tc>
          <w:tcPr>
            <w:tcW w:w="4903" w:type="dxa"/>
            <w:tcBorders>
              <w:top w:val="single" w:color="auto" w:sz="4" w:space="0"/>
              <w:left w:val="single" w:color="auto" w:sz="4" w:space="0"/>
              <w:right w:val="single" w:color="auto" w:sz="4" w:space="0"/>
            </w:tcBorders>
            <w:vAlign w:val="center"/>
          </w:tcPr>
          <w:p w14:paraId="178258AE">
            <w:pPr>
              <w:widowControl/>
              <w:jc w:val="left"/>
              <w:textAlignment w:val="center"/>
              <w:rPr>
                <w:rFonts w:hint="eastAsia" w:ascii="宋体" w:hAnsi="宋体"/>
                <w:color w:val="auto"/>
                <w:szCs w:val="21"/>
                <w:highlight w:val="none"/>
              </w:rPr>
            </w:pPr>
            <w:r>
              <w:rPr>
                <w:rFonts w:hint="eastAsia" w:ascii="宋体" w:hAnsi="宋体"/>
                <w:color w:val="auto"/>
                <w:szCs w:val="21"/>
                <w:highlight w:val="none"/>
              </w:rPr>
              <w:t>1.椅背：采用优质透气塑胶网；</w:t>
            </w:r>
          </w:p>
          <w:p w14:paraId="7C57169B">
            <w:pPr>
              <w:widowControl/>
              <w:jc w:val="left"/>
              <w:textAlignment w:val="center"/>
              <w:rPr>
                <w:rFonts w:hint="eastAsia" w:ascii="宋体" w:hAnsi="宋体"/>
                <w:color w:val="auto"/>
                <w:szCs w:val="21"/>
                <w:highlight w:val="none"/>
              </w:rPr>
            </w:pPr>
            <w:r>
              <w:rPr>
                <w:rFonts w:hint="eastAsia" w:ascii="宋体" w:hAnsi="宋体"/>
                <w:color w:val="auto"/>
                <w:szCs w:val="21"/>
                <w:highlight w:val="none"/>
              </w:rPr>
              <w:t>2.坐面：采用优质加密双层网布；</w:t>
            </w:r>
          </w:p>
          <w:p w14:paraId="281A58A6">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3.海绵：采用高密度弹力海绵，不易变形；座海绵的软质聚氨酯泡沫材料座面密度、软质聚氨酯泡沫材料弹性，软质聚氨酯泡沫材料缩永久变形，必须符合QB/T2602-2013(2017)《影剧院公共座椅》标准要求</w:t>
            </w:r>
            <w:r>
              <w:rPr>
                <w:rFonts w:hint="eastAsia" w:ascii="宋体" w:hAnsi="宋体"/>
                <w:color w:val="auto"/>
                <w:szCs w:val="21"/>
                <w:highlight w:val="none"/>
                <w:lang w:eastAsia="zh-CN"/>
              </w:rPr>
              <w:t>；</w:t>
            </w:r>
          </w:p>
          <w:p w14:paraId="4017A9A5">
            <w:pPr>
              <w:widowControl/>
              <w:jc w:val="left"/>
              <w:textAlignment w:val="center"/>
              <w:rPr>
                <w:rFonts w:hint="eastAsia" w:ascii="宋体" w:hAnsi="宋体"/>
                <w:color w:val="auto"/>
                <w:szCs w:val="21"/>
                <w:highlight w:val="none"/>
              </w:rPr>
            </w:pPr>
            <w:r>
              <w:rPr>
                <w:rFonts w:hint="eastAsia" w:ascii="宋体" w:hAnsi="宋体"/>
                <w:color w:val="auto"/>
                <w:szCs w:val="21"/>
                <w:highlight w:val="none"/>
              </w:rPr>
              <w:t>4.扶手：电镀+PP材料，连体固定扶手；</w:t>
            </w:r>
          </w:p>
          <w:p w14:paraId="25A3155C">
            <w:pPr>
              <w:widowControl/>
              <w:jc w:val="left"/>
              <w:textAlignment w:val="center"/>
              <w:rPr>
                <w:rFonts w:ascii="宋体" w:hAnsi="宋体"/>
                <w:color w:val="auto"/>
                <w:szCs w:val="21"/>
                <w:highlight w:val="none"/>
              </w:rPr>
            </w:pPr>
            <w:r>
              <w:rPr>
                <w:rFonts w:hint="eastAsia" w:ascii="宋体" w:hAnsi="宋体"/>
                <w:color w:val="auto"/>
                <w:szCs w:val="21"/>
                <w:highlight w:val="none"/>
              </w:rPr>
              <w:t>5.弓字架：采用直径25mm钢管，1.2mm厚度，椅身跟椅架均采用优质电镀五金，带防滑脚垫。</w:t>
            </w:r>
          </w:p>
        </w:tc>
        <w:tc>
          <w:tcPr>
            <w:tcW w:w="1639" w:type="dxa"/>
            <w:tcBorders>
              <w:top w:val="single" w:color="auto" w:sz="4" w:space="0"/>
              <w:left w:val="single" w:color="auto" w:sz="4" w:space="0"/>
              <w:right w:val="single" w:color="auto" w:sz="4" w:space="0"/>
            </w:tcBorders>
            <w:vAlign w:val="center"/>
          </w:tcPr>
          <w:p w14:paraId="147ADBC4">
            <w:pPr>
              <w:widowControl/>
              <w:jc w:val="left"/>
              <w:textAlignment w:val="center"/>
              <w:rPr>
                <w:rFonts w:ascii="宋体" w:hAnsi="宋体"/>
                <w:color w:val="auto"/>
                <w:szCs w:val="21"/>
                <w:highlight w:val="none"/>
              </w:rPr>
            </w:pPr>
            <w:r>
              <w:rPr>
                <w:color w:val="auto"/>
                <w:highlight w:val="none"/>
              </w:rPr>
              <w:drawing>
                <wp:inline distT="0" distB="0" distL="0" distR="0">
                  <wp:extent cx="878840" cy="1186815"/>
                  <wp:effectExtent l="0" t="0" r="16510" b="13335"/>
                  <wp:docPr id="1034" name="图片 25"/>
                  <wp:cNvGraphicFramePr/>
                  <a:graphic xmlns:a="http://schemas.openxmlformats.org/drawingml/2006/main">
                    <a:graphicData uri="http://schemas.openxmlformats.org/drawingml/2006/picture">
                      <pic:pic xmlns:pic="http://schemas.openxmlformats.org/drawingml/2006/picture">
                        <pic:nvPicPr>
                          <pic:cNvPr id="1034" name="图片 25"/>
                          <pic:cNvPicPr/>
                        </pic:nvPicPr>
                        <pic:blipFill>
                          <a:blip r:embed="rId13" cstate="print"/>
                          <a:srcRect/>
                          <a:stretch>
                            <a:fillRect/>
                          </a:stretch>
                        </pic:blipFill>
                        <pic:spPr>
                          <a:xfrm>
                            <a:off x="0" y="0"/>
                            <a:ext cx="878840" cy="1186815"/>
                          </a:xfrm>
                          <a:prstGeom prst="rect">
                            <a:avLst/>
                          </a:prstGeom>
                          <a:ln>
                            <a:noFill/>
                          </a:ln>
                        </pic:spPr>
                      </pic:pic>
                    </a:graphicData>
                  </a:graphic>
                </wp:inline>
              </w:drawing>
            </w:r>
          </w:p>
        </w:tc>
      </w:tr>
      <w:tr w14:paraId="6752E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41" w:hRule="atLeast"/>
        </w:trPr>
        <w:tc>
          <w:tcPr>
            <w:tcW w:w="426" w:type="dxa"/>
            <w:tcBorders>
              <w:top w:val="single" w:color="auto" w:sz="4" w:space="0"/>
              <w:left w:val="single" w:color="auto" w:sz="4" w:space="0"/>
              <w:right w:val="single" w:color="auto" w:sz="4" w:space="0"/>
            </w:tcBorders>
            <w:vAlign w:val="center"/>
          </w:tcPr>
          <w:p w14:paraId="28C50306">
            <w:pPr>
              <w:widowControl/>
              <w:jc w:val="center"/>
              <w:textAlignment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10</w:t>
            </w:r>
          </w:p>
        </w:tc>
        <w:tc>
          <w:tcPr>
            <w:tcW w:w="1276" w:type="dxa"/>
            <w:tcBorders>
              <w:top w:val="single" w:color="auto" w:sz="4" w:space="0"/>
              <w:left w:val="single" w:color="auto" w:sz="4" w:space="0"/>
              <w:right w:val="single" w:color="auto" w:sz="4" w:space="0"/>
            </w:tcBorders>
            <w:vAlign w:val="center"/>
          </w:tcPr>
          <w:p w14:paraId="65FCC1FD">
            <w:pPr>
              <w:widowControl/>
              <w:jc w:val="center"/>
              <w:textAlignment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大板桌</w:t>
            </w:r>
          </w:p>
        </w:tc>
        <w:tc>
          <w:tcPr>
            <w:tcW w:w="789" w:type="dxa"/>
            <w:gridSpan w:val="2"/>
            <w:tcBorders>
              <w:top w:val="single" w:color="auto" w:sz="4" w:space="0"/>
              <w:left w:val="single" w:color="auto" w:sz="4" w:space="0"/>
              <w:right w:val="single" w:color="auto" w:sz="4" w:space="0"/>
            </w:tcBorders>
            <w:vAlign w:val="center"/>
          </w:tcPr>
          <w:p w14:paraId="73E63159">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911" w:type="dxa"/>
            <w:tcBorders>
              <w:top w:val="single" w:color="auto" w:sz="4" w:space="0"/>
              <w:left w:val="single" w:color="auto" w:sz="4" w:space="0"/>
              <w:right w:val="single" w:color="auto" w:sz="4" w:space="0"/>
            </w:tcBorders>
            <w:vAlign w:val="center"/>
          </w:tcPr>
          <w:p w14:paraId="1CEC5847">
            <w:pPr>
              <w:widowControl/>
              <w:jc w:val="center"/>
              <w:textAlignment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张</w:t>
            </w:r>
          </w:p>
        </w:tc>
        <w:tc>
          <w:tcPr>
            <w:tcW w:w="4903" w:type="dxa"/>
            <w:tcBorders>
              <w:top w:val="single" w:color="auto" w:sz="4" w:space="0"/>
              <w:left w:val="single" w:color="auto" w:sz="4" w:space="0"/>
              <w:right w:val="single" w:color="auto" w:sz="4" w:space="0"/>
            </w:tcBorders>
            <w:vAlign w:val="center"/>
          </w:tcPr>
          <w:p w14:paraId="287DDFD0">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1.规格：1400*600*750mm</w:t>
            </w:r>
            <w:r>
              <w:rPr>
                <w:rFonts w:hint="eastAsia" w:ascii="宋体" w:hAnsi="宋体"/>
                <w:color w:val="auto"/>
                <w:szCs w:val="21"/>
                <w:highlight w:val="none"/>
                <w:lang w:eastAsia="zh-CN"/>
              </w:rPr>
              <w:t>；</w:t>
            </w:r>
          </w:p>
          <w:p w14:paraId="3BFDE5C7">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2.桌面采用25mm厚多层实木板，板材表面防霉性能、抗菌性能、外观质量必须符合GB/T 34722-2017《浸渍胶膜纸饰面胶合板和细木工板》、QB/T 4371-2012《家具抗菌性能的评价》、LY/T 2230-2013《人造板防霉性能评价》等标准要求</w:t>
            </w:r>
            <w:r>
              <w:rPr>
                <w:rFonts w:hint="eastAsia" w:ascii="宋体" w:hAnsi="宋体"/>
                <w:color w:val="auto"/>
                <w:szCs w:val="21"/>
                <w:highlight w:val="none"/>
                <w:lang w:eastAsia="zh-CN"/>
              </w:rPr>
              <w:t>；</w:t>
            </w:r>
          </w:p>
          <w:p w14:paraId="5ECA55C6">
            <w:pPr>
              <w:widowControl/>
              <w:jc w:val="left"/>
              <w:textAlignment w:val="center"/>
              <w:rPr>
                <w:rFonts w:ascii="宋体" w:hAnsi="宋体"/>
                <w:color w:val="auto"/>
                <w:szCs w:val="21"/>
                <w:highlight w:val="none"/>
              </w:rPr>
            </w:pPr>
            <w:r>
              <w:rPr>
                <w:rFonts w:hint="eastAsia" w:ascii="宋体" w:hAnsi="宋体"/>
                <w:color w:val="auto"/>
                <w:szCs w:val="21"/>
                <w:highlight w:val="none"/>
              </w:rPr>
              <w:t>3.脚架采用优质50*50方管，表面高温静电喷塑，塑粉必须符合HG/T 2006-2022《热固性和热塑性粉末涂料》标准要求。</w:t>
            </w:r>
          </w:p>
        </w:tc>
        <w:tc>
          <w:tcPr>
            <w:tcW w:w="1639" w:type="dxa"/>
            <w:tcBorders>
              <w:top w:val="single" w:color="auto" w:sz="4" w:space="0"/>
              <w:left w:val="single" w:color="auto" w:sz="4" w:space="0"/>
              <w:right w:val="single" w:color="auto" w:sz="4" w:space="0"/>
            </w:tcBorders>
            <w:vAlign w:val="center"/>
          </w:tcPr>
          <w:p w14:paraId="470B267B">
            <w:pPr>
              <w:widowControl/>
              <w:jc w:val="left"/>
              <w:textAlignment w:val="center"/>
              <w:rPr>
                <w:rFonts w:ascii="宋体" w:hAnsi="宋体"/>
                <w:color w:val="auto"/>
                <w:szCs w:val="21"/>
                <w:highlight w:val="none"/>
              </w:rPr>
            </w:pPr>
            <w:r>
              <w:rPr>
                <w:color w:val="auto"/>
                <w:highlight w:val="none"/>
              </w:rPr>
              <w:drawing>
                <wp:inline distT="0" distB="0" distL="0" distR="0">
                  <wp:extent cx="1015365" cy="542925"/>
                  <wp:effectExtent l="0" t="0" r="13335" b="9525"/>
                  <wp:docPr id="1035" name="图片 6"/>
                  <wp:cNvGraphicFramePr/>
                  <a:graphic xmlns:a="http://schemas.openxmlformats.org/drawingml/2006/main">
                    <a:graphicData uri="http://schemas.openxmlformats.org/drawingml/2006/picture">
                      <pic:pic xmlns:pic="http://schemas.openxmlformats.org/drawingml/2006/picture">
                        <pic:nvPicPr>
                          <pic:cNvPr id="1035" name="图片 6"/>
                          <pic:cNvPicPr/>
                        </pic:nvPicPr>
                        <pic:blipFill>
                          <a:blip r:embed="rId14" cstate="print"/>
                          <a:srcRect/>
                          <a:stretch>
                            <a:fillRect/>
                          </a:stretch>
                        </pic:blipFill>
                        <pic:spPr>
                          <a:xfrm>
                            <a:off x="0" y="0"/>
                            <a:ext cx="1015365" cy="542925"/>
                          </a:xfrm>
                          <a:prstGeom prst="rect">
                            <a:avLst/>
                          </a:prstGeom>
                          <a:ln>
                            <a:noFill/>
                          </a:ln>
                        </pic:spPr>
                      </pic:pic>
                    </a:graphicData>
                  </a:graphic>
                </wp:inline>
              </w:drawing>
            </w:r>
          </w:p>
        </w:tc>
      </w:tr>
      <w:tr w14:paraId="02183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26" w:type="dxa"/>
            <w:tcBorders>
              <w:top w:val="single" w:color="auto" w:sz="4" w:space="0"/>
              <w:left w:val="single" w:color="auto" w:sz="4" w:space="0"/>
              <w:right w:val="single" w:color="auto" w:sz="4" w:space="0"/>
            </w:tcBorders>
            <w:vAlign w:val="center"/>
          </w:tcPr>
          <w:p w14:paraId="4DB53F7F">
            <w:pPr>
              <w:widowControl/>
              <w:jc w:val="center"/>
              <w:textAlignment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11</w:t>
            </w:r>
          </w:p>
        </w:tc>
        <w:tc>
          <w:tcPr>
            <w:tcW w:w="1276" w:type="dxa"/>
            <w:tcBorders>
              <w:top w:val="single" w:color="auto" w:sz="4" w:space="0"/>
              <w:left w:val="single" w:color="auto" w:sz="4" w:space="0"/>
              <w:right w:val="single" w:color="auto" w:sz="4" w:space="0"/>
            </w:tcBorders>
            <w:vAlign w:val="center"/>
          </w:tcPr>
          <w:p w14:paraId="569BE89B">
            <w:pPr>
              <w:widowControl/>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rPr>
              <w:t>接待沙发</w:t>
            </w:r>
          </w:p>
        </w:tc>
        <w:tc>
          <w:tcPr>
            <w:tcW w:w="789" w:type="dxa"/>
            <w:gridSpan w:val="2"/>
            <w:tcBorders>
              <w:top w:val="single" w:color="auto" w:sz="4" w:space="0"/>
              <w:left w:val="single" w:color="auto" w:sz="4" w:space="0"/>
              <w:right w:val="single" w:color="auto" w:sz="4" w:space="0"/>
            </w:tcBorders>
            <w:vAlign w:val="center"/>
          </w:tcPr>
          <w:p w14:paraId="58ACCF43">
            <w:pPr>
              <w:jc w:val="center"/>
              <w:rPr>
                <w:rFonts w:hint="default"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16</w:t>
            </w:r>
          </w:p>
        </w:tc>
        <w:tc>
          <w:tcPr>
            <w:tcW w:w="911" w:type="dxa"/>
            <w:tcBorders>
              <w:top w:val="single" w:color="auto" w:sz="4" w:space="0"/>
              <w:left w:val="single" w:color="auto" w:sz="4" w:space="0"/>
              <w:right w:val="single" w:color="auto" w:sz="4" w:space="0"/>
            </w:tcBorders>
            <w:vAlign w:val="center"/>
          </w:tcPr>
          <w:p w14:paraId="4E558A39">
            <w:pPr>
              <w:widowControl/>
              <w:jc w:val="center"/>
              <w:textAlignment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张</w:t>
            </w:r>
          </w:p>
        </w:tc>
        <w:tc>
          <w:tcPr>
            <w:tcW w:w="4903" w:type="dxa"/>
            <w:tcBorders>
              <w:top w:val="single" w:color="auto" w:sz="4" w:space="0"/>
              <w:left w:val="single" w:color="auto" w:sz="4" w:space="0"/>
              <w:right w:val="single" w:color="auto" w:sz="4" w:space="0"/>
            </w:tcBorders>
            <w:vAlign w:val="center"/>
          </w:tcPr>
          <w:p w14:paraId="6642FE90">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1.规格：1060×880×920mm</w:t>
            </w:r>
            <w:r>
              <w:rPr>
                <w:rFonts w:hint="eastAsia" w:ascii="宋体" w:hAnsi="宋体"/>
                <w:color w:val="auto"/>
                <w:szCs w:val="21"/>
                <w:highlight w:val="none"/>
                <w:lang w:eastAsia="zh-CN"/>
              </w:rPr>
              <w:t>；</w:t>
            </w:r>
          </w:p>
          <w:p w14:paraId="472991C8">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2.面料：采用优质布料，防磨防污性好</w:t>
            </w:r>
            <w:r>
              <w:rPr>
                <w:rFonts w:hint="eastAsia" w:ascii="宋体" w:hAnsi="宋体"/>
                <w:color w:val="auto"/>
                <w:szCs w:val="21"/>
                <w:highlight w:val="none"/>
                <w:lang w:eastAsia="zh-CN"/>
              </w:rPr>
              <w:t>；</w:t>
            </w:r>
          </w:p>
          <w:p w14:paraId="134F04D8">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3.辅料：采用优质海绵，密度高，回弹率好</w:t>
            </w:r>
            <w:r>
              <w:rPr>
                <w:rFonts w:hint="eastAsia" w:ascii="宋体" w:hAnsi="宋体"/>
                <w:color w:val="auto"/>
                <w:szCs w:val="21"/>
                <w:highlight w:val="none"/>
                <w:lang w:eastAsia="zh-CN"/>
              </w:rPr>
              <w:t>；</w:t>
            </w:r>
          </w:p>
          <w:p w14:paraId="3BD00102">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4.内部框架：采用E1级优质环保型胶合板，板材表面防霉性能、抗菌性能、外观质量必须符合GB/T 34722-2017《浸渍胶膜纸饰面胶合板和细木工板》、QB/T 4371-2012《家具抗菌性能的评价》、LY/T 2230-2013《人造板防霉性能评价》等标准要求</w:t>
            </w:r>
            <w:r>
              <w:rPr>
                <w:rFonts w:hint="eastAsia" w:ascii="宋体" w:hAnsi="宋体"/>
                <w:color w:val="auto"/>
                <w:szCs w:val="21"/>
                <w:highlight w:val="none"/>
                <w:lang w:eastAsia="zh-CN"/>
              </w:rPr>
              <w:t>；</w:t>
            </w:r>
          </w:p>
          <w:p w14:paraId="1A2D1578">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5.框架基材：采用优质实木</w:t>
            </w:r>
            <w:r>
              <w:rPr>
                <w:rFonts w:hint="eastAsia" w:ascii="宋体" w:hAnsi="宋体"/>
                <w:color w:val="auto"/>
                <w:szCs w:val="21"/>
                <w:highlight w:val="none"/>
                <w:lang w:eastAsia="zh-CN"/>
              </w:rPr>
              <w:t>；</w:t>
            </w:r>
          </w:p>
          <w:p w14:paraId="54D6F340">
            <w:pPr>
              <w:widowControl/>
              <w:jc w:val="left"/>
              <w:textAlignment w:val="center"/>
              <w:rPr>
                <w:rFonts w:ascii="宋体" w:hAnsi="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color w:val="auto"/>
                <w:szCs w:val="21"/>
                <w:highlight w:val="none"/>
              </w:rPr>
              <w:t>6.油漆：采用优质环保型PU 聚酯漆，底漆和面漆的乙二醇醚及醚酯总和含量;多环芳烃总和含量:苯含量;卤代烃总和含量必须符合GB 18581-2020《木器涂料中有害物质限量》标准。</w:t>
            </w:r>
          </w:p>
        </w:tc>
        <w:tc>
          <w:tcPr>
            <w:tcW w:w="1639" w:type="dxa"/>
            <w:tcBorders>
              <w:top w:val="single" w:color="auto" w:sz="4" w:space="0"/>
              <w:left w:val="single" w:color="auto" w:sz="4" w:space="0"/>
              <w:right w:val="single" w:color="auto" w:sz="4" w:space="0"/>
            </w:tcBorders>
            <w:vAlign w:val="center"/>
          </w:tcPr>
          <w:p w14:paraId="66101BC0">
            <w:pPr>
              <w:widowControl/>
              <w:jc w:val="left"/>
              <w:textAlignment w:val="center"/>
              <w:rPr>
                <w:rFonts w:ascii="宋体" w:hAnsi="宋体"/>
                <w:color w:val="auto"/>
                <w:szCs w:val="21"/>
                <w:highlight w:val="none"/>
              </w:rPr>
            </w:pPr>
            <w:r>
              <w:rPr>
                <w:color w:val="auto"/>
                <w:highlight w:val="none"/>
              </w:rPr>
              <w:drawing>
                <wp:inline distT="0" distB="0" distL="0" distR="0">
                  <wp:extent cx="960755" cy="732155"/>
                  <wp:effectExtent l="0" t="0" r="10795" b="10795"/>
                  <wp:docPr id="1036" name="图片 31"/>
                  <wp:cNvGraphicFramePr/>
                  <a:graphic xmlns:a="http://schemas.openxmlformats.org/drawingml/2006/main">
                    <a:graphicData uri="http://schemas.openxmlformats.org/drawingml/2006/picture">
                      <pic:pic xmlns:pic="http://schemas.openxmlformats.org/drawingml/2006/picture">
                        <pic:nvPicPr>
                          <pic:cNvPr id="1036" name="图片 31"/>
                          <pic:cNvPicPr/>
                        </pic:nvPicPr>
                        <pic:blipFill>
                          <a:blip r:embed="rId15" cstate="print"/>
                          <a:srcRect/>
                          <a:stretch>
                            <a:fillRect/>
                          </a:stretch>
                        </pic:blipFill>
                        <pic:spPr>
                          <a:xfrm>
                            <a:off x="0" y="0"/>
                            <a:ext cx="960755" cy="732155"/>
                          </a:xfrm>
                          <a:prstGeom prst="rect">
                            <a:avLst/>
                          </a:prstGeom>
                          <a:ln>
                            <a:noFill/>
                          </a:ln>
                        </pic:spPr>
                      </pic:pic>
                    </a:graphicData>
                  </a:graphic>
                </wp:inline>
              </w:drawing>
            </w:r>
          </w:p>
        </w:tc>
      </w:tr>
      <w:tr w14:paraId="3116C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426" w:type="dxa"/>
            <w:tcBorders>
              <w:top w:val="single" w:color="auto" w:sz="4" w:space="0"/>
              <w:left w:val="single" w:color="auto" w:sz="4" w:space="0"/>
              <w:right w:val="single" w:color="auto" w:sz="4" w:space="0"/>
            </w:tcBorders>
            <w:vAlign w:val="center"/>
          </w:tcPr>
          <w:p w14:paraId="139C84CB">
            <w:pPr>
              <w:widowControl/>
              <w:jc w:val="center"/>
              <w:textAlignment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12</w:t>
            </w:r>
          </w:p>
        </w:tc>
        <w:tc>
          <w:tcPr>
            <w:tcW w:w="1276" w:type="dxa"/>
            <w:tcBorders>
              <w:top w:val="single" w:color="auto" w:sz="4" w:space="0"/>
              <w:left w:val="single" w:color="auto" w:sz="4" w:space="0"/>
              <w:right w:val="single" w:color="auto" w:sz="4" w:space="0"/>
            </w:tcBorders>
            <w:vAlign w:val="center"/>
          </w:tcPr>
          <w:p w14:paraId="61BE3A07">
            <w:pPr>
              <w:widowControl/>
              <w:jc w:val="center"/>
              <w:textAlignment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茶几</w:t>
            </w:r>
          </w:p>
        </w:tc>
        <w:tc>
          <w:tcPr>
            <w:tcW w:w="789" w:type="dxa"/>
            <w:gridSpan w:val="2"/>
            <w:tcBorders>
              <w:top w:val="single" w:color="auto" w:sz="4" w:space="0"/>
              <w:left w:val="single" w:color="auto" w:sz="4" w:space="0"/>
              <w:right w:val="single" w:color="auto" w:sz="4" w:space="0"/>
            </w:tcBorders>
            <w:vAlign w:val="center"/>
          </w:tcPr>
          <w:p w14:paraId="28E5965B">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911" w:type="dxa"/>
            <w:tcBorders>
              <w:top w:val="single" w:color="auto" w:sz="4" w:space="0"/>
              <w:left w:val="single" w:color="auto" w:sz="4" w:space="0"/>
              <w:right w:val="single" w:color="auto" w:sz="4" w:space="0"/>
            </w:tcBorders>
            <w:vAlign w:val="center"/>
          </w:tcPr>
          <w:p w14:paraId="63C6A115">
            <w:pPr>
              <w:widowControl/>
              <w:jc w:val="center"/>
              <w:textAlignment w:val="center"/>
              <w:rPr>
                <w:rFonts w:ascii="宋体" w:hAnsi="宋体"/>
                <w:color w:val="auto"/>
                <w:szCs w:val="21"/>
                <w:highlight w:val="none"/>
              </w:rPr>
            </w:pPr>
            <w:r>
              <w:rPr>
                <w:rFonts w:hint="eastAsia" w:ascii="宋体" w:hAnsi="宋体"/>
                <w:color w:val="auto"/>
                <w:szCs w:val="21"/>
                <w:highlight w:val="none"/>
                <w:lang w:val="en-US" w:eastAsia="zh-CN"/>
              </w:rPr>
              <w:t>张</w:t>
            </w:r>
          </w:p>
        </w:tc>
        <w:tc>
          <w:tcPr>
            <w:tcW w:w="4903" w:type="dxa"/>
            <w:tcBorders>
              <w:top w:val="single" w:color="auto" w:sz="4" w:space="0"/>
              <w:left w:val="single" w:color="auto" w:sz="4" w:space="0"/>
              <w:right w:val="single" w:color="auto" w:sz="4" w:space="0"/>
            </w:tcBorders>
            <w:vAlign w:val="center"/>
          </w:tcPr>
          <w:p w14:paraId="03FD9DA7">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规格：600×400×480mm</w:t>
            </w:r>
            <w:r>
              <w:rPr>
                <w:rFonts w:hint="eastAsia" w:ascii="宋体" w:hAnsi="宋体"/>
                <w:color w:val="auto"/>
                <w:szCs w:val="21"/>
                <w:highlight w:val="none"/>
                <w:lang w:eastAsia="zh-CN"/>
              </w:rPr>
              <w:t>。</w:t>
            </w:r>
          </w:p>
          <w:p w14:paraId="0B7E535A">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1.基材：采用E0级中密度纤维板，板材苯、甲苯、二甲苯有害物质必须符合GB/T35601-2017《绿色产品评价人造板和木质地板》标准要求</w:t>
            </w:r>
            <w:r>
              <w:rPr>
                <w:rFonts w:hint="eastAsia" w:ascii="宋体" w:hAnsi="宋体"/>
                <w:color w:val="auto"/>
                <w:szCs w:val="21"/>
                <w:highlight w:val="none"/>
                <w:lang w:eastAsia="zh-CN"/>
              </w:rPr>
              <w:t>；</w:t>
            </w:r>
          </w:p>
          <w:p w14:paraId="4F67B93C">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2.木皮饰面：采用0.6mm厚胡桃木皮</w:t>
            </w:r>
            <w:r>
              <w:rPr>
                <w:rFonts w:hint="eastAsia" w:ascii="宋体" w:hAnsi="宋体"/>
                <w:color w:val="auto"/>
                <w:szCs w:val="21"/>
                <w:highlight w:val="none"/>
                <w:lang w:eastAsia="zh-CN"/>
              </w:rPr>
              <w:t>；</w:t>
            </w:r>
          </w:p>
          <w:p w14:paraId="5FA3C927">
            <w:pPr>
              <w:widowControl/>
              <w:jc w:val="left"/>
              <w:textAlignment w:val="center"/>
              <w:rPr>
                <w:rFonts w:ascii="宋体" w:hAnsi="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color w:val="auto"/>
                <w:szCs w:val="21"/>
                <w:highlight w:val="none"/>
              </w:rPr>
              <w:t>3.油漆：采用环保型PU聚酯漆，底漆和面漆的乙二醇醚及醚酯总和含量;多环芳烃总和含量:苯含量;卤代烃总和含量必须符合GB 18581-2020《木器涂料中有害物质限量》标准。</w:t>
            </w:r>
          </w:p>
        </w:tc>
        <w:tc>
          <w:tcPr>
            <w:tcW w:w="1639" w:type="dxa"/>
            <w:tcBorders>
              <w:top w:val="single" w:color="auto" w:sz="4" w:space="0"/>
              <w:left w:val="single" w:color="auto" w:sz="4" w:space="0"/>
              <w:right w:val="single" w:color="auto" w:sz="4" w:space="0"/>
            </w:tcBorders>
            <w:vAlign w:val="center"/>
          </w:tcPr>
          <w:p w14:paraId="166EC34B">
            <w:pPr>
              <w:widowControl/>
              <w:jc w:val="left"/>
              <w:textAlignment w:val="center"/>
              <w:rPr>
                <w:rFonts w:ascii="宋体" w:hAnsi="宋体"/>
                <w:color w:val="auto"/>
                <w:szCs w:val="21"/>
                <w:highlight w:val="none"/>
              </w:rPr>
            </w:pPr>
            <w:r>
              <w:rPr>
                <w:color w:val="auto"/>
                <w:highlight w:val="none"/>
              </w:rPr>
              <w:drawing>
                <wp:inline distT="0" distB="0" distL="0" distR="0">
                  <wp:extent cx="795655" cy="673100"/>
                  <wp:effectExtent l="0" t="0" r="4445" b="12700"/>
                  <wp:docPr id="1037" name="图片 5"/>
                  <wp:cNvGraphicFramePr/>
                  <a:graphic xmlns:a="http://schemas.openxmlformats.org/drawingml/2006/main">
                    <a:graphicData uri="http://schemas.openxmlformats.org/drawingml/2006/picture">
                      <pic:pic xmlns:pic="http://schemas.openxmlformats.org/drawingml/2006/picture">
                        <pic:nvPicPr>
                          <pic:cNvPr id="1037" name="图片 5"/>
                          <pic:cNvPicPr/>
                        </pic:nvPicPr>
                        <pic:blipFill>
                          <a:blip r:embed="rId16" cstate="print"/>
                          <a:srcRect/>
                          <a:stretch>
                            <a:fillRect/>
                          </a:stretch>
                        </pic:blipFill>
                        <pic:spPr>
                          <a:xfrm>
                            <a:off x="0" y="0"/>
                            <a:ext cx="795655" cy="673100"/>
                          </a:xfrm>
                          <a:prstGeom prst="rect">
                            <a:avLst/>
                          </a:prstGeom>
                          <a:ln>
                            <a:noFill/>
                          </a:ln>
                        </pic:spPr>
                      </pic:pic>
                    </a:graphicData>
                  </a:graphic>
                </wp:inline>
              </w:drawing>
            </w:r>
          </w:p>
        </w:tc>
      </w:tr>
      <w:tr w14:paraId="5C61AA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426" w:type="dxa"/>
            <w:tcBorders>
              <w:top w:val="single" w:color="auto" w:sz="4" w:space="0"/>
              <w:left w:val="single" w:color="auto" w:sz="4" w:space="0"/>
              <w:right w:val="single" w:color="auto" w:sz="4" w:space="0"/>
            </w:tcBorders>
            <w:vAlign w:val="center"/>
          </w:tcPr>
          <w:p w14:paraId="6BFB8997">
            <w:pPr>
              <w:widowControl/>
              <w:jc w:val="center"/>
              <w:textAlignment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13</w:t>
            </w:r>
          </w:p>
        </w:tc>
        <w:tc>
          <w:tcPr>
            <w:tcW w:w="1276" w:type="dxa"/>
            <w:tcBorders>
              <w:top w:val="single" w:color="auto" w:sz="4" w:space="0"/>
              <w:left w:val="single" w:color="auto" w:sz="4" w:space="0"/>
              <w:right w:val="single" w:color="auto" w:sz="4" w:space="0"/>
            </w:tcBorders>
            <w:vAlign w:val="center"/>
          </w:tcPr>
          <w:p w14:paraId="7218C96E">
            <w:pPr>
              <w:widowControl/>
              <w:jc w:val="center"/>
              <w:textAlignment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茶几</w:t>
            </w:r>
          </w:p>
        </w:tc>
        <w:tc>
          <w:tcPr>
            <w:tcW w:w="789" w:type="dxa"/>
            <w:gridSpan w:val="2"/>
            <w:tcBorders>
              <w:top w:val="single" w:color="auto" w:sz="4" w:space="0"/>
              <w:left w:val="single" w:color="auto" w:sz="4" w:space="0"/>
              <w:right w:val="single" w:color="auto" w:sz="4" w:space="0"/>
            </w:tcBorders>
            <w:vAlign w:val="center"/>
          </w:tcPr>
          <w:p w14:paraId="722090B6">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911" w:type="dxa"/>
            <w:tcBorders>
              <w:top w:val="single" w:color="auto" w:sz="4" w:space="0"/>
              <w:left w:val="single" w:color="auto" w:sz="4" w:space="0"/>
              <w:right w:val="single" w:color="auto" w:sz="4" w:space="0"/>
            </w:tcBorders>
            <w:vAlign w:val="center"/>
          </w:tcPr>
          <w:p w14:paraId="5D5476E5">
            <w:pPr>
              <w:widowControl/>
              <w:jc w:val="center"/>
              <w:textAlignment w:val="center"/>
              <w:rPr>
                <w:rFonts w:ascii="宋体" w:hAnsi="宋体"/>
                <w:color w:val="auto"/>
                <w:szCs w:val="21"/>
                <w:highlight w:val="none"/>
              </w:rPr>
            </w:pPr>
            <w:r>
              <w:rPr>
                <w:rFonts w:hint="eastAsia" w:ascii="宋体" w:hAnsi="宋体"/>
                <w:color w:val="auto"/>
                <w:szCs w:val="21"/>
                <w:highlight w:val="none"/>
                <w:lang w:val="en-US" w:eastAsia="zh-CN"/>
              </w:rPr>
              <w:t>张</w:t>
            </w:r>
          </w:p>
        </w:tc>
        <w:tc>
          <w:tcPr>
            <w:tcW w:w="4903" w:type="dxa"/>
            <w:tcBorders>
              <w:top w:val="single" w:color="auto" w:sz="4" w:space="0"/>
              <w:left w:val="single" w:color="auto" w:sz="4" w:space="0"/>
              <w:right w:val="single" w:color="auto" w:sz="4" w:space="0"/>
            </w:tcBorders>
            <w:vAlign w:val="center"/>
          </w:tcPr>
          <w:p w14:paraId="703C0620">
            <w:pPr>
              <w:widowControl/>
              <w:tabs>
                <w:tab w:val="left" w:pos="1289"/>
              </w:tabs>
              <w:jc w:val="left"/>
              <w:textAlignment w:val="center"/>
              <w:rPr>
                <w:rFonts w:hint="eastAsia" w:ascii="宋体" w:hAnsi="宋体"/>
                <w:color w:val="auto"/>
                <w:szCs w:val="21"/>
                <w:highlight w:val="none"/>
                <w:lang w:eastAsia="zh-CN"/>
              </w:rPr>
            </w:pPr>
            <w:r>
              <w:rPr>
                <w:rFonts w:hint="eastAsia" w:ascii="宋体" w:hAnsi="宋体"/>
                <w:color w:val="auto"/>
                <w:szCs w:val="21"/>
                <w:highlight w:val="none"/>
                <w:lang w:eastAsia="zh-CN"/>
              </w:rPr>
              <w:t>规格：1200×600×480mm。</w:t>
            </w:r>
          </w:p>
          <w:p w14:paraId="7A40C0CC">
            <w:pPr>
              <w:widowControl/>
              <w:tabs>
                <w:tab w:val="left" w:pos="1289"/>
              </w:tabs>
              <w:jc w:val="left"/>
              <w:textAlignment w:val="center"/>
              <w:rPr>
                <w:rFonts w:hint="eastAsia" w:ascii="宋体" w:hAnsi="宋体"/>
                <w:color w:val="auto"/>
                <w:szCs w:val="21"/>
                <w:highlight w:val="none"/>
                <w:lang w:eastAsia="zh-CN"/>
              </w:rPr>
            </w:pPr>
            <w:r>
              <w:rPr>
                <w:rFonts w:hint="eastAsia" w:ascii="宋体" w:hAnsi="宋体"/>
                <w:color w:val="auto"/>
                <w:szCs w:val="21"/>
                <w:highlight w:val="none"/>
                <w:lang w:eastAsia="zh-CN"/>
              </w:rPr>
              <w:t>1.基材：采用E0级中密度纤维板，板材苯、甲苯、二甲苯有害物质必须符合GB/T35601-2017《绿色产品评价人造板和木质地板》标准要求；</w:t>
            </w:r>
          </w:p>
          <w:p w14:paraId="21EEBF1A">
            <w:pPr>
              <w:widowControl/>
              <w:tabs>
                <w:tab w:val="left" w:pos="1289"/>
              </w:tabs>
              <w:jc w:val="left"/>
              <w:textAlignment w:val="center"/>
              <w:rPr>
                <w:rFonts w:hint="eastAsia" w:ascii="宋体" w:hAnsi="宋体"/>
                <w:color w:val="auto"/>
                <w:szCs w:val="21"/>
                <w:highlight w:val="none"/>
                <w:lang w:eastAsia="zh-CN"/>
              </w:rPr>
            </w:pPr>
            <w:r>
              <w:rPr>
                <w:rFonts w:hint="eastAsia" w:ascii="宋体" w:hAnsi="宋体"/>
                <w:color w:val="auto"/>
                <w:szCs w:val="21"/>
                <w:highlight w:val="none"/>
                <w:lang w:eastAsia="zh-CN"/>
              </w:rPr>
              <w:t>2.木皮饰面：采用0.6mm厚胡桃木皮；</w:t>
            </w:r>
          </w:p>
          <w:p w14:paraId="282435EC">
            <w:pPr>
              <w:widowControl/>
              <w:tabs>
                <w:tab w:val="left" w:pos="1289"/>
              </w:tabs>
              <w:jc w:val="left"/>
              <w:textAlignment w:val="center"/>
              <w:rPr>
                <w:rFonts w:hint="eastAsia" w:ascii="宋体" w:hAnsi="宋体" w:eastAsia="宋体"/>
                <w:color w:val="auto"/>
                <w:szCs w:val="21"/>
                <w:highlight w:val="none"/>
                <w:lang w:eastAsia="zh-CN"/>
              </w:rPr>
            </w:pPr>
            <w:r>
              <w:rPr>
                <w:rFonts w:hint="eastAsia" w:ascii="宋体" w:hAnsi="宋体" w:eastAsia="宋体" w:cs="宋体"/>
                <w:color w:val="auto"/>
                <w:szCs w:val="21"/>
                <w:highlight w:val="none"/>
                <w:lang w:val="en-US" w:eastAsia="zh-CN"/>
              </w:rPr>
              <w:t>▲</w:t>
            </w:r>
            <w:r>
              <w:rPr>
                <w:rFonts w:hint="eastAsia" w:ascii="宋体" w:hAnsi="宋体"/>
                <w:color w:val="auto"/>
                <w:szCs w:val="21"/>
                <w:highlight w:val="none"/>
                <w:lang w:eastAsia="zh-CN"/>
              </w:rPr>
              <w:t>3.油漆：采用环保型PU聚酯漆，底漆和面漆的乙二醇醚及醚酯总和含量;多环芳烃总和含量:苯含量;卤代烃总和含量必须符合GB 18581-2020《木器涂料中有害物质限量》标准。</w:t>
            </w:r>
          </w:p>
        </w:tc>
        <w:tc>
          <w:tcPr>
            <w:tcW w:w="1639" w:type="dxa"/>
            <w:tcBorders>
              <w:top w:val="single" w:color="auto" w:sz="4" w:space="0"/>
              <w:left w:val="single" w:color="auto" w:sz="4" w:space="0"/>
              <w:right w:val="single" w:color="auto" w:sz="4" w:space="0"/>
            </w:tcBorders>
            <w:vAlign w:val="center"/>
          </w:tcPr>
          <w:p w14:paraId="15E81160">
            <w:pPr>
              <w:widowControl/>
              <w:jc w:val="left"/>
              <w:textAlignment w:val="center"/>
              <w:rPr>
                <w:rFonts w:ascii="宋体" w:hAnsi="宋体"/>
                <w:color w:val="auto"/>
                <w:szCs w:val="21"/>
                <w:highlight w:val="none"/>
              </w:rPr>
            </w:pPr>
            <w:r>
              <w:rPr>
                <w:color w:val="auto"/>
                <w:highlight w:val="none"/>
              </w:rPr>
              <w:drawing>
                <wp:inline distT="0" distB="0" distL="0" distR="0">
                  <wp:extent cx="795655" cy="673100"/>
                  <wp:effectExtent l="0" t="0" r="4445" b="12700"/>
                  <wp:docPr id="1038" name="图片 5"/>
                  <wp:cNvGraphicFramePr/>
                  <a:graphic xmlns:a="http://schemas.openxmlformats.org/drawingml/2006/main">
                    <a:graphicData uri="http://schemas.openxmlformats.org/drawingml/2006/picture">
                      <pic:pic xmlns:pic="http://schemas.openxmlformats.org/drawingml/2006/picture">
                        <pic:nvPicPr>
                          <pic:cNvPr id="1038" name="图片 5"/>
                          <pic:cNvPicPr/>
                        </pic:nvPicPr>
                        <pic:blipFill>
                          <a:blip r:embed="rId16" cstate="print"/>
                          <a:srcRect/>
                          <a:stretch>
                            <a:fillRect/>
                          </a:stretch>
                        </pic:blipFill>
                        <pic:spPr>
                          <a:xfrm>
                            <a:off x="0" y="0"/>
                            <a:ext cx="795655" cy="673100"/>
                          </a:xfrm>
                          <a:prstGeom prst="rect">
                            <a:avLst/>
                          </a:prstGeom>
                          <a:ln>
                            <a:noFill/>
                          </a:ln>
                        </pic:spPr>
                      </pic:pic>
                    </a:graphicData>
                  </a:graphic>
                </wp:inline>
              </w:drawing>
            </w:r>
          </w:p>
        </w:tc>
      </w:tr>
      <w:tr w14:paraId="6678C2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26" w:type="dxa"/>
            <w:tcBorders>
              <w:top w:val="single" w:color="auto" w:sz="4" w:space="0"/>
              <w:left w:val="single" w:color="auto" w:sz="4" w:space="0"/>
              <w:right w:val="single" w:color="auto" w:sz="4" w:space="0"/>
            </w:tcBorders>
            <w:vAlign w:val="center"/>
          </w:tcPr>
          <w:p w14:paraId="4B81BF8D">
            <w:pPr>
              <w:widowControl/>
              <w:jc w:val="center"/>
              <w:textAlignment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14</w:t>
            </w:r>
          </w:p>
        </w:tc>
        <w:tc>
          <w:tcPr>
            <w:tcW w:w="1276" w:type="dxa"/>
            <w:tcBorders>
              <w:top w:val="single" w:color="auto" w:sz="4" w:space="0"/>
              <w:left w:val="single" w:color="auto" w:sz="4" w:space="0"/>
              <w:right w:val="single" w:color="auto" w:sz="4" w:space="0"/>
            </w:tcBorders>
            <w:vAlign w:val="center"/>
          </w:tcPr>
          <w:p w14:paraId="7E704487">
            <w:pPr>
              <w:widowControl/>
              <w:jc w:val="center"/>
              <w:textAlignment w:val="center"/>
              <w:rPr>
                <w:rFonts w:ascii="宋体" w:hAnsi="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rPr>
              <w:t>会议桌</w:t>
            </w:r>
          </w:p>
        </w:tc>
        <w:tc>
          <w:tcPr>
            <w:tcW w:w="789" w:type="dxa"/>
            <w:gridSpan w:val="2"/>
            <w:tcBorders>
              <w:top w:val="single" w:color="auto" w:sz="4" w:space="0"/>
              <w:left w:val="single" w:color="auto" w:sz="4" w:space="0"/>
              <w:right w:val="single" w:color="auto" w:sz="4" w:space="0"/>
            </w:tcBorders>
            <w:vAlign w:val="center"/>
          </w:tcPr>
          <w:p w14:paraId="7C4551F9">
            <w:pPr>
              <w:jc w:val="center"/>
              <w:rPr>
                <w:rFonts w:hint="default" w:ascii="宋体" w:hAnsi="宋体" w:eastAsia="宋体" w:cs="宋体"/>
                <w:color w:val="auto"/>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40</w:t>
            </w:r>
          </w:p>
        </w:tc>
        <w:tc>
          <w:tcPr>
            <w:tcW w:w="911" w:type="dxa"/>
            <w:tcBorders>
              <w:top w:val="single" w:color="auto" w:sz="4" w:space="0"/>
              <w:left w:val="single" w:color="auto" w:sz="4" w:space="0"/>
              <w:right w:val="single" w:color="auto" w:sz="4" w:space="0"/>
            </w:tcBorders>
            <w:vAlign w:val="center"/>
          </w:tcPr>
          <w:p w14:paraId="55BF496B">
            <w:pPr>
              <w:widowControl/>
              <w:jc w:val="center"/>
              <w:textAlignment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张</w:t>
            </w:r>
          </w:p>
        </w:tc>
        <w:tc>
          <w:tcPr>
            <w:tcW w:w="4903" w:type="dxa"/>
            <w:tcBorders>
              <w:top w:val="single" w:color="auto" w:sz="4" w:space="0"/>
              <w:left w:val="single" w:color="auto" w:sz="4" w:space="0"/>
              <w:right w:val="single" w:color="auto" w:sz="4" w:space="0"/>
            </w:tcBorders>
            <w:vAlign w:val="center"/>
          </w:tcPr>
          <w:p w14:paraId="753D65F0">
            <w:pPr>
              <w:widowControl/>
              <w:jc w:val="left"/>
              <w:textAlignment w:val="center"/>
              <w:rPr>
                <w:rFonts w:hint="eastAsia" w:ascii="宋体" w:hAnsi="宋体"/>
                <w:color w:val="auto"/>
                <w:szCs w:val="21"/>
                <w:highlight w:val="none"/>
              </w:rPr>
            </w:pPr>
            <w:r>
              <w:rPr>
                <w:rFonts w:hint="eastAsia" w:ascii="宋体" w:hAnsi="宋体"/>
                <w:color w:val="auto"/>
                <w:szCs w:val="21"/>
                <w:highlight w:val="none"/>
              </w:rPr>
              <w:t>规格：1400×500×760mm</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p>
          <w:p w14:paraId="2C9092A4">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1.基材：采用E0级中密度纤维板，板材苯、甲苯、二甲苯有害物质必须符合GB/T35601-2017《绿色产品评价人造板和木质地板》标准要求</w:t>
            </w:r>
            <w:r>
              <w:rPr>
                <w:rFonts w:hint="eastAsia" w:ascii="宋体" w:hAnsi="宋体"/>
                <w:color w:val="auto"/>
                <w:szCs w:val="21"/>
                <w:highlight w:val="none"/>
                <w:lang w:eastAsia="zh-CN"/>
              </w:rPr>
              <w:t>；</w:t>
            </w:r>
          </w:p>
          <w:p w14:paraId="65FFEAA0">
            <w:pPr>
              <w:widowControl/>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2.木皮饰面：采购0.6mm厚胡桃木皮</w:t>
            </w:r>
            <w:r>
              <w:rPr>
                <w:rFonts w:hint="eastAsia" w:ascii="宋体" w:hAnsi="宋体"/>
                <w:color w:val="auto"/>
                <w:szCs w:val="21"/>
                <w:highlight w:val="none"/>
                <w:lang w:eastAsia="zh-CN"/>
              </w:rPr>
              <w:t>；</w:t>
            </w:r>
          </w:p>
          <w:p w14:paraId="571F11D7">
            <w:pPr>
              <w:widowControl/>
              <w:jc w:val="left"/>
              <w:textAlignment w:val="center"/>
              <w:rPr>
                <w:rFonts w:hint="eastAsia" w:ascii="宋体" w:hAnsi="宋体" w:eastAsia="宋体"/>
                <w:color w:val="auto"/>
                <w:szCs w:val="21"/>
                <w:highlight w:val="none"/>
                <w:lang w:eastAsia="zh-CN"/>
              </w:rPr>
            </w:pPr>
            <w:r>
              <w:rPr>
                <w:rFonts w:hint="eastAsia" w:ascii="宋体" w:hAnsi="宋体" w:eastAsia="宋体" w:cs="宋体"/>
                <w:color w:val="auto"/>
                <w:szCs w:val="21"/>
                <w:highlight w:val="none"/>
                <w:lang w:val="en-US" w:eastAsia="zh-CN"/>
              </w:rPr>
              <w:t>▲</w:t>
            </w:r>
            <w:r>
              <w:rPr>
                <w:rFonts w:hint="eastAsia" w:ascii="宋体" w:hAnsi="宋体"/>
                <w:color w:val="auto"/>
                <w:szCs w:val="21"/>
                <w:highlight w:val="none"/>
              </w:rPr>
              <w:t>3.油漆：采用环保型PU聚酯漆，底漆和面漆的乙二醇醚及醚酯总和含量;多环芳烃总和含量:苯含量;卤代烃总和含量必须符合GB 18581-2020《木器涂料中有害物质限量》标准</w:t>
            </w:r>
            <w:r>
              <w:rPr>
                <w:rFonts w:hint="eastAsia" w:ascii="宋体" w:hAnsi="宋体"/>
                <w:color w:val="auto"/>
                <w:szCs w:val="21"/>
                <w:highlight w:val="none"/>
                <w:lang w:eastAsia="zh-CN"/>
              </w:rPr>
              <w:t>；</w:t>
            </w:r>
          </w:p>
          <w:p w14:paraId="3A69FD9A">
            <w:pPr>
              <w:widowControl/>
              <w:jc w:val="left"/>
              <w:textAlignment w:val="center"/>
              <w:rPr>
                <w:rFonts w:ascii="宋体" w:hAnsi="宋体"/>
                <w:color w:val="auto"/>
                <w:szCs w:val="21"/>
                <w:highlight w:val="none"/>
              </w:rPr>
            </w:pPr>
            <w:r>
              <w:rPr>
                <w:rFonts w:hint="eastAsia" w:ascii="宋体" w:hAnsi="宋体"/>
                <w:color w:val="auto"/>
                <w:szCs w:val="21"/>
                <w:highlight w:val="none"/>
              </w:rPr>
              <w:t>4.五金配件：采用优质三合一连接件。</w:t>
            </w:r>
          </w:p>
        </w:tc>
        <w:tc>
          <w:tcPr>
            <w:tcW w:w="1639" w:type="dxa"/>
            <w:tcBorders>
              <w:top w:val="single" w:color="auto" w:sz="4" w:space="0"/>
              <w:left w:val="single" w:color="auto" w:sz="4" w:space="0"/>
              <w:right w:val="single" w:color="auto" w:sz="4" w:space="0"/>
            </w:tcBorders>
            <w:vAlign w:val="center"/>
          </w:tcPr>
          <w:p w14:paraId="3579648A">
            <w:pPr>
              <w:widowControl/>
              <w:jc w:val="left"/>
              <w:textAlignment w:val="center"/>
              <w:rPr>
                <w:rFonts w:ascii="宋体" w:hAnsi="宋体"/>
                <w:color w:val="auto"/>
                <w:szCs w:val="21"/>
                <w:highlight w:val="none"/>
              </w:rPr>
            </w:pPr>
            <w:r>
              <w:rPr>
                <w:color w:val="auto"/>
                <w:highlight w:val="none"/>
              </w:rPr>
              <w:drawing>
                <wp:inline distT="0" distB="0" distL="0" distR="0">
                  <wp:extent cx="1006475" cy="617855"/>
                  <wp:effectExtent l="0" t="0" r="3175" b="10795"/>
                  <wp:docPr id="1039" name="图片 4"/>
                  <wp:cNvGraphicFramePr/>
                  <a:graphic xmlns:a="http://schemas.openxmlformats.org/drawingml/2006/main">
                    <a:graphicData uri="http://schemas.openxmlformats.org/drawingml/2006/picture">
                      <pic:pic xmlns:pic="http://schemas.openxmlformats.org/drawingml/2006/picture">
                        <pic:nvPicPr>
                          <pic:cNvPr id="1039" name="图片 4"/>
                          <pic:cNvPicPr/>
                        </pic:nvPicPr>
                        <pic:blipFill>
                          <a:blip r:embed="rId16" cstate="print"/>
                          <a:srcRect/>
                          <a:stretch>
                            <a:fillRect/>
                          </a:stretch>
                        </pic:blipFill>
                        <pic:spPr>
                          <a:xfrm>
                            <a:off x="0" y="0"/>
                            <a:ext cx="1006475" cy="617855"/>
                          </a:xfrm>
                          <a:prstGeom prst="rect">
                            <a:avLst/>
                          </a:prstGeom>
                          <a:ln>
                            <a:noFill/>
                          </a:ln>
                        </pic:spPr>
                      </pic:pic>
                    </a:graphicData>
                  </a:graphic>
                </wp:inline>
              </w:drawing>
            </w:r>
          </w:p>
        </w:tc>
      </w:tr>
      <w:tr w14:paraId="20416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9944" w:type="dxa"/>
            <w:gridSpan w:val="7"/>
            <w:tcBorders>
              <w:top w:val="single" w:color="auto" w:sz="4" w:space="0"/>
              <w:left w:val="single" w:color="auto" w:sz="4" w:space="0"/>
              <w:bottom w:val="single" w:color="auto" w:sz="4" w:space="0"/>
              <w:right w:val="single" w:color="auto" w:sz="4" w:space="0"/>
            </w:tcBorders>
            <w:vAlign w:val="center"/>
          </w:tcPr>
          <w:p w14:paraId="4856388F">
            <w:pPr>
              <w:widowControl/>
              <w:jc w:val="left"/>
              <w:textAlignment w:val="center"/>
              <w:rPr>
                <w:rFonts w:hint="eastAsia" w:hAnsi="宋体" w:cs="宋体"/>
                <w:b/>
                <w:bCs/>
                <w:color w:val="auto"/>
                <w:highlight w:val="none"/>
              </w:rPr>
            </w:pPr>
            <w:r>
              <w:rPr>
                <w:rFonts w:hint="eastAsia" w:hAnsi="宋体" w:cs="宋体"/>
                <w:b/>
                <w:bCs/>
                <w:color w:val="auto"/>
                <w:highlight w:val="none"/>
              </w:rPr>
              <w:t>备注：</w:t>
            </w:r>
          </w:p>
          <w:p w14:paraId="34F29B71">
            <w:pPr>
              <w:widowControl/>
              <w:numPr>
                <w:ilvl w:val="0"/>
                <w:numId w:val="11"/>
              </w:numPr>
              <w:jc w:val="left"/>
              <w:textAlignment w:val="center"/>
              <w:rPr>
                <w:rFonts w:ascii="宋体" w:hAnsi="宋体"/>
                <w:b/>
                <w:bCs/>
                <w:color w:val="auto"/>
                <w:szCs w:val="21"/>
                <w:highlight w:val="none"/>
              </w:rPr>
            </w:pPr>
            <w:r>
              <w:rPr>
                <w:rFonts w:hint="eastAsia" w:hAnsi="宋体" w:cs="宋体"/>
                <w:b/>
                <w:bCs/>
                <w:color w:val="auto"/>
                <w:highlight w:val="none"/>
              </w:rPr>
              <w:t>材质的要求及材质的厚度须满足或优于采购需求；产品性能须满足或优于用户要求。</w:t>
            </w:r>
          </w:p>
          <w:p w14:paraId="2393E2DC">
            <w:pPr>
              <w:widowControl/>
              <w:numPr>
                <w:ilvl w:val="0"/>
                <w:numId w:val="11"/>
              </w:numPr>
              <w:jc w:val="left"/>
              <w:textAlignment w:val="center"/>
              <w:rPr>
                <w:rFonts w:ascii="宋体" w:hAnsi="宋体"/>
                <w:color w:val="auto"/>
                <w:szCs w:val="21"/>
                <w:highlight w:val="none"/>
              </w:rPr>
            </w:pPr>
            <w:r>
              <w:rPr>
                <w:rFonts w:hint="eastAsia" w:ascii="宋体" w:hAnsi="宋体" w:cs="宋体"/>
                <w:b/>
                <w:bCs/>
                <w:color w:val="auto"/>
                <w:highlight w:val="none"/>
              </w:rPr>
              <w:t>引用的所有标准，如有更新或替换时，应执行最新标准。</w:t>
            </w:r>
          </w:p>
        </w:tc>
      </w:tr>
      <w:tr w14:paraId="167E8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944" w:type="dxa"/>
            <w:gridSpan w:val="7"/>
            <w:tcBorders>
              <w:top w:val="single" w:color="auto" w:sz="4" w:space="0"/>
              <w:left w:val="single" w:color="auto" w:sz="4" w:space="0"/>
              <w:bottom w:val="single" w:color="auto" w:sz="4" w:space="0"/>
              <w:right w:val="single" w:color="auto" w:sz="4" w:space="0"/>
            </w:tcBorders>
            <w:vAlign w:val="center"/>
          </w:tcPr>
          <w:p w14:paraId="3AF01EF7">
            <w:pPr>
              <w:widowControl/>
              <w:jc w:val="left"/>
              <w:textAlignment w:val="center"/>
              <w:rPr>
                <w:rFonts w:ascii="宋体" w:hAnsi="宋体"/>
                <w:color w:val="auto"/>
                <w:szCs w:val="21"/>
                <w:highlight w:val="none"/>
              </w:rPr>
            </w:pPr>
            <w:r>
              <w:rPr>
                <w:rFonts w:hint="eastAsia" w:ascii="宋体" w:hAnsi="宋体"/>
                <w:b/>
                <w:color w:val="auto"/>
                <w:szCs w:val="21"/>
                <w:highlight w:val="none"/>
              </w:rPr>
              <w:t>商务及其他要求表</w:t>
            </w:r>
            <w:r>
              <w:rPr>
                <w:rFonts w:hint="eastAsia" w:ascii="宋体" w:hAnsi="宋体"/>
                <w:color w:val="auto"/>
                <w:szCs w:val="21"/>
                <w:highlight w:val="none"/>
              </w:rPr>
              <w:t>：</w:t>
            </w:r>
          </w:p>
        </w:tc>
      </w:tr>
      <w:tr w14:paraId="093C5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917" w:type="dxa"/>
            <w:gridSpan w:val="3"/>
            <w:tcBorders>
              <w:top w:val="single" w:color="auto" w:sz="4" w:space="0"/>
              <w:left w:val="single" w:color="auto" w:sz="4" w:space="0"/>
              <w:bottom w:val="single" w:color="auto" w:sz="4" w:space="0"/>
              <w:right w:val="single" w:color="auto" w:sz="4" w:space="0"/>
            </w:tcBorders>
            <w:vAlign w:val="center"/>
          </w:tcPr>
          <w:p w14:paraId="371AF0EA">
            <w:pPr>
              <w:jc w:val="center"/>
              <w:rPr>
                <w:rFonts w:ascii="宋体" w:hAnsi="宋体"/>
                <w:color w:val="auto"/>
                <w:szCs w:val="21"/>
                <w:highlight w:val="none"/>
              </w:rPr>
            </w:pPr>
            <w:r>
              <w:rPr>
                <w:rFonts w:hint="eastAsia" w:ascii="宋体" w:hAnsi="宋体"/>
                <w:color w:val="auto"/>
                <w:szCs w:val="21"/>
                <w:highlight w:val="none"/>
              </w:rPr>
              <w:t>▲售后服务及其他</w:t>
            </w:r>
          </w:p>
          <w:p w14:paraId="4B618A1F">
            <w:pPr>
              <w:jc w:val="center"/>
              <w:rPr>
                <w:rFonts w:ascii="宋体" w:hAnsi="宋体"/>
                <w:color w:val="auto"/>
                <w:szCs w:val="21"/>
                <w:highlight w:val="none"/>
              </w:rPr>
            </w:pPr>
            <w:r>
              <w:rPr>
                <w:rFonts w:hint="eastAsia" w:ascii="宋体" w:hAnsi="宋体"/>
                <w:color w:val="auto"/>
                <w:szCs w:val="21"/>
                <w:highlight w:val="none"/>
              </w:rPr>
              <w:t>要求</w:t>
            </w:r>
          </w:p>
        </w:tc>
        <w:tc>
          <w:tcPr>
            <w:tcW w:w="8027" w:type="dxa"/>
            <w:gridSpan w:val="4"/>
            <w:tcBorders>
              <w:top w:val="single" w:color="auto" w:sz="4" w:space="0"/>
              <w:left w:val="single" w:color="auto" w:sz="4" w:space="0"/>
              <w:bottom w:val="single" w:color="auto" w:sz="4" w:space="0"/>
              <w:right w:val="single" w:color="auto" w:sz="4" w:space="0"/>
            </w:tcBorders>
            <w:vAlign w:val="center"/>
          </w:tcPr>
          <w:p w14:paraId="77F12B46">
            <w:pPr>
              <w:adjustRightInd w:val="0"/>
              <w:snapToGrid w:val="0"/>
              <w:rPr>
                <w:rFonts w:hint="eastAsia" w:ascii="宋体" w:hAnsi="宋体"/>
                <w:color w:val="auto"/>
                <w:szCs w:val="21"/>
                <w:highlight w:val="none"/>
              </w:rPr>
            </w:pPr>
            <w:r>
              <w:rPr>
                <w:rFonts w:hint="eastAsia" w:ascii="宋体" w:hAnsi="宋体"/>
                <w:color w:val="auto"/>
                <w:szCs w:val="21"/>
                <w:highlight w:val="none"/>
              </w:rPr>
              <w:t>1、合同签订期：自中标通知书发出之日起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30   </w:t>
            </w:r>
            <w:r>
              <w:rPr>
                <w:rFonts w:hint="eastAsia" w:ascii="宋体" w:hAnsi="宋体"/>
                <w:color w:val="auto"/>
                <w:szCs w:val="21"/>
                <w:highlight w:val="none"/>
              </w:rPr>
              <w:t>日历日内。</w:t>
            </w:r>
          </w:p>
          <w:p w14:paraId="44E96B69">
            <w:pPr>
              <w:adjustRightInd w:val="0"/>
              <w:snapToGrid w:val="0"/>
              <w:rPr>
                <w:rFonts w:hint="eastAsia" w:ascii="宋体" w:hAnsi="宋体"/>
                <w:color w:val="auto"/>
                <w:szCs w:val="21"/>
                <w:highlight w:val="none"/>
              </w:rPr>
            </w:pPr>
            <w:r>
              <w:rPr>
                <w:rFonts w:hint="eastAsia" w:ascii="宋体" w:hAnsi="宋体"/>
                <w:color w:val="auto"/>
                <w:szCs w:val="21"/>
                <w:highlight w:val="none"/>
              </w:rPr>
              <w:t>2、交付使用时间：自合同签订之日起</w:t>
            </w:r>
            <w:r>
              <w:rPr>
                <w:rFonts w:hint="eastAsia" w:ascii="宋体" w:hAnsi="宋体"/>
                <w:color w:val="auto"/>
                <w:szCs w:val="21"/>
                <w:highlight w:val="none"/>
                <w:u w:val="single"/>
                <w:lang w:val="en-US" w:eastAsia="zh-CN"/>
              </w:rPr>
              <w:t xml:space="preserve">  90  </w:t>
            </w:r>
            <w:r>
              <w:rPr>
                <w:rFonts w:hint="eastAsia" w:ascii="宋体" w:hAnsi="宋体"/>
                <w:color w:val="auto"/>
                <w:szCs w:val="21"/>
                <w:highlight w:val="none"/>
              </w:rPr>
              <w:t>日内交付到指定地点存放，在接到甲方的安装通知后，</w:t>
            </w:r>
            <w:r>
              <w:rPr>
                <w:rFonts w:hint="eastAsia" w:ascii="宋体" w:hAnsi="宋体"/>
                <w:color w:val="auto"/>
                <w:szCs w:val="21"/>
                <w:highlight w:val="none"/>
                <w:u w:val="single"/>
                <w:lang w:val="en-US" w:eastAsia="zh-CN"/>
              </w:rPr>
              <w:t xml:space="preserve">   60   </w:t>
            </w:r>
            <w:r>
              <w:rPr>
                <w:rFonts w:hint="eastAsia" w:ascii="宋体" w:hAnsi="宋体"/>
                <w:color w:val="auto"/>
                <w:szCs w:val="21"/>
                <w:highlight w:val="none"/>
              </w:rPr>
              <w:t>天内安装验收完毕。</w:t>
            </w:r>
          </w:p>
          <w:p w14:paraId="70A99C3F">
            <w:pPr>
              <w:adjustRightInd w:val="0"/>
              <w:snapToGrid w:val="0"/>
              <w:rPr>
                <w:rFonts w:hint="eastAsia" w:ascii="宋体" w:hAnsi="宋体"/>
                <w:color w:val="auto"/>
                <w:szCs w:val="21"/>
                <w:highlight w:val="none"/>
              </w:rPr>
            </w:pPr>
            <w:r>
              <w:rPr>
                <w:rFonts w:hint="eastAsia" w:ascii="宋体" w:hAnsi="宋体"/>
                <w:color w:val="auto"/>
                <w:szCs w:val="21"/>
                <w:highlight w:val="none"/>
              </w:rPr>
              <w:t>3、交货地点</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广西建设职业技术学院武鸣校区</w:t>
            </w:r>
            <w:r>
              <w:rPr>
                <w:rFonts w:hint="eastAsia" w:ascii="宋体" w:hAnsi="宋体"/>
                <w:color w:val="auto"/>
                <w:szCs w:val="21"/>
                <w:highlight w:val="none"/>
              </w:rPr>
              <w:t>（采购人指定地点）。</w:t>
            </w:r>
          </w:p>
          <w:p w14:paraId="332DAD4F">
            <w:pPr>
              <w:adjustRightInd w:val="0"/>
              <w:snapToGrid w:val="0"/>
              <w:rPr>
                <w:rFonts w:hint="eastAsia" w:ascii="宋体" w:hAnsi="宋体"/>
                <w:color w:val="auto"/>
                <w:szCs w:val="21"/>
                <w:highlight w:val="none"/>
              </w:rPr>
            </w:pPr>
            <w:r>
              <w:rPr>
                <w:rFonts w:hint="eastAsia" w:ascii="宋体" w:hAnsi="宋体"/>
                <w:color w:val="auto"/>
                <w:szCs w:val="21"/>
                <w:highlight w:val="none"/>
              </w:rPr>
              <w:t>4、交货方式：现场交货。</w:t>
            </w:r>
          </w:p>
          <w:p w14:paraId="73058DB0">
            <w:pPr>
              <w:adjustRightInd w:val="0"/>
              <w:snapToGrid w:val="0"/>
              <w:rPr>
                <w:rFonts w:hint="eastAsia" w:ascii="宋体" w:hAnsi="宋体"/>
                <w:color w:val="auto"/>
                <w:szCs w:val="21"/>
                <w:highlight w:val="none"/>
              </w:rPr>
            </w:pPr>
            <w:r>
              <w:rPr>
                <w:rFonts w:hint="eastAsia" w:ascii="宋体" w:hAnsi="宋体"/>
                <w:color w:val="auto"/>
                <w:szCs w:val="21"/>
                <w:highlight w:val="none"/>
              </w:rPr>
              <w:t>5、售后服务要求：</w:t>
            </w:r>
          </w:p>
          <w:p w14:paraId="15CFED72">
            <w:pPr>
              <w:adjustRightInd w:val="0"/>
              <w:snapToGrid w:val="0"/>
              <w:rPr>
                <w:rFonts w:hint="eastAsia" w:ascii="宋体" w:hAnsi="宋体"/>
                <w:color w:val="auto"/>
                <w:szCs w:val="21"/>
                <w:highlight w:val="none"/>
              </w:rPr>
            </w:pPr>
            <w:r>
              <w:rPr>
                <w:rFonts w:hint="eastAsia" w:ascii="宋体" w:hAnsi="宋体"/>
                <w:color w:val="auto"/>
                <w:szCs w:val="21"/>
                <w:highlight w:val="none"/>
              </w:rPr>
              <w:t>（1）送货上门，按现场条件全程免费安装调试，直至最终验收合格前产生的所有费用由中标供应商承担；</w:t>
            </w:r>
          </w:p>
          <w:p w14:paraId="2AD5B7C9">
            <w:pPr>
              <w:adjustRightInd w:val="0"/>
              <w:snapToGrid w:val="0"/>
              <w:rPr>
                <w:rFonts w:hint="eastAsia" w:ascii="宋体" w:hAnsi="宋体"/>
                <w:color w:val="auto"/>
                <w:szCs w:val="21"/>
                <w:highlight w:val="none"/>
              </w:rPr>
            </w:pPr>
            <w:r>
              <w:rPr>
                <w:rFonts w:hint="eastAsia" w:ascii="宋体" w:hAnsi="宋体"/>
                <w:color w:val="auto"/>
                <w:szCs w:val="21"/>
                <w:highlight w:val="none"/>
              </w:rPr>
              <w:t>（2）免费保修期：对所售货物提供五年的上门全免费保修期，保修期内非人为因素发生的故障均由中标供应商免费维修或更换，质保期外维修的零配件需优惠（折扣率20%）；</w:t>
            </w:r>
          </w:p>
          <w:p w14:paraId="7B5DFDFC">
            <w:pPr>
              <w:adjustRightInd w:val="0"/>
              <w:snapToGrid w:val="0"/>
              <w:rPr>
                <w:rFonts w:hint="eastAsia" w:ascii="宋体" w:hAnsi="宋体"/>
                <w:color w:val="auto"/>
                <w:szCs w:val="21"/>
                <w:highlight w:val="none"/>
              </w:rPr>
            </w:pPr>
            <w:r>
              <w:rPr>
                <w:rFonts w:hint="eastAsia" w:ascii="宋体" w:hAnsi="宋体"/>
                <w:color w:val="auto"/>
                <w:szCs w:val="21"/>
                <w:highlight w:val="none"/>
              </w:rPr>
              <w:t>（3）质量保证期：所有家具的质量保证期不少于五年，在此保证期内，如在正常使用过程中出现的质量问题，供应商须负责免费维修或调换；</w:t>
            </w:r>
          </w:p>
          <w:p w14:paraId="5560AED2">
            <w:pPr>
              <w:adjustRightInd w:val="0"/>
              <w:snapToGrid w:val="0"/>
              <w:rPr>
                <w:rFonts w:hint="eastAsia" w:ascii="宋体" w:hAnsi="宋体"/>
                <w:color w:val="auto"/>
                <w:szCs w:val="21"/>
                <w:highlight w:val="none"/>
              </w:rPr>
            </w:pPr>
            <w:r>
              <w:rPr>
                <w:rFonts w:hint="eastAsia" w:ascii="宋体" w:hAnsi="宋体"/>
                <w:color w:val="auto"/>
                <w:szCs w:val="21"/>
                <w:highlight w:val="none"/>
              </w:rPr>
              <w:t>（4）故障响应时间：货物发生故障时，在接到采购人通知后24小时内到达现场处理，一般故障处理时限不超过12小时，12小时内不能修复的，提供替代品；</w:t>
            </w:r>
          </w:p>
          <w:p w14:paraId="72B5D379">
            <w:pPr>
              <w:adjustRightInd w:val="0"/>
              <w:snapToGrid w:val="0"/>
              <w:rPr>
                <w:rFonts w:hint="eastAsia" w:ascii="宋体" w:hAnsi="宋体"/>
                <w:color w:val="auto"/>
                <w:szCs w:val="21"/>
                <w:highlight w:val="none"/>
              </w:rPr>
            </w:pPr>
            <w:r>
              <w:rPr>
                <w:rFonts w:hint="eastAsia" w:ascii="宋体" w:hAnsi="宋体"/>
                <w:color w:val="auto"/>
                <w:szCs w:val="21"/>
                <w:highlight w:val="none"/>
              </w:rPr>
              <w:t>（5）验收所需工具、器材由中标供应商自理；各项性能指标达到技术要求的，由供需双方共同签字认可，现场验收；</w:t>
            </w:r>
          </w:p>
          <w:p w14:paraId="03CB2941">
            <w:pPr>
              <w:adjustRightInd w:val="0"/>
              <w:snapToGrid w:val="0"/>
              <w:rPr>
                <w:rFonts w:hint="eastAsia" w:ascii="宋体" w:hAnsi="宋体"/>
                <w:color w:val="auto"/>
                <w:szCs w:val="21"/>
                <w:highlight w:val="none"/>
              </w:rPr>
            </w:pPr>
            <w:r>
              <w:rPr>
                <w:rFonts w:hint="eastAsia" w:ascii="宋体" w:hAnsi="宋体"/>
                <w:color w:val="auto"/>
                <w:szCs w:val="21"/>
                <w:highlight w:val="none"/>
              </w:rPr>
              <w:t>（6）中标供应商负责处理解决货物出现的质量及安全问题并承担一切费用，所有非故意性损坏以及正常使用范围内造成的损坏均要免费维修，因人为因素出现的故障不在免费保修范围内，但中标供应商也要积极帮助采购人修理，并提供优惠价格的配件和服务。</w:t>
            </w:r>
          </w:p>
        </w:tc>
      </w:tr>
      <w:tr w14:paraId="603C9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8" w:hRule="atLeast"/>
        </w:trPr>
        <w:tc>
          <w:tcPr>
            <w:tcW w:w="1917" w:type="dxa"/>
            <w:gridSpan w:val="3"/>
            <w:tcBorders>
              <w:top w:val="single" w:color="auto" w:sz="4" w:space="0"/>
              <w:left w:val="single" w:color="auto" w:sz="4" w:space="0"/>
              <w:bottom w:val="single" w:color="auto" w:sz="4" w:space="0"/>
              <w:right w:val="single" w:color="auto" w:sz="4" w:space="0"/>
            </w:tcBorders>
            <w:vAlign w:val="center"/>
          </w:tcPr>
          <w:p w14:paraId="7320FBE9">
            <w:pPr>
              <w:jc w:val="center"/>
              <w:rPr>
                <w:rFonts w:hint="eastAsia" w:ascii="宋体" w:hAnsi="宋体"/>
                <w:color w:val="auto"/>
                <w:szCs w:val="21"/>
                <w:highlight w:val="none"/>
              </w:rPr>
            </w:pPr>
            <w:r>
              <w:rPr>
                <w:rFonts w:hint="eastAsia" w:ascii="宋体" w:hAnsi="宋体"/>
                <w:color w:val="auto"/>
                <w:szCs w:val="21"/>
                <w:highlight w:val="none"/>
              </w:rPr>
              <w:t>▲验收标准</w:t>
            </w:r>
          </w:p>
        </w:tc>
        <w:tc>
          <w:tcPr>
            <w:tcW w:w="8027" w:type="dxa"/>
            <w:gridSpan w:val="4"/>
            <w:tcBorders>
              <w:top w:val="single" w:color="auto" w:sz="4" w:space="0"/>
              <w:left w:val="single" w:color="auto" w:sz="4" w:space="0"/>
              <w:bottom w:val="single" w:color="auto" w:sz="4" w:space="0"/>
              <w:right w:val="single" w:color="auto" w:sz="4" w:space="0"/>
            </w:tcBorders>
            <w:vAlign w:val="center"/>
          </w:tcPr>
          <w:p w14:paraId="6EFB1113">
            <w:pPr>
              <w:adjustRightInd w:val="0"/>
              <w:snapToGrid w:val="0"/>
              <w:rPr>
                <w:rFonts w:hint="eastAsia" w:ascii="宋体" w:hAnsi="宋体"/>
                <w:color w:val="auto"/>
                <w:szCs w:val="21"/>
                <w:highlight w:val="none"/>
              </w:rPr>
            </w:pPr>
            <w:r>
              <w:rPr>
                <w:rFonts w:hint="eastAsia" w:ascii="宋体" w:hAnsi="宋体"/>
                <w:color w:val="auto"/>
                <w:szCs w:val="21"/>
                <w:highlight w:val="none"/>
              </w:rPr>
              <w:t>1、所供产品的规格、数量符合招标文件、供应商投标承诺及采购合同约定的要求。</w:t>
            </w:r>
          </w:p>
          <w:p w14:paraId="2341D12A">
            <w:pPr>
              <w:adjustRightInd w:val="0"/>
              <w:snapToGrid w:val="0"/>
              <w:rPr>
                <w:rFonts w:hint="eastAsia" w:ascii="宋体" w:hAnsi="宋体"/>
                <w:color w:val="auto"/>
                <w:szCs w:val="21"/>
                <w:highlight w:val="none"/>
              </w:rPr>
            </w:pPr>
            <w:r>
              <w:rPr>
                <w:rFonts w:hint="eastAsia" w:ascii="宋体" w:hAnsi="宋体"/>
                <w:color w:val="auto"/>
                <w:szCs w:val="21"/>
                <w:highlight w:val="none"/>
              </w:rPr>
              <w:t>2、所供产品的材质、颜色符合招标文件、供应商投标承诺及采购合同约定的要求。</w:t>
            </w:r>
          </w:p>
          <w:p w14:paraId="715B8C06">
            <w:pPr>
              <w:adjustRightInd w:val="0"/>
              <w:snapToGrid w:val="0"/>
              <w:rPr>
                <w:rFonts w:hint="eastAsia" w:ascii="宋体" w:hAnsi="宋体"/>
                <w:color w:val="auto"/>
                <w:szCs w:val="21"/>
                <w:highlight w:val="none"/>
              </w:rPr>
            </w:pPr>
            <w:r>
              <w:rPr>
                <w:rFonts w:hint="eastAsia" w:ascii="宋体" w:hAnsi="宋体"/>
                <w:color w:val="auto"/>
                <w:szCs w:val="21"/>
                <w:highlight w:val="none"/>
              </w:rPr>
              <w:t>3、所供产品的外观完好，无严重碰撞、表皮脱落、五金件生锈等明显瑕疵。</w:t>
            </w:r>
          </w:p>
          <w:p w14:paraId="0E5B21DC">
            <w:pPr>
              <w:adjustRightInd w:val="0"/>
              <w:snapToGrid w:val="0"/>
              <w:rPr>
                <w:rFonts w:hint="eastAsia" w:ascii="宋体" w:hAnsi="宋体"/>
                <w:color w:val="auto"/>
                <w:szCs w:val="21"/>
                <w:highlight w:val="none"/>
              </w:rPr>
            </w:pPr>
            <w:r>
              <w:rPr>
                <w:rFonts w:hint="eastAsia" w:ascii="宋体" w:hAnsi="宋体"/>
                <w:color w:val="auto"/>
                <w:szCs w:val="21"/>
                <w:highlight w:val="none"/>
              </w:rPr>
              <w:t>4、所供产品结构牢固，无安全隐患。</w:t>
            </w:r>
          </w:p>
          <w:p w14:paraId="584DD0E8">
            <w:pPr>
              <w:adjustRightInd w:val="0"/>
              <w:snapToGrid w:val="0"/>
              <w:rPr>
                <w:rFonts w:hint="eastAsia" w:ascii="宋体" w:hAnsi="宋体"/>
                <w:color w:val="auto"/>
                <w:szCs w:val="21"/>
                <w:highlight w:val="none"/>
              </w:rPr>
            </w:pPr>
            <w:r>
              <w:rPr>
                <w:rFonts w:hint="eastAsia" w:ascii="宋体" w:hAnsi="宋体"/>
                <w:color w:val="auto"/>
                <w:szCs w:val="21"/>
                <w:highlight w:val="none"/>
              </w:rPr>
              <w:t>5、如有抽检要求的，检测结果符合招标文件、供应商投标承诺及采购合同约定的要求。</w:t>
            </w:r>
          </w:p>
          <w:p w14:paraId="19CEED96">
            <w:pPr>
              <w:adjustRightInd w:val="0"/>
              <w:snapToGrid w:val="0"/>
              <w:rPr>
                <w:rFonts w:hint="eastAsia" w:ascii="宋体" w:hAnsi="宋体"/>
                <w:color w:val="auto"/>
                <w:szCs w:val="21"/>
                <w:highlight w:val="none"/>
              </w:rPr>
            </w:pPr>
            <w:r>
              <w:rPr>
                <w:rFonts w:hint="eastAsia" w:ascii="宋体" w:hAnsi="宋体"/>
                <w:color w:val="auto"/>
                <w:szCs w:val="21"/>
                <w:highlight w:val="none"/>
              </w:rPr>
              <w:t>6、所有产品均已运输至指定地点，并安装调试完毕。</w:t>
            </w:r>
          </w:p>
          <w:p w14:paraId="1BFBE9CE">
            <w:pPr>
              <w:adjustRightInd w:val="0"/>
              <w:snapToGrid w:val="0"/>
              <w:rPr>
                <w:rFonts w:hint="eastAsia" w:ascii="宋体" w:hAnsi="宋体"/>
                <w:color w:val="auto"/>
                <w:szCs w:val="21"/>
                <w:highlight w:val="none"/>
              </w:rPr>
            </w:pPr>
            <w:r>
              <w:rPr>
                <w:rFonts w:hint="eastAsia" w:ascii="宋体" w:hAnsi="宋体"/>
                <w:color w:val="auto"/>
                <w:szCs w:val="21"/>
                <w:highlight w:val="none"/>
              </w:rPr>
              <w:t>7、招标文件、供应商投标承诺及采购合同约定的附件、工具、技术资料等齐全；提供产品使用说明书、合格证明材料。</w:t>
            </w:r>
          </w:p>
          <w:p w14:paraId="335F29DA">
            <w:pPr>
              <w:adjustRightInd w:val="0"/>
              <w:snapToGrid w:val="0"/>
              <w:rPr>
                <w:rFonts w:hint="eastAsia" w:ascii="宋体" w:hAnsi="宋体"/>
                <w:color w:val="auto"/>
                <w:szCs w:val="21"/>
                <w:highlight w:val="none"/>
              </w:rPr>
            </w:pPr>
            <w:r>
              <w:rPr>
                <w:rFonts w:hint="eastAsia" w:ascii="宋体" w:hAnsi="宋体"/>
                <w:color w:val="auto"/>
                <w:szCs w:val="21"/>
                <w:highlight w:val="none"/>
              </w:rPr>
              <w:t>8、为保证产品品质，批量供货前需提供符合竞标文件要求的产品一套进行验收，验收通过后方可批量供货，不合格采购人有权上报相关部门处理。</w:t>
            </w:r>
          </w:p>
          <w:p w14:paraId="6EC32337">
            <w:pPr>
              <w:adjustRightInd w:val="0"/>
              <w:snapToGrid w:val="0"/>
              <w:rPr>
                <w:rFonts w:hint="eastAsia" w:ascii="宋体" w:hAnsi="宋体"/>
                <w:color w:val="auto"/>
                <w:szCs w:val="21"/>
                <w:highlight w:val="none"/>
              </w:rPr>
            </w:pPr>
            <w:r>
              <w:rPr>
                <w:rFonts w:hint="eastAsia" w:ascii="宋体" w:hAnsi="宋体"/>
                <w:color w:val="auto"/>
                <w:szCs w:val="21"/>
                <w:highlight w:val="none"/>
              </w:rPr>
              <w:t>9、验收时采购人对家具进行对照技术参数逐项检测，由采购人委托第三方根据项目内容进行检测，检验结果不合格的或不符合技术参数的不予验收并做退货处理，由此产生的一切后果由供应商承担。</w:t>
            </w:r>
          </w:p>
          <w:p w14:paraId="37C53A6E">
            <w:pPr>
              <w:adjustRightInd w:val="0"/>
              <w:snapToGrid w:val="0"/>
              <w:rPr>
                <w:rFonts w:hint="eastAsia" w:ascii="宋体" w:hAnsi="宋体"/>
                <w:color w:val="auto"/>
                <w:szCs w:val="21"/>
                <w:highlight w:val="none"/>
              </w:rPr>
            </w:pPr>
            <w:r>
              <w:rPr>
                <w:rFonts w:hint="eastAsia" w:ascii="宋体" w:hAnsi="宋体"/>
                <w:color w:val="auto"/>
                <w:szCs w:val="21"/>
                <w:highlight w:val="none"/>
              </w:rPr>
              <w:t>10、如中标供应商不能按约定时间交货，将上报政府采购监管部门处理。</w:t>
            </w:r>
          </w:p>
        </w:tc>
      </w:tr>
      <w:tr w14:paraId="7BBFB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917" w:type="dxa"/>
            <w:gridSpan w:val="3"/>
            <w:tcBorders>
              <w:top w:val="single" w:color="auto" w:sz="4" w:space="0"/>
              <w:left w:val="single" w:color="auto" w:sz="4" w:space="0"/>
              <w:bottom w:val="single" w:color="auto" w:sz="4" w:space="0"/>
              <w:right w:val="single" w:color="auto" w:sz="4" w:space="0"/>
            </w:tcBorders>
            <w:vAlign w:val="center"/>
          </w:tcPr>
          <w:p w14:paraId="39DF8215">
            <w:pPr>
              <w:adjustRightInd w:val="0"/>
              <w:snapToGrid w:val="0"/>
              <w:jc w:val="center"/>
              <w:rPr>
                <w:rFonts w:ascii="宋体" w:hAnsi="宋体"/>
                <w:color w:val="auto"/>
                <w:szCs w:val="21"/>
                <w:highlight w:val="none"/>
              </w:rPr>
            </w:pPr>
            <w:r>
              <w:rPr>
                <w:rFonts w:hint="eastAsia" w:ascii="宋体" w:hAnsi="宋体"/>
                <w:color w:val="auto"/>
                <w:szCs w:val="21"/>
                <w:highlight w:val="none"/>
              </w:rPr>
              <w:t>▲投标报价</w:t>
            </w:r>
          </w:p>
        </w:tc>
        <w:tc>
          <w:tcPr>
            <w:tcW w:w="8027" w:type="dxa"/>
            <w:gridSpan w:val="4"/>
            <w:tcBorders>
              <w:top w:val="single" w:color="auto" w:sz="4" w:space="0"/>
              <w:left w:val="single" w:color="auto" w:sz="4" w:space="0"/>
              <w:bottom w:val="single" w:color="auto" w:sz="4" w:space="0"/>
              <w:right w:val="single" w:color="auto" w:sz="4" w:space="0"/>
            </w:tcBorders>
            <w:vAlign w:val="center"/>
          </w:tcPr>
          <w:p w14:paraId="4E3B0B8C">
            <w:pPr>
              <w:pStyle w:val="29"/>
              <w:snapToGrid w:val="0"/>
              <w:spacing w:line="400" w:lineRule="exact"/>
              <w:outlineLvl w:val="0"/>
              <w:rPr>
                <w:rFonts w:hAnsi="宋体" w:cs="Times New Roman"/>
                <w:color w:val="auto"/>
                <w:highlight w:val="none"/>
              </w:rPr>
            </w:pPr>
            <w:r>
              <w:rPr>
                <w:rFonts w:hint="eastAsia" w:hAnsi="宋体" w:cs="Times New Roman"/>
                <w:color w:val="auto"/>
                <w:highlight w:val="none"/>
              </w:rPr>
              <w:t>投标报价为采购人指定地点的现场交货价，包括：</w:t>
            </w:r>
          </w:p>
          <w:p w14:paraId="51FFEE34">
            <w:pPr>
              <w:pStyle w:val="29"/>
              <w:snapToGrid w:val="0"/>
              <w:spacing w:line="400" w:lineRule="exact"/>
              <w:outlineLvl w:val="0"/>
              <w:rPr>
                <w:rFonts w:hAnsi="宋体" w:cs="Times New Roman"/>
                <w:color w:val="auto"/>
                <w:highlight w:val="none"/>
              </w:rPr>
            </w:pPr>
            <w:r>
              <w:rPr>
                <w:rFonts w:hint="eastAsia" w:hAnsi="宋体" w:cs="Times New Roman"/>
                <w:color w:val="auto"/>
                <w:highlight w:val="none"/>
              </w:rPr>
              <w:t>（1）货物的价格：包括货款、零配件、安装调试费、验收费；</w:t>
            </w:r>
          </w:p>
          <w:p w14:paraId="729E1CE6">
            <w:pPr>
              <w:pStyle w:val="29"/>
              <w:snapToGrid w:val="0"/>
              <w:spacing w:line="400" w:lineRule="exact"/>
              <w:outlineLvl w:val="0"/>
              <w:rPr>
                <w:rFonts w:hint="eastAsia" w:hAnsi="宋体" w:cs="Times New Roman"/>
                <w:color w:val="auto"/>
                <w:highlight w:val="none"/>
              </w:rPr>
            </w:pPr>
            <w:r>
              <w:rPr>
                <w:rFonts w:hint="eastAsia" w:hAnsi="宋体" w:cs="Times New Roman"/>
                <w:color w:val="auto"/>
                <w:highlight w:val="none"/>
              </w:rPr>
              <w:t>（2）货物的标准附件、备品备件、专用工具的价格；</w:t>
            </w:r>
          </w:p>
          <w:p w14:paraId="1AC0E24A">
            <w:pPr>
              <w:pStyle w:val="29"/>
              <w:snapToGrid w:val="0"/>
              <w:spacing w:line="400" w:lineRule="exact"/>
              <w:outlineLvl w:val="0"/>
              <w:rPr>
                <w:rFonts w:hint="eastAsia" w:hAnsi="宋体" w:cs="Times New Roman"/>
                <w:color w:val="auto"/>
                <w:highlight w:val="none"/>
              </w:rPr>
            </w:pPr>
            <w:r>
              <w:rPr>
                <w:rFonts w:hint="eastAsia" w:hAnsi="宋体" w:cs="Times New Roman"/>
                <w:color w:val="auto"/>
                <w:highlight w:val="none"/>
              </w:rPr>
              <w:t>（3）运输、装卸、调试、培训、技术支持、售后服务费；</w:t>
            </w:r>
          </w:p>
          <w:p w14:paraId="2FB521B7">
            <w:pPr>
              <w:pStyle w:val="29"/>
              <w:snapToGrid w:val="0"/>
              <w:spacing w:line="400" w:lineRule="exact"/>
              <w:outlineLvl w:val="0"/>
              <w:rPr>
                <w:rFonts w:hAnsi="宋体" w:cs="Times New Roman"/>
                <w:color w:val="auto"/>
                <w:highlight w:val="none"/>
              </w:rPr>
            </w:pPr>
            <w:r>
              <w:rPr>
                <w:rFonts w:hint="eastAsia" w:hAnsi="宋体" w:cs="Times New Roman"/>
                <w:color w:val="auto"/>
                <w:highlight w:val="none"/>
              </w:rPr>
              <w:t>（4）货物的二次搬运产生的相关费用，按采购人要求进行摆放的费用。</w:t>
            </w:r>
          </w:p>
          <w:p w14:paraId="660ECA84">
            <w:pPr>
              <w:adjustRightInd w:val="0"/>
              <w:snapToGrid w:val="0"/>
              <w:rPr>
                <w:rFonts w:hint="eastAsia" w:ascii="宋体" w:hAnsi="宋体"/>
                <w:color w:val="auto"/>
                <w:szCs w:val="21"/>
                <w:highlight w:val="none"/>
              </w:rPr>
            </w:pPr>
            <w:r>
              <w:rPr>
                <w:rFonts w:hint="eastAsia" w:ascii="宋体" w:hAnsi="宋体"/>
                <w:color w:val="auto"/>
                <w:szCs w:val="21"/>
                <w:highlight w:val="none"/>
              </w:rPr>
              <w:t>注：投标人自行考虑完成项目所需的辅材、零配件等数量</w:t>
            </w:r>
            <w:r>
              <w:rPr>
                <w:rFonts w:hint="eastAsia" w:ascii="宋体" w:hAnsi="宋体"/>
                <w:color w:val="auto"/>
                <w:szCs w:val="21"/>
                <w:highlight w:val="none"/>
                <w:lang w:val="en-US" w:eastAsia="zh-CN"/>
              </w:rPr>
              <w:t>及从存放点运至安装点所需通过小车、人力或其他方式进行第二次或多次转运所产生的费用</w:t>
            </w:r>
            <w:r>
              <w:rPr>
                <w:rFonts w:hint="eastAsia" w:ascii="宋体" w:hAnsi="宋体"/>
                <w:color w:val="auto"/>
                <w:szCs w:val="21"/>
                <w:highlight w:val="none"/>
              </w:rPr>
              <w:t>，投标报价中应包含全部内容，中标后采购人不再另行支付额外费用。</w:t>
            </w:r>
          </w:p>
        </w:tc>
      </w:tr>
      <w:tr w14:paraId="07332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3"/>
            <w:tcBorders>
              <w:top w:val="single" w:color="auto" w:sz="4" w:space="0"/>
              <w:left w:val="single" w:color="auto" w:sz="4" w:space="0"/>
              <w:bottom w:val="single" w:color="auto" w:sz="4" w:space="0"/>
              <w:right w:val="single" w:color="auto" w:sz="4" w:space="0"/>
            </w:tcBorders>
            <w:vAlign w:val="center"/>
          </w:tcPr>
          <w:p w14:paraId="4763AF17">
            <w:pPr>
              <w:jc w:val="center"/>
              <w:rPr>
                <w:rFonts w:ascii="宋体" w:hAnsi="宋体"/>
                <w:color w:val="auto"/>
                <w:szCs w:val="21"/>
                <w:highlight w:val="none"/>
              </w:rPr>
            </w:pPr>
            <w:r>
              <w:rPr>
                <w:rFonts w:hint="eastAsia" w:ascii="宋体" w:hAnsi="宋体"/>
                <w:color w:val="auto"/>
                <w:szCs w:val="21"/>
                <w:highlight w:val="none"/>
              </w:rPr>
              <w:t>▲付款方式</w:t>
            </w:r>
          </w:p>
        </w:tc>
        <w:tc>
          <w:tcPr>
            <w:tcW w:w="8027" w:type="dxa"/>
            <w:gridSpan w:val="4"/>
            <w:tcBorders>
              <w:top w:val="single" w:color="auto" w:sz="4" w:space="0"/>
              <w:left w:val="single" w:color="auto" w:sz="4" w:space="0"/>
              <w:bottom w:val="single" w:color="auto" w:sz="4" w:space="0"/>
              <w:right w:val="single" w:color="auto" w:sz="4" w:space="0"/>
            </w:tcBorders>
            <w:vAlign w:val="center"/>
          </w:tcPr>
          <w:p w14:paraId="708E408A">
            <w:pPr>
              <w:adjustRightInd w:val="0"/>
              <w:snapToGrid w:val="0"/>
              <w:rPr>
                <w:rFonts w:hint="eastAsia" w:ascii="宋体" w:hAnsi="宋体"/>
                <w:color w:val="auto"/>
                <w:szCs w:val="21"/>
                <w:highlight w:val="none"/>
              </w:rPr>
            </w:pPr>
            <w:r>
              <w:rPr>
                <w:rFonts w:hint="eastAsia" w:ascii="宋体" w:hAnsi="宋体"/>
                <w:color w:val="auto"/>
                <w:szCs w:val="21"/>
                <w:highlight w:val="none"/>
              </w:rPr>
              <w:t>合同签订后并向中标供应商发出订货通知10个工作日内，乙方开具合同总价款的 30%的等额价值保函(保函有效期</w:t>
            </w:r>
            <w:r>
              <w:rPr>
                <w:rFonts w:hint="eastAsia" w:ascii="宋体" w:hAnsi="宋体"/>
                <w:color w:val="auto"/>
                <w:szCs w:val="21"/>
                <w:highlight w:val="none"/>
                <w:lang w:eastAsia="zh-CN"/>
              </w:rPr>
              <w:t>为自签订合同起</w:t>
            </w:r>
            <w:r>
              <w:rPr>
                <w:rFonts w:hint="eastAsia" w:ascii="宋体" w:hAnsi="宋体"/>
                <w:color w:val="auto"/>
                <w:szCs w:val="21"/>
                <w:highlight w:val="none"/>
                <w:lang w:val="en-US" w:eastAsia="zh-CN"/>
              </w:rPr>
              <w:t>6个月内</w:t>
            </w:r>
            <w:r>
              <w:rPr>
                <w:rFonts w:hint="eastAsia"/>
                <w:color w:val="auto"/>
                <w:highlight w:val="none"/>
              </w:rPr>
              <w:t>，保函到期前，若项目未完成，</w:t>
            </w:r>
            <w:r>
              <w:rPr>
                <w:rFonts w:hint="eastAsia"/>
                <w:color w:val="auto"/>
                <w:highlight w:val="none"/>
                <w:lang w:eastAsia="zh-CN"/>
              </w:rPr>
              <w:t>中标供应商</w:t>
            </w:r>
            <w:r>
              <w:rPr>
                <w:rFonts w:hint="eastAsia"/>
                <w:color w:val="auto"/>
                <w:highlight w:val="none"/>
              </w:rPr>
              <w:t>须在保函到期前提前1个月提交新一期保函</w:t>
            </w:r>
            <w:r>
              <w:rPr>
                <w:rFonts w:hint="eastAsia" w:ascii="宋体" w:hAnsi="宋体"/>
                <w:color w:val="auto"/>
                <w:szCs w:val="21"/>
                <w:highlight w:val="none"/>
              </w:rPr>
              <w:t>)给甲方后，甲方向中标供应商支付合同价款30%预付款（中标供应商须先提供相应</w:t>
            </w:r>
            <w:r>
              <w:rPr>
                <w:rFonts w:hint="eastAsia" w:ascii="宋体" w:hAnsi="宋体"/>
                <w:color w:val="auto"/>
                <w:szCs w:val="21"/>
                <w:highlight w:val="none"/>
                <w:lang w:eastAsia="zh-CN"/>
              </w:rPr>
              <w:t>等额有效</w:t>
            </w:r>
            <w:r>
              <w:rPr>
                <w:rFonts w:hint="eastAsia" w:ascii="宋体" w:hAnsi="宋体"/>
                <w:color w:val="auto"/>
                <w:szCs w:val="21"/>
                <w:highlight w:val="none"/>
                <w:lang w:val="en-US" w:eastAsia="zh-CN"/>
              </w:rPr>
              <w:t>的增值税专用</w:t>
            </w:r>
            <w:r>
              <w:rPr>
                <w:rFonts w:hint="eastAsia" w:ascii="宋体" w:hAnsi="宋体"/>
                <w:color w:val="auto"/>
                <w:szCs w:val="21"/>
                <w:highlight w:val="none"/>
              </w:rPr>
              <w:t>发票</w:t>
            </w:r>
            <w:r>
              <w:rPr>
                <w:rFonts w:hint="eastAsia" w:ascii="宋体" w:hAnsi="宋体"/>
                <w:color w:val="auto"/>
                <w:szCs w:val="21"/>
                <w:highlight w:val="none"/>
              </w:rPr>
              <w:t>），交货验收合格后，中标供应商开具</w:t>
            </w:r>
            <w:r>
              <w:rPr>
                <w:rFonts w:hint="eastAsia" w:ascii="宋体" w:hAnsi="宋体"/>
                <w:color w:val="auto"/>
                <w:szCs w:val="21"/>
                <w:highlight w:val="none"/>
                <w:lang w:eastAsia="zh-CN"/>
              </w:rPr>
              <w:t>等额有效</w:t>
            </w:r>
            <w:r>
              <w:rPr>
                <w:rFonts w:hint="eastAsia" w:ascii="宋体" w:hAnsi="宋体"/>
                <w:color w:val="auto"/>
                <w:szCs w:val="21"/>
                <w:highlight w:val="none"/>
                <w:lang w:val="en-US" w:eastAsia="zh-CN"/>
              </w:rPr>
              <w:t>的增值税专用</w:t>
            </w:r>
            <w:r>
              <w:rPr>
                <w:rFonts w:hint="eastAsia" w:ascii="宋体" w:hAnsi="宋体"/>
                <w:color w:val="auto"/>
                <w:szCs w:val="21"/>
                <w:highlight w:val="none"/>
              </w:rPr>
              <w:t>发票</w:t>
            </w:r>
            <w:r>
              <w:rPr>
                <w:rFonts w:hint="eastAsia" w:ascii="宋体" w:hAnsi="宋体"/>
                <w:color w:val="auto"/>
                <w:szCs w:val="21"/>
                <w:highlight w:val="none"/>
              </w:rPr>
              <w:t>给采购人，采购人收到</w:t>
            </w:r>
            <w:r>
              <w:rPr>
                <w:rFonts w:hint="eastAsia" w:ascii="宋体" w:hAnsi="宋体"/>
                <w:color w:val="auto"/>
                <w:szCs w:val="21"/>
                <w:highlight w:val="none"/>
                <w:lang w:val="en-US" w:eastAsia="zh-CN"/>
              </w:rPr>
              <w:t>合法</w:t>
            </w:r>
            <w:r>
              <w:rPr>
                <w:rFonts w:hint="eastAsia" w:ascii="宋体" w:hAnsi="宋体"/>
                <w:color w:val="auto"/>
                <w:szCs w:val="21"/>
                <w:highlight w:val="none"/>
              </w:rPr>
              <w:t>发票后在20个工作日内一次性付清尾款（合同价款70%）。</w:t>
            </w:r>
          </w:p>
        </w:tc>
      </w:tr>
      <w:tr w14:paraId="1832C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3"/>
            <w:tcBorders>
              <w:top w:val="single" w:color="auto" w:sz="4" w:space="0"/>
              <w:left w:val="single" w:color="auto" w:sz="4" w:space="0"/>
              <w:bottom w:val="single" w:color="auto" w:sz="4" w:space="0"/>
              <w:right w:val="single" w:color="auto" w:sz="4" w:space="0"/>
            </w:tcBorders>
            <w:vAlign w:val="center"/>
          </w:tcPr>
          <w:p w14:paraId="429A3A5B">
            <w:pPr>
              <w:jc w:val="center"/>
              <w:rPr>
                <w:rFonts w:hint="eastAsia" w:ascii="宋体" w:hAnsi="宋体"/>
                <w:color w:val="auto"/>
                <w:szCs w:val="21"/>
                <w:highlight w:val="none"/>
              </w:rPr>
            </w:pPr>
            <w:r>
              <w:rPr>
                <w:rFonts w:hint="eastAsia" w:ascii="宋体" w:hAnsi="宋体"/>
                <w:color w:val="auto"/>
                <w:szCs w:val="21"/>
                <w:highlight w:val="none"/>
              </w:rPr>
              <w:t>▲履约保证金</w:t>
            </w:r>
          </w:p>
        </w:tc>
        <w:tc>
          <w:tcPr>
            <w:tcW w:w="8027" w:type="dxa"/>
            <w:gridSpan w:val="4"/>
            <w:tcBorders>
              <w:top w:val="single" w:color="auto" w:sz="4" w:space="0"/>
              <w:left w:val="single" w:color="auto" w:sz="4" w:space="0"/>
              <w:bottom w:val="single" w:color="auto" w:sz="4" w:space="0"/>
              <w:right w:val="single" w:color="auto" w:sz="4" w:space="0"/>
            </w:tcBorders>
            <w:vAlign w:val="center"/>
          </w:tcPr>
          <w:p w14:paraId="4215D35B">
            <w:pPr>
              <w:spacing w:line="360" w:lineRule="exact"/>
              <w:jc w:val="left"/>
              <w:rPr>
                <w:rFonts w:hint="eastAsia" w:hAnsi="宋体"/>
                <w:color w:val="auto"/>
                <w:szCs w:val="21"/>
                <w:highlight w:val="none"/>
              </w:rPr>
            </w:pPr>
            <w:r>
              <w:rPr>
                <w:rFonts w:hint="eastAsia" w:hAnsi="宋体"/>
                <w:color w:val="auto"/>
                <w:szCs w:val="21"/>
                <w:highlight w:val="none"/>
              </w:rPr>
              <w:t>1、履约保证金金额：中标金额的 5 %</w:t>
            </w:r>
            <w:r>
              <w:rPr>
                <w:rFonts w:hint="eastAsia" w:ascii="宋体" w:hAnsi="宋体" w:cs="宋体"/>
                <w:color w:val="auto"/>
                <w:szCs w:val="21"/>
                <w:highlight w:val="none"/>
              </w:rPr>
              <w:t>（如中标供应商为中小企业的，按本项目中标总金额的2%）收取</w:t>
            </w:r>
            <w:r>
              <w:rPr>
                <w:rFonts w:hint="eastAsia" w:hAnsi="宋体"/>
                <w:color w:val="auto"/>
                <w:szCs w:val="21"/>
                <w:highlight w:val="none"/>
              </w:rPr>
              <w:t>。</w:t>
            </w:r>
          </w:p>
          <w:p w14:paraId="3C4951DB">
            <w:pPr>
              <w:spacing w:line="360" w:lineRule="exact"/>
              <w:jc w:val="left"/>
              <w:rPr>
                <w:rFonts w:hint="eastAsia" w:hAnsi="宋体"/>
                <w:color w:val="auto"/>
                <w:szCs w:val="21"/>
                <w:highlight w:val="none"/>
              </w:rPr>
            </w:pPr>
            <w:r>
              <w:rPr>
                <w:rFonts w:hint="eastAsia" w:hAnsi="宋体"/>
                <w:color w:val="auto"/>
                <w:szCs w:val="21"/>
                <w:highlight w:val="none"/>
              </w:rPr>
              <w:t>2、履约保证金递交方式：支票、汇票、本票、网上银行等非现金形式。</w:t>
            </w:r>
          </w:p>
          <w:p w14:paraId="5F645C5D">
            <w:pPr>
              <w:spacing w:line="360" w:lineRule="exact"/>
              <w:jc w:val="left"/>
              <w:rPr>
                <w:rFonts w:hint="eastAsia" w:hAnsi="宋体"/>
                <w:color w:val="auto"/>
                <w:szCs w:val="21"/>
                <w:highlight w:val="none"/>
              </w:rPr>
            </w:pPr>
            <w:r>
              <w:rPr>
                <w:rFonts w:hint="eastAsia" w:hAnsi="宋体"/>
                <w:color w:val="auto"/>
                <w:szCs w:val="21"/>
                <w:highlight w:val="none"/>
              </w:rPr>
              <w:t>3、履约保证金递交时间：签订合同</w:t>
            </w:r>
            <w:r>
              <w:rPr>
                <w:rFonts w:hint="eastAsia" w:hAnsi="宋体"/>
                <w:color w:val="auto"/>
                <w:szCs w:val="21"/>
                <w:highlight w:val="none"/>
                <w:lang w:val="en-US" w:eastAsia="zh-CN"/>
              </w:rPr>
              <w:t>前</w:t>
            </w:r>
            <w:r>
              <w:rPr>
                <w:rFonts w:hint="eastAsia" w:hAnsi="宋体"/>
                <w:color w:val="auto"/>
                <w:szCs w:val="21"/>
                <w:highlight w:val="none"/>
              </w:rPr>
              <w:t>5个工作日内由成交方转入采购人指定保证金账户。</w:t>
            </w:r>
          </w:p>
          <w:p w14:paraId="37D266EF">
            <w:pPr>
              <w:spacing w:line="360" w:lineRule="exact"/>
              <w:jc w:val="left"/>
              <w:rPr>
                <w:rFonts w:hint="eastAsia" w:hAnsi="宋体"/>
                <w:color w:val="auto"/>
                <w:szCs w:val="21"/>
                <w:highlight w:val="none"/>
              </w:rPr>
            </w:pPr>
            <w:r>
              <w:rPr>
                <w:rFonts w:hint="eastAsia" w:hAnsi="宋体"/>
                <w:color w:val="auto"/>
                <w:szCs w:val="21"/>
                <w:highlight w:val="none"/>
              </w:rPr>
              <w:t>4、履约保证金退还：验收合格后无质量问题，</w:t>
            </w:r>
            <w:r>
              <w:rPr>
                <w:rFonts w:hint="eastAsia" w:ascii="宋体" w:hAnsi="宋体" w:eastAsia="宋体" w:cs="宋体"/>
                <w:color w:val="auto"/>
                <w:kern w:val="0"/>
                <w:sz w:val="21"/>
                <w:szCs w:val="21"/>
                <w:highlight w:val="none"/>
                <w:lang w:val="en-US" w:eastAsia="zh-CN"/>
              </w:rPr>
              <w:t>且待</w:t>
            </w:r>
            <w:r>
              <w:rPr>
                <w:rFonts w:hint="eastAsia" w:ascii="宋体" w:hAnsi="宋体" w:eastAsia="宋体" w:cs="宋体"/>
                <w:color w:val="auto"/>
                <w:kern w:val="0"/>
                <w:sz w:val="21"/>
                <w:szCs w:val="21"/>
                <w:highlight w:val="none"/>
                <w:lang w:eastAsia="zh-CN"/>
              </w:rPr>
              <w:t>中标</w:t>
            </w:r>
            <w:r>
              <w:rPr>
                <w:rFonts w:hint="eastAsia" w:ascii="宋体" w:hAnsi="宋体" w:eastAsia="宋体" w:cs="宋体"/>
                <w:color w:val="auto"/>
                <w:kern w:val="0"/>
                <w:sz w:val="21"/>
                <w:szCs w:val="21"/>
                <w:highlight w:val="none"/>
              </w:rPr>
              <w:t>供应商</w:t>
            </w:r>
            <w:r>
              <w:rPr>
                <w:rFonts w:hint="eastAsia" w:ascii="宋体" w:hAnsi="宋体" w:eastAsia="宋体" w:cs="宋体"/>
                <w:color w:val="auto"/>
                <w:kern w:val="0"/>
                <w:sz w:val="21"/>
                <w:szCs w:val="21"/>
                <w:highlight w:val="none"/>
                <w:lang w:val="en-US" w:eastAsia="zh-CN"/>
              </w:rPr>
              <w:t>履行完质保义务后无息退还，</w:t>
            </w:r>
            <w:r>
              <w:rPr>
                <w:rFonts w:hint="eastAsia" w:ascii="宋体" w:hAnsi="宋体" w:cs="宋体"/>
                <w:color w:val="auto"/>
                <w:szCs w:val="21"/>
                <w:highlight w:val="none"/>
              </w:rPr>
              <w:t>中标供应</w:t>
            </w:r>
            <w:r>
              <w:rPr>
                <w:rFonts w:hint="eastAsia" w:hAnsi="宋体"/>
                <w:color w:val="auto"/>
                <w:szCs w:val="21"/>
                <w:highlight w:val="none"/>
              </w:rPr>
              <w:t>提供《政府采购项目履约保证金退付意见书》及《政府采购项目合同验收报告》，向采购人提出书面申请退还，采购人在收到申请后二十个工作日内以银行转账方式无息退还。</w:t>
            </w:r>
          </w:p>
          <w:p w14:paraId="67F63EC7">
            <w:pPr>
              <w:spacing w:line="360" w:lineRule="exact"/>
              <w:jc w:val="left"/>
              <w:rPr>
                <w:rFonts w:hint="eastAsia" w:hAnsi="宋体"/>
                <w:color w:val="auto"/>
                <w:szCs w:val="21"/>
                <w:highlight w:val="none"/>
              </w:rPr>
            </w:pPr>
            <w:r>
              <w:rPr>
                <w:rFonts w:hint="eastAsia" w:hAnsi="宋体"/>
                <w:color w:val="auto"/>
                <w:szCs w:val="21"/>
                <w:highlight w:val="none"/>
              </w:rPr>
              <w:t xml:space="preserve">保证金指定账户： </w:t>
            </w:r>
          </w:p>
          <w:p w14:paraId="157AB398">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开户名：</w:t>
            </w:r>
            <w:r>
              <w:rPr>
                <w:rFonts w:hint="eastAsia" w:ascii="宋体" w:hAnsi="宋体" w:cs="宋体"/>
                <w:color w:val="auto"/>
                <w:szCs w:val="21"/>
                <w:highlight w:val="none"/>
              </w:rPr>
              <w:t>广西建设职业技术学院</w:t>
            </w:r>
          </w:p>
          <w:p w14:paraId="17B98702">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开户行：</w:t>
            </w:r>
            <w:r>
              <w:rPr>
                <w:rFonts w:hint="eastAsia" w:ascii="宋体" w:hAnsi="宋体" w:cs="宋体"/>
                <w:color w:val="auto"/>
                <w:szCs w:val="21"/>
                <w:highlight w:val="none"/>
              </w:rPr>
              <w:t>建行南宁市高新支行</w:t>
            </w:r>
          </w:p>
          <w:p w14:paraId="6AEC4C28">
            <w:pPr>
              <w:spacing w:line="360" w:lineRule="exact"/>
              <w:jc w:val="left"/>
              <w:rPr>
                <w:rFonts w:hint="eastAsia" w:ascii="宋体" w:hAnsi="宋体" w:eastAsia="宋体"/>
                <w:color w:val="auto"/>
                <w:szCs w:val="21"/>
                <w:highlight w:val="none"/>
                <w:lang w:eastAsia="zh-CN"/>
              </w:rPr>
            </w:pPr>
            <w:r>
              <w:rPr>
                <w:rFonts w:hint="eastAsia" w:ascii="宋体" w:hAnsi="宋体" w:eastAsia="宋体" w:cs="宋体"/>
                <w:color w:val="auto"/>
                <w:kern w:val="0"/>
                <w:sz w:val="21"/>
                <w:szCs w:val="21"/>
                <w:highlight w:val="none"/>
              </w:rPr>
              <w:t>账  号：</w:t>
            </w:r>
            <w:r>
              <w:rPr>
                <w:rFonts w:hint="eastAsia" w:ascii="宋体" w:hAnsi="宋体" w:cs="宋体"/>
                <w:color w:val="auto"/>
                <w:szCs w:val="21"/>
                <w:highlight w:val="none"/>
              </w:rPr>
              <w:t>45001604850059000000</w:t>
            </w:r>
          </w:p>
        </w:tc>
      </w:tr>
      <w:tr w14:paraId="3D6A0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1" w:hRule="atLeast"/>
        </w:trPr>
        <w:tc>
          <w:tcPr>
            <w:tcW w:w="1917" w:type="dxa"/>
            <w:gridSpan w:val="3"/>
            <w:tcBorders>
              <w:top w:val="single" w:color="auto" w:sz="4" w:space="0"/>
              <w:left w:val="single" w:color="auto" w:sz="4" w:space="0"/>
              <w:bottom w:val="single" w:color="auto" w:sz="4" w:space="0"/>
              <w:right w:val="single" w:color="auto" w:sz="4" w:space="0"/>
            </w:tcBorders>
            <w:vAlign w:val="center"/>
          </w:tcPr>
          <w:p w14:paraId="544B0D89">
            <w:pPr>
              <w:ind w:firstLine="210" w:firstLineChars="100"/>
              <w:jc w:val="center"/>
              <w:rPr>
                <w:rFonts w:ascii="宋体" w:hAnsi="宋体"/>
                <w:color w:val="auto"/>
                <w:szCs w:val="21"/>
                <w:highlight w:val="none"/>
              </w:rPr>
            </w:pPr>
            <w:r>
              <w:rPr>
                <w:rFonts w:hint="eastAsia" w:ascii="宋体" w:hAnsi="宋体"/>
                <w:color w:val="auto"/>
                <w:szCs w:val="21"/>
                <w:highlight w:val="none"/>
              </w:rPr>
              <w:t>▲本项目核心产品</w:t>
            </w:r>
          </w:p>
        </w:tc>
        <w:tc>
          <w:tcPr>
            <w:tcW w:w="8027" w:type="dxa"/>
            <w:gridSpan w:val="4"/>
            <w:tcBorders>
              <w:top w:val="single" w:color="auto" w:sz="4" w:space="0"/>
              <w:left w:val="single" w:color="auto" w:sz="4" w:space="0"/>
              <w:bottom w:val="single" w:color="auto" w:sz="4" w:space="0"/>
              <w:right w:val="single" w:color="auto" w:sz="4" w:space="0"/>
            </w:tcBorders>
            <w:vAlign w:val="center"/>
          </w:tcPr>
          <w:p w14:paraId="463649B0">
            <w:pPr>
              <w:rPr>
                <w:rFonts w:ascii="宋体" w:hAnsi="宋体"/>
                <w:color w:val="auto"/>
                <w:szCs w:val="21"/>
                <w:highlight w:val="none"/>
              </w:rPr>
            </w:pPr>
            <w:r>
              <w:rPr>
                <w:rFonts w:hint="eastAsia" w:ascii="宋体" w:hAnsi="宋体"/>
                <w:b/>
                <w:color w:val="auto"/>
                <w:szCs w:val="21"/>
                <w:highlight w:val="none"/>
                <w:u w:val="single"/>
              </w:rPr>
              <w:t xml:space="preserve"> </w:t>
            </w:r>
            <w:r>
              <w:rPr>
                <w:rFonts w:hint="eastAsia" w:ascii="宋体" w:hAnsi="宋体"/>
                <w:color w:val="auto"/>
                <w:szCs w:val="21"/>
                <w:highlight w:val="none"/>
                <w:u w:val="single"/>
                <w:lang w:val="en-US" w:eastAsia="zh-CN"/>
              </w:rPr>
              <w:t>第1项产品“礼堂椅”为核心产品</w:t>
            </w:r>
            <w:r>
              <w:rPr>
                <w:rFonts w:hint="eastAsia" w:ascii="宋体" w:hAnsi="宋体"/>
                <w:color w:val="auto"/>
                <w:szCs w:val="21"/>
                <w:highlight w:val="none"/>
                <w:u w:val="single"/>
              </w:rPr>
              <w:t xml:space="preserve">  </w:t>
            </w:r>
            <w:r>
              <w:rPr>
                <w:rFonts w:hint="eastAsia" w:ascii="宋体" w:hAnsi="宋体"/>
                <w:color w:val="auto"/>
                <w:szCs w:val="21"/>
                <w:highlight w:val="none"/>
              </w:rPr>
              <w:t>（核心产品品牌相同的，视为提供同品牌产品）</w:t>
            </w:r>
          </w:p>
          <w:p w14:paraId="44782DC4">
            <w:pPr>
              <w:adjustRightInd w:val="0"/>
              <w:snapToGrid w:val="0"/>
              <w:rPr>
                <w:rFonts w:ascii="宋体" w:hAnsi="宋体"/>
                <w:color w:val="auto"/>
                <w:szCs w:val="21"/>
                <w:highlight w:val="none"/>
              </w:rPr>
            </w:pPr>
            <w:r>
              <w:rPr>
                <w:rFonts w:hint="eastAsia" w:ascii="宋体" w:hAnsi="宋体"/>
                <w:color w:val="auto"/>
                <w:szCs w:val="21"/>
                <w:highlight w:val="none"/>
              </w:rPr>
              <w:t>注：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定标准》中的推荐原则确定一个投标人获得中标人推荐资格，其他同品牌投标人不作为中标候选人。</w:t>
            </w:r>
          </w:p>
        </w:tc>
      </w:tr>
      <w:tr w14:paraId="07545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917" w:type="dxa"/>
            <w:gridSpan w:val="3"/>
            <w:tcBorders>
              <w:top w:val="single" w:color="auto" w:sz="4" w:space="0"/>
              <w:left w:val="single" w:color="auto" w:sz="4" w:space="0"/>
              <w:bottom w:val="single" w:color="auto" w:sz="4" w:space="0"/>
              <w:right w:val="single" w:color="auto" w:sz="4" w:space="0"/>
            </w:tcBorders>
            <w:vAlign w:val="center"/>
          </w:tcPr>
          <w:p w14:paraId="1AC486B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投标样品（小样）要求</w:t>
            </w:r>
          </w:p>
        </w:tc>
        <w:tc>
          <w:tcPr>
            <w:tcW w:w="8027" w:type="dxa"/>
            <w:gridSpan w:val="4"/>
            <w:tcBorders>
              <w:top w:val="single" w:color="auto" w:sz="4" w:space="0"/>
              <w:left w:val="single" w:color="auto" w:sz="4" w:space="0"/>
              <w:bottom w:val="single" w:color="auto" w:sz="4" w:space="0"/>
              <w:right w:val="single" w:color="auto" w:sz="4" w:space="0"/>
            </w:tcBorders>
            <w:vAlign w:val="center"/>
          </w:tcPr>
          <w:p w14:paraId="0693B610">
            <w:pPr>
              <w:spacing w:line="360" w:lineRule="exact"/>
              <w:rPr>
                <w:rFonts w:hint="eastAsia"/>
                <w:color w:val="auto"/>
                <w:highlight w:val="none"/>
              </w:rPr>
            </w:pPr>
            <w:r>
              <w:rPr>
                <w:rFonts w:hint="eastAsia" w:hAnsi="宋体"/>
                <w:color w:val="auto"/>
                <w:szCs w:val="21"/>
                <w:highlight w:val="none"/>
              </w:rPr>
              <w:t>投标时请提供小样：</w:t>
            </w:r>
            <w:r>
              <w:rPr>
                <w:rFonts w:hint="eastAsia"/>
                <w:color w:val="auto"/>
                <w:highlight w:val="none"/>
              </w:rPr>
              <w:t xml:space="preserve"> </w:t>
            </w:r>
          </w:p>
          <w:tbl>
            <w:tblPr>
              <w:tblStyle w:val="53"/>
              <w:tblW w:w="7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795"/>
              <w:gridCol w:w="709"/>
              <w:gridCol w:w="2410"/>
              <w:gridCol w:w="1764"/>
            </w:tblGrid>
            <w:tr w14:paraId="5163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Borders>
                    <w:top w:val="single" w:color="auto" w:sz="4" w:space="0"/>
                    <w:left w:val="single" w:color="auto" w:sz="4" w:space="0"/>
                    <w:bottom w:val="single" w:color="auto" w:sz="4" w:space="0"/>
                    <w:right w:val="single" w:color="auto" w:sz="4" w:space="0"/>
                  </w:tcBorders>
                  <w:vAlign w:val="center"/>
                </w:tcPr>
                <w:p w14:paraId="6E1D75AF">
                  <w:pPr>
                    <w:adjustRightInd w:val="0"/>
                    <w:snapToGrid w:val="0"/>
                    <w:spacing w:line="360" w:lineRule="exact"/>
                    <w:jc w:val="center"/>
                    <w:rPr>
                      <w:rFonts w:hAnsi="宋体"/>
                      <w:color w:val="auto"/>
                      <w:szCs w:val="21"/>
                      <w:highlight w:val="none"/>
                    </w:rPr>
                  </w:pPr>
                  <w:r>
                    <w:rPr>
                      <w:rFonts w:hint="eastAsia" w:hAnsi="宋体"/>
                      <w:color w:val="auto"/>
                      <w:szCs w:val="21"/>
                      <w:highlight w:val="none"/>
                    </w:rPr>
                    <w:t>序号</w:t>
                  </w:r>
                </w:p>
              </w:tc>
              <w:tc>
                <w:tcPr>
                  <w:tcW w:w="1795" w:type="dxa"/>
                  <w:tcBorders>
                    <w:top w:val="single" w:color="auto" w:sz="4" w:space="0"/>
                    <w:left w:val="single" w:color="auto" w:sz="4" w:space="0"/>
                    <w:bottom w:val="single" w:color="auto" w:sz="4" w:space="0"/>
                    <w:right w:val="single" w:color="auto" w:sz="4" w:space="0"/>
                  </w:tcBorders>
                  <w:vAlign w:val="center"/>
                </w:tcPr>
                <w:p w14:paraId="0EB58996">
                  <w:pPr>
                    <w:adjustRightInd w:val="0"/>
                    <w:snapToGrid w:val="0"/>
                    <w:spacing w:line="360" w:lineRule="exact"/>
                    <w:jc w:val="center"/>
                    <w:rPr>
                      <w:rFonts w:hAnsi="宋体"/>
                      <w:color w:val="auto"/>
                      <w:szCs w:val="21"/>
                      <w:highlight w:val="none"/>
                    </w:rPr>
                  </w:pPr>
                  <w:r>
                    <w:rPr>
                      <w:rFonts w:hint="eastAsia" w:hAnsi="宋体"/>
                      <w:color w:val="auto"/>
                      <w:szCs w:val="21"/>
                      <w:highlight w:val="none"/>
                      <w:lang w:eastAsia="zh-CN"/>
                    </w:rPr>
                    <w:t>货物名称</w:t>
                  </w:r>
                  <w:r>
                    <w:rPr>
                      <w:rFonts w:hint="eastAsia" w:hAnsi="宋体"/>
                      <w:color w:val="auto"/>
                      <w:szCs w:val="21"/>
                      <w:highlight w:val="none"/>
                      <w:lang w:val="en-US" w:eastAsia="zh-CN"/>
                    </w:rPr>
                    <w:t>-</w:t>
                  </w:r>
                  <w:r>
                    <w:rPr>
                      <w:rFonts w:hint="eastAsia" w:hAnsi="宋体"/>
                      <w:color w:val="auto"/>
                      <w:szCs w:val="21"/>
                      <w:highlight w:val="none"/>
                    </w:rPr>
                    <w:t>小样名称</w:t>
                  </w:r>
                </w:p>
              </w:tc>
              <w:tc>
                <w:tcPr>
                  <w:tcW w:w="709" w:type="dxa"/>
                  <w:tcBorders>
                    <w:top w:val="single" w:color="auto" w:sz="4" w:space="0"/>
                    <w:left w:val="single" w:color="auto" w:sz="4" w:space="0"/>
                    <w:bottom w:val="single" w:color="auto" w:sz="4" w:space="0"/>
                    <w:right w:val="single" w:color="auto" w:sz="4" w:space="0"/>
                  </w:tcBorders>
                  <w:vAlign w:val="center"/>
                </w:tcPr>
                <w:p w14:paraId="1AF02E33">
                  <w:pPr>
                    <w:adjustRightInd w:val="0"/>
                    <w:snapToGrid w:val="0"/>
                    <w:spacing w:line="360" w:lineRule="exact"/>
                    <w:jc w:val="center"/>
                    <w:rPr>
                      <w:rFonts w:hAnsi="宋体"/>
                      <w:color w:val="auto"/>
                      <w:szCs w:val="21"/>
                      <w:highlight w:val="none"/>
                    </w:rPr>
                  </w:pPr>
                  <w:r>
                    <w:rPr>
                      <w:rFonts w:hint="eastAsia" w:hAnsi="宋体"/>
                      <w:color w:val="auto"/>
                      <w:szCs w:val="21"/>
                      <w:highlight w:val="none"/>
                    </w:rPr>
                    <w:t>数量</w:t>
                  </w:r>
                </w:p>
              </w:tc>
              <w:tc>
                <w:tcPr>
                  <w:tcW w:w="2410" w:type="dxa"/>
                  <w:tcBorders>
                    <w:top w:val="single" w:color="auto" w:sz="4" w:space="0"/>
                    <w:left w:val="single" w:color="auto" w:sz="4" w:space="0"/>
                    <w:bottom w:val="single" w:color="auto" w:sz="4" w:space="0"/>
                    <w:right w:val="single" w:color="auto" w:sz="4" w:space="0"/>
                  </w:tcBorders>
                  <w:vAlign w:val="center"/>
                </w:tcPr>
                <w:p w14:paraId="34B50431">
                  <w:pPr>
                    <w:adjustRightInd w:val="0"/>
                    <w:snapToGrid w:val="0"/>
                    <w:spacing w:line="360" w:lineRule="exact"/>
                    <w:jc w:val="center"/>
                    <w:rPr>
                      <w:rFonts w:hAnsi="宋体"/>
                      <w:color w:val="auto"/>
                      <w:szCs w:val="21"/>
                      <w:highlight w:val="none"/>
                    </w:rPr>
                  </w:pPr>
                  <w:r>
                    <w:rPr>
                      <w:rFonts w:hint="eastAsia" w:hAnsi="宋体"/>
                      <w:color w:val="auto"/>
                      <w:szCs w:val="21"/>
                      <w:highlight w:val="none"/>
                    </w:rPr>
                    <w:t>规格</w:t>
                  </w:r>
                </w:p>
              </w:tc>
              <w:tc>
                <w:tcPr>
                  <w:tcW w:w="1764" w:type="dxa"/>
                  <w:tcBorders>
                    <w:top w:val="single" w:color="auto" w:sz="4" w:space="0"/>
                    <w:left w:val="single" w:color="auto" w:sz="4" w:space="0"/>
                    <w:bottom w:val="single" w:color="auto" w:sz="4" w:space="0"/>
                    <w:right w:val="single" w:color="auto" w:sz="4" w:space="0"/>
                  </w:tcBorders>
                  <w:vAlign w:val="center"/>
                </w:tcPr>
                <w:p w14:paraId="69DA478F">
                  <w:pPr>
                    <w:adjustRightInd w:val="0"/>
                    <w:snapToGrid w:val="0"/>
                    <w:spacing w:line="360" w:lineRule="exact"/>
                    <w:jc w:val="center"/>
                    <w:rPr>
                      <w:rFonts w:hAnsi="宋体"/>
                      <w:color w:val="auto"/>
                      <w:szCs w:val="21"/>
                      <w:highlight w:val="none"/>
                    </w:rPr>
                  </w:pPr>
                  <w:r>
                    <w:rPr>
                      <w:rFonts w:hint="eastAsia" w:hAnsi="宋体"/>
                      <w:color w:val="auto"/>
                      <w:szCs w:val="21"/>
                      <w:highlight w:val="none"/>
                    </w:rPr>
                    <w:t>备注说明</w:t>
                  </w:r>
                </w:p>
              </w:tc>
            </w:tr>
            <w:tr w14:paraId="4A74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restart"/>
                  <w:tcBorders>
                    <w:top w:val="single" w:color="auto" w:sz="4" w:space="0"/>
                    <w:left w:val="single" w:color="auto" w:sz="4" w:space="0"/>
                    <w:right w:val="single" w:color="auto" w:sz="4" w:space="0"/>
                  </w:tcBorders>
                  <w:vAlign w:val="center"/>
                </w:tcPr>
                <w:p w14:paraId="45073C27">
                  <w:pPr>
                    <w:jc w:val="center"/>
                    <w:rPr>
                      <w:rFonts w:hint="eastAsia" w:hAnsi="宋体"/>
                      <w:color w:val="auto"/>
                      <w:szCs w:val="21"/>
                      <w:highlight w:val="none"/>
                    </w:rPr>
                  </w:pPr>
                  <w:r>
                    <w:rPr>
                      <w:rFonts w:hint="eastAsia" w:hAnsi="宋体" w:cs="宋体"/>
                      <w:color w:val="auto"/>
                      <w:szCs w:val="21"/>
                      <w:highlight w:val="none"/>
                    </w:rPr>
                    <w:t>1</w:t>
                  </w:r>
                </w:p>
              </w:tc>
              <w:tc>
                <w:tcPr>
                  <w:tcW w:w="1795" w:type="dxa"/>
                  <w:tcBorders>
                    <w:top w:val="single" w:color="auto" w:sz="4" w:space="0"/>
                    <w:left w:val="single" w:color="auto" w:sz="4" w:space="0"/>
                    <w:bottom w:val="single" w:color="auto" w:sz="4" w:space="0"/>
                    <w:right w:val="single" w:color="auto" w:sz="4" w:space="0"/>
                  </w:tcBorders>
                  <w:vAlign w:val="center"/>
                </w:tcPr>
                <w:p w14:paraId="55ADDDC5">
                  <w:pPr>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礼堂椅-站脚</w:t>
                  </w:r>
                </w:p>
              </w:tc>
              <w:tc>
                <w:tcPr>
                  <w:tcW w:w="709" w:type="dxa"/>
                  <w:tcBorders>
                    <w:top w:val="single" w:color="auto" w:sz="4" w:space="0"/>
                    <w:left w:val="single" w:color="auto" w:sz="4" w:space="0"/>
                    <w:bottom w:val="single" w:color="auto" w:sz="4" w:space="0"/>
                    <w:right w:val="single" w:color="auto" w:sz="4" w:space="0"/>
                  </w:tcBorders>
                  <w:vAlign w:val="center"/>
                </w:tcPr>
                <w:p w14:paraId="08B697AB">
                  <w:pPr>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2</w:t>
                  </w:r>
                </w:p>
              </w:tc>
              <w:tc>
                <w:tcPr>
                  <w:tcW w:w="2410" w:type="dxa"/>
                  <w:tcBorders>
                    <w:top w:val="single" w:color="auto" w:sz="4" w:space="0"/>
                    <w:left w:val="single" w:color="auto" w:sz="4" w:space="0"/>
                    <w:bottom w:val="single" w:color="auto" w:sz="4" w:space="0"/>
                    <w:right w:val="single" w:color="auto" w:sz="4" w:space="0"/>
                  </w:tcBorders>
                  <w:vAlign w:val="center"/>
                </w:tcPr>
                <w:p w14:paraId="617BB9A1">
                  <w:pPr>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两套礼堂椅站脚</w:t>
                  </w:r>
                </w:p>
              </w:tc>
              <w:tc>
                <w:tcPr>
                  <w:tcW w:w="1764" w:type="dxa"/>
                  <w:tcBorders>
                    <w:top w:val="single" w:color="auto" w:sz="4" w:space="0"/>
                    <w:left w:val="single" w:color="auto" w:sz="4" w:space="0"/>
                    <w:bottom w:val="single" w:color="auto" w:sz="4" w:space="0"/>
                    <w:right w:val="single" w:color="auto" w:sz="4" w:space="0"/>
                  </w:tcBorders>
                  <w:vAlign w:val="center"/>
                </w:tcPr>
                <w:p w14:paraId="5C6CF122">
                  <w:pPr>
                    <w:jc w:val="center"/>
                    <w:rPr>
                      <w:rFonts w:hAnsi="宋体" w:cs="宋体"/>
                      <w:color w:val="auto"/>
                      <w:szCs w:val="21"/>
                      <w:highlight w:val="none"/>
                    </w:rPr>
                  </w:pPr>
                  <w:r>
                    <w:rPr>
                      <w:rFonts w:hint="eastAsia" w:hAnsi="宋体" w:cs="宋体"/>
                      <w:color w:val="auto"/>
                      <w:szCs w:val="21"/>
                      <w:highlight w:val="none"/>
                    </w:rPr>
                    <w:t>一</w:t>
                  </w:r>
                  <w:r>
                    <w:rPr>
                      <w:rFonts w:hint="eastAsia" w:hAnsi="宋体" w:cs="宋体"/>
                      <w:color w:val="auto"/>
                      <w:szCs w:val="21"/>
                      <w:highlight w:val="none"/>
                      <w:lang w:val="en-US" w:eastAsia="zh-CN"/>
                    </w:rPr>
                    <w:t>套</w:t>
                  </w:r>
                  <w:r>
                    <w:rPr>
                      <w:rFonts w:hint="eastAsia" w:hAnsi="宋体" w:cs="宋体"/>
                      <w:color w:val="auto"/>
                      <w:szCs w:val="21"/>
                      <w:highlight w:val="none"/>
                    </w:rPr>
                    <w:t>裸管</w:t>
                  </w:r>
                </w:p>
                <w:p w14:paraId="0A90C896">
                  <w:pPr>
                    <w:jc w:val="center"/>
                    <w:rPr>
                      <w:rFonts w:hint="eastAsia" w:hAnsi="宋体" w:eastAsia="宋体"/>
                      <w:color w:val="auto"/>
                      <w:szCs w:val="21"/>
                      <w:highlight w:val="none"/>
                      <w:lang w:val="en-US" w:eastAsia="zh-CN"/>
                    </w:rPr>
                  </w:pPr>
                  <w:r>
                    <w:rPr>
                      <w:rFonts w:hint="eastAsia" w:hAnsi="宋体" w:cs="宋体"/>
                      <w:color w:val="auto"/>
                      <w:szCs w:val="21"/>
                      <w:highlight w:val="none"/>
                    </w:rPr>
                    <w:t>一</w:t>
                  </w:r>
                  <w:r>
                    <w:rPr>
                      <w:rFonts w:hint="eastAsia" w:hAnsi="宋体" w:cs="宋体"/>
                      <w:color w:val="auto"/>
                      <w:szCs w:val="21"/>
                      <w:highlight w:val="none"/>
                      <w:lang w:val="en-US" w:eastAsia="zh-CN"/>
                    </w:rPr>
                    <w:t>套</w:t>
                  </w:r>
                  <w:r>
                    <w:rPr>
                      <w:rFonts w:hint="eastAsia" w:hAnsi="宋体" w:cs="宋体"/>
                      <w:color w:val="auto"/>
                      <w:szCs w:val="21"/>
                      <w:highlight w:val="none"/>
                    </w:rPr>
                    <w:t>喷涂</w:t>
                  </w:r>
                </w:p>
              </w:tc>
            </w:tr>
            <w:tr w14:paraId="0C7F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Borders>
                    <w:left w:val="single" w:color="auto" w:sz="4" w:space="0"/>
                    <w:right w:val="single" w:color="auto" w:sz="4" w:space="0"/>
                  </w:tcBorders>
                  <w:vAlign w:val="center"/>
                </w:tcPr>
                <w:p w14:paraId="5758437B">
                  <w:pPr>
                    <w:jc w:val="center"/>
                    <w:rPr>
                      <w:rFonts w:hint="eastAsia" w:hAnsi="宋体"/>
                      <w:color w:val="auto"/>
                      <w:szCs w:val="21"/>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14:paraId="2326620D">
                  <w:pPr>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礼堂椅-扶手</w:t>
                  </w:r>
                </w:p>
              </w:tc>
              <w:tc>
                <w:tcPr>
                  <w:tcW w:w="709" w:type="dxa"/>
                  <w:tcBorders>
                    <w:top w:val="single" w:color="auto" w:sz="4" w:space="0"/>
                    <w:left w:val="single" w:color="auto" w:sz="4" w:space="0"/>
                    <w:bottom w:val="single" w:color="auto" w:sz="4" w:space="0"/>
                    <w:right w:val="single" w:color="auto" w:sz="4" w:space="0"/>
                  </w:tcBorders>
                  <w:vAlign w:val="center"/>
                </w:tcPr>
                <w:p w14:paraId="015E6B3D">
                  <w:pPr>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2</w:t>
                  </w:r>
                </w:p>
              </w:tc>
              <w:tc>
                <w:tcPr>
                  <w:tcW w:w="2410" w:type="dxa"/>
                  <w:tcBorders>
                    <w:top w:val="single" w:color="auto" w:sz="4" w:space="0"/>
                    <w:left w:val="single" w:color="auto" w:sz="4" w:space="0"/>
                    <w:bottom w:val="single" w:color="auto" w:sz="4" w:space="0"/>
                    <w:right w:val="single" w:color="auto" w:sz="4" w:space="0"/>
                  </w:tcBorders>
                  <w:vAlign w:val="center"/>
                </w:tcPr>
                <w:p w14:paraId="0C40B55C">
                  <w:pPr>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两套礼堂椅扶手</w:t>
                  </w:r>
                </w:p>
              </w:tc>
              <w:tc>
                <w:tcPr>
                  <w:tcW w:w="1764" w:type="dxa"/>
                  <w:tcBorders>
                    <w:top w:val="single" w:color="auto" w:sz="4" w:space="0"/>
                    <w:left w:val="single" w:color="auto" w:sz="4" w:space="0"/>
                    <w:bottom w:val="single" w:color="auto" w:sz="4" w:space="0"/>
                    <w:right w:val="single" w:color="auto" w:sz="4" w:space="0"/>
                  </w:tcBorders>
                  <w:vAlign w:val="center"/>
                </w:tcPr>
                <w:p w14:paraId="0CA58E57">
                  <w:pPr>
                    <w:jc w:val="center"/>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一套原木</w:t>
                  </w:r>
                </w:p>
                <w:p w14:paraId="17316D5D">
                  <w:pPr>
                    <w:jc w:val="center"/>
                    <w:rPr>
                      <w:rFonts w:hint="eastAsia" w:hAnsi="宋体" w:eastAsia="宋体"/>
                      <w:color w:val="auto"/>
                      <w:szCs w:val="21"/>
                      <w:highlight w:val="none"/>
                      <w:lang w:val="en-US" w:eastAsia="zh-CN"/>
                    </w:rPr>
                  </w:pPr>
                  <w:r>
                    <w:rPr>
                      <w:rFonts w:hint="eastAsia" w:hAnsi="宋体" w:cs="宋体"/>
                      <w:color w:val="auto"/>
                      <w:szCs w:val="21"/>
                      <w:highlight w:val="none"/>
                    </w:rPr>
                    <w:t>一</w:t>
                  </w:r>
                  <w:r>
                    <w:rPr>
                      <w:rFonts w:hint="eastAsia" w:hAnsi="宋体" w:cs="宋体"/>
                      <w:color w:val="auto"/>
                      <w:szCs w:val="21"/>
                      <w:highlight w:val="none"/>
                      <w:lang w:val="en-US" w:eastAsia="zh-CN"/>
                    </w:rPr>
                    <w:t>套</w:t>
                  </w:r>
                  <w:r>
                    <w:rPr>
                      <w:rFonts w:hint="eastAsia" w:hAnsi="宋体" w:cs="宋体"/>
                      <w:color w:val="auto"/>
                      <w:szCs w:val="21"/>
                      <w:highlight w:val="none"/>
                    </w:rPr>
                    <w:t>喷涂</w:t>
                  </w:r>
                </w:p>
              </w:tc>
            </w:tr>
            <w:tr w14:paraId="284A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37" w:type="dxa"/>
                  <w:vMerge w:val="continue"/>
                  <w:tcBorders>
                    <w:left w:val="single" w:color="auto" w:sz="4" w:space="0"/>
                    <w:bottom w:val="single" w:color="auto" w:sz="4" w:space="0"/>
                    <w:right w:val="single" w:color="auto" w:sz="4" w:space="0"/>
                  </w:tcBorders>
                  <w:vAlign w:val="center"/>
                </w:tcPr>
                <w:p w14:paraId="73E5B429">
                  <w:pPr>
                    <w:jc w:val="center"/>
                    <w:rPr>
                      <w:rFonts w:hint="eastAsia" w:hAnsi="宋体"/>
                      <w:color w:val="auto"/>
                      <w:szCs w:val="21"/>
                      <w:highlight w:val="none"/>
                    </w:rPr>
                  </w:pPr>
                </w:p>
              </w:tc>
              <w:tc>
                <w:tcPr>
                  <w:tcW w:w="1795" w:type="dxa"/>
                  <w:tcBorders>
                    <w:top w:val="single" w:color="auto" w:sz="4" w:space="0"/>
                    <w:left w:val="single" w:color="auto" w:sz="4" w:space="0"/>
                    <w:bottom w:val="single" w:color="auto" w:sz="4" w:space="0"/>
                    <w:right w:val="single" w:color="auto" w:sz="4" w:space="0"/>
                  </w:tcBorders>
                  <w:vAlign w:val="center"/>
                </w:tcPr>
                <w:p w14:paraId="486F4E73">
                  <w:pPr>
                    <w:rPr>
                      <w:rFonts w:hint="default" w:hAnsi="宋体" w:eastAsia="宋体"/>
                      <w:color w:val="auto"/>
                      <w:szCs w:val="21"/>
                      <w:highlight w:val="none"/>
                      <w:lang w:val="en-US" w:eastAsia="zh-CN"/>
                    </w:rPr>
                  </w:pPr>
                  <w:r>
                    <w:rPr>
                      <w:rFonts w:hint="eastAsia" w:hAnsi="宋体"/>
                      <w:color w:val="auto"/>
                      <w:szCs w:val="21"/>
                      <w:highlight w:val="none"/>
                      <w:lang w:val="en-US" w:eastAsia="zh-CN"/>
                    </w:rPr>
                    <w:t>礼堂椅-靠背海绵</w:t>
                  </w:r>
                </w:p>
              </w:tc>
              <w:tc>
                <w:tcPr>
                  <w:tcW w:w="709" w:type="dxa"/>
                  <w:tcBorders>
                    <w:top w:val="single" w:color="auto" w:sz="4" w:space="0"/>
                    <w:left w:val="single" w:color="auto" w:sz="4" w:space="0"/>
                    <w:bottom w:val="single" w:color="auto" w:sz="4" w:space="0"/>
                    <w:right w:val="single" w:color="auto" w:sz="4" w:space="0"/>
                  </w:tcBorders>
                  <w:vAlign w:val="center"/>
                </w:tcPr>
                <w:p w14:paraId="1CDB05E7">
                  <w:pPr>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1</w:t>
                  </w:r>
                </w:p>
              </w:tc>
              <w:tc>
                <w:tcPr>
                  <w:tcW w:w="2410" w:type="dxa"/>
                  <w:tcBorders>
                    <w:top w:val="single" w:color="auto" w:sz="4" w:space="0"/>
                    <w:left w:val="single" w:color="auto" w:sz="4" w:space="0"/>
                    <w:bottom w:val="single" w:color="auto" w:sz="4" w:space="0"/>
                    <w:right w:val="single" w:color="auto" w:sz="4" w:space="0"/>
                  </w:tcBorders>
                  <w:vAlign w:val="center"/>
                </w:tcPr>
                <w:p w14:paraId="5CAE1D2D">
                  <w:pPr>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一套靠背海绵</w:t>
                  </w:r>
                </w:p>
              </w:tc>
              <w:tc>
                <w:tcPr>
                  <w:tcW w:w="1764" w:type="dxa"/>
                  <w:tcBorders>
                    <w:top w:val="single" w:color="auto" w:sz="4" w:space="0"/>
                    <w:left w:val="single" w:color="auto" w:sz="4" w:space="0"/>
                    <w:bottom w:val="single" w:color="auto" w:sz="4" w:space="0"/>
                    <w:right w:val="single" w:color="auto" w:sz="4" w:space="0"/>
                  </w:tcBorders>
                  <w:vAlign w:val="center"/>
                </w:tcPr>
                <w:p w14:paraId="118E6079">
                  <w:pPr>
                    <w:jc w:val="center"/>
                    <w:rPr>
                      <w:rFonts w:hint="eastAsia" w:hAnsi="宋体"/>
                      <w:color w:val="auto"/>
                      <w:szCs w:val="21"/>
                      <w:highlight w:val="none"/>
                      <w:lang w:val="en-US" w:eastAsia="zh-CN"/>
                    </w:rPr>
                  </w:pPr>
                  <w:r>
                    <w:rPr>
                      <w:rFonts w:hint="eastAsia" w:hAnsi="宋体"/>
                      <w:color w:val="auto"/>
                      <w:szCs w:val="21"/>
                      <w:highlight w:val="none"/>
                      <w:lang w:val="en-US" w:eastAsia="zh-CN"/>
                    </w:rPr>
                    <w:t>根据实际情况</w:t>
                  </w:r>
                </w:p>
                <w:p w14:paraId="5A03F1F8">
                  <w:pPr>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裁剪</w:t>
                  </w:r>
                </w:p>
              </w:tc>
            </w:tr>
          </w:tbl>
          <w:p w14:paraId="7B4E19A0">
            <w:pPr>
              <w:adjustRightInd w:val="0"/>
              <w:snapToGrid w:val="0"/>
              <w:rPr>
                <w:rFonts w:hint="eastAsia" w:ascii="宋体" w:hAnsi="宋体"/>
                <w:color w:val="auto"/>
                <w:szCs w:val="21"/>
                <w:highlight w:val="none"/>
              </w:rPr>
            </w:pPr>
          </w:p>
          <w:p w14:paraId="6D1EC5BE">
            <w:pPr>
              <w:widowControl/>
              <w:jc w:val="left"/>
              <w:rPr>
                <w:rFonts w:hint="eastAsia" w:ascii="宋体" w:hAnsi="宋体"/>
                <w:b/>
                <w:color w:val="auto"/>
                <w:szCs w:val="21"/>
                <w:highlight w:val="none"/>
              </w:rPr>
            </w:pPr>
            <w:r>
              <w:rPr>
                <w:rFonts w:hint="eastAsia" w:ascii="宋体" w:hAnsi="宋体"/>
                <w:b/>
                <w:color w:val="auto"/>
                <w:szCs w:val="21"/>
                <w:highlight w:val="none"/>
              </w:rPr>
              <w:t>备注：</w:t>
            </w:r>
          </w:p>
          <w:p w14:paraId="5B6F7F67">
            <w:pPr>
              <w:widowControl/>
              <w:ind w:firstLine="105" w:firstLineChars="50"/>
              <w:jc w:val="left"/>
              <w:rPr>
                <w:rFonts w:hint="eastAsia" w:ascii="宋体" w:hAnsi="宋体"/>
                <w:color w:val="auto"/>
                <w:szCs w:val="21"/>
                <w:highlight w:val="none"/>
              </w:rPr>
            </w:pPr>
            <w:r>
              <w:rPr>
                <w:rFonts w:hint="eastAsia" w:ascii="宋体" w:hAnsi="宋体"/>
                <w:color w:val="auto"/>
                <w:szCs w:val="21"/>
                <w:highlight w:val="none"/>
              </w:rPr>
              <w:t>(1) 小样只是作为加分项，不作为投标的必须要求；小样的规格尺寸不作为评定要求。</w:t>
            </w:r>
          </w:p>
          <w:p w14:paraId="79C89A14">
            <w:pPr>
              <w:rPr>
                <w:rFonts w:hint="eastAsia" w:ascii="宋体" w:hAnsi="宋体"/>
                <w:color w:val="auto"/>
                <w:szCs w:val="21"/>
                <w:highlight w:val="none"/>
              </w:rPr>
            </w:pPr>
            <w:r>
              <w:rPr>
                <w:rFonts w:hint="eastAsia" w:ascii="宋体" w:hAnsi="宋体"/>
                <w:color w:val="auto"/>
                <w:szCs w:val="21"/>
                <w:highlight w:val="none"/>
              </w:rPr>
              <w:t>（2）小样递交时间：</w:t>
            </w:r>
            <w:r>
              <w:rPr>
                <w:rFonts w:hint="eastAsia" w:ascii="宋体" w:hAnsi="宋体"/>
                <w:b/>
                <w:bCs/>
                <w:color w:val="auto"/>
                <w:szCs w:val="21"/>
                <w:highlight w:val="none"/>
              </w:rPr>
              <w:t>为开标当天提交</w:t>
            </w:r>
            <w:r>
              <w:rPr>
                <w:rFonts w:hint="eastAsia"/>
                <w:b/>
                <w:bCs/>
                <w:color w:val="auto"/>
                <w:highlight w:val="none"/>
              </w:rPr>
              <w:t>投标文件截止时间前</w:t>
            </w:r>
            <w:r>
              <w:rPr>
                <w:rFonts w:hint="eastAsia"/>
                <w:b/>
                <w:color w:val="auto"/>
                <w:highlight w:val="none"/>
              </w:rPr>
              <w:t>；</w:t>
            </w:r>
            <w:r>
              <w:rPr>
                <w:rFonts w:hint="eastAsia" w:ascii="宋体" w:hAnsi="宋体"/>
                <w:color w:val="auto"/>
                <w:szCs w:val="21"/>
                <w:highlight w:val="none"/>
              </w:rPr>
              <w:t>提交小样的地点：</w:t>
            </w:r>
            <w:r>
              <w:rPr>
                <w:b/>
                <w:bCs/>
                <w:color w:val="auto"/>
                <w:highlight w:val="none"/>
              </w:rPr>
              <w:t>为</w:t>
            </w:r>
            <w:r>
              <w:rPr>
                <w:rFonts w:hint="eastAsia" w:ascii="宋体" w:hAnsi="宋体"/>
                <w:b/>
                <w:bCs/>
                <w:color w:val="auto"/>
                <w:szCs w:val="21"/>
                <w:highlight w:val="none"/>
              </w:rPr>
              <w:t>南宁市星湖路22号评标楼（4号楼）三楼303室</w:t>
            </w:r>
            <w:r>
              <w:rPr>
                <w:rFonts w:hint="eastAsia" w:ascii="宋体" w:hAnsi="宋体"/>
                <w:color w:val="auto"/>
                <w:szCs w:val="21"/>
                <w:highlight w:val="none"/>
              </w:rPr>
              <w:t>。</w:t>
            </w:r>
          </w:p>
          <w:p w14:paraId="70D064F3">
            <w:pPr>
              <w:pStyle w:val="35"/>
              <w:rPr>
                <w:rFonts w:hint="eastAsia" w:ascii="宋体" w:hAnsi="宋体"/>
                <w:color w:val="auto"/>
                <w:sz w:val="21"/>
                <w:szCs w:val="21"/>
                <w:highlight w:val="none"/>
              </w:rPr>
            </w:pPr>
            <w:r>
              <w:rPr>
                <w:rFonts w:hint="eastAsia" w:ascii="宋体" w:hAnsi="宋体"/>
                <w:color w:val="auto"/>
                <w:sz w:val="21"/>
                <w:szCs w:val="21"/>
                <w:highlight w:val="none"/>
              </w:rPr>
              <w:t>（3）小样递交要求：</w:t>
            </w:r>
          </w:p>
          <w:p w14:paraId="00F8AF44">
            <w:pPr>
              <w:pStyle w:val="35"/>
              <w:ind w:firstLine="105" w:firstLineChars="50"/>
              <w:rPr>
                <w:rFonts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提交</w:t>
            </w:r>
            <w:r>
              <w:rPr>
                <w:rFonts w:hint="eastAsia" w:ascii="宋体" w:hAnsi="宋体"/>
                <w:color w:val="auto"/>
                <w:sz w:val="21"/>
                <w:szCs w:val="21"/>
                <w:highlight w:val="none"/>
              </w:rPr>
              <w:t>小样</w:t>
            </w:r>
            <w:r>
              <w:rPr>
                <w:rFonts w:ascii="宋体" w:hAnsi="宋体"/>
                <w:color w:val="auto"/>
                <w:sz w:val="21"/>
                <w:szCs w:val="21"/>
                <w:highlight w:val="none"/>
              </w:rPr>
              <w:t>的代表须向采购代理机构工作人员</w:t>
            </w:r>
            <w:r>
              <w:rPr>
                <w:rFonts w:hint="eastAsia" w:ascii="宋体" w:hAnsi="宋体"/>
                <w:color w:val="auto"/>
                <w:sz w:val="21"/>
                <w:szCs w:val="21"/>
                <w:highlight w:val="none"/>
              </w:rPr>
              <w:t>提</w:t>
            </w:r>
            <w:r>
              <w:rPr>
                <w:rFonts w:ascii="宋体" w:hAnsi="宋体"/>
                <w:color w:val="auto"/>
                <w:sz w:val="21"/>
                <w:szCs w:val="21"/>
                <w:highlight w:val="none"/>
              </w:rPr>
              <w:t>交</w:t>
            </w:r>
            <w:r>
              <w:rPr>
                <w:rFonts w:hint="eastAsia" w:ascii="宋体" w:hAnsi="宋体"/>
                <w:color w:val="auto"/>
                <w:sz w:val="21"/>
                <w:szCs w:val="21"/>
                <w:highlight w:val="none"/>
              </w:rPr>
              <w:t>“小样</w:t>
            </w:r>
            <w:r>
              <w:rPr>
                <w:rFonts w:ascii="宋体" w:hAnsi="宋体"/>
                <w:color w:val="auto"/>
                <w:sz w:val="21"/>
                <w:szCs w:val="21"/>
                <w:highlight w:val="none"/>
              </w:rPr>
              <w:t>授权委托书</w:t>
            </w:r>
            <w:r>
              <w:rPr>
                <w:rFonts w:hint="eastAsia" w:ascii="宋体" w:hAnsi="宋体"/>
                <w:color w:val="auto"/>
                <w:sz w:val="21"/>
                <w:szCs w:val="21"/>
                <w:highlight w:val="none"/>
              </w:rPr>
              <w:t>”原件。</w:t>
            </w:r>
          </w:p>
          <w:p w14:paraId="01E5A56F">
            <w:pPr>
              <w:pStyle w:val="35"/>
              <w:ind w:firstLine="105" w:firstLineChars="50"/>
              <w:rPr>
                <w:rFonts w:hint="eastAsia" w:ascii="宋体" w:hAnsi="宋体"/>
                <w:color w:val="auto"/>
                <w:sz w:val="21"/>
                <w:szCs w:val="21"/>
                <w:highlight w:val="none"/>
              </w:rPr>
            </w:pPr>
            <w:r>
              <w:rPr>
                <w:rFonts w:hint="eastAsia" w:ascii="宋体" w:hAnsi="宋体"/>
                <w:color w:val="auto"/>
                <w:sz w:val="21"/>
                <w:szCs w:val="21"/>
                <w:highlight w:val="none"/>
              </w:rPr>
              <w:t xml:space="preserve">2）所有小样按以下规定要求密封（包装）：小样包装外面贴上项目名称和项目编号及投标人名称等信息；包装里面的各小样不能出现有关投标人的标识，如出现透露投标人的信息，小样不得进行评定。 </w:t>
            </w:r>
          </w:p>
          <w:p w14:paraId="55FBAB4E">
            <w:pPr>
              <w:pStyle w:val="35"/>
              <w:ind w:firstLine="105" w:firstLineChars="50"/>
              <w:rPr>
                <w:rFonts w:hint="eastAsia" w:ascii="宋体" w:hAnsi="宋体"/>
                <w:color w:val="auto"/>
                <w:sz w:val="21"/>
                <w:szCs w:val="21"/>
                <w:highlight w:val="none"/>
              </w:rPr>
            </w:pPr>
            <w:r>
              <w:rPr>
                <w:rFonts w:hint="eastAsia" w:ascii="宋体" w:hAnsi="宋体"/>
                <w:color w:val="auto"/>
                <w:sz w:val="21"/>
                <w:szCs w:val="21"/>
                <w:highlight w:val="none"/>
              </w:rPr>
              <w:t>3）评标前由采购代理机构工作人员将对投标人的标签进行遮盖，评定小样时由采购代理机构工作人员及评委一起打开，待评定小样完毕后，再统一拆封所有投标人的标签。</w:t>
            </w:r>
          </w:p>
          <w:p w14:paraId="644FB313">
            <w:pPr>
              <w:pStyle w:val="35"/>
              <w:rPr>
                <w:rFonts w:hint="eastAsia" w:ascii="宋体" w:hAnsi="宋体"/>
                <w:color w:val="auto"/>
                <w:szCs w:val="21"/>
                <w:highlight w:val="none"/>
              </w:rPr>
            </w:pPr>
            <w:r>
              <w:rPr>
                <w:rFonts w:hint="eastAsia" w:ascii="宋体" w:hAnsi="宋体"/>
                <w:color w:val="auto"/>
                <w:sz w:val="21"/>
                <w:szCs w:val="21"/>
                <w:highlight w:val="none"/>
              </w:rPr>
              <w:t>（4）采购结果公告后，中标人小样不退，作为验收依据之一。</w:t>
            </w:r>
            <w:r>
              <w:rPr>
                <w:rFonts w:hint="eastAsia" w:ascii="宋体" w:hAnsi="宋体"/>
                <w:b/>
                <w:bCs/>
                <w:color w:val="auto"/>
                <w:sz w:val="21"/>
                <w:szCs w:val="21"/>
                <w:highlight w:val="none"/>
              </w:rPr>
              <w:t>未中标的，在本项目评审结果（中标公告）发出（或接到广西壮族自治区政府采购中心电话通知）后五个工作日内，原路径领回样品，逾期未办理样品领取的，样品处置权交由广西壮族自治区政府采购中心。所造成的损失，由本公司自行承担。</w:t>
            </w:r>
          </w:p>
        </w:tc>
      </w:tr>
      <w:tr w14:paraId="2515D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3"/>
            <w:tcBorders>
              <w:top w:val="single" w:color="auto" w:sz="4" w:space="0"/>
              <w:left w:val="single" w:color="auto" w:sz="4" w:space="0"/>
              <w:bottom w:val="single" w:color="auto" w:sz="4" w:space="0"/>
              <w:right w:val="single" w:color="auto" w:sz="4" w:space="0"/>
            </w:tcBorders>
            <w:vAlign w:val="center"/>
          </w:tcPr>
          <w:p w14:paraId="26968188">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其它要求及说明</w:t>
            </w:r>
          </w:p>
        </w:tc>
        <w:tc>
          <w:tcPr>
            <w:tcW w:w="8027" w:type="dxa"/>
            <w:gridSpan w:val="4"/>
            <w:tcBorders>
              <w:top w:val="single" w:color="auto" w:sz="4" w:space="0"/>
              <w:left w:val="single" w:color="auto" w:sz="4" w:space="0"/>
              <w:bottom w:val="single" w:color="auto" w:sz="4" w:space="0"/>
              <w:right w:val="single" w:color="auto" w:sz="4" w:space="0"/>
            </w:tcBorders>
          </w:tcPr>
          <w:p w14:paraId="7977C80A">
            <w:pPr>
              <w:snapToGrid w:val="0"/>
              <w:spacing w:before="156" w:beforeLines="50" w:after="156" w:afterLines="50" w:line="360" w:lineRule="exact"/>
              <w:rPr>
                <w:rFonts w:ascii="宋体" w:hAnsi="宋体" w:cs="宋体"/>
                <w:color w:val="auto"/>
                <w:szCs w:val="21"/>
                <w:highlight w:val="none"/>
                <w:lang w:val="zh-CN"/>
              </w:rPr>
            </w:pPr>
            <w:r>
              <w:rPr>
                <w:rFonts w:hint="eastAsia" w:ascii="宋体" w:hAnsi="宋体" w:cs="宋体"/>
                <w:color w:val="auto"/>
                <w:szCs w:val="21"/>
                <w:highlight w:val="none"/>
                <w:lang w:val="zh-CN"/>
              </w:rPr>
              <w:t>1、中标人保证向采购人提供的货物是全新、完整、未使用过的。</w:t>
            </w:r>
          </w:p>
          <w:p w14:paraId="1E3962C2">
            <w:pPr>
              <w:widowControl/>
              <w:shd w:val="clear" w:color="auto" w:fill="FFFFFF"/>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2、</w:t>
            </w:r>
            <w:r>
              <w:rPr>
                <w:rFonts w:ascii="宋体" w:hAnsi="宋体" w:cs="宋体"/>
                <w:color w:val="auto"/>
                <w:szCs w:val="21"/>
                <w:highlight w:val="none"/>
                <w:lang w:val="zh-CN"/>
              </w:rPr>
              <w:t>本项目不接受进口产品（即通过中国海关报关验放进入中国境内且产自关境外的产品）参与投标，如有此类产品参与投标的做投标无效处理。</w:t>
            </w:r>
          </w:p>
          <w:p w14:paraId="5AF43E9E">
            <w:pPr>
              <w:spacing w:line="360" w:lineRule="auto"/>
              <w:rPr>
                <w:rFonts w:ascii="宋体" w:hAnsi="宋体" w:cs="宋体"/>
                <w:color w:val="auto"/>
                <w:szCs w:val="21"/>
                <w:highlight w:val="none"/>
                <w:lang w:val="zh-CN"/>
              </w:rPr>
            </w:pPr>
            <w:r>
              <w:rPr>
                <w:rFonts w:hint="eastAsia"/>
                <w:color w:val="auto"/>
                <w:highlight w:val="none"/>
              </w:rPr>
              <w:t>3、</w:t>
            </w:r>
            <w:r>
              <w:rPr>
                <w:color w:val="auto"/>
                <w:highlight w:val="none"/>
              </w:rPr>
              <w:t>家具的最终外形尺寸须根据实际布置进行调整，对</w:t>
            </w:r>
            <w:r>
              <w:rPr>
                <w:rFonts w:hint="eastAsia"/>
                <w:color w:val="auto"/>
                <w:highlight w:val="none"/>
              </w:rPr>
              <w:t>有</w:t>
            </w:r>
            <w:r>
              <w:rPr>
                <w:color w:val="auto"/>
                <w:highlight w:val="none"/>
              </w:rPr>
              <w:t>特殊的定制家具及修改的尺寸均包含在投标报价中，投标人在报价时应自行考虑，承诺不因定制或修改家具尺寸的因素而改变投标报价</w:t>
            </w:r>
            <w:r>
              <w:rPr>
                <w:rFonts w:hint="eastAsia" w:ascii="宋体" w:hAnsi="宋体" w:cs="宋体"/>
                <w:color w:val="auto"/>
                <w:szCs w:val="21"/>
                <w:highlight w:val="none"/>
                <w:lang w:val="zh-CN"/>
              </w:rPr>
              <w:t>。</w:t>
            </w:r>
          </w:p>
          <w:p w14:paraId="73163FDE">
            <w:pPr>
              <w:pStyle w:val="70"/>
              <w:rPr>
                <w:rFonts w:hint="eastAsia" w:hAnsi="宋体"/>
                <w:color w:val="auto"/>
                <w:sz w:val="21"/>
                <w:szCs w:val="21"/>
                <w:highlight w:val="none"/>
              </w:rPr>
            </w:pPr>
            <w:r>
              <w:rPr>
                <w:rFonts w:hint="eastAsia" w:hAnsi="宋体"/>
                <w:color w:val="auto"/>
                <w:kern w:val="2"/>
                <w:sz w:val="21"/>
                <w:szCs w:val="21"/>
                <w:highlight w:val="none"/>
                <w:lang w:val="zh-CN"/>
              </w:rPr>
              <w:t>▲</w:t>
            </w:r>
            <w:r>
              <w:rPr>
                <w:rFonts w:hint="eastAsia" w:hAnsi="宋体"/>
                <w:color w:val="auto"/>
                <w:sz w:val="21"/>
                <w:szCs w:val="21"/>
                <w:highlight w:val="none"/>
                <w:lang w:val="en-US" w:eastAsia="zh-CN"/>
              </w:rPr>
              <w:t>4</w:t>
            </w:r>
            <w:r>
              <w:rPr>
                <w:rFonts w:hint="eastAsia" w:hAnsi="宋体"/>
                <w:color w:val="auto"/>
                <w:sz w:val="21"/>
                <w:szCs w:val="21"/>
                <w:highlight w:val="none"/>
              </w:rPr>
              <w:t>、验收：</w:t>
            </w:r>
          </w:p>
          <w:p w14:paraId="2DAC7CB7">
            <w:pPr>
              <w:pStyle w:val="70"/>
              <w:rPr>
                <w:rFonts w:hint="eastAsia" w:hAnsi="宋体"/>
                <w:color w:val="auto"/>
                <w:sz w:val="21"/>
                <w:szCs w:val="21"/>
                <w:highlight w:val="none"/>
              </w:rPr>
            </w:pPr>
            <w:r>
              <w:rPr>
                <w:rFonts w:hint="eastAsia" w:hAnsi="宋体"/>
                <w:color w:val="auto"/>
                <w:sz w:val="21"/>
                <w:szCs w:val="21"/>
                <w:highlight w:val="none"/>
              </w:rPr>
              <w:t>（1）中标人在签订合同后，先提供（</w:t>
            </w:r>
            <w:r>
              <w:rPr>
                <w:rFonts w:hint="eastAsia" w:hAnsi="宋体"/>
                <w:b/>
                <w:bCs/>
                <w:color w:val="auto"/>
                <w:sz w:val="21"/>
                <w:szCs w:val="21"/>
                <w:highlight w:val="none"/>
                <w:u w:val="single"/>
              </w:rPr>
              <w:t>一套完整的所投产品</w:t>
            </w:r>
            <w:r>
              <w:rPr>
                <w:rFonts w:hint="eastAsia" w:hAnsi="宋体"/>
                <w:color w:val="auto"/>
                <w:sz w:val="21"/>
                <w:szCs w:val="21"/>
                <w:highlight w:val="none"/>
              </w:rPr>
              <w:t>）至采购单位处进行检测，采购单位可聘请具有验收资质的检测部门进行检测，检测合格的产品作为验收产品的依据，费用由中标人负责。</w:t>
            </w:r>
          </w:p>
          <w:p w14:paraId="12110ABB">
            <w:pPr>
              <w:adjustRightInd w:val="0"/>
              <w:snapToGrid w:val="0"/>
              <w:spacing w:before="152" w:after="160"/>
              <w:rPr>
                <w:rFonts w:hint="eastAsia" w:hAnsi="宋体" w:cs="Segoe UI Symbol"/>
                <w:color w:val="auto"/>
                <w:szCs w:val="21"/>
                <w:highlight w:val="none"/>
              </w:rPr>
            </w:pPr>
            <w:r>
              <w:rPr>
                <w:rFonts w:hint="eastAsia" w:hAnsi="宋体"/>
                <w:color w:val="auto"/>
                <w:szCs w:val="21"/>
                <w:highlight w:val="none"/>
              </w:rPr>
              <w:t>（2）中标人须按规定时间交货安装完毕，采购单位可聘请具有验收能力的检测部门进行验收，验收不合格按照政府采购法及相关规定执行</w:t>
            </w:r>
            <w:r>
              <w:rPr>
                <w:rFonts w:hint="eastAsia" w:hAnsi="宋体" w:cs="Segoe UI Symbol"/>
                <w:color w:val="auto"/>
                <w:szCs w:val="21"/>
                <w:highlight w:val="none"/>
              </w:rPr>
              <w:t>。</w:t>
            </w:r>
          </w:p>
          <w:p w14:paraId="3E6E0427">
            <w:pPr>
              <w:widowControl/>
              <w:shd w:val="clear" w:color="auto" w:fill="FFFFFF"/>
              <w:jc w:val="left"/>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、政策功能</w:t>
            </w:r>
          </w:p>
          <w:p w14:paraId="49E892F3">
            <w:pPr>
              <w:widowControl/>
              <w:shd w:val="clear" w:color="auto" w:fill="FFFFFF"/>
              <w:jc w:val="left"/>
              <w:rPr>
                <w:rFonts w:hint="eastAsia" w:ascii="宋体" w:hAnsi="宋体"/>
                <w:color w:val="auto"/>
                <w:szCs w:val="21"/>
                <w:highlight w:val="none"/>
              </w:rPr>
            </w:pPr>
            <w:r>
              <w:rPr>
                <w:rFonts w:hint="eastAsia" w:ascii="宋体" w:hAnsi="宋体" w:cs="宋体"/>
                <w:color w:val="auto"/>
                <w:szCs w:val="21"/>
                <w:highlight w:val="none"/>
                <w:lang w:val="zh-CN"/>
              </w:rPr>
              <w:t>▲</w:t>
            </w:r>
            <w:r>
              <w:rPr>
                <w:rFonts w:hint="eastAsia" w:ascii="宋体" w:hAnsi="宋体"/>
                <w:color w:val="auto"/>
                <w:szCs w:val="21"/>
                <w:highlight w:val="none"/>
              </w:rPr>
              <w:t>（1）严格执行（财库〔2019〕9号）及（财库〔2019〕19号），本次投标产品类别属于政府强制采购产品类别的，须按照《市场监管总局关于发布参与实施政府采购节能产品、环境标志产品认证机构名录的公告》（2019年第16号）要求提供依据国家确定的认证机构出具的、处于有效期之内的节能产品认证证书复印件并加盖投标人公章，否则投标无效。</w:t>
            </w:r>
          </w:p>
          <w:p w14:paraId="7D41C13B">
            <w:pPr>
              <w:widowControl/>
              <w:shd w:val="clear" w:color="auto" w:fill="FFFFFF"/>
              <w:jc w:val="left"/>
              <w:rPr>
                <w:rFonts w:ascii="宋体" w:hAnsi="宋体"/>
                <w:b/>
                <w:color w:val="auto"/>
                <w:szCs w:val="21"/>
                <w:highlight w:val="none"/>
              </w:rPr>
            </w:pPr>
            <w:r>
              <w:rPr>
                <w:rFonts w:hint="eastAsia" w:ascii="宋体" w:hAnsi="宋体"/>
                <w:color w:val="auto"/>
                <w:szCs w:val="21"/>
                <w:highlight w:val="none"/>
              </w:rPr>
              <w:t>（2）执行《财政部 发展改革委 生态环境部 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投标人按照《市场监管总局关于发布参与实施政府采购节能产品、环境标志产品认证机构名录的公告》（2019年第16号）要求提供依据国家确定的认证机构出具的、处于有效期之内的节能产品或环境标志产品认证证书复印件并加盖投标人公章，否则不予认定。</w:t>
            </w:r>
          </w:p>
        </w:tc>
      </w:tr>
      <w:tr w14:paraId="5D591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917" w:type="dxa"/>
            <w:gridSpan w:val="3"/>
            <w:tcBorders>
              <w:top w:val="single" w:color="auto" w:sz="4" w:space="0"/>
              <w:left w:val="single" w:color="auto" w:sz="4" w:space="0"/>
              <w:bottom w:val="single" w:color="auto" w:sz="4" w:space="0"/>
              <w:right w:val="single" w:color="auto" w:sz="4" w:space="0"/>
            </w:tcBorders>
            <w:vAlign w:val="center"/>
          </w:tcPr>
          <w:p w14:paraId="4698D0C5">
            <w:pPr>
              <w:snapToGrid w:val="0"/>
              <w:spacing w:line="360" w:lineRule="exact"/>
              <w:jc w:val="center"/>
              <w:rPr>
                <w:rFonts w:hint="eastAsia" w:ascii="宋体" w:hAnsi="宋体"/>
                <w:color w:val="auto"/>
                <w:szCs w:val="21"/>
                <w:highlight w:val="none"/>
              </w:rPr>
            </w:pPr>
            <w:r>
              <w:rPr>
                <w:rFonts w:hAnsi="宋体"/>
                <w:color w:val="auto"/>
                <w:szCs w:val="21"/>
                <w:highlight w:val="none"/>
              </w:rPr>
              <w:t>注意事项及参考样式</w:t>
            </w:r>
            <w:r>
              <w:rPr>
                <w:rFonts w:hint="eastAsia" w:hAnsi="宋体"/>
                <w:color w:val="auto"/>
                <w:szCs w:val="21"/>
                <w:highlight w:val="none"/>
              </w:rPr>
              <w:t>和基本结构参数</w:t>
            </w:r>
          </w:p>
        </w:tc>
        <w:tc>
          <w:tcPr>
            <w:tcW w:w="8027" w:type="dxa"/>
            <w:gridSpan w:val="4"/>
            <w:tcBorders>
              <w:top w:val="single" w:color="auto" w:sz="4" w:space="0"/>
              <w:left w:val="single" w:color="auto" w:sz="4" w:space="0"/>
              <w:bottom w:val="single" w:color="auto" w:sz="4" w:space="0"/>
              <w:right w:val="single" w:color="auto" w:sz="4" w:space="0"/>
            </w:tcBorders>
          </w:tcPr>
          <w:p w14:paraId="501506BB">
            <w:pPr>
              <w:widowControl/>
              <w:shd w:val="clear" w:color="auto" w:fill="FFFFFF"/>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1、产品样式以提供以下的样式参考图为准。</w:t>
            </w:r>
          </w:p>
          <w:p w14:paraId="32BAB75C">
            <w:pPr>
              <w:widowControl/>
              <w:snapToGrid w:val="0"/>
              <w:spacing w:line="360" w:lineRule="auto"/>
              <w:jc w:val="left"/>
              <w:rPr>
                <w:rFonts w:hint="eastAsia"/>
                <w:color w:val="auto"/>
                <w:highlight w:val="none"/>
              </w:rPr>
            </w:pPr>
            <w:r>
              <w:rPr>
                <w:rFonts w:hAnsi="宋体"/>
                <w:color w:val="auto"/>
                <w:szCs w:val="21"/>
                <w:highlight w:val="none"/>
              </w:rPr>
              <w:t>2、提供的</w:t>
            </w:r>
            <w:r>
              <w:rPr>
                <w:rFonts w:hint="default" w:hAnsi="宋体"/>
                <w:color w:val="auto"/>
                <w:szCs w:val="21"/>
                <w:highlight w:val="none"/>
                <w:lang w:val="en-US" w:eastAsia="zh-CN"/>
              </w:rPr>
              <w:t>家具</w:t>
            </w:r>
            <w:r>
              <w:rPr>
                <w:rFonts w:hAnsi="宋体"/>
                <w:color w:val="auto"/>
                <w:szCs w:val="21"/>
                <w:highlight w:val="none"/>
              </w:rPr>
              <w:t>参数如未能表述详尽的，以提供的以下样式</w:t>
            </w:r>
            <w:r>
              <w:rPr>
                <w:rFonts w:hint="eastAsia" w:hAnsi="宋体" w:cs="宋体"/>
                <w:b/>
                <w:bCs/>
                <w:color w:val="auto"/>
                <w:szCs w:val="21"/>
                <w:highlight w:val="none"/>
              </w:rPr>
              <w:t>参考图</w:t>
            </w:r>
            <w:r>
              <w:rPr>
                <w:rFonts w:hAnsi="宋体"/>
                <w:color w:val="auto"/>
                <w:szCs w:val="21"/>
                <w:highlight w:val="none"/>
              </w:rPr>
              <w:t>为准。</w:t>
            </w:r>
          </w:p>
        </w:tc>
      </w:tr>
    </w:tbl>
    <w:p w14:paraId="2F5E9634">
      <w:pPr>
        <w:pStyle w:val="35"/>
        <w:rPr>
          <w:rFonts w:hint="eastAsia"/>
          <w:color w:val="auto"/>
          <w:highlight w:val="none"/>
        </w:rPr>
      </w:pPr>
    </w:p>
    <w:p w14:paraId="7FEBC6A4">
      <w:pPr>
        <w:snapToGrid w:val="0"/>
        <w:spacing w:line="400" w:lineRule="exact"/>
        <w:ind w:firstLine="422" w:firstLineChars="200"/>
        <w:rPr>
          <w:rFonts w:hint="eastAsia" w:ascii="宋体" w:hAnsi="宋体"/>
          <w:b/>
          <w:bCs/>
          <w:color w:val="auto"/>
          <w:kern w:val="0"/>
          <w:szCs w:val="21"/>
          <w:highlight w:val="none"/>
        </w:rPr>
      </w:pPr>
    </w:p>
    <w:p w14:paraId="0D1DB8FB">
      <w:pPr>
        <w:snapToGrid w:val="0"/>
        <w:rPr>
          <w:rFonts w:hint="eastAsia" w:ascii="仿宋_GB2312" w:eastAsia="仿宋_GB2312"/>
          <w:b/>
          <w:color w:val="auto"/>
          <w:szCs w:val="21"/>
          <w:highlight w:val="none"/>
          <w:shd w:val="clear" w:color="auto" w:fill="auto"/>
        </w:rPr>
      </w:pPr>
    </w:p>
    <w:p w14:paraId="600B9305">
      <w:pPr>
        <w:snapToGrid w:val="0"/>
        <w:rPr>
          <w:rFonts w:hint="eastAsia" w:ascii="仿宋_GB2312" w:eastAsia="仿宋_GB2312"/>
          <w:b/>
          <w:color w:val="auto"/>
          <w:szCs w:val="21"/>
          <w:highlight w:val="none"/>
          <w:shd w:val="clear" w:color="auto" w:fill="auto"/>
        </w:rPr>
      </w:pPr>
    </w:p>
    <w:p w14:paraId="12613979">
      <w:pPr>
        <w:snapToGrid w:val="0"/>
        <w:rPr>
          <w:rFonts w:hint="eastAsia" w:ascii="仿宋_GB2312" w:eastAsia="仿宋_GB2312"/>
          <w:b/>
          <w:color w:val="auto"/>
          <w:szCs w:val="21"/>
          <w:highlight w:val="none"/>
          <w:shd w:val="clear" w:color="auto" w:fill="auto"/>
        </w:rPr>
      </w:pPr>
    </w:p>
    <w:p w14:paraId="1B3BC5D3">
      <w:pPr>
        <w:snapToGrid w:val="0"/>
        <w:rPr>
          <w:rFonts w:hint="eastAsia" w:ascii="仿宋_GB2312" w:eastAsia="仿宋_GB2312"/>
          <w:b/>
          <w:color w:val="auto"/>
          <w:szCs w:val="21"/>
          <w:highlight w:val="none"/>
          <w:shd w:val="clear" w:color="auto" w:fill="auto"/>
        </w:rPr>
      </w:pPr>
    </w:p>
    <w:p w14:paraId="52F210D6">
      <w:pPr>
        <w:snapToGrid w:val="0"/>
        <w:rPr>
          <w:rFonts w:hint="eastAsia" w:ascii="仿宋_GB2312" w:eastAsia="仿宋_GB2312"/>
          <w:b/>
          <w:color w:val="auto"/>
          <w:szCs w:val="21"/>
          <w:highlight w:val="none"/>
          <w:shd w:val="clear" w:color="auto" w:fill="auto"/>
        </w:rPr>
      </w:pPr>
    </w:p>
    <w:p w14:paraId="51DB99F5">
      <w:pPr>
        <w:snapToGrid w:val="0"/>
        <w:rPr>
          <w:rFonts w:hint="eastAsia" w:ascii="仿宋_GB2312" w:eastAsia="仿宋_GB2312"/>
          <w:b/>
          <w:color w:val="auto"/>
          <w:szCs w:val="21"/>
          <w:highlight w:val="none"/>
          <w:shd w:val="clear" w:color="auto" w:fill="auto"/>
        </w:rPr>
      </w:pPr>
    </w:p>
    <w:p w14:paraId="516D6A41">
      <w:pPr>
        <w:snapToGrid w:val="0"/>
        <w:rPr>
          <w:rFonts w:hint="eastAsia" w:ascii="仿宋_GB2312" w:eastAsia="仿宋_GB2312"/>
          <w:b/>
          <w:color w:val="auto"/>
          <w:szCs w:val="21"/>
          <w:highlight w:val="none"/>
          <w:shd w:val="clear" w:color="auto" w:fill="auto"/>
        </w:rPr>
      </w:pPr>
    </w:p>
    <w:p w14:paraId="6C355DEB">
      <w:pPr>
        <w:snapToGrid w:val="0"/>
        <w:rPr>
          <w:rFonts w:hint="eastAsia" w:ascii="仿宋_GB2312" w:eastAsia="仿宋_GB2312"/>
          <w:b/>
          <w:color w:val="auto"/>
          <w:szCs w:val="21"/>
          <w:highlight w:val="none"/>
          <w:shd w:val="clear" w:color="auto" w:fill="auto"/>
        </w:rPr>
      </w:pPr>
    </w:p>
    <w:p w14:paraId="557B6E88">
      <w:pPr>
        <w:snapToGrid w:val="0"/>
        <w:rPr>
          <w:rFonts w:hint="eastAsia" w:ascii="仿宋_GB2312" w:eastAsia="仿宋_GB2312"/>
          <w:b/>
          <w:color w:val="auto"/>
          <w:szCs w:val="21"/>
          <w:highlight w:val="none"/>
          <w:shd w:val="clear" w:color="auto" w:fill="auto"/>
        </w:rPr>
      </w:pPr>
    </w:p>
    <w:p w14:paraId="632BCED9">
      <w:pPr>
        <w:snapToGrid w:val="0"/>
        <w:rPr>
          <w:rFonts w:hint="eastAsia" w:ascii="仿宋_GB2312" w:eastAsia="仿宋_GB2312"/>
          <w:b/>
          <w:color w:val="auto"/>
          <w:szCs w:val="21"/>
          <w:highlight w:val="none"/>
          <w:shd w:val="clear" w:color="auto" w:fill="auto"/>
        </w:rPr>
      </w:pPr>
    </w:p>
    <w:p w14:paraId="2F397315">
      <w:pPr>
        <w:pStyle w:val="101"/>
        <w:rPr>
          <w:rFonts w:hint="eastAsia" w:ascii="仿宋_GB2312" w:eastAsia="仿宋_GB2312"/>
          <w:b/>
          <w:color w:val="auto"/>
          <w:szCs w:val="21"/>
          <w:highlight w:val="none"/>
          <w:shd w:val="clear" w:color="auto" w:fill="auto"/>
        </w:rPr>
      </w:pPr>
    </w:p>
    <w:p w14:paraId="181E0E70">
      <w:pPr>
        <w:pStyle w:val="21"/>
        <w:rPr>
          <w:rFonts w:hint="eastAsia" w:ascii="仿宋_GB2312" w:eastAsia="仿宋_GB2312"/>
          <w:b/>
          <w:color w:val="auto"/>
          <w:szCs w:val="21"/>
          <w:highlight w:val="none"/>
          <w:shd w:val="clear" w:color="auto" w:fill="auto"/>
        </w:rPr>
      </w:pPr>
    </w:p>
    <w:p w14:paraId="67EA550C">
      <w:pPr>
        <w:snapToGrid w:val="0"/>
        <w:rPr>
          <w:rFonts w:hint="eastAsia" w:ascii="仿宋_GB2312" w:eastAsia="仿宋_GB2312"/>
          <w:b/>
          <w:color w:val="auto"/>
          <w:szCs w:val="21"/>
          <w:highlight w:val="none"/>
          <w:shd w:val="clear" w:color="auto" w:fill="auto"/>
        </w:rPr>
      </w:pPr>
    </w:p>
    <w:p w14:paraId="5D0BB8F4">
      <w:pPr>
        <w:snapToGrid w:val="0"/>
        <w:rPr>
          <w:rFonts w:hint="eastAsia" w:ascii="仿宋_GB2312" w:eastAsia="仿宋_GB2312"/>
          <w:b/>
          <w:color w:val="auto"/>
          <w:szCs w:val="21"/>
          <w:highlight w:val="none"/>
          <w:shd w:val="clear" w:color="auto" w:fill="auto"/>
        </w:rPr>
      </w:pPr>
    </w:p>
    <w:p w14:paraId="7CDCD538">
      <w:pPr>
        <w:snapToGrid w:val="0"/>
        <w:rPr>
          <w:rFonts w:hint="eastAsia" w:ascii="仿宋_GB2312" w:eastAsia="仿宋_GB2312"/>
          <w:b/>
          <w:color w:val="auto"/>
          <w:szCs w:val="21"/>
          <w:highlight w:val="none"/>
          <w:shd w:val="clear" w:color="auto" w:fill="auto"/>
        </w:rPr>
      </w:pPr>
    </w:p>
    <w:p w14:paraId="5C8E8F1F">
      <w:pPr>
        <w:snapToGrid w:val="0"/>
        <w:rPr>
          <w:rFonts w:hint="eastAsia" w:ascii="仿宋_GB2312" w:eastAsia="仿宋_GB2312"/>
          <w:b/>
          <w:color w:val="auto"/>
          <w:szCs w:val="21"/>
          <w:highlight w:val="none"/>
          <w:shd w:val="clear" w:color="auto" w:fill="auto"/>
        </w:rPr>
      </w:pPr>
    </w:p>
    <w:p w14:paraId="7214CA36">
      <w:pPr>
        <w:snapToGrid w:val="0"/>
        <w:jc w:val="center"/>
        <w:rPr>
          <w:rFonts w:hint="eastAsia" w:ascii="宋体" w:hAnsi="宋体" w:cs="Courier New"/>
          <w:b/>
          <w:color w:val="auto"/>
          <w:sz w:val="44"/>
          <w:szCs w:val="44"/>
          <w:highlight w:val="none"/>
          <w:shd w:val="clear" w:color="auto" w:fill="auto"/>
        </w:rPr>
      </w:pPr>
    </w:p>
    <w:p w14:paraId="3DD6863B">
      <w:pPr>
        <w:snapToGrid w:val="0"/>
        <w:jc w:val="center"/>
        <w:rPr>
          <w:rFonts w:hint="eastAsia" w:ascii="宋体" w:hAnsi="宋体" w:cs="Courier New"/>
          <w:b/>
          <w:color w:val="auto"/>
          <w:sz w:val="44"/>
          <w:szCs w:val="44"/>
          <w:highlight w:val="none"/>
          <w:shd w:val="clear" w:color="auto" w:fill="auto"/>
        </w:rPr>
      </w:pPr>
    </w:p>
    <w:p w14:paraId="1B7C9342">
      <w:pPr>
        <w:snapToGrid w:val="0"/>
        <w:jc w:val="center"/>
        <w:rPr>
          <w:rFonts w:hint="eastAsia" w:ascii="宋体" w:hAnsi="宋体" w:cs="Courier New"/>
          <w:b/>
          <w:color w:val="auto"/>
          <w:sz w:val="44"/>
          <w:szCs w:val="44"/>
          <w:highlight w:val="none"/>
          <w:shd w:val="clear" w:color="auto" w:fill="auto"/>
        </w:rPr>
      </w:pPr>
    </w:p>
    <w:p w14:paraId="7B2DAD06">
      <w:pPr>
        <w:snapToGrid w:val="0"/>
        <w:jc w:val="center"/>
        <w:rPr>
          <w:rFonts w:hint="eastAsia" w:ascii="宋体" w:hAnsi="宋体" w:cs="Courier New"/>
          <w:b/>
          <w:color w:val="auto"/>
          <w:sz w:val="44"/>
          <w:szCs w:val="44"/>
          <w:highlight w:val="none"/>
          <w:shd w:val="clear" w:color="auto" w:fill="auto"/>
        </w:rPr>
      </w:pPr>
    </w:p>
    <w:p w14:paraId="7991A836">
      <w:pPr>
        <w:snapToGrid w:val="0"/>
        <w:jc w:val="center"/>
        <w:rPr>
          <w:rFonts w:hint="eastAsia" w:ascii="宋体" w:hAnsi="宋体" w:cs="Courier New"/>
          <w:b/>
          <w:color w:val="auto"/>
          <w:sz w:val="44"/>
          <w:szCs w:val="44"/>
          <w:highlight w:val="none"/>
          <w:shd w:val="clear" w:color="auto" w:fill="auto"/>
        </w:rPr>
      </w:pPr>
    </w:p>
    <w:p w14:paraId="064C29C1">
      <w:pPr>
        <w:snapToGrid w:val="0"/>
        <w:jc w:val="center"/>
        <w:rPr>
          <w:rFonts w:hint="eastAsia" w:ascii="宋体" w:hAnsi="宋体" w:cs="Courier New"/>
          <w:b/>
          <w:color w:val="auto"/>
          <w:sz w:val="44"/>
          <w:szCs w:val="44"/>
          <w:highlight w:val="none"/>
          <w:shd w:val="clear" w:color="auto" w:fill="auto"/>
        </w:rPr>
      </w:pPr>
    </w:p>
    <w:p w14:paraId="5AD21BA3">
      <w:pPr>
        <w:snapToGrid w:val="0"/>
        <w:jc w:val="center"/>
        <w:rPr>
          <w:rFonts w:hint="eastAsia" w:ascii="宋体" w:hAnsi="宋体" w:cs="Courier New"/>
          <w:b/>
          <w:color w:val="auto"/>
          <w:sz w:val="44"/>
          <w:szCs w:val="44"/>
          <w:highlight w:val="none"/>
          <w:shd w:val="clear" w:color="auto" w:fill="auto"/>
        </w:rPr>
      </w:pPr>
    </w:p>
    <w:p w14:paraId="2B2F00C8">
      <w:pPr>
        <w:snapToGrid w:val="0"/>
        <w:jc w:val="center"/>
        <w:rPr>
          <w:rFonts w:hint="eastAsia" w:ascii="宋体" w:hAnsi="宋体" w:cs="Courier New"/>
          <w:b/>
          <w:color w:val="auto"/>
          <w:sz w:val="44"/>
          <w:szCs w:val="44"/>
          <w:highlight w:val="none"/>
          <w:shd w:val="clear" w:color="auto" w:fill="auto"/>
        </w:rPr>
      </w:pPr>
    </w:p>
    <w:p w14:paraId="521C5961">
      <w:pPr>
        <w:snapToGrid w:val="0"/>
        <w:jc w:val="center"/>
        <w:rPr>
          <w:rFonts w:hint="eastAsia" w:ascii="宋体" w:hAnsi="宋体" w:cs="Courier New"/>
          <w:b/>
          <w:color w:val="auto"/>
          <w:sz w:val="44"/>
          <w:szCs w:val="44"/>
          <w:highlight w:val="none"/>
          <w:shd w:val="clear" w:color="auto" w:fill="auto"/>
        </w:rPr>
      </w:pPr>
    </w:p>
    <w:p w14:paraId="4854175B">
      <w:pPr>
        <w:snapToGrid w:val="0"/>
        <w:jc w:val="center"/>
        <w:rPr>
          <w:rFonts w:hint="eastAsia" w:ascii="宋体" w:hAnsi="宋体" w:cs="Courier New"/>
          <w:b/>
          <w:color w:val="auto"/>
          <w:sz w:val="44"/>
          <w:szCs w:val="44"/>
          <w:highlight w:val="none"/>
          <w:shd w:val="clear" w:color="auto" w:fill="auto"/>
        </w:rPr>
      </w:pPr>
      <w:r>
        <w:rPr>
          <w:rFonts w:hint="eastAsia" w:ascii="宋体" w:hAnsi="宋体" w:cs="Courier New"/>
          <w:b/>
          <w:color w:val="auto"/>
          <w:sz w:val="44"/>
          <w:szCs w:val="44"/>
          <w:highlight w:val="none"/>
          <w:shd w:val="clear" w:color="auto" w:fill="auto"/>
        </w:rPr>
        <w:t>第三章  投标人须知</w:t>
      </w:r>
    </w:p>
    <w:p w14:paraId="0CEC3C09">
      <w:pPr>
        <w:spacing w:line="360" w:lineRule="exact"/>
        <w:jc w:val="center"/>
        <w:rPr>
          <w:rFonts w:hint="eastAsia" w:ascii="仿宋_GB2312" w:eastAsia="仿宋_GB2312"/>
          <w:b/>
          <w:color w:val="auto"/>
          <w:szCs w:val="21"/>
          <w:highlight w:val="none"/>
          <w:shd w:val="clear" w:color="auto" w:fill="auto"/>
        </w:rPr>
      </w:pPr>
      <w:r>
        <w:rPr>
          <w:rFonts w:ascii="仿宋_GB2312" w:eastAsia="仿宋_GB2312"/>
          <w:b/>
          <w:color w:val="auto"/>
          <w:szCs w:val="21"/>
          <w:highlight w:val="none"/>
          <w:shd w:val="clear" w:color="auto" w:fill="auto"/>
        </w:rPr>
        <w:br w:type="page"/>
      </w:r>
    </w:p>
    <w:p w14:paraId="5C367CFE">
      <w:pPr>
        <w:spacing w:line="360" w:lineRule="exact"/>
        <w:jc w:val="center"/>
        <w:rPr>
          <w:rFonts w:hint="eastAsia" w:ascii="仿宋_GB2312" w:eastAsia="仿宋_GB2312"/>
          <w:b/>
          <w:color w:val="auto"/>
          <w:sz w:val="32"/>
          <w:szCs w:val="32"/>
          <w:highlight w:val="none"/>
          <w:shd w:val="clear" w:color="auto" w:fill="auto"/>
        </w:rPr>
      </w:pPr>
      <w:r>
        <w:rPr>
          <w:rFonts w:hint="eastAsia" w:ascii="仿宋_GB2312" w:eastAsia="仿宋_GB2312"/>
          <w:b/>
          <w:color w:val="auto"/>
          <w:sz w:val="32"/>
          <w:szCs w:val="32"/>
          <w:highlight w:val="none"/>
          <w:shd w:val="clear" w:color="auto" w:fill="auto"/>
        </w:rPr>
        <w:t>投标</w:t>
      </w:r>
      <w:bookmarkStart w:id="5" w:name="_Toc254970526"/>
      <w:bookmarkStart w:id="6" w:name="_Toc254970667"/>
      <w:r>
        <w:rPr>
          <w:rFonts w:hint="eastAsia" w:ascii="仿宋_GB2312" w:eastAsia="仿宋_GB2312"/>
          <w:b/>
          <w:color w:val="auto"/>
          <w:sz w:val="32"/>
          <w:szCs w:val="32"/>
          <w:highlight w:val="none"/>
          <w:shd w:val="clear" w:color="auto" w:fill="auto"/>
        </w:rPr>
        <w:t>人须知及前附表</w:t>
      </w:r>
      <w:bookmarkEnd w:id="5"/>
      <w:bookmarkEnd w:id="6"/>
    </w:p>
    <w:p w14:paraId="0386405A">
      <w:pPr>
        <w:spacing w:line="360" w:lineRule="exact"/>
        <w:jc w:val="center"/>
        <w:rPr>
          <w:rFonts w:hint="eastAsia" w:ascii="仿宋_GB2312" w:eastAsia="仿宋_GB2312"/>
          <w:b/>
          <w:color w:val="auto"/>
          <w:szCs w:val="21"/>
          <w:highlight w:val="none"/>
          <w:shd w:val="clear" w:color="auto" w:fill="auto"/>
        </w:rPr>
      </w:pPr>
    </w:p>
    <w:tbl>
      <w:tblPr>
        <w:tblStyle w:val="5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820"/>
      </w:tblGrid>
      <w:tr w14:paraId="0030D6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14:paraId="75BF22A9">
            <w:pPr>
              <w:snapToGrid w:val="0"/>
              <w:spacing w:line="360" w:lineRule="exact"/>
              <w:jc w:val="center"/>
              <w:rPr>
                <w:rFonts w:hint="eastAsia" w:ascii="宋体"/>
                <w:b/>
                <w:bCs/>
                <w:color w:val="auto"/>
                <w:szCs w:val="21"/>
                <w:highlight w:val="none"/>
                <w:shd w:val="clear" w:color="auto" w:fill="auto"/>
              </w:rPr>
            </w:pPr>
            <w:r>
              <w:rPr>
                <w:rFonts w:hint="eastAsia" w:ascii="宋体"/>
                <w:b/>
                <w:bCs/>
                <w:color w:val="auto"/>
                <w:szCs w:val="21"/>
                <w:highlight w:val="none"/>
                <w:shd w:val="clear" w:color="auto" w:fill="auto"/>
              </w:rPr>
              <w:t>序号</w:t>
            </w:r>
          </w:p>
        </w:tc>
        <w:tc>
          <w:tcPr>
            <w:tcW w:w="8820" w:type="dxa"/>
            <w:tcBorders>
              <w:top w:val="single" w:color="auto" w:sz="4" w:space="0"/>
              <w:left w:val="single" w:color="auto" w:sz="4" w:space="0"/>
              <w:bottom w:val="single" w:color="auto" w:sz="4" w:space="0"/>
              <w:right w:val="single" w:color="auto" w:sz="4" w:space="0"/>
            </w:tcBorders>
            <w:vAlign w:val="center"/>
          </w:tcPr>
          <w:p w14:paraId="6ED09BF1">
            <w:pPr>
              <w:snapToGrid w:val="0"/>
              <w:spacing w:line="360" w:lineRule="exact"/>
              <w:jc w:val="center"/>
              <w:rPr>
                <w:rFonts w:hint="eastAsia" w:ascii="宋体"/>
                <w:b/>
                <w:bCs/>
                <w:color w:val="auto"/>
                <w:szCs w:val="21"/>
                <w:highlight w:val="none"/>
                <w:shd w:val="clear" w:color="auto" w:fill="auto"/>
              </w:rPr>
            </w:pPr>
            <w:r>
              <w:rPr>
                <w:rFonts w:hint="eastAsia" w:ascii="宋体"/>
                <w:b/>
                <w:bCs/>
                <w:color w:val="auto"/>
                <w:szCs w:val="21"/>
                <w:highlight w:val="none"/>
                <w:shd w:val="clear" w:color="auto" w:fill="auto"/>
              </w:rPr>
              <w:t>内容、要求</w:t>
            </w:r>
          </w:p>
        </w:tc>
      </w:tr>
      <w:tr w14:paraId="69DF2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14:paraId="2EBBDC5D">
            <w:pPr>
              <w:snapToGrid w:val="0"/>
              <w:spacing w:line="360" w:lineRule="exact"/>
              <w:jc w:val="center"/>
              <w:rPr>
                <w:rFonts w:hint="eastAsia" w:ascii="宋体"/>
                <w:b w:val="0"/>
                <w:bCs/>
                <w:color w:val="auto"/>
                <w:szCs w:val="21"/>
                <w:highlight w:val="none"/>
                <w:shd w:val="clear" w:color="auto" w:fill="auto"/>
              </w:rPr>
            </w:pPr>
            <w:r>
              <w:rPr>
                <w:rFonts w:hint="eastAsia" w:ascii="宋体"/>
                <w:b w:val="0"/>
                <w:bCs/>
                <w:color w:val="auto"/>
                <w:szCs w:val="21"/>
                <w:highlight w:val="none"/>
                <w:shd w:val="clear" w:color="auto" w:fill="auto"/>
              </w:rPr>
              <w:t>1</w:t>
            </w:r>
          </w:p>
        </w:tc>
        <w:tc>
          <w:tcPr>
            <w:tcW w:w="8820" w:type="dxa"/>
            <w:tcBorders>
              <w:top w:val="single" w:color="auto" w:sz="4" w:space="0"/>
              <w:left w:val="single" w:color="auto" w:sz="4" w:space="0"/>
              <w:bottom w:val="single" w:color="auto" w:sz="4" w:space="0"/>
              <w:right w:val="single" w:color="auto" w:sz="4" w:space="0"/>
            </w:tcBorders>
            <w:vAlign w:val="center"/>
          </w:tcPr>
          <w:p w14:paraId="21CF1BAF">
            <w:pPr>
              <w:snapToGrid w:val="0"/>
              <w:spacing w:line="300" w:lineRule="exact"/>
              <w:rPr>
                <w:rFonts w:ascii="宋体"/>
                <w:color w:val="auto"/>
                <w:szCs w:val="21"/>
                <w:highlight w:val="none"/>
                <w:shd w:val="clear" w:color="auto" w:fill="auto"/>
              </w:rPr>
            </w:pPr>
            <w:r>
              <w:rPr>
                <w:rFonts w:hint="eastAsia" w:ascii="宋体"/>
                <w:color w:val="auto"/>
                <w:szCs w:val="21"/>
                <w:highlight w:val="none"/>
                <w:shd w:val="clear" w:color="auto" w:fill="auto"/>
              </w:rPr>
              <w:t>项目名称：</w:t>
            </w:r>
            <w:r>
              <w:rPr>
                <w:rFonts w:hint="eastAsia" w:ascii="宋体"/>
                <w:b/>
                <w:bCs/>
                <w:color w:val="auto"/>
                <w:szCs w:val="21"/>
                <w:highlight w:val="none"/>
                <w:shd w:val="clear" w:color="auto" w:fill="auto"/>
              </w:rPr>
              <w:t>武鸣校区7#礼堂及5#学生活动综合楼一层会议空间显示系统及家具采购</w:t>
            </w:r>
          </w:p>
        </w:tc>
      </w:tr>
      <w:tr w14:paraId="4C701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14:paraId="5858C705">
            <w:pPr>
              <w:snapToGrid w:val="0"/>
              <w:spacing w:line="360" w:lineRule="exact"/>
              <w:jc w:val="center"/>
              <w:rPr>
                <w:rFonts w:hint="eastAsia" w:ascii="宋体"/>
                <w:b w:val="0"/>
                <w:bCs/>
                <w:color w:val="auto"/>
                <w:szCs w:val="21"/>
                <w:highlight w:val="none"/>
                <w:shd w:val="clear" w:color="auto" w:fill="auto"/>
              </w:rPr>
            </w:pPr>
            <w:r>
              <w:rPr>
                <w:rFonts w:hint="eastAsia" w:ascii="宋体"/>
                <w:b w:val="0"/>
                <w:bCs/>
                <w:color w:val="auto"/>
                <w:szCs w:val="21"/>
                <w:highlight w:val="none"/>
                <w:shd w:val="clear" w:color="auto" w:fill="auto"/>
              </w:rPr>
              <w:t>2</w:t>
            </w:r>
          </w:p>
        </w:tc>
        <w:tc>
          <w:tcPr>
            <w:tcW w:w="8820" w:type="dxa"/>
            <w:tcBorders>
              <w:top w:val="single" w:color="auto" w:sz="4" w:space="0"/>
              <w:left w:val="single" w:color="auto" w:sz="4" w:space="0"/>
              <w:bottom w:val="single" w:color="auto" w:sz="4" w:space="0"/>
              <w:right w:val="single" w:color="auto" w:sz="4" w:space="0"/>
            </w:tcBorders>
            <w:vAlign w:val="center"/>
          </w:tcPr>
          <w:p w14:paraId="10D7935A">
            <w:pPr>
              <w:snapToGrid w:val="0"/>
              <w:spacing w:line="30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投标报价及费用：1</w:t>
            </w:r>
            <w:r>
              <w:rPr>
                <w:rFonts w:hint="eastAsia" w:ascii="宋体"/>
                <w:color w:val="auto"/>
                <w:szCs w:val="21"/>
                <w:highlight w:val="none"/>
                <w:shd w:val="clear" w:color="auto" w:fill="auto"/>
                <w:lang w:val="en-US" w:eastAsia="zh-CN"/>
              </w:rPr>
              <w:t>.</w:t>
            </w:r>
            <w:r>
              <w:rPr>
                <w:rFonts w:hint="eastAsia" w:ascii="宋体"/>
                <w:color w:val="auto"/>
                <w:szCs w:val="21"/>
                <w:highlight w:val="none"/>
                <w:shd w:val="clear" w:color="auto" w:fill="auto"/>
              </w:rPr>
              <w:t>本项目投标应以人民币报价；2</w:t>
            </w:r>
            <w:r>
              <w:rPr>
                <w:rFonts w:hint="eastAsia" w:ascii="宋体"/>
                <w:color w:val="auto"/>
                <w:szCs w:val="21"/>
                <w:highlight w:val="none"/>
                <w:shd w:val="clear" w:color="auto" w:fill="auto"/>
                <w:lang w:val="en-US" w:eastAsia="zh-CN"/>
              </w:rPr>
              <w:t>.</w:t>
            </w:r>
            <w:r>
              <w:rPr>
                <w:rFonts w:hint="eastAsia" w:ascii="宋体"/>
                <w:color w:val="auto"/>
                <w:szCs w:val="21"/>
                <w:highlight w:val="none"/>
                <w:shd w:val="clear" w:color="auto" w:fill="auto"/>
              </w:rPr>
              <w:t>不论投标结果如何，投标人均应自行承担所有与投标有关的全部费用；</w:t>
            </w:r>
          </w:p>
        </w:tc>
      </w:tr>
      <w:tr w14:paraId="10848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14:paraId="4787E73C">
            <w:pPr>
              <w:snapToGrid w:val="0"/>
              <w:spacing w:line="360" w:lineRule="exact"/>
              <w:jc w:val="center"/>
              <w:rPr>
                <w:b w:val="0"/>
                <w:bCs/>
                <w:color w:val="auto"/>
                <w:highlight w:val="none"/>
                <w:shd w:val="clear" w:color="auto" w:fill="auto"/>
              </w:rPr>
            </w:pPr>
            <w:r>
              <w:rPr>
                <w:rFonts w:hint="eastAsia"/>
                <w:b w:val="0"/>
                <w:bCs/>
                <w:color w:val="auto"/>
                <w:highlight w:val="none"/>
                <w:shd w:val="clear" w:color="auto" w:fill="auto"/>
              </w:rPr>
              <w:t>3</w:t>
            </w:r>
          </w:p>
        </w:tc>
        <w:tc>
          <w:tcPr>
            <w:tcW w:w="8820" w:type="dxa"/>
            <w:tcBorders>
              <w:top w:val="single" w:color="auto" w:sz="4" w:space="0"/>
              <w:left w:val="single" w:color="auto" w:sz="4" w:space="0"/>
              <w:bottom w:val="single" w:color="auto" w:sz="4" w:space="0"/>
              <w:right w:val="single" w:color="auto" w:sz="4" w:space="0"/>
            </w:tcBorders>
            <w:vAlign w:val="center"/>
          </w:tcPr>
          <w:p w14:paraId="14F65E43">
            <w:pPr>
              <w:snapToGrid w:val="0"/>
              <w:spacing w:line="300" w:lineRule="exact"/>
              <w:rPr>
                <w:bCs/>
                <w:color w:val="auto"/>
                <w:highlight w:val="none"/>
                <w:shd w:val="clear" w:color="auto" w:fill="auto"/>
              </w:rPr>
            </w:pPr>
            <w:r>
              <w:rPr>
                <w:rFonts w:hint="eastAsia"/>
                <w:bCs/>
                <w:color w:val="auto"/>
                <w:highlight w:val="none"/>
                <w:shd w:val="clear" w:color="auto" w:fill="auto"/>
              </w:rPr>
              <w:t>详见公开招标公告</w:t>
            </w:r>
          </w:p>
          <w:p w14:paraId="4B4E5820">
            <w:pPr>
              <w:snapToGrid w:val="0"/>
              <w:spacing w:line="300" w:lineRule="exact"/>
              <w:rPr>
                <w:bCs/>
                <w:color w:val="auto"/>
                <w:highlight w:val="none"/>
                <w:shd w:val="clear" w:color="auto" w:fill="auto"/>
              </w:rPr>
            </w:pPr>
            <w:r>
              <w:rPr>
                <w:rFonts w:hint="eastAsia"/>
                <w:bCs/>
                <w:color w:val="auto"/>
                <w:highlight w:val="none"/>
                <w:shd w:val="clear" w:color="auto" w:fill="auto"/>
              </w:rPr>
              <w:t>实际交纳的保证金须按要求交纳，否则视为未交纳保证金。</w:t>
            </w:r>
          </w:p>
        </w:tc>
      </w:tr>
      <w:tr w14:paraId="0BA56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14:paraId="5550E82B">
            <w:pPr>
              <w:snapToGrid w:val="0"/>
              <w:spacing w:line="360" w:lineRule="exact"/>
              <w:jc w:val="center"/>
              <w:rPr>
                <w:b w:val="0"/>
                <w:bCs/>
                <w:color w:val="auto"/>
                <w:highlight w:val="none"/>
                <w:shd w:val="clear" w:color="auto" w:fill="auto"/>
              </w:rPr>
            </w:pPr>
            <w:r>
              <w:rPr>
                <w:rFonts w:hint="eastAsia"/>
                <w:b w:val="0"/>
                <w:bCs/>
                <w:color w:val="auto"/>
                <w:highlight w:val="none"/>
                <w:shd w:val="clear" w:color="auto" w:fill="auto"/>
              </w:rPr>
              <w:t>4</w:t>
            </w:r>
          </w:p>
        </w:tc>
        <w:tc>
          <w:tcPr>
            <w:tcW w:w="8820" w:type="dxa"/>
            <w:tcBorders>
              <w:top w:val="single" w:color="auto" w:sz="4" w:space="0"/>
              <w:left w:val="single" w:color="auto" w:sz="4" w:space="0"/>
              <w:bottom w:val="single" w:color="auto" w:sz="4" w:space="0"/>
              <w:right w:val="single" w:color="auto" w:sz="4" w:space="0"/>
            </w:tcBorders>
            <w:vAlign w:val="center"/>
          </w:tcPr>
          <w:p w14:paraId="1E9F5444">
            <w:pPr>
              <w:snapToGrid w:val="0"/>
              <w:spacing w:line="300" w:lineRule="exact"/>
              <w:rPr>
                <w:b/>
                <w:bCs/>
                <w:color w:val="auto"/>
                <w:highlight w:val="none"/>
                <w:shd w:val="clear" w:color="auto" w:fill="auto"/>
              </w:rPr>
            </w:pPr>
            <w:r>
              <w:rPr>
                <w:rFonts w:hint="eastAsia" w:ascii="宋体"/>
                <w:b/>
                <w:color w:val="auto"/>
                <w:szCs w:val="21"/>
                <w:highlight w:val="none"/>
                <w:shd w:val="clear" w:color="auto" w:fill="auto"/>
              </w:rPr>
              <w:t>现场勘查：详见采购需求</w:t>
            </w:r>
            <w:r>
              <w:rPr>
                <w:rFonts w:hint="eastAsia" w:ascii="宋体"/>
                <w:b/>
                <w:color w:val="auto"/>
                <w:szCs w:val="21"/>
                <w:highlight w:val="none"/>
                <w:shd w:val="clear" w:color="auto" w:fill="auto"/>
                <w:lang w:val="en-US" w:eastAsia="zh-CN"/>
              </w:rPr>
              <w:t>(如有)</w:t>
            </w:r>
            <w:r>
              <w:rPr>
                <w:rFonts w:hint="eastAsia" w:ascii="宋体"/>
                <w:b/>
                <w:color w:val="auto"/>
                <w:szCs w:val="21"/>
                <w:highlight w:val="none"/>
                <w:shd w:val="clear" w:color="auto" w:fill="auto"/>
              </w:rPr>
              <w:t>。</w:t>
            </w:r>
          </w:p>
        </w:tc>
      </w:tr>
      <w:tr w14:paraId="65DD8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14:paraId="6EF25941">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5</w:t>
            </w:r>
          </w:p>
        </w:tc>
        <w:tc>
          <w:tcPr>
            <w:tcW w:w="8820" w:type="dxa"/>
            <w:tcBorders>
              <w:top w:val="single" w:color="auto" w:sz="4" w:space="0"/>
              <w:left w:val="single" w:color="auto" w:sz="4" w:space="0"/>
              <w:bottom w:val="single" w:color="auto" w:sz="4" w:space="0"/>
              <w:right w:val="single" w:color="auto" w:sz="4" w:space="0"/>
            </w:tcBorders>
            <w:vAlign w:val="center"/>
          </w:tcPr>
          <w:p w14:paraId="025AF6E4">
            <w:pPr>
              <w:spacing w:line="300" w:lineRule="exact"/>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演示时间及地点：无</w:t>
            </w:r>
            <w:r>
              <w:rPr>
                <w:color w:val="auto"/>
                <w:highlight w:val="none"/>
                <w:shd w:val="clear" w:color="auto" w:fill="auto"/>
              </w:rPr>
              <w:t>。</w:t>
            </w:r>
          </w:p>
        </w:tc>
      </w:tr>
      <w:tr w14:paraId="61CE65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14:paraId="2DE52298">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6</w:t>
            </w:r>
          </w:p>
        </w:tc>
        <w:tc>
          <w:tcPr>
            <w:tcW w:w="8820" w:type="dxa"/>
            <w:tcBorders>
              <w:top w:val="single" w:color="auto" w:sz="4" w:space="0"/>
              <w:left w:val="single" w:color="auto" w:sz="4" w:space="0"/>
              <w:bottom w:val="single" w:color="auto" w:sz="4" w:space="0"/>
              <w:right w:val="single" w:color="auto" w:sz="4" w:space="0"/>
            </w:tcBorders>
            <w:vAlign w:val="center"/>
          </w:tcPr>
          <w:p w14:paraId="5F7B4FBE">
            <w:pPr>
              <w:snapToGrid w:val="0"/>
              <w:spacing w:line="300" w:lineRule="exact"/>
              <w:rPr>
                <w:color w:val="auto"/>
                <w:szCs w:val="21"/>
                <w:highlight w:val="none"/>
                <w:shd w:val="clear" w:color="auto" w:fill="auto"/>
              </w:rPr>
            </w:pPr>
            <w:r>
              <w:rPr>
                <w:rFonts w:hint="eastAsia"/>
                <w:color w:val="auto"/>
                <w:szCs w:val="21"/>
                <w:highlight w:val="none"/>
                <w:shd w:val="clear" w:color="auto" w:fill="auto"/>
              </w:rPr>
              <w:t>（1）答疑、澄清：</w:t>
            </w:r>
            <w:r>
              <w:rPr>
                <w:rFonts w:hint="eastAsia"/>
                <w:b/>
                <w:color w:val="auto"/>
                <w:szCs w:val="21"/>
                <w:highlight w:val="none"/>
                <w:u w:val="single"/>
                <w:shd w:val="clear" w:color="auto" w:fill="auto"/>
              </w:rPr>
              <w:t>投标人如认为招标文件表述不清晰、</w:t>
            </w:r>
            <w:r>
              <w:rPr>
                <w:rFonts w:hint="eastAsia"/>
                <w:b/>
                <w:bCs/>
                <w:color w:val="auto"/>
                <w:highlight w:val="none"/>
                <w:u w:val="single"/>
                <w:shd w:val="clear" w:color="auto" w:fill="auto"/>
              </w:rPr>
              <w:t>有误或有不合理要求的</w:t>
            </w:r>
            <w:r>
              <w:rPr>
                <w:rFonts w:hint="eastAsia"/>
                <w:color w:val="auto"/>
                <w:szCs w:val="21"/>
                <w:highlight w:val="none"/>
                <w:shd w:val="clear" w:color="auto" w:fill="auto"/>
              </w:rPr>
              <w:t>，</w:t>
            </w:r>
            <w:r>
              <w:rPr>
                <w:color w:val="auto"/>
                <w:szCs w:val="21"/>
                <w:highlight w:val="none"/>
                <w:shd w:val="clear" w:color="auto" w:fill="auto"/>
              </w:rPr>
              <w:t>应当以书面形式要求采购人或者本中心作出书面答疑、澄清</w:t>
            </w:r>
            <w:r>
              <w:rPr>
                <w:rFonts w:hint="eastAsia"/>
                <w:color w:val="auto"/>
                <w:szCs w:val="21"/>
                <w:highlight w:val="none"/>
                <w:shd w:val="clear" w:color="auto" w:fill="auto"/>
              </w:rPr>
              <w:t>；</w:t>
            </w:r>
          </w:p>
          <w:p w14:paraId="1342D3AB">
            <w:pPr>
              <w:snapToGrid w:val="0"/>
              <w:spacing w:line="300" w:lineRule="exact"/>
              <w:rPr>
                <w:rFonts w:hint="eastAsia" w:hAnsi="宋体"/>
                <w:color w:val="auto"/>
                <w:szCs w:val="21"/>
                <w:highlight w:val="none"/>
                <w:shd w:val="clear" w:color="auto" w:fill="auto"/>
              </w:rPr>
            </w:pPr>
            <w:r>
              <w:rPr>
                <w:rFonts w:hint="eastAsia" w:hAnsi="宋体"/>
                <w:color w:val="auto"/>
                <w:szCs w:val="21"/>
                <w:highlight w:val="none"/>
                <w:shd w:val="clear" w:color="auto" w:fill="auto"/>
              </w:rPr>
              <w:t>（2）询问、质疑：</w:t>
            </w:r>
            <w:r>
              <w:rPr>
                <w:rFonts w:hint="eastAsia" w:hAnsi="宋体"/>
                <w:b/>
                <w:color w:val="auto"/>
                <w:szCs w:val="21"/>
                <w:highlight w:val="none"/>
                <w:u w:val="single"/>
                <w:shd w:val="clear" w:color="auto" w:fill="auto"/>
              </w:rPr>
              <w:t>如投标人认为招标文件存在歧视性、排他性或者其他违法内容的</w:t>
            </w:r>
            <w:r>
              <w:rPr>
                <w:rFonts w:hint="eastAsia" w:hAnsi="宋体"/>
                <w:color w:val="auto"/>
                <w:szCs w:val="21"/>
                <w:highlight w:val="none"/>
                <w:shd w:val="clear" w:color="auto" w:fill="auto"/>
              </w:rPr>
              <w:t>，按投标人须知“一、总则（九）询问、质疑和投诉”中的要求向</w:t>
            </w:r>
            <w:r>
              <w:rPr>
                <w:rFonts w:ascii="宋体" w:hAnsi="宋体"/>
                <w:color w:val="auto"/>
                <w:szCs w:val="21"/>
                <w:highlight w:val="none"/>
                <w:shd w:val="clear" w:color="auto" w:fill="auto"/>
              </w:rPr>
              <w:t>采购人或者采购代理机构</w:t>
            </w:r>
            <w:r>
              <w:rPr>
                <w:rFonts w:hint="eastAsia" w:hAnsi="宋体"/>
                <w:color w:val="auto"/>
                <w:szCs w:val="21"/>
                <w:highlight w:val="none"/>
                <w:shd w:val="clear" w:color="auto" w:fill="auto"/>
              </w:rPr>
              <w:t>提出书面询问、质疑，并提供必要的证明材料。</w:t>
            </w:r>
          </w:p>
          <w:p w14:paraId="1BE29DA6">
            <w:pPr>
              <w:snapToGrid w:val="0"/>
              <w:spacing w:line="300" w:lineRule="exact"/>
              <w:ind w:firstLine="420" w:firstLineChars="200"/>
              <w:rPr>
                <w:rFonts w:hint="eastAsia" w:ascii="宋体"/>
                <w:color w:val="auto"/>
                <w:szCs w:val="21"/>
                <w:highlight w:val="none"/>
                <w:shd w:val="clear" w:color="auto" w:fill="auto"/>
              </w:rPr>
            </w:pPr>
            <w:r>
              <w:rPr>
                <w:rFonts w:hint="eastAsia" w:hAnsi="宋体"/>
                <w:color w:val="auto"/>
                <w:szCs w:val="21"/>
                <w:highlight w:val="none"/>
                <w:shd w:val="clear" w:color="auto" w:fill="auto"/>
              </w:rPr>
              <w:t>答疑、澄清内容是招标文件的组成部份，本中心将以书面形式送达所有已报名的投标人。</w:t>
            </w:r>
            <w:r>
              <w:rPr>
                <w:rFonts w:hint="eastAsia" w:hAnsi="宋体"/>
                <w:color w:val="auto"/>
                <w:highlight w:val="none"/>
                <w:shd w:val="clear" w:color="auto" w:fill="auto"/>
              </w:rPr>
              <w:t>本中心可以视采购具体情况，延长招标文件或者资格预审文件提供期限，并在财政部门指定的政府采购信息发布媒体及本中心网站上发布公告。</w:t>
            </w:r>
          </w:p>
        </w:tc>
      </w:tr>
      <w:tr w14:paraId="31B29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14:paraId="51674047">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7</w:t>
            </w:r>
          </w:p>
        </w:tc>
        <w:tc>
          <w:tcPr>
            <w:tcW w:w="8820" w:type="dxa"/>
            <w:tcBorders>
              <w:top w:val="single" w:color="auto" w:sz="4" w:space="0"/>
              <w:left w:val="single" w:color="auto" w:sz="4" w:space="0"/>
              <w:bottom w:val="single" w:color="auto" w:sz="4" w:space="0"/>
              <w:right w:val="single" w:color="auto" w:sz="4" w:space="0"/>
            </w:tcBorders>
            <w:vAlign w:val="center"/>
          </w:tcPr>
          <w:p w14:paraId="6D839E34">
            <w:pPr>
              <w:spacing w:line="300" w:lineRule="exact"/>
              <w:rPr>
                <w:rFonts w:ascii="宋体"/>
                <w:snapToGrid w:val="0"/>
                <w:color w:val="auto"/>
                <w:sz w:val="22"/>
                <w:highlight w:val="none"/>
                <w:shd w:val="clear" w:color="auto" w:fill="auto"/>
              </w:rPr>
            </w:pPr>
            <w:r>
              <w:rPr>
                <w:rFonts w:hint="eastAsia" w:ascii="宋体" w:hAnsi="宋体"/>
                <w:color w:val="auto"/>
                <w:szCs w:val="21"/>
                <w:highlight w:val="none"/>
                <w:shd w:val="clear" w:color="auto" w:fill="auto"/>
              </w:rPr>
              <w:t>投标文件形式：</w:t>
            </w:r>
            <w:r>
              <w:rPr>
                <w:rFonts w:hint="eastAsia" w:ascii="宋体"/>
                <w:snapToGrid w:val="0"/>
                <w:color w:val="auto"/>
                <w:sz w:val="22"/>
                <w:highlight w:val="none"/>
                <w:shd w:val="clear" w:color="auto" w:fill="auto"/>
              </w:rPr>
              <w:t>投标供应商应准备电子投标文件。</w:t>
            </w:r>
          </w:p>
          <w:p w14:paraId="7C520675">
            <w:pPr>
              <w:autoSpaceDE w:val="0"/>
              <w:autoSpaceDN w:val="0"/>
              <w:snapToGrid w:val="0"/>
              <w:spacing w:line="300" w:lineRule="exact"/>
              <w:textAlignment w:val="bottom"/>
              <w:rPr>
                <w:rFonts w:hint="eastAsia" w:ascii="宋体"/>
                <w:color w:val="auto"/>
                <w:szCs w:val="21"/>
                <w:highlight w:val="none"/>
                <w:shd w:val="clear" w:color="auto" w:fill="auto"/>
              </w:rPr>
            </w:pPr>
            <w:r>
              <w:rPr>
                <w:rFonts w:hint="eastAsia" w:ascii="宋体"/>
                <w:snapToGrid w:val="0"/>
                <w:color w:val="auto"/>
                <w:sz w:val="22"/>
                <w:highlight w:val="none"/>
                <w:shd w:val="clear" w:color="auto" w:fill="auto"/>
              </w:rPr>
              <w:t>电子投标文件是指通过“</w:t>
            </w:r>
            <w:r>
              <w:rPr>
                <w:rFonts w:hint="default" w:ascii="宋体"/>
                <w:snapToGrid w:val="0"/>
                <w:color w:val="auto"/>
                <w:sz w:val="22"/>
                <w:highlight w:val="none"/>
                <w:shd w:val="clear" w:color="auto" w:fill="auto"/>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客户端”完成投标文件编制后生成并加密的数据电文形式的电子加密投标文件。</w:t>
            </w:r>
          </w:p>
        </w:tc>
      </w:tr>
      <w:tr w14:paraId="5BC8D9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14:paraId="70A3398D">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w:t>
            </w:r>
          </w:p>
        </w:tc>
        <w:tc>
          <w:tcPr>
            <w:tcW w:w="8820" w:type="dxa"/>
            <w:tcBorders>
              <w:top w:val="single" w:color="auto" w:sz="4" w:space="0"/>
              <w:left w:val="single" w:color="auto" w:sz="4" w:space="0"/>
              <w:bottom w:val="single" w:color="auto" w:sz="4" w:space="0"/>
              <w:right w:val="single" w:color="auto" w:sz="4" w:space="0"/>
            </w:tcBorders>
            <w:vAlign w:val="center"/>
          </w:tcPr>
          <w:p w14:paraId="19C60C63">
            <w:pPr>
              <w:spacing w:line="300" w:lineRule="exact"/>
              <w:rPr>
                <w:rFonts w:hint="eastAsia" w:ascii="宋体" w:hAnsi="宋体"/>
                <w:color w:val="auto"/>
                <w:szCs w:val="21"/>
                <w:highlight w:val="none"/>
                <w:shd w:val="clear" w:color="auto" w:fill="auto"/>
              </w:rPr>
            </w:pPr>
            <w:r>
              <w:rPr>
                <w:rFonts w:hint="eastAsia" w:ascii="宋体"/>
                <w:snapToGrid w:val="0"/>
                <w:color w:val="auto"/>
                <w:sz w:val="22"/>
                <w:highlight w:val="none"/>
                <w:shd w:val="clear" w:color="auto" w:fill="auto"/>
              </w:rPr>
              <w:t>投标文件的编制：供应商应先安装“</w:t>
            </w:r>
            <w:r>
              <w:rPr>
                <w:rFonts w:hint="default" w:ascii="宋体"/>
                <w:snapToGrid w:val="0"/>
                <w:color w:val="auto"/>
                <w:sz w:val="22"/>
                <w:highlight w:val="none"/>
                <w:shd w:val="clear" w:color="auto" w:fill="auto"/>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客户端”，并按照本招标文件和“</w:t>
            </w:r>
            <w:r>
              <w:rPr>
                <w:rFonts w:hint="default" w:ascii="宋体"/>
                <w:snapToGrid w:val="0"/>
                <w:color w:val="auto"/>
                <w:sz w:val="22"/>
                <w:highlight w:val="none"/>
                <w:shd w:val="clear" w:color="auto" w:fill="auto"/>
              </w:rPr>
              <w:t>广西政府采购云平台</w:t>
            </w:r>
            <w:r>
              <w:rPr>
                <w:rFonts w:hint="eastAsia" w:ascii="宋体"/>
                <w:snapToGrid w:val="0"/>
                <w:color w:val="auto"/>
                <w:sz w:val="22"/>
                <w:highlight w:val="none"/>
                <w:shd w:val="clear" w:color="auto" w:fill="auto"/>
              </w:rPr>
              <w:t>”的要求，通过“</w:t>
            </w:r>
            <w:r>
              <w:rPr>
                <w:rFonts w:hint="default" w:ascii="宋体"/>
                <w:snapToGrid w:val="0"/>
                <w:color w:val="auto"/>
                <w:sz w:val="22"/>
                <w:highlight w:val="none"/>
                <w:shd w:val="clear" w:color="auto" w:fill="auto"/>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客户端”编制并加密投标文件。</w:t>
            </w:r>
          </w:p>
        </w:tc>
      </w:tr>
      <w:tr w14:paraId="78DE2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14:paraId="503CF6ED">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w:t>
            </w:r>
          </w:p>
        </w:tc>
        <w:tc>
          <w:tcPr>
            <w:tcW w:w="8820" w:type="dxa"/>
            <w:tcBorders>
              <w:top w:val="single" w:color="auto" w:sz="4" w:space="0"/>
              <w:left w:val="single" w:color="auto" w:sz="4" w:space="0"/>
              <w:bottom w:val="single" w:color="auto" w:sz="4" w:space="0"/>
              <w:right w:val="single" w:color="auto" w:sz="4" w:space="0"/>
            </w:tcBorders>
            <w:vAlign w:val="center"/>
          </w:tcPr>
          <w:p w14:paraId="16C65526">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投标文件的盖章：投标文件中所涉及的加盖公章均采用CA电子签章。</w:t>
            </w:r>
          </w:p>
        </w:tc>
      </w:tr>
      <w:tr w14:paraId="7447E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14:paraId="4A73C48E">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10</w:t>
            </w:r>
          </w:p>
        </w:tc>
        <w:tc>
          <w:tcPr>
            <w:tcW w:w="8820" w:type="dxa"/>
            <w:tcBorders>
              <w:top w:val="single" w:color="auto" w:sz="4" w:space="0"/>
              <w:left w:val="single" w:color="auto" w:sz="4" w:space="0"/>
              <w:bottom w:val="single" w:color="auto" w:sz="4" w:space="0"/>
              <w:right w:val="single" w:color="auto" w:sz="4" w:space="0"/>
            </w:tcBorders>
            <w:vAlign w:val="center"/>
          </w:tcPr>
          <w:p w14:paraId="437BF938">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：本招标文件所涉及的法定代表人或其授权代表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的内容，如果投标单位没有法定代表人电子签章，涉及到法定代表人或其授权代表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的内容，投标单位可以线下</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后扫描上传。</w:t>
            </w:r>
          </w:p>
        </w:tc>
      </w:tr>
      <w:tr w14:paraId="1B9EB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14:paraId="4DD50FCC">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11</w:t>
            </w:r>
          </w:p>
        </w:tc>
        <w:tc>
          <w:tcPr>
            <w:tcW w:w="8820" w:type="dxa"/>
            <w:tcBorders>
              <w:top w:val="single" w:color="auto" w:sz="4" w:space="0"/>
              <w:left w:val="single" w:color="auto" w:sz="4" w:space="0"/>
              <w:bottom w:val="single" w:color="auto" w:sz="4" w:space="0"/>
              <w:right w:val="single" w:color="auto" w:sz="4" w:space="0"/>
            </w:tcBorders>
            <w:vAlign w:val="center"/>
          </w:tcPr>
          <w:p w14:paraId="63DB1D5D">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投标文件份数：电子加密投标文件在线上传提交一份。</w:t>
            </w:r>
          </w:p>
        </w:tc>
      </w:tr>
      <w:tr w14:paraId="0325F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14:paraId="32CA2C7C">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12</w:t>
            </w:r>
          </w:p>
        </w:tc>
        <w:tc>
          <w:tcPr>
            <w:tcW w:w="8820" w:type="dxa"/>
            <w:tcBorders>
              <w:top w:val="single" w:color="auto" w:sz="4" w:space="0"/>
              <w:left w:val="single" w:color="auto" w:sz="4" w:space="0"/>
              <w:bottom w:val="single" w:color="auto" w:sz="4" w:space="0"/>
              <w:right w:val="single" w:color="auto" w:sz="4" w:space="0"/>
            </w:tcBorders>
            <w:vAlign w:val="center"/>
          </w:tcPr>
          <w:p w14:paraId="286BB3B6">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投标文件的上传和提交：本项目通过“</w:t>
            </w:r>
            <w:r>
              <w:rPr>
                <w:rFonts w:hint="default" w:ascii="宋体"/>
                <w:snapToGrid w:val="0"/>
                <w:color w:val="auto"/>
                <w:sz w:val="22"/>
                <w:highlight w:val="none"/>
                <w:shd w:val="clear" w:color="auto" w:fill="auto"/>
              </w:rPr>
              <w:t>广西政府采购云平台（http://www.gcy.zfcg.gxzf.gov.cn）</w:t>
            </w:r>
            <w:r>
              <w:rPr>
                <w:rFonts w:ascii="宋体"/>
                <w:snapToGrid w:val="0"/>
                <w:color w:val="auto"/>
                <w:sz w:val="22"/>
                <w:highlight w:val="none"/>
                <w:shd w:val="clear" w:color="auto" w:fill="auto"/>
              </w:rPr>
              <w:t>”实行在线投标响应（电子投标），投标供应商应当在投标截止时间前，将生成的“电子加密投标文件”上传提交至“</w:t>
            </w:r>
            <w:r>
              <w:rPr>
                <w:rFonts w:hint="eastAsia" w:ascii="宋体"/>
                <w:snapToGrid w:val="0"/>
                <w:color w:val="auto"/>
                <w:sz w:val="22"/>
                <w:highlight w:val="none"/>
                <w:shd w:val="clear" w:color="auto" w:fill="auto"/>
                <w:lang w:eastAsia="zh-CN"/>
              </w:rPr>
              <w:t>广西政府采购云平台</w:t>
            </w:r>
            <w:r>
              <w:rPr>
                <w:rFonts w:ascii="宋体"/>
                <w:snapToGrid w:val="0"/>
                <w:color w:val="auto"/>
                <w:sz w:val="22"/>
                <w:highlight w:val="none"/>
                <w:shd w:val="clear" w:color="auto" w:fill="auto"/>
              </w:rPr>
              <w:t>”。</w:t>
            </w:r>
          </w:p>
          <w:p w14:paraId="7E6A9C54">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“电子加密投标文件”的上传、提交：</w:t>
            </w:r>
          </w:p>
          <w:p w14:paraId="1E98C7D9">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a.投标供应商应在投标截止时间前将“电子加密投标文件”成功上传提交至“</w:t>
            </w:r>
            <w:r>
              <w:rPr>
                <w:rFonts w:hint="eastAsia" w:ascii="宋体"/>
                <w:snapToGrid w:val="0"/>
                <w:color w:val="auto"/>
                <w:sz w:val="22"/>
                <w:highlight w:val="none"/>
                <w:shd w:val="clear" w:color="auto" w:fill="auto"/>
                <w:lang w:eastAsia="zh-CN"/>
              </w:rPr>
              <w:t>广西政府采购云平台</w:t>
            </w:r>
            <w:r>
              <w:rPr>
                <w:rFonts w:hint="eastAsia" w:ascii="宋体"/>
                <w:snapToGrid w:val="0"/>
                <w:color w:val="auto"/>
                <w:sz w:val="22"/>
                <w:highlight w:val="none"/>
                <w:shd w:val="clear" w:color="auto" w:fill="auto"/>
              </w:rPr>
              <w:t>”，否则投标无效。</w:t>
            </w:r>
          </w:p>
          <w:p w14:paraId="04A696FC">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b.“电子加密投标文件”成功上传提交后，供应商可自行打印投标文件接收回执。</w:t>
            </w:r>
          </w:p>
        </w:tc>
      </w:tr>
      <w:tr w14:paraId="13970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14:paraId="61183D10">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13</w:t>
            </w:r>
          </w:p>
        </w:tc>
        <w:tc>
          <w:tcPr>
            <w:tcW w:w="8820" w:type="dxa"/>
            <w:tcBorders>
              <w:top w:val="single" w:color="auto" w:sz="4" w:space="0"/>
              <w:left w:val="single" w:color="auto" w:sz="4" w:space="0"/>
              <w:bottom w:val="single" w:color="auto" w:sz="4" w:space="0"/>
              <w:right w:val="single" w:color="auto" w:sz="4" w:space="0"/>
            </w:tcBorders>
            <w:vAlign w:val="center"/>
          </w:tcPr>
          <w:p w14:paraId="46B3F18F">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电子加密投标文件的解密：</w:t>
            </w:r>
          </w:p>
          <w:p w14:paraId="2C5D101D">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14:paraId="7A7CC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14:paraId="3301DFF7">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14</w:t>
            </w:r>
          </w:p>
        </w:tc>
        <w:tc>
          <w:tcPr>
            <w:tcW w:w="8820" w:type="dxa"/>
            <w:tcBorders>
              <w:top w:val="single" w:color="auto" w:sz="4" w:space="0"/>
              <w:left w:val="single" w:color="auto" w:sz="4" w:space="0"/>
              <w:bottom w:val="single" w:color="auto" w:sz="4" w:space="0"/>
              <w:right w:val="single" w:color="auto" w:sz="4" w:space="0"/>
            </w:tcBorders>
            <w:vAlign w:val="center"/>
          </w:tcPr>
          <w:p w14:paraId="5027985B">
            <w:pPr>
              <w:snapToGrid w:val="0"/>
              <w:spacing w:line="3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投标截止时间及地点：</w:t>
            </w:r>
            <w:r>
              <w:rPr>
                <w:rFonts w:hint="eastAsia"/>
                <w:color w:val="auto"/>
                <w:highlight w:val="none"/>
                <w:shd w:val="clear" w:color="auto" w:fill="auto"/>
              </w:rPr>
              <w:t xml:space="preserve"> </w:t>
            </w:r>
            <w:r>
              <w:rPr>
                <w:b/>
                <w:bCs/>
                <w:color w:val="auto"/>
                <w:highlight w:val="none"/>
                <w:shd w:val="clear" w:color="auto" w:fill="auto"/>
              </w:rPr>
              <w:t>202</w:t>
            </w:r>
            <w:r>
              <w:rPr>
                <w:rFonts w:hint="eastAsia"/>
                <w:b/>
                <w:bCs/>
                <w:color w:val="auto"/>
                <w:highlight w:val="none"/>
                <w:shd w:val="clear" w:color="auto" w:fill="auto"/>
                <w:lang w:val="en-US" w:eastAsia="zh-CN"/>
              </w:rPr>
              <w:t>6</w:t>
            </w:r>
            <w:r>
              <w:rPr>
                <w:b/>
                <w:bCs/>
                <w:color w:val="auto"/>
                <w:highlight w:val="none"/>
                <w:shd w:val="clear" w:color="auto" w:fill="auto"/>
              </w:rPr>
              <w:t>年</w:t>
            </w:r>
            <w:r>
              <w:rPr>
                <w:rFonts w:hint="eastAsia"/>
                <w:b/>
                <w:bCs/>
                <w:color w:val="auto"/>
                <w:highlight w:val="none"/>
                <w:shd w:val="clear" w:color="auto" w:fill="auto"/>
                <w:lang w:val="en-US" w:eastAsia="zh-CN"/>
              </w:rPr>
              <w:t>6</w:t>
            </w:r>
            <w:r>
              <w:rPr>
                <w:b/>
                <w:bCs/>
                <w:color w:val="auto"/>
                <w:highlight w:val="none"/>
                <w:shd w:val="clear" w:color="auto" w:fill="auto"/>
              </w:rPr>
              <w:t>月</w:t>
            </w:r>
            <w:r>
              <w:rPr>
                <w:rFonts w:hint="eastAsia"/>
                <w:b/>
                <w:bCs/>
                <w:color w:val="auto"/>
                <w:highlight w:val="none"/>
                <w:shd w:val="clear" w:color="auto" w:fill="auto"/>
                <w:lang w:val="en-US" w:eastAsia="zh-CN"/>
              </w:rPr>
              <w:t>3</w:t>
            </w:r>
            <w:r>
              <w:rPr>
                <w:b/>
                <w:bCs/>
                <w:color w:val="auto"/>
                <w:highlight w:val="none"/>
                <w:shd w:val="clear" w:color="auto" w:fill="auto"/>
              </w:rPr>
              <w:t>日</w:t>
            </w:r>
            <w:r>
              <w:rPr>
                <w:rFonts w:hint="eastAsia"/>
                <w:b/>
                <w:color w:val="auto"/>
                <w:highlight w:val="none"/>
                <w:shd w:val="clear" w:color="auto" w:fill="auto"/>
              </w:rPr>
              <w:t>上午10时整，</w:t>
            </w:r>
            <w:r>
              <w:rPr>
                <w:rFonts w:ascii="宋体" w:hAnsi="宋体" w:cs="Arial"/>
                <w:b/>
                <w:color w:val="auto"/>
                <w:szCs w:val="21"/>
                <w:highlight w:val="none"/>
                <w:u w:val="single"/>
                <w:shd w:val="clear" w:color="auto" w:fill="auto"/>
              </w:rPr>
              <w:t>南宁市星湖路22号</w:t>
            </w:r>
            <w:r>
              <w:rPr>
                <w:rFonts w:hint="eastAsia" w:ascii="宋体" w:hAnsi="宋体" w:cs="Arial"/>
                <w:b/>
                <w:color w:val="auto"/>
                <w:szCs w:val="21"/>
                <w:highlight w:val="none"/>
                <w:u w:val="single"/>
                <w:shd w:val="clear" w:color="auto" w:fill="auto"/>
              </w:rPr>
              <w:t>广西壮族自治区政府采购中心开标大厅</w:t>
            </w:r>
            <w:r>
              <w:rPr>
                <w:rFonts w:hint="eastAsia"/>
                <w:b/>
                <w:color w:val="auto"/>
                <w:highlight w:val="none"/>
                <w:u w:val="single"/>
                <w:shd w:val="clear" w:color="auto" w:fill="auto"/>
              </w:rPr>
              <w:t>。</w:t>
            </w:r>
            <w:r>
              <w:rPr>
                <w:rFonts w:hint="eastAsia"/>
                <w:b/>
                <w:color w:val="auto"/>
                <w:highlight w:val="none"/>
                <w:shd w:val="clear" w:color="auto" w:fill="auto"/>
              </w:rPr>
              <w:t>（</w:t>
            </w:r>
            <w:r>
              <w:rPr>
                <w:rFonts w:hint="eastAsia" w:ascii="宋体"/>
                <w:color w:val="auto"/>
                <w:sz w:val="22"/>
                <w:highlight w:val="none"/>
                <w:shd w:val="clear" w:color="auto" w:fill="auto"/>
              </w:rPr>
              <w:t>本项目采用在线开评标方式，投标供应商无须前往开标现场</w:t>
            </w:r>
            <w:r>
              <w:rPr>
                <w:rFonts w:hint="eastAsia"/>
                <w:b/>
                <w:color w:val="auto"/>
                <w:highlight w:val="none"/>
                <w:shd w:val="clear" w:color="auto" w:fill="auto"/>
              </w:rPr>
              <w:t>）</w:t>
            </w:r>
          </w:p>
        </w:tc>
      </w:tr>
      <w:tr w14:paraId="6C170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14:paraId="7665E8F2">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15</w:t>
            </w:r>
          </w:p>
        </w:tc>
        <w:tc>
          <w:tcPr>
            <w:tcW w:w="8820" w:type="dxa"/>
            <w:tcBorders>
              <w:top w:val="single" w:color="auto" w:sz="4" w:space="0"/>
              <w:left w:val="single" w:color="auto" w:sz="4" w:space="0"/>
              <w:bottom w:val="single" w:color="auto" w:sz="4" w:space="0"/>
              <w:right w:val="single" w:color="auto" w:sz="4" w:space="0"/>
            </w:tcBorders>
            <w:vAlign w:val="center"/>
          </w:tcPr>
          <w:p w14:paraId="425D2D06">
            <w:pPr>
              <w:snapToGrid w:val="0"/>
              <w:spacing w:line="3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开标时间及地点：</w:t>
            </w:r>
            <w:r>
              <w:rPr>
                <w:rFonts w:hint="eastAsia"/>
                <w:b/>
                <w:bCs/>
                <w:color w:val="auto"/>
                <w:highlight w:val="none"/>
                <w:shd w:val="clear" w:color="auto" w:fill="auto"/>
              </w:rPr>
              <w:t xml:space="preserve"> </w:t>
            </w:r>
            <w:r>
              <w:rPr>
                <w:b/>
                <w:bCs/>
                <w:color w:val="auto"/>
                <w:highlight w:val="none"/>
                <w:shd w:val="clear" w:color="auto" w:fill="auto"/>
              </w:rPr>
              <w:t>202</w:t>
            </w:r>
            <w:r>
              <w:rPr>
                <w:rFonts w:hint="eastAsia"/>
                <w:b/>
                <w:bCs/>
                <w:color w:val="auto"/>
                <w:highlight w:val="none"/>
                <w:shd w:val="clear" w:color="auto" w:fill="auto"/>
                <w:lang w:val="en-US" w:eastAsia="zh-CN"/>
              </w:rPr>
              <w:t>6</w:t>
            </w:r>
            <w:r>
              <w:rPr>
                <w:b/>
                <w:bCs/>
                <w:color w:val="auto"/>
                <w:highlight w:val="none"/>
                <w:shd w:val="clear" w:color="auto" w:fill="auto"/>
              </w:rPr>
              <w:t>年</w:t>
            </w:r>
            <w:r>
              <w:rPr>
                <w:rFonts w:hint="eastAsia"/>
                <w:b/>
                <w:bCs/>
                <w:color w:val="auto"/>
                <w:highlight w:val="none"/>
                <w:shd w:val="clear" w:color="auto" w:fill="auto"/>
                <w:lang w:val="en-US" w:eastAsia="zh-CN"/>
              </w:rPr>
              <w:t>6</w:t>
            </w:r>
            <w:r>
              <w:rPr>
                <w:b/>
                <w:bCs/>
                <w:color w:val="auto"/>
                <w:highlight w:val="none"/>
                <w:shd w:val="clear" w:color="auto" w:fill="auto"/>
              </w:rPr>
              <w:t>月</w:t>
            </w:r>
            <w:r>
              <w:rPr>
                <w:rFonts w:hint="eastAsia"/>
                <w:b/>
                <w:bCs/>
                <w:color w:val="auto"/>
                <w:highlight w:val="none"/>
                <w:shd w:val="clear" w:color="auto" w:fill="auto"/>
                <w:lang w:val="en-US" w:eastAsia="zh-CN"/>
              </w:rPr>
              <w:t>3</w:t>
            </w:r>
            <w:r>
              <w:rPr>
                <w:b/>
                <w:bCs/>
                <w:color w:val="auto"/>
                <w:highlight w:val="none"/>
                <w:shd w:val="clear" w:color="auto" w:fill="auto"/>
              </w:rPr>
              <w:t>日</w:t>
            </w:r>
            <w:r>
              <w:rPr>
                <w:rFonts w:hint="eastAsia"/>
                <w:b/>
                <w:color w:val="auto"/>
                <w:highlight w:val="none"/>
                <w:shd w:val="clear" w:color="auto" w:fill="auto"/>
              </w:rPr>
              <w:t>上午10时整，</w:t>
            </w:r>
            <w:r>
              <w:rPr>
                <w:rFonts w:ascii="宋体" w:hAnsi="宋体" w:cs="Arial"/>
                <w:b/>
                <w:color w:val="auto"/>
                <w:szCs w:val="21"/>
                <w:highlight w:val="none"/>
                <w:u w:val="single"/>
                <w:shd w:val="clear" w:color="auto" w:fill="auto"/>
              </w:rPr>
              <w:t>南宁市星湖路22号</w:t>
            </w:r>
            <w:r>
              <w:rPr>
                <w:rFonts w:hint="eastAsia" w:ascii="宋体" w:hAnsi="宋体" w:cs="Arial"/>
                <w:b/>
                <w:color w:val="auto"/>
                <w:szCs w:val="21"/>
                <w:highlight w:val="none"/>
                <w:u w:val="single"/>
                <w:shd w:val="clear" w:color="auto" w:fill="auto"/>
              </w:rPr>
              <w:t>广西壮族自治区政府采购中心开标大厅</w:t>
            </w:r>
            <w:r>
              <w:rPr>
                <w:rFonts w:hint="eastAsia"/>
                <w:b/>
                <w:color w:val="auto"/>
                <w:highlight w:val="none"/>
                <w:u w:val="single"/>
                <w:shd w:val="clear" w:color="auto" w:fill="auto"/>
              </w:rPr>
              <w:t>。</w:t>
            </w:r>
            <w:r>
              <w:rPr>
                <w:rFonts w:hint="eastAsia"/>
                <w:b/>
                <w:color w:val="auto"/>
                <w:highlight w:val="none"/>
                <w:shd w:val="clear" w:color="auto" w:fill="auto"/>
              </w:rPr>
              <w:t>（</w:t>
            </w:r>
            <w:r>
              <w:rPr>
                <w:rFonts w:hint="eastAsia" w:ascii="宋体"/>
                <w:color w:val="auto"/>
                <w:sz w:val="22"/>
                <w:highlight w:val="none"/>
                <w:shd w:val="clear" w:color="auto" w:fill="auto"/>
              </w:rPr>
              <w:t>本项目采用在线开评标方式，投标供应商无须前往开标现场</w:t>
            </w:r>
            <w:r>
              <w:rPr>
                <w:rFonts w:hint="eastAsia"/>
                <w:b/>
                <w:color w:val="auto"/>
                <w:highlight w:val="none"/>
                <w:shd w:val="clear" w:color="auto" w:fill="auto"/>
              </w:rPr>
              <w:t>）</w:t>
            </w:r>
          </w:p>
        </w:tc>
      </w:tr>
      <w:tr w14:paraId="526E3F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14:paraId="2D765C29">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16</w:t>
            </w:r>
          </w:p>
        </w:tc>
        <w:tc>
          <w:tcPr>
            <w:tcW w:w="8820" w:type="dxa"/>
            <w:tcBorders>
              <w:top w:val="single" w:color="auto" w:sz="4" w:space="0"/>
              <w:left w:val="single" w:color="auto" w:sz="4" w:space="0"/>
              <w:bottom w:val="single" w:color="auto" w:sz="4" w:space="0"/>
              <w:right w:val="single" w:color="auto" w:sz="4" w:space="0"/>
            </w:tcBorders>
            <w:vAlign w:val="center"/>
          </w:tcPr>
          <w:p w14:paraId="1B3DA479">
            <w:pPr>
              <w:autoSpaceDE w:val="0"/>
              <w:autoSpaceDN w:val="0"/>
              <w:snapToGrid w:val="0"/>
              <w:spacing w:line="360" w:lineRule="exact"/>
              <w:textAlignment w:val="bottom"/>
              <w:rPr>
                <w:rFonts w:hint="eastAsia" w:ascii="宋体" w:hAnsi="宋体"/>
                <w:color w:val="auto"/>
                <w:szCs w:val="21"/>
                <w:highlight w:val="none"/>
                <w:shd w:val="clear" w:color="auto" w:fill="auto"/>
              </w:rPr>
            </w:pPr>
            <w:r>
              <w:rPr>
                <w:rFonts w:hint="default" w:ascii="宋体" w:hAnsi="宋体"/>
                <w:color w:val="auto"/>
                <w:szCs w:val="21"/>
                <w:highlight w:val="none"/>
                <w:shd w:val="clear" w:color="auto" w:fill="auto"/>
              </w:rPr>
              <w:t>评标</w:t>
            </w:r>
            <w:r>
              <w:rPr>
                <w:rFonts w:hint="eastAsia" w:ascii="宋体" w:hAnsi="宋体"/>
                <w:color w:val="auto"/>
                <w:szCs w:val="21"/>
                <w:highlight w:val="none"/>
                <w:shd w:val="clear" w:color="auto" w:fill="auto"/>
                <w:lang w:eastAsia="zh-CN"/>
              </w:rPr>
              <w:t>方</w:t>
            </w:r>
            <w:r>
              <w:rPr>
                <w:rFonts w:hint="default" w:ascii="宋体" w:hAnsi="宋体"/>
                <w:color w:val="auto"/>
                <w:szCs w:val="21"/>
                <w:highlight w:val="none"/>
                <w:shd w:val="clear" w:color="auto" w:fill="auto"/>
              </w:rPr>
              <w:t>法</w:t>
            </w:r>
            <w:r>
              <w:rPr>
                <w:rFonts w:hint="eastAsia" w:ascii="宋体" w:hAnsi="宋体"/>
                <w:color w:val="auto"/>
                <w:szCs w:val="21"/>
                <w:highlight w:val="none"/>
                <w:shd w:val="clear" w:color="auto" w:fill="auto"/>
              </w:rPr>
              <w:t>：综合评分法</w:t>
            </w:r>
          </w:p>
        </w:tc>
      </w:tr>
      <w:tr w14:paraId="21E69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14:paraId="3C415C0E">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17</w:t>
            </w:r>
          </w:p>
        </w:tc>
        <w:tc>
          <w:tcPr>
            <w:tcW w:w="8820" w:type="dxa"/>
            <w:tcBorders>
              <w:top w:val="single" w:color="auto" w:sz="4" w:space="0"/>
              <w:left w:val="single" w:color="auto" w:sz="4" w:space="0"/>
              <w:bottom w:val="single" w:color="auto" w:sz="4" w:space="0"/>
              <w:right w:val="single" w:color="auto" w:sz="4" w:space="0"/>
            </w:tcBorders>
            <w:vAlign w:val="center"/>
          </w:tcPr>
          <w:p w14:paraId="4D83CD86">
            <w:pPr>
              <w:autoSpaceDE w:val="0"/>
              <w:autoSpaceDN w:val="0"/>
              <w:snapToGrid w:val="0"/>
              <w:spacing w:line="300" w:lineRule="exact"/>
              <w:textAlignment w:val="bottom"/>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中标公告及中标通知书：本中心在采购人依法确认中标人后二个工作日内发布中标公告和中标通知书，中标公告发布于上述媒体</w:t>
            </w:r>
            <w:r>
              <w:rPr>
                <w:rFonts w:hint="eastAsia" w:ascii="宋体" w:hAnsi="宋体" w:cs="Courier New"/>
                <w:color w:val="auto"/>
                <w:szCs w:val="21"/>
                <w:highlight w:val="none"/>
                <w:shd w:val="clear" w:color="auto" w:fill="auto"/>
              </w:rPr>
              <w:t>（详细见公告中公布的网站）</w:t>
            </w:r>
            <w:r>
              <w:rPr>
                <w:rFonts w:hint="eastAsia" w:ascii="宋体" w:hAnsi="宋体"/>
                <w:color w:val="auto"/>
                <w:szCs w:val="21"/>
                <w:highlight w:val="none"/>
                <w:shd w:val="clear" w:color="auto" w:fill="auto"/>
              </w:rPr>
              <w:t>。</w:t>
            </w:r>
          </w:p>
        </w:tc>
      </w:tr>
      <w:tr w14:paraId="36274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14:paraId="6B778409">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18</w:t>
            </w:r>
          </w:p>
        </w:tc>
        <w:tc>
          <w:tcPr>
            <w:tcW w:w="8820" w:type="dxa"/>
            <w:tcBorders>
              <w:top w:val="single" w:color="auto" w:sz="4" w:space="0"/>
              <w:left w:val="single" w:color="auto" w:sz="4" w:space="0"/>
              <w:bottom w:val="single" w:color="auto" w:sz="4" w:space="0"/>
              <w:right w:val="single" w:color="auto" w:sz="4" w:space="0"/>
            </w:tcBorders>
            <w:vAlign w:val="center"/>
          </w:tcPr>
          <w:p w14:paraId="5BA1E6D1">
            <w:pPr>
              <w:autoSpaceDE w:val="0"/>
              <w:autoSpaceDN w:val="0"/>
              <w:snapToGrid w:val="0"/>
              <w:spacing w:line="320" w:lineRule="exact"/>
              <w:textAlignment w:val="bottom"/>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采购资金来源：财政性资金。</w:t>
            </w:r>
          </w:p>
        </w:tc>
      </w:tr>
      <w:tr w14:paraId="30F171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14:paraId="7824C6A5">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19</w:t>
            </w:r>
          </w:p>
        </w:tc>
        <w:tc>
          <w:tcPr>
            <w:tcW w:w="8820" w:type="dxa"/>
            <w:tcBorders>
              <w:top w:val="single" w:color="auto" w:sz="4" w:space="0"/>
              <w:left w:val="single" w:color="auto" w:sz="4" w:space="0"/>
              <w:bottom w:val="single" w:color="auto" w:sz="4" w:space="0"/>
              <w:right w:val="single" w:color="auto" w:sz="4" w:space="0"/>
            </w:tcBorders>
            <w:vAlign w:val="center"/>
          </w:tcPr>
          <w:p w14:paraId="4132EBEC">
            <w:pPr>
              <w:widowControl/>
              <w:spacing w:line="400" w:lineRule="exact"/>
              <w:rPr>
                <w:rFonts w:hint="eastAsia" w:ascii="宋体" w:hAnsi="宋体" w:cs="宋体"/>
                <w:color w:val="auto"/>
                <w:kern w:val="0"/>
                <w:szCs w:val="21"/>
                <w:highlight w:val="none"/>
                <w:shd w:val="clear" w:color="auto" w:fill="auto"/>
              </w:rPr>
            </w:pPr>
            <w:r>
              <w:rPr>
                <w:rFonts w:hint="eastAsia" w:ascii="宋体" w:hAnsi="宋体"/>
                <w:color w:val="auto"/>
                <w:szCs w:val="21"/>
                <w:highlight w:val="none"/>
                <w:shd w:val="clear" w:color="auto" w:fill="auto"/>
              </w:rPr>
              <w:t>付款方式：</w:t>
            </w:r>
            <w:r>
              <w:rPr>
                <w:rFonts w:hint="eastAsia" w:ascii="宋体" w:hAnsi="宋体" w:cs="宋体"/>
                <w:color w:val="auto"/>
                <w:kern w:val="0"/>
                <w:szCs w:val="21"/>
                <w:highlight w:val="none"/>
                <w:shd w:val="clear" w:color="auto" w:fill="auto"/>
              </w:rPr>
              <w:t>见招标项目采购需求。</w:t>
            </w:r>
          </w:p>
        </w:tc>
      </w:tr>
      <w:tr w14:paraId="52F2B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14:paraId="6EADC8E0">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20</w:t>
            </w:r>
          </w:p>
        </w:tc>
        <w:tc>
          <w:tcPr>
            <w:tcW w:w="8820" w:type="dxa"/>
            <w:tcBorders>
              <w:top w:val="single" w:color="auto" w:sz="4" w:space="0"/>
              <w:left w:val="single" w:color="auto" w:sz="4" w:space="0"/>
              <w:bottom w:val="single" w:color="auto" w:sz="4" w:space="0"/>
              <w:right w:val="single" w:color="auto" w:sz="4" w:space="0"/>
            </w:tcBorders>
            <w:vAlign w:val="center"/>
          </w:tcPr>
          <w:p w14:paraId="1430F333">
            <w:pPr>
              <w:snapToGrid w:val="0"/>
              <w:spacing w:line="36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投标文件有效期：</w:t>
            </w:r>
            <w:r>
              <w:rPr>
                <w:rFonts w:hint="eastAsia" w:ascii="宋体" w:hAnsi="宋体" w:cs="Arial"/>
                <w:color w:val="auto"/>
                <w:szCs w:val="21"/>
                <w:highlight w:val="none"/>
                <w:u w:val="single"/>
                <w:shd w:val="clear" w:color="auto" w:fill="auto"/>
              </w:rPr>
              <w:t xml:space="preserve"> 六十日。</w:t>
            </w:r>
          </w:p>
        </w:tc>
      </w:tr>
      <w:tr w14:paraId="189BCA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14:paraId="3CE9D953">
            <w:pPr>
              <w:snapToGrid w:val="0"/>
              <w:spacing w:line="360" w:lineRule="exact"/>
              <w:jc w:val="center"/>
              <w:rPr>
                <w:rFonts w:ascii="宋体" w:hAnsi="宋体"/>
                <w:color w:val="auto"/>
                <w:szCs w:val="21"/>
                <w:highlight w:val="none"/>
                <w:shd w:val="clear" w:color="auto" w:fill="auto"/>
              </w:rPr>
            </w:pPr>
            <w:r>
              <w:rPr>
                <w:rFonts w:ascii="宋体" w:hAnsi="宋体"/>
                <w:color w:val="auto"/>
                <w:szCs w:val="21"/>
                <w:highlight w:val="none"/>
                <w:shd w:val="clear" w:color="auto" w:fill="auto"/>
              </w:rPr>
              <w:t>21</w:t>
            </w:r>
          </w:p>
        </w:tc>
        <w:tc>
          <w:tcPr>
            <w:tcW w:w="8820" w:type="dxa"/>
            <w:tcBorders>
              <w:top w:val="single" w:color="auto" w:sz="4" w:space="0"/>
              <w:left w:val="single" w:color="auto" w:sz="4" w:space="0"/>
              <w:bottom w:val="single" w:color="auto" w:sz="4" w:space="0"/>
              <w:right w:val="single" w:color="auto" w:sz="4" w:space="0"/>
            </w:tcBorders>
            <w:vAlign w:val="center"/>
          </w:tcPr>
          <w:p w14:paraId="680EFC36">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对招标文件、采购过程或者中标结果的质疑由采购人接收或采购代理机构代为接收，由采购人负责答复。</w:t>
            </w:r>
          </w:p>
          <w:p w14:paraId="446FE0BA">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接收质疑函方式：以书面形式。</w:t>
            </w:r>
          </w:p>
          <w:p w14:paraId="38256A52">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质疑联系部门及联系方式：</w:t>
            </w:r>
          </w:p>
          <w:p w14:paraId="2F7D1BB8">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 xml:space="preserve">（1）广西壮族自治区政府采购中心内审科     </w:t>
            </w:r>
          </w:p>
          <w:p w14:paraId="74A7D42D">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电话：0771-8600453</w:t>
            </w:r>
          </w:p>
          <w:p w14:paraId="7C182A57">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地址：广西南宁市星湖路22号</w:t>
            </w:r>
          </w:p>
          <w:p w14:paraId="2BD6E64C">
            <w:pPr>
              <w:snapToGrid w:val="0"/>
              <w:spacing w:line="360" w:lineRule="exact"/>
              <w:rPr>
                <w:color w:val="auto"/>
                <w:highlight w:val="none"/>
              </w:rPr>
            </w:pPr>
            <w:r>
              <w:rPr>
                <w:rFonts w:hint="eastAsia"/>
                <w:color w:val="auto"/>
                <w:highlight w:val="none"/>
              </w:rPr>
              <w:t>（2）</w:t>
            </w:r>
            <w:r>
              <w:rPr>
                <w:color w:val="auto"/>
                <w:highlight w:val="none"/>
              </w:rPr>
              <w:t>广西</w:t>
            </w:r>
            <w:r>
              <w:rPr>
                <w:rFonts w:hint="eastAsia"/>
                <w:color w:val="auto"/>
                <w:highlight w:val="none"/>
                <w:lang w:eastAsia="zh-CN"/>
              </w:rPr>
              <w:t>建设职业技术</w:t>
            </w:r>
            <w:r>
              <w:rPr>
                <w:rFonts w:hint="eastAsia"/>
                <w:color w:val="auto"/>
                <w:highlight w:val="none"/>
              </w:rPr>
              <w:t>学院</w:t>
            </w:r>
          </w:p>
          <w:p w14:paraId="64D3B294">
            <w:pPr>
              <w:snapToGrid w:val="0"/>
              <w:spacing w:line="360" w:lineRule="exact"/>
              <w:ind w:firstLine="0" w:firstLineChars="0"/>
              <w:rPr>
                <w:rFonts w:hint="default" w:eastAsia="宋体"/>
                <w:color w:val="auto"/>
                <w:highlight w:val="none"/>
                <w:lang w:val="en-US" w:eastAsia="zh-CN"/>
              </w:rPr>
            </w:pPr>
            <w:r>
              <w:rPr>
                <w:rFonts w:hint="eastAsia"/>
                <w:color w:val="auto"/>
                <w:highlight w:val="none"/>
              </w:rPr>
              <w:t>电话：0771- 3</w:t>
            </w:r>
            <w:r>
              <w:rPr>
                <w:rFonts w:hint="eastAsia"/>
                <w:color w:val="auto"/>
                <w:highlight w:val="none"/>
                <w:lang w:val="en-US" w:eastAsia="zh-CN"/>
              </w:rPr>
              <w:t>8</w:t>
            </w:r>
            <w:r>
              <w:rPr>
                <w:rFonts w:hint="eastAsia"/>
                <w:color w:val="auto"/>
                <w:highlight w:val="none"/>
              </w:rPr>
              <w:t>2</w:t>
            </w:r>
            <w:r>
              <w:rPr>
                <w:rFonts w:hint="eastAsia"/>
                <w:color w:val="auto"/>
                <w:highlight w:val="none"/>
                <w:lang w:val="en-US" w:eastAsia="zh-CN"/>
              </w:rPr>
              <w:t>2569</w:t>
            </w:r>
          </w:p>
          <w:p w14:paraId="775D2401">
            <w:pPr>
              <w:snapToGrid w:val="0"/>
              <w:spacing w:line="360" w:lineRule="exact"/>
              <w:ind w:firstLine="0" w:firstLineChars="0"/>
              <w:rPr>
                <w:color w:val="auto"/>
                <w:highlight w:val="none"/>
              </w:rPr>
            </w:pPr>
            <w:r>
              <w:rPr>
                <w:rFonts w:hint="eastAsia"/>
                <w:color w:val="auto"/>
                <w:highlight w:val="none"/>
              </w:rPr>
              <w:t>地址：广西南宁</w:t>
            </w:r>
            <w:r>
              <w:rPr>
                <w:rFonts w:hint="eastAsia"/>
                <w:color w:val="auto"/>
                <w:highlight w:val="none"/>
                <w:lang w:eastAsia="zh-CN"/>
              </w:rPr>
              <w:t>西乡塘</w:t>
            </w:r>
            <w:r>
              <w:rPr>
                <w:rFonts w:hint="eastAsia"/>
                <w:color w:val="auto"/>
                <w:highlight w:val="none"/>
              </w:rPr>
              <w:t>区</w:t>
            </w:r>
            <w:r>
              <w:rPr>
                <w:rFonts w:hint="eastAsia"/>
                <w:color w:val="auto"/>
                <w:highlight w:val="none"/>
                <w:lang w:eastAsia="zh-CN"/>
              </w:rPr>
              <w:t>罗文大道</w:t>
            </w:r>
            <w:r>
              <w:rPr>
                <w:rFonts w:hint="eastAsia"/>
                <w:color w:val="auto"/>
                <w:highlight w:val="none"/>
                <w:lang w:val="en-US" w:eastAsia="zh-CN"/>
              </w:rPr>
              <w:t>33</w:t>
            </w:r>
            <w:r>
              <w:rPr>
                <w:rFonts w:hint="eastAsia"/>
                <w:color w:val="auto"/>
                <w:highlight w:val="none"/>
              </w:rPr>
              <w:t>号</w:t>
            </w:r>
          </w:p>
          <w:p w14:paraId="5CC78984">
            <w:pPr>
              <w:rPr>
                <w:rFonts w:hint="eastAsia" w:ascii="宋体" w:hAnsi="宋体"/>
                <w:color w:val="auto"/>
                <w:szCs w:val="21"/>
                <w:highlight w:val="none"/>
                <w:shd w:val="clear" w:color="auto" w:fill="auto"/>
              </w:rPr>
            </w:pPr>
            <w:r>
              <w:rPr>
                <w:rFonts w:hint="eastAsia" w:ascii="宋体" w:hAnsi="宋体"/>
                <w:b/>
                <w:bCs/>
                <w:snapToGrid w:val="0"/>
                <w:color w:val="auto"/>
                <w:szCs w:val="21"/>
                <w:highlight w:val="none"/>
                <w:shd w:val="clear" w:color="auto" w:fill="auto"/>
              </w:rPr>
              <w:t>现场提交质疑办理业务时间：质疑期内每个工作日采购人或采购代理机构正常工作时间，其中采购代理机构为9：00到12：00，14：00到17：00</w:t>
            </w:r>
          </w:p>
        </w:tc>
      </w:tr>
      <w:tr w14:paraId="3C90FF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14:paraId="2AFBBD4C">
            <w:pPr>
              <w:snapToGrid w:val="0"/>
              <w:spacing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ascii="宋体" w:hAnsi="宋体"/>
                <w:color w:val="auto"/>
                <w:szCs w:val="21"/>
                <w:highlight w:val="none"/>
                <w:shd w:val="clear" w:color="auto" w:fill="auto"/>
              </w:rPr>
              <w:t>2</w:t>
            </w:r>
          </w:p>
        </w:tc>
        <w:tc>
          <w:tcPr>
            <w:tcW w:w="8820" w:type="dxa"/>
            <w:tcBorders>
              <w:top w:val="single" w:color="auto" w:sz="4" w:space="0"/>
              <w:left w:val="single" w:color="auto" w:sz="4" w:space="0"/>
              <w:bottom w:val="single" w:color="auto" w:sz="4" w:space="0"/>
              <w:right w:val="single" w:color="auto" w:sz="4" w:space="0"/>
            </w:tcBorders>
            <w:vAlign w:val="center"/>
          </w:tcPr>
          <w:p w14:paraId="28E00BA2">
            <w:pPr>
              <w:snapToGrid w:val="0"/>
              <w:spacing w:line="360" w:lineRule="exact"/>
              <w:rPr>
                <w:rFonts w:hint="eastAsia" w:ascii="宋体" w:hAnsi="宋体"/>
                <w:color w:val="auto"/>
                <w:szCs w:val="21"/>
                <w:highlight w:val="none"/>
                <w:shd w:val="clear" w:color="auto" w:fill="auto"/>
              </w:rPr>
            </w:pPr>
            <w:r>
              <w:rPr>
                <w:rFonts w:hint="eastAsia" w:hAnsi="宋体"/>
                <w:color w:val="auto"/>
                <w:highlight w:val="none"/>
                <w:shd w:val="clear" w:color="auto" w:fill="auto"/>
              </w:rPr>
              <w:t>本招标文件解释权属广西壮族自治区政府采购中心。</w:t>
            </w:r>
          </w:p>
        </w:tc>
      </w:tr>
    </w:tbl>
    <w:p w14:paraId="7E865404">
      <w:pPr>
        <w:pStyle w:val="29"/>
        <w:snapToGrid w:val="0"/>
        <w:spacing w:before="120" w:after="120" w:line="360" w:lineRule="exact"/>
        <w:jc w:val="center"/>
        <w:rPr>
          <w:rFonts w:ascii="仿宋_GB2312" w:eastAsia="仿宋_GB2312"/>
          <w:b/>
          <w:color w:val="auto"/>
          <w:sz w:val="32"/>
          <w:szCs w:val="32"/>
          <w:highlight w:val="none"/>
          <w:shd w:val="clear" w:color="auto" w:fill="auto"/>
        </w:rPr>
      </w:pPr>
    </w:p>
    <w:p w14:paraId="564B64AD">
      <w:pPr>
        <w:pStyle w:val="29"/>
        <w:snapToGrid w:val="0"/>
        <w:spacing w:before="120" w:after="120" w:line="360" w:lineRule="exact"/>
        <w:jc w:val="center"/>
        <w:rPr>
          <w:rFonts w:hint="eastAsia"/>
          <w:b/>
          <w:color w:val="auto"/>
          <w:highlight w:val="none"/>
          <w:shd w:val="clear" w:color="auto" w:fill="auto"/>
        </w:rPr>
      </w:pPr>
      <w:r>
        <w:rPr>
          <w:rFonts w:ascii="仿宋_GB2312" w:eastAsia="仿宋_GB2312"/>
          <w:b/>
          <w:color w:val="auto"/>
          <w:sz w:val="32"/>
          <w:szCs w:val="32"/>
          <w:highlight w:val="none"/>
          <w:shd w:val="clear" w:color="auto" w:fill="auto"/>
        </w:rPr>
        <w:br w:type="page"/>
      </w:r>
      <w:r>
        <w:rPr>
          <w:rFonts w:hint="eastAsia" w:ascii="仿宋_GB2312" w:eastAsia="仿宋_GB2312"/>
          <w:b/>
          <w:color w:val="auto"/>
          <w:sz w:val="32"/>
          <w:szCs w:val="32"/>
          <w:highlight w:val="none"/>
          <w:shd w:val="clear" w:color="auto" w:fill="auto"/>
        </w:rPr>
        <w:t>投标人须知</w:t>
      </w:r>
    </w:p>
    <w:p w14:paraId="1253E23E">
      <w:pPr>
        <w:pStyle w:val="29"/>
        <w:snapToGrid w:val="0"/>
        <w:spacing w:before="120" w:after="120" w:line="360" w:lineRule="exact"/>
        <w:rPr>
          <w:rFonts w:hint="eastAsia"/>
          <w:b/>
          <w:color w:val="auto"/>
          <w:highlight w:val="none"/>
          <w:shd w:val="clear" w:color="auto" w:fill="auto"/>
        </w:rPr>
      </w:pPr>
      <w:r>
        <w:rPr>
          <w:rFonts w:hint="eastAsia"/>
          <w:b/>
          <w:color w:val="auto"/>
          <w:highlight w:val="none"/>
          <w:shd w:val="clear" w:color="auto" w:fill="auto"/>
        </w:rPr>
        <w:t>一、总  则</w:t>
      </w:r>
    </w:p>
    <w:p w14:paraId="30BCBA4C">
      <w:pPr>
        <w:snapToGrid w:val="0"/>
        <w:spacing w:line="360" w:lineRule="exact"/>
        <w:ind w:firstLine="411" w:firstLineChars="196"/>
        <w:jc w:val="left"/>
        <w:outlineLvl w:val="1"/>
        <w:rPr>
          <w:rFonts w:hint="eastAsia" w:ascii="宋体"/>
          <w:color w:val="auto"/>
          <w:szCs w:val="21"/>
          <w:highlight w:val="none"/>
          <w:shd w:val="clear" w:color="auto" w:fill="auto"/>
        </w:rPr>
      </w:pPr>
      <w:r>
        <w:rPr>
          <w:rFonts w:hint="eastAsia" w:ascii="宋体"/>
          <w:color w:val="auto"/>
          <w:szCs w:val="21"/>
          <w:highlight w:val="none"/>
          <w:shd w:val="clear" w:color="auto" w:fill="auto"/>
        </w:rPr>
        <w:t>（一） 适用范围</w:t>
      </w:r>
    </w:p>
    <w:p w14:paraId="6D08148B">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本招标文件适用本项目的招标、投标、评标、定标、验收、合同履约、付款等行为（法律、法规另有规定的，从其规定）。</w:t>
      </w:r>
    </w:p>
    <w:p w14:paraId="1189B1B0">
      <w:pPr>
        <w:snapToGrid w:val="0"/>
        <w:spacing w:before="156" w:beforeLines="50" w:line="360" w:lineRule="exact"/>
        <w:ind w:firstLine="310" w:firstLineChars="147"/>
        <w:jc w:val="left"/>
        <w:outlineLvl w:val="0"/>
        <w:rPr>
          <w:b/>
          <w:color w:val="auto"/>
          <w:highlight w:val="none"/>
          <w:shd w:val="clear" w:color="auto" w:fill="auto"/>
        </w:rPr>
      </w:pPr>
      <w:r>
        <w:rPr>
          <w:rFonts w:hint="eastAsia"/>
          <w:b/>
          <w:color w:val="auto"/>
          <w:highlight w:val="none"/>
          <w:shd w:val="clear" w:color="auto" w:fill="auto"/>
        </w:rPr>
        <w:t>（二）定义</w:t>
      </w:r>
    </w:p>
    <w:p w14:paraId="11A63757">
      <w:pPr>
        <w:snapToGrid w:val="0"/>
        <w:spacing w:line="360" w:lineRule="exact"/>
        <w:ind w:firstLine="420" w:firstLineChars="200"/>
        <w:jc w:val="left"/>
        <w:rPr>
          <w:rFonts w:hint="eastAsia" w:hAnsi="宋体"/>
          <w:color w:val="auto"/>
          <w:highlight w:val="none"/>
          <w:shd w:val="clear" w:color="auto" w:fill="auto"/>
        </w:rPr>
      </w:pPr>
      <w:r>
        <w:rPr>
          <w:rFonts w:hint="eastAsia" w:ascii="宋体" w:hAnsi="宋体"/>
          <w:color w:val="auto"/>
          <w:szCs w:val="21"/>
          <w:highlight w:val="none"/>
          <w:shd w:val="clear" w:color="auto" w:fill="auto"/>
        </w:rPr>
        <w:t>1.</w:t>
      </w:r>
      <w:r>
        <w:rPr>
          <w:rFonts w:hint="eastAsia" w:hAnsi="宋体"/>
          <w:color w:val="auto"/>
          <w:highlight w:val="none"/>
          <w:shd w:val="clear" w:color="auto" w:fill="auto"/>
        </w:rPr>
        <w:t xml:space="preserve"> “采购人”系指组织本次招标的采购单位。</w:t>
      </w:r>
    </w:p>
    <w:p w14:paraId="5D970761">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hAnsi="宋体"/>
          <w:color w:val="auto"/>
          <w:highlight w:val="none"/>
          <w:shd w:val="clear" w:color="auto" w:fill="auto"/>
        </w:rPr>
        <w:t xml:space="preserve"> “采购代理机构”系指广西壮族自治区政府采购中心（以下简称“本中心</w:t>
      </w:r>
      <w:r>
        <w:rPr>
          <w:rFonts w:hAnsi="宋体"/>
          <w:color w:val="auto"/>
          <w:highlight w:val="none"/>
          <w:shd w:val="clear" w:color="auto" w:fill="auto"/>
        </w:rPr>
        <w:t>”</w:t>
      </w:r>
      <w:r>
        <w:rPr>
          <w:rFonts w:hint="eastAsia" w:hAnsi="宋体"/>
          <w:color w:val="auto"/>
          <w:highlight w:val="none"/>
          <w:shd w:val="clear" w:color="auto" w:fill="auto"/>
        </w:rPr>
        <w:t>）。</w:t>
      </w:r>
    </w:p>
    <w:p w14:paraId="4945F3F4">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hint="eastAsia" w:hAnsi="宋体"/>
          <w:color w:val="auto"/>
          <w:highlight w:val="none"/>
          <w:shd w:val="clear" w:color="auto" w:fill="auto"/>
        </w:rPr>
        <w:t xml:space="preserve"> “投标人”系指响应招标、参加投标竞争的法人、其他组织或者自然人。</w:t>
      </w:r>
    </w:p>
    <w:p w14:paraId="382FFF77">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 “产品”系指供方按招标文件规定，须向采购人提供的一切设备、保险、税金、备品备件、工具、手册及其它有关技术资料和材料。</w:t>
      </w:r>
    </w:p>
    <w:p w14:paraId="7E3D5366">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5.“服务”系指招标文件规定投标人须承担的安装、调试、技术协助、校准、培训、技术指导以及其他类似的义务。</w:t>
      </w:r>
    </w:p>
    <w:p w14:paraId="277BD285">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6.“项目”系指投标人按招标文件规定向采购人提供的产品和服务。</w:t>
      </w:r>
    </w:p>
    <w:p w14:paraId="7C0986D2">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7.“书面形式”包括信函、传真、电报等。</w:t>
      </w:r>
    </w:p>
    <w:p w14:paraId="17D72BB7">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8.“▲”系指在投标人须知中的实质性要求条款。</w:t>
      </w:r>
    </w:p>
    <w:p w14:paraId="000D8B81">
      <w:pPr>
        <w:snapToGrid w:val="0"/>
        <w:spacing w:before="156" w:beforeLines="50" w:line="360" w:lineRule="exact"/>
        <w:ind w:firstLine="413" w:firstLineChars="196"/>
        <w:jc w:val="left"/>
        <w:outlineLvl w:val="1"/>
        <w:rPr>
          <w:rFonts w:hint="eastAsia" w:ascii="宋体"/>
          <w:b/>
          <w:color w:val="auto"/>
          <w:szCs w:val="21"/>
          <w:highlight w:val="none"/>
          <w:shd w:val="clear" w:color="auto" w:fill="auto"/>
        </w:rPr>
      </w:pPr>
      <w:r>
        <w:rPr>
          <w:rFonts w:hint="eastAsia" w:ascii="宋体"/>
          <w:b/>
          <w:color w:val="auto"/>
          <w:szCs w:val="21"/>
          <w:highlight w:val="none"/>
          <w:shd w:val="clear" w:color="auto" w:fill="auto"/>
        </w:rPr>
        <w:t>（三）招标方式</w:t>
      </w:r>
    </w:p>
    <w:p w14:paraId="2095D780">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公开招标方式。</w:t>
      </w:r>
    </w:p>
    <w:p w14:paraId="07A61AA4">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（四）投标委托</w:t>
      </w:r>
    </w:p>
    <w:p w14:paraId="5CC1F637">
      <w:pPr>
        <w:pStyle w:val="22"/>
        <w:snapToGrid w:val="0"/>
        <w:spacing w:line="360" w:lineRule="exact"/>
        <w:ind w:firstLine="420" w:firstLineChars="200"/>
        <w:jc w:val="left"/>
        <w:rPr>
          <w:rFonts w:hint="eastAsia" w:ascii="宋体" w:eastAsia="宋体"/>
          <w:color w:val="auto"/>
          <w:sz w:val="21"/>
          <w:szCs w:val="21"/>
          <w:highlight w:val="none"/>
          <w:shd w:val="clear" w:color="auto" w:fill="auto"/>
        </w:rPr>
      </w:pPr>
      <w:r>
        <w:rPr>
          <w:rFonts w:hint="eastAsia" w:ascii="宋体" w:hAnsi="宋体" w:eastAsia="宋体"/>
          <w:color w:val="auto"/>
          <w:sz w:val="21"/>
          <w:szCs w:val="21"/>
          <w:highlight w:val="none"/>
          <w:shd w:val="clear" w:color="auto" w:fill="auto"/>
        </w:rPr>
        <w:t>如投标人代表不是法定代表人(负责人)，须有法定代表人(负责人)出具的授权委托书，格式见第六章《投标文件格式》。</w:t>
      </w:r>
    </w:p>
    <w:p w14:paraId="4E9F369D">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（五）投标费用</w:t>
      </w:r>
    </w:p>
    <w:p w14:paraId="4449CA5B">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投标人均应自行承担所有与投标有关的全部费用（招标文件有相关的规定除外）。</w:t>
      </w:r>
    </w:p>
    <w:p w14:paraId="16BA38FB">
      <w:pPr>
        <w:snapToGrid w:val="0"/>
        <w:spacing w:line="360" w:lineRule="exact"/>
        <w:ind w:firstLine="422" w:firstLineChars="200"/>
        <w:jc w:val="left"/>
        <w:rPr>
          <w:rFonts w:hint="eastAsia" w:ascii="宋体"/>
          <w:b/>
          <w:bCs w:val="0"/>
          <w:color w:val="auto"/>
          <w:szCs w:val="21"/>
          <w:highlight w:val="none"/>
          <w:u w:val="none"/>
          <w:shd w:val="clear" w:color="auto" w:fill="auto"/>
        </w:rPr>
      </w:pPr>
      <w:r>
        <w:rPr>
          <w:rFonts w:hint="eastAsia" w:ascii="宋体"/>
          <w:b/>
          <w:bCs w:val="0"/>
          <w:color w:val="auto"/>
          <w:szCs w:val="21"/>
          <w:highlight w:val="none"/>
          <w:u w:val="none"/>
          <w:shd w:val="clear" w:color="auto" w:fill="auto"/>
        </w:rPr>
        <w:t>（六）</w:t>
      </w:r>
      <w:r>
        <w:rPr>
          <w:rFonts w:hint="eastAsia"/>
          <w:b/>
          <w:bCs w:val="0"/>
          <w:color w:val="auto"/>
          <w:highlight w:val="none"/>
          <w:u w:val="none"/>
          <w:shd w:val="clear" w:color="auto" w:fill="auto"/>
        </w:rPr>
        <w:t>本项目不接受联合体投标</w:t>
      </w:r>
    </w:p>
    <w:p w14:paraId="3997E701">
      <w:pPr>
        <w:snapToGrid w:val="0"/>
        <w:spacing w:before="156" w:beforeLines="50" w:line="360" w:lineRule="exact"/>
        <w:ind w:firstLine="413" w:firstLineChars="196"/>
        <w:outlineLvl w:val="0"/>
        <w:rPr>
          <w:rFonts w:hint="eastAsia" w:ascii="宋体" w:cs="宋体"/>
          <w:b/>
          <w:color w:val="auto"/>
          <w:kern w:val="0"/>
          <w:szCs w:val="21"/>
          <w:highlight w:val="none"/>
          <w:shd w:val="clear" w:color="auto" w:fill="auto"/>
        </w:rPr>
      </w:pPr>
      <w:r>
        <w:rPr>
          <w:rFonts w:hint="eastAsia" w:ascii="宋体"/>
          <w:b/>
          <w:color w:val="auto"/>
          <w:szCs w:val="21"/>
          <w:highlight w:val="none"/>
          <w:shd w:val="clear" w:color="auto" w:fill="auto"/>
        </w:rPr>
        <w:t>（七）</w:t>
      </w:r>
      <w:r>
        <w:rPr>
          <w:rFonts w:hint="eastAsia" w:ascii="宋体" w:cs="宋体"/>
          <w:b/>
          <w:color w:val="auto"/>
          <w:kern w:val="0"/>
          <w:szCs w:val="21"/>
          <w:highlight w:val="none"/>
          <w:shd w:val="clear" w:color="auto" w:fill="auto"/>
        </w:rPr>
        <w:t>转包与分包</w:t>
      </w:r>
    </w:p>
    <w:p w14:paraId="59201A9C">
      <w:pPr>
        <w:snapToGrid w:val="0"/>
        <w:spacing w:line="360" w:lineRule="exact"/>
        <w:ind w:firstLine="420" w:firstLineChars="200"/>
        <w:rPr>
          <w:rFonts w:hint="eastAsia" w:ascii="宋体" w:cs="宋体"/>
          <w:color w:val="auto"/>
          <w:kern w:val="0"/>
          <w:szCs w:val="21"/>
          <w:highlight w:val="none"/>
          <w:shd w:val="clear" w:color="auto" w:fill="auto"/>
        </w:rPr>
      </w:pPr>
      <w:r>
        <w:rPr>
          <w:rFonts w:hint="eastAsia" w:ascii="宋体" w:cs="宋体"/>
          <w:color w:val="auto"/>
          <w:kern w:val="0"/>
          <w:szCs w:val="21"/>
          <w:highlight w:val="none"/>
          <w:shd w:val="clear" w:color="auto" w:fill="auto"/>
        </w:rPr>
        <w:t>1.本项目不允许转包。</w:t>
      </w:r>
    </w:p>
    <w:p w14:paraId="5ADE2ABC">
      <w:pPr>
        <w:snapToGrid w:val="0"/>
        <w:spacing w:line="360" w:lineRule="exact"/>
        <w:ind w:firstLine="420" w:firstLineChars="200"/>
        <w:rPr>
          <w:rFonts w:hint="eastAsia" w:ascii="宋体"/>
          <w:color w:val="auto"/>
          <w:szCs w:val="21"/>
          <w:highlight w:val="none"/>
          <w:shd w:val="clear" w:color="auto" w:fill="auto"/>
        </w:rPr>
      </w:pPr>
      <w:r>
        <w:rPr>
          <w:rFonts w:hint="eastAsia" w:ascii="宋体" w:cs="宋体"/>
          <w:color w:val="auto"/>
          <w:kern w:val="0"/>
          <w:szCs w:val="21"/>
          <w:highlight w:val="none"/>
          <w:shd w:val="clear" w:color="auto" w:fill="auto"/>
        </w:rPr>
        <w:t>2.本项目不可以分包。</w:t>
      </w:r>
    </w:p>
    <w:p w14:paraId="518C8A5B">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（八）特别说明：</w:t>
      </w:r>
    </w:p>
    <w:p w14:paraId="2CCEF4AE">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▲1.单位负责人为同一人或者存在直接控股、管理关系的不同供应商，不得参加同一合同项下的政府采购活动。</w:t>
      </w:r>
    </w:p>
    <w:p w14:paraId="562C2925">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r>
        <w:rPr>
          <w:rFonts w:hint="eastAsia" w:ascii="宋体" w:hAnsi="宋体"/>
          <w:color w:val="auto"/>
          <w:szCs w:val="21"/>
          <w:highlight w:val="none"/>
          <w:shd w:val="clear" w:color="auto" w:fill="auto"/>
        </w:rPr>
        <w:t>使用综合评分法的采购项目，</w:t>
      </w:r>
      <w:r>
        <w:rPr>
          <w:rFonts w:hint="eastAsia"/>
          <w:color w:val="auto"/>
          <w:highlight w:val="none"/>
          <w:shd w:val="clear" w:color="auto" w:fill="auto"/>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highlight w:val="none"/>
          <w:shd w:val="clear" w:color="auto" w:fill="auto"/>
          <w:lang w:eastAsia="zh-CN"/>
        </w:rPr>
        <w:t>评标方法</w:t>
      </w:r>
      <w:r>
        <w:rPr>
          <w:rFonts w:hint="default"/>
          <w:color w:val="auto"/>
          <w:highlight w:val="none"/>
          <w:shd w:val="clear" w:color="auto" w:fill="auto"/>
        </w:rPr>
        <w:t>及评分标准</w:t>
      </w:r>
      <w:r>
        <w:rPr>
          <w:rFonts w:hint="eastAsia"/>
          <w:color w:val="auto"/>
          <w:highlight w:val="none"/>
          <w:shd w:val="clear" w:color="auto" w:fill="auto"/>
        </w:rPr>
        <w:t>》中的推荐原则确定一个投标人获得中标人推荐资格，其他同品牌投标人不作为中标候选人。</w:t>
      </w:r>
    </w:p>
    <w:p w14:paraId="18A75B0D">
      <w:pP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    非单一产品采购项目中，多家投标人提供的招标文件中载明的核心产品品牌相同的，视为提供相同品牌产品。</w:t>
      </w:r>
    </w:p>
    <w:p w14:paraId="36C4B8DD">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▲3.投标人应仔细阅读招标文件的所有内容，按照招标文件的要求提交投标文件，并对所提供的全部资料的真实性承担法律责任。</w:t>
      </w:r>
    </w:p>
    <w:p w14:paraId="7F8CD246">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▲4.投标人在投标活动中提供任何虚假材料、互相串通投标，其投标无效，并报监管部门查处。</w:t>
      </w:r>
    </w:p>
    <w:p w14:paraId="43EEFFFC">
      <w:pPr>
        <w:pStyle w:val="29"/>
        <w:snapToGrid w:val="0"/>
        <w:spacing w:line="360" w:lineRule="exact"/>
        <w:ind w:left="2" w:leftChars="1" w:firstLine="420" w:firstLineChars="200"/>
        <w:rPr>
          <w:rFonts w:hint="eastAsia" w:hAnsi="宋体" w:cs="宋体"/>
          <w:color w:val="auto"/>
          <w:kern w:val="0"/>
          <w:highlight w:val="none"/>
          <w:shd w:val="clear" w:color="auto" w:fill="auto"/>
        </w:rPr>
      </w:pPr>
      <w:r>
        <w:rPr>
          <w:rFonts w:hint="eastAsia" w:hAnsi="宋体" w:cs="宋体"/>
          <w:color w:val="auto"/>
          <w:kern w:val="0"/>
          <w:highlight w:val="none"/>
          <w:shd w:val="clear" w:color="auto" w:fill="auto"/>
        </w:rPr>
        <w:t>▲5.投标截止时间前三天，报名登记的供应商不足三家的，本中心将延迟截标和开标时间不少于十日，并书面通知已报名登记的供应商，并在财政部门指定的政府采购信息发布媒体及本中心网站上发布变更公告。</w:t>
      </w:r>
    </w:p>
    <w:p w14:paraId="50A4A311">
      <w:pPr>
        <w:snapToGrid w:val="0"/>
        <w:spacing w:line="360" w:lineRule="exact"/>
        <w:ind w:firstLine="420" w:firstLineChars="200"/>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Cs w:val="21"/>
          <w:highlight w:val="none"/>
          <w:shd w:val="clear" w:color="auto" w:fill="auto"/>
        </w:rPr>
        <w:t>▲</w:t>
      </w:r>
      <w:r>
        <w:rPr>
          <w:rFonts w:hint="eastAsia" w:ascii="宋体" w:hAnsi="宋体" w:eastAsia="宋体" w:cs="宋体"/>
          <w:color w:val="auto"/>
          <w:kern w:val="0"/>
          <w:szCs w:val="21"/>
          <w:highlight w:val="none"/>
          <w:shd w:val="clear" w:color="auto" w:fill="auto"/>
          <w:lang w:val="en-US" w:eastAsia="zh-CN"/>
        </w:rPr>
        <w:t>6.中小企业价格评审优惠：</w:t>
      </w:r>
      <w:r>
        <w:rPr>
          <w:rFonts w:hint="eastAsia" w:ascii="宋体" w:hAnsi="宋体" w:eastAsia="宋体" w:cs="宋体"/>
          <w:color w:val="auto"/>
          <w:kern w:val="0"/>
          <w:sz w:val="21"/>
          <w:szCs w:val="21"/>
          <w:highlight w:val="none"/>
          <w:shd w:val="clear" w:color="auto" w:fill="auto"/>
          <w:lang w:val="en-US" w:eastAsia="zh-CN" w:bidi="ar-SA"/>
        </w:rPr>
        <w:t>根据《政府采购促进中小企业发展管理办法》（财库〔2020〕46号）的规定，对符合条件的小型、微型企业（以下简称“中小企业”）的报价给予价格扣除优惠，扣除比例详见评</w:t>
      </w:r>
      <w:r>
        <w:rPr>
          <w:rFonts w:hint="eastAsia" w:hAnsi="宋体" w:cs="宋体"/>
          <w:color w:val="auto"/>
          <w:kern w:val="0"/>
          <w:sz w:val="21"/>
          <w:szCs w:val="21"/>
          <w:highlight w:val="none"/>
          <w:shd w:val="clear" w:color="auto" w:fill="auto"/>
          <w:lang w:val="en-US" w:eastAsia="zh-CN" w:bidi="ar-SA"/>
        </w:rPr>
        <w:t>标</w:t>
      </w:r>
      <w:r>
        <w:rPr>
          <w:rFonts w:hint="eastAsia" w:ascii="宋体" w:hAnsi="宋体" w:eastAsia="宋体" w:cs="宋体"/>
          <w:color w:val="auto"/>
          <w:kern w:val="0"/>
          <w:sz w:val="21"/>
          <w:szCs w:val="21"/>
          <w:highlight w:val="none"/>
          <w:shd w:val="clear" w:color="auto" w:fill="auto"/>
          <w:lang w:val="en-US" w:eastAsia="zh-CN" w:bidi="ar-SA"/>
        </w:rPr>
        <w:t>方法及评分标准。投标人如申请享受此项价格扣除，必须按本文件“投标文件格式”要求，填写并提交《中小企业声明函》。未提交或提交不符合要求的，不享受扣除，按其原报价计算价格分。</w:t>
      </w:r>
    </w:p>
    <w:p w14:paraId="3A514F55">
      <w:pPr>
        <w:snapToGrid w:val="0"/>
        <w:spacing w:line="360" w:lineRule="exact"/>
        <w:ind w:firstLine="420" w:firstLineChars="200"/>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Cs w:val="21"/>
          <w:highlight w:val="none"/>
          <w:shd w:val="clear" w:color="auto" w:fill="auto"/>
          <w:lang w:val="en-US" w:eastAsia="zh-CN"/>
        </w:rPr>
        <w:t>▲7.</w:t>
      </w:r>
      <w:r>
        <w:rPr>
          <w:rFonts w:hint="eastAsia" w:ascii="宋体" w:hAnsi="宋体" w:eastAsia="宋体" w:cs="宋体"/>
          <w:color w:val="auto"/>
          <w:kern w:val="0"/>
          <w:sz w:val="21"/>
          <w:szCs w:val="21"/>
          <w:highlight w:val="none"/>
          <w:shd w:val="clear" w:color="auto" w:fill="auto"/>
          <w:lang w:val="en-US" w:eastAsia="zh-CN" w:bidi="ar-SA"/>
        </w:rPr>
        <w:t>本国产品价格扣除：根据《国务院办公厅关于在政府采购中实施本国产品标准及相关政策的通知》（国办发〔2025〕34号），在政府采购活动中既有本国产品又有非本国产品参与竞争的情况下，依法对本国产品给予价格评审优惠。 本项目对本国产品给予价格扣除，扣除比例详见评</w:t>
      </w:r>
      <w:r>
        <w:rPr>
          <w:rFonts w:hint="eastAsia" w:ascii="宋体" w:hAnsi="宋体" w:cs="宋体"/>
          <w:color w:val="auto"/>
          <w:kern w:val="0"/>
          <w:sz w:val="21"/>
          <w:szCs w:val="21"/>
          <w:highlight w:val="none"/>
          <w:shd w:val="clear" w:color="auto" w:fill="auto"/>
          <w:lang w:val="en-US" w:eastAsia="zh-CN" w:bidi="ar-SA"/>
        </w:rPr>
        <w:t>标</w:t>
      </w:r>
      <w:r>
        <w:rPr>
          <w:rFonts w:hint="eastAsia" w:ascii="宋体" w:hAnsi="宋体" w:eastAsia="宋体" w:cs="宋体"/>
          <w:color w:val="auto"/>
          <w:kern w:val="0"/>
          <w:sz w:val="21"/>
          <w:szCs w:val="21"/>
          <w:highlight w:val="none"/>
          <w:shd w:val="clear" w:color="auto" w:fill="auto"/>
          <w:lang w:val="en-US" w:eastAsia="zh-CN" w:bidi="ar-SA"/>
        </w:rPr>
        <w:t>方法及评分标准。投标人如申请享受此项价格扣除，必须按本文件“投标文件格式”要求，填写并提交《关于符合本国产品标准的声明函》。未提交或提交不符合要求的，不享受扣除，按其原报价计算价格分。</w:t>
      </w:r>
    </w:p>
    <w:p w14:paraId="514777B2">
      <w:pPr>
        <w:snapToGrid w:val="0"/>
        <w:spacing w:line="360" w:lineRule="exact"/>
        <w:ind w:firstLine="420" w:firstLineChars="200"/>
        <w:rPr>
          <w:rFonts w:hint="eastAsia"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lang w:val="en-US" w:eastAsia="zh-CN"/>
        </w:rPr>
        <w:t>▲8. 异常低价投标的风险警示：为维护公平竞争和项目质量，评标委员会将对疑似异常低价的投标进行认定。若投标人的报价被认定为异常低价且无法在合理期限内证明其报价合理性的，其投标将被视为无效投标。具体认定标准和处理程序，详见“评标程序”及“评标方法及评分标准”。</w:t>
      </w:r>
    </w:p>
    <w:p w14:paraId="292FD70E">
      <w:pPr>
        <w:pStyle w:val="29"/>
        <w:snapToGrid w:val="0"/>
        <w:spacing w:line="360" w:lineRule="exact"/>
        <w:ind w:firstLine="310" w:firstLineChars="147"/>
        <w:outlineLvl w:val="0"/>
        <w:rPr>
          <w:rFonts w:hint="eastAsia"/>
          <w:b/>
          <w:bCs/>
          <w:color w:val="auto"/>
          <w:highlight w:val="none"/>
          <w:shd w:val="clear" w:color="auto" w:fill="auto"/>
        </w:rPr>
      </w:pPr>
      <w:r>
        <w:rPr>
          <w:rFonts w:hint="eastAsia"/>
          <w:b/>
          <w:bCs/>
          <w:color w:val="auto"/>
          <w:highlight w:val="none"/>
          <w:shd w:val="clear" w:color="auto" w:fill="auto"/>
        </w:rPr>
        <w:t>（九）</w:t>
      </w:r>
      <w:r>
        <w:rPr>
          <w:rFonts w:hint="eastAsia"/>
          <w:b/>
          <w:color w:val="auto"/>
          <w:highlight w:val="none"/>
          <w:shd w:val="clear" w:color="auto" w:fill="auto"/>
        </w:rPr>
        <w:t>询问、质疑和投诉</w:t>
      </w:r>
    </w:p>
    <w:p w14:paraId="2F5E03EB">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1．投标人对政府采购活动事项有疑问的，可以向采购人、采购代理机构提出询问。</w:t>
      </w:r>
    </w:p>
    <w:p w14:paraId="01F7E27C">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2.投标人认为招标文件、招标过程或中标结果使自己的合法权益受到损害的，应当在知道或者应知其权益受到损害之日起七个工作日内，以书面形式向采购人提出质疑。具体计算时间如下：</w:t>
      </w:r>
    </w:p>
    <w:p w14:paraId="576707E3">
      <w:pPr>
        <w:pStyle w:val="29"/>
        <w:snapToGrid w:val="0"/>
        <w:spacing w:line="360" w:lineRule="exact"/>
        <w:ind w:firstLine="310" w:firstLineChars="147"/>
        <w:rPr>
          <w:rFonts w:hint="eastAsia"/>
          <w:bCs/>
          <w:color w:val="auto"/>
          <w:highlight w:val="none"/>
          <w:shd w:val="clear" w:color="auto" w:fill="auto"/>
        </w:rPr>
      </w:pPr>
      <w:r>
        <w:rPr>
          <w:rFonts w:hint="eastAsia"/>
          <w:b/>
          <w:color w:val="auto"/>
          <w:highlight w:val="none"/>
          <w:shd w:val="clear" w:color="auto" w:fill="auto"/>
        </w:rPr>
        <w:t>（一）对可以质疑的招标采购文件提出质疑的，为收到采购文件之日；</w:t>
      </w:r>
    </w:p>
    <w:p w14:paraId="0D58621F">
      <w:pPr>
        <w:widowControl/>
        <w:spacing w:line="360" w:lineRule="exact"/>
        <w:jc w:val="left"/>
        <w:rPr>
          <w:rFonts w:hint="eastAsia" w:ascii="宋体" w:cs="Courier New"/>
          <w:b/>
          <w:color w:val="auto"/>
          <w:szCs w:val="21"/>
          <w:highlight w:val="none"/>
          <w:shd w:val="clear" w:color="auto" w:fill="auto"/>
        </w:rPr>
      </w:pPr>
      <w:r>
        <w:rPr>
          <w:rFonts w:hint="eastAsia" w:ascii="宋体" w:cs="Courier New"/>
          <w:color w:val="auto"/>
          <w:szCs w:val="21"/>
          <w:highlight w:val="none"/>
          <w:shd w:val="clear" w:color="auto" w:fill="auto"/>
        </w:rPr>
        <w:t xml:space="preserve">　 </w:t>
      </w:r>
      <w:r>
        <w:rPr>
          <w:rFonts w:hint="eastAsia" w:ascii="宋体" w:cs="Courier New"/>
          <w:b/>
          <w:color w:val="auto"/>
          <w:szCs w:val="21"/>
          <w:highlight w:val="none"/>
          <w:shd w:val="clear" w:color="auto" w:fill="auto"/>
        </w:rPr>
        <w:t>（二）对招标采购过程提出质疑的，为各采购程序环节结束之日；</w:t>
      </w:r>
    </w:p>
    <w:p w14:paraId="562FD6CC">
      <w:pPr>
        <w:widowControl/>
        <w:spacing w:line="360" w:lineRule="exact"/>
        <w:ind w:firstLine="310" w:firstLineChars="147"/>
        <w:jc w:val="left"/>
        <w:rPr>
          <w:rFonts w:hint="eastAsia" w:ascii="宋体" w:cs="Courier New"/>
          <w:b/>
          <w:color w:val="auto"/>
          <w:szCs w:val="21"/>
          <w:highlight w:val="none"/>
          <w:shd w:val="clear" w:color="auto" w:fill="auto"/>
        </w:rPr>
      </w:pPr>
      <w:r>
        <w:rPr>
          <w:rFonts w:hint="eastAsia" w:cs="Courier New"/>
          <w:b/>
          <w:color w:val="auto"/>
          <w:szCs w:val="21"/>
          <w:highlight w:val="none"/>
          <w:shd w:val="clear" w:color="auto" w:fill="auto"/>
        </w:rPr>
        <w:t>（三）对中标结果提出质疑的，为中标结果公告期限届满之日。投标人对采购单位的质疑答复不满意或者</w:t>
      </w:r>
      <w:r>
        <w:rPr>
          <w:rFonts w:hint="eastAsia" w:ascii="宋体" w:hAnsi="宋体" w:cs="Courier New"/>
          <w:b/>
          <w:color w:val="auto"/>
          <w:szCs w:val="21"/>
          <w:highlight w:val="none"/>
          <w:shd w:val="clear" w:color="auto" w:fill="auto"/>
        </w:rPr>
        <w:t>采购人</w:t>
      </w:r>
      <w:r>
        <w:rPr>
          <w:rFonts w:hint="eastAsia" w:cs="Courier New"/>
          <w:b/>
          <w:color w:val="auto"/>
          <w:szCs w:val="21"/>
          <w:highlight w:val="none"/>
          <w:shd w:val="clear" w:color="auto" w:fill="auto"/>
        </w:rPr>
        <w:t>未在规定时间内作出答复的，可以在答复期满后十五个工作日内向同级采购监管部门投诉。</w:t>
      </w:r>
    </w:p>
    <w:p w14:paraId="296F0F28">
      <w:pPr>
        <w:pStyle w:val="29"/>
        <w:snapToGrid w:val="0"/>
        <w:spacing w:line="360" w:lineRule="exact"/>
        <w:ind w:firstLine="420" w:firstLineChars="200"/>
        <w:rPr>
          <w:rFonts w:hint="eastAsia"/>
          <w:bCs/>
          <w:color w:val="auto"/>
          <w:highlight w:val="none"/>
          <w:shd w:val="clear" w:color="auto" w:fill="auto"/>
        </w:rPr>
      </w:pPr>
      <w:r>
        <w:rPr>
          <w:rFonts w:hint="eastAsia"/>
          <w:bCs/>
          <w:color w:val="auto"/>
          <w:highlight w:val="none"/>
          <w:shd w:val="clear" w:color="auto" w:fill="auto"/>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14:paraId="4B39358E">
      <w:pPr>
        <w:pStyle w:val="29"/>
        <w:spacing w:line="360" w:lineRule="exact"/>
        <w:ind w:firstLine="422" w:firstLineChars="200"/>
        <w:rPr>
          <w:b/>
          <w:color w:val="auto"/>
          <w:highlight w:val="none"/>
          <w:shd w:val="clear" w:color="auto" w:fill="auto"/>
        </w:rPr>
      </w:pPr>
      <w:r>
        <w:rPr>
          <w:b/>
          <w:color w:val="auto"/>
          <w:highlight w:val="none"/>
          <w:shd w:val="clear" w:color="auto" w:fill="auto"/>
        </w:rPr>
        <w:t>4.采购人、采购代理机构接收质疑函的方式、联系部门、联系电话和地址等信息详见“投标人须知前附表”。</w:t>
      </w:r>
    </w:p>
    <w:p w14:paraId="7E6DA3FD">
      <w:pPr>
        <w:pStyle w:val="29"/>
        <w:snapToGrid w:val="0"/>
        <w:spacing w:line="360" w:lineRule="auto"/>
        <w:ind w:firstLine="422" w:firstLineChars="200"/>
        <w:rPr>
          <w:rFonts w:hint="eastAsia" w:hAnsi="宋体"/>
          <w:color w:val="auto"/>
          <w:sz w:val="21"/>
          <w:highlight w:val="none"/>
          <w:shd w:val="clear" w:color="auto" w:fill="auto"/>
          <w:lang w:val="en-US" w:eastAsia="zh-CN"/>
        </w:rPr>
      </w:pPr>
      <w:r>
        <w:rPr>
          <w:rFonts w:hint="eastAsia"/>
          <w:b/>
          <w:color w:val="auto"/>
          <w:highlight w:val="none"/>
          <w:shd w:val="clear" w:color="auto" w:fill="auto"/>
          <w:lang w:val="en-US" w:eastAsia="zh-CN"/>
        </w:rPr>
        <w:t>5.</w:t>
      </w:r>
      <w:r>
        <w:rPr>
          <w:rFonts w:hint="eastAsia" w:hAnsi="宋体"/>
          <w:color w:val="auto"/>
          <w:sz w:val="21"/>
          <w:highlight w:val="none"/>
          <w:shd w:val="clear" w:color="auto" w:fill="auto"/>
          <w:lang w:val="en-US" w:eastAsia="zh-CN"/>
        </w:rPr>
        <w:t>质疑供应商提起质疑应当符合下列条件：</w:t>
      </w:r>
    </w:p>
    <w:p w14:paraId="5C093E7F">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（1）质疑供应商是参与所质疑项目采购活动的供应商（潜在供应商已依法获取可之一的采购文件的，可以对该采购文件质疑）；</w:t>
      </w:r>
    </w:p>
    <w:p w14:paraId="03DB27A2">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（2）质疑函内容符合本章第3项的规定；</w:t>
      </w:r>
    </w:p>
    <w:p w14:paraId="4E719C52">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（3）在质疑有效期限内提起质疑；</w:t>
      </w:r>
    </w:p>
    <w:p w14:paraId="5B101ADC">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（4）属于所质疑的采购人或采购人委托的采购代理机构组织的采购活动；</w:t>
      </w:r>
    </w:p>
    <w:p w14:paraId="0361469A">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 xml:space="preserve">（5）同一质疑事项未经采购人或采购人委托的采购代理机构质疑处理； </w:t>
      </w:r>
    </w:p>
    <w:p w14:paraId="269293F3">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（6）供应商对同一采购程序环节的质疑应当在质疑有效期内一次性提出；</w:t>
      </w:r>
    </w:p>
    <w:p w14:paraId="5F4A8879">
      <w:pPr>
        <w:pStyle w:val="29"/>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（7）供应商提交质疑应当提交必要的证明材料，证明材料应以合法手段取得；</w:t>
      </w:r>
    </w:p>
    <w:p w14:paraId="4300904F">
      <w:pPr>
        <w:pStyle w:val="29"/>
        <w:spacing w:line="360" w:lineRule="exact"/>
        <w:ind w:firstLine="420" w:firstLineChars="200"/>
        <w:rPr>
          <w:rFonts w:hint="default" w:eastAsia="宋体"/>
          <w:b/>
          <w:color w:val="auto"/>
          <w:highlight w:val="none"/>
          <w:shd w:val="clear" w:color="auto" w:fill="auto"/>
          <w:lang w:val="en-US" w:eastAsia="zh-CN"/>
        </w:rPr>
      </w:pPr>
      <w:r>
        <w:rPr>
          <w:rFonts w:hint="eastAsia" w:hAnsi="宋体"/>
          <w:color w:val="auto"/>
          <w:sz w:val="21"/>
          <w:highlight w:val="none"/>
          <w:shd w:val="clear" w:color="auto" w:fill="auto"/>
          <w:lang w:val="en-US" w:eastAsia="zh-CN"/>
        </w:rPr>
        <w:t>（8）财政部门规定的其他条件。</w:t>
      </w:r>
    </w:p>
    <w:p w14:paraId="4CC6D944">
      <w:pPr>
        <w:pStyle w:val="29"/>
        <w:snapToGrid w:val="0"/>
        <w:spacing w:line="360" w:lineRule="exact"/>
        <w:ind w:firstLine="413" w:firstLineChars="196"/>
        <w:outlineLvl w:val="0"/>
        <w:rPr>
          <w:rFonts w:hint="eastAsia"/>
          <w:b/>
          <w:color w:val="auto"/>
          <w:highlight w:val="none"/>
          <w:shd w:val="clear" w:color="auto" w:fill="auto"/>
        </w:rPr>
      </w:pPr>
      <w:r>
        <w:rPr>
          <w:rFonts w:hint="eastAsia"/>
          <w:b/>
          <w:color w:val="auto"/>
          <w:highlight w:val="none"/>
          <w:shd w:val="clear" w:color="auto" w:fill="auto"/>
        </w:rPr>
        <w:t>二、招标文件</w:t>
      </w:r>
    </w:p>
    <w:p w14:paraId="3BDE7265">
      <w:pPr>
        <w:snapToGrid w:val="0"/>
        <w:spacing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（一）招标文件的构成。</w:t>
      </w:r>
    </w:p>
    <w:p w14:paraId="2D32F98D">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1.公开招标公告；</w:t>
      </w:r>
    </w:p>
    <w:p w14:paraId="13AF7301">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2.招标项目采购需求</w:t>
      </w:r>
    </w:p>
    <w:p w14:paraId="1EA4B939">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3.投标人须知；</w:t>
      </w:r>
    </w:p>
    <w:p w14:paraId="5CC85C21">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4.</w:t>
      </w:r>
      <w:r>
        <w:rPr>
          <w:rFonts w:hint="eastAsia" w:ascii="宋体"/>
          <w:color w:val="auto"/>
          <w:szCs w:val="21"/>
          <w:highlight w:val="none"/>
          <w:shd w:val="clear" w:color="auto" w:fill="auto"/>
          <w:lang w:eastAsia="zh-CN"/>
        </w:rPr>
        <w:t>评标方法</w:t>
      </w:r>
      <w:r>
        <w:rPr>
          <w:rFonts w:hint="default" w:ascii="宋体"/>
          <w:color w:val="auto"/>
          <w:szCs w:val="21"/>
          <w:highlight w:val="none"/>
          <w:shd w:val="clear" w:color="auto" w:fill="auto"/>
        </w:rPr>
        <w:t>及评分标准</w:t>
      </w:r>
      <w:r>
        <w:rPr>
          <w:rFonts w:hint="eastAsia" w:ascii="宋体"/>
          <w:color w:val="auto"/>
          <w:szCs w:val="21"/>
          <w:highlight w:val="none"/>
          <w:shd w:val="clear" w:color="auto" w:fill="auto"/>
        </w:rPr>
        <w:t>；</w:t>
      </w:r>
    </w:p>
    <w:p w14:paraId="123FF208">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5.政府采购合同主要条款；</w:t>
      </w:r>
    </w:p>
    <w:p w14:paraId="4B7CD601">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6.投标文件格式。</w:t>
      </w:r>
    </w:p>
    <w:p w14:paraId="34DA0844">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（二）投标人的风险</w:t>
      </w:r>
    </w:p>
    <w:p w14:paraId="7D4020D2">
      <w:pPr>
        <w:tabs>
          <w:tab w:val="left" w:pos="180"/>
          <w:tab w:val="left" w:pos="1620"/>
        </w:tabs>
        <w:spacing w:line="400" w:lineRule="exact"/>
        <w:ind w:firstLine="420" w:firstLineChars="200"/>
        <w:rPr>
          <w:rFonts w:hint="eastAsia" w:ascii="宋体" w:cs="Courier New"/>
          <w:color w:val="auto"/>
          <w:szCs w:val="21"/>
          <w:highlight w:val="none"/>
          <w:shd w:val="clear" w:color="auto" w:fill="auto"/>
        </w:rPr>
      </w:pPr>
      <w:r>
        <w:rPr>
          <w:rFonts w:hint="eastAsia" w:ascii="宋体" w:hAnsi="宋体" w:cs="Courier New"/>
          <w:color w:val="auto"/>
          <w:szCs w:val="21"/>
          <w:highlight w:val="none"/>
          <w:shd w:val="clear" w:color="auto" w:fill="auto"/>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r>
        <w:rPr>
          <w:rFonts w:hint="eastAsia" w:ascii="宋体" w:hAnsi="宋体" w:cs="Courier New"/>
          <w:color w:val="auto"/>
          <w:szCs w:val="21"/>
          <w:highlight w:val="none"/>
          <w:shd w:val="clear" w:color="auto" w:fill="auto"/>
        </w:rPr>
        <w:cr/>
      </w:r>
      <w:r>
        <w:rPr>
          <w:rFonts w:hint="eastAsia" w:ascii="宋体" w:hAnsi="宋体" w:cs="Courier New"/>
          <w:color w:val="auto"/>
          <w:szCs w:val="21"/>
          <w:highlight w:val="none"/>
          <w:shd w:val="clear" w:color="auto" w:fill="auto"/>
        </w:rPr>
        <w:t xml:space="preserve">   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r>
        <w:rPr>
          <w:rFonts w:hint="eastAsia" w:ascii="宋体" w:cs="Courier New"/>
          <w:color w:val="auto"/>
          <w:szCs w:val="21"/>
          <w:highlight w:val="none"/>
          <w:shd w:val="clear" w:color="auto" w:fill="auto"/>
        </w:rPr>
        <w:t xml:space="preserve"> </w:t>
      </w:r>
    </w:p>
    <w:p w14:paraId="2FDDB6F9">
      <w:pPr>
        <w:pStyle w:val="14"/>
        <w:widowControl w:val="0"/>
        <w:tabs>
          <w:tab w:val="clear" w:pos="454"/>
        </w:tabs>
        <w:snapToGrid w:val="0"/>
        <w:spacing w:before="156" w:beforeLines="50" w:line="400" w:lineRule="exact"/>
        <w:ind w:left="0" w:firstLine="411" w:firstLineChars="196"/>
        <w:rPr>
          <w:rFonts w:hint="eastAsia" w:ascii="宋体" w:cs="Courier New"/>
          <w:color w:val="auto"/>
          <w:kern w:val="2"/>
          <w:sz w:val="21"/>
          <w:szCs w:val="21"/>
          <w:highlight w:val="none"/>
          <w:shd w:val="clear" w:color="auto" w:fill="auto"/>
        </w:rPr>
      </w:pPr>
      <w:r>
        <w:rPr>
          <w:rFonts w:hint="eastAsia" w:ascii="宋体" w:cs="Courier New"/>
          <w:color w:val="auto"/>
          <w:kern w:val="2"/>
          <w:sz w:val="21"/>
          <w:szCs w:val="21"/>
          <w:highlight w:val="none"/>
          <w:shd w:val="clear" w:color="auto" w:fill="auto"/>
        </w:rPr>
        <w:t xml:space="preserve"> 3.采购货物的主要技术参数和性能配置由评标委员会在评标前评定，但不能改变实质性内容。</w:t>
      </w:r>
    </w:p>
    <w:p w14:paraId="0B6D7262">
      <w:pPr>
        <w:pStyle w:val="14"/>
        <w:widowControl w:val="0"/>
        <w:tabs>
          <w:tab w:val="clear" w:pos="454"/>
        </w:tabs>
        <w:snapToGrid w:val="0"/>
        <w:spacing w:before="156" w:beforeLines="50" w:line="360" w:lineRule="exact"/>
        <w:ind w:left="0" w:firstLine="413" w:firstLineChars="196"/>
        <w:outlineLvl w:val="0"/>
        <w:rPr>
          <w:rFonts w:hint="eastAsia" w:ascii="宋体"/>
          <w:b/>
          <w:color w:val="auto"/>
          <w:sz w:val="21"/>
          <w:szCs w:val="21"/>
          <w:highlight w:val="none"/>
          <w:shd w:val="clear" w:color="auto" w:fill="auto"/>
        </w:rPr>
      </w:pPr>
      <w:r>
        <w:rPr>
          <w:rFonts w:hint="eastAsia" w:ascii="宋体"/>
          <w:b/>
          <w:color w:val="auto"/>
          <w:sz w:val="21"/>
          <w:szCs w:val="21"/>
          <w:highlight w:val="none"/>
          <w:shd w:val="clear" w:color="auto" w:fill="auto"/>
        </w:rPr>
        <w:t xml:space="preserve">（三）招标文件的澄清与修改 </w:t>
      </w:r>
    </w:p>
    <w:p w14:paraId="78250DED">
      <w:pPr>
        <w:pStyle w:val="29"/>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hAnsi="宋体"/>
          <w:bCs/>
          <w:color w:val="auto"/>
          <w:highlight w:val="none"/>
          <w:shd w:val="clear" w:color="auto" w:fill="auto"/>
        </w:rPr>
        <w:t xml:space="preserve"> 投标人应认真阅读本招标文件，发现其中有误或有不合理要求的，投标人</w:t>
      </w:r>
      <w:r>
        <w:rPr>
          <w:rFonts w:hint="eastAsia" w:hAnsi="宋体"/>
          <w:b/>
          <w:bCs/>
          <w:color w:val="auto"/>
          <w:highlight w:val="none"/>
          <w:shd w:val="clear" w:color="auto" w:fill="auto"/>
        </w:rPr>
        <w:t>应当</w:t>
      </w:r>
      <w:r>
        <w:rPr>
          <w:rFonts w:hint="eastAsia" w:hAnsi="宋体"/>
          <w:bCs/>
          <w:color w:val="auto"/>
          <w:highlight w:val="none"/>
          <w:shd w:val="clear" w:color="auto" w:fill="auto"/>
        </w:rPr>
        <w:t>在</w:t>
      </w:r>
      <w:r>
        <w:rPr>
          <w:rFonts w:hint="eastAsia" w:hAnsi="宋体"/>
          <w:bCs/>
          <w:color w:val="auto"/>
          <w:highlight w:val="none"/>
          <w:u w:val="single"/>
          <w:shd w:val="clear" w:color="auto" w:fill="auto"/>
        </w:rPr>
        <w:t>“采购文件：第三章 《投标人须知及前附表》序号6”规定的时间</w:t>
      </w:r>
      <w:r>
        <w:rPr>
          <w:rFonts w:hint="eastAsia" w:hAnsi="宋体"/>
          <w:bCs/>
          <w:color w:val="auto"/>
          <w:highlight w:val="none"/>
          <w:shd w:val="clear" w:color="auto" w:fill="auto"/>
        </w:rPr>
        <w:t>前以书面形式要求招标采购单位</w:t>
      </w:r>
      <w:r>
        <w:rPr>
          <w:rFonts w:hint="eastAsia" w:hAnsi="宋体"/>
          <w:color w:val="auto"/>
          <w:highlight w:val="none"/>
          <w:shd w:val="clear" w:color="auto" w:fill="auto"/>
        </w:rPr>
        <w:t>答疑、澄清</w:t>
      </w:r>
      <w:r>
        <w:rPr>
          <w:rFonts w:hint="eastAsia" w:hAnsi="宋体"/>
          <w:bCs/>
          <w:color w:val="auto"/>
          <w:highlight w:val="none"/>
          <w:shd w:val="clear" w:color="auto" w:fill="auto"/>
        </w:rPr>
        <w:t>。本中心对已发出的招标文件进行必要澄清或者修改</w:t>
      </w:r>
      <w:r>
        <w:rPr>
          <w:rFonts w:hint="eastAsia" w:hAnsi="宋体"/>
          <w:b/>
          <w:bCs/>
          <w:color w:val="auto"/>
          <w:highlight w:val="none"/>
          <w:shd w:val="clear" w:color="auto" w:fill="auto"/>
        </w:rPr>
        <w:t>可能影响投标文件编制的</w:t>
      </w:r>
      <w:r>
        <w:rPr>
          <w:rFonts w:hint="eastAsia" w:hAnsi="宋体"/>
          <w:bCs/>
          <w:color w:val="auto"/>
          <w:highlight w:val="none"/>
          <w:shd w:val="clear" w:color="auto" w:fill="auto"/>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hAnsi="宋体"/>
          <w:color w:val="auto"/>
          <w:highlight w:val="none"/>
          <w:shd w:val="clear" w:color="auto" w:fill="auto"/>
        </w:rPr>
        <w:t>。</w:t>
      </w:r>
    </w:p>
    <w:p w14:paraId="7BF20048">
      <w:pPr>
        <w:pStyle w:val="29"/>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2.本中心必须以书面形式答复投标人要求澄清的问题，并将不包含问题来源的答复书面通知所有报名登记的投标人；除书面答复以外的其他澄清方式及澄清内容均无效。</w:t>
      </w:r>
    </w:p>
    <w:p w14:paraId="43A34C95">
      <w:pPr>
        <w:pStyle w:val="29"/>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3.招标文件的答疑、澄清、修改、补充的内容为招标文件的组成部分。当招标文件与招标文件的答疑、澄清、修改、补充通知就同一内容的表述不一致时，以最后发出的书面文件为准。</w:t>
      </w:r>
    </w:p>
    <w:p w14:paraId="636115DC">
      <w:pPr>
        <w:pStyle w:val="29"/>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4.招标文件的答疑、澄清、修改、补充都应该通过本中心以法定形式发布，采购人非通过本机构，不得擅自答疑、澄清、修改、补充招标文件。</w:t>
      </w:r>
    </w:p>
    <w:p w14:paraId="7F9D8F9E">
      <w:pPr>
        <w:pStyle w:val="29"/>
        <w:snapToGrid w:val="0"/>
        <w:spacing w:line="360" w:lineRule="exact"/>
        <w:ind w:firstLine="420" w:firstLineChars="200"/>
        <w:rPr>
          <w:rFonts w:hint="eastAsia"/>
          <w:color w:val="auto"/>
          <w:highlight w:val="none"/>
          <w:shd w:val="clear" w:color="auto" w:fill="auto"/>
        </w:rPr>
      </w:pPr>
      <w:r>
        <w:rPr>
          <w:rFonts w:hint="eastAsia" w:hAnsi="宋体"/>
          <w:color w:val="auto"/>
          <w:highlight w:val="none"/>
          <w:shd w:val="clear" w:color="auto" w:fill="auto"/>
        </w:rPr>
        <w:t>5.本中心可以视采购具体情况，延长招标文件或者资格预审文件提供期限，并在财政部门指定的政府采购信息发布媒体及本中心网站上发布公告。</w:t>
      </w:r>
    </w:p>
    <w:p w14:paraId="2A78FE6A">
      <w:pPr>
        <w:pStyle w:val="29"/>
        <w:snapToGrid w:val="0"/>
        <w:spacing w:line="360" w:lineRule="exact"/>
        <w:ind w:firstLine="413" w:firstLineChars="196"/>
        <w:outlineLvl w:val="1"/>
        <w:rPr>
          <w:rFonts w:hint="eastAsia"/>
          <w:b/>
          <w:color w:val="auto"/>
          <w:highlight w:val="none"/>
          <w:shd w:val="clear" w:color="auto" w:fill="auto"/>
        </w:rPr>
      </w:pPr>
      <w:r>
        <w:rPr>
          <w:rFonts w:hint="eastAsia"/>
          <w:b/>
          <w:color w:val="auto"/>
          <w:highlight w:val="none"/>
          <w:shd w:val="clear" w:color="auto" w:fill="auto"/>
        </w:rPr>
        <w:t>三、投标文件的编制</w:t>
      </w:r>
    </w:p>
    <w:p w14:paraId="2EA06E7B">
      <w:pPr>
        <w:snapToGrid w:val="0"/>
        <w:spacing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（一）投标文件的组成</w:t>
      </w:r>
    </w:p>
    <w:p w14:paraId="77B38588">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color w:val="auto"/>
          <w:szCs w:val="21"/>
          <w:highlight w:val="none"/>
          <w:shd w:val="clear" w:color="auto" w:fill="auto"/>
        </w:rPr>
        <w:t>投标文件由资格文件、资信及商务文件、技术文件、投标报价文件</w:t>
      </w:r>
      <w:r>
        <w:rPr>
          <w:rFonts w:hint="eastAsia" w:ascii="宋体"/>
          <w:b/>
          <w:color w:val="auto"/>
          <w:szCs w:val="21"/>
          <w:highlight w:val="none"/>
          <w:shd w:val="clear" w:color="auto" w:fill="auto"/>
        </w:rPr>
        <w:t>四部份</w:t>
      </w:r>
      <w:r>
        <w:rPr>
          <w:rFonts w:hint="eastAsia" w:ascii="宋体"/>
          <w:color w:val="auto"/>
          <w:szCs w:val="21"/>
          <w:highlight w:val="none"/>
          <w:shd w:val="clear" w:color="auto" w:fill="auto"/>
        </w:rPr>
        <w:t>组成。</w:t>
      </w:r>
    </w:p>
    <w:p w14:paraId="56192265">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1.资格文件：</w:t>
      </w:r>
    </w:p>
    <w:p w14:paraId="711B0877">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14:paraId="00F5F170">
      <w:pPr>
        <w:pStyle w:val="29"/>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14:paraId="045D7716">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14:paraId="0F3515A1">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14:paraId="0F81AA1B">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14:paraId="31B9DA31">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14:paraId="7A93EB8F">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14:paraId="3D524EB3">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14:paraId="3F23DA1C">
      <w:pPr>
        <w:snapToGrid w:val="0"/>
        <w:spacing w:line="360" w:lineRule="exact"/>
        <w:ind w:firstLine="411" w:firstLineChars="196"/>
        <w:jc w:val="left"/>
        <w:rPr>
          <w:rFonts w:hint="eastAsia" w:hAnsi="宋体"/>
          <w:b/>
          <w:color w:val="auto"/>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14:paraId="60503B17">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2.资信及商务文件：</w:t>
      </w:r>
    </w:p>
    <w:p w14:paraId="416BC3CE">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（1）投标保证金的相关证明扫描件或其他电子文件（</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14:paraId="62D58FFA">
      <w:pPr>
        <w:snapToGrid w:val="0"/>
        <w:spacing w:line="360" w:lineRule="exact"/>
        <w:ind w:firstLine="413" w:firstLineChars="196"/>
        <w:jc w:val="left"/>
        <w:rPr>
          <w:rFonts w:hint="eastAsia" w:ascii="宋体" w:hAnsi="宋体"/>
          <w:color w:val="auto"/>
          <w:szCs w:val="21"/>
          <w:highlight w:val="none"/>
          <w:u w:val="none"/>
          <w:shd w:val="clear" w:color="auto" w:fill="auto"/>
        </w:rPr>
      </w:pPr>
      <w:r>
        <w:rPr>
          <w:rFonts w:hint="eastAsia" w:ascii="宋体" w:hAnsi="宋体"/>
          <w:b/>
          <w:color w:val="auto"/>
          <w:szCs w:val="21"/>
          <w:highlight w:val="none"/>
          <w:u w:val="none"/>
          <w:shd w:val="clear" w:color="auto" w:fill="auto"/>
        </w:rPr>
        <w:t>（2）投标声明书 (格式见第六章)（必须提供）</w:t>
      </w:r>
      <w:r>
        <w:rPr>
          <w:rFonts w:hint="eastAsia" w:ascii="宋体" w:hAnsi="宋体"/>
          <w:color w:val="auto"/>
          <w:szCs w:val="21"/>
          <w:highlight w:val="none"/>
          <w:u w:val="none"/>
          <w:shd w:val="clear" w:color="auto" w:fill="auto"/>
        </w:rPr>
        <w:t>；</w:t>
      </w:r>
    </w:p>
    <w:p w14:paraId="1167FA0F">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（3）法定代表人授权委托书和委托代理人身份证扫描件或其他电子文件（格式见第六章)（必须提供）</w:t>
      </w:r>
      <w:r>
        <w:rPr>
          <w:rFonts w:hint="eastAsia" w:ascii="宋体" w:hAnsi="宋体"/>
          <w:color w:val="auto"/>
          <w:szCs w:val="21"/>
          <w:highlight w:val="none"/>
          <w:shd w:val="clear" w:color="auto" w:fill="auto"/>
        </w:rPr>
        <w:t>；（格式见第六章)；</w:t>
      </w:r>
      <w:r>
        <w:rPr>
          <w:rFonts w:hint="eastAsia" w:ascii="宋体" w:hAnsi="宋体"/>
          <w:b/>
          <w:color w:val="auto"/>
          <w:szCs w:val="21"/>
          <w:highlight w:val="none"/>
          <w:shd w:val="clear" w:color="auto" w:fill="auto"/>
        </w:rPr>
        <w:t>当法定代表人参加投标时，必须提供法定代表人身份证扫描件或其他电子文件</w:t>
      </w:r>
      <w:r>
        <w:rPr>
          <w:rFonts w:hint="eastAsia" w:ascii="宋体" w:hAnsi="宋体"/>
          <w:color w:val="auto"/>
          <w:szCs w:val="21"/>
          <w:highlight w:val="none"/>
          <w:shd w:val="clear" w:color="auto" w:fill="auto"/>
        </w:rPr>
        <w:t>；</w:t>
      </w:r>
    </w:p>
    <w:p w14:paraId="5265204A">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14:paraId="4575CE87">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14:paraId="64D6B3AC">
      <w:pPr>
        <w:snapToGrid w:val="0"/>
        <w:spacing w:line="360" w:lineRule="exact"/>
        <w:ind w:firstLine="422"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14:paraId="70CC4C65">
      <w:pPr>
        <w:snapToGrid w:val="0"/>
        <w:spacing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14:paraId="443458E4">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b/>
          <w:color w:val="auto"/>
          <w:szCs w:val="21"/>
          <w:highlight w:val="none"/>
          <w:shd w:val="clear" w:color="auto" w:fill="auto"/>
          <w:lang w:val="en-US" w:eastAsia="zh-CN"/>
        </w:rPr>
        <w:t>8</w:t>
      </w:r>
      <w:r>
        <w:rPr>
          <w:rFonts w:hint="eastAsia" w:hAnsi="宋体"/>
          <w:b/>
          <w:color w:val="auto"/>
          <w:szCs w:val="21"/>
          <w:highlight w:val="none"/>
          <w:shd w:val="clear" w:color="auto" w:fill="auto"/>
        </w:rPr>
        <w:t>）商务响应表</w:t>
      </w:r>
      <w:r>
        <w:rPr>
          <w:rFonts w:hint="eastAsia" w:hAnsi="宋体"/>
          <w:color w:val="auto"/>
          <w:szCs w:val="21"/>
          <w:highlight w:val="none"/>
          <w:shd w:val="clear" w:color="auto" w:fill="auto"/>
        </w:rPr>
        <w:t>（格式见第六章）</w:t>
      </w:r>
      <w:r>
        <w:rPr>
          <w:rFonts w:hint="eastAsia" w:hAnsi="宋体"/>
          <w:b/>
          <w:color w:val="auto"/>
          <w:szCs w:val="21"/>
          <w:highlight w:val="none"/>
          <w:shd w:val="clear" w:color="auto" w:fill="auto"/>
        </w:rPr>
        <w:t>（</w:t>
      </w:r>
      <w:r>
        <w:rPr>
          <w:rFonts w:hint="eastAsia" w:hAnsi="宋体"/>
          <w:b/>
          <w:color w:val="auto"/>
          <w:szCs w:val="21"/>
          <w:highlight w:val="none"/>
          <w:u w:val="single"/>
          <w:shd w:val="clear" w:color="auto" w:fill="auto"/>
        </w:rPr>
        <w:t>必须提供</w:t>
      </w:r>
      <w:r>
        <w:rPr>
          <w:rFonts w:hint="eastAsia" w:hAnsi="宋体"/>
          <w:b/>
          <w:color w:val="auto"/>
          <w:szCs w:val="21"/>
          <w:highlight w:val="none"/>
          <w:shd w:val="clear" w:color="auto" w:fill="auto"/>
        </w:rPr>
        <w:t>）；</w:t>
      </w:r>
    </w:p>
    <w:p w14:paraId="43B8131A">
      <w:pPr>
        <w:snapToGrid w:val="0"/>
        <w:spacing w:line="360" w:lineRule="exact"/>
        <w:jc w:val="left"/>
        <w:rPr>
          <w:rFonts w:hint="eastAsia" w:hAnsi="宋体"/>
          <w:b/>
          <w:color w:val="auto"/>
          <w:szCs w:val="21"/>
          <w:highlight w:val="none"/>
          <w:shd w:val="clear" w:color="auto" w:fill="auto"/>
        </w:rPr>
      </w:pPr>
      <w:r>
        <w:rPr>
          <w:rFonts w:hint="eastAsia" w:hAnsi="宋体"/>
          <w:color w:val="auto"/>
          <w:highlight w:val="none"/>
          <w:shd w:val="clear" w:color="auto" w:fill="auto"/>
          <w:lang w:val="en-US" w:eastAsia="zh-CN"/>
        </w:rPr>
        <w:t xml:space="preserve">  </w:t>
      </w:r>
      <w:r>
        <w:rPr>
          <w:rFonts w:hint="eastAsia" w:hAnsi="宋体"/>
          <w:color w:val="auto"/>
          <w:highlight w:val="none"/>
          <w:shd w:val="clear" w:color="auto" w:fill="auto"/>
        </w:rPr>
        <w:t>▲</w:t>
      </w: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9</w:t>
      </w:r>
      <w:r>
        <w:rPr>
          <w:rFonts w:hint="eastAsia" w:hAnsi="宋体"/>
          <w:color w:val="auto"/>
          <w:szCs w:val="21"/>
          <w:highlight w:val="none"/>
          <w:shd w:val="clear" w:color="auto" w:fill="auto"/>
        </w:rPr>
        <w:t>）</w:t>
      </w:r>
      <w:r>
        <w:rPr>
          <w:rFonts w:hint="eastAsia" w:hAnsi="宋体"/>
          <w:b/>
          <w:color w:val="auto"/>
          <w:szCs w:val="21"/>
          <w:highlight w:val="none"/>
          <w:shd w:val="clear" w:color="auto" w:fill="auto"/>
        </w:rPr>
        <w:t>招标项目采购需求中要求必须提供的材料等；</w:t>
      </w:r>
    </w:p>
    <w:p w14:paraId="7AEA02B7">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10</w:t>
      </w:r>
      <w:r>
        <w:rPr>
          <w:rFonts w:hint="eastAsia" w:hAnsi="宋体"/>
          <w:color w:val="auto"/>
          <w:szCs w:val="21"/>
          <w:highlight w:val="none"/>
          <w:shd w:val="clear" w:color="auto" w:fill="auto"/>
        </w:rPr>
        <w:t>）具备法律、行政法规规定的其他条件的证明材料</w:t>
      </w:r>
      <w:r>
        <w:rPr>
          <w:rFonts w:hint="eastAsia" w:hAnsi="宋体"/>
          <w:b/>
          <w:color w:val="auto"/>
          <w:szCs w:val="21"/>
          <w:highlight w:val="none"/>
          <w:shd w:val="clear" w:color="auto" w:fill="auto"/>
        </w:rPr>
        <w:t>(如有规定,则必须提供)。</w:t>
      </w:r>
    </w:p>
    <w:p w14:paraId="47F9AC59">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bCs/>
          <w:color w:val="auto"/>
          <w:szCs w:val="21"/>
          <w:highlight w:val="none"/>
          <w:shd w:val="clear" w:color="auto" w:fill="auto"/>
        </w:rPr>
        <w:t xml:space="preserve">可作为投标人资信评分的资质证明材料（可选）  </w:t>
      </w:r>
    </w:p>
    <w:p w14:paraId="142DB486">
      <w:pPr>
        <w:snapToGrid w:val="0"/>
        <w:spacing w:line="360" w:lineRule="exact"/>
        <w:ind w:left="937" w:leftChars="196" w:hanging="525" w:hangingChars="250"/>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11</w:t>
      </w:r>
      <w:r>
        <w:rPr>
          <w:rFonts w:hint="eastAsia" w:hAnsi="宋体"/>
          <w:color w:val="auto"/>
          <w:szCs w:val="21"/>
          <w:highlight w:val="none"/>
          <w:shd w:val="clear" w:color="auto" w:fill="auto"/>
        </w:rPr>
        <w:t>）类似案例成功的业绩（投标人同类项目实施情况一览表、合同扫描件）；</w:t>
      </w:r>
    </w:p>
    <w:p w14:paraId="034F610D">
      <w:pPr>
        <w:snapToGrid w:val="0"/>
        <w:spacing w:line="360" w:lineRule="exact"/>
        <w:ind w:firstLine="422" w:firstLineChars="200"/>
        <w:jc w:val="left"/>
        <w:rPr>
          <w:rFonts w:hint="eastAsia" w:hAnsi="宋体"/>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2</w:t>
      </w: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其他特殊资质证书（如本地化服务能力等）；</w:t>
      </w:r>
    </w:p>
    <w:p w14:paraId="5AAE3601">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3</w:t>
      </w:r>
      <w:r>
        <w:rPr>
          <w:rFonts w:hint="eastAsia" w:hAnsi="宋体"/>
          <w:color w:val="auto"/>
          <w:szCs w:val="21"/>
          <w:highlight w:val="none"/>
          <w:shd w:val="clear" w:color="auto" w:fill="auto"/>
        </w:rPr>
        <w:t>）节能环保产品或政府强制采购节能产品清单证书</w:t>
      </w:r>
      <w:r>
        <w:rPr>
          <w:rFonts w:hint="eastAsia" w:hAnsi="宋体"/>
          <w:b/>
          <w:color w:val="auto"/>
          <w:szCs w:val="21"/>
          <w:highlight w:val="none"/>
          <w:shd w:val="clear" w:color="auto" w:fill="auto"/>
        </w:rPr>
        <w:t>；</w:t>
      </w:r>
    </w:p>
    <w:p w14:paraId="6C69DA48">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4</w:t>
      </w:r>
      <w:r>
        <w:rPr>
          <w:rFonts w:hint="eastAsia" w:hAnsi="宋体"/>
          <w:color w:val="auto"/>
          <w:szCs w:val="21"/>
          <w:highlight w:val="none"/>
          <w:shd w:val="clear" w:color="auto" w:fill="auto"/>
        </w:rPr>
        <w:t>）投标人质量管理和质量保证体系等方面的认证证书；</w:t>
      </w:r>
    </w:p>
    <w:p w14:paraId="1A261D5E">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5</w:t>
      </w:r>
      <w:r>
        <w:rPr>
          <w:rFonts w:hint="eastAsia" w:hAnsi="宋体"/>
          <w:color w:val="auto"/>
          <w:szCs w:val="21"/>
          <w:highlight w:val="none"/>
          <w:shd w:val="clear" w:color="auto" w:fill="auto"/>
        </w:rPr>
        <w:t>）投标人认为可以证明其能力或业绩的其他材料；</w:t>
      </w:r>
    </w:p>
    <w:p w14:paraId="16D457D0">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6</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p>
    <w:p w14:paraId="54406E23">
      <w:pPr>
        <w:adjustRightInd w:val="0"/>
        <w:snapToGrid w:val="0"/>
        <w:spacing w:line="440" w:lineRule="exact"/>
        <w:ind w:left="3368" w:leftChars="200" w:hanging="2948" w:hangingChars="1404"/>
        <w:jc w:val="left"/>
        <w:rPr>
          <w:rFonts w:hint="eastAsia" w:ascii="宋体" w:hAnsi="宋体"/>
          <w:color w:val="auto"/>
          <w:szCs w:val="21"/>
          <w:highlight w:val="none"/>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17</w:t>
      </w:r>
      <w:r>
        <w:rPr>
          <w:rFonts w:hint="eastAsia" w:hAnsi="宋体"/>
          <w:color w:val="auto"/>
          <w:szCs w:val="21"/>
          <w:highlight w:val="none"/>
          <w:shd w:val="clear" w:color="auto" w:fill="auto"/>
        </w:rPr>
        <w:t>）</w:t>
      </w:r>
      <w:r>
        <w:rPr>
          <w:rFonts w:hint="eastAsia" w:ascii="宋体" w:hAnsi="宋体"/>
          <w:color w:val="auto"/>
          <w:szCs w:val="21"/>
          <w:highlight w:val="none"/>
        </w:rPr>
        <w:t>中小企业声明函（格式见第六章，如有请提供）</w:t>
      </w:r>
      <w:r>
        <w:rPr>
          <w:rFonts w:hint="eastAsia" w:ascii="宋体" w:hAnsi="宋体"/>
          <w:color w:val="auto"/>
          <w:szCs w:val="21"/>
          <w:highlight w:val="none"/>
          <w:lang w:eastAsia="zh-CN"/>
        </w:rPr>
        <w:t>；</w:t>
      </w:r>
    </w:p>
    <w:p w14:paraId="4FE967F4">
      <w:pPr>
        <w:adjustRightInd w:val="0"/>
        <w:snapToGrid w:val="0"/>
        <w:spacing w:line="440" w:lineRule="exact"/>
        <w:ind w:left="3368" w:leftChars="200" w:hanging="2948" w:hangingChars="1404"/>
        <w:jc w:val="left"/>
        <w:rPr>
          <w:rFonts w:hint="eastAsia" w:ascii="宋体" w:hAnsi="宋体" w:eastAsia="宋体"/>
          <w:color w:val="auto"/>
          <w:szCs w:val="21"/>
          <w:highlight w:val="none"/>
          <w:lang w:eastAsia="zh-CN"/>
        </w:rPr>
      </w:pPr>
      <w:r>
        <w:rPr>
          <w:rFonts w:hint="eastAsia" w:ascii="宋体" w:hAnsi="宋体"/>
          <w:color w:val="auto"/>
          <w:szCs w:val="21"/>
          <w:highlight w:val="none"/>
        </w:rPr>
        <w:t>（18）</w:t>
      </w:r>
      <w:r>
        <w:rPr>
          <w:rFonts w:hint="eastAsia" w:hAnsi="宋体" w:cs="Times New Roman"/>
          <w:color w:val="auto"/>
          <w:kern w:val="2"/>
          <w:sz w:val="21"/>
          <w:szCs w:val="21"/>
          <w:highlight w:val="none"/>
        </w:rPr>
        <w:t>关于符合本国产品标准的声明函（格式见第六章，如有请提供）</w:t>
      </w:r>
      <w:r>
        <w:rPr>
          <w:rFonts w:hint="eastAsia" w:hAnsi="宋体" w:cs="Times New Roman"/>
          <w:color w:val="auto"/>
          <w:kern w:val="2"/>
          <w:sz w:val="21"/>
          <w:szCs w:val="21"/>
          <w:highlight w:val="none"/>
          <w:lang w:eastAsia="zh-CN"/>
        </w:rPr>
        <w:t>；</w:t>
      </w:r>
    </w:p>
    <w:p w14:paraId="3D9C10EA">
      <w:pPr>
        <w:snapToGrid w:val="0"/>
        <w:spacing w:line="360" w:lineRule="exact"/>
        <w:ind w:firstLine="411" w:firstLineChars="196"/>
        <w:jc w:val="left"/>
        <w:rPr>
          <w:rFonts w:hint="eastAsia" w:hAnsi="宋体" w:cs="Times New Roman"/>
          <w:color w:val="auto"/>
          <w:kern w:val="2"/>
          <w:sz w:val="21"/>
          <w:szCs w:val="21"/>
          <w:highlight w:val="none"/>
        </w:rPr>
      </w:pPr>
      <w:r>
        <w:rPr>
          <w:rFonts w:hint="eastAsia" w:hAnsi="宋体" w:cs="Times New Roman"/>
          <w:color w:val="auto"/>
          <w:kern w:val="2"/>
          <w:sz w:val="21"/>
          <w:szCs w:val="21"/>
          <w:highlight w:val="none"/>
        </w:rPr>
        <w:t>（1</w:t>
      </w:r>
      <w:r>
        <w:rPr>
          <w:rFonts w:hint="eastAsia" w:hAnsi="宋体" w:cs="Times New Roman"/>
          <w:color w:val="auto"/>
          <w:kern w:val="2"/>
          <w:sz w:val="21"/>
          <w:szCs w:val="21"/>
          <w:highlight w:val="none"/>
          <w:lang w:val="en-US" w:eastAsia="zh-CN"/>
        </w:rPr>
        <w:t>9</w:t>
      </w:r>
      <w:r>
        <w:rPr>
          <w:rFonts w:hint="eastAsia" w:hAnsi="宋体" w:cs="Times New Roman"/>
          <w:color w:val="auto"/>
          <w:kern w:val="2"/>
          <w:sz w:val="21"/>
          <w:szCs w:val="21"/>
          <w:highlight w:val="none"/>
        </w:rPr>
        <w:t>）</w:t>
      </w:r>
      <w:r>
        <w:rPr>
          <w:rFonts w:hint="eastAsia" w:hAnsi="宋体"/>
          <w:color w:val="auto"/>
          <w:szCs w:val="21"/>
          <w:highlight w:val="none"/>
          <w:shd w:val="clear" w:color="auto" w:fill="auto"/>
        </w:rPr>
        <w:t>投标人情况介绍</w:t>
      </w:r>
      <w:r>
        <w:rPr>
          <w:rFonts w:hint="eastAsia" w:hAnsi="宋体" w:cs="Times New Roman"/>
          <w:color w:val="auto"/>
          <w:kern w:val="2"/>
          <w:sz w:val="21"/>
          <w:szCs w:val="21"/>
          <w:highlight w:val="none"/>
        </w:rPr>
        <w:t>。</w:t>
      </w:r>
    </w:p>
    <w:p w14:paraId="0A8A0254">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3.技术文件</w:t>
      </w:r>
    </w:p>
    <w:p w14:paraId="19851EB8">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（1）对本项目系统总体要求的理解；</w:t>
      </w:r>
    </w:p>
    <w:p w14:paraId="233B2F44">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b/>
          <w:color w:val="auto"/>
          <w:szCs w:val="21"/>
          <w:highlight w:val="none"/>
          <w:shd w:val="clear" w:color="auto" w:fill="auto"/>
        </w:rPr>
        <w:t>技术响应表（</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p>
    <w:p w14:paraId="1A8991E6">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（3）设备配置清单（均不含报价）；</w:t>
      </w:r>
    </w:p>
    <w:p w14:paraId="22285F01">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b/>
          <w:color w:val="auto"/>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w:t>
      </w:r>
      <w:r>
        <w:rPr>
          <w:rFonts w:hint="eastAsia" w:ascii="宋体" w:hAnsi="宋体"/>
          <w:b/>
          <w:color w:val="auto"/>
          <w:szCs w:val="21"/>
          <w:highlight w:val="none"/>
          <w:u w:val="single"/>
          <w:shd w:val="clear" w:color="auto" w:fill="auto"/>
        </w:rPr>
        <w:t>格式自拟,必须提供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14:paraId="56EE17FD">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（5）投标人拥有主要装备和检测设施的情况和现状（格式自拟）及项目实施人员一览表； </w:t>
      </w:r>
    </w:p>
    <w:p w14:paraId="062783C1">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（6）优惠条件：投标人承诺给予招标人的各种优惠条件，包括备品备件、专用耗材、售后服务等方面的优惠；</w:t>
      </w:r>
    </w:p>
    <w:p w14:paraId="2F26B0EE">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（7）投标人对本项目的合理化建议和改进措施；</w:t>
      </w:r>
    </w:p>
    <w:p w14:paraId="2F770C0D">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（8）投标人需要说明的其他文件和说明（格式略）；</w:t>
      </w:r>
    </w:p>
    <w:p w14:paraId="10D0987F">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▲（9）招标项目采购需求中要求必须提供的材料。</w:t>
      </w:r>
    </w:p>
    <w:p w14:paraId="0175C241">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4.报价文件：</w:t>
      </w:r>
    </w:p>
    <w:p w14:paraId="4515F860">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（1）投标函（</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 xml:space="preserve">格式见第六章）； </w:t>
      </w:r>
    </w:p>
    <w:p w14:paraId="56C29423">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（2）投标报价明细表（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格式见第六章）；</w:t>
      </w:r>
    </w:p>
    <w:p w14:paraId="7647541D">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（3）投标人针对报价需要说明的其他文件和说明（格式自拟）；</w:t>
      </w:r>
    </w:p>
    <w:p w14:paraId="3E5628F8">
      <w:pPr>
        <w:tabs>
          <w:tab w:val="left" w:pos="3870"/>
          <w:tab w:val="left" w:pos="4085"/>
        </w:tabs>
        <w:snapToGrid w:val="0"/>
        <w:spacing w:line="360" w:lineRule="exact"/>
        <w:ind w:firstLine="420" w:firstLineChars="200"/>
        <w:jc w:val="left"/>
        <w:rPr>
          <w:rFonts w:hint="eastAsia" w:ascii="宋体" w:hAnsi="宋体" w:eastAsia="等线"/>
          <w:color w:val="auto"/>
          <w:szCs w:val="21"/>
          <w:highlight w:val="none"/>
          <w:shd w:val="clear" w:color="auto" w:fill="auto"/>
        </w:rPr>
      </w:pPr>
      <w:r>
        <w:rPr>
          <w:rFonts w:hint="eastAsia" w:ascii="宋体" w:hAnsi="宋体"/>
          <w:color w:val="auto"/>
          <w:szCs w:val="21"/>
          <w:highlight w:val="none"/>
          <w:shd w:val="clear" w:color="auto" w:fill="auto"/>
        </w:rPr>
        <w:t>（4）开标一览表（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rPr>
        <w:t>,格式见第六章）。</w:t>
      </w:r>
    </w:p>
    <w:p w14:paraId="70FB9C38">
      <w:pPr>
        <w:pStyle w:val="46"/>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b/>
          <w:bCs/>
          <w:color w:val="auto"/>
          <w:szCs w:val="21"/>
          <w:highlight w:val="none"/>
          <w:shd w:val="clear" w:color="auto" w:fill="auto"/>
        </w:rPr>
        <w:t>注：法定代表人授权委托书、投标声明书、投标函、开标一览表必须按</w:t>
      </w:r>
      <w:r>
        <w:rPr>
          <w:rFonts w:hint="eastAsia" w:ascii="宋体" w:hAnsi="宋体"/>
          <w:b/>
          <w:color w:val="auto"/>
          <w:szCs w:val="21"/>
          <w:highlight w:val="none"/>
          <w:shd w:val="clear" w:color="auto" w:fill="auto"/>
        </w:rPr>
        <w:t>招标文件格式要求</w:t>
      </w:r>
      <w:r>
        <w:rPr>
          <w:rFonts w:hint="default" w:ascii="宋体" w:hAnsi="宋体"/>
          <w:b/>
          <w:color w:val="auto"/>
          <w:szCs w:val="21"/>
          <w:highlight w:val="none"/>
          <w:shd w:val="clear" w:color="auto" w:fill="auto"/>
        </w:rPr>
        <w:t>签字或签章</w:t>
      </w:r>
      <w:r>
        <w:rPr>
          <w:rFonts w:hint="eastAsia" w:ascii="宋体" w:hAnsi="宋体"/>
          <w:b/>
          <w:bCs/>
          <w:color w:val="auto"/>
          <w:szCs w:val="21"/>
          <w:highlight w:val="none"/>
          <w:shd w:val="clear" w:color="auto" w:fill="auto"/>
        </w:rPr>
        <w:t>并加盖单位公章。</w:t>
      </w:r>
    </w:p>
    <w:p w14:paraId="71B61A40">
      <w:pPr>
        <w:snapToGrid w:val="0"/>
        <w:spacing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（二）投标文件的语言及计量</w:t>
      </w:r>
    </w:p>
    <w:p w14:paraId="166ADB51">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▲1投标文件以及投标方与招标方就有关投标事宜的所有来往函电，均应以中文汉语书写。除签名、盖章、专用名称等特殊情形外，以中文汉语以外的文字表述的投标文件视同未提供。</w:t>
      </w:r>
    </w:p>
    <w:p w14:paraId="495B250B">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▲2投标计量单位，招标文件已有明确规定的，使用招标文件规定的计量单位；招标文件没有规定的，应采用中华人民共和国法定计量单位（货币单位：人民币元），否则视同未响应。</w:t>
      </w:r>
    </w:p>
    <w:p w14:paraId="13AFF344">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（三）投标报价</w:t>
      </w:r>
    </w:p>
    <w:p w14:paraId="0AEFF963">
      <w:pPr>
        <w:pStyle w:val="29"/>
        <w:snapToGrid w:val="0"/>
        <w:spacing w:line="360" w:lineRule="exact"/>
        <w:ind w:firstLine="420" w:firstLineChars="200"/>
        <w:jc w:val="left"/>
        <w:rPr>
          <w:rFonts w:hAnsi="宋体"/>
          <w:color w:val="auto"/>
          <w:highlight w:val="none"/>
          <w:shd w:val="clear" w:color="auto" w:fill="auto"/>
        </w:rPr>
      </w:pPr>
      <w:r>
        <w:rPr>
          <w:rFonts w:hint="eastAsia" w:hAnsi="宋体"/>
          <w:color w:val="auto"/>
          <w:highlight w:val="none"/>
          <w:shd w:val="clear" w:color="auto" w:fill="auto"/>
        </w:rPr>
        <w:t>1.投标报价应按招标文件中相关附表格式填写。</w:t>
      </w:r>
      <w:r>
        <w:rPr>
          <w:rFonts w:hint="eastAsia" w:hAnsi="宋体"/>
          <w:b/>
          <w:bCs/>
          <w:color w:val="auto"/>
          <w:highlight w:val="none"/>
          <w:shd w:val="clear" w:color="auto" w:fill="auto"/>
        </w:rPr>
        <w:t>投标人可就《项目采购需求》中所有分标的货物和服务内容按分标分别作完整唯一报价，也可对某个分标或几个分标的货物和服务内容按分标分别作完整唯一报价。</w:t>
      </w:r>
    </w:p>
    <w:p w14:paraId="6C550745">
      <w:pPr>
        <w:pStyle w:val="29"/>
        <w:snapToGrid w:val="0"/>
        <w:spacing w:line="360" w:lineRule="exact"/>
        <w:ind w:firstLine="420" w:firstLineChars="200"/>
        <w:jc w:val="left"/>
        <w:rPr>
          <w:rFonts w:hint="eastAsia" w:hAnsi="宋体"/>
          <w:color w:val="auto"/>
          <w:highlight w:val="none"/>
          <w:shd w:val="clear" w:color="auto" w:fill="auto"/>
        </w:rPr>
      </w:pPr>
      <w:r>
        <w:rPr>
          <w:rFonts w:hint="eastAsia" w:hAnsi="宋体"/>
          <w:color w:val="auto"/>
          <w:highlight w:val="none"/>
          <w:shd w:val="clear" w:color="auto" w:fill="auto"/>
        </w:rPr>
        <w:t>2.投标报价是履行合同的最终价格，应包括货款、标准附件、备品备件、专用工具、包装、运输、装卸、保险、税金、货到就位以及安装、调试、培训、保修等一切税金和费用。</w:t>
      </w:r>
    </w:p>
    <w:p w14:paraId="6EA6CEDB">
      <w:pPr>
        <w:tabs>
          <w:tab w:val="left" w:pos="52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3.投标文件只允许有一个报价，有选择的或有条件的报价将不予接受。</w:t>
      </w:r>
    </w:p>
    <w:p w14:paraId="08CF6D76">
      <w:pPr>
        <w:pStyle w:val="14"/>
        <w:widowControl w:val="0"/>
        <w:tabs>
          <w:tab w:val="clear" w:pos="454"/>
        </w:tabs>
        <w:snapToGrid w:val="0"/>
        <w:spacing w:before="156" w:beforeLines="50" w:after="120" w:line="360" w:lineRule="exact"/>
        <w:ind w:left="0" w:firstLine="413" w:firstLineChars="196"/>
        <w:outlineLvl w:val="0"/>
        <w:rPr>
          <w:rFonts w:hint="eastAsia"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（四）投标文件的有效期</w:t>
      </w:r>
    </w:p>
    <w:p w14:paraId="14001FF0">
      <w:pPr>
        <w:pStyle w:val="14"/>
        <w:widowControl w:val="0"/>
        <w:tabs>
          <w:tab w:val="clear" w:pos="454"/>
        </w:tabs>
        <w:snapToGrid w:val="0"/>
        <w:spacing w:after="120" w:line="360" w:lineRule="exact"/>
        <w:ind w:left="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1.自投标截止日起</w:t>
      </w:r>
      <w:r>
        <w:rPr>
          <w:rFonts w:hint="eastAsia" w:ascii="宋体" w:hAnsi="宋体"/>
          <w:b/>
          <w:color w:val="auto"/>
          <w:sz w:val="21"/>
          <w:szCs w:val="21"/>
          <w:highlight w:val="none"/>
          <w:u w:val="single"/>
          <w:shd w:val="clear" w:color="auto" w:fill="auto"/>
        </w:rPr>
        <w:t>六十日</w:t>
      </w:r>
      <w:r>
        <w:rPr>
          <w:rFonts w:hint="eastAsia" w:ascii="宋体" w:hAnsi="宋体"/>
          <w:color w:val="auto"/>
          <w:sz w:val="21"/>
          <w:szCs w:val="21"/>
          <w:highlight w:val="none"/>
          <w:shd w:val="clear" w:color="auto" w:fill="auto"/>
        </w:rPr>
        <w:t>投标文件应保持有效。有效期不足的投标文件将被拒绝。</w:t>
      </w:r>
    </w:p>
    <w:p w14:paraId="164CADF3">
      <w:pPr>
        <w:pStyle w:val="14"/>
        <w:widowControl w:val="0"/>
        <w:tabs>
          <w:tab w:val="clear" w:pos="454"/>
        </w:tabs>
        <w:snapToGrid w:val="0"/>
        <w:spacing w:after="120" w:line="360" w:lineRule="exact"/>
        <w:ind w:left="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2.在特殊情况下，招标人可与投标人协商延长投标书的有效期，这种要求和答复均以书面形式进行。</w:t>
      </w:r>
    </w:p>
    <w:p w14:paraId="5E7B90F1">
      <w:pPr>
        <w:snapToGrid w:val="0"/>
        <w:spacing w:line="360" w:lineRule="exact"/>
        <w:ind w:firstLine="420" w:firstLineChars="200"/>
        <w:jc w:val="left"/>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3.投标人可拒绝接受延期要求而不会导致投标保证金被没收。同意延长有效期的投标人需要相应延长投标保证金的有效期，但不能修改投标文件。</w:t>
      </w:r>
      <w:r>
        <w:rPr>
          <w:rFonts w:hint="eastAsia" w:ascii="宋体" w:hAnsi="宋体"/>
          <w:b/>
          <w:color w:val="auto"/>
          <w:szCs w:val="21"/>
          <w:highlight w:val="none"/>
          <w:shd w:val="clear" w:color="auto" w:fill="auto"/>
        </w:rPr>
        <w:t xml:space="preserve"> </w:t>
      </w:r>
    </w:p>
    <w:p w14:paraId="4B820286">
      <w:pPr>
        <w:snapToGrid w:val="0"/>
        <w:spacing w:line="360" w:lineRule="exact"/>
        <w:ind w:firstLine="420" w:firstLineChars="200"/>
        <w:jc w:val="left"/>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4.中标人的投标文件自开标之日起至合同履行完毕止均应保持有效。</w:t>
      </w:r>
    </w:p>
    <w:p w14:paraId="1A547553">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（五）投标保证金</w:t>
      </w:r>
    </w:p>
    <w:p w14:paraId="5D0335ED">
      <w:pPr>
        <w:pStyle w:val="29"/>
        <w:spacing w:line="420" w:lineRule="exact"/>
        <w:ind w:left="840" w:leftChars="200" w:hanging="420" w:hangingChars="200"/>
        <w:rPr>
          <w:rFonts w:hint="eastAsia" w:hAnsi="宋体"/>
          <w:color w:val="auto"/>
          <w:highlight w:val="none"/>
          <w:shd w:val="clear" w:color="auto" w:fill="auto"/>
        </w:rPr>
      </w:pPr>
      <w:r>
        <w:rPr>
          <w:rFonts w:hint="eastAsia" w:hAnsi="宋体"/>
          <w:color w:val="auto"/>
          <w:highlight w:val="none"/>
          <w:shd w:val="clear" w:color="auto" w:fill="auto"/>
        </w:rPr>
        <w:t>1. 投标保证金应用人民币，投标人须按规定提交投标保证金。否则，其投标将被拒绝。</w:t>
      </w:r>
    </w:p>
    <w:p w14:paraId="68739929">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2.保证金交纳形式：</w:t>
      </w:r>
      <w:r>
        <w:rPr>
          <w:rFonts w:hint="eastAsia" w:ascii="宋体" w:hAnsi="宋体"/>
          <w:color w:val="auto"/>
          <w:highlight w:val="none"/>
          <w:shd w:val="clear" w:color="auto" w:fill="auto"/>
          <w:lang w:eastAsia="zh-CN"/>
        </w:rPr>
        <w:t>支票、汇票、本票、金融机构、担保机构</w:t>
      </w:r>
      <w:r>
        <w:rPr>
          <w:rFonts w:ascii="宋体" w:hAnsi="宋体"/>
          <w:color w:val="auto"/>
          <w:highlight w:val="none"/>
          <w:shd w:val="clear" w:color="auto" w:fill="auto"/>
        </w:rPr>
        <w:t>出具的保函等非现金形式</w:t>
      </w:r>
      <w:r>
        <w:rPr>
          <w:rFonts w:hint="eastAsia" w:ascii="宋体" w:hAnsi="宋体"/>
          <w:color w:val="auto"/>
          <w:szCs w:val="21"/>
          <w:highlight w:val="none"/>
          <w:shd w:val="clear" w:color="auto" w:fill="auto"/>
        </w:rPr>
        <w:t>。</w:t>
      </w:r>
    </w:p>
    <w:p w14:paraId="20EE4A93">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ascii="宋体" w:hAnsi="宋体"/>
          <w:color w:val="auto"/>
          <w:szCs w:val="21"/>
          <w:highlight w:val="none"/>
          <w:shd w:val="clear" w:color="auto" w:fill="auto"/>
        </w:rPr>
        <w:t xml:space="preserve"> 投标人应按本须知</w:t>
      </w:r>
      <w:r>
        <w:rPr>
          <w:rFonts w:hint="eastAsia" w:ascii="宋体" w:hAnsi="宋体"/>
          <w:color w:val="auto"/>
          <w:szCs w:val="21"/>
          <w:highlight w:val="none"/>
          <w:shd w:val="clear" w:color="auto" w:fill="auto"/>
        </w:rPr>
        <w:t>及</w:t>
      </w:r>
      <w:r>
        <w:rPr>
          <w:rFonts w:ascii="宋体" w:hAnsi="宋体"/>
          <w:color w:val="auto"/>
          <w:szCs w:val="21"/>
          <w:highlight w:val="none"/>
          <w:shd w:val="clear" w:color="auto" w:fill="auto"/>
        </w:rPr>
        <w:t>招标公告中所明确的开户名称、开户银行、账号，于投标截止前交到本中心账户上（投标人交纳投标保证金时应充分考虑保证金到达本中心账户上的</w:t>
      </w:r>
      <w:r>
        <w:rPr>
          <w:rFonts w:hint="eastAsia" w:ascii="宋体" w:hAnsi="宋体"/>
          <w:color w:val="auto"/>
          <w:szCs w:val="21"/>
          <w:highlight w:val="none"/>
          <w:shd w:val="clear" w:color="auto" w:fill="auto"/>
        </w:rPr>
        <w:t>清算</w:t>
      </w:r>
      <w:r>
        <w:rPr>
          <w:rFonts w:ascii="宋体" w:hAnsi="宋体"/>
          <w:color w:val="auto"/>
          <w:szCs w:val="21"/>
          <w:highlight w:val="none"/>
          <w:shd w:val="clear" w:color="auto" w:fill="auto"/>
        </w:rPr>
        <w:t>时间）。</w:t>
      </w:r>
    </w:p>
    <w:p w14:paraId="5BE7CBF1">
      <w:pPr>
        <w:snapToGrid w:val="0"/>
        <w:spacing w:line="360" w:lineRule="exact"/>
        <w:jc w:val="left"/>
        <w:rPr>
          <w:rFonts w:hint="eastAsia" w:ascii="宋体" w:hAnsi="宋体"/>
          <w:color w:val="auto"/>
          <w:szCs w:val="21"/>
          <w:highlight w:val="none"/>
          <w:shd w:val="clear" w:color="auto" w:fill="auto"/>
        </w:rPr>
      </w:pPr>
      <w:r>
        <w:rPr>
          <w:rFonts w:hint="eastAsia"/>
          <w:b/>
          <w:color w:val="auto"/>
          <w:highlight w:val="none"/>
          <w:u w:val="single"/>
          <w:shd w:val="clear" w:color="auto" w:fill="auto"/>
        </w:rPr>
        <w:t>本中心财务（</w:t>
      </w:r>
      <w:r>
        <w:rPr>
          <w:b/>
          <w:color w:val="auto"/>
          <w:highlight w:val="none"/>
          <w:u w:val="single"/>
          <w:shd w:val="clear" w:color="auto" w:fill="auto"/>
        </w:rPr>
        <w:t>地址：</w:t>
      </w:r>
    </w:p>
    <w:p w14:paraId="5DC42147">
      <w:pPr>
        <w:pStyle w:val="29"/>
        <w:spacing w:line="420" w:lineRule="exact"/>
        <w:ind w:left="1" w:firstLine="631" w:firstLineChars="349"/>
        <w:rPr>
          <w:rFonts w:hint="eastAsia"/>
          <w:b/>
          <w:color w:val="auto"/>
          <w:sz w:val="18"/>
          <w:szCs w:val="18"/>
          <w:highlight w:val="none"/>
          <w:shd w:val="clear" w:color="auto" w:fill="auto"/>
        </w:rPr>
      </w:pPr>
      <w:r>
        <w:rPr>
          <w:rFonts w:hint="eastAsia" w:hAnsi="宋体"/>
          <w:b/>
          <w:color w:val="auto"/>
          <w:sz w:val="18"/>
          <w:szCs w:val="18"/>
          <w:highlight w:val="none"/>
          <w:shd w:val="clear" w:color="auto" w:fill="auto"/>
        </w:rPr>
        <w:t>注：①</w:t>
      </w:r>
      <w:r>
        <w:rPr>
          <w:rFonts w:hint="eastAsia"/>
          <w:b/>
          <w:color w:val="auto"/>
          <w:sz w:val="18"/>
          <w:szCs w:val="18"/>
          <w:highlight w:val="none"/>
          <w:shd w:val="clear" w:color="auto" w:fill="auto"/>
        </w:rPr>
        <w:t>办理投标保证金手续时，请务必在保证金凭据上注明或写明项目名称及项目编号，以免耽误投标。</w:t>
      </w:r>
    </w:p>
    <w:p w14:paraId="2D6B1225">
      <w:pPr>
        <w:snapToGrid w:val="0"/>
        <w:spacing w:line="360" w:lineRule="exact"/>
        <w:ind w:firstLine="985" w:firstLineChars="545"/>
        <w:jc w:val="left"/>
        <w:rPr>
          <w:rFonts w:hint="eastAsia" w:hAnsi="宋体"/>
          <w:b/>
          <w:color w:val="auto"/>
          <w:sz w:val="18"/>
          <w:szCs w:val="18"/>
          <w:highlight w:val="none"/>
          <w:shd w:val="clear" w:color="auto" w:fill="auto"/>
        </w:rPr>
      </w:pPr>
      <w:r>
        <w:rPr>
          <w:rFonts w:hint="eastAsia" w:hAnsi="宋体"/>
          <w:b/>
          <w:color w:val="auto"/>
          <w:sz w:val="18"/>
          <w:szCs w:val="18"/>
          <w:highlight w:val="none"/>
          <w:shd w:val="clear" w:color="auto" w:fill="auto"/>
        </w:rPr>
        <w:t>②</w:t>
      </w:r>
      <w:r>
        <w:rPr>
          <w:rFonts w:hint="eastAsia" w:ascii="宋体" w:hAnsi="宋体"/>
          <w:b/>
          <w:color w:val="auto"/>
          <w:sz w:val="18"/>
          <w:szCs w:val="18"/>
          <w:highlight w:val="none"/>
          <w:shd w:val="clear" w:color="auto" w:fill="auto"/>
        </w:rPr>
        <w:t>未中标人的投标保证金在中标通知书发出后4个工作日内退还，</w:t>
      </w:r>
      <w:r>
        <w:rPr>
          <w:rFonts w:hint="eastAsia" w:hAnsi="宋体"/>
          <w:b/>
          <w:color w:val="auto"/>
          <w:sz w:val="18"/>
          <w:szCs w:val="18"/>
          <w:highlight w:val="none"/>
          <w:shd w:val="clear" w:color="auto" w:fill="auto"/>
        </w:rPr>
        <w:t>不计利息。</w:t>
      </w:r>
    </w:p>
    <w:p w14:paraId="7C4548C6">
      <w:pPr>
        <w:snapToGrid w:val="0"/>
        <w:spacing w:line="360" w:lineRule="exact"/>
        <w:ind w:firstLine="990" w:firstLineChars="548"/>
        <w:jc w:val="left"/>
        <w:rPr>
          <w:rFonts w:hint="eastAsia" w:ascii="宋体" w:hAnsi="宋体"/>
          <w:b/>
          <w:color w:val="auto"/>
          <w:sz w:val="18"/>
          <w:szCs w:val="18"/>
          <w:highlight w:val="none"/>
          <w:shd w:val="clear" w:color="auto" w:fill="auto"/>
        </w:rPr>
      </w:pPr>
      <w:r>
        <w:rPr>
          <w:rFonts w:hint="eastAsia" w:hAnsi="宋体"/>
          <w:b/>
          <w:color w:val="auto"/>
          <w:sz w:val="18"/>
          <w:szCs w:val="18"/>
          <w:highlight w:val="none"/>
          <w:shd w:val="clear" w:color="auto" w:fill="auto"/>
        </w:rPr>
        <w:t>③</w:t>
      </w:r>
      <w:r>
        <w:rPr>
          <w:rFonts w:hint="eastAsia" w:ascii="宋体" w:hAnsi="宋体"/>
          <w:b/>
          <w:color w:val="auto"/>
          <w:spacing w:val="-4"/>
          <w:sz w:val="18"/>
          <w:szCs w:val="18"/>
          <w:highlight w:val="none"/>
          <w:shd w:val="clear" w:color="auto" w:fill="auto"/>
        </w:rPr>
        <w:t>中标人的</w:t>
      </w:r>
      <w:r>
        <w:rPr>
          <w:rFonts w:ascii="宋体" w:hAnsi="宋体"/>
          <w:b/>
          <w:color w:val="auto"/>
          <w:spacing w:val="-4"/>
          <w:sz w:val="18"/>
          <w:szCs w:val="18"/>
          <w:highlight w:val="none"/>
          <w:shd w:val="clear" w:color="auto" w:fill="auto"/>
        </w:rPr>
        <w:t>投标保证金自政府采购合同签订之日起</w:t>
      </w:r>
      <w:r>
        <w:rPr>
          <w:rFonts w:hint="eastAsia" w:ascii="宋体" w:hAnsi="宋体"/>
          <w:b/>
          <w:color w:val="auto"/>
          <w:spacing w:val="-4"/>
          <w:sz w:val="18"/>
          <w:szCs w:val="18"/>
          <w:highlight w:val="none"/>
          <w:shd w:val="clear" w:color="auto" w:fill="auto"/>
        </w:rPr>
        <w:t>4个工作日</w:t>
      </w:r>
      <w:r>
        <w:rPr>
          <w:rFonts w:ascii="宋体" w:hAnsi="宋体"/>
          <w:b/>
          <w:color w:val="auto"/>
          <w:spacing w:val="-4"/>
          <w:sz w:val="18"/>
          <w:szCs w:val="18"/>
          <w:highlight w:val="none"/>
          <w:shd w:val="clear" w:color="auto" w:fill="auto"/>
        </w:rPr>
        <w:t>内</w:t>
      </w:r>
      <w:r>
        <w:rPr>
          <w:rFonts w:hint="eastAsia" w:ascii="宋体" w:hAnsi="宋体"/>
          <w:b/>
          <w:color w:val="auto"/>
          <w:spacing w:val="-4"/>
          <w:sz w:val="18"/>
          <w:szCs w:val="18"/>
          <w:highlight w:val="none"/>
          <w:shd w:val="clear" w:color="auto" w:fill="auto"/>
        </w:rPr>
        <w:t>（合同签订后送达本中心)后</w:t>
      </w:r>
      <w:r>
        <w:rPr>
          <w:rFonts w:ascii="宋体" w:hAnsi="宋体"/>
          <w:b/>
          <w:color w:val="auto"/>
          <w:spacing w:val="-4"/>
          <w:sz w:val="18"/>
          <w:szCs w:val="18"/>
          <w:highlight w:val="none"/>
          <w:shd w:val="clear" w:color="auto" w:fill="auto"/>
        </w:rPr>
        <w:t>退还</w:t>
      </w:r>
      <w:r>
        <w:rPr>
          <w:rFonts w:hint="eastAsia" w:ascii="宋体" w:hAnsi="宋体"/>
          <w:b/>
          <w:color w:val="auto"/>
          <w:spacing w:val="-4"/>
          <w:sz w:val="18"/>
          <w:szCs w:val="18"/>
          <w:highlight w:val="none"/>
          <w:shd w:val="clear" w:color="auto" w:fill="auto"/>
        </w:rPr>
        <w:t>，不计利息。</w:t>
      </w:r>
    </w:p>
    <w:p w14:paraId="10E6DDAE">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4. </w:t>
      </w:r>
      <w:r>
        <w:rPr>
          <w:rFonts w:ascii="宋体" w:hAnsi="宋体" w:cs="宋体"/>
          <w:color w:val="auto"/>
          <w:kern w:val="0"/>
          <w:szCs w:val="21"/>
          <w:highlight w:val="none"/>
          <w:shd w:val="clear" w:color="auto" w:fill="auto"/>
        </w:rPr>
        <w:t>中标人应在中标通知书发出</w:t>
      </w:r>
      <w:r>
        <w:rPr>
          <w:rFonts w:hint="eastAsia" w:ascii="宋体" w:hAnsi="宋体" w:cs="宋体"/>
          <w:color w:val="auto"/>
          <w:kern w:val="0"/>
          <w:szCs w:val="21"/>
          <w:highlight w:val="none"/>
          <w:shd w:val="clear" w:color="auto" w:fill="auto"/>
        </w:rPr>
        <w:t>之日起</w:t>
      </w:r>
      <w:r>
        <w:rPr>
          <w:rFonts w:hint="eastAsia" w:ascii="宋体" w:hAnsi="宋体"/>
          <w:color w:val="auto"/>
          <w:szCs w:val="21"/>
          <w:highlight w:val="none"/>
          <w:u w:val="single"/>
          <w:shd w:val="clear" w:color="auto" w:fill="auto"/>
        </w:rPr>
        <w:t>25</w:t>
      </w:r>
      <w:r>
        <w:rPr>
          <w:rFonts w:hint="eastAsia" w:ascii="宋体" w:hAnsi="宋体"/>
          <w:color w:val="auto"/>
          <w:szCs w:val="21"/>
          <w:highlight w:val="none"/>
          <w:shd w:val="clear" w:color="auto" w:fill="auto"/>
        </w:rPr>
        <w:t>日内与采购人签订合同。</w:t>
      </w:r>
      <w:r>
        <w:rPr>
          <w:rFonts w:hint="eastAsia" w:hAnsi="宋体"/>
          <w:bCs/>
          <w:color w:val="auto"/>
          <w:highlight w:val="none"/>
          <w:shd w:val="clear" w:color="auto" w:fill="auto"/>
        </w:rPr>
        <w:t>采购需求另有要求的，按照其要求执行。</w:t>
      </w:r>
    </w:p>
    <w:p w14:paraId="12DF7EC7">
      <w:pPr>
        <w:pStyle w:val="29"/>
        <w:spacing w:line="400" w:lineRule="exact"/>
        <w:ind w:firstLine="420" w:firstLineChars="200"/>
        <w:rPr>
          <w:rFonts w:hint="eastAsia" w:hAnsi="宋体"/>
          <w:color w:val="auto"/>
          <w:highlight w:val="none"/>
          <w:shd w:val="clear" w:color="auto" w:fill="auto"/>
        </w:rPr>
      </w:pPr>
      <w:r>
        <w:rPr>
          <w:rFonts w:hint="eastAsia"/>
          <w:color w:val="auto"/>
          <w:highlight w:val="none"/>
          <w:shd w:val="clear" w:color="auto" w:fill="auto"/>
        </w:rPr>
        <w:t>5.投标保证金不计息。</w:t>
      </w:r>
    </w:p>
    <w:p w14:paraId="3885BABA">
      <w:pPr>
        <w:snapToGrid w:val="0"/>
        <w:spacing w:line="360" w:lineRule="exact"/>
        <w:ind w:firstLine="413" w:firstLineChars="196"/>
        <w:jc w:val="left"/>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6.投标人有下列情形之一的，投标保证金将不予退还：</w:t>
      </w:r>
    </w:p>
    <w:p w14:paraId="483E34D2">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（1）投标人在投标有效期内撤回投标文件的；</w:t>
      </w:r>
    </w:p>
    <w:p w14:paraId="35ED5991">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（2）投标人在投标过程中弄虚作假，提供虚假材料的；</w:t>
      </w:r>
    </w:p>
    <w:p w14:paraId="6B1D8183">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（3）中标人无正当理由不与采购人签订合同的；</w:t>
      </w:r>
    </w:p>
    <w:p w14:paraId="3A28DBA6">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ascii="宋体" w:hAnsi="宋体"/>
          <w:bCs/>
          <w:color w:val="auto"/>
          <w:spacing w:val="-6"/>
          <w:szCs w:val="21"/>
          <w:highlight w:val="none"/>
          <w:shd w:val="clear" w:color="auto" w:fill="auto"/>
        </w:rPr>
        <w:t>将中标项目转让给他人或者在投标文件中未说明且未经招标采购人同意，将中标项目分包给他人的；</w:t>
      </w:r>
    </w:p>
    <w:p w14:paraId="1D99F04C">
      <w:pPr>
        <w:snapToGrid w:val="0"/>
        <w:spacing w:line="360" w:lineRule="exact"/>
        <w:ind w:firstLine="411" w:firstLineChars="196"/>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（5）拒绝履行合同义务的；</w:t>
      </w:r>
    </w:p>
    <w:p w14:paraId="6516F474">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（6）其他严重扰乱招投标程序的。</w:t>
      </w:r>
    </w:p>
    <w:p w14:paraId="3317334F">
      <w:pPr>
        <w:snapToGrid w:val="0"/>
        <w:spacing w:line="360" w:lineRule="exact"/>
        <w:ind w:firstLine="422" w:firstLineChars="20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（六）投标文件的签署和份数</w:t>
      </w:r>
    </w:p>
    <w:p w14:paraId="66749062">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1.投标人应按本招标文件规定的格式和顺序编制投标文件并标注页码，投标文件内容不完整、编排混乱导致投标文件被误读、漏读或者查找不到相关内容的，是投标人的责任。</w:t>
      </w:r>
    </w:p>
    <w:p w14:paraId="093FDF15">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 投标文件份数：见投标人须知及前附表。</w:t>
      </w:r>
    </w:p>
    <w:p w14:paraId="4C84794D">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3.投标文件须由投标人在规定位置盖章并由法定代表人或法定代表人的授权委托人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，投标人应写全称。</w:t>
      </w:r>
    </w:p>
    <w:p w14:paraId="69E08D5C">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4.投标文件不得涂改，若有修改错漏处，须加盖单位公章或者法定代表人或授权委托人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。投标文件扫描不清晰或乱码或表达不清所引起的后果由投标人负责。</w:t>
      </w:r>
    </w:p>
    <w:p w14:paraId="6FDE43A1">
      <w:pPr>
        <w:snapToGrid w:val="0"/>
        <w:spacing w:before="156" w:beforeLines="50" w:line="360" w:lineRule="exact"/>
        <w:ind w:firstLine="310" w:firstLineChars="147"/>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（七）</w:t>
      </w:r>
      <w:r>
        <w:rPr>
          <w:rFonts w:hint="eastAsia"/>
          <w:b/>
          <w:color w:val="auto"/>
          <w:highlight w:val="none"/>
          <w:shd w:val="clear" w:color="auto" w:fill="auto"/>
        </w:rPr>
        <w:t>投标文件的上传、提交、修改、撤回和解密</w:t>
      </w:r>
    </w:p>
    <w:p w14:paraId="66BAFF10">
      <w:pPr>
        <w:adjustRightInd w:val="0"/>
        <w:snapToGrid w:val="0"/>
        <w:spacing w:line="400" w:lineRule="exact"/>
        <w:ind w:firstLine="420"/>
        <w:jc w:val="left"/>
        <w:rPr>
          <w:rFonts w:hint="eastAsia"/>
          <w:b/>
          <w:color w:val="auto"/>
          <w:highlight w:val="none"/>
          <w:shd w:val="clear" w:color="auto" w:fill="auto"/>
        </w:rPr>
      </w:pPr>
      <w:r>
        <w:rPr>
          <w:rFonts w:hint="eastAsia" w:hAnsi="宋体"/>
          <w:color w:val="auto"/>
          <w:highlight w:val="none"/>
          <w:shd w:val="clear" w:color="auto" w:fill="auto"/>
        </w:rPr>
        <w:t>▲</w:t>
      </w:r>
      <w:r>
        <w:rPr>
          <w:rFonts w:hint="eastAsia" w:ascii="宋体" w:hAnsi="宋体"/>
          <w:color w:val="auto"/>
          <w:szCs w:val="21"/>
          <w:highlight w:val="none"/>
          <w:shd w:val="clear" w:color="auto" w:fill="auto"/>
        </w:rPr>
        <w:t xml:space="preserve">1. </w:t>
      </w:r>
      <w:r>
        <w:rPr>
          <w:rFonts w:hint="eastAsia"/>
          <w:b/>
          <w:color w:val="auto"/>
          <w:highlight w:val="none"/>
          <w:shd w:val="clear" w:color="auto" w:fill="auto"/>
        </w:rPr>
        <w:t>投标文件的上传、提交：见投标人须知及前附表。</w:t>
      </w:r>
    </w:p>
    <w:p w14:paraId="29B1AACA">
      <w:pPr>
        <w:adjustRightInd w:val="0"/>
        <w:snapToGrid w:val="0"/>
        <w:spacing w:line="400" w:lineRule="exact"/>
        <w:ind w:firstLine="42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cs="仿宋_GB2312"/>
          <w:color w:val="auto"/>
          <w:kern w:val="0"/>
          <w:szCs w:val="21"/>
          <w:highlight w:val="none"/>
          <w:shd w:val="clear" w:color="auto" w:fill="auto"/>
          <w:lang w:val="zh-CN"/>
        </w:rPr>
        <w:t xml:space="preserve">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14:paraId="259DF4D8">
      <w:pPr>
        <w:adjustRightInd w:val="0"/>
        <w:snapToGrid w:val="0"/>
        <w:spacing w:line="400" w:lineRule="exact"/>
        <w:ind w:firstLine="424" w:firstLineChars="210"/>
        <w:rPr>
          <w:rFonts w:hint="eastAsia" w:ascii="宋体" w:hAnsi="宋体"/>
          <w:color w:val="auto"/>
          <w:spacing w:val="-4"/>
          <w:szCs w:val="21"/>
          <w:highlight w:val="none"/>
          <w:shd w:val="clear" w:color="auto" w:fill="auto"/>
        </w:rPr>
      </w:pPr>
      <w:r>
        <w:rPr>
          <w:rFonts w:hint="eastAsia" w:ascii="宋体" w:hAnsi="宋体"/>
          <w:color w:val="auto"/>
          <w:spacing w:val="-4"/>
          <w:szCs w:val="21"/>
          <w:highlight w:val="none"/>
          <w:shd w:val="clear" w:color="auto" w:fill="auto"/>
        </w:rPr>
        <w:t>3.</w:t>
      </w:r>
      <w:r>
        <w:rPr>
          <w:rFonts w:hint="eastAsia" w:ascii="宋体"/>
          <w:snapToGrid w:val="0"/>
          <w:color w:val="auto"/>
          <w:szCs w:val="21"/>
          <w:highlight w:val="none"/>
          <w:shd w:val="clear" w:color="auto" w:fill="auto"/>
        </w:rPr>
        <w:t xml:space="preserve">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14:paraId="34CDFFD2">
      <w:pPr>
        <w:snapToGrid w:val="0"/>
        <w:spacing w:line="360" w:lineRule="exact"/>
        <w:ind w:firstLine="420"/>
        <w:jc w:val="left"/>
        <w:rPr>
          <w:rFonts w:hint="eastAsia" w:ascii="宋体" w:hAnsi="宋体"/>
          <w:color w:val="auto"/>
          <w:spacing w:val="-4"/>
          <w:szCs w:val="21"/>
          <w:highlight w:val="none"/>
          <w:shd w:val="clear" w:color="auto" w:fill="auto"/>
        </w:rPr>
      </w:pPr>
      <w:r>
        <w:rPr>
          <w:rFonts w:hint="eastAsia" w:ascii="宋体" w:hAnsi="宋体"/>
          <w:color w:val="auto"/>
          <w:spacing w:val="-4"/>
          <w:szCs w:val="21"/>
          <w:highlight w:val="none"/>
          <w:shd w:val="clear" w:color="auto" w:fill="auto"/>
        </w:rPr>
        <w:t>4.投标人已经被推荐为第一中标候选供应商后撤回投标或放弃中标的，其投标保证金将不予退还，并上缴国库，给采购人造成损失的，还应当赔偿损失，并作为不良行为记录在案。</w:t>
      </w:r>
    </w:p>
    <w:p w14:paraId="5B01C47B">
      <w:pPr>
        <w:snapToGrid w:val="0"/>
        <w:spacing w:line="360" w:lineRule="exact"/>
        <w:ind w:firstLine="420"/>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（八）投标无效的情形</w:t>
      </w:r>
    </w:p>
    <w:p w14:paraId="119B1063">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2659D230">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1.在符合性审查和资格性审查时，如发现下列情形之一的，投标文件将被视为无效：</w:t>
      </w:r>
    </w:p>
    <w:p w14:paraId="4074DC37">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（1）超越了按照法律法规规定必须获得行政许可或者行政审批的经营范围的；</w:t>
      </w:r>
    </w:p>
    <w:p w14:paraId="0DFCB559">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（2）资格证明文件不全的，或者不符合招标文件标明的资格要求的；</w:t>
      </w:r>
    </w:p>
    <w:p w14:paraId="1ACE1E48">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（3）投标文件无法定代表人（负责人）或其授权委托代理人</w:t>
      </w:r>
      <w:r>
        <w:rPr>
          <w:rFonts w:hint="default" w:ascii="宋体" w:hAnsi="宋体" w:eastAsia="宋体"/>
          <w:color w:val="auto"/>
          <w:spacing w:val="-4"/>
          <w:sz w:val="21"/>
          <w:szCs w:val="21"/>
          <w:highlight w:val="none"/>
          <w:shd w:val="clear" w:color="auto" w:fill="auto"/>
        </w:rPr>
        <w:t>签字或签章</w:t>
      </w:r>
      <w:r>
        <w:rPr>
          <w:rFonts w:hint="eastAsia" w:ascii="宋体" w:hAnsi="宋体" w:eastAsia="宋体"/>
          <w:color w:val="auto"/>
          <w:spacing w:val="-4"/>
          <w:sz w:val="21"/>
          <w:szCs w:val="21"/>
          <w:highlight w:val="none"/>
          <w:shd w:val="clear" w:color="auto" w:fill="auto"/>
        </w:rPr>
        <w:t>，或未提供法定代表人（负责人）授权委托书、投标声明书或者填写项目不齐全的；</w:t>
      </w:r>
    </w:p>
    <w:p w14:paraId="06877FF1">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（4）投标代表人未能出具身份证明或与法定代表人（负责人）授权委托人身份不符的；</w:t>
      </w:r>
    </w:p>
    <w:p w14:paraId="6D67D9F1">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（5）项目不齐全或者内容虚假的；</w:t>
      </w:r>
    </w:p>
    <w:p w14:paraId="412C7D40">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（6）投标文件的实质性内容未使用中文表述、意思表述不明确、前后矛盾或者使用计量单位不符合投标文件要求的（经评标委员会认定并允许其当场更正的笔误除外）；</w:t>
      </w:r>
    </w:p>
    <w:p w14:paraId="2E3467DF">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（7）投标有效期、交付使用时间、质保期等商务条款不能满足招标文件要求的；</w:t>
      </w:r>
    </w:p>
    <w:p w14:paraId="53160CC0">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（8）未实质性响应招标文件要求或者投标文件有招标方不能接受的附加条件的；</w:t>
      </w:r>
    </w:p>
    <w:p w14:paraId="0EDE48D7">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（9）</w:t>
      </w:r>
      <w:r>
        <w:rPr>
          <w:rFonts w:ascii="宋体" w:hAnsi="宋体" w:eastAsia="宋体"/>
          <w:color w:val="auto"/>
          <w:spacing w:val="-4"/>
          <w:sz w:val="21"/>
          <w:szCs w:val="21"/>
          <w:highlight w:val="none"/>
          <w:shd w:val="clear" w:color="auto" w:fill="auto"/>
        </w:rPr>
        <w:t>未按照招标文件的规定提交投标保证金的</w:t>
      </w:r>
      <w:r>
        <w:rPr>
          <w:rFonts w:hint="eastAsia" w:ascii="宋体" w:hAnsi="宋体" w:eastAsia="宋体"/>
          <w:color w:val="auto"/>
          <w:spacing w:val="-4"/>
          <w:sz w:val="21"/>
          <w:szCs w:val="21"/>
          <w:highlight w:val="none"/>
          <w:shd w:val="clear" w:color="auto" w:fill="auto"/>
        </w:rPr>
        <w:t>（说明：评标时，评标委员会将以本中心财务室编制的《采购文件购买名单及保证金收缴情况表》作为评审依据）。</w:t>
      </w:r>
    </w:p>
    <w:p w14:paraId="3BA705DD">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2.在技术评审时，如发现下列情形之一的，投标文件将被视为无效：</w:t>
      </w:r>
    </w:p>
    <w:p w14:paraId="4FEAE7C1">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（1）未提供或未如实提供投标货物的技术参数，或者投标文件标明的响应或偏离与事实不符或虚假投标的；</w:t>
      </w:r>
    </w:p>
    <w:p w14:paraId="26B4789C">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（2）明显不符合招标文件要求的规格型号、质量标准，或者与招标文件中的技术指标、主要功能项目发生实质性偏离的；</w:t>
      </w:r>
    </w:p>
    <w:p w14:paraId="6E4AC15A">
      <w:pPr>
        <w:pStyle w:val="22"/>
        <w:snapToGrid w:val="0"/>
        <w:spacing w:line="360" w:lineRule="exact"/>
        <w:ind w:firstLine="398" w:firstLineChars="196"/>
        <w:outlineLvl w:val="0"/>
        <w:rPr>
          <w:rFonts w:hint="eastAsia" w:ascii="宋体" w:hAnsi="宋体" w:eastAsia="宋体"/>
          <w:b/>
          <w:bCs/>
          <w:color w:val="auto"/>
          <w:spacing w:val="-4"/>
          <w:sz w:val="21"/>
          <w:szCs w:val="21"/>
          <w:highlight w:val="none"/>
          <w:shd w:val="clear" w:color="auto" w:fill="auto"/>
        </w:rPr>
      </w:pPr>
      <w:r>
        <w:rPr>
          <w:rFonts w:hint="eastAsia" w:ascii="宋体" w:hAnsi="宋体" w:eastAsia="宋体"/>
          <w:b/>
          <w:bCs/>
          <w:color w:val="auto"/>
          <w:spacing w:val="-4"/>
          <w:sz w:val="21"/>
          <w:szCs w:val="21"/>
          <w:highlight w:val="none"/>
          <w:shd w:val="clear" w:color="auto" w:fill="auto"/>
        </w:rPr>
        <w:t>（3）标星号“</w:t>
      </w:r>
      <w:r>
        <w:rPr>
          <w:rFonts w:hint="eastAsia" w:ascii="宋体" w:hAnsi="宋体" w:cs="宋体"/>
          <w:b/>
          <w:bCs/>
          <w:color w:val="auto"/>
          <w:kern w:val="0"/>
          <w:sz w:val="21"/>
          <w:szCs w:val="21"/>
          <w:highlight w:val="none"/>
          <w:shd w:val="clear" w:color="auto" w:fill="auto"/>
        </w:rPr>
        <w:t>▲</w:t>
      </w:r>
      <w:r>
        <w:rPr>
          <w:rFonts w:hint="eastAsia" w:ascii="宋体" w:hAnsi="宋体" w:eastAsia="宋体"/>
          <w:b/>
          <w:bCs/>
          <w:color w:val="auto"/>
          <w:spacing w:val="-4"/>
          <w:sz w:val="21"/>
          <w:szCs w:val="21"/>
          <w:highlight w:val="none"/>
          <w:shd w:val="clear" w:color="auto" w:fill="auto"/>
        </w:rPr>
        <w:t>”的技术、性能指标发生负偏离达</w:t>
      </w:r>
      <w:r>
        <w:rPr>
          <w:rFonts w:hint="eastAsia" w:ascii="宋体" w:hAnsi="宋体" w:eastAsia="宋体"/>
          <w:b/>
          <w:bCs/>
          <w:color w:val="auto"/>
          <w:spacing w:val="-4"/>
          <w:sz w:val="21"/>
          <w:szCs w:val="21"/>
          <w:highlight w:val="none"/>
          <w:u w:val="single"/>
          <w:shd w:val="clear" w:color="auto" w:fill="auto"/>
        </w:rPr>
        <w:t xml:space="preserve">  1  </w:t>
      </w:r>
      <w:r>
        <w:rPr>
          <w:rFonts w:hint="eastAsia" w:ascii="宋体" w:hAnsi="宋体" w:eastAsia="宋体"/>
          <w:b/>
          <w:bCs/>
          <w:color w:val="auto"/>
          <w:spacing w:val="-4"/>
          <w:sz w:val="21"/>
          <w:szCs w:val="21"/>
          <w:highlight w:val="none"/>
          <w:shd w:val="clear" w:color="auto" w:fill="auto"/>
        </w:rPr>
        <w:t>项（含）以上的；</w:t>
      </w:r>
    </w:p>
    <w:p w14:paraId="4E82F449">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（4）投标技术方案不明确，存在一个或一个以上备选（替换）投标方案的；</w:t>
      </w:r>
    </w:p>
    <w:p w14:paraId="76FF1D16">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（5）与其他参加本次投标供应商的投标文件（技术文件）的文字表述内容差错相同二处以上的。</w:t>
      </w:r>
    </w:p>
    <w:p w14:paraId="055739F4">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3.在报价评审时，如发现下列情形之一的，投标文件将被视为无效：</w:t>
      </w:r>
    </w:p>
    <w:p w14:paraId="5FB158D5">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（1）未采用人民币报价或者未按照招标文件标明的币种报价的；</w:t>
      </w:r>
    </w:p>
    <w:p w14:paraId="6A4DBEF8">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（2）报价超出最高限价，或者超出采购预算金额，采购人不能支付的；</w:t>
      </w:r>
    </w:p>
    <w:p w14:paraId="24685EAC">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（3）投标报价具有选择性，或者开标价格与投标文件承诺的优惠（折扣）价格不一致的。</w:t>
      </w:r>
    </w:p>
    <w:p w14:paraId="51C154D0">
      <w:pPr>
        <w:adjustRightInd w:val="0"/>
        <w:snapToGrid w:val="0"/>
        <w:spacing w:line="400" w:lineRule="exact"/>
        <w:ind w:firstLine="420" w:firstLineChars="200"/>
        <w:jc w:val="left"/>
        <w:rPr>
          <w:rFonts w:hint="eastAsia" w:ascii="宋体" w:hAnsi="宋体" w:eastAsia="宋体" w:cs="仿宋_GB2312"/>
          <w:color w:val="auto"/>
          <w:kern w:val="0"/>
          <w:szCs w:val="21"/>
          <w:highlight w:val="none"/>
          <w:lang w:val="zh-CN"/>
        </w:rPr>
      </w:pPr>
      <w:bookmarkStart w:id="7" w:name="_Toc40865068"/>
      <w:bookmarkStart w:id="8" w:name="_Toc40864952"/>
      <w:bookmarkStart w:id="9" w:name="_Toc40864676"/>
      <w:r>
        <w:rPr>
          <w:rFonts w:hint="eastAsia" w:ascii="宋体" w:hAnsi="宋体" w:eastAsia="宋体" w:cs="仿宋_GB2312"/>
          <w:color w:val="auto"/>
          <w:kern w:val="0"/>
          <w:szCs w:val="21"/>
          <w:highlight w:val="none"/>
          <w:lang w:val="zh-CN"/>
        </w:rPr>
        <w:t>（4）评标委员会在评审中，经启动异常低价审查程序后供应商未能</w:t>
      </w:r>
      <w:r>
        <w:rPr>
          <w:rFonts w:hint="eastAsia"/>
          <w:bCs/>
          <w:color w:val="auto"/>
          <w:highlight w:val="none"/>
          <w:lang w:val="en-US" w:eastAsia="zh-CN"/>
        </w:rPr>
        <w:t>证明其报价合理性的</w:t>
      </w:r>
      <w:r>
        <w:rPr>
          <w:rFonts w:hint="eastAsia" w:ascii="宋体" w:hAnsi="宋体" w:eastAsia="宋体" w:cs="仿宋_GB2312"/>
          <w:color w:val="auto"/>
          <w:kern w:val="0"/>
          <w:szCs w:val="21"/>
          <w:highlight w:val="none"/>
          <w:lang w:val="zh-CN"/>
        </w:rPr>
        <w:t>。</w:t>
      </w:r>
      <w:bookmarkEnd w:id="7"/>
      <w:bookmarkEnd w:id="8"/>
      <w:bookmarkEnd w:id="9"/>
    </w:p>
    <w:p w14:paraId="4EAB1951">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4.有下列情形之一的视为投标人相互串通投标，投标文件将被视为无效:</w:t>
      </w:r>
    </w:p>
    <w:p w14:paraId="1FB9D4DD">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（1）不同投标人的投标文件由同一单位或者个人编制；或不同投标人报名的IP地址一致的；</w:t>
      </w:r>
    </w:p>
    <w:p w14:paraId="1FA815D3">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（2）不同投标人委托同一单位或者个人办理投标事宜；</w:t>
      </w:r>
    </w:p>
    <w:p w14:paraId="2BDE5FF3">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（3）不同投标人的投标文件载明的项目管理成员或者联系人员为同一人；</w:t>
      </w:r>
    </w:p>
    <w:p w14:paraId="05BC8FC5">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（4）不同投标人的投标文件异常一致或投标报价呈规律性差异；</w:t>
      </w:r>
    </w:p>
    <w:p w14:paraId="1A142B73">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（5）不同投标人的投标文件相互混装；</w:t>
      </w:r>
    </w:p>
    <w:p w14:paraId="1D94A3F7">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（6）不同投标人的投标保证金从同一个单位或者个人账户转出。</w:t>
      </w:r>
    </w:p>
    <w:p w14:paraId="012B1135">
      <w:pPr>
        <w:pStyle w:val="22"/>
        <w:adjustRightInd w:val="0"/>
        <w:snapToGrid w:val="0"/>
        <w:spacing w:line="400" w:lineRule="exact"/>
        <w:ind w:firstLine="395" w:firstLineChars="196"/>
        <w:rPr>
          <w:rFonts w:hint="eastAsia" w:ascii="宋体" w:hAnsi="宋体" w:eastAsia="宋体"/>
          <w:bCs/>
          <w:color w:val="auto"/>
          <w:sz w:val="21"/>
          <w:szCs w:val="21"/>
          <w:highlight w:val="none"/>
          <w:shd w:val="clear" w:color="auto" w:fill="auto"/>
        </w:rPr>
      </w:pPr>
      <w:r>
        <w:rPr>
          <w:rFonts w:ascii="宋体" w:hAnsi="宋体" w:eastAsia="宋体"/>
          <w:color w:val="auto"/>
          <w:spacing w:val="-4"/>
          <w:sz w:val="21"/>
          <w:szCs w:val="21"/>
          <w:highlight w:val="none"/>
          <w:shd w:val="clear" w:color="auto" w:fill="auto"/>
        </w:rPr>
        <w:t>5</w:t>
      </w:r>
      <w:r>
        <w:rPr>
          <w:rFonts w:hint="eastAsia" w:ascii="宋体" w:hAnsi="宋体" w:eastAsia="宋体"/>
          <w:color w:val="auto"/>
          <w:spacing w:val="-4"/>
          <w:sz w:val="21"/>
          <w:szCs w:val="21"/>
          <w:highlight w:val="none"/>
          <w:shd w:val="clear" w:color="auto" w:fill="auto"/>
        </w:rPr>
        <w:t>.</w:t>
      </w:r>
      <w:r>
        <w:rPr>
          <w:rFonts w:hint="eastAsia" w:ascii="宋体" w:hAnsi="宋体"/>
          <w:bCs/>
          <w:color w:val="auto"/>
          <w:sz w:val="21"/>
          <w:szCs w:val="21"/>
          <w:highlight w:val="none"/>
          <w:shd w:val="clear" w:color="auto" w:fill="auto"/>
        </w:rPr>
        <w:t xml:space="preserve"> </w:t>
      </w:r>
      <w:r>
        <w:rPr>
          <w:rFonts w:hint="eastAsia" w:ascii="宋体" w:hAnsi="宋体" w:eastAsia="宋体"/>
          <w:bCs/>
          <w:color w:val="auto"/>
          <w:sz w:val="21"/>
          <w:szCs w:val="21"/>
          <w:highlight w:val="none"/>
          <w:shd w:val="clear" w:color="auto" w:fill="auto"/>
        </w:rPr>
        <w:t>其他投标无效的情形：</w:t>
      </w:r>
    </w:p>
    <w:p w14:paraId="64CB1E9D">
      <w:pPr>
        <w:pStyle w:val="22"/>
        <w:adjustRightInd w:val="0"/>
        <w:snapToGrid w:val="0"/>
        <w:spacing w:line="400" w:lineRule="exact"/>
        <w:ind w:firstLine="413" w:firstLineChars="196"/>
        <w:rPr>
          <w:rFonts w:hint="eastAsia"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（1）</w:t>
      </w:r>
      <w:r>
        <w:rPr>
          <w:rFonts w:ascii="宋体" w:hAnsi="宋体" w:eastAsia="宋体"/>
          <w:b/>
          <w:bCs/>
          <w:color w:val="auto"/>
          <w:sz w:val="21"/>
          <w:szCs w:val="21"/>
          <w:highlight w:val="none"/>
          <w:shd w:val="clear" w:color="auto" w:fill="auto"/>
        </w:rPr>
        <w:t>投标文件未按招标文件要求签署</w:t>
      </w:r>
      <w:r>
        <w:rPr>
          <w:rFonts w:hint="eastAsia" w:ascii="宋体" w:hAnsi="宋体" w:eastAsia="宋体"/>
          <w:b/>
          <w:bCs/>
          <w:color w:val="auto"/>
          <w:sz w:val="21"/>
          <w:szCs w:val="21"/>
          <w:highlight w:val="none"/>
          <w:shd w:val="clear" w:color="auto" w:fill="auto"/>
        </w:rPr>
        <w:t>或</w:t>
      </w:r>
      <w:r>
        <w:rPr>
          <w:rFonts w:ascii="宋体" w:hAnsi="宋体" w:eastAsia="宋体"/>
          <w:b/>
          <w:bCs/>
          <w:color w:val="auto"/>
          <w:sz w:val="21"/>
          <w:szCs w:val="21"/>
          <w:highlight w:val="none"/>
          <w:shd w:val="clear" w:color="auto" w:fill="auto"/>
        </w:rPr>
        <w:t>CA电子签章的；</w:t>
      </w:r>
    </w:p>
    <w:p w14:paraId="0ED0C7B8">
      <w:pPr>
        <w:pStyle w:val="22"/>
        <w:adjustRightInd w:val="0"/>
        <w:snapToGrid w:val="0"/>
        <w:spacing w:line="400" w:lineRule="exact"/>
        <w:ind w:firstLine="413" w:firstLineChars="196"/>
        <w:rPr>
          <w:rFonts w:hint="eastAsia"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（2）</w:t>
      </w:r>
      <w:r>
        <w:rPr>
          <w:rFonts w:ascii="宋体" w:hAnsi="宋体" w:eastAsia="宋体"/>
          <w:b/>
          <w:bCs/>
          <w:color w:val="auto"/>
          <w:sz w:val="21"/>
          <w:szCs w:val="21"/>
          <w:highlight w:val="none"/>
          <w:shd w:val="clear" w:color="auto" w:fill="auto"/>
        </w:rPr>
        <w:t>供应商提交两份或两份以上内容不同的投标文件；</w:t>
      </w:r>
    </w:p>
    <w:p w14:paraId="7F4AFB94">
      <w:pPr>
        <w:pStyle w:val="29"/>
        <w:adjustRightInd w:val="0"/>
        <w:snapToGrid w:val="0"/>
        <w:spacing w:line="400" w:lineRule="exact"/>
        <w:ind w:firstLine="422" w:firstLineChars="200"/>
        <w:rPr>
          <w:rFonts w:hAnsi="宋体"/>
          <w:b/>
          <w:bCs/>
          <w:color w:val="auto"/>
          <w:highlight w:val="none"/>
          <w:shd w:val="clear" w:color="auto" w:fill="auto"/>
        </w:rPr>
      </w:pPr>
      <w:r>
        <w:rPr>
          <w:rFonts w:hint="eastAsia" w:hAnsi="宋体"/>
          <w:b/>
          <w:bCs/>
          <w:color w:val="auto"/>
          <w:highlight w:val="none"/>
          <w:shd w:val="clear" w:color="auto" w:fill="auto"/>
        </w:rPr>
        <w:t>（3）</w:t>
      </w:r>
      <w:r>
        <w:rPr>
          <w:rFonts w:hAnsi="宋体"/>
          <w:b/>
          <w:bCs/>
          <w:color w:val="auto"/>
          <w:highlight w:val="none"/>
          <w:shd w:val="clear" w:color="auto" w:fill="auto"/>
        </w:rPr>
        <w:t>投标供应商在线制作投标文件时</w:t>
      </w:r>
      <w:r>
        <w:rPr>
          <w:rFonts w:hint="eastAsia" w:hAnsi="宋体"/>
          <w:b/>
          <w:bCs/>
          <w:color w:val="auto"/>
          <w:highlight w:val="none"/>
          <w:shd w:val="clear" w:color="auto" w:fill="auto"/>
        </w:rPr>
        <w:t>填写的报价金额</w:t>
      </w:r>
      <w:r>
        <w:rPr>
          <w:rFonts w:hAnsi="宋体"/>
          <w:b/>
          <w:bCs/>
          <w:color w:val="auto"/>
          <w:highlight w:val="none"/>
          <w:shd w:val="clear" w:color="auto" w:fill="auto"/>
        </w:rPr>
        <w:t>与解密后“电子加密投标文件”中《开标一览表》填写的金额不一致并拒绝按招标文件要求接受调整的；</w:t>
      </w:r>
    </w:p>
    <w:p w14:paraId="2B6346CB">
      <w:pPr>
        <w:pStyle w:val="22"/>
        <w:snapToGrid w:val="0"/>
        <w:spacing w:line="360" w:lineRule="exact"/>
        <w:ind w:firstLine="413"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s="Courier New"/>
          <w:b/>
          <w:bCs/>
          <w:color w:val="auto"/>
          <w:sz w:val="21"/>
          <w:szCs w:val="21"/>
          <w:highlight w:val="none"/>
          <w:shd w:val="clear" w:color="auto" w:fill="auto"/>
        </w:rPr>
        <w:t>（4）</w:t>
      </w:r>
      <w:r>
        <w:rPr>
          <w:rFonts w:ascii="宋体" w:hAnsi="宋体" w:eastAsia="宋体" w:cs="Courier New"/>
          <w:b/>
          <w:bCs/>
          <w:color w:val="auto"/>
          <w:sz w:val="21"/>
          <w:szCs w:val="21"/>
          <w:highlight w:val="none"/>
          <w:shd w:val="clear" w:color="auto" w:fill="auto"/>
        </w:rPr>
        <w:t>法律、法规和招标文件规定的其他无效情形（或出现重大偏差）。</w:t>
      </w:r>
    </w:p>
    <w:p w14:paraId="012A27C5">
      <w:pPr>
        <w:pStyle w:val="22"/>
        <w:snapToGrid w:val="0"/>
        <w:spacing w:line="360" w:lineRule="exact"/>
        <w:ind w:firstLine="395" w:firstLineChars="196"/>
        <w:outlineLvl w:val="0"/>
        <w:rPr>
          <w:rFonts w:ascii="宋体" w:hAnsi="宋体" w:eastAsia="宋体"/>
          <w:color w:val="auto"/>
          <w:spacing w:val="-4"/>
          <w:sz w:val="21"/>
          <w:szCs w:val="21"/>
          <w:highlight w:val="none"/>
          <w:shd w:val="clear" w:color="auto" w:fill="auto"/>
        </w:rPr>
      </w:pPr>
      <w:r>
        <w:rPr>
          <w:rFonts w:ascii="宋体" w:hAnsi="宋体" w:eastAsia="宋体"/>
          <w:color w:val="auto"/>
          <w:spacing w:val="-4"/>
          <w:sz w:val="21"/>
          <w:szCs w:val="21"/>
          <w:highlight w:val="none"/>
          <w:shd w:val="clear" w:color="auto" w:fill="auto"/>
        </w:rPr>
        <w:t>6</w:t>
      </w:r>
      <w:r>
        <w:rPr>
          <w:rFonts w:hint="eastAsia" w:ascii="宋体" w:hAnsi="宋体" w:eastAsia="宋体"/>
          <w:color w:val="auto"/>
          <w:spacing w:val="-4"/>
          <w:sz w:val="21"/>
          <w:szCs w:val="21"/>
          <w:highlight w:val="none"/>
          <w:shd w:val="clear" w:color="auto" w:fill="auto"/>
        </w:rPr>
        <w:t>.被拒绝的投标文件为无效。</w:t>
      </w:r>
    </w:p>
    <w:p w14:paraId="6EA9E969">
      <w:pPr>
        <w:pStyle w:val="22"/>
        <w:snapToGrid w:val="0"/>
        <w:spacing w:line="360" w:lineRule="exact"/>
        <w:ind w:firstLine="413" w:firstLineChars="196"/>
        <w:outlineLvl w:val="0"/>
        <w:rPr>
          <w:rFonts w:hint="eastAsia" w:ascii="宋体" w:hAnsi="宋体" w:eastAsia="宋体"/>
          <w:b/>
          <w:color w:val="auto"/>
          <w:sz w:val="21"/>
          <w:szCs w:val="21"/>
          <w:highlight w:val="none"/>
          <w:shd w:val="clear" w:color="auto" w:fill="auto"/>
        </w:rPr>
      </w:pPr>
    </w:p>
    <w:p w14:paraId="572C16C7">
      <w:pPr>
        <w:pStyle w:val="22"/>
        <w:snapToGrid w:val="0"/>
        <w:spacing w:line="360" w:lineRule="exact"/>
        <w:ind w:firstLine="413" w:firstLineChars="196"/>
        <w:outlineLvl w:val="0"/>
        <w:rPr>
          <w:rFonts w:hint="eastAsia" w:ascii="宋体" w:hAnsi="宋体" w:eastAsia="宋体"/>
          <w:b/>
          <w:snapToGrid w:val="0"/>
          <w:color w:val="auto"/>
          <w:sz w:val="21"/>
          <w:szCs w:val="21"/>
          <w:highlight w:val="none"/>
          <w:shd w:val="clear" w:color="auto" w:fill="auto"/>
        </w:rPr>
      </w:pPr>
      <w:r>
        <w:rPr>
          <w:rFonts w:hint="eastAsia" w:ascii="宋体" w:hAnsi="宋体" w:eastAsia="宋体"/>
          <w:b/>
          <w:color w:val="auto"/>
          <w:sz w:val="21"/>
          <w:szCs w:val="21"/>
          <w:highlight w:val="none"/>
          <w:shd w:val="clear" w:color="auto" w:fill="auto"/>
        </w:rPr>
        <w:t>四、开标</w:t>
      </w:r>
    </w:p>
    <w:p w14:paraId="0E2C65B6">
      <w:pPr>
        <w:pStyle w:val="29"/>
        <w:snapToGrid w:val="0"/>
        <w:spacing w:line="36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（一）开标准备</w:t>
      </w:r>
    </w:p>
    <w:p w14:paraId="70EA62F8">
      <w:pPr>
        <w:pStyle w:val="29"/>
        <w:snapToGrid w:val="0"/>
        <w:spacing w:line="360" w:lineRule="exact"/>
        <w:ind w:firstLine="420" w:firstLineChars="200"/>
        <w:rPr>
          <w:rFonts w:hint="eastAsia" w:hAnsi="宋体"/>
          <w:bCs/>
          <w:color w:val="auto"/>
          <w:highlight w:val="none"/>
          <w:shd w:val="clear" w:color="auto" w:fill="auto"/>
        </w:rPr>
      </w:pPr>
      <w:r>
        <w:rPr>
          <w:rFonts w:hint="eastAsia" w:hAnsi="宋体"/>
          <w:bCs/>
          <w:color w:val="auto"/>
          <w:highlight w:val="none"/>
          <w:shd w:val="clear" w:color="auto" w:fill="auto"/>
        </w:rPr>
        <w:t>本中心将</w:t>
      </w:r>
      <w:r>
        <w:rPr>
          <w:rFonts w:hint="eastAsia"/>
          <w:color w:val="auto"/>
          <w:sz w:val="22"/>
          <w:highlight w:val="none"/>
          <w:shd w:val="clear" w:color="auto" w:fill="auto"/>
        </w:rPr>
        <w:t>按招标文件规定的时间、地点通过“</w:t>
      </w:r>
      <w:r>
        <w:rPr>
          <w:rFonts w:hint="eastAsia"/>
          <w:color w:val="auto"/>
          <w:sz w:val="22"/>
          <w:highlight w:val="none"/>
          <w:shd w:val="clear" w:color="auto" w:fill="auto"/>
          <w:lang w:eastAsia="zh-CN"/>
        </w:rPr>
        <w:t>广西政府采购云平台</w:t>
      </w:r>
      <w:r>
        <w:rPr>
          <w:rFonts w:hint="eastAsia"/>
          <w:color w:val="auto"/>
          <w:sz w:val="22"/>
          <w:highlight w:val="none"/>
          <w:shd w:val="clear" w:color="auto" w:fill="auto"/>
        </w:rPr>
        <w:t>”组织开标、开启投标文件，所有供应商均应当准时在线参加。投</w:t>
      </w:r>
      <w:r>
        <w:rPr>
          <w:color w:val="auto"/>
          <w:sz w:val="22"/>
          <w:highlight w:val="none"/>
          <w:shd w:val="clear" w:color="auto" w:fill="auto"/>
        </w:rPr>
        <w:t>标供应商因未在线参加开标而导致投标文件无法按时解密等一切后果由供应商自</w:t>
      </w:r>
      <w:r>
        <w:rPr>
          <w:rFonts w:hint="eastAsia"/>
          <w:color w:val="auto"/>
          <w:sz w:val="22"/>
          <w:highlight w:val="none"/>
          <w:shd w:val="clear" w:color="auto" w:fill="auto"/>
        </w:rPr>
        <w:t>行</w:t>
      </w:r>
      <w:r>
        <w:rPr>
          <w:color w:val="auto"/>
          <w:sz w:val="22"/>
          <w:highlight w:val="none"/>
          <w:shd w:val="clear" w:color="auto" w:fill="auto"/>
        </w:rPr>
        <w:t>承担。</w:t>
      </w:r>
    </w:p>
    <w:p w14:paraId="3A42FBAF">
      <w:pPr>
        <w:pStyle w:val="29"/>
        <w:snapToGrid w:val="0"/>
        <w:spacing w:line="36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（二） 开标程序：</w:t>
      </w:r>
    </w:p>
    <w:p w14:paraId="2DD082BF">
      <w:pPr>
        <w:pStyle w:val="29"/>
        <w:adjustRightInd w:val="0"/>
        <w:snapToGrid w:val="0"/>
        <w:spacing w:line="40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1.电子开标会由本中心主持</w:t>
      </w:r>
    </w:p>
    <w:p w14:paraId="29BDA66B">
      <w:pPr>
        <w:pStyle w:val="29"/>
        <w:adjustRightInd w:val="0"/>
        <w:snapToGrid w:val="0"/>
        <w:spacing w:line="400" w:lineRule="exact"/>
        <w:ind w:firstLine="420" w:firstLineChars="200"/>
        <w:rPr>
          <w:color w:val="auto"/>
          <w:highlight w:val="none"/>
          <w:shd w:val="clear" w:color="auto" w:fill="auto"/>
        </w:rPr>
      </w:pPr>
      <w:r>
        <w:rPr>
          <w:rFonts w:hint="eastAsia" w:hAnsi="宋体"/>
          <w:color w:val="auto"/>
          <w:highlight w:val="none"/>
          <w:shd w:val="clear" w:color="auto" w:fill="auto"/>
        </w:rPr>
        <w:t>2.本中心工作人员</w:t>
      </w:r>
      <w:r>
        <w:rPr>
          <w:rFonts w:hint="eastAsia"/>
          <w:color w:val="auto"/>
          <w:highlight w:val="none"/>
          <w:shd w:val="clear" w:color="auto" w:fill="auto"/>
        </w:rPr>
        <w:t>向各投标供应商发出电子加密投标文件【开始解密】通知，由供应商按招标文件规定的时间内自行进行投标文件解密。</w:t>
      </w:r>
      <w:r>
        <w:rPr>
          <w:rFonts w:hint="eastAsia"/>
          <w:snapToGrid w:val="0"/>
          <w:color w:val="auto"/>
          <w:highlight w:val="none"/>
          <w:shd w:val="clear" w:color="auto" w:fill="auto"/>
        </w:rPr>
        <w:t>投标供应商未在规定时间内完成解密的，系统默认自动放弃。</w:t>
      </w:r>
    </w:p>
    <w:p w14:paraId="7D59354F">
      <w:pPr>
        <w:pStyle w:val="29"/>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3.</w:t>
      </w:r>
      <w:r>
        <w:rPr>
          <w:rFonts w:hAnsi="宋体"/>
          <w:color w:val="auto"/>
          <w:highlight w:val="none"/>
          <w:shd w:val="clear" w:color="auto" w:fill="auto"/>
        </w:rPr>
        <w:t>投标文件解密结束，开启</w:t>
      </w:r>
      <w:r>
        <w:rPr>
          <w:rFonts w:hint="eastAsia" w:hAnsi="宋体"/>
          <w:color w:val="auto"/>
          <w:highlight w:val="none"/>
          <w:shd w:val="clear" w:color="auto" w:fill="auto"/>
        </w:rPr>
        <w:t>报价文件。投标供应商在线制作投标文件时填写的报价金额</w:t>
      </w:r>
      <w:r>
        <w:rPr>
          <w:rFonts w:hAnsi="宋体"/>
          <w:color w:val="auto"/>
          <w:highlight w:val="none"/>
          <w:shd w:val="clear" w:color="auto" w:fill="auto"/>
        </w:rPr>
        <w:t>与解密后“电子加密投标文件”中《开标一览表》填写的金额不一致的，以解密后“电子加密投标文件”中《开标一览表》填写的金额为准，投标供应商拒绝接受此调整的，按无效投标处理。</w:t>
      </w:r>
    </w:p>
    <w:p w14:paraId="0CACA983">
      <w:pPr>
        <w:pStyle w:val="29"/>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4.进入</w:t>
      </w:r>
      <w:r>
        <w:rPr>
          <w:rFonts w:hAnsi="宋体"/>
          <w:color w:val="auto"/>
          <w:highlight w:val="none"/>
          <w:shd w:val="clear" w:color="auto" w:fill="auto"/>
        </w:rPr>
        <w:t>资格文件</w:t>
      </w:r>
      <w:r>
        <w:rPr>
          <w:rFonts w:hint="eastAsia" w:hAnsi="宋体"/>
          <w:color w:val="auto"/>
          <w:highlight w:val="none"/>
          <w:shd w:val="clear" w:color="auto" w:fill="auto"/>
        </w:rPr>
        <w:t>审查环节</w:t>
      </w:r>
      <w:r>
        <w:rPr>
          <w:rFonts w:hAnsi="宋体"/>
          <w:color w:val="auto"/>
          <w:highlight w:val="none"/>
          <w:shd w:val="clear" w:color="auto" w:fill="auto"/>
        </w:rPr>
        <w:t>，</w:t>
      </w:r>
      <w:r>
        <w:rPr>
          <w:rFonts w:hint="eastAsia" w:hAnsi="宋体"/>
          <w:color w:val="auto"/>
          <w:highlight w:val="none"/>
          <w:shd w:val="clear" w:color="auto" w:fill="auto"/>
        </w:rPr>
        <w:t>本中心或者招标采购单位</w:t>
      </w:r>
      <w:r>
        <w:rPr>
          <w:rFonts w:hAnsi="宋体"/>
          <w:color w:val="auto"/>
          <w:highlight w:val="none"/>
          <w:shd w:val="clear" w:color="auto" w:fill="auto"/>
        </w:rPr>
        <w:t>依法对投标供应商的资格进行审查。</w:t>
      </w:r>
    </w:p>
    <w:p w14:paraId="310FBCA1">
      <w:pPr>
        <w:pStyle w:val="29"/>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5.</w:t>
      </w:r>
      <w:r>
        <w:rPr>
          <w:rFonts w:hAnsi="宋体"/>
          <w:color w:val="auto"/>
          <w:highlight w:val="none"/>
          <w:shd w:val="clear" w:color="auto" w:fill="auto"/>
        </w:rPr>
        <w:t>开启资格审查通过的投标供应商的商务技术文件进入符合性审查及商务技术评审</w:t>
      </w:r>
      <w:r>
        <w:rPr>
          <w:rFonts w:hint="eastAsia" w:hAnsi="宋体"/>
          <w:color w:val="auto"/>
          <w:highlight w:val="none"/>
          <w:shd w:val="clear" w:color="auto" w:fill="auto"/>
        </w:rPr>
        <w:t>。</w:t>
      </w:r>
    </w:p>
    <w:p w14:paraId="1E93B622">
      <w:pPr>
        <w:pStyle w:val="29"/>
        <w:adjustRightInd w:val="0"/>
        <w:snapToGrid w:val="0"/>
        <w:spacing w:line="40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注：①当整个招标项目的投标人不足3家的不开标，本中心将按政府采购管理的有关规定处理。</w:t>
      </w:r>
    </w:p>
    <w:p w14:paraId="0F55C026">
      <w:pPr>
        <w:pStyle w:val="29"/>
        <w:adjustRightInd w:val="0"/>
        <w:snapToGrid w:val="0"/>
        <w:spacing w:line="400" w:lineRule="exact"/>
        <w:ind w:firstLine="840" w:firstLineChars="400"/>
        <w:rPr>
          <w:rFonts w:hint="eastAsia" w:hAnsi="宋体"/>
          <w:color w:val="auto"/>
          <w:highlight w:val="none"/>
          <w:shd w:val="clear" w:color="auto" w:fill="auto"/>
        </w:rPr>
      </w:pPr>
      <w:r>
        <w:rPr>
          <w:rFonts w:hint="eastAsia" w:hAnsi="宋体"/>
          <w:color w:val="auto"/>
          <w:highlight w:val="none"/>
          <w:shd w:val="clear" w:color="auto" w:fill="auto"/>
        </w:rPr>
        <w:t>②开标后,某分标投标人不足3家的，本中心将按政府采购管理的有关规定处理。</w:t>
      </w:r>
    </w:p>
    <w:p w14:paraId="03C0D6CA">
      <w:pPr>
        <w:pStyle w:val="29"/>
        <w:snapToGrid w:val="0"/>
        <w:spacing w:line="360" w:lineRule="exact"/>
        <w:ind w:left="690" w:leftChars="228" w:hanging="211" w:hangingChars="100"/>
        <w:rPr>
          <w:rFonts w:hint="eastAsia" w:hAnsi="宋体"/>
          <w:color w:val="auto"/>
          <w:highlight w:val="none"/>
          <w:shd w:val="clear" w:color="auto" w:fill="auto"/>
        </w:rPr>
      </w:pPr>
      <w:r>
        <w:rPr>
          <w:rFonts w:hAnsi="宋体"/>
          <w:b/>
          <w:bCs/>
          <w:color w:val="auto"/>
          <w:highlight w:val="none"/>
          <w:shd w:val="clear" w:color="auto" w:fill="auto"/>
        </w:rPr>
        <w:t>特别说明：如遇“广西政府采购云平台”电子化开标或评审程序调整的，按调整后程序执行。</w:t>
      </w:r>
    </w:p>
    <w:p w14:paraId="336A2A1C">
      <w:pPr>
        <w:pStyle w:val="29"/>
        <w:snapToGrid w:val="0"/>
        <w:spacing w:line="360" w:lineRule="exact"/>
        <w:ind w:left="772" w:leftChars="267" w:hanging="211" w:hangingChars="100"/>
        <w:outlineLvl w:val="1"/>
        <w:rPr>
          <w:rFonts w:hint="eastAsia" w:hAnsi="宋体"/>
          <w:b/>
          <w:color w:val="auto"/>
          <w:highlight w:val="none"/>
          <w:shd w:val="clear" w:color="auto" w:fill="auto"/>
        </w:rPr>
      </w:pPr>
      <w:r>
        <w:rPr>
          <w:rFonts w:hint="eastAsia" w:hAnsi="宋体"/>
          <w:b/>
          <w:color w:val="auto"/>
          <w:highlight w:val="none"/>
          <w:shd w:val="clear" w:color="auto" w:fill="auto"/>
        </w:rPr>
        <w:t>五、</w:t>
      </w:r>
      <w:r>
        <w:rPr>
          <w:rFonts w:hint="eastAsia" w:hAnsi="宋体"/>
          <w:b/>
          <w:bCs/>
          <w:color w:val="auto"/>
          <w:highlight w:val="none"/>
          <w:shd w:val="clear" w:color="auto" w:fill="auto"/>
        </w:rPr>
        <w:t>资格审查</w:t>
      </w:r>
    </w:p>
    <w:p w14:paraId="1B41DD2A">
      <w:pPr>
        <w:pStyle w:val="29"/>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color w:val="auto"/>
          <w:highlight w:val="none"/>
          <w:shd w:val="clear" w:color="auto" w:fill="auto"/>
        </w:rPr>
        <w:t>采购人</w:t>
      </w:r>
      <w:r>
        <w:rPr>
          <w:rFonts w:hint="eastAsia"/>
          <w:color w:val="auto"/>
          <w:spacing w:val="-4"/>
          <w:highlight w:val="none"/>
          <w:shd w:val="clear" w:color="auto" w:fill="auto"/>
        </w:rPr>
        <w:t>或本中心工作人员</w:t>
      </w:r>
      <w:r>
        <w:rPr>
          <w:rFonts w:hint="eastAsia"/>
          <w:color w:val="auto"/>
          <w:highlight w:val="none"/>
          <w:shd w:val="clear" w:color="auto" w:fill="auto"/>
        </w:rPr>
        <w:t>依法对投标人的资格进行审查。合格投标人不足3家的，不得评标。</w:t>
      </w:r>
    </w:p>
    <w:p w14:paraId="163627E9">
      <w:pPr>
        <w:pStyle w:val="29"/>
        <w:snapToGrid w:val="0"/>
        <w:spacing w:line="360" w:lineRule="exact"/>
        <w:ind w:left="772" w:leftChars="267" w:hanging="211" w:hangingChars="100"/>
        <w:outlineLvl w:val="1"/>
        <w:rPr>
          <w:rFonts w:hint="eastAsia" w:hAnsi="宋体"/>
          <w:b/>
          <w:color w:val="auto"/>
          <w:highlight w:val="none"/>
          <w:shd w:val="clear" w:color="auto" w:fill="auto"/>
        </w:rPr>
      </w:pPr>
      <w:r>
        <w:rPr>
          <w:rFonts w:hint="eastAsia" w:hAnsi="宋体"/>
          <w:b/>
          <w:color w:val="auto"/>
          <w:highlight w:val="none"/>
          <w:shd w:val="clear" w:color="auto" w:fill="auto"/>
        </w:rPr>
        <w:t>六、评标</w:t>
      </w:r>
    </w:p>
    <w:p w14:paraId="0F8C2653">
      <w:pPr>
        <w:pStyle w:val="29"/>
        <w:snapToGrid w:val="0"/>
        <w:spacing w:line="360" w:lineRule="exact"/>
        <w:ind w:left="690" w:leftChars="228" w:hanging="211" w:hangingChars="100"/>
        <w:rPr>
          <w:rFonts w:hint="eastAsia" w:hAnsi="宋体"/>
          <w:b/>
          <w:color w:val="auto"/>
          <w:highlight w:val="none"/>
          <w:shd w:val="clear" w:color="auto" w:fill="auto"/>
        </w:rPr>
      </w:pPr>
      <w:r>
        <w:rPr>
          <w:rFonts w:hint="eastAsia" w:hAnsi="宋体"/>
          <w:b/>
          <w:color w:val="auto"/>
          <w:highlight w:val="none"/>
          <w:shd w:val="clear" w:color="auto" w:fill="auto"/>
        </w:rPr>
        <w:t>（一）组建评标委员会</w:t>
      </w:r>
    </w:p>
    <w:p w14:paraId="605C17F1">
      <w:pPr>
        <w:pStyle w:val="29"/>
        <w:snapToGrid w:val="0"/>
        <w:spacing w:line="360" w:lineRule="exact"/>
        <w:ind w:firstLine="420" w:firstLineChars="200"/>
        <w:rPr>
          <w:rFonts w:hint="eastAsia"/>
          <w:color w:val="auto"/>
          <w:spacing w:val="-4"/>
          <w:highlight w:val="none"/>
          <w:shd w:val="clear" w:color="auto" w:fill="auto"/>
        </w:rPr>
      </w:pPr>
      <w:r>
        <w:rPr>
          <w:rFonts w:hint="eastAsia" w:hAnsi="宋体"/>
          <w:bCs/>
          <w:color w:val="auto"/>
          <w:highlight w:val="none"/>
          <w:shd w:val="clear" w:color="auto" w:fill="auto"/>
        </w:rPr>
        <w:t>本招标采购项目的</w:t>
      </w:r>
      <w:r>
        <w:rPr>
          <w:color w:val="auto"/>
          <w:spacing w:val="-4"/>
          <w:highlight w:val="none"/>
          <w:shd w:val="clear" w:color="auto" w:fill="auto"/>
        </w:rPr>
        <w:t>评标委员会由采购人代表和评审专家组成，成员人数应当为5人以上单数，其中评审专家不得少于成员总数的三分之二。</w:t>
      </w:r>
    </w:p>
    <w:p w14:paraId="04569E37">
      <w:pPr>
        <w:pStyle w:val="29"/>
        <w:snapToGrid w:val="0"/>
        <w:spacing w:line="360" w:lineRule="exact"/>
        <w:ind w:left="690" w:leftChars="228" w:hanging="211" w:hangingChars="100"/>
        <w:rPr>
          <w:rFonts w:hint="eastAsia" w:hAnsi="宋体"/>
          <w:b/>
          <w:color w:val="auto"/>
          <w:highlight w:val="none"/>
          <w:shd w:val="clear" w:color="auto" w:fill="auto"/>
        </w:rPr>
      </w:pPr>
      <w:r>
        <w:rPr>
          <w:rFonts w:hint="eastAsia" w:hAnsi="宋体"/>
          <w:b/>
          <w:color w:val="auto"/>
          <w:highlight w:val="none"/>
          <w:shd w:val="clear" w:color="auto" w:fill="auto"/>
        </w:rPr>
        <w:t>（二）评标的方式</w:t>
      </w:r>
    </w:p>
    <w:p w14:paraId="23F33C18">
      <w:pPr>
        <w:pStyle w:val="29"/>
        <w:snapToGrid w:val="0"/>
        <w:spacing w:line="360" w:lineRule="exact"/>
        <w:ind w:left="689" w:leftChars="228" w:hanging="210" w:hangingChars="100"/>
        <w:rPr>
          <w:rFonts w:hint="eastAsia" w:hAnsi="宋体"/>
          <w:color w:val="auto"/>
          <w:highlight w:val="none"/>
          <w:shd w:val="clear" w:color="auto" w:fill="auto"/>
        </w:rPr>
      </w:pPr>
      <w:r>
        <w:rPr>
          <w:rFonts w:hint="eastAsia" w:hAnsi="宋体"/>
          <w:color w:val="auto"/>
          <w:highlight w:val="none"/>
          <w:shd w:val="clear" w:color="auto" w:fill="auto"/>
        </w:rPr>
        <w:t>本项目采用不公开方式评标，评标的依据为招标文件和投标文件。</w:t>
      </w:r>
    </w:p>
    <w:p w14:paraId="25DB6AF1">
      <w:pPr>
        <w:pStyle w:val="29"/>
        <w:snapToGrid w:val="0"/>
        <w:spacing w:line="360" w:lineRule="exact"/>
        <w:ind w:left="690" w:leftChars="228" w:hanging="211" w:hangingChars="100"/>
        <w:rPr>
          <w:rFonts w:hint="eastAsia" w:hAnsi="宋体"/>
          <w:b/>
          <w:color w:val="auto"/>
          <w:highlight w:val="none"/>
          <w:shd w:val="clear" w:color="auto" w:fill="auto"/>
        </w:rPr>
      </w:pPr>
      <w:r>
        <w:rPr>
          <w:rFonts w:hint="eastAsia" w:hAnsi="宋体"/>
          <w:b/>
          <w:color w:val="auto"/>
          <w:highlight w:val="none"/>
          <w:shd w:val="clear" w:color="auto" w:fill="auto"/>
        </w:rPr>
        <w:t>（三）</w:t>
      </w:r>
      <w:r>
        <w:rPr>
          <w:rFonts w:hint="eastAsia" w:hAnsi="宋体"/>
          <w:b/>
          <w:bCs/>
          <w:color w:val="auto"/>
          <w:highlight w:val="none"/>
          <w:shd w:val="clear" w:color="auto" w:fill="auto"/>
        </w:rPr>
        <w:t>评标程序</w:t>
      </w:r>
    </w:p>
    <w:p w14:paraId="1CA953BA">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评标委员会仅对通过资格审查的投标文件进行后续评审，程序如下：</w:t>
      </w:r>
    </w:p>
    <w:p w14:paraId="73ECDCA6">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（1）符合性审查：评标委员会审查投标文件是否实质性响应招标文件要求。未通过审查的投标，不进入详细评审。</w:t>
      </w:r>
    </w:p>
    <w:p w14:paraId="265B9AE4">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（2）询标与澄清：在评</w:t>
      </w:r>
      <w:r>
        <w:rPr>
          <w:rFonts w:hint="eastAsia" w:ascii="宋体" w:hAnsi="宋体"/>
          <w:color w:val="auto"/>
          <w:szCs w:val="21"/>
          <w:highlight w:val="none"/>
          <w:shd w:val="clear" w:color="auto" w:fill="auto"/>
          <w:lang w:eastAsia="zh-CN"/>
        </w:rPr>
        <w:t>标过程中</w:t>
      </w:r>
      <w:r>
        <w:rPr>
          <w:rFonts w:hint="eastAsia" w:ascii="宋体" w:hAnsi="宋体"/>
          <w:color w:val="auto"/>
          <w:szCs w:val="21"/>
          <w:highlight w:val="none"/>
          <w:shd w:val="clear" w:color="auto" w:fill="auto"/>
        </w:rPr>
        <w:t>，如评标委员会认为有必要，可通过广西政府采购云平台的电子询标功能，要求投标人对投标文件中的有关事项进行澄清或说明。投标人须在规定时间内，通过系统以加盖电子签章的正式文件进行回复。澄清或说明的内容不得改变投标文件的实质性内容。 投标人代表超过规定时间或者拒绝澄清，或者澄清的内容改变了投标文件实质性内容的，评标委员会有权否决其投标。</w:t>
      </w:r>
    </w:p>
    <w:p w14:paraId="1D78A907">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（3）商务与技术评审：评标委员会依据评分标准，对通过符合性审查的投标进行详细评审。</w:t>
      </w:r>
    </w:p>
    <w:p w14:paraId="33B9B938">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（4）报价评审</w:t>
      </w:r>
    </w:p>
    <w:p w14:paraId="5AB175AE">
      <w:pPr>
        <w:snapToGrid w:val="0"/>
        <w:spacing w:line="360" w:lineRule="exact"/>
        <w:ind w:left="420" w:leftChars="200" w:firstLine="210" w:firstLineChars="100"/>
        <w:rPr>
          <w:rFonts w:hint="eastAsia" w:ascii="宋体" w:hAnsi="宋体"/>
          <w:color w:val="auto"/>
          <w:szCs w:val="21"/>
          <w:highlight w:val="none"/>
          <w:shd w:val="clear" w:color="auto" w:fill="auto"/>
        </w:rPr>
      </w:pPr>
      <w:r>
        <w:rPr>
          <w:rFonts w:hint="default" w:ascii="宋体" w:hAnsi="宋体"/>
          <w:color w:val="auto"/>
          <w:szCs w:val="21"/>
          <w:highlight w:val="none"/>
          <w:shd w:val="clear" w:color="auto" w:fill="auto"/>
        </w:rPr>
        <w:t>a)</w:t>
      </w:r>
      <w:r>
        <w:rPr>
          <w:rFonts w:hint="eastAsia" w:ascii="宋体" w:hAnsi="宋体"/>
          <w:color w:val="auto"/>
          <w:szCs w:val="21"/>
          <w:highlight w:val="none"/>
          <w:shd w:val="clear" w:color="auto" w:fill="auto"/>
        </w:rPr>
        <w:t xml:space="preserve"> 报价符合性审查：评标委员会审查投标报价是否符合招标文件关于报价的格式、币种、范围</w:t>
      </w:r>
      <w:r>
        <w:rPr>
          <w:rFonts w:hint="eastAsia" w:ascii="宋体" w:hAnsi="宋体"/>
          <w:color w:val="auto"/>
          <w:szCs w:val="21"/>
          <w:highlight w:val="none"/>
          <w:shd w:val="clear" w:color="auto" w:fill="auto"/>
          <w:lang w:eastAsia="zh-CN"/>
        </w:rPr>
        <w:t>（如报价是否完全响应并覆盖招标文件“采购需求”及“货物</w:t>
      </w:r>
      <w:r>
        <w:rPr>
          <w:rFonts w:hint="default"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lang w:eastAsia="zh-CN"/>
        </w:rPr>
        <w:t>服务</w:t>
      </w:r>
      <w:r>
        <w:rPr>
          <w:rFonts w:hint="default"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lang w:eastAsia="zh-CN"/>
        </w:rPr>
        <w:t>清单中所列全部内容、是否超采购预算或最高限价）</w:t>
      </w:r>
      <w:r>
        <w:rPr>
          <w:rFonts w:hint="eastAsia" w:ascii="宋体" w:hAnsi="宋体"/>
          <w:color w:val="auto"/>
          <w:szCs w:val="21"/>
          <w:highlight w:val="none"/>
          <w:shd w:val="clear" w:color="auto" w:fill="auto"/>
        </w:rPr>
        <w:t>等基础要求。</w:t>
      </w:r>
    </w:p>
    <w:p w14:paraId="064EFCA3">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w:t>
      </w:r>
      <w:r>
        <w:rPr>
          <w:rFonts w:hint="default" w:ascii="宋体" w:hAnsi="宋体"/>
          <w:color w:val="auto"/>
          <w:szCs w:val="21"/>
          <w:highlight w:val="none"/>
          <w:shd w:val="clear" w:color="auto" w:fill="auto"/>
        </w:rPr>
        <w:t>b)</w:t>
      </w:r>
      <w:r>
        <w:rPr>
          <w:rFonts w:hint="eastAsia" w:ascii="宋体" w:hAnsi="宋体"/>
          <w:color w:val="auto"/>
          <w:szCs w:val="21"/>
          <w:highlight w:val="none"/>
          <w:shd w:val="clear" w:color="auto" w:fill="auto"/>
        </w:rPr>
        <w:t xml:space="preserve"> 异常低价甄别与说明：对通过报价符合性审查的投标，如触发下列情形，评标委员会应当启动异常低价审查程序：</w:t>
      </w:r>
    </w:p>
    <w:p w14:paraId="137C2F9E">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１）报价</w:t>
      </w:r>
      <w:r>
        <w:rPr>
          <w:rFonts w:hint="eastAsia" w:ascii="宋体" w:hAnsi="宋体"/>
          <w:color w:val="auto"/>
          <w:szCs w:val="21"/>
          <w:highlight w:val="none"/>
          <w:shd w:val="clear" w:color="auto" w:fill="auto"/>
        </w:rPr>
        <w:t>低于全部通过符合性审查投标人</w:t>
      </w:r>
      <w:r>
        <w:rPr>
          <w:rFonts w:hint="eastAsia" w:ascii="宋体" w:hAnsi="宋体"/>
          <w:color w:val="auto"/>
          <w:szCs w:val="21"/>
          <w:highlight w:val="none"/>
          <w:shd w:val="clear" w:color="auto" w:fill="auto"/>
          <w:lang w:eastAsia="zh-CN"/>
        </w:rPr>
        <w:t>投标</w:t>
      </w:r>
      <w:r>
        <w:rPr>
          <w:rFonts w:hint="eastAsia" w:ascii="宋体" w:hAnsi="宋体"/>
          <w:color w:val="auto"/>
          <w:szCs w:val="21"/>
          <w:highlight w:val="none"/>
          <w:shd w:val="clear" w:color="auto" w:fill="auto"/>
        </w:rPr>
        <w:t>报价平均值50%的；</w:t>
      </w:r>
    </w:p>
    <w:p w14:paraId="7F5642A1">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２）报价</w:t>
      </w:r>
      <w:r>
        <w:rPr>
          <w:rFonts w:hint="eastAsia" w:ascii="宋体" w:hAnsi="宋体"/>
          <w:color w:val="auto"/>
          <w:szCs w:val="21"/>
          <w:highlight w:val="none"/>
          <w:shd w:val="clear" w:color="auto" w:fill="auto"/>
        </w:rPr>
        <w:t>低于通过符合性审查的次低报价</w:t>
      </w:r>
      <w:r>
        <w:rPr>
          <w:rFonts w:hint="eastAsia" w:ascii="宋体" w:hAnsi="宋体"/>
          <w:color w:val="auto"/>
          <w:szCs w:val="21"/>
          <w:highlight w:val="none"/>
          <w:shd w:val="clear" w:color="auto" w:fill="auto"/>
          <w:lang w:eastAsia="zh-CN"/>
        </w:rPr>
        <w:t>投标人投标报价</w:t>
      </w:r>
      <w:r>
        <w:rPr>
          <w:rFonts w:hint="eastAsia" w:ascii="宋体" w:hAnsi="宋体"/>
          <w:color w:val="auto"/>
          <w:szCs w:val="21"/>
          <w:highlight w:val="none"/>
          <w:shd w:val="clear" w:color="auto" w:fill="auto"/>
        </w:rPr>
        <w:t>50%的；</w:t>
      </w:r>
    </w:p>
    <w:p w14:paraId="776969C8">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３）报价</w:t>
      </w:r>
      <w:r>
        <w:rPr>
          <w:rFonts w:hint="eastAsia" w:ascii="宋体" w:hAnsi="宋体"/>
          <w:color w:val="auto"/>
          <w:szCs w:val="21"/>
          <w:highlight w:val="none"/>
          <w:shd w:val="clear" w:color="auto" w:fill="auto"/>
        </w:rPr>
        <w:t>低于采购项目最高限价45%的；</w:t>
      </w:r>
    </w:p>
    <w:p w14:paraId="2B6A4216">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４）</w:t>
      </w:r>
      <w:r>
        <w:rPr>
          <w:rFonts w:hint="eastAsia" w:ascii="宋体" w:hAnsi="宋体"/>
          <w:color w:val="auto"/>
          <w:szCs w:val="21"/>
          <w:highlight w:val="none"/>
          <w:shd w:val="clear" w:color="auto" w:fill="auto"/>
        </w:rPr>
        <w:t>评标委员会基于专业判断，认为</w:t>
      </w:r>
      <w:r>
        <w:rPr>
          <w:rFonts w:hint="eastAsia" w:ascii="宋体" w:hAnsi="宋体"/>
          <w:color w:val="auto"/>
          <w:szCs w:val="21"/>
          <w:highlight w:val="none"/>
          <w:shd w:val="clear" w:color="auto" w:fill="auto"/>
          <w:lang w:eastAsia="zh-CN"/>
        </w:rPr>
        <w:t>投标人报价过低，有</w:t>
      </w:r>
      <w:r>
        <w:rPr>
          <w:rFonts w:hint="eastAsia" w:ascii="宋体" w:hAnsi="宋体"/>
          <w:color w:val="auto"/>
          <w:szCs w:val="21"/>
          <w:highlight w:val="none"/>
          <w:shd w:val="clear" w:color="auto" w:fill="auto"/>
        </w:rPr>
        <w:t>可能影响</w:t>
      </w:r>
      <w:r>
        <w:rPr>
          <w:rFonts w:hint="eastAsia" w:ascii="宋体" w:hAnsi="宋体"/>
          <w:color w:val="auto"/>
          <w:szCs w:val="21"/>
          <w:highlight w:val="none"/>
          <w:shd w:val="clear" w:color="auto" w:fill="auto"/>
          <w:lang w:eastAsia="zh-CN"/>
        </w:rPr>
        <w:t>产品</w:t>
      </w:r>
      <w:r>
        <w:rPr>
          <w:rFonts w:hint="eastAsia" w:ascii="宋体" w:hAnsi="宋体"/>
          <w:color w:val="auto"/>
          <w:szCs w:val="21"/>
          <w:highlight w:val="none"/>
          <w:shd w:val="clear" w:color="auto" w:fill="auto"/>
        </w:rPr>
        <w:t>质量或</w:t>
      </w:r>
      <w:r>
        <w:rPr>
          <w:rFonts w:hint="eastAsia" w:ascii="宋体" w:hAnsi="宋体"/>
          <w:color w:val="auto"/>
          <w:szCs w:val="21"/>
          <w:highlight w:val="none"/>
          <w:shd w:val="clear" w:color="auto" w:fill="auto"/>
          <w:lang w:eastAsia="zh-CN"/>
        </w:rPr>
        <w:t>者不能诚信</w:t>
      </w:r>
      <w:r>
        <w:rPr>
          <w:rFonts w:hint="eastAsia" w:ascii="宋体" w:hAnsi="宋体"/>
          <w:color w:val="auto"/>
          <w:szCs w:val="21"/>
          <w:highlight w:val="none"/>
          <w:shd w:val="clear" w:color="auto" w:fill="auto"/>
        </w:rPr>
        <w:t>履约的其他情形。</w:t>
      </w:r>
    </w:p>
    <w:p w14:paraId="68C1A2C1">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评标委员会通过电子询标方式，要求相关投标人在规定时间内提供</w:t>
      </w:r>
      <w:r>
        <w:rPr>
          <w:rFonts w:hint="eastAsia" w:ascii="宋体" w:hAnsi="宋体"/>
          <w:color w:val="auto"/>
          <w:szCs w:val="21"/>
          <w:highlight w:val="none"/>
          <w:shd w:val="clear" w:color="auto" w:fill="auto"/>
          <w:lang w:eastAsia="zh-CN"/>
        </w:rPr>
        <w:t>有关</w:t>
      </w:r>
      <w:r>
        <w:rPr>
          <w:rFonts w:hint="eastAsia" w:ascii="宋体" w:hAnsi="宋体"/>
          <w:color w:val="auto"/>
          <w:szCs w:val="21"/>
          <w:highlight w:val="none"/>
          <w:shd w:val="clear" w:color="auto" w:fill="auto"/>
        </w:rPr>
        <w:t>书面说明及</w:t>
      </w:r>
      <w:r>
        <w:rPr>
          <w:rFonts w:hint="eastAsia" w:ascii="宋体" w:hAnsi="宋体"/>
          <w:color w:val="auto"/>
          <w:szCs w:val="21"/>
          <w:highlight w:val="none"/>
          <w:shd w:val="clear" w:color="auto" w:fill="auto"/>
          <w:lang w:eastAsia="zh-CN"/>
        </w:rPr>
        <w:t>必要的</w:t>
      </w:r>
      <w:r>
        <w:rPr>
          <w:rFonts w:hint="eastAsia" w:ascii="宋体" w:hAnsi="宋体"/>
          <w:color w:val="auto"/>
          <w:szCs w:val="21"/>
          <w:highlight w:val="none"/>
          <w:shd w:val="clear" w:color="auto" w:fill="auto"/>
        </w:rPr>
        <w:t>证明材料。</w:t>
      </w:r>
      <w:r>
        <w:rPr>
          <w:rFonts w:hint="eastAsia" w:ascii="宋体" w:hAnsi="宋体"/>
          <w:color w:val="auto"/>
          <w:szCs w:val="21"/>
          <w:highlight w:val="none"/>
          <w:shd w:val="clear" w:color="auto" w:fill="auto"/>
          <w:lang w:eastAsia="zh-CN"/>
        </w:rPr>
        <w:t>投标人不能提供书面说明、证明材料，或者提供的提供书面说明、证明材料不能</w:t>
      </w:r>
      <w:r>
        <w:rPr>
          <w:rFonts w:hint="eastAsia" w:ascii="宋体" w:hAnsi="宋体"/>
          <w:color w:val="auto"/>
          <w:szCs w:val="21"/>
          <w:highlight w:val="none"/>
          <w:shd w:val="clear" w:color="auto" w:fill="auto"/>
        </w:rPr>
        <w:t>证明其报价合理性的，</w:t>
      </w:r>
      <w:r>
        <w:rPr>
          <w:rFonts w:hint="eastAsia" w:ascii="宋体" w:hAnsi="宋体" w:eastAsia="宋体" w:cs="Times New Roman"/>
          <w:color w:val="auto"/>
          <w:szCs w:val="21"/>
          <w:highlight w:val="none"/>
          <w:shd w:val="clear" w:color="auto" w:fill="auto"/>
        </w:rPr>
        <w:t>评标委员会应</w:t>
      </w:r>
      <w:r>
        <w:rPr>
          <w:rFonts w:hint="eastAsia" w:ascii="宋体" w:hAnsi="宋体" w:eastAsia="宋体" w:cs="Times New Roman"/>
          <w:color w:val="auto"/>
          <w:szCs w:val="21"/>
          <w:highlight w:val="none"/>
          <w:shd w:val="clear" w:color="auto" w:fill="auto"/>
          <w:lang w:val="en-US" w:eastAsia="zh-CN"/>
        </w:rPr>
        <w:t>将其作为无效投标处理。</w:t>
      </w:r>
    </w:p>
    <w:p w14:paraId="64099C72">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w:t>
      </w:r>
      <w:r>
        <w:rPr>
          <w:rFonts w:hint="default" w:ascii="宋体" w:hAnsi="宋体"/>
          <w:color w:val="auto"/>
          <w:szCs w:val="21"/>
          <w:highlight w:val="none"/>
          <w:shd w:val="clear" w:color="auto" w:fill="auto"/>
        </w:rPr>
        <w:t>c)</w:t>
      </w:r>
      <w:r>
        <w:rPr>
          <w:rFonts w:hint="eastAsia" w:ascii="宋体" w:hAnsi="宋体"/>
          <w:color w:val="auto"/>
          <w:szCs w:val="21"/>
          <w:highlight w:val="none"/>
          <w:shd w:val="clear" w:color="auto" w:fill="auto"/>
        </w:rPr>
        <w:t xml:space="preserve"> 价格评分：对通过上述全部审查的有效报价，由系统按招标文件规定计算价格分。</w:t>
      </w:r>
    </w:p>
    <w:p w14:paraId="5B90B9FE">
      <w:pPr>
        <w:snapToGrid w:val="0"/>
        <w:spacing w:line="360" w:lineRule="exact"/>
        <w:ind w:firstLine="420" w:firstLineChars="200"/>
        <w:outlineLvl w:val="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（5）评分汇总与推荐：评标委员会在评审系统内完成评审后，系统将自动计算、汇总得分并生成排序结果。评标委员会</w:t>
      </w:r>
      <w:r>
        <w:rPr>
          <w:rFonts w:hint="eastAsia" w:ascii="宋体" w:hAnsi="宋体"/>
          <w:color w:val="auto"/>
          <w:szCs w:val="21"/>
          <w:highlight w:val="none"/>
          <w:shd w:val="clear" w:color="auto" w:fill="auto"/>
          <w:lang w:eastAsia="zh-CN"/>
        </w:rPr>
        <w:t>据此集体审议推荐</w:t>
      </w:r>
      <w:r>
        <w:rPr>
          <w:rFonts w:hint="eastAsia" w:ascii="宋体" w:hAnsi="宋体"/>
          <w:color w:val="auto"/>
          <w:szCs w:val="21"/>
          <w:highlight w:val="none"/>
          <w:shd w:val="clear" w:color="auto" w:fill="auto"/>
        </w:rPr>
        <w:t>中标候选人，并</w:t>
      </w:r>
      <w:r>
        <w:rPr>
          <w:rFonts w:hint="eastAsia" w:ascii="宋体" w:hAnsi="宋体"/>
          <w:color w:val="auto"/>
          <w:szCs w:val="21"/>
          <w:highlight w:val="none"/>
          <w:shd w:val="clear" w:color="auto" w:fill="auto"/>
          <w:lang w:eastAsia="zh-CN"/>
        </w:rPr>
        <w:t>对</w:t>
      </w:r>
      <w:r>
        <w:rPr>
          <w:rFonts w:hint="eastAsia" w:ascii="宋体" w:hAnsi="宋体"/>
          <w:color w:val="auto"/>
          <w:szCs w:val="21"/>
          <w:highlight w:val="none"/>
          <w:shd w:val="clear" w:color="auto" w:fill="auto"/>
        </w:rPr>
        <w:t>《评标报告》予以确认。</w:t>
      </w:r>
    </w:p>
    <w:p w14:paraId="2C51C162">
      <w:pPr>
        <w:pStyle w:val="29"/>
        <w:snapToGrid w:val="0"/>
        <w:spacing w:line="360" w:lineRule="exact"/>
        <w:ind w:left="689" w:leftChars="228" w:hanging="210" w:hangingChars="100"/>
        <w:outlineLvl w:val="0"/>
        <w:rPr>
          <w:rFonts w:hint="eastAsia" w:hAnsi="宋体"/>
          <w:b/>
          <w:color w:val="auto"/>
          <w:highlight w:val="none"/>
          <w:shd w:val="clear" w:color="auto" w:fill="auto"/>
        </w:rPr>
      </w:pPr>
      <w:r>
        <w:rPr>
          <w:rFonts w:hint="eastAsia" w:hAnsi="宋体"/>
          <w:color w:val="auto"/>
          <w:highlight w:val="none"/>
          <w:shd w:val="clear" w:color="auto" w:fill="auto"/>
        </w:rPr>
        <w:t>（</w:t>
      </w:r>
      <w:r>
        <w:rPr>
          <w:rFonts w:hint="eastAsia" w:hAnsi="宋体"/>
          <w:color w:val="auto"/>
          <w:highlight w:val="none"/>
          <w:shd w:val="clear" w:color="auto" w:fill="auto"/>
          <w:lang w:eastAsia="zh-CN"/>
        </w:rPr>
        <w:t>四</w:t>
      </w:r>
      <w:r>
        <w:rPr>
          <w:rFonts w:hint="eastAsia" w:hAnsi="宋体"/>
          <w:color w:val="auto"/>
          <w:highlight w:val="none"/>
          <w:shd w:val="clear" w:color="auto" w:fill="auto"/>
        </w:rPr>
        <w:t>）</w:t>
      </w:r>
      <w:r>
        <w:rPr>
          <w:rFonts w:hint="eastAsia" w:hAnsi="宋体"/>
          <w:b/>
          <w:color w:val="auto"/>
          <w:highlight w:val="none"/>
          <w:shd w:val="clear" w:color="auto" w:fill="auto"/>
        </w:rPr>
        <w:t>错误修正</w:t>
      </w:r>
    </w:p>
    <w:p w14:paraId="5DABDF69">
      <w:pPr>
        <w:pStyle w:val="29"/>
        <w:snapToGrid w:val="0"/>
        <w:spacing w:line="360" w:lineRule="exact"/>
        <w:ind w:left="689" w:leftChars="228" w:hanging="210" w:hangingChars="100"/>
        <w:rPr>
          <w:rFonts w:hint="eastAsia" w:hAnsi="宋体"/>
          <w:color w:val="auto"/>
          <w:highlight w:val="none"/>
          <w:shd w:val="clear" w:color="auto" w:fill="auto"/>
        </w:rPr>
      </w:pPr>
      <w:r>
        <w:rPr>
          <w:rFonts w:hint="eastAsia" w:hAnsi="宋体"/>
          <w:color w:val="auto"/>
          <w:highlight w:val="none"/>
          <w:shd w:val="clear" w:color="auto" w:fill="auto"/>
        </w:rPr>
        <w:t>投标文件如果出现计算或表达上的错误，修正错误的原则如下：</w:t>
      </w:r>
    </w:p>
    <w:p w14:paraId="1549D915">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1.投标文件中开标一览表（报价表）内容与投标文件中相应内容不一致的，以开标一览表（报价表）为准；</w:t>
      </w:r>
    </w:p>
    <w:p w14:paraId="216E3E1E">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2.大写金额和小写金额不一致的，以大写金额为准；</w:t>
      </w:r>
    </w:p>
    <w:p w14:paraId="6A2A08B0">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3.单价金额小数点或者百分比有明显错位的，以开标一览表的总价为准，并修改单价；</w:t>
      </w:r>
    </w:p>
    <w:p w14:paraId="2D6E570F">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4.总价金额与按单价汇总金额不一致的，以单价金额计算结果为准。</w:t>
      </w:r>
    </w:p>
    <w:p w14:paraId="322E4D47">
      <w:pPr>
        <w:pStyle w:val="29"/>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5.对不同文字文本投标文件的解释发生异议的，以中文文本为准。</w:t>
      </w:r>
    </w:p>
    <w:p w14:paraId="1AAD1B04">
      <w:pPr>
        <w:pStyle w:val="29"/>
        <w:snapToGrid w:val="0"/>
        <w:spacing w:line="360" w:lineRule="exact"/>
        <w:ind w:firstLine="420" w:firstLineChars="200"/>
        <w:rPr>
          <w:rFonts w:hint="eastAsia" w:hAnsi="宋体"/>
          <w:color w:val="auto"/>
          <w:highlight w:val="none"/>
          <w:shd w:val="clear" w:color="auto" w:fill="auto"/>
        </w:rPr>
      </w:pPr>
      <w:r>
        <w:rPr>
          <w:rFonts w:hint="eastAsia"/>
          <w:color w:val="auto"/>
          <w:highlight w:val="none"/>
          <w:shd w:val="clear" w:color="auto" w:fill="auto"/>
        </w:rPr>
        <w:t>同时出现两种以上不一致的，按照前款规定的顺序修正。</w:t>
      </w:r>
    </w:p>
    <w:p w14:paraId="42919562">
      <w:pPr>
        <w:pStyle w:val="29"/>
        <w:snapToGrid w:val="0"/>
        <w:spacing w:line="360" w:lineRule="exact"/>
        <w:ind w:firstLine="422" w:firstLineChars="200"/>
        <w:rPr>
          <w:rFonts w:hint="eastAsia" w:hAnsi="宋体"/>
          <w:b/>
          <w:bCs/>
          <w:color w:val="auto"/>
          <w:highlight w:val="none"/>
          <w:shd w:val="clear" w:color="auto" w:fill="auto"/>
        </w:rPr>
      </w:pPr>
      <w:r>
        <w:rPr>
          <w:rFonts w:hint="eastAsia" w:hAnsi="宋体"/>
          <w:b/>
          <w:bCs/>
          <w:color w:val="auto"/>
          <w:highlight w:val="none"/>
          <w:shd w:val="clear" w:color="auto" w:fill="auto"/>
        </w:rPr>
        <w:t>按上述修正错误的原则及方法调整或修正投标文件的投标报价，投标人同意并</w:t>
      </w:r>
      <w:r>
        <w:rPr>
          <w:rFonts w:hint="default" w:hAnsi="宋体"/>
          <w:b/>
          <w:bCs/>
          <w:color w:val="auto"/>
          <w:highlight w:val="none"/>
          <w:shd w:val="clear" w:color="auto" w:fill="auto"/>
        </w:rPr>
        <w:t>签字或签章</w:t>
      </w:r>
      <w:r>
        <w:rPr>
          <w:rFonts w:hint="eastAsia" w:hAnsi="宋体"/>
          <w:b/>
          <w:bCs/>
          <w:color w:val="auto"/>
          <w:highlight w:val="none"/>
          <w:shd w:val="clear" w:color="auto" w:fill="auto"/>
        </w:rPr>
        <w:t>确认后，调整后的投标报价对投标人具有约束作用。如果投标人不接受修正后的报价，则其投标将作为无效投标处理。</w:t>
      </w:r>
    </w:p>
    <w:p w14:paraId="7A310B09">
      <w:pPr>
        <w:pStyle w:val="29"/>
        <w:tabs>
          <w:tab w:val="left" w:pos="630"/>
        </w:tabs>
        <w:snapToGrid w:val="0"/>
        <w:spacing w:line="360" w:lineRule="exact"/>
        <w:ind w:firstLine="413" w:firstLineChars="196"/>
        <w:outlineLvl w:val="0"/>
        <w:rPr>
          <w:rFonts w:hint="eastAsia" w:hAnsi="宋体" w:eastAsia="宋体"/>
          <w:b/>
          <w:color w:val="auto"/>
          <w:highlight w:val="none"/>
          <w:shd w:val="clear" w:color="auto" w:fill="auto"/>
          <w:lang w:eastAsia="zh-CN"/>
        </w:rPr>
      </w:pPr>
      <w:r>
        <w:rPr>
          <w:rFonts w:hint="eastAsia" w:hAnsi="宋体"/>
          <w:b/>
          <w:color w:val="auto"/>
          <w:highlight w:val="none"/>
          <w:shd w:val="clear" w:color="auto" w:fill="auto"/>
        </w:rPr>
        <w:t>（</w:t>
      </w:r>
      <w:r>
        <w:rPr>
          <w:rFonts w:hint="eastAsia" w:hAnsi="宋体"/>
          <w:b/>
          <w:color w:val="auto"/>
          <w:highlight w:val="none"/>
          <w:shd w:val="clear" w:color="auto" w:fill="auto"/>
          <w:lang w:eastAsia="zh-CN"/>
        </w:rPr>
        <w:t>五</w:t>
      </w:r>
      <w:r>
        <w:rPr>
          <w:rFonts w:hint="eastAsia" w:hAnsi="宋体"/>
          <w:b/>
          <w:color w:val="auto"/>
          <w:highlight w:val="none"/>
          <w:shd w:val="clear" w:color="auto" w:fill="auto"/>
        </w:rPr>
        <w:t>）评标原则和</w:t>
      </w:r>
      <w:r>
        <w:rPr>
          <w:rFonts w:hint="eastAsia" w:hAnsi="宋体"/>
          <w:b/>
          <w:color w:val="auto"/>
          <w:highlight w:val="none"/>
          <w:shd w:val="clear" w:color="auto" w:fill="auto"/>
          <w:lang w:eastAsia="zh-CN"/>
        </w:rPr>
        <w:t>评标方法</w:t>
      </w:r>
    </w:p>
    <w:p w14:paraId="753CC8FF">
      <w:pPr>
        <w:pStyle w:val="29"/>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73623676">
      <w:pPr>
        <w:pStyle w:val="29"/>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2.</w:t>
      </w:r>
      <w:r>
        <w:rPr>
          <w:rFonts w:hint="eastAsia" w:hAnsi="宋体"/>
          <w:color w:val="auto"/>
          <w:highlight w:val="none"/>
          <w:shd w:val="clear" w:color="auto" w:fill="auto"/>
          <w:lang w:eastAsia="zh-CN"/>
        </w:rPr>
        <w:t>评标方法</w:t>
      </w:r>
      <w:r>
        <w:rPr>
          <w:rFonts w:hint="eastAsia" w:hAnsi="宋体"/>
          <w:color w:val="auto"/>
          <w:highlight w:val="none"/>
          <w:shd w:val="clear" w:color="auto" w:fill="auto"/>
        </w:rPr>
        <w:t>。本项目</w:t>
      </w:r>
      <w:r>
        <w:rPr>
          <w:rFonts w:hint="eastAsia" w:hAnsi="宋体"/>
          <w:color w:val="auto"/>
          <w:highlight w:val="none"/>
          <w:shd w:val="clear" w:color="auto" w:fill="auto"/>
          <w:lang w:eastAsia="zh-CN"/>
        </w:rPr>
        <w:t>评标方法</w:t>
      </w:r>
      <w:r>
        <w:rPr>
          <w:rFonts w:hint="eastAsia" w:hAnsi="宋体"/>
          <w:color w:val="auto"/>
          <w:highlight w:val="none"/>
          <w:shd w:val="clear" w:color="auto" w:fill="auto"/>
        </w:rPr>
        <w:t>是</w:t>
      </w:r>
      <w:r>
        <w:rPr>
          <w:rFonts w:hint="eastAsia" w:hAnsi="宋体"/>
          <w:b/>
          <w:color w:val="auto"/>
          <w:highlight w:val="none"/>
          <w:u w:val="single"/>
          <w:shd w:val="clear" w:color="auto" w:fill="auto"/>
        </w:rPr>
        <w:t>综合评分法</w:t>
      </w:r>
      <w:r>
        <w:rPr>
          <w:rFonts w:hint="eastAsia" w:hAnsi="宋体"/>
          <w:color w:val="auto"/>
          <w:highlight w:val="none"/>
          <w:shd w:val="clear" w:color="auto" w:fill="auto"/>
        </w:rPr>
        <w:t>，具体评标内容及评分标准等详见第四章：</w:t>
      </w:r>
      <w:r>
        <w:rPr>
          <w:rFonts w:hint="eastAsia" w:hAnsi="宋体"/>
          <w:color w:val="auto"/>
          <w:highlight w:val="none"/>
          <w:shd w:val="clear" w:color="auto" w:fill="auto"/>
          <w:lang w:eastAsia="zh-CN"/>
        </w:rPr>
        <w:t>评标方法</w:t>
      </w:r>
      <w:r>
        <w:rPr>
          <w:rFonts w:hint="default" w:hAnsi="宋体"/>
          <w:color w:val="auto"/>
          <w:highlight w:val="none"/>
          <w:shd w:val="clear" w:color="auto" w:fill="auto"/>
        </w:rPr>
        <w:t>及评分标准</w:t>
      </w:r>
      <w:r>
        <w:rPr>
          <w:rFonts w:hint="eastAsia" w:hAnsi="宋体"/>
          <w:color w:val="auto"/>
          <w:highlight w:val="none"/>
          <w:shd w:val="clear" w:color="auto" w:fill="auto"/>
        </w:rPr>
        <w:t>。</w:t>
      </w:r>
    </w:p>
    <w:p w14:paraId="22CB1B5A">
      <w:pPr>
        <w:pStyle w:val="29"/>
        <w:snapToGrid w:val="0"/>
        <w:spacing w:line="44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w:t>
      </w:r>
      <w:r>
        <w:rPr>
          <w:rFonts w:hint="eastAsia" w:hAnsi="宋体"/>
          <w:b/>
          <w:color w:val="auto"/>
          <w:highlight w:val="none"/>
          <w:shd w:val="clear" w:color="auto" w:fill="auto"/>
          <w:lang w:eastAsia="zh-CN"/>
        </w:rPr>
        <w:t>六</w:t>
      </w:r>
      <w:r>
        <w:rPr>
          <w:rFonts w:hint="eastAsia" w:hAnsi="宋体"/>
          <w:b/>
          <w:color w:val="auto"/>
          <w:highlight w:val="none"/>
          <w:shd w:val="clear" w:color="auto" w:fill="auto"/>
        </w:rPr>
        <w:t>）评标过程的监控</w:t>
      </w:r>
    </w:p>
    <w:p w14:paraId="30E20C5F">
      <w:pPr>
        <w:pStyle w:val="29"/>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本项目评标过程实行全程录音、录像监控，投标人在评标过程中所进行的试图影响评标结果的不公正活动，可能导致其投标被拒绝。</w:t>
      </w:r>
    </w:p>
    <w:p w14:paraId="6008BAEE">
      <w:pPr>
        <w:pStyle w:val="29"/>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七、评标结果</w:t>
      </w:r>
    </w:p>
    <w:p w14:paraId="14B48480">
      <w:pPr>
        <w:pStyle w:val="29"/>
        <w:spacing w:line="440" w:lineRule="exact"/>
        <w:ind w:firstLine="420"/>
        <w:rPr>
          <w:rFonts w:hint="eastAsia" w:hAnsi="宋体"/>
          <w:color w:val="auto"/>
          <w:highlight w:val="none"/>
          <w:shd w:val="clear" w:color="auto" w:fill="auto"/>
        </w:rPr>
      </w:pPr>
      <w:r>
        <w:rPr>
          <w:rFonts w:hint="eastAsia" w:hAnsi="宋体"/>
          <w:b/>
          <w:bCs/>
          <w:color w:val="auto"/>
          <w:highlight w:val="none"/>
          <w:shd w:val="clear" w:color="auto" w:fill="auto"/>
        </w:rPr>
        <w:t>（一）</w:t>
      </w:r>
      <w:r>
        <w:rPr>
          <w:rFonts w:hint="eastAsia" w:hAnsi="宋体"/>
          <w:color w:val="auto"/>
          <w:highlight w:val="none"/>
          <w:shd w:val="clear" w:color="auto" w:fill="auto"/>
        </w:rPr>
        <w:t>本中心将在评标结束后2个工作日内将评标报告送采购人，采购人在5个工作日内按照评标报告中推荐的中标候选供应商顺序确定中标供应商。</w:t>
      </w:r>
    </w:p>
    <w:p w14:paraId="33B7B705">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（二）中标供应商确定后，本中心在中国政府采购网、广西财政网、</w:t>
      </w:r>
      <w:r>
        <w:rPr>
          <w:rFonts w:hint="eastAsia"/>
          <w:color w:val="auto"/>
          <w:highlight w:val="none"/>
          <w:shd w:val="clear" w:color="auto" w:fill="auto"/>
        </w:rPr>
        <w:t>广西壮族自治区政府采购中心网站</w:t>
      </w:r>
      <w:r>
        <w:rPr>
          <w:rFonts w:hint="eastAsia" w:hAnsi="宋体"/>
          <w:color w:val="auto"/>
          <w:highlight w:val="none"/>
          <w:shd w:val="clear" w:color="auto" w:fill="auto"/>
        </w:rPr>
        <w:t>发布中标结果公告。</w:t>
      </w:r>
    </w:p>
    <w:p w14:paraId="20FCD588">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（三）</w:t>
      </w:r>
      <w:r>
        <w:rPr>
          <w:rFonts w:hint="eastAsia"/>
          <w:color w:val="auto"/>
          <w:highlight w:val="none"/>
          <w:shd w:val="clear" w:color="auto" w:fill="auto"/>
        </w:rPr>
        <w:t>在发布中标结果公告的同时，本中心向中标供应商发出中标通知书。</w:t>
      </w:r>
    </w:p>
    <w:p w14:paraId="4798545E">
      <w:pPr>
        <w:pStyle w:val="29"/>
        <w:spacing w:line="440" w:lineRule="exact"/>
        <w:ind w:firstLine="420" w:firstLineChars="200"/>
        <w:rPr>
          <w:rFonts w:hint="eastAsia" w:hAnsi="宋体"/>
          <w:bCs/>
          <w:color w:val="auto"/>
          <w:highlight w:val="none"/>
          <w:shd w:val="clear" w:color="auto" w:fill="auto"/>
        </w:rPr>
      </w:pPr>
      <w:r>
        <w:rPr>
          <w:rFonts w:hint="eastAsia" w:hAnsi="宋体"/>
          <w:color w:val="auto"/>
          <w:highlight w:val="none"/>
          <w:shd w:val="clear" w:color="auto" w:fill="auto"/>
        </w:rPr>
        <w:t>（四）</w:t>
      </w:r>
      <w:r>
        <w:rPr>
          <w:rFonts w:hint="eastAsia" w:hAnsi="宋体"/>
          <w:bCs/>
          <w:color w:val="auto"/>
          <w:highlight w:val="none"/>
          <w:shd w:val="clear" w:color="auto" w:fill="auto"/>
        </w:rPr>
        <w:t>投标人认为招标文件、招标过程和中标结果使自己的权益受到损害的，可以在知道或者应知其权益受到损害之日起七个工作日内，以书面形式向本中心提出质疑，并及时索要书面回执。</w:t>
      </w:r>
    </w:p>
    <w:p w14:paraId="40A9777E">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（五）</w:t>
      </w:r>
      <w:r>
        <w:rPr>
          <w:rFonts w:hint="eastAsia" w:hAnsi="宋体"/>
          <w:bCs/>
          <w:color w:val="auto"/>
          <w:highlight w:val="none"/>
          <w:shd w:val="clear" w:color="auto" w:fill="auto"/>
        </w:rPr>
        <w:t>本中心应当按照有关规定就采购人委托授权范围内的事项在收到投标人的书面质疑后七个工作日内做出答复，但答复的内容不得涉及商业秘密。</w:t>
      </w:r>
    </w:p>
    <w:p w14:paraId="7DBF9DF8">
      <w:pPr>
        <w:pStyle w:val="29"/>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八、签订合同</w:t>
      </w:r>
    </w:p>
    <w:p w14:paraId="42C91BFD">
      <w:pPr>
        <w:pStyle w:val="29"/>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（一）合同授予标准</w:t>
      </w:r>
    </w:p>
    <w:p w14:paraId="118DBA57">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合同将授予被确定投标文件满足招标文件全部实质性要求，具备履行合同能力，评审得分最高，综合评分排名第一的供应商。</w:t>
      </w:r>
    </w:p>
    <w:p w14:paraId="59517AF0">
      <w:pPr>
        <w:pStyle w:val="29"/>
        <w:snapToGrid w:val="0"/>
        <w:spacing w:line="440" w:lineRule="exact"/>
        <w:ind w:firstLine="413" w:firstLineChars="196"/>
        <w:outlineLvl w:val="1"/>
        <w:rPr>
          <w:rFonts w:hint="eastAsia" w:hAnsi="宋体"/>
          <w:color w:val="auto"/>
          <w:highlight w:val="none"/>
          <w:shd w:val="clear" w:color="auto" w:fill="auto"/>
        </w:rPr>
      </w:pPr>
      <w:r>
        <w:rPr>
          <w:rFonts w:hint="eastAsia" w:hAnsi="宋体"/>
          <w:b/>
          <w:color w:val="auto"/>
          <w:highlight w:val="none"/>
          <w:shd w:val="clear" w:color="auto" w:fill="auto"/>
        </w:rPr>
        <w:t>（二）签订合同</w:t>
      </w:r>
    </w:p>
    <w:p w14:paraId="6D1B4175">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color w:val="auto"/>
          <w:highlight w:val="none"/>
          <w:shd w:val="clear" w:color="auto" w:fill="auto"/>
        </w:rPr>
        <w:t>投标人接到中标通知书后，应按中标通知书规定的时间、地点与采购人签订合同。中标人无正当理由不得放弃中标。</w:t>
      </w:r>
    </w:p>
    <w:p w14:paraId="0027D39B">
      <w:pPr>
        <w:pStyle w:val="29"/>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（2）如中标供应商不按中标通知书的规定签订合同，则按中标供应商违约处理，本中心将没收中标供应商投标的全部投标保证金。</w:t>
      </w:r>
    </w:p>
    <w:p w14:paraId="2186C475">
      <w:pPr>
        <w:pStyle w:val="29"/>
        <w:spacing w:line="440" w:lineRule="exact"/>
        <w:ind w:firstLine="420" w:firstLineChars="200"/>
        <w:rPr>
          <w:rFonts w:hint="eastAsia"/>
          <w:b/>
          <w:color w:val="auto"/>
          <w:highlight w:val="none"/>
          <w:shd w:val="clear" w:color="auto" w:fill="auto"/>
        </w:rPr>
      </w:pPr>
      <w:r>
        <w:rPr>
          <w:rFonts w:hint="eastAsia" w:hAnsi="宋体"/>
          <w:color w:val="auto"/>
          <w:highlight w:val="none"/>
          <w:shd w:val="clear" w:color="auto" w:fill="auto"/>
        </w:rPr>
        <w:t>（3）中标供应商拒绝与采购人签订合同或因不可抗力或者自身原因不能履行采购合同的，采购人可以与中标供应商之后排名第一的中标候选供应商签订采购合同，以此类推,也可以重新招标。</w:t>
      </w:r>
      <w:r>
        <w:rPr>
          <w:color w:val="auto"/>
          <w:highlight w:val="none"/>
          <w:shd w:val="clear" w:color="auto" w:fill="auto"/>
        </w:rPr>
        <w:t>中标供应商放弃中标项目，拒绝与采购人签订合同的，其投标保证金</w:t>
      </w:r>
      <w:r>
        <w:rPr>
          <w:rFonts w:hint="eastAsia"/>
          <w:color w:val="auto"/>
          <w:highlight w:val="none"/>
          <w:shd w:val="clear" w:color="auto" w:fill="auto"/>
        </w:rPr>
        <w:t>将不予退还，</w:t>
      </w:r>
      <w:r>
        <w:rPr>
          <w:color w:val="auto"/>
          <w:highlight w:val="none"/>
          <w:shd w:val="clear" w:color="auto" w:fill="auto"/>
        </w:rPr>
        <w:t>并上缴国库，</w:t>
      </w:r>
      <w:r>
        <w:rPr>
          <w:rFonts w:hint="eastAsia"/>
          <w:color w:val="auto"/>
          <w:highlight w:val="none"/>
          <w:shd w:val="clear" w:color="auto" w:fill="auto"/>
        </w:rPr>
        <w:t>给</w:t>
      </w:r>
      <w:r>
        <w:rPr>
          <w:color w:val="auto"/>
          <w:highlight w:val="none"/>
          <w:shd w:val="clear" w:color="auto" w:fill="auto"/>
        </w:rPr>
        <w:t>采购人造成损失的，还应当赔偿损失，并作为不良行为记录在案</w:t>
      </w:r>
      <w:r>
        <w:rPr>
          <w:rFonts w:hint="eastAsia" w:hAnsi="宋体"/>
          <w:color w:val="auto"/>
          <w:highlight w:val="none"/>
          <w:shd w:val="clear" w:color="auto" w:fill="auto"/>
        </w:rPr>
        <w:t>。</w:t>
      </w:r>
    </w:p>
    <w:p w14:paraId="1210600A">
      <w:pPr>
        <w:pStyle w:val="29"/>
        <w:spacing w:line="440" w:lineRule="exact"/>
        <w:ind w:firstLine="413" w:firstLineChars="196"/>
        <w:rPr>
          <w:rFonts w:hint="eastAsia"/>
          <w:b/>
          <w:color w:val="auto"/>
          <w:highlight w:val="none"/>
          <w:shd w:val="clear" w:color="auto" w:fill="auto"/>
        </w:rPr>
      </w:pPr>
      <w:r>
        <w:rPr>
          <w:rFonts w:hint="eastAsia" w:hAnsi="宋体"/>
          <w:b/>
          <w:color w:val="auto"/>
          <w:highlight w:val="none"/>
          <w:shd w:val="clear" w:color="auto" w:fill="auto"/>
        </w:rPr>
        <w:t>九、其他事项</w:t>
      </w:r>
    </w:p>
    <w:p w14:paraId="539CE286">
      <w:pPr>
        <w:pStyle w:val="29"/>
        <w:spacing w:line="440" w:lineRule="exact"/>
        <w:ind w:firstLine="207" w:firstLineChars="98"/>
        <w:rPr>
          <w:rFonts w:hint="eastAsia"/>
          <w:b/>
          <w:color w:val="auto"/>
          <w:highlight w:val="none"/>
          <w:shd w:val="clear" w:color="auto" w:fill="auto"/>
        </w:rPr>
      </w:pPr>
      <w:r>
        <w:rPr>
          <w:rFonts w:hint="eastAsia"/>
          <w:b/>
          <w:color w:val="auto"/>
          <w:highlight w:val="none"/>
          <w:shd w:val="clear" w:color="auto" w:fill="auto"/>
        </w:rPr>
        <w:t>（1）解释权：</w:t>
      </w:r>
      <w:r>
        <w:rPr>
          <w:rFonts w:hint="eastAsia"/>
          <w:color w:val="auto"/>
          <w:spacing w:val="-4"/>
          <w:highlight w:val="none"/>
          <w:shd w:val="clear" w:color="auto" w:fill="auto"/>
        </w:rPr>
        <w:t>本招标文件解释权属本中心。</w:t>
      </w:r>
    </w:p>
    <w:p w14:paraId="0DE3F078">
      <w:pPr>
        <w:pStyle w:val="29"/>
        <w:spacing w:line="440" w:lineRule="exact"/>
        <w:ind w:firstLine="207" w:firstLineChars="98"/>
        <w:rPr>
          <w:rFonts w:hint="eastAsia"/>
          <w:color w:val="auto"/>
          <w:highlight w:val="none"/>
          <w:shd w:val="clear" w:color="auto" w:fill="auto"/>
        </w:rPr>
      </w:pPr>
      <w:r>
        <w:rPr>
          <w:rFonts w:hint="eastAsia"/>
          <w:b/>
          <w:color w:val="auto"/>
          <w:highlight w:val="none"/>
          <w:shd w:val="clear" w:color="auto" w:fill="auto"/>
        </w:rPr>
        <w:t>（2）有关事宜</w:t>
      </w:r>
    </w:p>
    <w:p w14:paraId="00A4951A">
      <w:pPr>
        <w:pStyle w:val="29"/>
        <w:spacing w:line="440" w:lineRule="exact"/>
        <w:ind w:firstLine="728" w:firstLineChars="347"/>
        <w:rPr>
          <w:color w:val="auto"/>
          <w:highlight w:val="none"/>
          <w:shd w:val="clear" w:color="auto" w:fill="auto"/>
        </w:rPr>
      </w:pPr>
      <w:bookmarkStart w:id="10" w:name="_Toc254970548"/>
      <w:bookmarkStart w:id="11" w:name="_Toc254970689"/>
      <w:r>
        <w:rPr>
          <w:rFonts w:hint="eastAsia"/>
          <w:color w:val="auto"/>
          <w:highlight w:val="none"/>
          <w:shd w:val="clear" w:color="auto" w:fill="auto"/>
        </w:rPr>
        <w:t>所有与本招标文件有关的函件请按下列通讯地址联系：</w:t>
      </w:r>
    </w:p>
    <w:p w14:paraId="293C748E">
      <w:pPr>
        <w:pStyle w:val="29"/>
        <w:tabs>
          <w:tab w:val="left" w:pos="1990"/>
        </w:tabs>
        <w:spacing w:line="440" w:lineRule="exact"/>
        <w:ind w:firstLine="709"/>
        <w:rPr>
          <w:color w:val="auto"/>
          <w:highlight w:val="none"/>
          <w:u w:val="single"/>
          <w:shd w:val="clear" w:color="auto" w:fill="auto"/>
        </w:rPr>
      </w:pPr>
      <w:r>
        <w:rPr>
          <w:rFonts w:hint="eastAsia"/>
          <w:color w:val="auto"/>
          <w:highlight w:val="none"/>
          <w:shd w:val="clear" w:color="auto" w:fill="auto"/>
        </w:rPr>
        <w:t>邮政编码：530022</w:t>
      </w:r>
    </w:p>
    <w:p w14:paraId="6178A24F">
      <w:pPr>
        <w:pStyle w:val="29"/>
        <w:tabs>
          <w:tab w:val="left" w:pos="1990"/>
        </w:tabs>
        <w:spacing w:line="440" w:lineRule="exact"/>
        <w:ind w:firstLine="709"/>
        <w:rPr>
          <w:color w:val="auto"/>
          <w:spacing w:val="-4"/>
          <w:highlight w:val="none"/>
          <w:shd w:val="clear" w:color="auto" w:fill="auto"/>
        </w:rPr>
      </w:pPr>
      <w:r>
        <w:rPr>
          <w:rFonts w:hint="eastAsia"/>
          <w:color w:val="auto"/>
          <w:highlight w:val="none"/>
          <w:shd w:val="clear" w:color="auto" w:fill="auto"/>
        </w:rPr>
        <w:t xml:space="preserve">通讯地址：广西南宁市星湖路22号 </w:t>
      </w:r>
    </w:p>
    <w:p w14:paraId="4942F3FE">
      <w:pPr>
        <w:pStyle w:val="29"/>
        <w:spacing w:line="440" w:lineRule="exact"/>
        <w:ind w:firstLine="710" w:firstLineChars="337"/>
        <w:rPr>
          <w:b/>
          <w:bCs/>
          <w:color w:val="auto"/>
          <w:highlight w:val="none"/>
          <w:shd w:val="clear" w:color="auto" w:fill="auto"/>
        </w:rPr>
      </w:pPr>
      <w:r>
        <w:rPr>
          <w:rFonts w:hint="eastAsia"/>
          <w:b/>
          <w:bCs/>
          <w:color w:val="auto"/>
          <w:highlight w:val="none"/>
          <w:shd w:val="clear" w:color="auto" w:fill="auto"/>
        </w:rPr>
        <w:t>电    话：</w:t>
      </w:r>
      <w:r>
        <w:rPr>
          <w:rFonts w:hint="eastAsia"/>
          <w:b/>
          <w:bCs/>
          <w:color w:val="auto"/>
          <w:highlight w:val="none"/>
          <w:shd w:val="clear" w:color="auto" w:fill="auto"/>
          <w:lang w:val="en-US" w:eastAsia="zh-CN"/>
        </w:rPr>
        <w:t>0771-8600343</w:t>
      </w:r>
      <w:r>
        <w:rPr>
          <w:rFonts w:hint="eastAsia"/>
          <w:b/>
          <w:bCs/>
          <w:color w:val="auto"/>
          <w:highlight w:val="none"/>
          <w:shd w:val="clear" w:color="auto" w:fill="auto"/>
        </w:rPr>
        <w:t xml:space="preserve"> </w:t>
      </w:r>
    </w:p>
    <w:p w14:paraId="15CB0C4B">
      <w:pPr>
        <w:pStyle w:val="29"/>
        <w:spacing w:line="360" w:lineRule="exact"/>
        <w:ind w:firstLine="824"/>
        <w:rPr>
          <w:rFonts w:hint="eastAsia"/>
          <w:color w:val="auto"/>
          <w:highlight w:val="none"/>
          <w:shd w:val="clear" w:color="auto" w:fill="auto"/>
        </w:rPr>
      </w:pPr>
    </w:p>
    <w:p w14:paraId="7065181A">
      <w:pPr>
        <w:pStyle w:val="29"/>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黑体" w:eastAsia="黑体"/>
          <w:b/>
          <w:color w:val="auto"/>
          <w:sz w:val="44"/>
          <w:szCs w:val="44"/>
          <w:highlight w:val="none"/>
          <w:shd w:val="clear" w:color="auto" w:fill="auto"/>
        </w:rPr>
        <w:br w:type="page"/>
      </w:r>
    </w:p>
    <w:p w14:paraId="38ED3AD9">
      <w:pPr>
        <w:pStyle w:val="29"/>
        <w:snapToGrid w:val="0"/>
        <w:spacing w:before="120" w:after="120"/>
        <w:jc w:val="center"/>
        <w:outlineLvl w:val="0"/>
        <w:rPr>
          <w:rFonts w:hint="eastAsia" w:ascii="黑体" w:eastAsia="黑体"/>
          <w:b/>
          <w:color w:val="auto"/>
          <w:sz w:val="32"/>
          <w:szCs w:val="32"/>
          <w:highlight w:val="none"/>
          <w:shd w:val="clear" w:color="auto" w:fill="auto"/>
        </w:rPr>
      </w:pPr>
    </w:p>
    <w:p w14:paraId="068DDBF9">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1B4150BB">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265ED4EC">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2A2F5C03">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754DB3A9">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5511507A">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6BC4CC71">
      <w:pPr>
        <w:pStyle w:val="5"/>
        <w:rPr>
          <w:rFonts w:hint="eastAsia"/>
          <w:color w:val="auto"/>
          <w:highlight w:val="none"/>
          <w:shd w:val="clear" w:color="auto" w:fill="auto"/>
        </w:rPr>
      </w:pPr>
    </w:p>
    <w:bookmarkEnd w:id="10"/>
    <w:bookmarkEnd w:id="11"/>
    <w:p w14:paraId="59CE1E53">
      <w:pPr>
        <w:pStyle w:val="29"/>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仿宋_GB2312" w:eastAsia="仿宋_GB2312"/>
          <w:b/>
          <w:color w:val="auto"/>
          <w:sz w:val="44"/>
          <w:szCs w:val="44"/>
          <w:highlight w:val="none"/>
          <w:shd w:val="clear" w:color="auto" w:fill="auto"/>
        </w:rPr>
        <w:t xml:space="preserve">第四章  </w:t>
      </w:r>
      <w:r>
        <w:rPr>
          <w:rFonts w:hint="eastAsia" w:ascii="仿宋_GB2312" w:eastAsia="仿宋_GB2312"/>
          <w:b/>
          <w:color w:val="auto"/>
          <w:sz w:val="44"/>
          <w:szCs w:val="44"/>
          <w:highlight w:val="none"/>
          <w:shd w:val="clear" w:color="auto" w:fill="auto"/>
          <w:lang w:eastAsia="zh-CN"/>
        </w:rPr>
        <w:t>评标方法</w:t>
      </w:r>
      <w:r>
        <w:rPr>
          <w:rFonts w:hint="eastAsia" w:ascii="仿宋_GB2312" w:eastAsia="仿宋_GB2312"/>
          <w:b/>
          <w:color w:val="auto"/>
          <w:sz w:val="44"/>
          <w:szCs w:val="44"/>
          <w:highlight w:val="none"/>
          <w:shd w:val="clear" w:color="auto" w:fill="auto"/>
        </w:rPr>
        <w:t>及评分标准</w:t>
      </w:r>
    </w:p>
    <w:p w14:paraId="427D29B7">
      <w:pPr>
        <w:spacing w:line="340" w:lineRule="exact"/>
        <w:ind w:firstLine="420" w:firstLineChars="200"/>
        <w:jc w:val="center"/>
        <w:rPr>
          <w:bCs/>
          <w:color w:val="auto"/>
          <w:highlight w:val="none"/>
          <w:shd w:val="clear" w:color="auto" w:fill="auto"/>
        </w:rPr>
      </w:pPr>
      <w:r>
        <w:rPr>
          <w:bCs/>
          <w:color w:val="auto"/>
          <w:highlight w:val="none"/>
          <w:shd w:val="clear" w:color="auto" w:fill="auto"/>
        </w:rPr>
        <w:br w:type="page"/>
      </w:r>
    </w:p>
    <w:p w14:paraId="78E3A93F">
      <w:pPr>
        <w:spacing w:line="340" w:lineRule="exact"/>
        <w:ind w:firstLine="643" w:firstLineChars="200"/>
        <w:jc w:val="both"/>
        <w:rPr>
          <w:rFonts w:hint="default" w:ascii="仿宋_GB2312" w:hAnsi="宋体" w:eastAsia="仿宋_GB2312"/>
          <w:b/>
          <w:color w:val="auto"/>
          <w:sz w:val="32"/>
          <w:szCs w:val="32"/>
          <w:highlight w:val="none"/>
          <w:shd w:val="clear" w:color="auto" w:fill="auto"/>
        </w:rPr>
      </w:pPr>
      <w:r>
        <w:rPr>
          <w:rFonts w:hint="eastAsia" w:ascii="仿宋_GB2312" w:hAnsi="宋体" w:eastAsia="仿宋_GB2312"/>
          <w:b/>
          <w:color w:val="auto"/>
          <w:sz w:val="32"/>
          <w:szCs w:val="32"/>
          <w:highlight w:val="none"/>
          <w:shd w:val="clear" w:color="auto" w:fill="auto"/>
          <w:lang w:val="en-US" w:eastAsia="zh-CN"/>
        </w:rPr>
        <w:t xml:space="preserve">                </w:t>
      </w:r>
      <w:r>
        <w:rPr>
          <w:rFonts w:hint="eastAsia" w:ascii="仿宋_GB2312" w:hAnsi="宋体" w:eastAsia="仿宋_GB2312"/>
          <w:b/>
          <w:color w:val="auto"/>
          <w:sz w:val="32"/>
          <w:szCs w:val="32"/>
          <w:highlight w:val="none"/>
          <w:shd w:val="clear" w:color="auto" w:fill="auto"/>
          <w:lang w:eastAsia="zh-CN"/>
        </w:rPr>
        <w:t>评标方法</w:t>
      </w:r>
      <w:r>
        <w:rPr>
          <w:rFonts w:hint="default" w:ascii="仿宋_GB2312" w:hAnsi="宋体" w:eastAsia="仿宋_GB2312"/>
          <w:b/>
          <w:color w:val="auto"/>
          <w:sz w:val="32"/>
          <w:szCs w:val="32"/>
          <w:highlight w:val="none"/>
          <w:shd w:val="clear" w:color="auto" w:fill="auto"/>
        </w:rPr>
        <w:t>及评分标准</w:t>
      </w:r>
    </w:p>
    <w:p w14:paraId="1399E352">
      <w:pPr>
        <w:pStyle w:val="52"/>
        <w:rPr>
          <w:rFonts w:hint="default" w:eastAsia="仿宋_GB2312"/>
          <w:color w:val="auto"/>
          <w:highlight w:val="none"/>
          <w:lang w:val="en-US" w:eastAsia="zh-CN"/>
        </w:rPr>
      </w:pPr>
      <w:r>
        <w:rPr>
          <w:rFonts w:hint="eastAsia" w:eastAsia="仿宋_GB2312"/>
          <w:color w:val="auto"/>
          <w:highlight w:val="none"/>
          <w:lang w:val="en-US" w:eastAsia="zh-CN"/>
        </w:rPr>
        <w:t xml:space="preserve">                             </w:t>
      </w:r>
      <w:r>
        <w:rPr>
          <w:rFonts w:hint="eastAsia" w:eastAsia="仿宋_GB2312"/>
          <w:color w:val="auto"/>
          <w:highlight w:val="none"/>
          <w:lang w:val="en-US" w:eastAsia="zh-CN"/>
        </w:rPr>
        <w:t xml:space="preserve"> （</w:t>
      </w:r>
      <w:r>
        <w:rPr>
          <w:rFonts w:hint="eastAsia" w:eastAsia="仿宋_GB2312"/>
          <w:color w:val="auto"/>
          <w:highlight w:val="none"/>
          <w:lang w:eastAsia="zh-CN"/>
        </w:rPr>
        <w:t>适用分标</w:t>
      </w:r>
      <w:r>
        <w:rPr>
          <w:rFonts w:hint="eastAsia" w:eastAsia="仿宋_GB2312"/>
          <w:color w:val="auto"/>
          <w:highlight w:val="none"/>
          <w:lang w:val="en-US" w:eastAsia="zh-CN"/>
        </w:rPr>
        <w:t>1）</w:t>
      </w:r>
    </w:p>
    <w:p w14:paraId="57C0AFDE">
      <w:pPr>
        <w:pStyle w:val="29"/>
        <w:keepNext w:val="0"/>
        <w:keepLines w:val="0"/>
        <w:pageBreakBefore w:val="0"/>
        <w:kinsoku/>
        <w:wordWrap/>
        <w:overflowPunct/>
        <w:topLinePunct w:val="0"/>
        <w:autoSpaceDE/>
        <w:autoSpaceDN/>
        <w:bidi w:val="0"/>
        <w:spacing w:line="420" w:lineRule="exact"/>
        <w:ind w:firstLine="517" w:firstLineChars="245"/>
        <w:rPr>
          <w:rFonts w:hAnsi="宋体"/>
          <w:b/>
          <w:color w:val="auto"/>
          <w:highlight w:val="none"/>
          <w:shd w:val="clear" w:color="auto" w:fill="auto"/>
        </w:rPr>
      </w:pPr>
      <w:r>
        <w:rPr>
          <w:rFonts w:hint="eastAsia" w:hAnsi="宋体"/>
          <w:b/>
          <w:color w:val="auto"/>
          <w:highlight w:val="none"/>
          <w:shd w:val="clear" w:color="auto" w:fill="auto"/>
        </w:rPr>
        <w:t>一、评标原则</w:t>
      </w:r>
    </w:p>
    <w:p w14:paraId="0F5C3C27">
      <w:pPr>
        <w:pStyle w:val="29"/>
        <w:keepNext w:val="0"/>
        <w:keepLines w:val="0"/>
        <w:pageBreakBefore w:val="0"/>
        <w:kinsoku/>
        <w:wordWrap/>
        <w:overflowPunct/>
        <w:topLinePunct w:val="0"/>
        <w:autoSpaceDE/>
        <w:autoSpaceDN/>
        <w:bidi w:val="0"/>
        <w:spacing w:line="420" w:lineRule="exact"/>
        <w:ind w:firstLine="482" w:firstLineChars="230"/>
        <w:rPr>
          <w:rFonts w:hAnsi="宋体"/>
          <w:bCs/>
          <w:color w:val="auto"/>
          <w:szCs w:val="20"/>
          <w:highlight w:val="none"/>
          <w:shd w:val="clear" w:color="auto" w:fill="auto"/>
        </w:rPr>
      </w:pPr>
      <w:r>
        <w:rPr>
          <w:rFonts w:hint="eastAsia" w:hAnsi="宋体"/>
          <w:bCs/>
          <w:color w:val="auto"/>
          <w:highlight w:val="none"/>
          <w:shd w:val="clear" w:color="auto" w:fill="auto"/>
        </w:rPr>
        <w:t>(一)评委组成：本招标采购项目的</w:t>
      </w:r>
      <w:r>
        <w:rPr>
          <w:rFonts w:hint="eastAsia"/>
          <w:color w:val="auto"/>
          <w:spacing w:val="-4"/>
          <w:highlight w:val="none"/>
          <w:shd w:val="clear" w:color="auto" w:fill="auto"/>
        </w:rPr>
        <w:t>评标委员会由采购人代表和评审专家组成，成员人数应当为5人以上单数，其中评审专家不得少于成员总数的三分之二。</w:t>
      </w:r>
    </w:p>
    <w:p w14:paraId="1E6507A4">
      <w:pPr>
        <w:pStyle w:val="29"/>
        <w:keepNext w:val="0"/>
        <w:keepLines w:val="0"/>
        <w:pageBreakBefore w:val="0"/>
        <w:kinsoku/>
        <w:wordWrap/>
        <w:overflowPunct/>
        <w:topLinePunct w:val="0"/>
        <w:autoSpaceDE/>
        <w:autoSpaceDN/>
        <w:bidi w:val="0"/>
        <w:spacing w:line="420" w:lineRule="exact"/>
        <w:ind w:firstLine="499" w:firstLineChars="238"/>
        <w:rPr>
          <w:rFonts w:hAnsi="宋体"/>
          <w:bCs/>
          <w:color w:val="auto"/>
          <w:highlight w:val="none"/>
          <w:shd w:val="clear" w:color="auto" w:fill="auto"/>
        </w:rPr>
      </w:pPr>
      <w:r>
        <w:rPr>
          <w:rFonts w:hint="eastAsia" w:hAnsi="宋体"/>
          <w:bCs/>
          <w:color w:val="auto"/>
          <w:highlight w:val="none"/>
          <w:shd w:val="clear" w:color="auto" w:fill="auto"/>
        </w:rPr>
        <w:t>(二)评标依据：</w:t>
      </w:r>
      <w:r>
        <w:rPr>
          <w:rFonts w:hAnsi="宋体"/>
          <w:bCs/>
          <w:color w:val="auto"/>
          <w:highlight w:val="none"/>
          <w:shd w:val="clear" w:color="auto" w:fill="auto"/>
        </w:rPr>
        <w:t>评委将以招投标文件为评标依据，对投标人的投标内容按百分制打分。</w:t>
      </w:r>
    </w:p>
    <w:p w14:paraId="7490376C">
      <w:pPr>
        <w:pStyle w:val="29"/>
        <w:keepNext w:val="0"/>
        <w:keepLines w:val="0"/>
        <w:pageBreakBefore w:val="0"/>
        <w:kinsoku/>
        <w:wordWrap/>
        <w:overflowPunct/>
        <w:topLinePunct w:val="0"/>
        <w:autoSpaceDE/>
        <w:autoSpaceDN/>
        <w:bidi w:val="0"/>
        <w:spacing w:line="420" w:lineRule="exact"/>
        <w:ind w:firstLine="510" w:firstLineChars="243"/>
        <w:rPr>
          <w:rFonts w:hint="eastAsia" w:hAnsi="宋体"/>
          <w:bCs/>
          <w:color w:val="auto"/>
          <w:highlight w:val="none"/>
          <w:shd w:val="clear" w:color="auto" w:fill="auto"/>
        </w:rPr>
      </w:pPr>
      <w:r>
        <w:rPr>
          <w:rFonts w:hint="eastAsia" w:hAnsi="宋体"/>
          <w:bCs/>
          <w:color w:val="auto"/>
          <w:highlight w:val="none"/>
          <w:shd w:val="clear" w:color="auto" w:fill="auto"/>
        </w:rPr>
        <w:t>(三)评标方式：以封闭方式进行。</w:t>
      </w:r>
    </w:p>
    <w:p w14:paraId="25EDD02B">
      <w:pPr>
        <w:pStyle w:val="5"/>
        <w:jc w:val="left"/>
        <w:rPr>
          <w:rFonts w:hint="eastAsia" w:ascii="宋体" w:hAnsi="宋体" w:eastAsia="宋体" w:cs="宋体"/>
          <w:color w:val="auto"/>
          <w:kern w:val="0"/>
          <w:sz w:val="21"/>
          <w:szCs w:val="21"/>
          <w:highlight w:val="none"/>
          <w:lang w:val="en-US" w:eastAsia="zh-CN" w:bidi="ar-SA"/>
        </w:rPr>
      </w:pPr>
      <w:r>
        <w:rPr>
          <w:rFonts w:hint="eastAsia"/>
          <w:color w:val="auto"/>
          <w:highlight w:val="none"/>
          <w:lang w:val="en-US" w:eastAsia="zh-CN"/>
        </w:rPr>
        <w:t xml:space="preserve">   </w:t>
      </w:r>
      <w:r>
        <w:rPr>
          <w:rFonts w:hint="eastAsia" w:ascii="宋体" w:hAnsi="宋体" w:eastAsia="宋体" w:cs="宋体"/>
          <w:color w:val="auto"/>
          <w:kern w:val="0"/>
          <w:sz w:val="21"/>
          <w:szCs w:val="21"/>
          <w:highlight w:val="none"/>
          <w:lang w:val="en-US" w:eastAsia="zh-CN" w:bidi="ar-SA"/>
        </w:rPr>
        <w:t>（四）无效投标处理原则：在评标过程中，包括在异常低价认定程序中被认定为无效的投标，其投标文件不再进入后续评审阶段，也不参与得分计算与汇总排名。</w:t>
      </w:r>
    </w:p>
    <w:p w14:paraId="1069453F">
      <w:pPr>
        <w:pStyle w:val="29"/>
        <w:keepNext w:val="0"/>
        <w:keepLines w:val="0"/>
        <w:pageBreakBefore w:val="0"/>
        <w:kinsoku/>
        <w:wordWrap/>
        <w:overflowPunct/>
        <w:topLinePunct w:val="0"/>
        <w:autoSpaceDE/>
        <w:autoSpaceDN/>
        <w:bidi w:val="0"/>
        <w:spacing w:line="420" w:lineRule="exact"/>
        <w:ind w:firstLine="510" w:firstLineChars="243"/>
        <w:rPr>
          <w:rFonts w:hAnsi="宋体"/>
          <w:b/>
          <w:color w:val="auto"/>
          <w:highlight w:val="none"/>
          <w:shd w:val="clear" w:color="auto" w:fill="auto"/>
        </w:rPr>
      </w:pPr>
      <w:r>
        <w:rPr>
          <w:rFonts w:hint="eastAsia" w:hAnsi="宋体"/>
          <w:bCs/>
          <w:color w:val="auto"/>
          <w:highlight w:val="none"/>
          <w:shd w:val="clear" w:color="auto" w:fill="auto"/>
        </w:rPr>
        <w:t>二</w:t>
      </w:r>
      <w:r>
        <w:rPr>
          <w:rFonts w:hint="eastAsia" w:hAnsi="宋体"/>
          <w:b/>
          <w:color w:val="auto"/>
          <w:highlight w:val="none"/>
          <w:shd w:val="clear" w:color="auto" w:fill="auto"/>
        </w:rPr>
        <w:t>、评标方法</w:t>
      </w:r>
    </w:p>
    <w:p w14:paraId="62E7259E">
      <w:pPr>
        <w:pStyle w:val="29"/>
        <w:keepNext w:val="0"/>
        <w:keepLines w:val="0"/>
        <w:pageBreakBefore w:val="0"/>
        <w:kinsoku/>
        <w:wordWrap/>
        <w:overflowPunct/>
        <w:topLinePunct w:val="0"/>
        <w:autoSpaceDE/>
        <w:autoSpaceDN/>
        <w:bidi w:val="0"/>
        <w:spacing w:line="420" w:lineRule="exact"/>
        <w:ind w:firstLine="420" w:firstLineChars="200"/>
        <w:outlineLvl w:val="0"/>
        <w:rPr>
          <w:rFonts w:hAnsi="宋体"/>
          <w:color w:val="auto"/>
          <w:highlight w:val="none"/>
          <w:shd w:val="clear" w:color="auto" w:fill="auto"/>
        </w:rPr>
      </w:pPr>
      <w:r>
        <w:rPr>
          <w:rFonts w:hint="eastAsia" w:hAnsi="宋体"/>
          <w:color w:val="auto"/>
          <w:highlight w:val="none"/>
          <w:shd w:val="clear" w:color="auto" w:fill="auto"/>
        </w:rPr>
        <w:t>（一）对进入详评的，采用百分制综合评分法。</w:t>
      </w:r>
    </w:p>
    <w:p w14:paraId="3A230986">
      <w:pPr>
        <w:pStyle w:val="29"/>
        <w:keepNext w:val="0"/>
        <w:keepLines w:val="0"/>
        <w:pageBreakBefore w:val="0"/>
        <w:kinsoku/>
        <w:wordWrap/>
        <w:overflowPunct/>
        <w:topLinePunct w:val="0"/>
        <w:autoSpaceDE/>
        <w:autoSpaceDN/>
        <w:bidi w:val="0"/>
        <w:spacing w:line="420" w:lineRule="exact"/>
        <w:ind w:firstLine="420" w:firstLineChars="200"/>
        <w:outlineLvl w:val="0"/>
        <w:rPr>
          <w:rFonts w:hAnsi="宋体"/>
          <w:color w:val="auto"/>
          <w:highlight w:val="none"/>
          <w:shd w:val="clear" w:color="auto" w:fill="auto"/>
        </w:rPr>
      </w:pPr>
      <w:r>
        <w:rPr>
          <w:rFonts w:hint="eastAsia" w:hAnsi="宋体"/>
          <w:color w:val="auto"/>
          <w:highlight w:val="none"/>
          <w:shd w:val="clear" w:color="auto" w:fill="auto"/>
        </w:rPr>
        <w:t>（二）计分办法（按四舍五入取至百分位）：</w:t>
      </w:r>
    </w:p>
    <w:p w14:paraId="326DC6EA">
      <w:pPr>
        <w:pStyle w:val="29"/>
        <w:keepNext w:val="0"/>
        <w:keepLines w:val="0"/>
        <w:pageBreakBefore w:val="0"/>
        <w:kinsoku/>
        <w:wordWrap/>
        <w:overflowPunct/>
        <w:topLinePunct w:val="0"/>
        <w:autoSpaceDE/>
        <w:autoSpaceDN/>
        <w:bidi w:val="0"/>
        <w:spacing w:line="420" w:lineRule="exact"/>
        <w:ind w:firstLine="502" w:firstLineChars="238"/>
        <w:rPr>
          <w:b/>
          <w:color w:val="auto"/>
          <w:highlight w:val="none"/>
          <w:shd w:val="clear" w:color="auto" w:fill="auto"/>
        </w:rPr>
      </w:pPr>
      <w:r>
        <w:rPr>
          <w:rFonts w:hint="eastAsia"/>
          <w:b/>
          <w:color w:val="auto"/>
          <w:highlight w:val="none"/>
          <w:shd w:val="clear" w:color="auto" w:fill="auto"/>
        </w:rPr>
        <w:t>1</w:t>
      </w:r>
      <w:r>
        <w:rPr>
          <w:rFonts w:hint="eastAsia"/>
          <w:b/>
          <w:color w:val="auto"/>
          <w:highlight w:val="none"/>
          <w:shd w:val="clear" w:color="auto" w:fill="auto"/>
          <w:lang w:eastAsia="zh-CN"/>
        </w:rPr>
        <w:t>、</w:t>
      </w:r>
      <w:r>
        <w:rPr>
          <w:rFonts w:hint="eastAsia"/>
          <w:b/>
          <w:color w:val="auto"/>
          <w:highlight w:val="none"/>
          <w:shd w:val="clear" w:color="auto" w:fill="auto"/>
        </w:rPr>
        <w:t>价格分</w:t>
      </w:r>
      <w:r>
        <w:rPr>
          <w:rFonts w:hint="eastAsia" w:hAnsi="宋体"/>
          <w:b/>
          <w:bCs/>
          <w:color w:val="auto"/>
          <w:spacing w:val="-8"/>
          <w:highlight w:val="none"/>
          <w:shd w:val="clear" w:color="auto" w:fill="auto"/>
        </w:rPr>
        <w:t>………………………………………………………………………………………</w:t>
      </w:r>
      <w:r>
        <w:rPr>
          <w:rFonts w:hint="eastAsia"/>
          <w:b/>
          <w:color w:val="auto"/>
          <w:highlight w:val="none"/>
          <w:shd w:val="clear" w:color="auto" w:fill="auto"/>
        </w:rPr>
        <w:t>3</w:t>
      </w:r>
      <w:r>
        <w:rPr>
          <w:rFonts w:hint="eastAsia"/>
          <w:b/>
          <w:color w:val="auto"/>
          <w:highlight w:val="none"/>
          <w:shd w:val="clear" w:color="auto" w:fill="auto"/>
          <w:lang w:val="en-US" w:eastAsia="zh-CN"/>
        </w:rPr>
        <w:t>0</w:t>
      </w:r>
      <w:r>
        <w:rPr>
          <w:rFonts w:hint="eastAsia"/>
          <w:b/>
          <w:color w:val="auto"/>
          <w:highlight w:val="none"/>
          <w:shd w:val="clear" w:color="auto" w:fill="auto"/>
        </w:rPr>
        <w:t>分</w:t>
      </w:r>
    </w:p>
    <w:p w14:paraId="60C0518A">
      <w:pPr>
        <w:pStyle w:val="227"/>
        <w:adjustRightInd w:val="0"/>
        <w:snapToGrid w:val="0"/>
        <w:spacing w:line="400" w:lineRule="exact"/>
        <w:ind w:firstLine="378" w:firstLineChars="180"/>
        <w:rPr>
          <w:color w:val="auto"/>
          <w:highlight w:val="none"/>
        </w:rPr>
      </w:pPr>
      <w:r>
        <w:rPr>
          <w:rFonts w:hint="eastAsia"/>
          <w:color w:val="auto"/>
          <w:highlight w:val="none"/>
        </w:rPr>
        <w:t>（1）</w:t>
      </w:r>
      <w:r>
        <w:rPr>
          <w:rFonts w:hint="eastAsia" w:ascii="Times New Roman" w:hAnsi="Times New Roman"/>
          <w:bCs/>
          <w:color w:val="auto"/>
          <w:highlight w:val="none"/>
        </w:rPr>
        <w:t>符合《政府采购促进中小企业发展管理办法》（财库〔2020〕46号）规定条件且按该办法中规定的格式提供了《中小企业声明函》的小型和微型企业参与投标，对其</w:t>
      </w:r>
      <w:r>
        <w:rPr>
          <w:rFonts w:hint="eastAsia" w:ascii="Times New Roman" w:hAnsi="Times New Roman"/>
          <w:bCs/>
          <w:color w:val="auto"/>
          <w:highlight w:val="none"/>
          <w:lang w:val="en-US" w:eastAsia="zh-CN"/>
        </w:rPr>
        <w:t>投标</w:t>
      </w:r>
      <w:r>
        <w:rPr>
          <w:rFonts w:hint="eastAsia" w:ascii="Times New Roman" w:hAnsi="Times New Roman"/>
          <w:bCs/>
          <w:color w:val="auto"/>
          <w:highlight w:val="none"/>
        </w:rPr>
        <w:t>报价给予</w:t>
      </w:r>
      <w:r>
        <w:rPr>
          <w:rFonts w:hint="eastAsia" w:ascii="Times New Roman" w:hAnsi="Times New Roman"/>
          <w:bCs/>
          <w:color w:val="auto"/>
          <w:highlight w:val="none"/>
          <w:lang w:val="en-US" w:eastAsia="zh-CN"/>
        </w:rPr>
        <w:t>1</w:t>
      </w:r>
      <w:r>
        <w:rPr>
          <w:rFonts w:hint="eastAsia" w:ascii="Times New Roman" w:hAnsi="Times New Roman"/>
          <w:bCs/>
          <w:color w:val="auto"/>
          <w:highlight w:val="none"/>
        </w:rPr>
        <w:t>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扣除后的价格为评标价，即评标价=投标价×（1-10%）；</w:t>
      </w:r>
      <w:r>
        <w:rPr>
          <w:rFonts w:hint="eastAsia"/>
          <w:color w:val="auto"/>
          <w:highlight w:val="none"/>
          <w:lang w:eastAsia="zh-CN"/>
        </w:rPr>
        <w:t>符合</w:t>
      </w:r>
      <w:r>
        <w:rPr>
          <w:rFonts w:hint="eastAsia"/>
          <w:color w:val="auto"/>
          <w:highlight w:val="none"/>
          <w:lang w:val="en-US" w:eastAsia="zh-CN"/>
        </w:rPr>
        <w:t>《国务院办公厅关于在政府采购中实施本国产品标准及相关政策的通知》（国办发〔2025〕34号）规定</w:t>
      </w:r>
      <w:r>
        <w:rPr>
          <w:rFonts w:hint="eastAsia" w:ascii="Times New Roman" w:hAnsi="Times New Roman"/>
          <w:bCs/>
          <w:color w:val="auto"/>
          <w:highlight w:val="none"/>
        </w:rPr>
        <w:t>条件且按该</w:t>
      </w:r>
      <w:r>
        <w:rPr>
          <w:rFonts w:hint="eastAsia" w:ascii="Times New Roman" w:hAnsi="Times New Roman"/>
          <w:bCs/>
          <w:color w:val="auto"/>
          <w:highlight w:val="none"/>
          <w:lang w:eastAsia="zh-CN"/>
        </w:rPr>
        <w:t>通知</w:t>
      </w:r>
      <w:r>
        <w:rPr>
          <w:rFonts w:hint="eastAsia" w:ascii="Times New Roman" w:hAnsi="Times New Roman"/>
          <w:bCs/>
          <w:color w:val="auto"/>
          <w:highlight w:val="none"/>
        </w:rPr>
        <w:t>中规定的格式提供了《关于符合本国产品标准的声明函》的</w:t>
      </w:r>
      <w:r>
        <w:rPr>
          <w:rFonts w:hint="eastAsia" w:ascii="Times New Roman" w:hAnsi="Times New Roman"/>
          <w:bCs/>
          <w:color w:val="auto"/>
          <w:highlight w:val="none"/>
          <w:lang w:eastAsia="zh-CN"/>
        </w:rPr>
        <w:t>供应商</w:t>
      </w:r>
      <w:r>
        <w:rPr>
          <w:rFonts w:hint="eastAsia" w:ascii="Times New Roman" w:hAnsi="Times New Roman"/>
          <w:bCs/>
          <w:color w:val="auto"/>
          <w:highlight w:val="none"/>
        </w:rPr>
        <w:t>参与投标，对其</w:t>
      </w:r>
      <w:r>
        <w:rPr>
          <w:rFonts w:hint="eastAsia" w:ascii="Times New Roman" w:hAnsi="Times New Roman"/>
          <w:bCs/>
          <w:color w:val="auto"/>
          <w:highlight w:val="none"/>
          <w:lang w:eastAsia="zh-CN"/>
        </w:rPr>
        <w:t>投标</w:t>
      </w:r>
      <w:r>
        <w:rPr>
          <w:rFonts w:hint="eastAsia" w:ascii="Times New Roman" w:hAnsi="Times New Roman"/>
          <w:bCs/>
          <w:color w:val="auto"/>
          <w:highlight w:val="none"/>
        </w:rPr>
        <w:t>报价给予</w:t>
      </w:r>
      <w:r>
        <w:rPr>
          <w:rFonts w:hint="eastAsia" w:ascii="Times New Roman" w:hAnsi="Times New Roman"/>
          <w:bCs/>
          <w:color w:val="auto"/>
          <w:highlight w:val="none"/>
          <w:lang w:val="en-US" w:eastAsia="zh-CN"/>
        </w:rPr>
        <w:t>2</w:t>
      </w:r>
      <w:r>
        <w:rPr>
          <w:rFonts w:hint="eastAsia" w:ascii="Times New Roman" w:hAnsi="Times New Roman"/>
          <w:bCs/>
          <w:color w:val="auto"/>
          <w:highlight w:val="none"/>
        </w:rPr>
        <w:t>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w:t>
      </w:r>
      <w:r>
        <w:rPr>
          <w:rFonts w:hint="eastAsia"/>
          <w:color w:val="auto"/>
          <w:highlight w:val="none"/>
          <w:lang w:val="en-US" w:eastAsia="zh-CN"/>
        </w:rPr>
        <w:t>2</w:t>
      </w:r>
      <w:r>
        <w:rPr>
          <w:rFonts w:hint="eastAsia"/>
          <w:color w:val="auto"/>
          <w:highlight w:val="none"/>
        </w:rPr>
        <w:t>0%）</w:t>
      </w:r>
      <w:r>
        <w:rPr>
          <w:rFonts w:hint="eastAsia"/>
          <w:color w:val="auto"/>
          <w:highlight w:val="none"/>
        </w:rPr>
        <w:t>；除上述情况外，评标价=投标价。</w:t>
      </w:r>
    </w:p>
    <w:p w14:paraId="1A2807EF">
      <w:pPr>
        <w:pStyle w:val="29"/>
        <w:keepNext w:val="0"/>
        <w:keepLines w:val="0"/>
        <w:pageBreakBefore w:val="0"/>
        <w:kinsoku/>
        <w:wordWrap/>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hAnsi="宋体" w:cs="宋体"/>
          <w:color w:val="auto"/>
          <w:kern w:val="0"/>
          <w:highlight w:val="none"/>
          <w:shd w:val="clear" w:color="auto" w:fill="auto"/>
        </w:rPr>
        <w:t>投标产品生产企业</w:t>
      </w:r>
      <w:r>
        <w:rPr>
          <w:rFonts w:hint="eastAsia"/>
          <w:color w:val="auto"/>
          <w:highlight w:val="none"/>
          <w:shd w:val="clear" w:color="auto" w:fill="auto"/>
        </w:rPr>
        <w:t>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2E891094">
      <w:pPr>
        <w:pStyle w:val="29"/>
        <w:keepNext w:val="0"/>
        <w:keepLines w:val="0"/>
        <w:pageBreakBefore w:val="0"/>
        <w:kinsoku/>
        <w:wordWrap/>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color w:val="auto"/>
          <w:highlight w:val="none"/>
          <w:shd w:val="clear" w:color="auto" w:fill="auto"/>
        </w:rPr>
        <w:t>投标</w:t>
      </w:r>
      <w:r>
        <w:rPr>
          <w:rFonts w:hint="eastAsia"/>
          <w:b/>
          <w:color w:val="auto"/>
          <w:highlight w:val="none"/>
          <w:shd w:val="clear" w:color="auto" w:fill="auto"/>
        </w:rPr>
        <w:t>产品</w:t>
      </w:r>
      <w:r>
        <w:rPr>
          <w:rFonts w:hint="eastAsia"/>
          <w:color w:val="auto"/>
          <w:highlight w:val="none"/>
          <w:shd w:val="clear" w:color="auto" w:fill="auto"/>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78A15409">
      <w:pPr>
        <w:pStyle w:val="29"/>
        <w:keepNext w:val="0"/>
        <w:keepLines w:val="0"/>
        <w:pageBreakBefore w:val="0"/>
        <w:kinsoku/>
        <w:wordWrap/>
        <w:overflowPunct/>
        <w:topLinePunct w:val="0"/>
        <w:autoSpaceDE/>
        <w:autoSpaceDN/>
        <w:bidi w:val="0"/>
        <w:spacing w:line="420" w:lineRule="exact"/>
        <w:ind w:firstLine="210" w:firstLineChars="100"/>
        <w:outlineLvl w:val="0"/>
        <w:rPr>
          <w:rFonts w:hAnsi="宋体"/>
          <w:color w:val="auto"/>
          <w:highlight w:val="none"/>
          <w:shd w:val="clear" w:color="auto" w:fill="auto"/>
        </w:rPr>
      </w:pPr>
      <w:r>
        <w:rPr>
          <w:rFonts w:hint="eastAsia" w:hAnsi="宋体"/>
          <w:color w:val="auto"/>
          <w:highlight w:val="none"/>
          <w:shd w:val="clear" w:color="auto" w:fill="auto"/>
        </w:rPr>
        <w:t xml:space="preserve"> （2）以</w:t>
      </w:r>
      <w:r>
        <w:rPr>
          <w:rFonts w:hint="eastAsia"/>
          <w:color w:val="auto"/>
          <w:highlight w:val="none"/>
          <w:shd w:val="clear" w:color="auto" w:fill="auto"/>
        </w:rPr>
        <w:t>满足招标文件要求且评标价最低的投标人的评标价为评标基准价，其价格分为</w:t>
      </w:r>
      <w:r>
        <w:rPr>
          <w:rFonts w:hint="eastAsia" w:hAnsi="宋体" w:cs="宋体"/>
          <w:b/>
          <w:color w:val="auto"/>
          <w:highlight w:val="none"/>
          <w:shd w:val="clear" w:color="auto" w:fill="auto"/>
        </w:rPr>
        <w:t>3</w:t>
      </w:r>
      <w:r>
        <w:rPr>
          <w:rFonts w:hint="eastAsia" w:hAnsi="宋体" w:cs="宋体"/>
          <w:b/>
          <w:color w:val="auto"/>
          <w:highlight w:val="none"/>
          <w:shd w:val="clear" w:color="auto" w:fill="auto"/>
          <w:lang w:val="en-US" w:eastAsia="zh-CN"/>
        </w:rPr>
        <w:t>0</w:t>
      </w:r>
      <w:r>
        <w:rPr>
          <w:rFonts w:hint="eastAsia" w:hAnsi="宋体" w:cs="宋体"/>
          <w:color w:val="auto"/>
          <w:szCs w:val="24"/>
          <w:highlight w:val="none"/>
          <w:shd w:val="clear" w:color="auto" w:fill="auto"/>
        </w:rPr>
        <w:t>分</w:t>
      </w:r>
      <w:r>
        <w:rPr>
          <w:rFonts w:hint="eastAsia" w:ascii="Times New Roman" w:hAnsi="Times New Roman"/>
          <w:color w:val="auto"/>
          <w:szCs w:val="24"/>
          <w:highlight w:val="none"/>
          <w:shd w:val="clear" w:color="auto" w:fill="auto"/>
        </w:rPr>
        <w:t>。</w:t>
      </w:r>
    </w:p>
    <w:p w14:paraId="4CC49ABA">
      <w:pPr>
        <w:pStyle w:val="29"/>
        <w:keepNext w:val="0"/>
        <w:keepLines w:val="0"/>
        <w:pageBreakBefore w:val="0"/>
        <w:kinsoku/>
        <w:wordWrap/>
        <w:overflowPunct/>
        <w:topLinePunct w:val="0"/>
        <w:autoSpaceDE/>
        <w:autoSpaceDN/>
        <w:bidi w:val="0"/>
        <w:spacing w:line="420" w:lineRule="exact"/>
        <w:outlineLvl w:val="0"/>
        <w:rPr>
          <w:b/>
          <w:color w:val="auto"/>
          <w:highlight w:val="none"/>
          <w:shd w:val="clear" w:color="auto" w:fill="auto"/>
        </w:rPr>
      </w:pPr>
      <w:r>
        <w:rPr>
          <w:rFonts w:hint="eastAsia"/>
          <w:b/>
          <w:bCs/>
          <w:color w:val="auto"/>
          <w:highlight w:val="none"/>
          <w:shd w:val="clear" w:color="auto" w:fill="auto"/>
          <w:lang w:val="en-US" w:eastAsia="zh-CN"/>
        </w:rPr>
        <w:t xml:space="preserve">   </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3</w:t>
      </w:r>
      <w:r>
        <w:rPr>
          <w:rFonts w:hint="eastAsia"/>
          <w:b/>
          <w:bCs/>
          <w:color w:val="auto"/>
          <w:highlight w:val="none"/>
          <w:shd w:val="clear" w:color="auto" w:fill="auto"/>
          <w:lang w:eastAsia="zh-CN"/>
        </w:rPr>
        <w:t>）</w:t>
      </w:r>
      <w:r>
        <w:rPr>
          <w:rFonts w:hint="eastAsia"/>
          <w:b/>
          <w:bCs/>
          <w:color w:val="auto"/>
          <w:highlight w:val="none"/>
          <w:shd w:val="clear" w:color="auto" w:fill="auto"/>
        </w:rPr>
        <w:t>某投标人价格分</w:t>
      </w:r>
      <w:r>
        <w:rPr>
          <w:rFonts w:hint="eastAsia"/>
          <w:b/>
          <w:color w:val="auto"/>
          <w:highlight w:val="none"/>
          <w:shd w:val="clear" w:color="auto" w:fill="auto"/>
        </w:rPr>
        <w:t xml:space="preserve"> =评标基准价（金额）/某投标人</w:t>
      </w:r>
      <w:r>
        <w:rPr>
          <w:rFonts w:hint="eastAsia"/>
          <w:b/>
          <w:color w:val="auto"/>
          <w:highlight w:val="none"/>
          <w:shd w:val="clear" w:color="auto" w:fill="auto"/>
          <w:lang w:eastAsia="zh-CN"/>
        </w:rPr>
        <w:t>评标价</w:t>
      </w:r>
      <w:r>
        <w:rPr>
          <w:rFonts w:hint="eastAsia"/>
          <w:b/>
          <w:color w:val="auto"/>
          <w:highlight w:val="none"/>
          <w:shd w:val="clear" w:color="auto" w:fill="auto"/>
        </w:rPr>
        <w:t>（金额）×3</w:t>
      </w:r>
      <w:r>
        <w:rPr>
          <w:rFonts w:hint="eastAsia"/>
          <w:b/>
          <w:color w:val="auto"/>
          <w:highlight w:val="none"/>
          <w:shd w:val="clear" w:color="auto" w:fill="auto"/>
          <w:lang w:val="en-US" w:eastAsia="zh-CN"/>
        </w:rPr>
        <w:t>0</w:t>
      </w:r>
      <w:r>
        <w:rPr>
          <w:rFonts w:hint="eastAsia"/>
          <w:b/>
          <w:color w:val="auto"/>
          <w:highlight w:val="none"/>
          <w:shd w:val="clear" w:color="auto" w:fill="auto"/>
        </w:rPr>
        <w:t>分</w:t>
      </w:r>
    </w:p>
    <w:p w14:paraId="3B41A59F">
      <w:pPr>
        <w:spacing w:line="400" w:lineRule="exact"/>
        <w:rPr>
          <w:rFonts w:hint="eastAsia" w:ascii="宋体" w:hAnsi="宋体" w:cs="宋体"/>
          <w:color w:val="auto"/>
          <w:highlight w:val="none"/>
        </w:rPr>
      </w:pPr>
      <w:r>
        <w:rPr>
          <w:rFonts w:hint="eastAsia" w:hAnsi="宋体"/>
          <w:b/>
          <w:color w:val="auto"/>
          <w:highlight w:val="none"/>
          <w:shd w:val="clear" w:color="auto" w:fill="auto"/>
          <w:lang w:val="en-US" w:eastAsia="zh-CN"/>
        </w:rPr>
        <w:t xml:space="preserve">   </w:t>
      </w:r>
      <w:r>
        <w:rPr>
          <w:rFonts w:hint="eastAsia" w:ascii="宋体" w:hAnsi="宋体" w:cs="宋体"/>
          <w:color w:val="auto"/>
          <w:highlight w:val="none"/>
        </w:rPr>
        <w:t xml:space="preserve"> </w:t>
      </w:r>
      <w:r>
        <w:rPr>
          <w:rFonts w:hint="eastAsia" w:ascii="宋体" w:hAnsi="宋体" w:cs="宋体"/>
          <w:b/>
          <w:color w:val="auto"/>
          <w:kern w:val="0"/>
          <w:highlight w:val="none"/>
        </w:rPr>
        <w:t>2、</w:t>
      </w:r>
      <w:r>
        <w:rPr>
          <w:rFonts w:hint="eastAsia" w:ascii="宋体" w:hAnsi="宋体" w:cs="宋体"/>
          <w:b/>
          <w:bCs/>
          <w:color w:val="auto"/>
          <w:spacing w:val="-12"/>
          <w:kern w:val="0"/>
          <w:highlight w:val="none"/>
        </w:rPr>
        <w:t>技术分</w:t>
      </w:r>
      <w:r>
        <w:rPr>
          <w:rFonts w:hint="eastAsia" w:ascii="宋体" w:hAnsi="宋体" w:cs="宋体"/>
          <w:b/>
          <w:color w:val="auto"/>
          <w:szCs w:val="21"/>
          <w:highlight w:val="none"/>
        </w:rPr>
        <w:t>………………………………………………………………………………</w:t>
      </w:r>
      <w:r>
        <w:rPr>
          <w:rFonts w:hint="eastAsia" w:ascii="宋体" w:hAnsi="宋体" w:cs="宋体"/>
          <w:b/>
          <w:color w:val="auto"/>
          <w:highlight w:val="none"/>
          <w:lang w:val="en-US" w:eastAsia="zh-CN"/>
        </w:rPr>
        <w:t>60</w:t>
      </w:r>
      <w:r>
        <w:rPr>
          <w:rFonts w:hint="eastAsia" w:ascii="宋体" w:hAnsi="宋体" w:cs="宋体"/>
          <w:b/>
          <w:color w:val="auto"/>
          <w:highlight w:val="none"/>
        </w:rPr>
        <w:t>分</w:t>
      </w:r>
    </w:p>
    <w:p w14:paraId="355C49D8">
      <w:pPr>
        <w:pStyle w:val="29"/>
        <w:spacing w:line="400" w:lineRule="exact"/>
        <w:ind w:firstLine="422" w:firstLineChars="200"/>
        <w:rPr>
          <w:rFonts w:hint="eastAsia" w:hAnsi="宋体" w:cs="宋体"/>
          <w:b/>
          <w:bCs/>
          <w:color w:val="auto"/>
          <w:highlight w:val="none"/>
        </w:rPr>
      </w:pPr>
      <w:r>
        <w:rPr>
          <w:rFonts w:hint="eastAsia" w:hAnsi="宋体" w:cs="宋体"/>
          <w:b/>
          <w:bCs/>
          <w:color w:val="auto"/>
          <w:highlight w:val="none"/>
        </w:rPr>
        <w:t>（1）技术性能分（满分</w:t>
      </w:r>
      <w:r>
        <w:rPr>
          <w:rFonts w:hint="eastAsia" w:hAnsi="宋体" w:cs="宋体"/>
          <w:b/>
          <w:bCs/>
          <w:color w:val="auto"/>
          <w:highlight w:val="none"/>
          <w:lang w:val="en-US" w:eastAsia="zh-CN"/>
        </w:rPr>
        <w:t>24</w:t>
      </w:r>
      <w:r>
        <w:rPr>
          <w:rFonts w:hint="eastAsia" w:hAnsi="宋体" w:cs="宋体"/>
          <w:b/>
          <w:bCs/>
          <w:color w:val="auto"/>
          <w:highlight w:val="none"/>
        </w:rPr>
        <w:t>分）</w:t>
      </w:r>
    </w:p>
    <w:p w14:paraId="31635940">
      <w:pPr>
        <w:pStyle w:val="29"/>
        <w:spacing w:line="400" w:lineRule="exact"/>
        <w:rPr>
          <w:b w:val="0"/>
          <w:bCs w:val="0"/>
          <w:color w:val="auto"/>
          <w:highlight w:val="none"/>
        </w:rPr>
      </w:pPr>
      <w:r>
        <w:rPr>
          <w:rFonts w:hint="eastAsia"/>
          <w:color w:val="auto"/>
          <w:highlight w:val="none"/>
        </w:rPr>
        <w:t xml:space="preserve">   </w:t>
      </w:r>
      <w:r>
        <w:rPr>
          <w:rFonts w:hint="eastAsia"/>
          <w:b/>
          <w:bCs/>
          <w:color w:val="auto"/>
          <w:highlight w:val="none"/>
        </w:rPr>
        <w:t xml:space="preserve">  标记“★”的</w:t>
      </w:r>
      <w:r>
        <w:rPr>
          <w:rFonts w:hint="eastAsia" w:hAnsi="宋体"/>
          <w:b/>
          <w:bCs/>
          <w:color w:val="auto"/>
          <w:highlight w:val="none"/>
        </w:rPr>
        <w:t>技术</w:t>
      </w:r>
      <w:r>
        <w:rPr>
          <w:rFonts w:hint="eastAsia"/>
          <w:b/>
          <w:bCs/>
          <w:color w:val="auto"/>
          <w:highlight w:val="none"/>
        </w:rPr>
        <w:t>需求：投标人在技术偏离表中标明正偏离且被评标委员会评定为正偏离的，每有一项加</w:t>
      </w:r>
      <w:r>
        <w:rPr>
          <w:rFonts w:hint="eastAsia"/>
          <w:b/>
          <w:bCs/>
          <w:color w:val="auto"/>
          <w:highlight w:val="none"/>
          <w:lang w:val="en-US" w:eastAsia="zh-CN"/>
        </w:rPr>
        <w:t>3</w:t>
      </w:r>
      <w:r>
        <w:rPr>
          <w:rFonts w:hint="eastAsia"/>
          <w:b/>
          <w:bCs/>
          <w:color w:val="auto"/>
          <w:highlight w:val="none"/>
        </w:rPr>
        <w:t>分</w:t>
      </w:r>
      <w:r>
        <w:rPr>
          <w:rFonts w:hint="eastAsia"/>
          <w:b/>
          <w:bCs/>
          <w:color w:val="auto"/>
          <w:highlight w:val="none"/>
          <w:lang w:eastAsia="zh-CN"/>
        </w:rPr>
        <w:t>，</w:t>
      </w:r>
      <w:r>
        <w:rPr>
          <w:rFonts w:hint="eastAsia"/>
          <w:b/>
          <w:bCs/>
          <w:color w:val="auto"/>
          <w:highlight w:val="none"/>
        </w:rPr>
        <w:t>满分</w:t>
      </w:r>
      <w:r>
        <w:rPr>
          <w:rFonts w:hint="eastAsia"/>
          <w:b/>
          <w:bCs/>
          <w:color w:val="auto"/>
          <w:highlight w:val="none"/>
          <w:lang w:val="en-US" w:eastAsia="zh-CN"/>
        </w:rPr>
        <w:t>24</w:t>
      </w:r>
      <w:r>
        <w:rPr>
          <w:rFonts w:hint="eastAsia"/>
          <w:b/>
          <w:bCs/>
          <w:color w:val="auto"/>
          <w:highlight w:val="none"/>
        </w:rPr>
        <w:t>分</w:t>
      </w:r>
      <w:r>
        <w:rPr>
          <w:rFonts w:hint="eastAsia"/>
          <w:b w:val="0"/>
          <w:bCs w:val="0"/>
          <w:color w:val="auto"/>
          <w:highlight w:val="none"/>
        </w:rPr>
        <w:t>。</w:t>
      </w:r>
    </w:p>
    <w:p w14:paraId="47253FDE">
      <w:pPr>
        <w:pStyle w:val="29"/>
        <w:spacing w:line="400" w:lineRule="exact"/>
        <w:rPr>
          <w:rFonts w:hint="eastAsia" w:hAnsi="宋体"/>
          <w:b/>
          <w:color w:val="auto"/>
          <w:highlight w:val="none"/>
        </w:rPr>
      </w:pPr>
      <w:r>
        <w:rPr>
          <w:rFonts w:hint="eastAsia" w:hAnsi="宋体"/>
          <w:b/>
          <w:color w:val="auto"/>
          <w:highlight w:val="none"/>
        </w:rPr>
        <w:t xml:space="preserve">    </w:t>
      </w:r>
      <w:r>
        <w:rPr>
          <w:rFonts w:hint="eastAsia" w:hAnsi="宋体"/>
          <w:b w:val="0"/>
          <w:bCs/>
          <w:color w:val="auto"/>
          <w:highlight w:val="none"/>
        </w:rPr>
        <w:t xml:space="preserve"> </w:t>
      </w:r>
      <w:r>
        <w:rPr>
          <w:rFonts w:hint="eastAsia" w:hAnsi="宋体"/>
          <w:b w:val="0"/>
          <w:bCs/>
          <w:color w:val="auto"/>
          <w:highlight w:val="none"/>
          <w:lang w:eastAsia="zh-CN"/>
        </w:rPr>
        <w:t>【</w:t>
      </w:r>
      <w:r>
        <w:rPr>
          <w:rFonts w:hint="eastAsia" w:hAnsi="宋体"/>
          <w:b w:val="0"/>
          <w:bCs/>
          <w:color w:val="auto"/>
          <w:highlight w:val="none"/>
        </w:rPr>
        <w:t>注：</w:t>
      </w:r>
      <w:r>
        <w:rPr>
          <w:rFonts w:hint="eastAsia" w:ascii="汉仪书宋二S" w:hAnsi="汉仪书宋二S" w:eastAsia="汉仪书宋二S" w:cs="汉仪书宋二S"/>
          <w:b w:val="0"/>
          <w:bCs/>
          <w:color w:val="auto"/>
          <w:highlight w:val="none"/>
        </w:rPr>
        <w:t>①</w:t>
      </w:r>
      <w:r>
        <w:rPr>
          <w:rStyle w:val="66"/>
          <w:rFonts w:hint="eastAsia" w:ascii="Times New Roman" w:hAnsi="Times New Roman"/>
          <w:b w:val="0"/>
          <w:bCs/>
          <w:color w:val="auto"/>
          <w:highlight w:val="none"/>
        </w:rPr>
        <w:t>投标人</w:t>
      </w:r>
      <w:r>
        <w:rPr>
          <w:rFonts w:hint="eastAsia" w:hAnsi="宋体"/>
          <w:b w:val="0"/>
          <w:bCs/>
          <w:color w:val="auto"/>
          <w:highlight w:val="none"/>
        </w:rPr>
        <w:t>技术参数及功能有正偏离的，须在技术偏离表中列明，且在投标文件中提供采购需求中列明的证明材料（提供国家认可的有资质的第三方检测机构出具的检测报告复印件佐证</w:t>
      </w:r>
      <w:r>
        <w:rPr>
          <w:rFonts w:hint="eastAsia" w:hAnsi="宋体"/>
          <w:b w:val="0"/>
          <w:bCs/>
          <w:color w:val="auto"/>
          <w:highlight w:val="none"/>
          <w:lang w:eastAsia="zh-CN"/>
        </w:rPr>
        <w:t>，</w:t>
      </w:r>
      <w:r>
        <w:rPr>
          <w:rFonts w:hint="eastAsia" w:hAnsi="宋体"/>
          <w:b w:val="0"/>
          <w:bCs/>
          <w:color w:val="auto"/>
          <w:highlight w:val="none"/>
        </w:rPr>
        <w:t>否则评标委员会不予评定为正偏离。</w:t>
      </w:r>
      <w:r>
        <w:rPr>
          <w:rFonts w:hint="eastAsia" w:ascii="汉仪书宋二S" w:hAnsi="汉仪书宋二S" w:eastAsia="汉仪书宋二S" w:cs="汉仪书宋二S"/>
          <w:b w:val="0"/>
          <w:bCs/>
          <w:color w:val="auto"/>
          <w:highlight w:val="none"/>
        </w:rPr>
        <w:t>②</w:t>
      </w:r>
      <w:r>
        <w:rPr>
          <w:rFonts w:hint="eastAsia" w:hAnsi="宋体"/>
          <w:b w:val="0"/>
          <w:bCs/>
          <w:color w:val="auto"/>
          <w:highlight w:val="none"/>
        </w:rPr>
        <w:t>如技术偏离表中的投标响应与佐证材料不一致的，以佐证材料为准。</w:t>
      </w:r>
      <w:r>
        <w:rPr>
          <w:rFonts w:hint="eastAsia" w:hAnsi="宋体"/>
          <w:b w:val="0"/>
          <w:bCs/>
          <w:color w:val="auto"/>
          <w:highlight w:val="none"/>
          <w:lang w:eastAsia="zh-CN"/>
        </w:rPr>
        <w:t>】</w:t>
      </w:r>
    </w:p>
    <w:p w14:paraId="33B77254">
      <w:pPr>
        <w:pStyle w:val="29"/>
        <w:spacing w:line="400" w:lineRule="exact"/>
        <w:ind w:firstLine="211" w:firstLineChars="100"/>
        <w:rPr>
          <w:rFonts w:hint="eastAsia" w:hAnsi="宋体" w:cs="宋体"/>
          <w:b/>
          <w:bCs/>
          <w:color w:val="auto"/>
          <w:spacing w:val="-8"/>
          <w:kern w:val="0"/>
          <w:highlight w:val="none"/>
        </w:rPr>
      </w:pPr>
      <w:r>
        <w:rPr>
          <w:rFonts w:hint="eastAsia" w:hAnsi="宋体" w:cs="宋体"/>
          <w:b/>
          <w:bCs/>
          <w:color w:val="auto"/>
          <w:highlight w:val="none"/>
        </w:rPr>
        <w:t xml:space="preserve"> （</w:t>
      </w:r>
      <w:r>
        <w:rPr>
          <w:rFonts w:hint="eastAsia" w:hAnsi="宋体" w:cs="宋体"/>
          <w:b/>
          <w:bCs/>
          <w:color w:val="auto"/>
          <w:highlight w:val="none"/>
          <w:lang w:val="en-US" w:eastAsia="zh-CN"/>
        </w:rPr>
        <w:t>2</w:t>
      </w:r>
      <w:r>
        <w:rPr>
          <w:rFonts w:hint="eastAsia" w:hAnsi="宋体" w:cs="宋体"/>
          <w:b/>
          <w:bCs/>
          <w:color w:val="auto"/>
          <w:highlight w:val="none"/>
        </w:rPr>
        <w:t>）项目实施方案分（满分</w:t>
      </w:r>
      <w:r>
        <w:rPr>
          <w:rFonts w:hint="eastAsia" w:hAnsi="宋体" w:cs="宋体"/>
          <w:b/>
          <w:bCs/>
          <w:color w:val="auto"/>
          <w:highlight w:val="none"/>
          <w:lang w:val="en-US" w:eastAsia="zh-CN"/>
        </w:rPr>
        <w:t>18</w:t>
      </w:r>
      <w:r>
        <w:rPr>
          <w:rFonts w:hint="eastAsia" w:hAnsi="宋体" w:cs="宋体"/>
          <w:b/>
          <w:bCs/>
          <w:color w:val="auto"/>
          <w:highlight w:val="none"/>
        </w:rPr>
        <w:t>分）</w:t>
      </w:r>
    </w:p>
    <w:p w14:paraId="2C5BD7A0">
      <w:pPr>
        <w:pStyle w:val="29"/>
        <w:spacing w:line="400" w:lineRule="exact"/>
        <w:ind w:firstLine="194" w:firstLineChars="100"/>
        <w:rPr>
          <w:rFonts w:hint="eastAsia" w:hAnsi="宋体" w:cs="宋体"/>
          <w:b w:val="0"/>
          <w:bCs w:val="0"/>
          <w:color w:val="auto"/>
          <w:highlight w:val="none"/>
        </w:rPr>
      </w:pPr>
      <w:r>
        <w:rPr>
          <w:rFonts w:hint="eastAsia" w:hAnsi="宋体" w:cs="宋体"/>
          <w:b w:val="0"/>
          <w:bCs w:val="0"/>
          <w:color w:val="auto"/>
          <w:spacing w:val="-8"/>
          <w:highlight w:val="none"/>
        </w:rPr>
        <w:t xml:space="preserve"> </w:t>
      </w:r>
      <w:r>
        <w:rPr>
          <w:rFonts w:hint="eastAsia" w:hAnsi="宋体" w:cs="宋体"/>
          <w:b w:val="0"/>
          <w:bCs w:val="0"/>
          <w:color w:val="auto"/>
          <w:highlight w:val="none"/>
        </w:rPr>
        <w:t>一档 (</w:t>
      </w:r>
      <w:r>
        <w:rPr>
          <w:rFonts w:hint="eastAsia" w:hAnsi="宋体" w:cs="宋体"/>
          <w:b w:val="0"/>
          <w:bCs w:val="0"/>
          <w:color w:val="auto"/>
          <w:highlight w:val="none"/>
          <w:lang w:val="en-US" w:eastAsia="zh-CN"/>
        </w:rPr>
        <w:t>9</w:t>
      </w:r>
      <w:r>
        <w:rPr>
          <w:rFonts w:hint="eastAsia" w:hAnsi="宋体" w:cs="宋体"/>
          <w:b w:val="0"/>
          <w:bCs w:val="0"/>
          <w:color w:val="auto"/>
          <w:highlight w:val="none"/>
        </w:rPr>
        <w:t>分)：实施方案过于简单而并未针对采购文件基本要求进行实质性的细化，或方案没有从项目具体需求出发，表述内容对满足本项目基本需求无整体保障性。</w:t>
      </w:r>
    </w:p>
    <w:p w14:paraId="6868F169">
      <w:pPr>
        <w:pStyle w:val="29"/>
        <w:spacing w:line="400" w:lineRule="exact"/>
        <w:ind w:firstLine="210" w:firstLineChars="100"/>
        <w:rPr>
          <w:rFonts w:hint="eastAsia" w:hAnsi="宋体" w:cs="宋体"/>
          <w:b w:val="0"/>
          <w:bCs w:val="0"/>
          <w:color w:val="auto"/>
          <w:highlight w:val="none"/>
        </w:rPr>
      </w:pPr>
      <w:r>
        <w:rPr>
          <w:rFonts w:hint="eastAsia" w:hAnsi="宋体" w:cs="宋体"/>
          <w:b w:val="0"/>
          <w:bCs w:val="0"/>
          <w:color w:val="auto"/>
          <w:highlight w:val="none"/>
        </w:rPr>
        <w:t>二档 (</w:t>
      </w:r>
      <w:r>
        <w:rPr>
          <w:rFonts w:hint="eastAsia" w:hAnsi="宋体" w:cs="宋体"/>
          <w:b w:val="0"/>
          <w:bCs w:val="0"/>
          <w:color w:val="auto"/>
          <w:highlight w:val="none"/>
          <w:lang w:val="en-US" w:eastAsia="zh-CN"/>
        </w:rPr>
        <w:t>12</w:t>
      </w:r>
      <w:r>
        <w:rPr>
          <w:rFonts w:hint="eastAsia" w:hAnsi="宋体" w:cs="宋体"/>
          <w:b w:val="0"/>
          <w:bCs w:val="0"/>
          <w:color w:val="auto"/>
          <w:highlight w:val="none"/>
        </w:rPr>
        <w:t>分)：实施方案仅对采购单位提出的要求进行了部分细化，对项目实施目标、实施过程、实现思路有基本描述，但各项措施缺乏针对性，提供的内容对采购单位使用需求响应的具体措施缺乏充分的合理性，实现方式仅能满足项目基本需求。</w:t>
      </w:r>
    </w:p>
    <w:p w14:paraId="006CCACD">
      <w:pPr>
        <w:pStyle w:val="29"/>
        <w:spacing w:line="400" w:lineRule="exact"/>
        <w:ind w:firstLine="210" w:firstLineChars="100"/>
        <w:rPr>
          <w:rFonts w:hint="eastAsia" w:hAnsi="宋体" w:cs="宋体"/>
          <w:b w:val="0"/>
          <w:bCs w:val="0"/>
          <w:color w:val="auto"/>
          <w:highlight w:val="none"/>
        </w:rPr>
      </w:pPr>
      <w:r>
        <w:rPr>
          <w:rFonts w:hint="eastAsia" w:hAnsi="宋体" w:cs="宋体"/>
          <w:b w:val="0"/>
          <w:bCs w:val="0"/>
          <w:color w:val="auto"/>
          <w:highlight w:val="none"/>
        </w:rPr>
        <w:t>三档 (</w:t>
      </w:r>
      <w:r>
        <w:rPr>
          <w:rFonts w:hint="default" w:hAnsi="宋体" w:cs="宋体"/>
          <w:b w:val="0"/>
          <w:bCs w:val="0"/>
          <w:color w:val="auto"/>
          <w:highlight w:val="none"/>
          <w:lang w:eastAsia="zh-CN"/>
        </w:rPr>
        <w:t>1</w:t>
      </w:r>
      <w:r>
        <w:rPr>
          <w:rFonts w:hint="eastAsia" w:hAnsi="宋体" w:cs="宋体"/>
          <w:b w:val="0"/>
          <w:bCs w:val="0"/>
          <w:color w:val="auto"/>
          <w:highlight w:val="none"/>
          <w:lang w:val="en-US" w:eastAsia="zh-CN"/>
        </w:rPr>
        <w:t>5</w:t>
      </w:r>
      <w:r>
        <w:rPr>
          <w:rFonts w:hint="eastAsia" w:hAnsi="宋体" w:cs="宋体"/>
          <w:b w:val="0"/>
          <w:bCs w:val="0"/>
          <w:color w:val="auto"/>
          <w:highlight w:val="none"/>
        </w:rPr>
        <w:t>分)：实施方案基本满足项目实施要求，对项目实施目标、实施过程、实现思路设计进行了全面细化，各项措施针对采购单位需求提出，考虑到了项目实际需求、设置合理。</w:t>
      </w:r>
    </w:p>
    <w:p w14:paraId="5A5F235A">
      <w:pPr>
        <w:pStyle w:val="29"/>
        <w:spacing w:line="400" w:lineRule="exact"/>
        <w:ind w:firstLine="210" w:firstLineChars="100"/>
        <w:rPr>
          <w:rFonts w:hint="eastAsia" w:hAnsi="宋体" w:cs="宋体"/>
          <w:b w:val="0"/>
          <w:bCs w:val="0"/>
          <w:color w:val="auto"/>
          <w:highlight w:val="none"/>
        </w:rPr>
      </w:pPr>
      <w:r>
        <w:rPr>
          <w:rFonts w:hint="eastAsia" w:hAnsi="宋体" w:cs="宋体"/>
          <w:b w:val="0"/>
          <w:bCs w:val="0"/>
          <w:color w:val="auto"/>
          <w:highlight w:val="none"/>
        </w:rPr>
        <w:t>四档 (</w:t>
      </w:r>
      <w:r>
        <w:rPr>
          <w:rFonts w:hint="eastAsia" w:hAnsi="宋体" w:cs="宋体"/>
          <w:b w:val="0"/>
          <w:bCs w:val="0"/>
          <w:color w:val="auto"/>
          <w:highlight w:val="none"/>
          <w:lang w:val="en-US" w:eastAsia="zh-CN"/>
        </w:rPr>
        <w:t>18</w:t>
      </w:r>
      <w:r>
        <w:rPr>
          <w:rFonts w:hint="eastAsia" w:hAnsi="宋体" w:cs="宋体"/>
          <w:b w:val="0"/>
          <w:bCs w:val="0"/>
          <w:color w:val="auto"/>
          <w:highlight w:val="none"/>
        </w:rPr>
        <w:t>分)：实施方案详细，对项目实施目标、实施过程、实现思路有详细的阐述。能够提供科学合理的项目实施流程，符合本项目切实可行的项目实施计划，以及项目的分工安排计划。整体方案能够体现出投标人对本项目的理解和对同类项目有实施经验。对采购单位、采购项目的特点均有针对性。</w:t>
      </w:r>
    </w:p>
    <w:p w14:paraId="2FA23FBE">
      <w:pPr>
        <w:pStyle w:val="29"/>
        <w:spacing w:line="400" w:lineRule="exact"/>
        <w:ind w:firstLine="210" w:firstLineChars="100"/>
        <w:rPr>
          <w:rFonts w:hint="eastAsia" w:hAnsi="宋体" w:eastAsia="宋体" w:cs="宋体"/>
          <w:b w:val="0"/>
          <w:bCs w:val="0"/>
          <w:color w:val="auto"/>
          <w:highlight w:val="none"/>
          <w:lang w:eastAsia="zh-CN"/>
        </w:rPr>
      </w:pPr>
      <w:r>
        <w:rPr>
          <w:rFonts w:hint="eastAsia" w:hAnsi="宋体" w:cs="宋体"/>
          <w:b w:val="0"/>
          <w:bCs w:val="0"/>
          <w:color w:val="auto"/>
          <w:highlight w:val="none"/>
          <w:lang w:eastAsia="zh-CN"/>
        </w:rPr>
        <w:t>（注：未提供或提供方案不进档的不得分）</w:t>
      </w:r>
    </w:p>
    <w:p w14:paraId="0BE8EDD6">
      <w:pPr>
        <w:spacing w:line="400" w:lineRule="exact"/>
        <w:rPr>
          <w:rFonts w:hint="eastAsia" w:ascii="宋体" w:eastAsia="宋体" w:cs="Times New Roman"/>
          <w:bCs w:val="0"/>
          <w:caps w:val="0"/>
          <w:strike/>
          <w:color w:val="auto"/>
          <w:highlight w:val="none"/>
        </w:rPr>
      </w:pPr>
      <w:r>
        <w:rPr>
          <w:rFonts w:hint="eastAsia"/>
          <w:color w:val="auto"/>
          <w:highlight w:val="none"/>
        </w:rPr>
        <w:t xml:space="preserve">   </w:t>
      </w:r>
      <w:r>
        <w:rPr>
          <w:rFonts w:hint="eastAsia"/>
          <w:b/>
          <w:bCs/>
          <w:color w:val="auto"/>
          <w:highlight w:val="none"/>
        </w:rPr>
        <w:t>（</w:t>
      </w:r>
      <w:r>
        <w:rPr>
          <w:rFonts w:hint="eastAsia"/>
          <w:b/>
          <w:bCs/>
          <w:color w:val="auto"/>
          <w:highlight w:val="none"/>
          <w:lang w:val="en-US" w:eastAsia="zh-CN"/>
        </w:rPr>
        <w:t>3</w:t>
      </w:r>
      <w:r>
        <w:rPr>
          <w:rFonts w:hint="eastAsia"/>
          <w:b/>
          <w:bCs/>
          <w:color w:val="auto"/>
          <w:highlight w:val="none"/>
        </w:rPr>
        <w:t>）售后服务分（满分</w:t>
      </w:r>
      <w:r>
        <w:rPr>
          <w:rFonts w:hint="eastAsia"/>
          <w:b/>
          <w:bCs/>
          <w:color w:val="auto"/>
          <w:highlight w:val="none"/>
          <w:lang w:val="en-US" w:eastAsia="zh-CN"/>
        </w:rPr>
        <w:t>18</w:t>
      </w:r>
      <w:r>
        <w:rPr>
          <w:rFonts w:hint="eastAsia"/>
          <w:b/>
          <w:bCs/>
          <w:color w:val="auto"/>
          <w:highlight w:val="none"/>
        </w:rPr>
        <w:t>分）</w:t>
      </w:r>
    </w:p>
    <w:p w14:paraId="2C7B72E4">
      <w:pPr>
        <w:spacing w:line="380" w:lineRule="exact"/>
        <w:ind w:firstLine="420" w:firstLineChars="200"/>
        <w:rPr>
          <w:rFonts w:ascii="宋体" w:hAnsi="宋体"/>
          <w:color w:val="auto"/>
          <w:highlight w:val="none"/>
        </w:rPr>
      </w:pPr>
      <w:r>
        <w:rPr>
          <w:rFonts w:hint="eastAsia" w:ascii="宋体" w:hAnsi="宋体"/>
          <w:color w:val="auto"/>
          <w:highlight w:val="none"/>
          <w:lang w:val="en-US" w:eastAsia="zh-CN"/>
        </w:rPr>
        <w:t>①</w:t>
      </w:r>
      <w:r>
        <w:rPr>
          <w:rFonts w:hint="eastAsia" w:ascii="宋体" w:hAnsi="宋体"/>
          <w:color w:val="auto"/>
          <w:highlight w:val="none"/>
        </w:rPr>
        <w:t>售后服务承诺（满分</w:t>
      </w:r>
      <w:r>
        <w:rPr>
          <w:rFonts w:hint="eastAsia" w:ascii="宋体" w:hAnsi="宋体"/>
          <w:color w:val="auto"/>
          <w:highlight w:val="none"/>
          <w:lang w:val="en-US" w:eastAsia="zh-CN"/>
        </w:rPr>
        <w:t>12</w:t>
      </w:r>
      <w:r>
        <w:rPr>
          <w:rFonts w:hint="eastAsia" w:ascii="宋体" w:hAnsi="宋体"/>
          <w:color w:val="auto"/>
          <w:highlight w:val="none"/>
        </w:rPr>
        <w:t>分）</w:t>
      </w:r>
    </w:p>
    <w:p w14:paraId="500A0F85">
      <w:pPr>
        <w:spacing w:line="38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一</w:t>
      </w:r>
      <w:r>
        <w:rPr>
          <w:rFonts w:hint="eastAsia" w:ascii="宋体" w:hAnsi="宋体"/>
          <w:color w:val="auto"/>
          <w:highlight w:val="none"/>
        </w:rPr>
        <w:t>档（</w:t>
      </w:r>
      <w:r>
        <w:rPr>
          <w:rFonts w:hint="eastAsia" w:ascii="宋体" w:hAnsi="宋体"/>
          <w:color w:val="auto"/>
          <w:highlight w:val="none"/>
          <w:lang w:val="en-US" w:eastAsia="zh-CN"/>
        </w:rPr>
        <w:t>6</w:t>
      </w:r>
      <w:r>
        <w:rPr>
          <w:rFonts w:hint="eastAsia" w:ascii="宋体" w:hAnsi="宋体"/>
          <w:color w:val="auto"/>
          <w:highlight w:val="none"/>
        </w:rPr>
        <w:t>分）：质量保证措施和售后服务承诺基本满足招标文件要求，安排较具体，内容较完整、可行，售后响应时间满足招标文件要求，承诺解决故障时间为8个小时以内，有具体承诺，服务内容、保障措施能满足采购人需求；</w:t>
      </w:r>
    </w:p>
    <w:p w14:paraId="4EE908CC">
      <w:pPr>
        <w:spacing w:line="380" w:lineRule="exact"/>
        <w:ind w:firstLine="420" w:firstLineChars="200"/>
        <w:rPr>
          <w:rFonts w:ascii="宋体" w:hAnsi="宋体"/>
          <w:color w:val="auto"/>
          <w:highlight w:val="none"/>
        </w:rPr>
      </w:pPr>
      <w:r>
        <w:rPr>
          <w:rFonts w:hint="eastAsia" w:ascii="宋体" w:hAnsi="宋体"/>
          <w:color w:val="auto"/>
          <w:highlight w:val="none"/>
        </w:rPr>
        <w:t>二档（</w:t>
      </w:r>
      <w:r>
        <w:rPr>
          <w:rFonts w:hint="eastAsia" w:ascii="宋体" w:hAnsi="宋体"/>
          <w:color w:val="auto"/>
          <w:highlight w:val="none"/>
          <w:lang w:val="en-US" w:eastAsia="zh-CN"/>
        </w:rPr>
        <w:t>9</w:t>
      </w:r>
      <w:r>
        <w:rPr>
          <w:rFonts w:hint="eastAsia" w:ascii="宋体" w:hAnsi="宋体"/>
          <w:color w:val="auto"/>
          <w:highlight w:val="none"/>
        </w:rPr>
        <w:t>分）：质量保证措施和售后服务承诺完善，安排详细具体，内容完整，售后响应时间满足招标文件要求，响应程度较好，承诺解决故障时间为6个小时以内，</w:t>
      </w:r>
      <w:r>
        <w:rPr>
          <w:rFonts w:hint="eastAsia" w:ascii="宋体" w:hAnsi="宋体"/>
          <w:color w:val="auto"/>
          <w:highlight w:val="none"/>
          <w:lang w:val="en-US" w:eastAsia="zh-CN"/>
        </w:rPr>
        <w:t>且</w:t>
      </w:r>
      <w:r>
        <w:rPr>
          <w:rFonts w:hint="eastAsia" w:ascii="宋体" w:hAnsi="宋体"/>
          <w:color w:val="auto"/>
          <w:highlight w:val="none"/>
        </w:rPr>
        <w:t>有具体承诺，服务内容、保障措施能满足采购人需求，具备培训方案</w:t>
      </w:r>
      <w:r>
        <w:rPr>
          <w:rFonts w:hint="eastAsia" w:ascii="宋体" w:hAnsi="宋体"/>
          <w:color w:val="auto"/>
          <w:highlight w:val="none"/>
          <w:lang w:eastAsia="zh-CN"/>
        </w:rPr>
        <w:t>，</w:t>
      </w:r>
      <w:r>
        <w:rPr>
          <w:rFonts w:hint="eastAsia" w:ascii="宋体" w:hAnsi="宋体"/>
          <w:color w:val="auto"/>
          <w:highlight w:val="none"/>
          <w:lang w:val="en-US" w:eastAsia="zh-CN"/>
        </w:rPr>
        <w:t>投标人</w:t>
      </w:r>
      <w:r>
        <w:rPr>
          <w:rFonts w:hint="eastAsia"/>
          <w:color w:val="auto"/>
          <w:highlight w:val="none"/>
          <w:lang w:val="en-US" w:eastAsia="zh-CN"/>
        </w:rPr>
        <w:t>具备满足本项目的售后保障能力（提供售后服务承诺函等）</w:t>
      </w:r>
      <w:r>
        <w:rPr>
          <w:rFonts w:hint="eastAsia" w:ascii="宋体" w:hAnsi="宋体"/>
          <w:color w:val="auto"/>
          <w:highlight w:val="none"/>
        </w:rPr>
        <w:t>。</w:t>
      </w:r>
    </w:p>
    <w:p w14:paraId="0FAE18FD">
      <w:pPr>
        <w:spacing w:line="38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三</w:t>
      </w:r>
      <w:r>
        <w:rPr>
          <w:rFonts w:hint="eastAsia" w:ascii="宋体" w:hAnsi="宋体"/>
          <w:color w:val="auto"/>
          <w:highlight w:val="none"/>
        </w:rPr>
        <w:t>档（</w:t>
      </w:r>
      <w:r>
        <w:rPr>
          <w:rFonts w:hint="eastAsia" w:ascii="宋体" w:hAnsi="宋体"/>
          <w:color w:val="auto"/>
          <w:highlight w:val="none"/>
          <w:lang w:val="en-US" w:eastAsia="zh-CN"/>
        </w:rPr>
        <w:t>12</w:t>
      </w:r>
      <w:r>
        <w:rPr>
          <w:rFonts w:hint="eastAsia" w:ascii="宋体" w:hAnsi="宋体"/>
          <w:color w:val="auto"/>
          <w:highlight w:val="none"/>
        </w:rPr>
        <w:t>分）：质量保证措施和售后服务承诺充分满足招标文件要求，安排详细具体，内容完整、齐全、可行，有针对性，售后响应时间充分优于招标文件要求，响应程度高，承诺解决故障时间为4个小时以内，有具体承诺且优于采购要求，服务内容、保障措施能满足采购人需求，培训方案有针对性</w:t>
      </w:r>
      <w:r>
        <w:rPr>
          <w:rFonts w:hint="eastAsia"/>
          <w:color w:val="auto"/>
          <w:highlight w:val="none"/>
          <w:lang w:eastAsia="zh-CN"/>
        </w:rPr>
        <w:t>，</w:t>
      </w:r>
      <w:r>
        <w:rPr>
          <w:rFonts w:hint="eastAsia" w:ascii="宋体" w:hAnsi="宋体"/>
          <w:color w:val="auto"/>
          <w:highlight w:val="none"/>
          <w:lang w:val="en-US" w:eastAsia="zh-CN"/>
        </w:rPr>
        <w:t>质保期内免费提供专门班组技术人员运维，并提供免费运维服务承诺函的，有</w:t>
      </w:r>
      <w:r>
        <w:rPr>
          <w:rFonts w:hint="eastAsia" w:ascii="宋体" w:eastAsia="宋体" w:cs="Times New Roman"/>
          <w:bCs w:val="0"/>
          <w:caps w:val="0"/>
          <w:color w:val="auto"/>
          <w:highlight w:val="none"/>
        </w:rPr>
        <w:t>投标</w:t>
      </w:r>
      <w:r>
        <w:rPr>
          <w:rFonts w:hint="eastAsia" w:ascii="宋体" w:cs="Times New Roman"/>
          <w:bCs w:val="0"/>
          <w:caps w:val="0"/>
          <w:color w:val="auto"/>
          <w:highlight w:val="none"/>
          <w:lang w:val="en-US" w:eastAsia="zh-CN"/>
        </w:rPr>
        <w:t>核心</w:t>
      </w:r>
      <w:r>
        <w:rPr>
          <w:rFonts w:hint="eastAsia" w:ascii="宋体" w:eastAsia="宋体" w:cs="Times New Roman"/>
          <w:bCs w:val="0"/>
          <w:caps w:val="0"/>
          <w:color w:val="auto"/>
          <w:highlight w:val="none"/>
        </w:rPr>
        <w:t>产品</w:t>
      </w:r>
      <w:r>
        <w:rPr>
          <w:rFonts w:hint="eastAsia" w:ascii="宋体" w:cs="Times New Roman"/>
          <w:bCs w:val="0"/>
          <w:caps w:val="0"/>
          <w:color w:val="auto"/>
          <w:highlight w:val="none"/>
          <w:lang w:val="en-US" w:eastAsia="zh-CN"/>
        </w:rPr>
        <w:t>LED显示屏</w:t>
      </w:r>
      <w:r>
        <w:rPr>
          <w:rFonts w:hint="eastAsia" w:ascii="宋体" w:eastAsia="宋体" w:cs="Times New Roman"/>
          <w:bCs w:val="0"/>
          <w:caps w:val="0"/>
          <w:color w:val="auto"/>
          <w:highlight w:val="none"/>
        </w:rPr>
        <w:t>生产厂家针对本项目</w:t>
      </w:r>
      <w:r>
        <w:rPr>
          <w:rFonts w:hint="eastAsia" w:ascii="宋体" w:cs="Times New Roman"/>
          <w:bCs w:val="0"/>
          <w:caps w:val="0"/>
          <w:color w:val="auto"/>
          <w:highlight w:val="none"/>
          <w:lang w:val="en-US" w:eastAsia="zh-CN"/>
        </w:rPr>
        <w:t>出具</w:t>
      </w:r>
      <w:r>
        <w:rPr>
          <w:rFonts w:hint="eastAsia" w:ascii="宋体" w:eastAsia="宋体" w:cs="Times New Roman"/>
          <w:bCs w:val="0"/>
          <w:caps w:val="0"/>
          <w:color w:val="auto"/>
          <w:highlight w:val="none"/>
        </w:rPr>
        <w:t>的售后服务承诺</w:t>
      </w:r>
      <w:r>
        <w:rPr>
          <w:rFonts w:hint="eastAsia" w:ascii="宋体" w:cs="Times New Roman"/>
          <w:bCs w:val="0"/>
          <w:caps w:val="0"/>
          <w:color w:val="auto"/>
          <w:highlight w:val="none"/>
          <w:lang w:val="en-US" w:eastAsia="zh-CN"/>
        </w:rPr>
        <w:t>函</w:t>
      </w:r>
      <w:r>
        <w:rPr>
          <w:rFonts w:hint="eastAsia" w:ascii="宋体" w:cs="Times New Roman"/>
          <w:bCs w:val="0"/>
          <w:caps w:val="0"/>
          <w:color w:val="auto"/>
          <w:highlight w:val="none"/>
          <w:lang w:eastAsia="zh-CN"/>
        </w:rPr>
        <w:t>的</w:t>
      </w:r>
      <w:r>
        <w:rPr>
          <w:rFonts w:hint="eastAsia" w:ascii="宋体" w:hAnsi="宋体"/>
          <w:color w:val="auto"/>
          <w:highlight w:val="none"/>
        </w:rPr>
        <w:t>。</w:t>
      </w:r>
    </w:p>
    <w:p w14:paraId="1092E3D6">
      <w:pPr>
        <w:ind w:firstLine="420" w:firstLineChars="200"/>
        <w:rPr>
          <w:rFonts w:hint="eastAsia"/>
          <w:color w:val="auto"/>
          <w:highlight w:val="none"/>
        </w:rPr>
      </w:pPr>
      <w:r>
        <w:rPr>
          <w:rFonts w:hint="eastAsia" w:ascii="宋体" w:hAnsi="宋体"/>
          <w:color w:val="auto"/>
          <w:highlight w:val="none"/>
          <w:lang w:val="en-US" w:eastAsia="zh-CN"/>
        </w:rPr>
        <w:t>②</w:t>
      </w:r>
      <w:r>
        <w:rPr>
          <w:rFonts w:hint="eastAsia" w:ascii="宋体" w:hAnsi="宋体"/>
          <w:color w:val="auto"/>
          <w:highlight w:val="none"/>
        </w:rPr>
        <w:t>承诺更长保修期：在满足商务要求中的免费保修期后，投标人承诺免费保修期每延长</w:t>
      </w:r>
      <w:r>
        <w:rPr>
          <w:rFonts w:hint="eastAsia" w:ascii="宋体" w:hAnsi="宋体"/>
          <w:color w:val="auto"/>
          <w:highlight w:val="none"/>
          <w:lang w:val="en-US" w:eastAsia="zh-CN"/>
        </w:rPr>
        <w:t>一</w:t>
      </w:r>
      <w:r>
        <w:rPr>
          <w:rFonts w:hint="eastAsia" w:ascii="宋体" w:hAnsi="宋体"/>
          <w:color w:val="auto"/>
          <w:highlight w:val="none"/>
        </w:rPr>
        <w:t>年增加</w:t>
      </w:r>
      <w:r>
        <w:rPr>
          <w:rFonts w:hint="eastAsia" w:ascii="宋体" w:hAnsi="宋体"/>
          <w:color w:val="auto"/>
          <w:highlight w:val="none"/>
          <w:lang w:val="en-US" w:eastAsia="zh-CN"/>
        </w:rPr>
        <w:t>2</w:t>
      </w:r>
      <w:r>
        <w:rPr>
          <w:rFonts w:hint="eastAsia" w:ascii="宋体" w:hAnsi="宋体"/>
          <w:color w:val="auto"/>
          <w:highlight w:val="none"/>
        </w:rPr>
        <w:t>分（满分</w:t>
      </w:r>
      <w:r>
        <w:rPr>
          <w:rFonts w:hint="eastAsia" w:ascii="宋体" w:hAnsi="宋体"/>
          <w:color w:val="auto"/>
          <w:highlight w:val="none"/>
          <w:lang w:val="en-US" w:eastAsia="zh-CN"/>
        </w:rPr>
        <w:t>6</w:t>
      </w:r>
      <w:r>
        <w:rPr>
          <w:rFonts w:hint="eastAsia" w:ascii="宋体" w:hAnsi="宋体"/>
          <w:color w:val="auto"/>
          <w:highlight w:val="none"/>
        </w:rPr>
        <w:t>分）</w:t>
      </w:r>
    </w:p>
    <w:p w14:paraId="18288F11">
      <w:pPr>
        <w:ind w:firstLine="420"/>
        <w:rPr>
          <w:rFonts w:hint="eastAsia" w:eastAsia="宋体"/>
          <w:color w:val="auto"/>
          <w:highlight w:val="none"/>
          <w:lang w:eastAsia="zh-CN"/>
        </w:rPr>
      </w:pPr>
      <w:r>
        <w:rPr>
          <w:rFonts w:hint="eastAsia"/>
          <w:color w:val="auto"/>
          <w:highlight w:val="none"/>
          <w:lang w:eastAsia="zh-CN"/>
        </w:rPr>
        <w:t>（</w:t>
      </w:r>
      <w:r>
        <w:rPr>
          <w:rFonts w:hint="eastAsia"/>
          <w:color w:val="auto"/>
          <w:highlight w:val="none"/>
        </w:rPr>
        <w:t>注：未提供售后服务方案不得分</w:t>
      </w:r>
      <w:r>
        <w:rPr>
          <w:rFonts w:hint="eastAsia"/>
          <w:color w:val="auto"/>
          <w:highlight w:val="none"/>
          <w:lang w:eastAsia="zh-CN"/>
        </w:rPr>
        <w:t>。）</w:t>
      </w:r>
    </w:p>
    <w:p w14:paraId="3FC28457">
      <w:pPr>
        <w:widowControl/>
        <w:spacing w:line="400" w:lineRule="exact"/>
        <w:rPr>
          <w:rFonts w:hint="eastAsia" w:ascii="宋体" w:hAnsi="宋体" w:cs="宋体"/>
          <w:color w:val="auto"/>
          <w:kern w:val="0"/>
          <w:szCs w:val="21"/>
          <w:highlight w:val="none"/>
        </w:rPr>
      </w:pPr>
      <w:r>
        <w:rPr>
          <w:rFonts w:hint="eastAsia" w:ascii="宋体" w:hAnsi="宋体" w:cs="宋体"/>
          <w:b/>
          <w:bCs/>
          <w:color w:val="auto"/>
          <w:spacing w:val="-8"/>
          <w:szCs w:val="21"/>
          <w:highlight w:val="none"/>
        </w:rPr>
        <w:t xml:space="preserve">      3、</w:t>
      </w:r>
      <w:r>
        <w:rPr>
          <w:rFonts w:hint="eastAsia" w:ascii="宋体" w:hAnsi="宋体" w:cs="宋体"/>
          <w:b/>
          <w:color w:val="auto"/>
          <w:highlight w:val="none"/>
        </w:rPr>
        <w:t>商务</w:t>
      </w:r>
      <w:r>
        <w:rPr>
          <w:rFonts w:hint="eastAsia" w:ascii="宋体" w:hAnsi="宋体" w:cs="宋体"/>
          <w:b/>
          <w:bCs/>
          <w:color w:val="auto"/>
          <w:spacing w:val="-8"/>
          <w:szCs w:val="21"/>
          <w:highlight w:val="none"/>
        </w:rPr>
        <w:t>分</w:t>
      </w:r>
      <w:r>
        <w:rPr>
          <w:rFonts w:hint="eastAsia" w:ascii="宋体" w:hAnsi="宋体" w:cs="宋体"/>
          <w:b/>
          <w:color w:val="auto"/>
          <w:szCs w:val="21"/>
          <w:highlight w:val="none"/>
        </w:rPr>
        <w:t>………………………………………………………………………………</w:t>
      </w:r>
      <w:r>
        <w:rPr>
          <w:rFonts w:hint="eastAsia" w:ascii="宋体" w:hAnsi="宋体" w:cs="宋体"/>
          <w:color w:val="auto"/>
          <w:kern w:val="0"/>
          <w:szCs w:val="21"/>
          <w:highlight w:val="none"/>
          <w:lang w:val="en-US" w:eastAsia="zh-CN"/>
        </w:rPr>
        <w:t>10</w:t>
      </w:r>
      <w:r>
        <w:rPr>
          <w:rFonts w:hint="eastAsia" w:ascii="宋体" w:hAnsi="宋体" w:cs="宋体"/>
          <w:b/>
          <w:bCs/>
          <w:color w:val="auto"/>
          <w:spacing w:val="-8"/>
          <w:kern w:val="0"/>
          <w:szCs w:val="21"/>
          <w:highlight w:val="none"/>
        </w:rPr>
        <w:t>分</w:t>
      </w:r>
      <w:r>
        <w:rPr>
          <w:rFonts w:hint="eastAsia" w:ascii="宋体" w:hAnsi="宋体" w:cs="宋体"/>
          <w:color w:val="auto"/>
          <w:kern w:val="0"/>
          <w:szCs w:val="21"/>
          <w:highlight w:val="none"/>
        </w:rPr>
        <w:t xml:space="preserve">  </w:t>
      </w:r>
    </w:p>
    <w:p w14:paraId="300EC924">
      <w:pPr>
        <w:widowControl/>
        <w:spacing w:line="400" w:lineRule="exact"/>
        <w:ind w:firstLine="525" w:firstLineChars="250"/>
        <w:rPr>
          <w:rFonts w:ascii="宋体" w:hAnsi="宋体" w:cs="宋体"/>
          <w:b w:val="0"/>
          <w:bCs w:val="0"/>
          <w:color w:val="auto"/>
          <w:szCs w:val="21"/>
          <w:highlight w:val="none"/>
        </w:rPr>
      </w:pPr>
      <w:r>
        <w:rPr>
          <w:rFonts w:hint="eastAsia" w:ascii="宋体"/>
          <w:color w:val="auto"/>
          <w:highlight w:val="none"/>
        </w:rPr>
        <w:t>（</w:t>
      </w:r>
      <w:r>
        <w:rPr>
          <w:rFonts w:hint="eastAsia" w:ascii="宋体"/>
          <w:color w:val="auto"/>
          <w:highlight w:val="none"/>
          <w:lang w:val="en-US" w:eastAsia="zh-CN"/>
        </w:rPr>
        <w:t>1</w:t>
      </w:r>
      <w:r>
        <w:rPr>
          <w:rFonts w:hint="eastAsia" w:ascii="宋体"/>
          <w:color w:val="auto"/>
          <w:highlight w:val="none"/>
        </w:rPr>
        <w:t>）</w:t>
      </w:r>
      <w:r>
        <w:rPr>
          <w:rFonts w:hint="eastAsia" w:ascii="宋体" w:hAnsi="宋体"/>
          <w:color w:val="auto"/>
          <w:szCs w:val="21"/>
          <w:highlight w:val="none"/>
        </w:rPr>
        <w:t>投标人或投标核心产品生产厂家</w:t>
      </w:r>
      <w:r>
        <w:rPr>
          <w:rFonts w:hint="eastAsia" w:ascii="宋体" w:hAnsi="宋体"/>
          <w:b w:val="0"/>
          <w:bCs w:val="0"/>
          <w:color w:val="auto"/>
          <w:szCs w:val="21"/>
          <w:highlight w:val="none"/>
        </w:rPr>
        <w:t>具有</w:t>
      </w:r>
      <w:r>
        <w:rPr>
          <w:rFonts w:hint="eastAsia" w:ascii="宋体" w:hAnsi="宋体"/>
          <w:b/>
          <w:bCs/>
          <w:color w:val="auto"/>
          <w:szCs w:val="21"/>
          <w:highlight w:val="none"/>
        </w:rPr>
        <w:t>质量管理体系认证证书、环境管理体系认证证书、职业健康安全管理体系认证证书</w:t>
      </w:r>
      <w:r>
        <w:rPr>
          <w:rFonts w:hint="eastAsia" w:ascii="宋体" w:hAnsi="宋体"/>
          <w:b w:val="0"/>
          <w:bCs w:val="0"/>
          <w:color w:val="auto"/>
          <w:szCs w:val="21"/>
          <w:highlight w:val="none"/>
        </w:rPr>
        <w:t>，每有一项证书得1分，满分</w:t>
      </w:r>
      <w:r>
        <w:rPr>
          <w:rFonts w:hint="eastAsia" w:ascii="宋体" w:hAnsi="宋体"/>
          <w:b w:val="0"/>
          <w:bCs w:val="0"/>
          <w:color w:val="auto"/>
          <w:szCs w:val="21"/>
          <w:highlight w:val="none"/>
          <w:lang w:val="en-US" w:eastAsia="zh-CN"/>
        </w:rPr>
        <w:t xml:space="preserve">3 </w:t>
      </w:r>
      <w:r>
        <w:rPr>
          <w:rFonts w:hint="eastAsia" w:ascii="宋体" w:hAnsi="宋体"/>
          <w:b w:val="0"/>
          <w:bCs w:val="0"/>
          <w:color w:val="auto"/>
          <w:szCs w:val="21"/>
          <w:highlight w:val="none"/>
        </w:rPr>
        <w:t>分。（投标文件提供证书复印件并加盖公章，证书须在有效期内）</w:t>
      </w:r>
    </w:p>
    <w:p w14:paraId="5F8650D8">
      <w:pPr>
        <w:widowControl/>
        <w:spacing w:line="400" w:lineRule="exact"/>
        <w:ind w:firstLine="525" w:firstLineChars="250"/>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）投标人提供2022年1月1日至投标截止日期同类项目（</w:t>
      </w:r>
      <w:r>
        <w:rPr>
          <w:rFonts w:hint="eastAsia" w:ascii="宋体" w:hAnsi="宋体" w:cs="宋体"/>
          <w:b/>
          <w:bCs/>
          <w:color w:val="auto"/>
          <w:szCs w:val="21"/>
          <w:highlight w:val="none"/>
        </w:rPr>
        <w:t>货物包含但不限：核心产品</w:t>
      </w:r>
      <w:r>
        <w:rPr>
          <w:rFonts w:hint="eastAsia" w:ascii="宋体" w:hAnsi="宋体" w:cs="宋体"/>
          <w:color w:val="auto"/>
          <w:szCs w:val="21"/>
          <w:highlight w:val="none"/>
        </w:rPr>
        <w:t>）业绩(以合同签订日期为准)，每提供一</w:t>
      </w:r>
      <w:r>
        <w:rPr>
          <w:rFonts w:hint="eastAsia" w:ascii="宋体" w:hAnsi="宋体" w:cs="宋体"/>
          <w:color w:val="auto"/>
          <w:szCs w:val="21"/>
          <w:highlight w:val="none"/>
          <w:lang w:val="en-US" w:eastAsia="zh-CN"/>
        </w:rPr>
        <w:t>个业绩</w:t>
      </w:r>
      <w:r>
        <w:rPr>
          <w:rFonts w:hint="eastAsia" w:ascii="宋体" w:hAnsi="宋体" w:cs="宋体"/>
          <w:color w:val="auto"/>
          <w:szCs w:val="21"/>
          <w:highlight w:val="none"/>
        </w:rPr>
        <w:t>得1分，满分</w:t>
      </w:r>
      <w:r>
        <w:rPr>
          <w:rFonts w:hint="eastAsia" w:ascii="宋体" w:hAnsi="宋体" w:cs="宋体"/>
          <w:color w:val="auto"/>
          <w:szCs w:val="21"/>
          <w:highlight w:val="none"/>
          <w:lang w:val="en-US" w:eastAsia="zh-CN"/>
        </w:rPr>
        <w:t xml:space="preserve"> 5</w:t>
      </w:r>
      <w:r>
        <w:rPr>
          <w:rFonts w:hint="eastAsia" w:ascii="宋体" w:hAnsi="宋体" w:cs="宋体"/>
          <w:color w:val="auto"/>
          <w:szCs w:val="21"/>
          <w:highlight w:val="none"/>
        </w:rPr>
        <w:t>分。</w:t>
      </w:r>
      <w:r>
        <w:rPr>
          <w:rFonts w:hint="eastAsia" w:ascii="宋体" w:hAnsi="宋体" w:cs="宋体"/>
          <w:b w:val="0"/>
          <w:bCs w:val="0"/>
          <w:color w:val="auto"/>
          <w:szCs w:val="21"/>
          <w:highlight w:val="none"/>
        </w:rPr>
        <w:t>（注：投标文件中提供有效的中标/成交通知书或合同清晰复印件（或扫描件）并加盖投标人</w:t>
      </w:r>
      <w:r>
        <w:rPr>
          <w:rFonts w:hint="eastAsia" w:ascii="宋体" w:hAnsi="宋体" w:cs="宋体"/>
          <w:b w:val="0"/>
          <w:bCs w:val="0"/>
          <w:color w:val="auto"/>
          <w:szCs w:val="21"/>
          <w:highlight w:val="none"/>
          <w:lang w:eastAsia="zh-CN"/>
        </w:rPr>
        <w:t>公章</w:t>
      </w:r>
      <w:r>
        <w:rPr>
          <w:rFonts w:hint="eastAsia" w:ascii="宋体" w:hAnsi="宋体" w:cs="宋体"/>
          <w:b w:val="0"/>
          <w:bCs w:val="0"/>
          <w:color w:val="auto"/>
          <w:szCs w:val="21"/>
          <w:highlight w:val="none"/>
        </w:rPr>
        <w:t>，否则不予以计分。）</w:t>
      </w:r>
    </w:p>
    <w:p w14:paraId="7960A8C3">
      <w:pPr>
        <w:widowControl/>
        <w:spacing w:line="400" w:lineRule="exact"/>
        <w:ind w:firstLine="525" w:firstLineChars="25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4312A74E">
      <w:pPr>
        <w:pStyle w:val="37"/>
        <w:spacing w:line="400" w:lineRule="exact"/>
        <w:ind w:firstLine="0" w:firstLineChars="0"/>
        <w:rPr>
          <w:rFonts w:hint="eastAsia" w:ascii="宋体" w:eastAsia="宋体" w:cs="宋体"/>
          <w:color w:val="auto"/>
          <w:highlight w:val="none"/>
        </w:rPr>
      </w:pPr>
      <w:r>
        <w:rPr>
          <w:rFonts w:hint="eastAsia" w:ascii="宋体" w:eastAsia="宋体" w:cs="宋体"/>
          <w:color w:val="auto"/>
          <w:highlight w:val="none"/>
        </w:rPr>
        <w:t xml:space="preserve">  </w:t>
      </w:r>
      <w:r>
        <w:rPr>
          <w:rFonts w:hint="eastAsia" w:ascii="宋体" w:eastAsia="宋体" w:cs="宋体"/>
          <w:b/>
          <w:bCs w:val="0"/>
          <w:color w:val="auto"/>
          <w:highlight w:val="none"/>
        </w:rPr>
        <w:t xml:space="preserve">  </w:t>
      </w:r>
      <w:r>
        <w:rPr>
          <w:rFonts w:hint="eastAsia" w:ascii="宋体" w:eastAsia="宋体" w:cs="宋体"/>
          <w:color w:val="auto"/>
          <w:highlight w:val="none"/>
        </w:rPr>
        <w:t>（</w:t>
      </w:r>
      <w:r>
        <w:rPr>
          <w:rFonts w:hint="eastAsia" w:ascii="宋体" w:eastAsia="宋体" w:cs="宋体"/>
          <w:color w:val="auto"/>
          <w:highlight w:val="none"/>
          <w:lang w:val="en-US" w:eastAsia="zh-CN"/>
        </w:rPr>
        <w:t>3</w:t>
      </w:r>
      <w:r>
        <w:rPr>
          <w:rFonts w:hint="eastAsia" w:ascii="宋体" w:eastAsia="宋体" w:cs="宋体"/>
          <w:color w:val="auto"/>
          <w:highlight w:val="none"/>
        </w:rPr>
        <w:t>）政策功能分（满分2分）</w:t>
      </w:r>
    </w:p>
    <w:p w14:paraId="4019C718">
      <w:pPr>
        <w:pStyle w:val="37"/>
        <w:spacing w:line="400" w:lineRule="exact"/>
        <w:ind w:firstLine="0" w:firstLineChars="0"/>
        <w:rPr>
          <w:rFonts w:hint="eastAsia" w:ascii="宋体" w:eastAsia="宋体" w:cs="宋体"/>
          <w:color w:val="auto"/>
          <w:highlight w:val="none"/>
        </w:rPr>
      </w:pPr>
      <w:r>
        <w:rPr>
          <w:rFonts w:hint="eastAsia" w:ascii="宋体" w:eastAsia="宋体" w:cs="宋体"/>
          <w:color w:val="auto"/>
          <w:highlight w:val="none"/>
        </w:rPr>
        <w:t xml:space="preserve">     ①投标产品纳入（财库[2019]19号）中节能产品政府采购清单的（适用于非强制采购节能产品，依据《市场监管总局关于发布参与实施政府采购节能产品、环境标志产品认证机构名录的公告》，提供所投相应型号产品有效的认证证书扫描件或其他电子文件），得1分，满分1分。</w:t>
      </w:r>
    </w:p>
    <w:p w14:paraId="14E1FAA7">
      <w:pPr>
        <w:pStyle w:val="37"/>
        <w:spacing w:line="400" w:lineRule="exact"/>
        <w:ind w:firstLine="0" w:firstLineChars="0"/>
        <w:rPr>
          <w:rFonts w:hint="eastAsia" w:ascii="宋体" w:eastAsia="宋体" w:cs="宋体"/>
          <w:color w:val="auto"/>
          <w:highlight w:val="none"/>
        </w:rPr>
      </w:pPr>
      <w:r>
        <w:rPr>
          <w:rFonts w:hint="eastAsia" w:ascii="宋体" w:eastAsia="宋体" w:cs="宋体"/>
          <w:color w:val="auto"/>
          <w:highlight w:val="none"/>
        </w:rPr>
        <w:t xml:space="preserve">     ②投标产品纳入（财库[2019]18号）中环境标志产品政府采购清单的（依据《市场监管总局关于发布参与实施政府采购节能产品、环境标志产品认证机构名录的公告》，提供所投相应型号产品有效的认证证书扫描件或其他电子文件），得1分，满分1分。</w:t>
      </w:r>
    </w:p>
    <w:p w14:paraId="46047214">
      <w:pPr>
        <w:keepNext w:val="0"/>
        <w:keepLines w:val="0"/>
        <w:pageBreakBefore w:val="0"/>
        <w:kinsoku/>
        <w:wordWrap/>
        <w:overflowPunct/>
        <w:topLinePunct w:val="0"/>
        <w:autoSpaceDE/>
        <w:autoSpaceDN/>
        <w:bidi w:val="0"/>
        <w:spacing w:line="420" w:lineRule="exact"/>
        <w:ind w:firstLine="420" w:firstLineChars="200"/>
        <w:outlineLvl w:val="0"/>
        <w:rPr>
          <w:rFonts w:hint="eastAsia" w:ascii="宋体" w:hAnsi="宋体" w:cs="宋体"/>
          <w:color w:val="auto"/>
          <w:highlight w:val="none"/>
          <w:shd w:val="clear" w:color="auto" w:fill="auto"/>
        </w:rPr>
      </w:pPr>
    </w:p>
    <w:p w14:paraId="2669DA1C">
      <w:pPr>
        <w:keepNext w:val="0"/>
        <w:keepLines w:val="0"/>
        <w:pageBreakBefore w:val="0"/>
        <w:kinsoku/>
        <w:wordWrap/>
        <w:overflowPunct/>
        <w:topLinePunct w:val="0"/>
        <w:autoSpaceDE/>
        <w:autoSpaceDN/>
        <w:bidi w:val="0"/>
        <w:spacing w:line="420" w:lineRule="exact"/>
        <w:ind w:firstLine="405"/>
        <w:rPr>
          <w:rFonts w:hAnsi="Courier New" w:cs="Courier New"/>
          <w:b/>
          <w:bCs/>
          <w:color w:val="auto"/>
          <w:szCs w:val="21"/>
          <w:highlight w:val="none"/>
          <w:shd w:val="clear" w:color="auto" w:fill="auto"/>
        </w:rPr>
      </w:pPr>
      <w:r>
        <w:rPr>
          <w:rFonts w:hint="eastAsia" w:hAnsi="宋体" w:cs="宋体"/>
          <w:b/>
          <w:bCs/>
          <w:color w:val="auto"/>
          <w:spacing w:val="-2"/>
          <w:szCs w:val="21"/>
          <w:highlight w:val="none"/>
          <w:shd w:val="clear" w:color="auto" w:fill="auto"/>
        </w:rPr>
        <w:t>（</w:t>
      </w:r>
      <w:r>
        <w:rPr>
          <w:rFonts w:hint="eastAsia" w:cs="Courier New"/>
          <w:b/>
          <w:bCs/>
          <w:color w:val="auto"/>
          <w:spacing w:val="-2"/>
          <w:szCs w:val="21"/>
          <w:highlight w:val="none"/>
          <w:shd w:val="clear" w:color="auto" w:fill="auto"/>
        </w:rPr>
        <w:t>三</w:t>
      </w:r>
      <w:r>
        <w:rPr>
          <w:rFonts w:hint="eastAsia" w:hAnsi="宋体" w:cs="宋体"/>
          <w:b/>
          <w:bCs/>
          <w:color w:val="auto"/>
          <w:spacing w:val="-2"/>
          <w:szCs w:val="21"/>
          <w:highlight w:val="none"/>
          <w:shd w:val="clear" w:color="auto" w:fill="auto"/>
        </w:rPr>
        <w:t>）总得分</w:t>
      </w:r>
      <w:r>
        <w:rPr>
          <w:rFonts w:hint="eastAsia" w:eastAsia="Calibri" w:cs="Courier New"/>
          <w:b/>
          <w:bCs/>
          <w:color w:val="auto"/>
          <w:spacing w:val="-2"/>
          <w:szCs w:val="21"/>
          <w:highlight w:val="none"/>
          <w:shd w:val="clear" w:color="auto" w:fill="auto"/>
        </w:rPr>
        <w:t>=</w:t>
      </w:r>
      <w:r>
        <w:rPr>
          <w:rFonts w:hint="eastAsia" w:cs="Courier New"/>
          <w:color w:val="auto"/>
          <w:szCs w:val="21"/>
          <w:highlight w:val="none"/>
          <w:shd w:val="clear" w:color="auto" w:fill="auto"/>
        </w:rPr>
        <w:t xml:space="preserve"> </w:t>
      </w:r>
      <w:r>
        <w:rPr>
          <w:rFonts w:hint="eastAsia" w:cs="Courier New"/>
          <w:b/>
          <w:bCs/>
          <w:color w:val="auto"/>
          <w:szCs w:val="21"/>
          <w:highlight w:val="none"/>
          <w:shd w:val="clear" w:color="auto" w:fill="auto"/>
        </w:rPr>
        <w:t>1 + 2 + 3</w:t>
      </w:r>
      <w:r>
        <w:rPr>
          <w:rFonts w:hint="eastAsia" w:cs="Courier New"/>
          <w:b/>
          <w:bCs/>
          <w:color w:val="auto"/>
          <w:szCs w:val="21"/>
          <w:highlight w:val="none"/>
          <w:shd w:val="clear" w:color="auto" w:fill="auto"/>
          <w:lang w:eastAsia="zh-CN"/>
        </w:rPr>
        <w:t>。</w:t>
      </w:r>
      <w:r>
        <w:rPr>
          <w:rFonts w:hint="eastAsia" w:cs="Courier New"/>
          <w:b/>
          <w:bCs/>
          <w:color w:val="auto"/>
          <w:szCs w:val="21"/>
          <w:highlight w:val="none"/>
          <w:shd w:val="clear" w:color="auto" w:fill="auto"/>
        </w:rPr>
        <w:t xml:space="preserve"> </w:t>
      </w:r>
    </w:p>
    <w:p w14:paraId="5AAD8E43">
      <w:pPr>
        <w:keepNext w:val="0"/>
        <w:keepLines w:val="0"/>
        <w:pageBreakBefore w:val="0"/>
        <w:kinsoku/>
        <w:wordWrap/>
        <w:overflowPunct/>
        <w:topLinePunct w:val="0"/>
        <w:autoSpaceDE/>
        <w:autoSpaceDN/>
        <w:bidi w:val="0"/>
        <w:spacing w:line="420" w:lineRule="exact"/>
        <w:ind w:firstLine="422" w:firstLineChars="200"/>
        <w:rPr>
          <w:b/>
          <w:bCs/>
          <w:color w:val="auto"/>
          <w:highlight w:val="none"/>
          <w:shd w:val="clear" w:color="auto" w:fill="auto"/>
        </w:rPr>
      </w:pPr>
      <w:r>
        <w:rPr>
          <w:rFonts w:hint="eastAsia"/>
          <w:b/>
          <w:bCs/>
          <w:color w:val="auto"/>
          <w:highlight w:val="none"/>
          <w:shd w:val="clear" w:color="auto" w:fill="auto"/>
        </w:rPr>
        <w:t>三、中标候选人推荐原则</w:t>
      </w:r>
    </w:p>
    <w:p w14:paraId="7F9F755B">
      <w:pPr>
        <w:keepNext w:val="0"/>
        <w:keepLines w:val="0"/>
        <w:pageBreakBefore w:val="0"/>
        <w:kinsoku/>
        <w:wordWrap/>
        <w:overflowPunct/>
        <w:topLinePunct w:val="0"/>
        <w:autoSpaceDE/>
        <w:autoSpaceDN/>
        <w:bidi w:val="0"/>
        <w:spacing w:line="420" w:lineRule="exact"/>
        <w:ind w:firstLine="420" w:firstLineChars="200"/>
        <w:jc w:val="left"/>
        <w:rPr>
          <w:rFonts w:hint="eastAsia"/>
          <w:bCs/>
          <w:color w:val="auto"/>
          <w:highlight w:val="none"/>
          <w:shd w:val="clear" w:color="auto" w:fill="auto"/>
        </w:rPr>
      </w:pPr>
      <w:r>
        <w:rPr>
          <w:rFonts w:hint="eastAsia"/>
          <w:bCs/>
          <w:color w:val="auto"/>
          <w:highlight w:val="none"/>
          <w:shd w:val="clear" w:color="auto" w:fill="auto"/>
        </w:rPr>
        <w:t>（一）评标委员会将根据得分由高到低排列次序（得分相同时，以</w:t>
      </w:r>
      <w:r>
        <w:rPr>
          <w:rFonts w:hint="eastAsia"/>
          <w:bCs/>
          <w:color w:val="auto"/>
          <w:highlight w:val="none"/>
          <w:shd w:val="clear" w:color="auto" w:fill="auto"/>
          <w:lang w:eastAsia="zh-CN"/>
        </w:rPr>
        <w:t>评标价</w:t>
      </w:r>
      <w:r>
        <w:rPr>
          <w:rFonts w:hint="eastAsia"/>
          <w:bCs/>
          <w:color w:val="auto"/>
          <w:highlight w:val="none"/>
          <w:shd w:val="clear" w:color="auto" w:fill="auto"/>
        </w:rPr>
        <w:t>由低到高顺序排列；得分相同且</w:t>
      </w:r>
      <w:r>
        <w:rPr>
          <w:rFonts w:hint="eastAsia"/>
          <w:bCs/>
          <w:color w:val="auto"/>
          <w:highlight w:val="none"/>
          <w:shd w:val="clear" w:color="auto" w:fill="auto"/>
          <w:lang w:eastAsia="zh-CN"/>
        </w:rPr>
        <w:t>评标价</w:t>
      </w:r>
      <w:r>
        <w:rPr>
          <w:rFonts w:hint="eastAsia"/>
          <w:bCs/>
          <w:color w:val="auto"/>
          <w:highlight w:val="none"/>
          <w:shd w:val="clear" w:color="auto" w:fill="auto"/>
        </w:rPr>
        <w:t>相同的，按技术指标优劣顺序排列）并推荐中标候选供应商。采购人应当确定评审委员会推荐排名第一的中标候选人为中标人。</w:t>
      </w:r>
    </w:p>
    <w:p w14:paraId="4A9536E5">
      <w:pPr>
        <w:keepNext w:val="0"/>
        <w:keepLines w:val="0"/>
        <w:pageBreakBefore w:val="0"/>
        <w:kinsoku/>
        <w:wordWrap/>
        <w:overflowPunct/>
        <w:topLinePunct w:val="0"/>
        <w:autoSpaceDE/>
        <w:autoSpaceDN/>
        <w:bidi w:val="0"/>
        <w:spacing w:line="420" w:lineRule="exact"/>
        <w:ind w:firstLine="420" w:firstLineChars="200"/>
        <w:jc w:val="left"/>
        <w:rPr>
          <w:rFonts w:hint="eastAsia"/>
          <w:bCs/>
          <w:color w:val="auto"/>
          <w:highlight w:val="none"/>
          <w:shd w:val="clear" w:color="auto" w:fill="auto"/>
        </w:rPr>
      </w:pPr>
      <w:r>
        <w:rPr>
          <w:rFonts w:hint="eastAsia"/>
          <w:bCs/>
          <w:color w:val="auto"/>
          <w:highlight w:val="none"/>
          <w:shd w:val="clear" w:color="auto" w:fill="auto"/>
        </w:rPr>
        <w:t>（二）排名第一的中标候选人放弃中标、</w:t>
      </w:r>
      <w:r>
        <w:rPr>
          <w:rFonts w:hint="eastAsia"/>
          <w:bCs/>
          <w:color w:val="auto"/>
          <w:highlight w:val="none"/>
        </w:rPr>
        <w:t>拒绝签订政府采购合同的</w:t>
      </w:r>
      <w:r>
        <w:rPr>
          <w:rFonts w:hint="eastAsia"/>
          <w:bCs/>
          <w:color w:val="auto"/>
          <w:highlight w:val="none"/>
          <w:shd w:val="clear" w:color="auto" w:fill="auto"/>
        </w:rPr>
        <w:t>，采购人可以确定排名第二的中标候选人为中标人。排名第二的中标候选人因前款规定的同样原因不能签订合同的，采购人可以确定排名第三的中标候选人为中标人，其余以此类推。</w:t>
      </w:r>
    </w:p>
    <w:p w14:paraId="27F8EBB6">
      <w:pPr>
        <w:keepNext w:val="0"/>
        <w:keepLines w:val="0"/>
        <w:pageBreakBefore w:val="0"/>
        <w:kinsoku/>
        <w:wordWrap/>
        <w:overflowPunct/>
        <w:topLinePunct w:val="0"/>
        <w:autoSpaceDE/>
        <w:autoSpaceDN/>
        <w:bidi w:val="0"/>
        <w:snapToGrid/>
        <w:spacing w:before="120" w:after="120" w:line="420" w:lineRule="exact"/>
        <w:ind w:firstLine="883" w:firstLineChars="200"/>
        <w:jc w:val="left"/>
        <w:outlineLvl w:val="0"/>
        <w:rPr>
          <w:rFonts w:ascii="黑体" w:eastAsia="黑体"/>
          <w:b/>
          <w:color w:val="auto"/>
          <w:sz w:val="44"/>
          <w:szCs w:val="44"/>
          <w:highlight w:val="none"/>
          <w:shd w:val="clear" w:color="auto" w:fill="auto"/>
        </w:rPr>
      </w:pPr>
      <w:r>
        <w:rPr>
          <w:rFonts w:ascii="黑体" w:eastAsia="黑体"/>
          <w:b/>
          <w:color w:val="auto"/>
          <w:sz w:val="44"/>
          <w:szCs w:val="44"/>
          <w:highlight w:val="none"/>
          <w:shd w:val="clear" w:color="auto" w:fill="auto"/>
        </w:rPr>
        <w:br w:type="page"/>
      </w:r>
    </w:p>
    <w:p w14:paraId="57CB8477">
      <w:pPr>
        <w:spacing w:line="340" w:lineRule="exact"/>
        <w:ind w:firstLine="643" w:firstLineChars="200"/>
        <w:jc w:val="both"/>
        <w:rPr>
          <w:rFonts w:hint="default" w:ascii="仿宋_GB2312" w:hAnsi="宋体" w:eastAsia="仿宋_GB2312"/>
          <w:b/>
          <w:color w:val="auto"/>
          <w:sz w:val="32"/>
          <w:szCs w:val="32"/>
          <w:highlight w:val="none"/>
          <w:shd w:val="clear" w:color="auto" w:fill="auto"/>
        </w:rPr>
      </w:pPr>
      <w:r>
        <w:rPr>
          <w:rFonts w:hint="eastAsia" w:ascii="仿宋_GB2312" w:hAnsi="宋体" w:eastAsia="仿宋_GB2312"/>
          <w:b/>
          <w:color w:val="auto"/>
          <w:sz w:val="32"/>
          <w:szCs w:val="32"/>
          <w:highlight w:val="none"/>
          <w:shd w:val="clear" w:color="auto" w:fill="auto"/>
          <w:lang w:val="en-US" w:eastAsia="zh-CN"/>
        </w:rPr>
        <w:t xml:space="preserve">                 </w:t>
      </w:r>
      <w:r>
        <w:rPr>
          <w:rFonts w:hint="eastAsia" w:ascii="仿宋_GB2312" w:hAnsi="宋体" w:eastAsia="仿宋_GB2312"/>
          <w:b/>
          <w:color w:val="auto"/>
          <w:sz w:val="32"/>
          <w:szCs w:val="32"/>
          <w:highlight w:val="none"/>
          <w:shd w:val="clear" w:color="auto" w:fill="auto"/>
          <w:lang w:eastAsia="zh-CN"/>
        </w:rPr>
        <w:t>评标方法</w:t>
      </w:r>
      <w:r>
        <w:rPr>
          <w:rFonts w:hint="default" w:ascii="仿宋_GB2312" w:hAnsi="宋体" w:eastAsia="仿宋_GB2312"/>
          <w:b/>
          <w:color w:val="auto"/>
          <w:sz w:val="32"/>
          <w:szCs w:val="32"/>
          <w:highlight w:val="none"/>
          <w:shd w:val="clear" w:color="auto" w:fill="auto"/>
        </w:rPr>
        <w:t>及评分标准</w:t>
      </w:r>
    </w:p>
    <w:p w14:paraId="7DAA5B9C">
      <w:pPr>
        <w:pStyle w:val="52"/>
        <w:rPr>
          <w:rFonts w:hint="default" w:eastAsia="仿宋_GB2312"/>
          <w:color w:val="auto"/>
          <w:highlight w:val="none"/>
          <w:lang w:val="en-US" w:eastAsia="zh-CN"/>
        </w:rPr>
      </w:pPr>
      <w:r>
        <w:rPr>
          <w:rFonts w:hint="eastAsia" w:ascii="仿宋_GB2312" w:hAnsi="宋体" w:eastAsia="仿宋_GB2312"/>
          <w:b/>
          <w:color w:val="auto"/>
          <w:sz w:val="32"/>
          <w:szCs w:val="32"/>
          <w:highlight w:val="none"/>
          <w:shd w:val="clear" w:color="auto" w:fill="auto"/>
          <w:lang w:val="en-US" w:eastAsia="zh-CN"/>
        </w:rPr>
        <w:t xml:space="preserve">                      </w:t>
      </w:r>
      <w:r>
        <w:rPr>
          <w:rFonts w:hint="eastAsia" w:eastAsia="仿宋_GB2312"/>
          <w:color w:val="auto"/>
          <w:highlight w:val="none"/>
          <w:lang w:val="en-US" w:eastAsia="zh-CN"/>
        </w:rPr>
        <w:t xml:space="preserve"> （</w:t>
      </w:r>
      <w:r>
        <w:rPr>
          <w:rFonts w:hint="eastAsia" w:eastAsia="仿宋_GB2312"/>
          <w:color w:val="auto"/>
          <w:highlight w:val="none"/>
          <w:lang w:eastAsia="zh-CN"/>
        </w:rPr>
        <w:t>适用分标</w:t>
      </w:r>
      <w:r>
        <w:rPr>
          <w:rFonts w:hint="eastAsia" w:eastAsia="仿宋_GB2312"/>
          <w:color w:val="auto"/>
          <w:highlight w:val="none"/>
          <w:lang w:val="en-US" w:eastAsia="zh-CN"/>
        </w:rPr>
        <w:t>2）</w:t>
      </w:r>
    </w:p>
    <w:p w14:paraId="785BDC9B">
      <w:pPr>
        <w:pStyle w:val="29"/>
        <w:keepNext w:val="0"/>
        <w:keepLines w:val="0"/>
        <w:pageBreakBefore w:val="0"/>
        <w:kinsoku/>
        <w:wordWrap/>
        <w:overflowPunct/>
        <w:topLinePunct w:val="0"/>
        <w:autoSpaceDE/>
        <w:autoSpaceDN/>
        <w:bidi w:val="0"/>
        <w:spacing w:line="420" w:lineRule="exact"/>
        <w:ind w:firstLine="517" w:firstLineChars="245"/>
        <w:rPr>
          <w:rFonts w:hAnsi="宋体"/>
          <w:b/>
          <w:color w:val="auto"/>
          <w:highlight w:val="none"/>
          <w:shd w:val="clear" w:color="auto" w:fill="auto"/>
        </w:rPr>
      </w:pPr>
      <w:r>
        <w:rPr>
          <w:rFonts w:hint="eastAsia" w:hAnsi="宋体"/>
          <w:b/>
          <w:color w:val="auto"/>
          <w:highlight w:val="none"/>
          <w:shd w:val="clear" w:color="auto" w:fill="auto"/>
        </w:rPr>
        <w:t>一、评标原则</w:t>
      </w:r>
    </w:p>
    <w:p w14:paraId="2291C5CD">
      <w:pPr>
        <w:pStyle w:val="29"/>
        <w:keepNext w:val="0"/>
        <w:keepLines w:val="0"/>
        <w:pageBreakBefore w:val="0"/>
        <w:kinsoku/>
        <w:wordWrap/>
        <w:overflowPunct/>
        <w:topLinePunct w:val="0"/>
        <w:autoSpaceDE/>
        <w:autoSpaceDN/>
        <w:bidi w:val="0"/>
        <w:spacing w:line="420" w:lineRule="exact"/>
        <w:ind w:firstLine="482" w:firstLineChars="230"/>
        <w:rPr>
          <w:rFonts w:hAnsi="宋体"/>
          <w:bCs/>
          <w:color w:val="auto"/>
          <w:szCs w:val="20"/>
          <w:highlight w:val="none"/>
          <w:shd w:val="clear" w:color="auto" w:fill="auto"/>
        </w:rPr>
      </w:pPr>
      <w:r>
        <w:rPr>
          <w:rFonts w:hint="eastAsia" w:hAnsi="宋体"/>
          <w:bCs/>
          <w:color w:val="auto"/>
          <w:highlight w:val="none"/>
          <w:shd w:val="clear" w:color="auto" w:fill="auto"/>
        </w:rPr>
        <w:t>(一)评委组成：本招标采购项目的</w:t>
      </w:r>
      <w:r>
        <w:rPr>
          <w:rFonts w:hint="eastAsia"/>
          <w:color w:val="auto"/>
          <w:spacing w:val="-4"/>
          <w:highlight w:val="none"/>
          <w:shd w:val="clear" w:color="auto" w:fill="auto"/>
        </w:rPr>
        <w:t>评标委员会由采购人代表和评审专家组成，成员人数应当为5人以上单数，其中评审专家不得少于成员总数的三分之二。</w:t>
      </w:r>
    </w:p>
    <w:p w14:paraId="222F8CFF">
      <w:pPr>
        <w:pStyle w:val="29"/>
        <w:keepNext w:val="0"/>
        <w:keepLines w:val="0"/>
        <w:pageBreakBefore w:val="0"/>
        <w:kinsoku/>
        <w:wordWrap/>
        <w:overflowPunct/>
        <w:topLinePunct w:val="0"/>
        <w:autoSpaceDE/>
        <w:autoSpaceDN/>
        <w:bidi w:val="0"/>
        <w:spacing w:line="420" w:lineRule="exact"/>
        <w:ind w:firstLine="499" w:firstLineChars="238"/>
        <w:rPr>
          <w:rFonts w:hAnsi="宋体"/>
          <w:bCs/>
          <w:color w:val="auto"/>
          <w:highlight w:val="none"/>
          <w:shd w:val="clear" w:color="auto" w:fill="auto"/>
        </w:rPr>
      </w:pPr>
      <w:r>
        <w:rPr>
          <w:rFonts w:hint="eastAsia" w:hAnsi="宋体"/>
          <w:bCs/>
          <w:color w:val="auto"/>
          <w:highlight w:val="none"/>
          <w:shd w:val="clear" w:color="auto" w:fill="auto"/>
        </w:rPr>
        <w:t>(二)评标依据：</w:t>
      </w:r>
      <w:r>
        <w:rPr>
          <w:rFonts w:hAnsi="宋体"/>
          <w:bCs/>
          <w:color w:val="auto"/>
          <w:highlight w:val="none"/>
          <w:shd w:val="clear" w:color="auto" w:fill="auto"/>
        </w:rPr>
        <w:t>评委将以招投标文件为评标依据，对投标人的投标内容按百分制打分。</w:t>
      </w:r>
    </w:p>
    <w:p w14:paraId="058CE11B">
      <w:pPr>
        <w:pStyle w:val="29"/>
        <w:keepNext w:val="0"/>
        <w:keepLines w:val="0"/>
        <w:pageBreakBefore w:val="0"/>
        <w:kinsoku/>
        <w:wordWrap/>
        <w:overflowPunct/>
        <w:topLinePunct w:val="0"/>
        <w:autoSpaceDE/>
        <w:autoSpaceDN/>
        <w:bidi w:val="0"/>
        <w:spacing w:line="420" w:lineRule="exact"/>
        <w:ind w:firstLine="510" w:firstLineChars="243"/>
        <w:rPr>
          <w:rFonts w:hint="eastAsia" w:hAnsi="宋体"/>
          <w:bCs/>
          <w:color w:val="auto"/>
          <w:highlight w:val="none"/>
          <w:shd w:val="clear" w:color="auto" w:fill="auto"/>
        </w:rPr>
      </w:pPr>
      <w:r>
        <w:rPr>
          <w:rFonts w:hint="eastAsia" w:hAnsi="宋体"/>
          <w:bCs/>
          <w:color w:val="auto"/>
          <w:highlight w:val="none"/>
          <w:shd w:val="clear" w:color="auto" w:fill="auto"/>
        </w:rPr>
        <w:t>(三)评标方式：以封闭方式进行。</w:t>
      </w:r>
    </w:p>
    <w:p w14:paraId="0F386B92">
      <w:pPr>
        <w:pStyle w:val="5"/>
        <w:jc w:val="left"/>
        <w:rPr>
          <w:rFonts w:hint="eastAsia" w:ascii="宋体" w:hAnsi="宋体" w:eastAsia="宋体" w:cs="宋体"/>
          <w:color w:val="auto"/>
          <w:kern w:val="0"/>
          <w:sz w:val="21"/>
          <w:szCs w:val="21"/>
          <w:highlight w:val="none"/>
          <w:lang w:val="en-US" w:eastAsia="zh-CN" w:bidi="ar-SA"/>
        </w:rPr>
      </w:pPr>
      <w:r>
        <w:rPr>
          <w:rFonts w:hint="eastAsia"/>
          <w:color w:val="auto"/>
          <w:highlight w:val="none"/>
          <w:lang w:val="en-US" w:eastAsia="zh-CN"/>
        </w:rPr>
        <w:t xml:space="preserve">   </w:t>
      </w:r>
      <w:r>
        <w:rPr>
          <w:rFonts w:hint="eastAsia" w:ascii="宋体" w:hAnsi="宋体" w:eastAsia="宋体" w:cs="宋体"/>
          <w:color w:val="auto"/>
          <w:kern w:val="0"/>
          <w:sz w:val="21"/>
          <w:szCs w:val="21"/>
          <w:highlight w:val="none"/>
          <w:lang w:val="en-US" w:eastAsia="zh-CN" w:bidi="ar-SA"/>
        </w:rPr>
        <w:t>（四）无效投标处理原则：在评标过程中，包括在异常低价认定程序中被认定为无效的投标，其投标文件不再进入后续评审阶段，也不参与得分计算与汇总排名。</w:t>
      </w:r>
    </w:p>
    <w:p w14:paraId="2E7BBC07">
      <w:pPr>
        <w:pStyle w:val="29"/>
        <w:keepNext w:val="0"/>
        <w:keepLines w:val="0"/>
        <w:pageBreakBefore w:val="0"/>
        <w:kinsoku/>
        <w:wordWrap/>
        <w:overflowPunct/>
        <w:topLinePunct w:val="0"/>
        <w:autoSpaceDE/>
        <w:autoSpaceDN/>
        <w:bidi w:val="0"/>
        <w:spacing w:line="420" w:lineRule="exact"/>
        <w:ind w:firstLine="510" w:firstLineChars="243"/>
        <w:rPr>
          <w:rFonts w:hAnsi="宋体"/>
          <w:b/>
          <w:color w:val="auto"/>
          <w:highlight w:val="none"/>
          <w:shd w:val="clear" w:color="auto" w:fill="auto"/>
        </w:rPr>
      </w:pPr>
      <w:r>
        <w:rPr>
          <w:rFonts w:hint="eastAsia" w:hAnsi="宋体"/>
          <w:bCs/>
          <w:color w:val="auto"/>
          <w:highlight w:val="none"/>
          <w:shd w:val="clear" w:color="auto" w:fill="auto"/>
        </w:rPr>
        <w:t>二</w:t>
      </w:r>
      <w:r>
        <w:rPr>
          <w:rFonts w:hint="eastAsia" w:hAnsi="宋体"/>
          <w:b/>
          <w:color w:val="auto"/>
          <w:highlight w:val="none"/>
          <w:shd w:val="clear" w:color="auto" w:fill="auto"/>
        </w:rPr>
        <w:t>、评标方法</w:t>
      </w:r>
    </w:p>
    <w:p w14:paraId="4EDC6833">
      <w:pPr>
        <w:pStyle w:val="29"/>
        <w:keepNext w:val="0"/>
        <w:keepLines w:val="0"/>
        <w:pageBreakBefore w:val="0"/>
        <w:kinsoku/>
        <w:wordWrap/>
        <w:overflowPunct/>
        <w:topLinePunct w:val="0"/>
        <w:autoSpaceDE/>
        <w:autoSpaceDN/>
        <w:bidi w:val="0"/>
        <w:spacing w:line="420" w:lineRule="exact"/>
        <w:ind w:firstLine="420" w:firstLineChars="200"/>
        <w:outlineLvl w:val="0"/>
        <w:rPr>
          <w:rFonts w:hAnsi="宋体"/>
          <w:color w:val="auto"/>
          <w:highlight w:val="none"/>
          <w:shd w:val="clear" w:color="auto" w:fill="auto"/>
        </w:rPr>
      </w:pPr>
      <w:r>
        <w:rPr>
          <w:rFonts w:hint="eastAsia" w:hAnsi="宋体"/>
          <w:color w:val="auto"/>
          <w:highlight w:val="none"/>
          <w:shd w:val="clear" w:color="auto" w:fill="auto"/>
        </w:rPr>
        <w:t>（一）对进入详评的，采用百分制综合评分法。</w:t>
      </w:r>
    </w:p>
    <w:p w14:paraId="7BEF048C">
      <w:pPr>
        <w:pStyle w:val="29"/>
        <w:keepNext w:val="0"/>
        <w:keepLines w:val="0"/>
        <w:pageBreakBefore w:val="0"/>
        <w:kinsoku/>
        <w:wordWrap/>
        <w:overflowPunct/>
        <w:topLinePunct w:val="0"/>
        <w:autoSpaceDE/>
        <w:autoSpaceDN/>
        <w:bidi w:val="0"/>
        <w:spacing w:line="420" w:lineRule="exact"/>
        <w:ind w:firstLine="420" w:firstLineChars="200"/>
        <w:outlineLvl w:val="0"/>
        <w:rPr>
          <w:rFonts w:hAnsi="宋体"/>
          <w:color w:val="auto"/>
          <w:highlight w:val="none"/>
          <w:shd w:val="clear" w:color="auto" w:fill="auto"/>
        </w:rPr>
      </w:pPr>
      <w:r>
        <w:rPr>
          <w:rFonts w:hint="eastAsia" w:hAnsi="宋体"/>
          <w:color w:val="auto"/>
          <w:highlight w:val="none"/>
          <w:shd w:val="clear" w:color="auto" w:fill="auto"/>
        </w:rPr>
        <w:t>（二）计分办法（按四舍五入取至百分位）：</w:t>
      </w:r>
    </w:p>
    <w:p w14:paraId="50F534D5">
      <w:pPr>
        <w:pStyle w:val="29"/>
        <w:keepNext w:val="0"/>
        <w:keepLines w:val="0"/>
        <w:pageBreakBefore w:val="0"/>
        <w:kinsoku/>
        <w:wordWrap/>
        <w:overflowPunct/>
        <w:topLinePunct w:val="0"/>
        <w:autoSpaceDE/>
        <w:autoSpaceDN/>
        <w:bidi w:val="0"/>
        <w:spacing w:line="420" w:lineRule="exact"/>
        <w:ind w:firstLine="502" w:firstLineChars="238"/>
        <w:rPr>
          <w:b/>
          <w:color w:val="auto"/>
          <w:highlight w:val="none"/>
          <w:shd w:val="clear" w:color="auto" w:fill="auto"/>
        </w:rPr>
      </w:pPr>
      <w:r>
        <w:rPr>
          <w:rFonts w:hint="eastAsia"/>
          <w:b/>
          <w:color w:val="auto"/>
          <w:highlight w:val="none"/>
          <w:shd w:val="clear" w:color="auto" w:fill="auto"/>
        </w:rPr>
        <w:t>1</w:t>
      </w:r>
      <w:r>
        <w:rPr>
          <w:rFonts w:hint="eastAsia"/>
          <w:b/>
          <w:color w:val="auto"/>
          <w:highlight w:val="none"/>
          <w:shd w:val="clear" w:color="auto" w:fill="auto"/>
          <w:lang w:eastAsia="zh-CN"/>
        </w:rPr>
        <w:t>、</w:t>
      </w:r>
      <w:r>
        <w:rPr>
          <w:rFonts w:hint="eastAsia"/>
          <w:b/>
          <w:color w:val="auto"/>
          <w:highlight w:val="none"/>
          <w:shd w:val="clear" w:color="auto" w:fill="auto"/>
        </w:rPr>
        <w:t>价格分</w:t>
      </w:r>
      <w:r>
        <w:rPr>
          <w:rFonts w:hint="eastAsia" w:hAnsi="宋体"/>
          <w:b/>
          <w:bCs/>
          <w:color w:val="auto"/>
          <w:spacing w:val="-8"/>
          <w:highlight w:val="none"/>
          <w:shd w:val="clear" w:color="auto" w:fill="auto"/>
        </w:rPr>
        <w:t>………………………………………………………………………………………</w:t>
      </w:r>
      <w:r>
        <w:rPr>
          <w:rFonts w:hint="eastAsia"/>
          <w:b/>
          <w:color w:val="auto"/>
          <w:highlight w:val="none"/>
          <w:shd w:val="clear" w:color="auto" w:fill="auto"/>
          <w:lang w:val="en-US" w:eastAsia="zh-CN"/>
        </w:rPr>
        <w:t>40</w:t>
      </w:r>
      <w:r>
        <w:rPr>
          <w:rFonts w:hint="eastAsia"/>
          <w:b/>
          <w:color w:val="auto"/>
          <w:highlight w:val="none"/>
          <w:shd w:val="clear" w:color="auto" w:fill="auto"/>
        </w:rPr>
        <w:t>分</w:t>
      </w:r>
    </w:p>
    <w:p w14:paraId="30123404">
      <w:pPr>
        <w:pStyle w:val="227"/>
        <w:adjustRightInd w:val="0"/>
        <w:snapToGrid w:val="0"/>
        <w:spacing w:line="400" w:lineRule="exact"/>
        <w:ind w:firstLine="378" w:firstLineChars="180"/>
        <w:rPr>
          <w:color w:val="auto"/>
          <w:highlight w:val="none"/>
        </w:rPr>
      </w:pPr>
      <w:r>
        <w:rPr>
          <w:rFonts w:hint="eastAsia"/>
          <w:color w:val="auto"/>
          <w:highlight w:val="none"/>
        </w:rPr>
        <w:t>（1）</w:t>
      </w:r>
      <w:r>
        <w:rPr>
          <w:rFonts w:hint="eastAsia" w:ascii="Times New Roman" w:hAnsi="Times New Roman"/>
          <w:bCs/>
          <w:color w:val="auto"/>
          <w:highlight w:val="none"/>
        </w:rPr>
        <w:t>符合《政府采购促进中小企业发展管理办法》（财库〔2020〕46号）规定条件且按该办法中规定的格式提供了《中小企业声明函》的小型和微型企业参与投标，对其</w:t>
      </w:r>
      <w:r>
        <w:rPr>
          <w:rFonts w:hint="eastAsia" w:ascii="Times New Roman" w:hAnsi="Times New Roman"/>
          <w:bCs/>
          <w:color w:val="auto"/>
          <w:highlight w:val="none"/>
          <w:lang w:val="en-US" w:eastAsia="zh-CN"/>
        </w:rPr>
        <w:t>投标</w:t>
      </w:r>
      <w:r>
        <w:rPr>
          <w:rFonts w:hint="eastAsia" w:ascii="Times New Roman" w:hAnsi="Times New Roman"/>
          <w:bCs/>
          <w:color w:val="auto"/>
          <w:highlight w:val="none"/>
        </w:rPr>
        <w:t>报价给予</w:t>
      </w:r>
      <w:r>
        <w:rPr>
          <w:rFonts w:hint="eastAsia" w:ascii="Times New Roman" w:hAnsi="Times New Roman"/>
          <w:bCs/>
          <w:color w:val="auto"/>
          <w:highlight w:val="none"/>
          <w:lang w:val="en-US" w:eastAsia="zh-CN"/>
        </w:rPr>
        <w:t>1</w:t>
      </w:r>
      <w:r>
        <w:rPr>
          <w:rFonts w:hint="eastAsia" w:ascii="Times New Roman" w:hAnsi="Times New Roman"/>
          <w:bCs/>
          <w:color w:val="auto"/>
          <w:highlight w:val="none"/>
        </w:rPr>
        <w:t>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扣除后的价格为评标价，即评标价=投标价×（1-10%）；</w:t>
      </w:r>
      <w:r>
        <w:rPr>
          <w:rFonts w:hint="eastAsia"/>
          <w:color w:val="auto"/>
          <w:highlight w:val="none"/>
          <w:lang w:eastAsia="zh-CN"/>
        </w:rPr>
        <w:t>符合</w:t>
      </w:r>
      <w:r>
        <w:rPr>
          <w:rFonts w:hint="eastAsia"/>
          <w:color w:val="auto"/>
          <w:highlight w:val="none"/>
          <w:lang w:val="en-US" w:eastAsia="zh-CN"/>
        </w:rPr>
        <w:t>《国务院办公厅关于在政府采购中实施本国产品标准及相关政策的通知》（国办发〔2025〕34号）规定</w:t>
      </w:r>
      <w:r>
        <w:rPr>
          <w:rFonts w:hint="eastAsia" w:ascii="Times New Roman" w:hAnsi="Times New Roman"/>
          <w:bCs/>
          <w:color w:val="auto"/>
          <w:highlight w:val="none"/>
        </w:rPr>
        <w:t>条件且按该</w:t>
      </w:r>
      <w:r>
        <w:rPr>
          <w:rFonts w:hint="eastAsia" w:ascii="Times New Roman" w:hAnsi="Times New Roman"/>
          <w:bCs/>
          <w:color w:val="auto"/>
          <w:highlight w:val="none"/>
          <w:lang w:eastAsia="zh-CN"/>
        </w:rPr>
        <w:t>通知</w:t>
      </w:r>
      <w:r>
        <w:rPr>
          <w:rFonts w:hint="eastAsia" w:ascii="Times New Roman" w:hAnsi="Times New Roman"/>
          <w:bCs/>
          <w:color w:val="auto"/>
          <w:highlight w:val="none"/>
        </w:rPr>
        <w:t>中规定的格式提供了《关于符合本国产品标准的声明函》的</w:t>
      </w:r>
      <w:r>
        <w:rPr>
          <w:rFonts w:hint="eastAsia" w:ascii="Times New Roman" w:hAnsi="Times New Roman"/>
          <w:bCs/>
          <w:color w:val="auto"/>
          <w:highlight w:val="none"/>
          <w:lang w:eastAsia="zh-CN"/>
        </w:rPr>
        <w:t>供应商</w:t>
      </w:r>
      <w:r>
        <w:rPr>
          <w:rFonts w:hint="eastAsia" w:ascii="Times New Roman" w:hAnsi="Times New Roman"/>
          <w:bCs/>
          <w:color w:val="auto"/>
          <w:highlight w:val="none"/>
        </w:rPr>
        <w:t>参与投标，对其</w:t>
      </w:r>
      <w:r>
        <w:rPr>
          <w:rFonts w:hint="eastAsia" w:ascii="Times New Roman" w:hAnsi="Times New Roman"/>
          <w:bCs/>
          <w:color w:val="auto"/>
          <w:highlight w:val="none"/>
          <w:lang w:eastAsia="zh-CN"/>
        </w:rPr>
        <w:t>投标</w:t>
      </w:r>
      <w:r>
        <w:rPr>
          <w:rFonts w:hint="eastAsia" w:ascii="Times New Roman" w:hAnsi="Times New Roman"/>
          <w:bCs/>
          <w:color w:val="auto"/>
          <w:highlight w:val="none"/>
        </w:rPr>
        <w:t>报价给予</w:t>
      </w:r>
      <w:r>
        <w:rPr>
          <w:rFonts w:hint="eastAsia" w:ascii="Times New Roman" w:hAnsi="Times New Roman"/>
          <w:bCs/>
          <w:color w:val="auto"/>
          <w:highlight w:val="none"/>
          <w:lang w:val="en-US" w:eastAsia="zh-CN"/>
        </w:rPr>
        <w:t>2</w:t>
      </w:r>
      <w:r>
        <w:rPr>
          <w:rFonts w:hint="eastAsia" w:ascii="Times New Roman" w:hAnsi="Times New Roman"/>
          <w:bCs/>
          <w:color w:val="auto"/>
          <w:highlight w:val="none"/>
        </w:rPr>
        <w:t>0</w:t>
      </w:r>
      <w:r>
        <w:rPr>
          <w:rFonts w:ascii="Times New Roman" w:hAnsi="Times New Roman"/>
          <w:bCs/>
          <w:color w:val="auto"/>
          <w:highlight w:val="none"/>
        </w:rPr>
        <w:t>%</w:t>
      </w:r>
      <w:r>
        <w:rPr>
          <w:rFonts w:hint="eastAsia" w:ascii="Times New Roman" w:hAnsi="Times New Roman"/>
          <w:bCs/>
          <w:color w:val="auto"/>
          <w:highlight w:val="none"/>
        </w:rPr>
        <w:t>的扣除，</w:t>
      </w:r>
      <w:r>
        <w:rPr>
          <w:rFonts w:hint="eastAsia"/>
          <w:color w:val="auto"/>
          <w:highlight w:val="none"/>
        </w:rPr>
        <w:t>扣除后的价格为评标价，即评标价=投标价×（1-</w:t>
      </w:r>
      <w:r>
        <w:rPr>
          <w:rFonts w:hint="eastAsia"/>
          <w:color w:val="auto"/>
          <w:highlight w:val="none"/>
          <w:lang w:val="en-US" w:eastAsia="zh-CN"/>
        </w:rPr>
        <w:t>2</w:t>
      </w:r>
      <w:r>
        <w:rPr>
          <w:rFonts w:hint="eastAsia"/>
          <w:color w:val="auto"/>
          <w:highlight w:val="none"/>
        </w:rPr>
        <w:t>0%）；除上述情况外，</w:t>
      </w:r>
      <w:r>
        <w:rPr>
          <w:rFonts w:hint="eastAsia"/>
          <w:color w:val="auto"/>
          <w:highlight w:val="none"/>
        </w:rPr>
        <w:t>评标价=投标价。</w:t>
      </w:r>
    </w:p>
    <w:p w14:paraId="09BCBADD">
      <w:pPr>
        <w:pStyle w:val="29"/>
        <w:keepNext w:val="0"/>
        <w:keepLines w:val="0"/>
        <w:pageBreakBefore w:val="0"/>
        <w:kinsoku/>
        <w:wordWrap/>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hAnsi="宋体" w:cs="宋体"/>
          <w:color w:val="auto"/>
          <w:kern w:val="0"/>
          <w:highlight w:val="none"/>
          <w:shd w:val="clear" w:color="auto" w:fill="auto"/>
        </w:rPr>
        <w:t>投标产品生产企业</w:t>
      </w:r>
      <w:r>
        <w:rPr>
          <w:rFonts w:hint="eastAsia"/>
          <w:color w:val="auto"/>
          <w:highlight w:val="none"/>
          <w:shd w:val="clear" w:color="auto" w:fill="auto"/>
        </w:rPr>
        <w:t>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EF7F8FC">
      <w:pPr>
        <w:pStyle w:val="29"/>
        <w:keepNext w:val="0"/>
        <w:keepLines w:val="0"/>
        <w:pageBreakBefore w:val="0"/>
        <w:kinsoku/>
        <w:wordWrap/>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color w:val="auto"/>
          <w:highlight w:val="none"/>
          <w:shd w:val="clear" w:color="auto" w:fill="auto"/>
        </w:rPr>
        <w:t>投标</w:t>
      </w:r>
      <w:r>
        <w:rPr>
          <w:rFonts w:hint="eastAsia"/>
          <w:b/>
          <w:color w:val="auto"/>
          <w:highlight w:val="none"/>
          <w:shd w:val="clear" w:color="auto" w:fill="auto"/>
        </w:rPr>
        <w:t>产品</w:t>
      </w:r>
      <w:r>
        <w:rPr>
          <w:rFonts w:hint="eastAsia"/>
          <w:color w:val="auto"/>
          <w:highlight w:val="none"/>
          <w:shd w:val="clear" w:color="auto" w:fill="auto"/>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666C6F49">
      <w:pPr>
        <w:pStyle w:val="29"/>
        <w:keepNext w:val="0"/>
        <w:keepLines w:val="0"/>
        <w:pageBreakBefore w:val="0"/>
        <w:kinsoku/>
        <w:wordWrap/>
        <w:overflowPunct/>
        <w:topLinePunct w:val="0"/>
        <w:autoSpaceDE/>
        <w:autoSpaceDN/>
        <w:bidi w:val="0"/>
        <w:spacing w:line="420" w:lineRule="exact"/>
        <w:ind w:firstLine="210" w:firstLineChars="100"/>
        <w:outlineLvl w:val="0"/>
        <w:rPr>
          <w:rFonts w:hAnsi="宋体"/>
          <w:color w:val="auto"/>
          <w:highlight w:val="none"/>
          <w:shd w:val="clear" w:color="auto" w:fill="auto"/>
        </w:rPr>
      </w:pPr>
      <w:r>
        <w:rPr>
          <w:rFonts w:hint="eastAsia" w:hAnsi="宋体"/>
          <w:color w:val="auto"/>
          <w:highlight w:val="none"/>
          <w:shd w:val="clear" w:color="auto" w:fill="auto"/>
        </w:rPr>
        <w:t xml:space="preserve"> （2）以</w:t>
      </w:r>
      <w:r>
        <w:rPr>
          <w:rFonts w:hint="eastAsia"/>
          <w:color w:val="auto"/>
          <w:highlight w:val="none"/>
          <w:shd w:val="clear" w:color="auto" w:fill="auto"/>
        </w:rPr>
        <w:t>满足招标文件要求且评标价最低的投标人的评标价为评标基准价，其价格分为</w:t>
      </w:r>
      <w:r>
        <w:rPr>
          <w:rFonts w:hint="eastAsia" w:hAnsi="宋体" w:cs="宋体"/>
          <w:b/>
          <w:color w:val="auto"/>
          <w:highlight w:val="none"/>
          <w:shd w:val="clear" w:color="auto" w:fill="auto"/>
          <w:lang w:val="en-US" w:eastAsia="zh-CN"/>
        </w:rPr>
        <w:t>40</w:t>
      </w:r>
      <w:r>
        <w:rPr>
          <w:rFonts w:hint="eastAsia" w:hAnsi="宋体" w:cs="宋体"/>
          <w:color w:val="auto"/>
          <w:szCs w:val="24"/>
          <w:highlight w:val="none"/>
          <w:shd w:val="clear" w:color="auto" w:fill="auto"/>
        </w:rPr>
        <w:t>分</w:t>
      </w:r>
      <w:r>
        <w:rPr>
          <w:rFonts w:hint="eastAsia" w:ascii="Times New Roman" w:hAnsi="Times New Roman"/>
          <w:color w:val="auto"/>
          <w:szCs w:val="24"/>
          <w:highlight w:val="none"/>
          <w:shd w:val="clear" w:color="auto" w:fill="auto"/>
        </w:rPr>
        <w:t>。</w:t>
      </w:r>
    </w:p>
    <w:p w14:paraId="7D421EF9">
      <w:pPr>
        <w:pStyle w:val="29"/>
        <w:keepNext w:val="0"/>
        <w:keepLines w:val="0"/>
        <w:pageBreakBefore w:val="0"/>
        <w:kinsoku/>
        <w:wordWrap/>
        <w:overflowPunct/>
        <w:topLinePunct w:val="0"/>
        <w:autoSpaceDE/>
        <w:autoSpaceDN/>
        <w:bidi w:val="0"/>
        <w:spacing w:line="420" w:lineRule="exact"/>
        <w:outlineLvl w:val="0"/>
        <w:rPr>
          <w:b/>
          <w:color w:val="auto"/>
          <w:highlight w:val="none"/>
          <w:shd w:val="clear" w:color="auto" w:fill="auto"/>
        </w:rPr>
      </w:pPr>
      <w:r>
        <w:rPr>
          <w:rFonts w:hint="eastAsia"/>
          <w:b/>
          <w:bCs/>
          <w:color w:val="auto"/>
          <w:highlight w:val="none"/>
          <w:shd w:val="clear" w:color="auto" w:fill="auto"/>
          <w:lang w:val="en-US" w:eastAsia="zh-CN"/>
        </w:rPr>
        <w:t xml:space="preserve">   </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3</w:t>
      </w:r>
      <w:r>
        <w:rPr>
          <w:rFonts w:hint="eastAsia"/>
          <w:b/>
          <w:bCs/>
          <w:color w:val="auto"/>
          <w:highlight w:val="none"/>
          <w:shd w:val="clear" w:color="auto" w:fill="auto"/>
          <w:lang w:eastAsia="zh-CN"/>
        </w:rPr>
        <w:t>）</w:t>
      </w:r>
      <w:r>
        <w:rPr>
          <w:rFonts w:hint="eastAsia"/>
          <w:b/>
          <w:bCs/>
          <w:color w:val="auto"/>
          <w:highlight w:val="none"/>
          <w:shd w:val="clear" w:color="auto" w:fill="auto"/>
        </w:rPr>
        <w:t>某投标人价格分</w:t>
      </w:r>
      <w:r>
        <w:rPr>
          <w:rFonts w:hint="eastAsia"/>
          <w:b/>
          <w:color w:val="auto"/>
          <w:highlight w:val="none"/>
          <w:shd w:val="clear" w:color="auto" w:fill="auto"/>
        </w:rPr>
        <w:t xml:space="preserve"> =评标基准价（金额）/某投标人</w:t>
      </w:r>
      <w:r>
        <w:rPr>
          <w:rFonts w:hint="eastAsia"/>
          <w:b/>
          <w:color w:val="auto"/>
          <w:highlight w:val="none"/>
          <w:shd w:val="clear" w:color="auto" w:fill="auto"/>
          <w:lang w:eastAsia="zh-CN"/>
        </w:rPr>
        <w:t>评标价</w:t>
      </w:r>
      <w:r>
        <w:rPr>
          <w:rFonts w:hint="eastAsia"/>
          <w:b/>
          <w:color w:val="auto"/>
          <w:highlight w:val="none"/>
          <w:shd w:val="clear" w:color="auto" w:fill="auto"/>
        </w:rPr>
        <w:t>（金额）×</w:t>
      </w:r>
      <w:r>
        <w:rPr>
          <w:rFonts w:hint="eastAsia"/>
          <w:b/>
          <w:color w:val="auto"/>
          <w:highlight w:val="none"/>
          <w:shd w:val="clear" w:color="auto" w:fill="auto"/>
          <w:lang w:val="en-US" w:eastAsia="zh-CN"/>
        </w:rPr>
        <w:t>40</w:t>
      </w:r>
      <w:r>
        <w:rPr>
          <w:rFonts w:hint="eastAsia"/>
          <w:b/>
          <w:color w:val="auto"/>
          <w:highlight w:val="none"/>
          <w:shd w:val="clear" w:color="auto" w:fill="auto"/>
        </w:rPr>
        <w:t>分</w:t>
      </w:r>
    </w:p>
    <w:p w14:paraId="72594409">
      <w:pPr>
        <w:keepNext w:val="0"/>
        <w:keepLines w:val="0"/>
        <w:pageBreakBefore w:val="0"/>
        <w:kinsoku/>
        <w:wordWrap/>
        <w:overflowPunct/>
        <w:topLinePunct w:val="0"/>
        <w:autoSpaceDE/>
        <w:autoSpaceDN/>
        <w:bidi w:val="0"/>
        <w:spacing w:line="400" w:lineRule="exact"/>
        <w:rPr>
          <w:rFonts w:hint="eastAsia" w:ascii="宋体" w:hAnsi="宋体" w:eastAsia="宋体" w:cs="宋体"/>
          <w:color w:val="auto"/>
          <w:highlight w:val="none"/>
        </w:rPr>
      </w:pPr>
      <w:r>
        <w:rPr>
          <w:rFonts w:hint="eastAsia" w:hAnsi="宋体"/>
          <w:b/>
          <w:color w:val="auto"/>
          <w:highlight w:val="none"/>
          <w:shd w:val="clear" w:color="auto" w:fill="auto"/>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b/>
          <w:color w:val="auto"/>
          <w:kern w:val="0"/>
          <w:highlight w:val="none"/>
        </w:rPr>
        <w:t>2、</w:t>
      </w:r>
      <w:r>
        <w:rPr>
          <w:rFonts w:hint="eastAsia" w:ascii="宋体" w:hAnsi="宋体" w:eastAsia="宋体" w:cs="宋体"/>
          <w:b/>
          <w:bCs/>
          <w:color w:val="auto"/>
          <w:spacing w:val="-12"/>
          <w:kern w:val="0"/>
          <w:highlight w:val="none"/>
        </w:rPr>
        <w:t>技术分</w:t>
      </w:r>
      <w:r>
        <w:rPr>
          <w:rFonts w:hint="eastAsia" w:ascii="宋体" w:hAnsi="宋体" w:cs="宋体"/>
          <w:b/>
          <w:color w:val="auto"/>
          <w:szCs w:val="21"/>
          <w:highlight w:val="none"/>
        </w:rPr>
        <w:t>………………………………………………………………………………</w:t>
      </w:r>
      <w:r>
        <w:rPr>
          <w:rFonts w:hint="eastAsia" w:ascii="宋体" w:hAnsi="宋体" w:cs="宋体"/>
          <w:b/>
          <w:color w:val="auto"/>
          <w:highlight w:val="none"/>
          <w:lang w:val="en-US" w:eastAsia="zh-CN"/>
        </w:rPr>
        <w:t>50</w:t>
      </w:r>
      <w:r>
        <w:rPr>
          <w:rFonts w:hint="eastAsia" w:ascii="宋体" w:hAnsi="宋体" w:eastAsia="宋体" w:cs="宋体"/>
          <w:b/>
          <w:color w:val="auto"/>
          <w:highlight w:val="none"/>
        </w:rPr>
        <w:t>分</w:t>
      </w:r>
    </w:p>
    <w:p w14:paraId="705FA7F2">
      <w:pPr>
        <w:keepNext w:val="0"/>
        <w:keepLines w:val="0"/>
        <w:pageBreakBefore w:val="0"/>
        <w:widowControl/>
        <w:numPr>
          <w:ilvl w:val="0"/>
          <w:numId w:val="0"/>
        </w:numPr>
        <w:kinsoku/>
        <w:wordWrap/>
        <w:overflowPunct/>
        <w:topLinePunct w:val="0"/>
        <w:autoSpaceDE/>
        <w:autoSpaceDN/>
        <w:bidi w:val="0"/>
        <w:spacing w:line="360" w:lineRule="exact"/>
        <w:ind w:left="525" w:leftChars="0"/>
        <w:jc w:val="left"/>
        <w:textAlignment w:val="auto"/>
        <w:rPr>
          <w:rFonts w:hint="eastAsia" w:ascii="宋体" w:hAnsi="宋体" w:eastAsia="宋体" w:cs="宋体"/>
          <w:b/>
          <w:color w:val="auto"/>
          <w:highlight w:val="none"/>
          <w:lang w:eastAsia="zh-CN"/>
        </w:rPr>
      </w:pPr>
      <w:r>
        <w:rPr>
          <w:rFonts w:hint="eastAsia" w:ascii="宋体" w:hAnsi="宋体" w:eastAsia="宋体" w:cs="宋体"/>
          <w:b/>
          <w:color w:val="auto"/>
          <w:highlight w:val="none"/>
          <w:lang w:eastAsia="zh-CN"/>
        </w:rPr>
        <w:t>（</w:t>
      </w:r>
      <w:r>
        <w:rPr>
          <w:rFonts w:hint="eastAsia" w:ascii="宋体" w:hAnsi="宋体" w:eastAsia="宋体" w:cs="宋体"/>
          <w:b/>
          <w:color w:val="auto"/>
          <w:highlight w:val="none"/>
          <w:lang w:val="en-US" w:eastAsia="zh-CN"/>
        </w:rPr>
        <w:t>1</w:t>
      </w:r>
      <w:r>
        <w:rPr>
          <w:rFonts w:hint="eastAsia" w:ascii="宋体" w:hAnsi="宋体" w:eastAsia="宋体" w:cs="宋体"/>
          <w:b/>
          <w:color w:val="auto"/>
          <w:highlight w:val="none"/>
          <w:lang w:eastAsia="zh-CN"/>
        </w:rPr>
        <w:t>）产品及材料检测分（满分</w:t>
      </w:r>
      <w:r>
        <w:rPr>
          <w:rFonts w:hint="eastAsia" w:ascii="宋体" w:hAnsi="宋体" w:eastAsia="宋体" w:cs="宋体"/>
          <w:b/>
          <w:color w:val="auto"/>
          <w:highlight w:val="none"/>
          <w:lang w:val="en-US" w:eastAsia="zh-CN"/>
        </w:rPr>
        <w:t>8分</w:t>
      </w:r>
      <w:r>
        <w:rPr>
          <w:rFonts w:hint="eastAsia" w:ascii="宋体" w:hAnsi="宋体" w:eastAsia="宋体" w:cs="宋体"/>
          <w:b/>
          <w:color w:val="auto"/>
          <w:highlight w:val="none"/>
          <w:lang w:eastAsia="zh-CN"/>
        </w:rPr>
        <w:t>）</w:t>
      </w:r>
    </w:p>
    <w:p w14:paraId="3678ADDB">
      <w:pPr>
        <w:keepNext w:val="0"/>
        <w:keepLines w:val="0"/>
        <w:pageBreakBefore w:val="0"/>
        <w:widowControl/>
        <w:numPr>
          <w:ilvl w:val="0"/>
          <w:numId w:val="0"/>
        </w:numPr>
        <w:kinsoku/>
        <w:wordWrap/>
        <w:overflowPunct/>
        <w:topLinePunct w:val="0"/>
        <w:autoSpaceDE/>
        <w:autoSpaceDN/>
        <w:bidi w:val="0"/>
        <w:spacing w:line="360" w:lineRule="exact"/>
        <w:jc w:val="left"/>
        <w:textAlignment w:val="auto"/>
        <w:rPr>
          <w:rFonts w:hint="eastAsia" w:ascii="宋体" w:hAnsi="宋体" w:cs="宋体"/>
          <w:color w:val="auto"/>
          <w:szCs w:val="21"/>
          <w:highlight w:val="none"/>
        </w:rPr>
      </w:pPr>
      <w:r>
        <w:rPr>
          <w:rFonts w:hint="eastAsia" w:hAnsi="宋体" w:cs="宋体"/>
          <w:color w:val="auto"/>
          <w:szCs w:val="21"/>
          <w:highlight w:val="none"/>
          <w:lang w:val="en-US" w:eastAsia="zh-CN"/>
        </w:rPr>
        <w:t xml:space="preserve">     </w:t>
      </w:r>
      <w:r>
        <w:rPr>
          <w:rFonts w:hint="eastAsia" w:hAnsi="宋体" w:cs="宋体"/>
          <w:color w:val="auto"/>
          <w:szCs w:val="21"/>
          <w:highlight w:val="none"/>
        </w:rPr>
        <w:t>投标人或投标产品的生产厂商提供自2020年1月1日至开标截止时间前由第三方检测（验）机构出具的</w:t>
      </w:r>
      <w:r>
        <w:rPr>
          <w:rFonts w:hint="eastAsia" w:hAnsi="宋体" w:cs="宋体"/>
          <w:color w:val="auto"/>
          <w:szCs w:val="21"/>
          <w:highlight w:val="none"/>
          <w:lang w:eastAsia="zh-CN"/>
        </w:rPr>
        <w:t>检测报告</w:t>
      </w:r>
      <w:r>
        <w:rPr>
          <w:rFonts w:hint="eastAsia" w:hAnsi="宋体" w:cs="宋体"/>
          <w:color w:val="auto"/>
          <w:szCs w:val="21"/>
          <w:highlight w:val="none"/>
        </w:rPr>
        <w:t>报告复印件</w:t>
      </w:r>
      <w:r>
        <w:rPr>
          <w:rFonts w:hint="eastAsia" w:hAnsi="宋体" w:cs="宋体"/>
          <w:color w:val="auto"/>
          <w:szCs w:val="21"/>
          <w:highlight w:val="none"/>
          <w:lang w:eastAsia="zh-CN"/>
        </w:rPr>
        <w:t>。</w:t>
      </w:r>
      <w:r>
        <w:rPr>
          <w:rFonts w:hint="eastAsia" w:ascii="宋体" w:hAnsi="宋体" w:cs="宋体"/>
          <w:color w:val="auto"/>
          <w:szCs w:val="21"/>
          <w:highlight w:val="none"/>
        </w:rPr>
        <w:t>投标人</w:t>
      </w:r>
      <w:r>
        <w:rPr>
          <w:rFonts w:hint="eastAsia" w:ascii="宋体" w:hAnsi="宋体" w:cs="宋体"/>
          <w:b w:val="0"/>
          <w:bCs w:val="0"/>
          <w:color w:val="auto"/>
          <w:szCs w:val="21"/>
          <w:highlight w:val="none"/>
          <w:lang w:val="en-US" w:eastAsia="zh-CN"/>
        </w:rPr>
        <w:t>检验（测）报告</w:t>
      </w:r>
      <w:r>
        <w:rPr>
          <w:rFonts w:hint="eastAsia" w:ascii="宋体" w:hAnsi="宋体" w:cs="宋体"/>
          <w:color w:val="auto"/>
          <w:szCs w:val="21"/>
          <w:highlight w:val="none"/>
        </w:rPr>
        <w:t>名字与要求不相同的，只要检测内容为相同则视为相符</w:t>
      </w:r>
      <w:r>
        <w:rPr>
          <w:rFonts w:hint="eastAsia" w:ascii="宋体" w:hAnsi="宋体" w:cs="宋体"/>
          <w:color w:val="auto"/>
          <w:szCs w:val="21"/>
          <w:highlight w:val="none"/>
          <w:u w:val="none"/>
          <w:lang w:eastAsia="zh-CN"/>
        </w:rPr>
        <w:t>。</w:t>
      </w:r>
      <w:r>
        <w:rPr>
          <w:rFonts w:hint="eastAsia" w:ascii="宋体" w:hAnsi="宋体" w:cs="宋体"/>
          <w:b w:val="0"/>
          <w:bCs w:val="0"/>
          <w:color w:val="auto"/>
          <w:szCs w:val="21"/>
          <w:highlight w:val="none"/>
          <w:lang w:val="en-US" w:eastAsia="zh-CN"/>
        </w:rPr>
        <w:t>检验（测）报告</w:t>
      </w:r>
      <w:r>
        <w:rPr>
          <w:rFonts w:hint="eastAsia" w:ascii="宋体" w:hAnsi="宋体" w:cs="宋体"/>
          <w:color w:val="auto"/>
          <w:szCs w:val="21"/>
          <w:highlight w:val="none"/>
        </w:rPr>
        <w:t>的送检单位</w:t>
      </w:r>
      <w:r>
        <w:rPr>
          <w:rFonts w:hint="eastAsia" w:ascii="宋体" w:hAnsi="宋体" w:cs="宋体"/>
          <w:color w:val="auto"/>
          <w:szCs w:val="21"/>
          <w:highlight w:val="none"/>
          <w:lang w:eastAsia="zh-CN"/>
        </w:rPr>
        <w:t>可以为</w:t>
      </w:r>
      <w:r>
        <w:rPr>
          <w:rFonts w:hint="eastAsia" w:ascii="宋体" w:hAnsi="宋体" w:cs="宋体"/>
          <w:color w:val="auto"/>
          <w:szCs w:val="21"/>
          <w:highlight w:val="none"/>
        </w:rPr>
        <w:t>投标人或生产厂家</w:t>
      </w:r>
      <w:r>
        <w:rPr>
          <w:rFonts w:hint="eastAsia" w:ascii="宋体" w:hAnsi="宋体" w:cs="宋体"/>
          <w:color w:val="auto"/>
          <w:szCs w:val="21"/>
          <w:highlight w:val="none"/>
          <w:lang w:eastAsia="zh-CN"/>
        </w:rPr>
        <w:t>或材料商</w:t>
      </w:r>
      <w:r>
        <w:rPr>
          <w:rFonts w:hint="eastAsia" w:ascii="宋体" w:hAnsi="宋体" w:cs="宋体"/>
          <w:color w:val="auto"/>
          <w:szCs w:val="21"/>
          <w:highlight w:val="none"/>
        </w:rPr>
        <w:t>。</w:t>
      </w:r>
    </w:p>
    <w:p w14:paraId="1F5C4888">
      <w:pPr>
        <w:numPr>
          <w:ilvl w:val="0"/>
          <w:numId w:val="0"/>
        </w:num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汉仪书宋二S" w:hAnsi="汉仪书宋二S" w:eastAsia="汉仪书宋二S" w:cs="汉仪书宋二S"/>
          <w:color w:val="auto"/>
          <w:szCs w:val="21"/>
          <w:highlight w:val="none"/>
          <w:lang w:val="en-US" w:eastAsia="zh-CN"/>
        </w:rPr>
        <w:t>①</w:t>
      </w:r>
      <w:r>
        <w:rPr>
          <w:rFonts w:hint="eastAsia" w:ascii="宋体" w:hAnsi="宋体" w:cs="宋体"/>
          <w:color w:val="auto"/>
          <w:szCs w:val="21"/>
          <w:highlight w:val="none"/>
        </w:rPr>
        <w:t>投标人提供</w:t>
      </w:r>
      <w:r>
        <w:rPr>
          <w:rFonts w:hint="eastAsia" w:ascii="宋体" w:hAnsi="宋体" w:cs="宋体"/>
          <w:color w:val="auto"/>
          <w:szCs w:val="21"/>
          <w:highlight w:val="none"/>
          <w:lang w:eastAsia="zh-CN"/>
        </w:rPr>
        <w:t>所投</w:t>
      </w:r>
      <w:r>
        <w:rPr>
          <w:rFonts w:hint="eastAsia" w:ascii="宋体" w:hAnsi="宋体" w:cs="宋体"/>
          <w:color w:val="auto"/>
          <w:szCs w:val="21"/>
          <w:highlight w:val="none"/>
        </w:rPr>
        <w:t>“礼堂椅”</w:t>
      </w:r>
      <w:r>
        <w:rPr>
          <w:rFonts w:hint="eastAsia" w:ascii="宋体" w:hAnsi="宋体" w:cs="宋体"/>
          <w:color w:val="auto"/>
          <w:szCs w:val="21"/>
          <w:highlight w:val="none"/>
          <w:lang w:eastAsia="zh-CN"/>
        </w:rPr>
        <w:t>的</w:t>
      </w:r>
      <w:r>
        <w:rPr>
          <w:rFonts w:hint="eastAsia" w:ascii="宋体" w:hAnsi="宋体" w:cs="宋体"/>
          <w:b/>
          <w:bCs/>
          <w:color w:val="auto"/>
          <w:szCs w:val="21"/>
          <w:highlight w:val="none"/>
          <w:lang w:eastAsia="zh-CN"/>
        </w:rPr>
        <w:t>型式检验报告</w:t>
      </w:r>
      <w:r>
        <w:rPr>
          <w:rFonts w:hint="eastAsia" w:ascii="宋体" w:hAnsi="宋体" w:cs="宋体"/>
          <w:color w:val="auto"/>
          <w:szCs w:val="21"/>
          <w:highlight w:val="none"/>
          <w:lang w:eastAsia="zh-CN"/>
        </w:rPr>
        <w:t>复印件，得</w:t>
      </w:r>
      <w:r>
        <w:rPr>
          <w:rFonts w:hint="eastAsia" w:ascii="宋体" w:hAnsi="宋体" w:cs="宋体"/>
          <w:color w:val="auto"/>
          <w:szCs w:val="21"/>
          <w:highlight w:val="none"/>
          <w:lang w:val="en-US" w:eastAsia="zh-CN"/>
        </w:rPr>
        <w:t>6分，</w:t>
      </w:r>
      <w:r>
        <w:rPr>
          <w:rFonts w:hint="eastAsia" w:ascii="宋体" w:hAnsi="宋体" w:cs="宋体"/>
          <w:color w:val="auto"/>
          <w:szCs w:val="21"/>
          <w:highlight w:val="none"/>
          <w:lang w:eastAsia="zh-CN"/>
        </w:rPr>
        <w:t>本项</w:t>
      </w:r>
      <w:r>
        <w:rPr>
          <w:rFonts w:hint="eastAsia" w:ascii="宋体" w:hAnsi="宋体" w:cs="宋体"/>
          <w:color w:val="auto"/>
          <w:szCs w:val="21"/>
          <w:highlight w:val="none"/>
          <w:lang w:val="en-US" w:eastAsia="zh-CN"/>
        </w:rPr>
        <w:t>满分6分。</w:t>
      </w:r>
      <w:r>
        <w:rPr>
          <w:rFonts w:hint="eastAsia" w:ascii="宋体" w:hAnsi="宋体" w:cs="宋体"/>
          <w:color w:val="auto"/>
          <w:szCs w:val="21"/>
          <w:highlight w:val="none"/>
        </w:rPr>
        <w:t>检测标准</w:t>
      </w:r>
      <w:r>
        <w:rPr>
          <w:rFonts w:hint="eastAsia" w:ascii="宋体" w:hAnsi="宋体" w:cs="宋体"/>
          <w:color w:val="auto"/>
          <w:szCs w:val="21"/>
          <w:highlight w:val="none"/>
          <w:lang w:eastAsia="zh-CN"/>
        </w:rPr>
        <w:t>为</w:t>
      </w:r>
      <w:r>
        <w:rPr>
          <w:rFonts w:hint="eastAsia" w:ascii="宋体" w:hAnsi="宋体" w:cs="宋体"/>
          <w:color w:val="auto"/>
          <w:szCs w:val="21"/>
          <w:highlight w:val="none"/>
        </w:rPr>
        <w:t>QB/T2602-2013《影剧院公共座椅》</w:t>
      </w:r>
      <w:r>
        <w:rPr>
          <w:rFonts w:hint="eastAsia" w:ascii="宋体" w:hAnsi="宋体" w:cs="宋体"/>
          <w:color w:val="auto"/>
          <w:szCs w:val="21"/>
          <w:highlight w:val="none"/>
          <w:lang w:val="en-US" w:eastAsia="zh-CN"/>
        </w:rPr>
        <w:t>。</w:t>
      </w:r>
    </w:p>
    <w:p w14:paraId="7E52AB1A">
      <w:pPr>
        <w:widowControl/>
        <w:tabs>
          <w:tab w:val="left" w:pos="210"/>
        </w:tabs>
        <w:spacing w:line="400" w:lineRule="exact"/>
        <w:jc w:val="left"/>
        <w:rPr>
          <w:rFonts w:hint="default"/>
          <w:color w:val="auto"/>
          <w:highlight w:val="none"/>
          <w:lang w:val="en-US" w:eastAsia="zh-CN"/>
        </w:rPr>
      </w:pPr>
      <w:r>
        <w:rPr>
          <w:rFonts w:hint="eastAsia" w:ascii="汉仪书宋二S" w:hAnsi="汉仪书宋二S" w:eastAsia="汉仪书宋二S" w:cs="汉仪书宋二S"/>
          <w:color w:val="auto"/>
          <w:szCs w:val="21"/>
          <w:highlight w:val="none"/>
          <w:lang w:val="en-US" w:eastAsia="zh-CN"/>
        </w:rPr>
        <w:t xml:space="preserve">     </w:t>
      </w:r>
      <w:r>
        <w:rPr>
          <w:rFonts w:hint="eastAsia" w:ascii="汉仪书宋二S" w:hAnsi="汉仪书宋二S" w:eastAsia="汉仪书宋二S" w:cs="汉仪书宋二S"/>
          <w:color w:val="auto"/>
          <w:szCs w:val="21"/>
          <w:highlight w:val="none"/>
        </w:rPr>
        <w:t>②</w:t>
      </w:r>
      <w:r>
        <w:rPr>
          <w:rFonts w:hint="eastAsia" w:ascii="宋体" w:hAnsi="宋体" w:cs="宋体"/>
          <w:color w:val="auto"/>
          <w:szCs w:val="21"/>
          <w:highlight w:val="none"/>
        </w:rPr>
        <w:t>投标人提供</w:t>
      </w:r>
      <w:r>
        <w:rPr>
          <w:rFonts w:hint="eastAsia" w:ascii="宋体" w:hAnsi="宋体" w:cs="宋体"/>
          <w:color w:val="auto"/>
          <w:szCs w:val="21"/>
          <w:highlight w:val="none"/>
          <w:lang w:val="en-US" w:eastAsia="zh-CN"/>
        </w:rPr>
        <w:t>礼堂椅</w:t>
      </w:r>
      <w:r>
        <w:rPr>
          <w:rFonts w:hint="eastAsia" w:ascii="宋体" w:hAnsi="宋体" w:cs="宋体"/>
          <w:color w:val="auto"/>
          <w:szCs w:val="21"/>
          <w:highlight w:val="none"/>
          <w:lang w:eastAsia="zh-CN"/>
        </w:rPr>
        <w:t>所用“</w:t>
      </w:r>
      <w:r>
        <w:rPr>
          <w:rFonts w:hint="eastAsia" w:ascii="宋体" w:hAnsi="宋体" w:cs="宋体"/>
          <w:color w:val="auto"/>
          <w:szCs w:val="21"/>
          <w:highlight w:val="none"/>
        </w:rPr>
        <w:t>海绵</w:t>
      </w:r>
      <w:r>
        <w:rPr>
          <w:rFonts w:hint="eastAsia" w:ascii="宋体" w:hAnsi="宋体" w:cs="宋体"/>
          <w:color w:val="auto"/>
          <w:szCs w:val="21"/>
          <w:highlight w:val="none"/>
          <w:lang w:eastAsia="zh-CN"/>
        </w:rPr>
        <w:t>”的合格检测报告复印件，得</w:t>
      </w:r>
      <w:r>
        <w:rPr>
          <w:rFonts w:hint="eastAsia" w:ascii="宋体" w:hAnsi="宋体" w:cs="宋体"/>
          <w:color w:val="auto"/>
          <w:szCs w:val="21"/>
          <w:highlight w:val="none"/>
          <w:lang w:val="en-US" w:eastAsia="zh-CN"/>
        </w:rPr>
        <w:t>2分，满分2分。</w:t>
      </w:r>
      <w:r>
        <w:rPr>
          <w:rFonts w:hint="eastAsia" w:ascii="宋体" w:hAnsi="宋体" w:cs="宋体"/>
          <w:color w:val="auto"/>
          <w:szCs w:val="21"/>
          <w:highlight w:val="none"/>
        </w:rPr>
        <w:t>检测标准</w:t>
      </w:r>
      <w:r>
        <w:rPr>
          <w:rFonts w:hint="eastAsia" w:ascii="宋体" w:hAnsi="宋体" w:cs="宋体"/>
          <w:color w:val="auto"/>
          <w:szCs w:val="21"/>
          <w:highlight w:val="none"/>
          <w:lang w:eastAsia="zh-CN"/>
        </w:rPr>
        <w:t>为</w:t>
      </w:r>
      <w:r>
        <w:rPr>
          <w:rFonts w:hint="eastAsia" w:ascii="宋体" w:hAnsi="宋体" w:cs="宋体"/>
          <w:color w:val="auto"/>
          <w:szCs w:val="21"/>
          <w:highlight w:val="none"/>
        </w:rPr>
        <w:t>GB/T10802-2006《通用软质聚醚型聚氨酯泡沫塑料》</w:t>
      </w:r>
      <w:r>
        <w:rPr>
          <w:rFonts w:hint="eastAsia" w:ascii="宋体" w:hAnsi="宋体" w:cs="宋体"/>
          <w:color w:val="auto"/>
          <w:szCs w:val="21"/>
          <w:highlight w:val="none"/>
          <w:lang w:eastAsia="zh-CN"/>
        </w:rPr>
        <w:t>。</w:t>
      </w:r>
    </w:p>
    <w:p w14:paraId="19E67817">
      <w:pPr>
        <w:pStyle w:val="101"/>
        <w:numPr>
          <w:ilvl w:val="0"/>
          <w:numId w:val="12"/>
        </w:numPr>
        <w:ind w:left="0" w:leftChars="0" w:firstLine="422" w:firstLineChars="200"/>
        <w:rPr>
          <w:rFonts w:hint="eastAsia" w:ascii="宋体" w:hAnsi="宋体" w:eastAsia="宋体" w:cs="宋体"/>
          <w:b/>
          <w:bCs w:val="0"/>
          <w:color w:val="auto"/>
          <w:spacing w:val="0"/>
          <w:kern w:val="2"/>
          <w:sz w:val="21"/>
          <w:szCs w:val="21"/>
          <w:highlight w:val="none"/>
          <w:lang w:val="en-US" w:eastAsia="zh-CN" w:bidi="ar-SA"/>
        </w:rPr>
      </w:pPr>
      <w:r>
        <w:rPr>
          <w:rFonts w:hint="eastAsia" w:ascii="宋体" w:hAnsi="宋体" w:eastAsia="宋体" w:cs="宋体"/>
          <w:b/>
          <w:bCs w:val="0"/>
          <w:color w:val="auto"/>
          <w:spacing w:val="0"/>
          <w:kern w:val="2"/>
          <w:sz w:val="21"/>
          <w:szCs w:val="21"/>
          <w:highlight w:val="none"/>
          <w:lang w:val="en-US" w:eastAsia="zh-CN" w:bidi="ar-SA"/>
        </w:rPr>
        <w:t>小样分（满分1</w:t>
      </w:r>
      <w:r>
        <w:rPr>
          <w:rFonts w:hint="eastAsia" w:ascii="宋体" w:hAnsi="宋体" w:cs="宋体"/>
          <w:b/>
          <w:bCs w:val="0"/>
          <w:color w:val="auto"/>
          <w:spacing w:val="0"/>
          <w:kern w:val="2"/>
          <w:sz w:val="21"/>
          <w:szCs w:val="21"/>
          <w:highlight w:val="none"/>
          <w:lang w:val="en-US" w:eastAsia="zh-CN" w:bidi="ar-SA"/>
        </w:rPr>
        <w:t>2</w:t>
      </w:r>
      <w:r>
        <w:rPr>
          <w:rFonts w:hint="eastAsia" w:ascii="宋体" w:hAnsi="宋体" w:eastAsia="宋体" w:cs="宋体"/>
          <w:b/>
          <w:bCs w:val="0"/>
          <w:color w:val="auto"/>
          <w:spacing w:val="0"/>
          <w:kern w:val="2"/>
          <w:sz w:val="21"/>
          <w:szCs w:val="21"/>
          <w:highlight w:val="none"/>
          <w:lang w:val="en-US" w:eastAsia="zh-CN" w:bidi="ar-SA"/>
        </w:rPr>
        <w:t>分）</w:t>
      </w:r>
    </w:p>
    <w:p w14:paraId="2E0EBC71">
      <w:pPr>
        <w:pStyle w:val="29"/>
        <w:keepNext w:val="0"/>
        <w:keepLines w:val="0"/>
        <w:pageBreakBefore w:val="0"/>
        <w:widowControl w:val="0"/>
        <w:numPr>
          <w:ilvl w:val="0"/>
          <w:numId w:val="0"/>
        </w:numPr>
        <w:kinsoku/>
        <w:wordWrap/>
        <w:overflowPunct/>
        <w:topLinePunct w:val="0"/>
        <w:autoSpaceDE/>
        <w:autoSpaceDN/>
        <w:bidi w:val="0"/>
        <w:snapToGrid/>
        <w:spacing w:line="400" w:lineRule="exact"/>
        <w:ind w:firstLine="420" w:firstLineChars="0"/>
        <w:outlineLvl w:val="0"/>
        <w:rPr>
          <w:rFonts w:hint="eastAsia" w:hAnsi="宋体" w:eastAsia="宋体" w:cs="宋体"/>
          <w:color w:val="auto"/>
          <w:szCs w:val="21"/>
          <w:highlight w:val="none"/>
          <w:lang w:val="en-US" w:eastAsia="zh-CN"/>
        </w:rPr>
      </w:pPr>
      <w:r>
        <w:rPr>
          <w:rFonts w:hint="eastAsia" w:hAnsi="宋体" w:eastAsia="宋体" w:cs="宋体"/>
          <w:color w:val="auto"/>
          <w:szCs w:val="21"/>
          <w:highlight w:val="none"/>
          <w:lang w:val="en-US" w:eastAsia="zh-CN"/>
        </w:rPr>
        <w:t>主要从提供的小样[详见招标项目采购需求中“投标样品（小样）]要求”的样式、厚度及外观质量、喷涂质量、</w:t>
      </w:r>
      <w:r>
        <w:rPr>
          <w:rFonts w:hint="eastAsia" w:hAnsi="宋体" w:eastAsia="宋体" w:cs="宋体"/>
          <w:color w:val="auto"/>
          <w:szCs w:val="21"/>
          <w:highlight w:val="none"/>
          <w:lang w:val="en-US" w:eastAsia="zh-CN"/>
        </w:rPr>
        <w:t>工艺打磨等方面进行综合评定。</w:t>
      </w:r>
    </w:p>
    <w:p w14:paraId="7E61CD85">
      <w:pPr>
        <w:pStyle w:val="29"/>
        <w:keepNext w:val="0"/>
        <w:keepLines w:val="0"/>
        <w:pageBreakBefore w:val="0"/>
        <w:widowControl w:val="0"/>
        <w:numPr>
          <w:ilvl w:val="0"/>
          <w:numId w:val="0"/>
        </w:numPr>
        <w:kinsoku/>
        <w:wordWrap/>
        <w:overflowPunct/>
        <w:topLinePunct w:val="0"/>
        <w:autoSpaceDE/>
        <w:autoSpaceDN/>
        <w:bidi w:val="0"/>
        <w:snapToGrid/>
        <w:spacing w:line="400" w:lineRule="exact"/>
        <w:ind w:firstLine="420" w:firstLineChars="0"/>
        <w:outlineLvl w:val="0"/>
        <w:rPr>
          <w:rFonts w:hint="eastAsia" w:hAnsi="宋体" w:eastAsia="宋体" w:cs="宋体"/>
          <w:color w:val="auto"/>
          <w:szCs w:val="21"/>
          <w:highlight w:val="none"/>
          <w:lang w:val="en-US" w:eastAsia="zh-CN"/>
        </w:rPr>
      </w:pPr>
      <w:r>
        <w:rPr>
          <w:rFonts w:hint="eastAsia" w:hAnsi="宋体" w:eastAsia="宋体" w:cs="宋体"/>
          <w:color w:val="auto"/>
          <w:szCs w:val="21"/>
          <w:highlight w:val="none"/>
          <w:lang w:val="en-US" w:eastAsia="zh-CN"/>
        </w:rPr>
        <w:t>一档（</w:t>
      </w:r>
      <w:r>
        <w:rPr>
          <w:rFonts w:hint="eastAsia" w:hAnsi="宋体" w:cs="宋体"/>
          <w:color w:val="auto"/>
          <w:szCs w:val="21"/>
          <w:highlight w:val="none"/>
          <w:lang w:val="en-US" w:eastAsia="zh-CN"/>
        </w:rPr>
        <w:t>3</w:t>
      </w:r>
      <w:r>
        <w:rPr>
          <w:rFonts w:hint="eastAsia" w:hAnsi="宋体" w:eastAsia="宋体" w:cs="宋体"/>
          <w:color w:val="auto"/>
          <w:szCs w:val="21"/>
          <w:highlight w:val="none"/>
          <w:lang w:val="en-US" w:eastAsia="zh-CN"/>
        </w:rPr>
        <w:t>分）：①投标小样提供齐全；②小样外观、材质符合采购需求；③小样有瑕疵的（如有明显的焊渣、焊疤、裂缝、毛刺、黑斑等瑕疵的）。</w:t>
      </w:r>
    </w:p>
    <w:p w14:paraId="6064A393">
      <w:pPr>
        <w:pStyle w:val="29"/>
        <w:keepNext w:val="0"/>
        <w:keepLines w:val="0"/>
        <w:pageBreakBefore w:val="0"/>
        <w:widowControl w:val="0"/>
        <w:numPr>
          <w:ilvl w:val="0"/>
          <w:numId w:val="0"/>
        </w:numPr>
        <w:kinsoku/>
        <w:wordWrap/>
        <w:overflowPunct/>
        <w:topLinePunct w:val="0"/>
        <w:autoSpaceDE/>
        <w:autoSpaceDN/>
        <w:bidi w:val="0"/>
        <w:snapToGrid/>
        <w:spacing w:line="400" w:lineRule="exact"/>
        <w:ind w:firstLine="420" w:firstLineChars="0"/>
        <w:outlineLvl w:val="0"/>
        <w:rPr>
          <w:rFonts w:hint="eastAsia" w:hAnsi="宋体" w:eastAsia="宋体" w:cs="宋体"/>
          <w:color w:val="auto"/>
          <w:szCs w:val="21"/>
          <w:highlight w:val="none"/>
          <w:lang w:val="en-US" w:eastAsia="zh-CN"/>
        </w:rPr>
      </w:pPr>
      <w:r>
        <w:rPr>
          <w:rFonts w:hint="eastAsia" w:hAnsi="宋体" w:eastAsia="宋体" w:cs="宋体"/>
          <w:color w:val="auto"/>
          <w:szCs w:val="21"/>
          <w:highlight w:val="none"/>
          <w:lang w:val="en-US" w:eastAsia="zh-CN"/>
        </w:rPr>
        <w:t>二档（</w:t>
      </w:r>
      <w:r>
        <w:rPr>
          <w:rFonts w:hint="eastAsia" w:hAnsi="宋体" w:cs="宋体"/>
          <w:color w:val="auto"/>
          <w:szCs w:val="21"/>
          <w:highlight w:val="none"/>
          <w:lang w:val="en-US" w:eastAsia="zh-CN"/>
        </w:rPr>
        <w:t>6</w:t>
      </w:r>
      <w:r>
        <w:rPr>
          <w:rFonts w:hint="eastAsia" w:hAnsi="宋体" w:eastAsia="宋体" w:cs="宋体"/>
          <w:color w:val="auto"/>
          <w:szCs w:val="21"/>
          <w:highlight w:val="none"/>
          <w:lang w:val="en-US" w:eastAsia="zh-CN"/>
        </w:rPr>
        <w:t>分）：①投标小样提供齐全；②小样外观、样式、材质符合采购需求；③小样有瑕疵的（如有细微的焊渣、焊疤、裂缝、毛刺、黑斑等瑕疵的）。</w:t>
      </w:r>
    </w:p>
    <w:p w14:paraId="542854AE">
      <w:pPr>
        <w:pStyle w:val="29"/>
        <w:keepNext w:val="0"/>
        <w:keepLines w:val="0"/>
        <w:pageBreakBefore w:val="0"/>
        <w:widowControl w:val="0"/>
        <w:numPr>
          <w:ilvl w:val="0"/>
          <w:numId w:val="0"/>
        </w:numPr>
        <w:kinsoku/>
        <w:wordWrap/>
        <w:overflowPunct/>
        <w:topLinePunct w:val="0"/>
        <w:autoSpaceDE/>
        <w:autoSpaceDN/>
        <w:bidi w:val="0"/>
        <w:snapToGrid/>
        <w:spacing w:line="400" w:lineRule="exact"/>
        <w:ind w:firstLine="420" w:firstLineChars="0"/>
        <w:outlineLvl w:val="0"/>
        <w:rPr>
          <w:rFonts w:hint="eastAsia" w:hAnsi="宋体" w:eastAsia="宋体" w:cs="宋体"/>
          <w:color w:val="auto"/>
          <w:szCs w:val="21"/>
          <w:highlight w:val="none"/>
          <w:lang w:val="en-US" w:eastAsia="zh-CN"/>
        </w:rPr>
      </w:pPr>
      <w:r>
        <w:rPr>
          <w:rFonts w:hint="eastAsia" w:hAnsi="宋体" w:eastAsia="宋体" w:cs="宋体"/>
          <w:color w:val="auto"/>
          <w:szCs w:val="21"/>
          <w:highlight w:val="none"/>
          <w:lang w:val="en-US" w:eastAsia="zh-CN"/>
        </w:rPr>
        <w:t>三档（</w:t>
      </w:r>
      <w:r>
        <w:rPr>
          <w:rFonts w:hint="eastAsia" w:hAnsi="宋体" w:cs="宋体"/>
          <w:color w:val="auto"/>
          <w:szCs w:val="21"/>
          <w:highlight w:val="none"/>
          <w:lang w:val="en-US" w:eastAsia="zh-CN"/>
        </w:rPr>
        <w:t>9</w:t>
      </w:r>
      <w:r>
        <w:rPr>
          <w:rFonts w:hint="eastAsia" w:hAnsi="宋体" w:eastAsia="宋体" w:cs="宋体"/>
          <w:color w:val="auto"/>
          <w:szCs w:val="21"/>
          <w:highlight w:val="none"/>
          <w:lang w:val="en-US" w:eastAsia="zh-CN"/>
        </w:rPr>
        <w:t>分）：①投标小样提供齐全；②小样外观、样式、材质、结构设计符合采购需求；③小样无瑕疵（无细微的焊渣、焊疤、裂缝、毛刺、黑斑等瑕疵的）。</w:t>
      </w:r>
    </w:p>
    <w:p w14:paraId="21EFF692">
      <w:pPr>
        <w:pStyle w:val="29"/>
        <w:keepNext w:val="0"/>
        <w:keepLines w:val="0"/>
        <w:pageBreakBefore w:val="0"/>
        <w:widowControl w:val="0"/>
        <w:numPr>
          <w:ilvl w:val="0"/>
          <w:numId w:val="0"/>
        </w:numPr>
        <w:kinsoku/>
        <w:wordWrap/>
        <w:overflowPunct/>
        <w:topLinePunct w:val="0"/>
        <w:autoSpaceDE/>
        <w:autoSpaceDN/>
        <w:bidi w:val="0"/>
        <w:snapToGrid/>
        <w:spacing w:line="400" w:lineRule="exact"/>
        <w:ind w:firstLine="420" w:firstLineChars="0"/>
        <w:outlineLvl w:val="0"/>
        <w:rPr>
          <w:rFonts w:hint="eastAsia" w:hAnsi="宋体" w:eastAsia="宋体" w:cs="宋体"/>
          <w:color w:val="auto"/>
          <w:szCs w:val="21"/>
          <w:highlight w:val="none"/>
          <w:lang w:val="en-US" w:eastAsia="zh-CN"/>
        </w:rPr>
      </w:pPr>
      <w:r>
        <w:rPr>
          <w:rFonts w:hint="eastAsia" w:hAnsi="宋体" w:eastAsia="宋体" w:cs="宋体"/>
          <w:color w:val="auto"/>
          <w:szCs w:val="21"/>
          <w:highlight w:val="none"/>
          <w:lang w:val="en-US" w:eastAsia="zh-CN"/>
        </w:rPr>
        <w:t>四档（1</w:t>
      </w:r>
      <w:r>
        <w:rPr>
          <w:rFonts w:hint="eastAsia" w:hAnsi="宋体" w:cs="宋体"/>
          <w:color w:val="auto"/>
          <w:szCs w:val="21"/>
          <w:highlight w:val="none"/>
          <w:lang w:val="en-US" w:eastAsia="zh-CN"/>
        </w:rPr>
        <w:t>2</w:t>
      </w:r>
      <w:r>
        <w:rPr>
          <w:rFonts w:hint="eastAsia" w:hAnsi="宋体" w:eastAsia="宋体" w:cs="宋体"/>
          <w:color w:val="auto"/>
          <w:szCs w:val="21"/>
          <w:highlight w:val="none"/>
          <w:lang w:val="en-US" w:eastAsia="zh-CN"/>
        </w:rPr>
        <w:t>分</w:t>
      </w:r>
      <w:r>
        <w:rPr>
          <w:rFonts w:hint="eastAsia" w:hAnsi="宋体" w:eastAsia="宋体" w:cs="宋体"/>
          <w:color w:val="auto"/>
          <w:szCs w:val="21"/>
          <w:highlight w:val="none"/>
          <w:lang w:val="en-US" w:eastAsia="zh-CN"/>
        </w:rPr>
        <w:t>）：①投标小样提供齐全；②小样外观、样式、材质、结构设计优于采购需求的；③小样无瑕疵（无细微的焊渣、焊疤、裂缝、毛刺、黑斑等瑕疵的）；④小样外表感观好，工艺精致，无明显刺激性气味。</w:t>
      </w:r>
    </w:p>
    <w:p w14:paraId="44B9F7C8">
      <w:pPr>
        <w:pStyle w:val="29"/>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hAnsi="宋体" w:eastAsia="宋体" w:cs="宋体"/>
          <w:color w:val="auto"/>
          <w:szCs w:val="21"/>
          <w:highlight w:val="none"/>
          <w:lang w:val="en-US" w:eastAsia="zh-CN"/>
        </w:rPr>
      </w:pPr>
      <w:r>
        <w:rPr>
          <w:rFonts w:hint="eastAsia" w:hAnsi="宋体" w:eastAsia="宋体" w:cs="宋体"/>
          <w:color w:val="auto"/>
          <w:szCs w:val="21"/>
          <w:highlight w:val="none"/>
          <w:lang w:val="en-US" w:eastAsia="zh-CN"/>
        </w:rPr>
        <w:t>（注：不提供小样或提供小样数量不全的不得分）</w:t>
      </w:r>
    </w:p>
    <w:p w14:paraId="572318FF">
      <w:pPr>
        <w:pStyle w:val="227"/>
        <w:adjustRightInd w:val="0"/>
        <w:snapToGrid w:val="0"/>
        <w:spacing w:line="288" w:lineRule="auto"/>
        <w:ind w:firstLine="379" w:firstLineChars="180"/>
        <w:rPr>
          <w:rFonts w:hint="eastAsia"/>
          <w:b/>
          <w:bCs/>
          <w:color w:val="auto"/>
          <w:kern w:val="2"/>
          <w:highlight w:val="none"/>
        </w:rPr>
      </w:pPr>
      <w:r>
        <w:rPr>
          <w:rFonts w:hint="eastAsia"/>
          <w:b/>
          <w:bCs/>
          <w:color w:val="auto"/>
          <w:kern w:val="2"/>
          <w:highlight w:val="none"/>
        </w:rPr>
        <w:t>（</w:t>
      </w:r>
      <w:r>
        <w:rPr>
          <w:rFonts w:hint="eastAsia"/>
          <w:b/>
          <w:bCs/>
          <w:color w:val="auto"/>
          <w:kern w:val="2"/>
          <w:highlight w:val="none"/>
          <w:lang w:val="en-US" w:eastAsia="zh-CN"/>
        </w:rPr>
        <w:t>3</w:t>
      </w:r>
      <w:r>
        <w:rPr>
          <w:rFonts w:hint="eastAsia"/>
          <w:b/>
          <w:bCs/>
          <w:color w:val="auto"/>
          <w:kern w:val="2"/>
          <w:highlight w:val="none"/>
        </w:rPr>
        <w:t>）项目实施</w:t>
      </w:r>
      <w:r>
        <w:rPr>
          <w:rFonts w:hint="eastAsia"/>
          <w:b/>
          <w:bCs/>
          <w:color w:val="auto"/>
          <w:kern w:val="2"/>
          <w:highlight w:val="none"/>
          <w:lang w:eastAsia="zh-CN"/>
        </w:rPr>
        <w:t>方案</w:t>
      </w:r>
      <w:r>
        <w:rPr>
          <w:rFonts w:hint="eastAsia"/>
          <w:b/>
          <w:bCs/>
          <w:color w:val="auto"/>
          <w:kern w:val="2"/>
          <w:highlight w:val="none"/>
        </w:rPr>
        <w:t>分(满分</w:t>
      </w:r>
      <w:r>
        <w:rPr>
          <w:rFonts w:hint="eastAsia"/>
          <w:b/>
          <w:bCs/>
          <w:color w:val="auto"/>
          <w:kern w:val="2"/>
          <w:highlight w:val="none"/>
          <w:lang w:val="en-US" w:eastAsia="zh-CN"/>
        </w:rPr>
        <w:t>12</w:t>
      </w:r>
      <w:r>
        <w:rPr>
          <w:rFonts w:hint="eastAsia"/>
          <w:b/>
          <w:bCs/>
          <w:color w:val="auto"/>
          <w:kern w:val="2"/>
          <w:highlight w:val="none"/>
        </w:rPr>
        <w:t>分)</w:t>
      </w:r>
    </w:p>
    <w:p w14:paraId="3FC1DBDF">
      <w:pPr>
        <w:pStyle w:val="227"/>
        <w:adjustRightInd w:val="0"/>
        <w:snapToGrid w:val="0"/>
        <w:spacing w:line="288" w:lineRule="auto"/>
        <w:ind w:firstLine="378" w:firstLineChars="180"/>
        <w:rPr>
          <w:rFonts w:hint="eastAsia"/>
          <w:bCs/>
          <w:color w:val="auto"/>
          <w:kern w:val="2"/>
          <w:highlight w:val="none"/>
        </w:rPr>
      </w:pPr>
      <w:r>
        <w:rPr>
          <w:rFonts w:hint="eastAsia"/>
          <w:bCs/>
          <w:color w:val="auto"/>
          <w:kern w:val="2"/>
          <w:highlight w:val="none"/>
        </w:rPr>
        <w:t>一档（</w:t>
      </w:r>
      <w:r>
        <w:rPr>
          <w:rFonts w:hint="eastAsia"/>
          <w:bCs/>
          <w:color w:val="auto"/>
          <w:kern w:val="2"/>
          <w:highlight w:val="none"/>
          <w:lang w:val="en-US" w:eastAsia="zh-CN"/>
        </w:rPr>
        <w:t>6</w:t>
      </w:r>
      <w:r>
        <w:rPr>
          <w:rFonts w:hint="eastAsia"/>
          <w:bCs/>
          <w:color w:val="auto"/>
          <w:kern w:val="2"/>
          <w:highlight w:val="none"/>
        </w:rPr>
        <w:t>分）：有产品配送、安装方案，能按时完成配送、安装任务，保证项目正常实施。</w:t>
      </w:r>
    </w:p>
    <w:p w14:paraId="240CE1BC">
      <w:pPr>
        <w:pStyle w:val="227"/>
        <w:adjustRightInd w:val="0"/>
        <w:snapToGrid w:val="0"/>
        <w:spacing w:line="288" w:lineRule="auto"/>
        <w:ind w:firstLine="378" w:firstLineChars="180"/>
        <w:rPr>
          <w:rFonts w:hint="eastAsia"/>
          <w:bCs/>
          <w:color w:val="auto"/>
          <w:kern w:val="2"/>
          <w:highlight w:val="none"/>
        </w:rPr>
      </w:pPr>
      <w:r>
        <w:rPr>
          <w:rFonts w:hint="eastAsia"/>
          <w:bCs/>
          <w:color w:val="auto"/>
          <w:kern w:val="2"/>
          <w:highlight w:val="none"/>
        </w:rPr>
        <w:t>二档（</w:t>
      </w:r>
      <w:r>
        <w:rPr>
          <w:rFonts w:hint="eastAsia"/>
          <w:bCs/>
          <w:color w:val="auto"/>
          <w:kern w:val="2"/>
          <w:highlight w:val="none"/>
          <w:lang w:val="en-US" w:eastAsia="zh-CN"/>
        </w:rPr>
        <w:t>9</w:t>
      </w:r>
      <w:r>
        <w:rPr>
          <w:rFonts w:hint="eastAsia"/>
          <w:bCs/>
          <w:color w:val="auto"/>
          <w:kern w:val="2"/>
          <w:highlight w:val="none"/>
        </w:rPr>
        <w:t>分）：在满足一档的基础上，方案有项目执行组织措施、保障措施，有实施组织方案。配套有货物存放仓库、送货人员、运输工具、项目实施人员，项目生产能力、实施的技术力量和人力资源安排等。</w:t>
      </w:r>
    </w:p>
    <w:p w14:paraId="717DF622">
      <w:pPr>
        <w:pStyle w:val="227"/>
        <w:adjustRightInd w:val="0"/>
        <w:snapToGrid w:val="0"/>
        <w:spacing w:line="288" w:lineRule="auto"/>
        <w:ind w:firstLine="378" w:firstLineChars="180"/>
        <w:rPr>
          <w:rFonts w:hint="eastAsia"/>
          <w:bCs/>
          <w:color w:val="auto"/>
          <w:kern w:val="2"/>
          <w:highlight w:val="none"/>
        </w:rPr>
      </w:pPr>
      <w:r>
        <w:rPr>
          <w:rFonts w:hint="eastAsia"/>
          <w:bCs/>
          <w:color w:val="auto"/>
          <w:kern w:val="2"/>
          <w:highlight w:val="none"/>
        </w:rPr>
        <w:t>三档（</w:t>
      </w:r>
      <w:r>
        <w:rPr>
          <w:rFonts w:hint="eastAsia"/>
          <w:bCs/>
          <w:color w:val="auto"/>
          <w:kern w:val="2"/>
          <w:highlight w:val="none"/>
          <w:lang w:val="en-US" w:eastAsia="zh-CN"/>
        </w:rPr>
        <w:t>12</w:t>
      </w:r>
      <w:r>
        <w:rPr>
          <w:rFonts w:hint="eastAsia"/>
          <w:bCs/>
          <w:color w:val="auto"/>
          <w:kern w:val="2"/>
          <w:highlight w:val="none"/>
        </w:rPr>
        <w:t>分）：在满足二档的基础上，配送和安装有完整的流程及规范标准，方案包括安装工艺技术、配送安装组织机构、项目实施人员及设备的配备、进度计划、质量保证措施、保证安全及文明施工的措施等。</w:t>
      </w:r>
    </w:p>
    <w:p w14:paraId="7799A559">
      <w:pPr>
        <w:pStyle w:val="227"/>
        <w:adjustRightInd w:val="0"/>
        <w:snapToGrid w:val="0"/>
        <w:spacing w:line="288" w:lineRule="auto"/>
        <w:ind w:firstLine="378" w:firstLineChars="180"/>
        <w:rPr>
          <w:rFonts w:hint="eastAsia"/>
          <w:bCs/>
          <w:color w:val="auto"/>
          <w:kern w:val="2"/>
          <w:highlight w:val="none"/>
        </w:rPr>
      </w:pPr>
      <w:r>
        <w:rPr>
          <w:rFonts w:hint="eastAsia"/>
          <w:bCs/>
          <w:color w:val="auto"/>
          <w:kern w:val="2"/>
          <w:highlight w:val="none"/>
        </w:rPr>
        <w:t>（备注：未提供“项目实施</w:t>
      </w:r>
      <w:r>
        <w:rPr>
          <w:rFonts w:hint="eastAsia"/>
          <w:bCs/>
          <w:color w:val="auto"/>
          <w:kern w:val="2"/>
          <w:highlight w:val="none"/>
          <w:lang w:eastAsia="zh-CN"/>
        </w:rPr>
        <w:t>方案</w:t>
      </w:r>
      <w:r>
        <w:rPr>
          <w:rFonts w:hint="eastAsia"/>
          <w:bCs/>
          <w:color w:val="auto"/>
          <w:kern w:val="2"/>
          <w:highlight w:val="none"/>
        </w:rPr>
        <w:t>”或经评定不能进档的不得分。）</w:t>
      </w:r>
    </w:p>
    <w:p w14:paraId="358ECF07">
      <w:pPr>
        <w:pStyle w:val="29"/>
        <w:keepNext w:val="0"/>
        <w:keepLines w:val="0"/>
        <w:pageBreakBefore w:val="0"/>
        <w:widowControl w:val="0"/>
        <w:kinsoku/>
        <w:wordWrap/>
        <w:overflowPunct/>
        <w:topLinePunct w:val="0"/>
        <w:autoSpaceDE/>
        <w:autoSpaceDN/>
        <w:bidi w:val="0"/>
        <w:adjustRightInd/>
        <w:snapToGrid/>
        <w:spacing w:line="400" w:lineRule="exact"/>
        <w:ind w:firstLine="211" w:firstLineChars="100"/>
        <w:textAlignment w:val="auto"/>
        <w:rPr>
          <w:rFonts w:hint="eastAsia" w:ascii="宋体" w:hAnsi="宋体" w:eastAsia="宋体" w:cs="宋体"/>
          <w:b/>
          <w:bCs/>
          <w:color w:val="auto"/>
          <w:spacing w:val="-8"/>
          <w:kern w:val="0"/>
          <w:highlight w:val="none"/>
        </w:rPr>
      </w:pPr>
      <w:r>
        <w:rPr>
          <w:rFonts w:hint="eastAsia" w:hAnsi="宋体" w:cs="宋体"/>
          <w:b/>
          <w:bCs/>
          <w:color w:val="auto"/>
          <w:highlight w:val="none"/>
          <w:lang w:val="en-US" w:eastAsia="zh-CN"/>
        </w:rPr>
        <w:t xml:space="preserve"> </w:t>
      </w:r>
      <w:r>
        <w:rPr>
          <w:rFonts w:hint="eastAsia" w:ascii="宋体" w:hAnsi="宋体" w:eastAsia="宋体" w:cs="宋体"/>
          <w:b/>
          <w:bCs/>
          <w:color w:val="auto"/>
          <w:highlight w:val="none"/>
          <w:lang w:eastAsia="zh-CN"/>
        </w:rPr>
        <w:t>（</w:t>
      </w:r>
      <w:r>
        <w:rPr>
          <w:rFonts w:hint="eastAsia" w:hAnsi="宋体" w:cs="宋体"/>
          <w:b/>
          <w:bCs/>
          <w:color w:val="auto"/>
          <w:highlight w:val="none"/>
          <w:lang w:val="en-US" w:eastAsia="zh-CN"/>
        </w:rPr>
        <w:t>4</w:t>
      </w:r>
      <w:r>
        <w:rPr>
          <w:rFonts w:hint="eastAsia" w:ascii="宋体" w:hAnsi="宋体" w:eastAsia="宋体" w:cs="宋体"/>
          <w:b/>
          <w:bCs/>
          <w:color w:val="auto"/>
          <w:highlight w:val="none"/>
          <w:lang w:eastAsia="zh-CN"/>
        </w:rPr>
        <w:t>）售后服务方案</w:t>
      </w:r>
      <w:r>
        <w:rPr>
          <w:rFonts w:hint="eastAsia" w:hAnsi="宋体" w:cs="宋体"/>
          <w:b/>
          <w:bCs/>
          <w:color w:val="auto"/>
          <w:highlight w:val="none"/>
          <w:lang w:val="en-US" w:eastAsia="zh-CN"/>
        </w:rPr>
        <w:t>分</w:t>
      </w:r>
      <w:r>
        <w:rPr>
          <w:rFonts w:hint="eastAsia" w:ascii="宋体" w:hAnsi="宋体" w:eastAsia="宋体" w:cs="宋体"/>
          <w:b/>
          <w:bCs/>
          <w:color w:val="auto"/>
          <w:highlight w:val="none"/>
          <w:lang w:eastAsia="zh-CN"/>
        </w:rPr>
        <w:t>（满分</w:t>
      </w:r>
      <w:r>
        <w:rPr>
          <w:rFonts w:hint="eastAsia" w:hAnsi="宋体" w:cs="宋体"/>
          <w:b/>
          <w:bCs/>
          <w:color w:val="auto"/>
          <w:highlight w:val="none"/>
          <w:lang w:val="en-US" w:eastAsia="zh-CN"/>
        </w:rPr>
        <w:t>12</w:t>
      </w:r>
      <w:r>
        <w:rPr>
          <w:rFonts w:hint="eastAsia" w:ascii="宋体" w:hAnsi="宋体" w:eastAsia="宋体" w:cs="宋体"/>
          <w:b/>
          <w:bCs/>
          <w:color w:val="auto"/>
          <w:highlight w:val="none"/>
          <w:lang w:eastAsia="zh-CN"/>
        </w:rPr>
        <w:t>分）</w:t>
      </w:r>
    </w:p>
    <w:p w14:paraId="416CA0AA">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spacing w:val="-8"/>
          <w:highlight w:val="none"/>
        </w:rPr>
        <w:t xml:space="preserve"> </w:t>
      </w:r>
      <w:r>
        <w:rPr>
          <w:rFonts w:hint="eastAsia" w:ascii="宋体" w:hAnsi="宋体" w:cs="宋体"/>
          <w:b/>
          <w:bCs/>
          <w:color w:val="auto"/>
          <w:spacing w:val="-8"/>
          <w:highlight w:val="none"/>
          <w:lang w:val="en-US" w:eastAsia="zh-CN"/>
        </w:rPr>
        <w:t xml:space="preserve">  </w:t>
      </w:r>
      <w:r>
        <w:rPr>
          <w:rFonts w:hint="eastAsia" w:ascii="宋体" w:hAnsi="宋体" w:cs="宋体"/>
          <w:b w:val="0"/>
          <w:bCs w:val="0"/>
          <w:color w:val="auto"/>
          <w:spacing w:val="-8"/>
          <w:highlight w:val="none"/>
          <w:lang w:val="en-US" w:eastAsia="zh-CN"/>
        </w:rPr>
        <w:t xml:space="preserve"> </w:t>
      </w:r>
      <w:r>
        <w:rPr>
          <w:rFonts w:hint="eastAsia" w:ascii="宋体" w:hAnsi="宋体" w:eastAsia="宋体" w:cs="宋体"/>
          <w:b w:val="0"/>
          <w:bCs w:val="0"/>
          <w:color w:val="auto"/>
          <w:kern w:val="2"/>
          <w:sz w:val="21"/>
          <w:szCs w:val="21"/>
          <w:highlight w:val="none"/>
          <w:lang w:val="en-US" w:eastAsia="zh-CN" w:bidi="ar-SA"/>
        </w:rPr>
        <w:t>由评标委员会根据投标人的售后服务方案，包括安装方案、设备调试效果、实现功能要求及后续追加性能的解决方案、材质、结构以及设备特定的技术要求、保修期、保修期内和保修期外保修维修养护具体措施、安全保障措施、服务响应时间、服务质量保障、服务项目流程设计、承诺响应时间、应急处理方案、技术人员资质水平、培训等内容，进行综合评定并打分：</w:t>
      </w:r>
    </w:p>
    <w:p w14:paraId="1FF44E61">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一档（</w:t>
      </w:r>
      <w:r>
        <w:rPr>
          <w:rFonts w:hint="eastAsia" w:ascii="宋体" w:hAnsi="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分）：售后服务方案并未针对招标文件基本要求进行实质性的细化，或服务承诺没有从项目具体需求出发，表述内容对满足本项目基本需求无整体保障性。</w:t>
      </w:r>
    </w:p>
    <w:p w14:paraId="5A6C430A">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二档（</w:t>
      </w:r>
      <w:r>
        <w:rPr>
          <w:rFonts w:hint="eastAsia" w:ascii="宋体" w:hAnsi="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kern w:val="2"/>
          <w:sz w:val="21"/>
          <w:szCs w:val="21"/>
          <w:highlight w:val="none"/>
          <w:lang w:val="en-US" w:eastAsia="zh-CN" w:bidi="ar-SA"/>
        </w:rPr>
        <w:t>分）：仅对采购单位提出的要求进行了部分细化，售后服务承诺书中各项措施缺乏针对性，提供的内容对采购单位使用需求响应的具体措施缺乏充分的合理性，效率响应性承诺或实现方式仅能满足项目基本需求。</w:t>
      </w:r>
    </w:p>
    <w:p w14:paraId="2FD90FB9">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三档（</w:t>
      </w:r>
      <w:r>
        <w:rPr>
          <w:rFonts w:hint="eastAsia" w:ascii="宋体" w:hAnsi="宋体" w:cs="宋体"/>
          <w:b w:val="0"/>
          <w:bCs w:val="0"/>
          <w:color w:val="auto"/>
          <w:kern w:val="2"/>
          <w:sz w:val="21"/>
          <w:szCs w:val="21"/>
          <w:highlight w:val="none"/>
          <w:lang w:val="en-US" w:eastAsia="zh-CN" w:bidi="ar-SA"/>
        </w:rPr>
        <w:t>9</w:t>
      </w:r>
      <w:r>
        <w:rPr>
          <w:rFonts w:hint="eastAsia" w:ascii="宋体" w:hAnsi="宋体" w:eastAsia="宋体" w:cs="宋体"/>
          <w:b w:val="0"/>
          <w:bCs w:val="0"/>
          <w:color w:val="auto"/>
          <w:kern w:val="2"/>
          <w:sz w:val="21"/>
          <w:szCs w:val="21"/>
          <w:highlight w:val="none"/>
          <w:lang w:val="en-US" w:eastAsia="zh-CN" w:bidi="ar-SA"/>
        </w:rPr>
        <w:t>分）：售后服务方案具体细致，在满足二档的基础上，对招标文件的基本要求进行了全面细化，各项措施针对采购单位需求提出，考虑到了项目实际需求、设置合理。</w:t>
      </w:r>
    </w:p>
    <w:p w14:paraId="47EDA1AA">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四档（</w:t>
      </w:r>
      <w:r>
        <w:rPr>
          <w:rFonts w:hint="eastAsia" w:ascii="宋体" w:hAnsi="宋体" w:cs="宋体"/>
          <w:b w:val="0"/>
          <w:bCs w:val="0"/>
          <w:color w:val="auto"/>
          <w:kern w:val="2"/>
          <w:sz w:val="21"/>
          <w:szCs w:val="21"/>
          <w:highlight w:val="none"/>
          <w:lang w:val="en-US" w:eastAsia="zh-CN" w:bidi="ar-SA"/>
        </w:rPr>
        <w:t>12</w:t>
      </w:r>
      <w:r>
        <w:rPr>
          <w:rFonts w:hint="eastAsia" w:ascii="宋体" w:hAnsi="宋体" w:eastAsia="宋体" w:cs="宋体"/>
          <w:b w:val="0"/>
          <w:bCs w:val="0"/>
          <w:color w:val="auto"/>
          <w:kern w:val="2"/>
          <w:sz w:val="21"/>
          <w:szCs w:val="21"/>
          <w:highlight w:val="none"/>
          <w:lang w:val="en-US" w:eastAsia="zh-CN" w:bidi="ar-SA"/>
        </w:rPr>
        <w:t>分）：在满足三档要求的情况下，售后服务方案周密详尽，售后服务承诺书条款对采购单位、采购项目的特点均有针对性，服务宗旨明确、服务方案的设计充分合理、培训、响应机制充分满足使用需求，后续跟踪服务具体到位。</w:t>
      </w:r>
    </w:p>
    <w:p w14:paraId="5D1EE0D9">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 xml:space="preserve"> 注：未提供或不符合最低入档条件的按不入档计0分处理。</w:t>
      </w:r>
      <w:r>
        <w:rPr>
          <w:rFonts w:hint="eastAsia" w:ascii="宋体" w:hAnsi="宋体" w:cs="宋体"/>
          <w:b w:val="0"/>
          <w:bCs w:val="0"/>
          <w:color w:val="auto"/>
          <w:kern w:val="2"/>
          <w:sz w:val="21"/>
          <w:szCs w:val="21"/>
          <w:highlight w:val="none"/>
          <w:lang w:val="en-US" w:eastAsia="zh-CN" w:bidi="ar-SA"/>
        </w:rPr>
        <w:t>）</w:t>
      </w:r>
    </w:p>
    <w:p w14:paraId="7D59C6A3">
      <w:pPr>
        <w:pStyle w:val="37"/>
        <w:keepNext w:val="0"/>
        <w:keepLines w:val="0"/>
        <w:pageBreakBefore w:val="0"/>
        <w:kinsoku/>
        <w:wordWrap/>
        <w:overflowPunct/>
        <w:topLinePunct w:val="0"/>
        <w:autoSpaceDE/>
        <w:autoSpaceDN/>
        <w:bidi w:val="0"/>
        <w:spacing w:line="400" w:lineRule="exact"/>
        <w:ind w:left="0" w:leftChars="0" w:firstLine="0" w:firstLineChars="0"/>
        <w:rPr>
          <w:rFonts w:hint="eastAsia" w:ascii="宋体" w:hAnsi="宋体" w:eastAsia="宋体" w:cs="宋体"/>
          <w:b/>
          <w:bCs/>
          <w:caps w:val="0"/>
          <w:color w:val="auto"/>
          <w:spacing w:val="-8"/>
          <w:kern w:val="2"/>
          <w:sz w:val="21"/>
          <w:szCs w:val="24"/>
          <w:highlight w:val="none"/>
          <w:lang w:val="en-US" w:eastAsia="zh-CN" w:bidi="ar-SA"/>
        </w:rPr>
      </w:pPr>
      <w:r>
        <w:rPr>
          <w:rFonts w:hint="eastAsia" w:ascii="宋体" w:hAnsi="宋体" w:eastAsia="宋体" w:cs="宋体"/>
          <w:b/>
          <w:bCs/>
          <w:caps w:val="0"/>
          <w:color w:val="auto"/>
          <w:spacing w:val="-8"/>
          <w:kern w:val="2"/>
          <w:sz w:val="21"/>
          <w:szCs w:val="24"/>
          <w:highlight w:val="none"/>
          <w:lang w:val="en-US" w:eastAsia="zh-CN" w:bidi="ar-SA"/>
        </w:rPr>
        <w:t xml:space="preserve">   （</w:t>
      </w:r>
      <w:r>
        <w:rPr>
          <w:rFonts w:hint="eastAsia" w:ascii="宋体" w:eastAsia="宋体" w:cs="宋体"/>
          <w:b/>
          <w:bCs/>
          <w:caps w:val="0"/>
          <w:color w:val="auto"/>
          <w:spacing w:val="-8"/>
          <w:kern w:val="2"/>
          <w:sz w:val="21"/>
          <w:szCs w:val="24"/>
          <w:highlight w:val="none"/>
          <w:lang w:val="en-US" w:eastAsia="zh-CN" w:bidi="ar-SA"/>
        </w:rPr>
        <w:t>5</w:t>
      </w:r>
      <w:r>
        <w:rPr>
          <w:rFonts w:hint="eastAsia" w:ascii="宋体" w:hAnsi="宋体" w:eastAsia="宋体" w:cs="宋体"/>
          <w:b/>
          <w:bCs/>
          <w:caps w:val="0"/>
          <w:color w:val="auto"/>
          <w:spacing w:val="-8"/>
          <w:kern w:val="2"/>
          <w:sz w:val="21"/>
          <w:szCs w:val="24"/>
          <w:highlight w:val="none"/>
          <w:lang w:val="en-US" w:eastAsia="zh-CN" w:bidi="ar-SA"/>
        </w:rPr>
        <w:t>）质保期</w:t>
      </w:r>
      <w:r>
        <w:rPr>
          <w:rFonts w:hint="eastAsia" w:ascii="宋体" w:eastAsia="宋体" w:cs="宋体"/>
          <w:b/>
          <w:bCs/>
          <w:caps w:val="0"/>
          <w:color w:val="auto"/>
          <w:spacing w:val="-8"/>
          <w:kern w:val="2"/>
          <w:sz w:val="21"/>
          <w:szCs w:val="24"/>
          <w:highlight w:val="none"/>
          <w:lang w:val="en-US" w:eastAsia="zh-CN" w:bidi="ar-SA"/>
        </w:rPr>
        <w:t>分</w:t>
      </w:r>
      <w:r>
        <w:rPr>
          <w:rFonts w:hint="eastAsia" w:ascii="宋体" w:hAnsi="宋体" w:eastAsia="宋体" w:cs="宋体"/>
          <w:b/>
          <w:bCs/>
          <w:caps w:val="0"/>
          <w:color w:val="auto"/>
          <w:spacing w:val="-8"/>
          <w:kern w:val="2"/>
          <w:sz w:val="21"/>
          <w:szCs w:val="24"/>
          <w:highlight w:val="none"/>
          <w:lang w:val="en-US" w:eastAsia="zh-CN" w:bidi="ar-SA"/>
        </w:rPr>
        <w:t>（满分</w:t>
      </w:r>
      <w:r>
        <w:rPr>
          <w:rFonts w:hint="eastAsia" w:ascii="宋体" w:eastAsia="宋体" w:cs="宋体"/>
          <w:b/>
          <w:bCs/>
          <w:caps w:val="0"/>
          <w:color w:val="auto"/>
          <w:spacing w:val="-8"/>
          <w:kern w:val="2"/>
          <w:sz w:val="21"/>
          <w:szCs w:val="24"/>
          <w:highlight w:val="none"/>
          <w:lang w:val="en-US" w:eastAsia="zh-CN" w:bidi="ar-SA"/>
        </w:rPr>
        <w:t>6</w:t>
      </w:r>
      <w:r>
        <w:rPr>
          <w:rFonts w:hint="eastAsia" w:ascii="宋体" w:hAnsi="宋体" w:eastAsia="宋体" w:cs="宋体"/>
          <w:b/>
          <w:bCs/>
          <w:caps w:val="0"/>
          <w:color w:val="auto"/>
          <w:spacing w:val="-8"/>
          <w:kern w:val="2"/>
          <w:sz w:val="21"/>
          <w:szCs w:val="24"/>
          <w:highlight w:val="none"/>
          <w:lang w:val="en-US" w:eastAsia="zh-CN" w:bidi="ar-SA"/>
        </w:rPr>
        <w:t>分）</w:t>
      </w:r>
    </w:p>
    <w:p w14:paraId="395AF625">
      <w:pPr>
        <w:keepNext w:val="0"/>
        <w:keepLines w:val="0"/>
        <w:widowControl/>
        <w:suppressLineNumbers w:val="0"/>
        <w:jc w:val="left"/>
        <w:textAlignment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满足基本质保期的基础上，</w:t>
      </w:r>
      <w:r>
        <w:rPr>
          <w:rFonts w:hint="eastAsia" w:ascii="宋体" w:hAnsi="宋体" w:eastAsia="宋体" w:cs="宋体"/>
          <w:color w:val="auto"/>
          <w:kern w:val="0"/>
          <w:szCs w:val="21"/>
          <w:highlight w:val="none"/>
          <w:lang w:eastAsia="zh-CN"/>
        </w:rPr>
        <w:t>所投的货物</w:t>
      </w:r>
      <w:r>
        <w:rPr>
          <w:rFonts w:hint="eastAsia" w:ascii="宋体" w:hAnsi="宋体" w:cs="宋体"/>
          <w:b/>
          <w:bCs/>
          <w:color w:val="auto"/>
          <w:kern w:val="0"/>
          <w:szCs w:val="21"/>
          <w:highlight w:val="none"/>
          <w:lang w:val="en-US" w:eastAsia="zh-CN"/>
        </w:rPr>
        <w:t>项号1“礼堂椅”</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质保期</w:t>
      </w:r>
      <w:r>
        <w:rPr>
          <w:rFonts w:hint="eastAsia" w:ascii="宋体" w:hAnsi="宋体" w:eastAsia="宋体" w:cs="宋体"/>
          <w:color w:val="auto"/>
          <w:kern w:val="0"/>
          <w:szCs w:val="21"/>
          <w:highlight w:val="none"/>
          <w:lang w:eastAsia="zh-CN"/>
        </w:rPr>
        <w:t>均</w:t>
      </w:r>
      <w:r>
        <w:rPr>
          <w:rFonts w:hint="eastAsia" w:ascii="宋体" w:hAnsi="宋体" w:eastAsia="宋体" w:cs="宋体"/>
          <w:color w:val="auto"/>
          <w:kern w:val="0"/>
          <w:szCs w:val="21"/>
          <w:highlight w:val="none"/>
        </w:rPr>
        <w:t>每延长一年增加2分，满分</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分。</w:t>
      </w:r>
    </w:p>
    <w:p w14:paraId="614DB4A5">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color w:val="auto"/>
          <w:kern w:val="0"/>
          <w:szCs w:val="21"/>
          <w:highlight w:val="none"/>
        </w:rPr>
      </w:pPr>
      <w:r>
        <w:rPr>
          <w:rFonts w:hint="eastAsia" w:ascii="宋体" w:hAnsi="宋体" w:eastAsia="宋体" w:cs="宋体"/>
          <w:b/>
          <w:bCs/>
          <w:color w:val="auto"/>
          <w:spacing w:val="-8"/>
          <w:szCs w:val="21"/>
          <w:highlight w:val="none"/>
        </w:rPr>
        <w:t xml:space="preserve">   </w:t>
      </w:r>
      <w:r>
        <w:rPr>
          <w:rFonts w:hint="eastAsia" w:ascii="宋体" w:hAnsi="宋体" w:cs="宋体"/>
          <w:b/>
          <w:bCs/>
          <w:color w:val="auto"/>
          <w:spacing w:val="-8"/>
          <w:szCs w:val="21"/>
          <w:highlight w:val="none"/>
          <w:lang w:val="en-US" w:eastAsia="zh-CN"/>
        </w:rPr>
        <w:t xml:space="preserve">  </w:t>
      </w:r>
      <w:r>
        <w:rPr>
          <w:rFonts w:hint="eastAsia" w:ascii="宋体" w:hAnsi="宋体" w:eastAsia="宋体" w:cs="宋体"/>
          <w:b/>
          <w:bCs/>
          <w:color w:val="auto"/>
          <w:spacing w:val="-8"/>
          <w:szCs w:val="21"/>
          <w:highlight w:val="none"/>
        </w:rPr>
        <w:t>3、</w:t>
      </w:r>
      <w:r>
        <w:rPr>
          <w:rFonts w:hint="eastAsia" w:ascii="宋体" w:hAnsi="宋体" w:eastAsia="宋体" w:cs="宋体"/>
          <w:b/>
          <w:color w:val="auto"/>
          <w:highlight w:val="none"/>
        </w:rPr>
        <w:t>商务</w:t>
      </w:r>
      <w:r>
        <w:rPr>
          <w:rFonts w:hint="eastAsia" w:ascii="宋体" w:hAnsi="宋体" w:eastAsia="宋体" w:cs="宋体"/>
          <w:b/>
          <w:bCs/>
          <w:color w:val="auto"/>
          <w:spacing w:val="-8"/>
          <w:szCs w:val="21"/>
          <w:highlight w:val="none"/>
        </w:rPr>
        <w:t>分</w:t>
      </w:r>
      <w:r>
        <w:rPr>
          <w:rFonts w:hint="eastAsia" w:ascii="宋体" w:hAnsi="宋体" w:cs="宋体"/>
          <w:b/>
          <w:color w:val="auto"/>
          <w:szCs w:val="21"/>
          <w:highlight w:val="none"/>
        </w:rPr>
        <w:t>………………………………………………………………………………</w:t>
      </w:r>
      <w:r>
        <w:rPr>
          <w:rFonts w:hint="eastAsia" w:ascii="宋体" w:hAnsi="宋体" w:cs="宋体"/>
          <w:color w:val="auto"/>
          <w:kern w:val="0"/>
          <w:szCs w:val="21"/>
          <w:highlight w:val="none"/>
          <w:lang w:val="en-US" w:eastAsia="zh-CN"/>
        </w:rPr>
        <w:t>10</w:t>
      </w:r>
      <w:r>
        <w:rPr>
          <w:rFonts w:hint="eastAsia" w:ascii="宋体" w:hAnsi="宋体" w:eastAsia="宋体" w:cs="宋体"/>
          <w:b/>
          <w:bCs/>
          <w:color w:val="auto"/>
          <w:spacing w:val="-8"/>
          <w:kern w:val="0"/>
          <w:szCs w:val="21"/>
          <w:highlight w:val="none"/>
        </w:rPr>
        <w:t>分</w:t>
      </w:r>
      <w:r>
        <w:rPr>
          <w:rFonts w:hint="eastAsia" w:ascii="宋体" w:hAnsi="宋体" w:eastAsia="宋体" w:cs="宋体"/>
          <w:color w:val="auto"/>
          <w:kern w:val="0"/>
          <w:szCs w:val="21"/>
          <w:highlight w:val="none"/>
        </w:rPr>
        <w:t xml:space="preserve">  </w:t>
      </w:r>
    </w:p>
    <w:p w14:paraId="1FFC68B6">
      <w:pPr>
        <w:keepNext w:val="0"/>
        <w:keepLines w:val="0"/>
        <w:pageBreakBefore w:val="0"/>
        <w:widowControl/>
        <w:kinsoku/>
        <w:wordWrap/>
        <w:overflowPunct/>
        <w:topLinePunct w:val="0"/>
        <w:autoSpaceDE/>
        <w:autoSpaceDN/>
        <w:bidi w:val="0"/>
        <w:spacing w:line="400" w:lineRule="exact"/>
        <w:ind w:firstLine="525" w:firstLineChars="250"/>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（1）投标人具有有效期内的质量管理体系认证证书</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环境管理体系认证证书</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职业健康安全管理体系认证证书，每有其中一个证书得1分，满分3分。（注：投标文件中提供有效证书复印件并加盖投标人电子公章）</w:t>
      </w:r>
    </w:p>
    <w:p w14:paraId="00957B24">
      <w:pPr>
        <w:keepNext w:val="0"/>
        <w:keepLines w:val="0"/>
        <w:pageBreakBefore w:val="0"/>
        <w:widowControl/>
        <w:kinsoku/>
        <w:wordWrap/>
        <w:overflowPunct/>
        <w:topLinePunct w:val="0"/>
        <w:autoSpaceDE/>
        <w:autoSpaceDN/>
        <w:bidi w:val="0"/>
        <w:spacing w:line="400" w:lineRule="exact"/>
        <w:ind w:firstLine="525" w:firstLineChars="250"/>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（2）投标人提供2022年1月1日至投标截止日期同类项目</w:t>
      </w:r>
      <w:r>
        <w:rPr>
          <w:rFonts w:hint="eastAsia" w:ascii="宋体" w:hAnsi="宋体" w:eastAsia="宋体" w:cs="宋体"/>
          <w:b w:val="0"/>
          <w:bCs w:val="0"/>
          <w:color w:val="auto"/>
          <w:kern w:val="0"/>
          <w:szCs w:val="21"/>
          <w:highlight w:val="none"/>
          <w:lang w:eastAsia="zh-CN"/>
        </w:rPr>
        <w:t>（货物包含但不限：核心产品）</w:t>
      </w:r>
      <w:r>
        <w:rPr>
          <w:rFonts w:hint="eastAsia" w:ascii="宋体" w:hAnsi="宋体" w:eastAsia="宋体" w:cs="宋体"/>
          <w:b w:val="0"/>
          <w:bCs w:val="0"/>
          <w:color w:val="auto"/>
          <w:kern w:val="0"/>
          <w:szCs w:val="21"/>
          <w:highlight w:val="none"/>
        </w:rPr>
        <w:t>业绩(以合同签订日期为准)，</w:t>
      </w:r>
      <w:r>
        <w:rPr>
          <w:rFonts w:hint="eastAsia" w:ascii="宋体" w:hAnsi="宋体" w:cs="宋体"/>
          <w:b w:val="0"/>
          <w:bCs w:val="0"/>
          <w:color w:val="auto"/>
          <w:szCs w:val="21"/>
          <w:highlight w:val="none"/>
        </w:rPr>
        <w:t>每提供一</w:t>
      </w:r>
      <w:r>
        <w:rPr>
          <w:rFonts w:hint="eastAsia" w:ascii="宋体" w:hAnsi="宋体" w:cs="宋体"/>
          <w:b w:val="0"/>
          <w:bCs w:val="0"/>
          <w:color w:val="auto"/>
          <w:szCs w:val="21"/>
          <w:highlight w:val="none"/>
          <w:lang w:val="en-US" w:eastAsia="zh-CN"/>
        </w:rPr>
        <w:t>个业绩</w:t>
      </w:r>
      <w:r>
        <w:rPr>
          <w:rFonts w:hint="eastAsia" w:ascii="宋体" w:hAnsi="宋体" w:cs="宋体"/>
          <w:b w:val="0"/>
          <w:bCs w:val="0"/>
          <w:color w:val="auto"/>
          <w:szCs w:val="21"/>
          <w:highlight w:val="none"/>
        </w:rPr>
        <w:t>得1分</w:t>
      </w:r>
      <w:r>
        <w:rPr>
          <w:rFonts w:hint="eastAsia" w:ascii="宋体" w:hAnsi="宋体" w:eastAsia="宋体" w:cs="宋体"/>
          <w:b w:val="0"/>
          <w:bCs w:val="0"/>
          <w:color w:val="auto"/>
          <w:kern w:val="0"/>
          <w:szCs w:val="21"/>
          <w:highlight w:val="none"/>
        </w:rPr>
        <w:t>，满分5分。</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注：投标文件中提供有效的中标</w:t>
      </w:r>
      <w:r>
        <w:rPr>
          <w:rFonts w:hint="eastAsia" w:ascii="宋体" w:hAnsi="宋体" w:eastAsia="宋体" w:cs="宋体"/>
          <w:b w:val="0"/>
          <w:bCs w:val="0"/>
          <w:color w:val="auto"/>
          <w:kern w:val="0"/>
          <w:szCs w:val="21"/>
          <w:highlight w:val="none"/>
          <w:lang w:val="en-US" w:eastAsia="zh-CN"/>
        </w:rPr>
        <w:t>/成交</w:t>
      </w:r>
      <w:r>
        <w:rPr>
          <w:rFonts w:hint="eastAsia" w:ascii="宋体" w:hAnsi="宋体" w:eastAsia="宋体" w:cs="宋体"/>
          <w:b w:val="0"/>
          <w:bCs w:val="0"/>
          <w:color w:val="auto"/>
          <w:kern w:val="0"/>
          <w:szCs w:val="21"/>
          <w:highlight w:val="none"/>
        </w:rPr>
        <w:t>通知书或合同清晰复印件（或扫描件）并加盖投标人电子签章，否则不予以计分。</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 xml:space="preserve">                                                                                                                                                       </w:t>
      </w:r>
    </w:p>
    <w:p w14:paraId="3C0E5EBA">
      <w:pPr>
        <w:pStyle w:val="310"/>
        <w:keepNext w:val="0"/>
        <w:keepLines w:val="0"/>
        <w:pageBreakBefore w:val="0"/>
        <w:kinsoku/>
        <w:wordWrap/>
        <w:overflowPunct/>
        <w:topLinePunct w:val="0"/>
        <w:autoSpaceDE/>
        <w:autoSpaceDN/>
        <w:bidi w:val="0"/>
        <w:adjustRightInd w:val="0"/>
        <w:spacing w:line="400" w:lineRule="exact"/>
        <w:ind w:firstLine="0" w:firstLineChars="0"/>
        <w:jc w:val="left"/>
        <w:textAlignment w:val="baseline"/>
        <w:outlineLvl w:val="0"/>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 xml:space="preserve">  </w:t>
      </w:r>
      <w:r>
        <w:rPr>
          <w:rFonts w:hint="eastAsia" w:ascii="宋体" w:hAnsi="宋体" w:cs="宋体"/>
          <w:b w:val="0"/>
          <w:bCs w:val="0"/>
          <w:color w:val="auto"/>
          <w:szCs w:val="21"/>
          <w:highlight w:val="none"/>
          <w:lang w:val="en-US" w:eastAsia="zh-CN"/>
        </w:rPr>
        <w:t xml:space="preserve">  </w:t>
      </w:r>
      <w:r>
        <w:rPr>
          <w:rFonts w:hint="eastAsia" w:ascii="宋体" w:hAnsi="宋体" w:eastAsia="宋体" w:cs="宋体"/>
          <w:b w:val="0"/>
          <w:bCs w:val="0"/>
          <w:color w:val="auto"/>
          <w:szCs w:val="21"/>
          <w:highlight w:val="none"/>
          <w:lang w:val="en-US" w:eastAsia="zh-CN"/>
        </w:rPr>
        <w:t xml:space="preserve"> </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政策功能分</w:t>
      </w:r>
      <w:r>
        <w:rPr>
          <w:rFonts w:hint="eastAsia" w:ascii="宋体" w:hAnsi="宋体" w:eastAsia="宋体" w:cs="宋体"/>
          <w:b w:val="0"/>
          <w:bCs w:val="0"/>
          <w:color w:val="auto"/>
          <w:szCs w:val="21"/>
          <w:highlight w:val="none"/>
          <w:lang w:eastAsia="zh-CN"/>
        </w:rPr>
        <w:t>（满分</w:t>
      </w:r>
      <w:r>
        <w:rPr>
          <w:rFonts w:hint="eastAsia" w:ascii="宋体" w:hAnsi="宋体" w:eastAsia="宋体" w:cs="宋体"/>
          <w:b w:val="0"/>
          <w:bCs w:val="0"/>
          <w:color w:val="auto"/>
          <w:szCs w:val="21"/>
          <w:highlight w:val="none"/>
        </w:rPr>
        <w:t>2分</w:t>
      </w:r>
      <w:r>
        <w:rPr>
          <w:rFonts w:hint="eastAsia" w:ascii="宋体" w:hAnsi="宋体" w:eastAsia="宋体" w:cs="宋体"/>
          <w:b w:val="0"/>
          <w:bCs w:val="0"/>
          <w:color w:val="auto"/>
          <w:szCs w:val="21"/>
          <w:highlight w:val="none"/>
          <w:lang w:eastAsia="zh-CN"/>
        </w:rPr>
        <w:t>）</w:t>
      </w:r>
    </w:p>
    <w:p w14:paraId="3FDC7F25">
      <w:pPr>
        <w:pStyle w:val="310"/>
        <w:keepNext w:val="0"/>
        <w:keepLines w:val="0"/>
        <w:pageBreakBefore w:val="0"/>
        <w:kinsoku/>
        <w:wordWrap/>
        <w:overflowPunct/>
        <w:topLinePunct w:val="0"/>
        <w:autoSpaceDE/>
        <w:autoSpaceDN/>
        <w:bidi w:val="0"/>
        <w:adjustRightInd w:val="0"/>
        <w:spacing w:line="400" w:lineRule="exact"/>
        <w:ind w:firstLine="0" w:firstLineChars="0"/>
        <w:jc w:val="left"/>
        <w:textAlignment w:val="baseline"/>
        <w:outlineLvl w:val="0"/>
        <w:rPr>
          <w:rFonts w:hint="eastAsia"/>
          <w:b w:val="0"/>
          <w:bCs w:val="0"/>
          <w:color w:val="auto"/>
          <w:highlight w:val="none"/>
        </w:rPr>
      </w:pPr>
      <w:r>
        <w:rPr>
          <w:rFonts w:hint="eastAsia" w:ascii="宋体" w:hAnsi="宋体" w:eastAsia="宋体" w:cs="宋体"/>
          <w:b w:val="0"/>
          <w:bCs w:val="0"/>
          <w:color w:val="auto"/>
          <w:szCs w:val="21"/>
          <w:highlight w:val="none"/>
          <w:lang w:val="en-US" w:eastAsia="zh-CN"/>
        </w:rPr>
        <w:t xml:space="preserve">   </w:t>
      </w:r>
      <w:r>
        <w:rPr>
          <w:rFonts w:hint="eastAsia"/>
          <w:b w:val="0"/>
          <w:bCs w:val="0"/>
          <w:color w:val="auto"/>
          <w:highlight w:val="none"/>
          <w:lang w:val="en-US" w:eastAsia="zh-CN"/>
        </w:rPr>
        <w:t xml:space="preserve"> </w:t>
      </w:r>
      <w:r>
        <w:rPr>
          <w:rFonts w:hint="eastAsia"/>
          <w:b w:val="0"/>
          <w:bCs w:val="0"/>
          <w:color w:val="auto"/>
          <w:highlight w:val="none"/>
        </w:rPr>
        <w:t xml:space="preserve"> ①投标产品纳入（</w:t>
      </w:r>
      <w:r>
        <w:rPr>
          <w:rFonts w:hint="eastAsia" w:ascii="宋体" w:hAnsi="宋体" w:eastAsia="宋体" w:cs="宋体"/>
          <w:b w:val="0"/>
          <w:bCs w:val="0"/>
          <w:color w:val="auto"/>
          <w:kern w:val="2"/>
          <w:sz w:val="21"/>
          <w:szCs w:val="24"/>
          <w:highlight w:val="none"/>
          <w:lang w:val="en-US" w:eastAsia="zh-CN" w:bidi="ar-SA"/>
        </w:rPr>
        <w:t>财库[2019]19号</w:t>
      </w:r>
      <w:r>
        <w:rPr>
          <w:rFonts w:hint="eastAsia" w:eastAsia="宋体" w:cs="Times New Roman"/>
          <w:b w:val="0"/>
          <w:bCs w:val="0"/>
          <w:color w:val="auto"/>
          <w:highlight w:val="none"/>
        </w:rPr>
        <w:t>）</w:t>
      </w:r>
      <w:r>
        <w:rPr>
          <w:rFonts w:hint="eastAsia"/>
          <w:b w:val="0"/>
          <w:bCs w:val="0"/>
          <w:color w:val="auto"/>
          <w:highlight w:val="none"/>
        </w:rPr>
        <w:t>中节能产品政府采购清单的（适用于非强制采购节能产品</w:t>
      </w:r>
      <w:r>
        <w:rPr>
          <w:rFonts w:hint="eastAsia"/>
          <w:b w:val="0"/>
          <w:bCs w:val="0"/>
          <w:color w:val="auto"/>
          <w:highlight w:val="none"/>
          <w:lang w:eastAsia="zh-CN"/>
        </w:rPr>
        <w:t>，</w:t>
      </w:r>
      <w:r>
        <w:rPr>
          <w:rFonts w:hint="eastAsia"/>
          <w:b w:val="0"/>
          <w:bCs w:val="0"/>
          <w:color w:val="auto"/>
          <w:highlight w:val="none"/>
        </w:rPr>
        <w:t>依据《市场监管总局关于发布参与实施政府采购节能产品、环境标志产品认证机构名录的公告》，提供所投相应型号产品有效的认证证书扫描件或其他电子文件</w:t>
      </w:r>
      <w:r>
        <w:rPr>
          <w:rFonts w:hint="eastAsia"/>
          <w:b w:val="0"/>
          <w:bCs w:val="0"/>
          <w:color w:val="auto"/>
          <w:highlight w:val="none"/>
          <w:lang w:eastAsia="zh-CN"/>
        </w:rPr>
        <w:t>），得</w:t>
      </w:r>
      <w:r>
        <w:rPr>
          <w:rFonts w:hint="eastAsia"/>
          <w:b w:val="0"/>
          <w:bCs w:val="0"/>
          <w:color w:val="auto"/>
          <w:highlight w:val="none"/>
          <w:lang w:val="en-US" w:eastAsia="zh-CN"/>
        </w:rPr>
        <w:t>1分，</w:t>
      </w:r>
      <w:r>
        <w:rPr>
          <w:rFonts w:hint="eastAsia" w:ascii="宋体" w:hAnsi="宋体" w:cs="宋体"/>
          <w:b w:val="0"/>
          <w:bCs w:val="0"/>
          <w:color w:val="auto"/>
          <w:highlight w:val="none"/>
        </w:rPr>
        <w:t>满分</w:t>
      </w:r>
      <w:r>
        <w:rPr>
          <w:rFonts w:hint="eastAsia" w:ascii="宋体" w:hAnsi="宋体" w:cs="宋体"/>
          <w:b w:val="0"/>
          <w:bCs w:val="0"/>
          <w:color w:val="auto"/>
          <w:highlight w:val="none"/>
          <w:lang w:val="en-US" w:eastAsia="zh-CN"/>
        </w:rPr>
        <w:t>1</w:t>
      </w:r>
      <w:r>
        <w:rPr>
          <w:rFonts w:hint="eastAsia" w:ascii="宋体" w:hAnsi="宋体" w:cs="宋体"/>
          <w:b w:val="0"/>
          <w:bCs w:val="0"/>
          <w:color w:val="auto"/>
          <w:highlight w:val="none"/>
        </w:rPr>
        <w:t>分</w:t>
      </w:r>
      <w:r>
        <w:rPr>
          <w:rFonts w:hint="eastAsia"/>
          <w:b w:val="0"/>
          <w:bCs w:val="0"/>
          <w:color w:val="auto"/>
          <w:highlight w:val="none"/>
        </w:rPr>
        <w:t>。</w:t>
      </w:r>
    </w:p>
    <w:p w14:paraId="6618AA6E">
      <w:pPr>
        <w:keepNext w:val="0"/>
        <w:keepLines w:val="0"/>
        <w:pageBreakBefore w:val="0"/>
        <w:kinsoku/>
        <w:wordWrap/>
        <w:overflowPunct/>
        <w:topLinePunct w:val="0"/>
        <w:autoSpaceDE/>
        <w:autoSpaceDN/>
        <w:bidi w:val="0"/>
        <w:spacing w:line="400" w:lineRule="exact"/>
        <w:ind w:firstLine="420" w:firstLineChars="200"/>
        <w:outlineLvl w:val="0"/>
        <w:rPr>
          <w:rFonts w:hint="eastAsia" w:ascii="宋体" w:hAnsi="宋体" w:cs="宋体"/>
          <w:b w:val="0"/>
          <w:bCs w:val="0"/>
          <w:color w:val="auto"/>
          <w:highlight w:val="none"/>
        </w:rPr>
      </w:pPr>
      <w:r>
        <w:rPr>
          <w:rFonts w:hint="eastAsia" w:ascii="宋体" w:hAnsi="宋体" w:cs="宋体"/>
          <w:b w:val="0"/>
          <w:bCs w:val="0"/>
          <w:color w:val="auto"/>
          <w:kern w:val="0"/>
          <w:szCs w:val="21"/>
          <w:highlight w:val="none"/>
          <w:lang w:val="en-US" w:eastAsia="zh-CN"/>
        </w:rPr>
        <w:t xml:space="preserve"> </w:t>
      </w:r>
      <w:r>
        <w:rPr>
          <w:rFonts w:hint="eastAsia" w:ascii="宋体" w:hAnsi="宋体" w:cs="宋体"/>
          <w:b w:val="0"/>
          <w:bCs w:val="0"/>
          <w:color w:val="auto"/>
          <w:kern w:val="0"/>
          <w:szCs w:val="21"/>
          <w:highlight w:val="none"/>
        </w:rPr>
        <w:fldChar w:fldCharType="begin"/>
      </w:r>
      <w:r>
        <w:rPr>
          <w:rFonts w:hint="eastAsia" w:ascii="宋体" w:hAnsi="宋体" w:cs="宋体"/>
          <w:b w:val="0"/>
          <w:bCs w:val="0"/>
          <w:color w:val="auto"/>
          <w:kern w:val="0"/>
          <w:szCs w:val="21"/>
          <w:highlight w:val="none"/>
        </w:rPr>
        <w:instrText xml:space="preserve"> = 2 \* GB3 \* MERGEFORMAT </w:instrText>
      </w:r>
      <w:r>
        <w:rPr>
          <w:rFonts w:hint="eastAsia" w:ascii="宋体" w:hAnsi="宋体" w:cs="宋体"/>
          <w:b w:val="0"/>
          <w:bCs w:val="0"/>
          <w:color w:val="auto"/>
          <w:kern w:val="0"/>
          <w:szCs w:val="21"/>
          <w:highlight w:val="none"/>
        </w:rPr>
        <w:fldChar w:fldCharType="separate"/>
      </w:r>
      <w:r>
        <w:rPr>
          <w:rFonts w:hint="eastAsia" w:ascii="宋体" w:hAnsi="宋体" w:cs="宋体"/>
          <w:b w:val="0"/>
          <w:bCs w:val="0"/>
          <w:color w:val="auto"/>
          <w:highlight w:val="none"/>
        </w:rPr>
        <w:t>②</w:t>
      </w:r>
      <w:r>
        <w:rPr>
          <w:rFonts w:hint="eastAsia" w:ascii="宋体" w:hAnsi="宋体" w:cs="宋体"/>
          <w:b w:val="0"/>
          <w:bCs w:val="0"/>
          <w:color w:val="auto"/>
          <w:kern w:val="0"/>
          <w:szCs w:val="21"/>
          <w:highlight w:val="none"/>
        </w:rPr>
        <w:fldChar w:fldCharType="end"/>
      </w:r>
      <w:r>
        <w:rPr>
          <w:rFonts w:hint="eastAsia" w:ascii="宋体" w:hAnsi="宋体" w:cs="宋体"/>
          <w:b w:val="0"/>
          <w:bCs w:val="0"/>
          <w:color w:val="auto"/>
          <w:highlight w:val="none"/>
        </w:rPr>
        <w:t>投标产品纳入（财库[2019]18号）中环境标志产品政府采购清单的（依据《市场监管总局关于发</w:t>
      </w:r>
      <w:r>
        <w:rPr>
          <w:rFonts w:hint="eastAsia"/>
          <w:b w:val="0"/>
          <w:bCs w:val="0"/>
          <w:color w:val="auto"/>
          <w:highlight w:val="none"/>
        </w:rPr>
        <w:t>布参与实施政府采购节能产品、环境标志产品认证机构名录的公告》，提供所投相应型号产品有效的认</w:t>
      </w:r>
      <w:r>
        <w:rPr>
          <w:rFonts w:hint="eastAsia" w:ascii="宋体" w:hAnsi="宋体" w:cs="宋体"/>
          <w:b w:val="0"/>
          <w:bCs w:val="0"/>
          <w:color w:val="auto"/>
          <w:highlight w:val="none"/>
        </w:rPr>
        <w:t>证证书扫描件或其他电子文件）</w:t>
      </w:r>
      <w:r>
        <w:rPr>
          <w:rFonts w:hint="eastAsia"/>
          <w:b w:val="0"/>
          <w:bCs w:val="0"/>
          <w:color w:val="auto"/>
          <w:highlight w:val="none"/>
          <w:lang w:eastAsia="zh-CN"/>
        </w:rPr>
        <w:t>，得</w:t>
      </w:r>
      <w:r>
        <w:rPr>
          <w:rFonts w:hint="eastAsia"/>
          <w:b w:val="0"/>
          <w:bCs w:val="0"/>
          <w:color w:val="auto"/>
          <w:highlight w:val="none"/>
          <w:lang w:val="en-US" w:eastAsia="zh-CN"/>
        </w:rPr>
        <w:t>1分，</w:t>
      </w:r>
      <w:r>
        <w:rPr>
          <w:rFonts w:hint="eastAsia" w:ascii="宋体" w:hAnsi="宋体" w:cs="宋体"/>
          <w:b w:val="0"/>
          <w:bCs w:val="0"/>
          <w:color w:val="auto"/>
          <w:highlight w:val="none"/>
        </w:rPr>
        <w:t>满分</w:t>
      </w:r>
      <w:r>
        <w:rPr>
          <w:rFonts w:hint="eastAsia" w:ascii="宋体" w:hAnsi="宋体" w:cs="宋体"/>
          <w:b w:val="0"/>
          <w:bCs w:val="0"/>
          <w:color w:val="auto"/>
          <w:highlight w:val="none"/>
          <w:lang w:val="en-US" w:eastAsia="zh-CN"/>
        </w:rPr>
        <w:t>1</w:t>
      </w:r>
      <w:r>
        <w:rPr>
          <w:rFonts w:hint="eastAsia" w:ascii="宋体" w:hAnsi="宋体" w:cs="宋体"/>
          <w:b w:val="0"/>
          <w:bCs w:val="0"/>
          <w:color w:val="auto"/>
          <w:highlight w:val="none"/>
        </w:rPr>
        <w:t>分。</w:t>
      </w:r>
    </w:p>
    <w:p w14:paraId="41E18194">
      <w:pPr>
        <w:keepNext w:val="0"/>
        <w:keepLines w:val="0"/>
        <w:pageBreakBefore w:val="0"/>
        <w:kinsoku/>
        <w:wordWrap/>
        <w:overflowPunct/>
        <w:topLinePunct w:val="0"/>
        <w:autoSpaceDE/>
        <w:autoSpaceDN/>
        <w:bidi w:val="0"/>
        <w:spacing w:line="420" w:lineRule="exact"/>
        <w:ind w:firstLine="420" w:firstLineChars="200"/>
        <w:outlineLvl w:val="0"/>
        <w:rPr>
          <w:rFonts w:hint="eastAsia" w:ascii="宋体" w:hAnsi="宋体" w:cs="宋体"/>
          <w:color w:val="auto"/>
          <w:highlight w:val="none"/>
          <w:shd w:val="clear" w:color="auto" w:fill="auto"/>
        </w:rPr>
      </w:pPr>
    </w:p>
    <w:p w14:paraId="5EFBE6BE">
      <w:pPr>
        <w:keepNext w:val="0"/>
        <w:keepLines w:val="0"/>
        <w:pageBreakBefore w:val="0"/>
        <w:kinsoku/>
        <w:wordWrap/>
        <w:overflowPunct/>
        <w:topLinePunct w:val="0"/>
        <w:autoSpaceDE/>
        <w:autoSpaceDN/>
        <w:bidi w:val="0"/>
        <w:spacing w:line="420" w:lineRule="exact"/>
        <w:ind w:firstLine="405"/>
        <w:rPr>
          <w:rFonts w:hAnsi="Courier New" w:cs="Courier New"/>
          <w:b/>
          <w:bCs/>
          <w:color w:val="auto"/>
          <w:szCs w:val="21"/>
          <w:highlight w:val="none"/>
          <w:shd w:val="clear" w:color="auto" w:fill="auto"/>
        </w:rPr>
      </w:pPr>
      <w:r>
        <w:rPr>
          <w:rFonts w:hint="eastAsia" w:hAnsi="宋体" w:cs="宋体"/>
          <w:b/>
          <w:bCs/>
          <w:color w:val="auto"/>
          <w:spacing w:val="-2"/>
          <w:szCs w:val="21"/>
          <w:highlight w:val="none"/>
          <w:shd w:val="clear" w:color="auto" w:fill="auto"/>
        </w:rPr>
        <w:t>（</w:t>
      </w:r>
      <w:r>
        <w:rPr>
          <w:rFonts w:hint="eastAsia" w:cs="Courier New"/>
          <w:b/>
          <w:bCs/>
          <w:color w:val="auto"/>
          <w:spacing w:val="-2"/>
          <w:szCs w:val="21"/>
          <w:highlight w:val="none"/>
          <w:shd w:val="clear" w:color="auto" w:fill="auto"/>
        </w:rPr>
        <w:t>三</w:t>
      </w:r>
      <w:r>
        <w:rPr>
          <w:rFonts w:hint="eastAsia" w:hAnsi="宋体" w:cs="宋体"/>
          <w:b/>
          <w:bCs/>
          <w:color w:val="auto"/>
          <w:spacing w:val="-2"/>
          <w:szCs w:val="21"/>
          <w:highlight w:val="none"/>
          <w:shd w:val="clear" w:color="auto" w:fill="auto"/>
        </w:rPr>
        <w:t>）总得分</w:t>
      </w:r>
      <w:r>
        <w:rPr>
          <w:rFonts w:hint="eastAsia" w:eastAsia="Calibri" w:cs="Courier New"/>
          <w:b/>
          <w:bCs/>
          <w:color w:val="auto"/>
          <w:spacing w:val="-2"/>
          <w:szCs w:val="21"/>
          <w:highlight w:val="none"/>
          <w:shd w:val="clear" w:color="auto" w:fill="auto"/>
        </w:rPr>
        <w:t>=</w:t>
      </w:r>
      <w:r>
        <w:rPr>
          <w:rFonts w:hint="eastAsia" w:cs="Courier New"/>
          <w:color w:val="auto"/>
          <w:szCs w:val="21"/>
          <w:highlight w:val="none"/>
          <w:shd w:val="clear" w:color="auto" w:fill="auto"/>
        </w:rPr>
        <w:t xml:space="preserve"> </w:t>
      </w:r>
      <w:r>
        <w:rPr>
          <w:rFonts w:hint="eastAsia" w:cs="Courier New"/>
          <w:b/>
          <w:bCs/>
          <w:color w:val="auto"/>
          <w:szCs w:val="21"/>
          <w:highlight w:val="none"/>
          <w:shd w:val="clear" w:color="auto" w:fill="auto"/>
        </w:rPr>
        <w:t>1 + 2 + 3</w:t>
      </w:r>
      <w:r>
        <w:rPr>
          <w:rFonts w:hint="eastAsia" w:cs="Courier New"/>
          <w:b/>
          <w:bCs/>
          <w:color w:val="auto"/>
          <w:szCs w:val="21"/>
          <w:highlight w:val="none"/>
          <w:shd w:val="clear" w:color="auto" w:fill="auto"/>
          <w:lang w:eastAsia="zh-CN"/>
        </w:rPr>
        <w:t>。</w:t>
      </w:r>
      <w:r>
        <w:rPr>
          <w:rFonts w:hint="eastAsia" w:cs="Courier New"/>
          <w:b/>
          <w:bCs/>
          <w:color w:val="auto"/>
          <w:szCs w:val="21"/>
          <w:highlight w:val="none"/>
          <w:shd w:val="clear" w:color="auto" w:fill="auto"/>
        </w:rPr>
        <w:t xml:space="preserve"> </w:t>
      </w:r>
    </w:p>
    <w:p w14:paraId="5C265E4E">
      <w:pPr>
        <w:keepNext w:val="0"/>
        <w:keepLines w:val="0"/>
        <w:pageBreakBefore w:val="0"/>
        <w:kinsoku/>
        <w:wordWrap/>
        <w:overflowPunct/>
        <w:topLinePunct w:val="0"/>
        <w:autoSpaceDE/>
        <w:autoSpaceDN/>
        <w:bidi w:val="0"/>
        <w:spacing w:line="420" w:lineRule="exact"/>
        <w:ind w:firstLine="422" w:firstLineChars="200"/>
        <w:rPr>
          <w:b/>
          <w:bCs/>
          <w:color w:val="auto"/>
          <w:highlight w:val="none"/>
          <w:shd w:val="clear" w:color="auto" w:fill="auto"/>
        </w:rPr>
      </w:pPr>
      <w:r>
        <w:rPr>
          <w:rFonts w:hint="eastAsia"/>
          <w:b/>
          <w:bCs/>
          <w:color w:val="auto"/>
          <w:highlight w:val="none"/>
          <w:shd w:val="clear" w:color="auto" w:fill="auto"/>
        </w:rPr>
        <w:t>三、中标候选人推荐原则</w:t>
      </w:r>
    </w:p>
    <w:p w14:paraId="2B08EAF8">
      <w:pPr>
        <w:keepNext w:val="0"/>
        <w:keepLines w:val="0"/>
        <w:pageBreakBefore w:val="0"/>
        <w:kinsoku/>
        <w:wordWrap/>
        <w:overflowPunct/>
        <w:topLinePunct w:val="0"/>
        <w:autoSpaceDE/>
        <w:autoSpaceDN/>
        <w:bidi w:val="0"/>
        <w:spacing w:line="420" w:lineRule="exact"/>
        <w:ind w:firstLine="420" w:firstLineChars="200"/>
        <w:jc w:val="left"/>
        <w:rPr>
          <w:rFonts w:hint="eastAsia"/>
          <w:bCs/>
          <w:color w:val="auto"/>
          <w:highlight w:val="none"/>
          <w:shd w:val="clear" w:color="auto" w:fill="auto"/>
        </w:rPr>
      </w:pPr>
      <w:r>
        <w:rPr>
          <w:rFonts w:hint="eastAsia"/>
          <w:bCs/>
          <w:color w:val="auto"/>
          <w:highlight w:val="none"/>
          <w:shd w:val="clear" w:color="auto" w:fill="auto"/>
        </w:rPr>
        <w:t>（一）评标委员会将根据得分由高到低排列次序（得分相同时，以</w:t>
      </w:r>
      <w:r>
        <w:rPr>
          <w:rFonts w:hint="eastAsia"/>
          <w:bCs/>
          <w:color w:val="auto"/>
          <w:highlight w:val="none"/>
          <w:shd w:val="clear" w:color="auto" w:fill="auto"/>
          <w:lang w:eastAsia="zh-CN"/>
        </w:rPr>
        <w:t>评标价</w:t>
      </w:r>
      <w:r>
        <w:rPr>
          <w:rFonts w:hint="eastAsia"/>
          <w:bCs/>
          <w:color w:val="auto"/>
          <w:highlight w:val="none"/>
          <w:shd w:val="clear" w:color="auto" w:fill="auto"/>
        </w:rPr>
        <w:t>由低到高顺序排列；得分相同且</w:t>
      </w:r>
      <w:r>
        <w:rPr>
          <w:rFonts w:hint="eastAsia"/>
          <w:bCs/>
          <w:color w:val="auto"/>
          <w:highlight w:val="none"/>
          <w:shd w:val="clear" w:color="auto" w:fill="auto"/>
          <w:lang w:eastAsia="zh-CN"/>
        </w:rPr>
        <w:t>评标价</w:t>
      </w:r>
      <w:r>
        <w:rPr>
          <w:rFonts w:hint="eastAsia"/>
          <w:bCs/>
          <w:color w:val="auto"/>
          <w:highlight w:val="none"/>
          <w:shd w:val="clear" w:color="auto" w:fill="auto"/>
        </w:rPr>
        <w:t>相同的，按技术指标优劣顺序排列）并推荐中标候选供应商。采购人应当确定评审委员会推荐排名第一的中标候选人为中标人。</w:t>
      </w:r>
    </w:p>
    <w:p w14:paraId="2B79406B">
      <w:pPr>
        <w:keepNext w:val="0"/>
        <w:keepLines w:val="0"/>
        <w:pageBreakBefore w:val="0"/>
        <w:kinsoku/>
        <w:wordWrap/>
        <w:overflowPunct/>
        <w:topLinePunct w:val="0"/>
        <w:autoSpaceDE/>
        <w:autoSpaceDN/>
        <w:bidi w:val="0"/>
        <w:spacing w:line="420" w:lineRule="exact"/>
        <w:ind w:firstLine="420" w:firstLineChars="200"/>
        <w:jc w:val="left"/>
        <w:rPr>
          <w:rFonts w:hint="eastAsia"/>
          <w:bCs/>
          <w:color w:val="auto"/>
          <w:highlight w:val="none"/>
          <w:shd w:val="clear" w:color="auto" w:fill="auto"/>
        </w:rPr>
      </w:pPr>
      <w:r>
        <w:rPr>
          <w:rFonts w:hint="eastAsia"/>
          <w:bCs/>
          <w:color w:val="auto"/>
          <w:highlight w:val="none"/>
          <w:shd w:val="clear" w:color="auto" w:fill="auto"/>
        </w:rPr>
        <w:t>（二）排名第一的中标候选人放弃中标、</w:t>
      </w:r>
      <w:r>
        <w:rPr>
          <w:rFonts w:hint="eastAsia"/>
          <w:bCs/>
          <w:color w:val="auto"/>
          <w:highlight w:val="none"/>
        </w:rPr>
        <w:t>拒绝签订政府采购合同的</w:t>
      </w:r>
      <w:r>
        <w:rPr>
          <w:rFonts w:hint="eastAsia"/>
          <w:bCs/>
          <w:color w:val="auto"/>
          <w:highlight w:val="none"/>
          <w:shd w:val="clear" w:color="auto" w:fill="auto"/>
        </w:rPr>
        <w:t>，采购人可以确定排名第二的中标候选人为中标人。排名第二的中标候选人因前款规定的同样原因不能签订合同的，采购人可以确定排名第三的中标候选人为中标人，其余以此类推。</w:t>
      </w:r>
    </w:p>
    <w:p w14:paraId="7B71B132">
      <w:pPr>
        <w:pStyle w:val="52"/>
        <w:rPr>
          <w:rFonts w:ascii="黑体" w:eastAsia="黑体"/>
          <w:b/>
          <w:color w:val="auto"/>
          <w:sz w:val="44"/>
          <w:szCs w:val="44"/>
          <w:highlight w:val="none"/>
          <w:shd w:val="clear" w:color="auto" w:fill="auto"/>
        </w:rPr>
      </w:pPr>
    </w:p>
    <w:p w14:paraId="1EFECEAE">
      <w:pPr>
        <w:pStyle w:val="52"/>
        <w:rPr>
          <w:rFonts w:hint="eastAsia" w:ascii="黑体" w:eastAsia="黑体"/>
          <w:b/>
          <w:color w:val="auto"/>
          <w:sz w:val="44"/>
          <w:szCs w:val="44"/>
          <w:highlight w:val="none"/>
          <w:shd w:val="clear" w:color="auto" w:fill="auto"/>
        </w:rPr>
      </w:pPr>
    </w:p>
    <w:p w14:paraId="5FBFAC90">
      <w:pPr>
        <w:rPr>
          <w:rFonts w:ascii="黑体" w:eastAsia="黑体"/>
          <w:b/>
          <w:color w:val="auto"/>
          <w:sz w:val="44"/>
          <w:szCs w:val="44"/>
          <w:highlight w:val="none"/>
          <w:shd w:val="clear" w:color="auto" w:fill="auto"/>
        </w:rPr>
      </w:pPr>
    </w:p>
    <w:p w14:paraId="28AAEF9F">
      <w:pPr>
        <w:pStyle w:val="4"/>
        <w:rPr>
          <w:rFonts w:ascii="黑体" w:eastAsia="黑体"/>
          <w:b/>
          <w:color w:val="auto"/>
          <w:sz w:val="44"/>
          <w:szCs w:val="44"/>
          <w:highlight w:val="none"/>
          <w:shd w:val="clear" w:color="auto" w:fill="auto"/>
        </w:rPr>
      </w:pPr>
    </w:p>
    <w:p w14:paraId="56F10215">
      <w:pPr>
        <w:rPr>
          <w:color w:val="auto"/>
          <w:highlight w:val="none"/>
          <w:shd w:val="clear" w:color="auto" w:fill="auto"/>
        </w:rPr>
      </w:pPr>
    </w:p>
    <w:p w14:paraId="44A3EAF8">
      <w:pPr>
        <w:pStyle w:val="29"/>
        <w:snapToGrid w:val="0"/>
        <w:spacing w:before="120" w:after="120"/>
        <w:jc w:val="center"/>
        <w:outlineLvl w:val="0"/>
        <w:rPr>
          <w:rFonts w:ascii="黑体" w:eastAsia="黑体"/>
          <w:b/>
          <w:color w:val="auto"/>
          <w:sz w:val="44"/>
          <w:szCs w:val="44"/>
          <w:highlight w:val="none"/>
          <w:shd w:val="clear" w:color="auto" w:fill="auto"/>
        </w:rPr>
      </w:pPr>
    </w:p>
    <w:p w14:paraId="4FBE8DE4">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7736FBF8">
      <w:pPr>
        <w:pStyle w:val="5"/>
        <w:rPr>
          <w:rFonts w:hint="eastAsia" w:ascii="黑体" w:eastAsia="黑体"/>
          <w:b/>
          <w:color w:val="auto"/>
          <w:sz w:val="44"/>
          <w:szCs w:val="44"/>
          <w:highlight w:val="none"/>
          <w:shd w:val="clear" w:color="auto" w:fill="auto"/>
        </w:rPr>
      </w:pPr>
    </w:p>
    <w:p w14:paraId="01257E5B">
      <w:pPr>
        <w:rPr>
          <w:rFonts w:hint="eastAsia" w:ascii="黑体" w:eastAsia="黑体"/>
          <w:b/>
          <w:color w:val="auto"/>
          <w:sz w:val="44"/>
          <w:szCs w:val="44"/>
          <w:highlight w:val="none"/>
          <w:shd w:val="clear" w:color="auto" w:fill="auto"/>
        </w:rPr>
      </w:pPr>
    </w:p>
    <w:p w14:paraId="77E329FA">
      <w:pPr>
        <w:pStyle w:val="52"/>
        <w:rPr>
          <w:rFonts w:hint="eastAsia" w:ascii="黑体" w:eastAsia="黑体"/>
          <w:b/>
          <w:color w:val="auto"/>
          <w:sz w:val="44"/>
          <w:szCs w:val="44"/>
          <w:highlight w:val="none"/>
          <w:shd w:val="clear" w:color="auto" w:fill="auto"/>
        </w:rPr>
      </w:pPr>
    </w:p>
    <w:p w14:paraId="20FA669C">
      <w:pPr>
        <w:pStyle w:val="52"/>
        <w:rPr>
          <w:rFonts w:hint="eastAsia" w:ascii="黑体" w:eastAsia="黑体"/>
          <w:b/>
          <w:color w:val="auto"/>
          <w:sz w:val="44"/>
          <w:szCs w:val="44"/>
          <w:highlight w:val="none"/>
          <w:shd w:val="clear" w:color="auto" w:fill="auto"/>
        </w:rPr>
      </w:pPr>
    </w:p>
    <w:p w14:paraId="1B6BF4D0">
      <w:pPr>
        <w:pStyle w:val="52"/>
        <w:rPr>
          <w:rFonts w:hint="eastAsia" w:ascii="黑体" w:eastAsia="黑体"/>
          <w:b/>
          <w:color w:val="auto"/>
          <w:sz w:val="44"/>
          <w:szCs w:val="44"/>
          <w:highlight w:val="none"/>
          <w:shd w:val="clear" w:color="auto" w:fill="auto"/>
        </w:rPr>
      </w:pPr>
    </w:p>
    <w:p w14:paraId="0E36E599">
      <w:pPr>
        <w:rPr>
          <w:rFonts w:hint="eastAsia" w:ascii="黑体" w:eastAsia="黑体"/>
          <w:b/>
          <w:color w:val="auto"/>
          <w:sz w:val="44"/>
          <w:szCs w:val="44"/>
          <w:highlight w:val="none"/>
          <w:shd w:val="clear" w:color="auto" w:fill="auto"/>
        </w:rPr>
      </w:pPr>
    </w:p>
    <w:p w14:paraId="31D63BC7">
      <w:pPr>
        <w:pStyle w:val="52"/>
        <w:rPr>
          <w:rFonts w:hint="eastAsia"/>
          <w:color w:val="auto"/>
          <w:highlight w:val="none"/>
        </w:rPr>
      </w:pPr>
    </w:p>
    <w:p w14:paraId="70C7AE82">
      <w:pPr>
        <w:jc w:val="center"/>
        <w:rPr>
          <w:rFonts w:ascii="宋体" w:hAnsi="宋体"/>
          <w:b/>
          <w:dstrike/>
          <w:color w:val="auto"/>
          <w:sz w:val="36"/>
          <w:szCs w:val="36"/>
          <w:highlight w:val="none"/>
          <w:shd w:val="clear" w:color="auto" w:fill="auto"/>
        </w:rPr>
      </w:pPr>
      <w:r>
        <w:rPr>
          <w:rFonts w:hint="eastAsia" w:ascii="仿宋_GB2312" w:eastAsia="仿宋_GB2312"/>
          <w:b/>
          <w:color w:val="auto"/>
          <w:sz w:val="36"/>
          <w:szCs w:val="36"/>
          <w:highlight w:val="none"/>
          <w:shd w:val="clear" w:color="auto" w:fill="auto"/>
        </w:rPr>
        <w:t>第五章    政府采购合同主要条款</w:t>
      </w:r>
    </w:p>
    <w:p w14:paraId="555ED3AF">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0DCEB010">
      <w:pPr>
        <w:pStyle w:val="29"/>
        <w:jc w:val="center"/>
        <w:rPr>
          <w:rFonts w:hint="eastAsia"/>
          <w:color w:val="auto"/>
          <w:highlight w:val="none"/>
          <w:shd w:val="clear" w:color="auto" w:fill="auto"/>
        </w:rPr>
      </w:pPr>
      <w:r>
        <w:rPr>
          <w:color w:val="auto"/>
          <w:highlight w:val="none"/>
          <w:shd w:val="clear" w:color="auto" w:fill="auto"/>
        </w:rPr>
        <w:br w:type="page"/>
      </w:r>
    </w:p>
    <w:p w14:paraId="7098D49D">
      <w:pPr>
        <w:pStyle w:val="29"/>
        <w:jc w:val="center"/>
        <w:rPr>
          <w:rFonts w:hint="eastAsia"/>
          <w:color w:val="auto"/>
          <w:highlight w:val="none"/>
          <w:shd w:val="clear" w:color="auto" w:fill="auto"/>
        </w:rPr>
      </w:pPr>
    </w:p>
    <w:p w14:paraId="4B061837">
      <w:pPr>
        <w:pStyle w:val="29"/>
        <w:jc w:val="center"/>
        <w:rPr>
          <w:rFonts w:hint="eastAsia"/>
          <w:color w:val="auto"/>
          <w:highlight w:val="none"/>
          <w:shd w:val="clear" w:color="auto" w:fill="auto"/>
        </w:rPr>
      </w:pPr>
    </w:p>
    <w:p w14:paraId="19FC32C2">
      <w:pPr>
        <w:pStyle w:val="29"/>
        <w:jc w:val="center"/>
        <w:rPr>
          <w:rFonts w:hint="eastAsia" w:hAnsi="宋体"/>
          <w:b/>
          <w:color w:val="auto"/>
          <w:sz w:val="52"/>
          <w:szCs w:val="52"/>
          <w:highlight w:val="none"/>
          <w:shd w:val="clear" w:color="auto" w:fill="auto"/>
        </w:rPr>
      </w:pPr>
      <w:r>
        <w:rPr>
          <w:rFonts w:hint="eastAsia" w:hAnsi="宋体"/>
          <w:b/>
          <w:color w:val="auto"/>
          <w:sz w:val="52"/>
          <w:szCs w:val="52"/>
          <w:highlight w:val="none"/>
          <w:shd w:val="clear" w:color="auto" w:fill="auto"/>
        </w:rPr>
        <w:t>广西壮族自治区政府采购合同</w:t>
      </w:r>
    </w:p>
    <w:p w14:paraId="2A14786C">
      <w:pPr>
        <w:pStyle w:val="29"/>
        <w:rPr>
          <w:rFonts w:hint="eastAsia" w:hAnsi="宋体"/>
          <w:color w:val="auto"/>
          <w:highlight w:val="none"/>
          <w:shd w:val="clear" w:color="auto" w:fill="auto"/>
        </w:rPr>
      </w:pPr>
    </w:p>
    <w:p w14:paraId="653D8F0F">
      <w:pPr>
        <w:pStyle w:val="29"/>
        <w:rPr>
          <w:rFonts w:hint="eastAsia" w:hAnsi="宋体"/>
          <w:color w:val="auto"/>
          <w:highlight w:val="none"/>
          <w:shd w:val="clear" w:color="auto" w:fill="auto"/>
        </w:rPr>
      </w:pPr>
    </w:p>
    <w:p w14:paraId="471B4C35">
      <w:pPr>
        <w:pStyle w:val="29"/>
        <w:rPr>
          <w:rFonts w:hint="eastAsia" w:hAnsi="宋体"/>
          <w:color w:val="auto"/>
          <w:highlight w:val="none"/>
          <w:shd w:val="clear" w:color="auto" w:fill="auto"/>
        </w:rPr>
      </w:pPr>
    </w:p>
    <w:p w14:paraId="761C83B7">
      <w:pPr>
        <w:pStyle w:val="29"/>
        <w:rPr>
          <w:rFonts w:hint="eastAsia" w:hAnsi="宋体"/>
          <w:color w:val="auto"/>
          <w:highlight w:val="none"/>
          <w:shd w:val="clear" w:color="auto" w:fill="auto"/>
        </w:rPr>
      </w:pPr>
    </w:p>
    <w:p w14:paraId="5F37A72E">
      <w:pPr>
        <w:pStyle w:val="29"/>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合同名称：</w:t>
      </w:r>
      <w:r>
        <w:rPr>
          <w:rFonts w:hint="eastAsia" w:hAnsi="宋体"/>
          <w:b/>
          <w:color w:val="auto"/>
          <w:sz w:val="32"/>
          <w:szCs w:val="32"/>
          <w:highlight w:val="none"/>
          <w:u w:val="single"/>
          <w:shd w:val="clear" w:color="auto" w:fill="auto"/>
        </w:rPr>
        <w:t xml:space="preserve">                            </w:t>
      </w:r>
    </w:p>
    <w:p w14:paraId="0DE453C6">
      <w:pPr>
        <w:pStyle w:val="29"/>
        <w:ind w:firstLine="1590" w:firstLineChars="495"/>
        <w:rPr>
          <w:rFonts w:hint="eastAsia" w:hAnsi="宋体"/>
          <w:b/>
          <w:color w:val="auto"/>
          <w:sz w:val="32"/>
          <w:szCs w:val="32"/>
          <w:highlight w:val="none"/>
          <w:shd w:val="clear" w:color="auto" w:fill="auto"/>
        </w:rPr>
      </w:pPr>
    </w:p>
    <w:p w14:paraId="2A3FC9D3">
      <w:pPr>
        <w:pStyle w:val="29"/>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合同编号：</w:t>
      </w:r>
      <w:r>
        <w:rPr>
          <w:rFonts w:hint="eastAsia" w:hAnsi="宋体"/>
          <w:b/>
          <w:color w:val="auto"/>
          <w:sz w:val="32"/>
          <w:szCs w:val="32"/>
          <w:highlight w:val="none"/>
          <w:u w:val="single"/>
          <w:shd w:val="clear" w:color="auto" w:fill="auto"/>
        </w:rPr>
        <w:t xml:space="preserve">                            </w:t>
      </w:r>
    </w:p>
    <w:p w14:paraId="4F218EB0">
      <w:pPr>
        <w:pStyle w:val="29"/>
        <w:jc w:val="center"/>
        <w:rPr>
          <w:rFonts w:hint="eastAsia" w:hAnsi="宋体"/>
          <w:color w:val="auto"/>
          <w:highlight w:val="none"/>
          <w:shd w:val="clear" w:color="auto" w:fill="auto"/>
        </w:rPr>
      </w:pPr>
    </w:p>
    <w:p w14:paraId="4E0A1533">
      <w:pPr>
        <w:pStyle w:val="29"/>
        <w:jc w:val="center"/>
        <w:rPr>
          <w:rFonts w:hint="eastAsia" w:hAnsi="宋体"/>
          <w:color w:val="auto"/>
          <w:highlight w:val="none"/>
          <w:shd w:val="clear" w:color="auto" w:fill="auto"/>
        </w:rPr>
      </w:pPr>
    </w:p>
    <w:p w14:paraId="712B1BB9">
      <w:pPr>
        <w:pStyle w:val="29"/>
        <w:jc w:val="center"/>
        <w:rPr>
          <w:rFonts w:hint="eastAsia" w:hAnsi="宋体"/>
          <w:color w:val="auto"/>
          <w:highlight w:val="none"/>
          <w:shd w:val="clear" w:color="auto" w:fill="auto"/>
        </w:rPr>
      </w:pPr>
    </w:p>
    <w:p w14:paraId="717F06BE">
      <w:pPr>
        <w:pStyle w:val="29"/>
        <w:spacing w:after="156" w:afterLines="50"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采购单位（甲方）</w:t>
      </w:r>
      <w:r>
        <w:rPr>
          <w:rFonts w:hint="eastAsia" w:hAnsi="宋体"/>
          <w:b/>
          <w:color w:val="auto"/>
          <w:sz w:val="32"/>
          <w:szCs w:val="32"/>
          <w:highlight w:val="none"/>
          <w:u w:val="single"/>
          <w:shd w:val="clear" w:color="auto" w:fill="auto"/>
        </w:rPr>
        <w:t xml:space="preserve">                      </w:t>
      </w:r>
    </w:p>
    <w:p w14:paraId="5F922F60">
      <w:pPr>
        <w:pStyle w:val="29"/>
        <w:spacing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住   所：</w:t>
      </w:r>
      <w:r>
        <w:rPr>
          <w:rFonts w:hint="eastAsia" w:hAnsi="宋体"/>
          <w:b/>
          <w:color w:val="auto"/>
          <w:sz w:val="32"/>
          <w:szCs w:val="32"/>
          <w:highlight w:val="none"/>
          <w:u w:val="single"/>
          <w:shd w:val="clear" w:color="auto" w:fill="auto"/>
        </w:rPr>
        <w:t xml:space="preserve">                            </w:t>
      </w:r>
    </w:p>
    <w:p w14:paraId="18093498">
      <w:pPr>
        <w:pStyle w:val="29"/>
        <w:spacing w:line="340" w:lineRule="exact"/>
        <w:ind w:firstLine="1590" w:firstLineChars="495"/>
        <w:rPr>
          <w:rFonts w:hint="eastAsia" w:hAnsi="宋体"/>
          <w:b/>
          <w:color w:val="auto"/>
          <w:sz w:val="32"/>
          <w:szCs w:val="32"/>
          <w:highlight w:val="none"/>
          <w:shd w:val="clear" w:color="auto" w:fill="auto"/>
        </w:rPr>
      </w:pPr>
    </w:p>
    <w:p w14:paraId="76D9CAD9">
      <w:pPr>
        <w:pStyle w:val="29"/>
        <w:spacing w:line="340" w:lineRule="exact"/>
        <w:ind w:firstLine="1590" w:firstLineChars="495"/>
        <w:rPr>
          <w:rFonts w:hint="eastAsia" w:hAnsi="宋体"/>
          <w:b/>
          <w:color w:val="auto"/>
          <w:sz w:val="32"/>
          <w:szCs w:val="32"/>
          <w:highlight w:val="none"/>
          <w:shd w:val="clear" w:color="auto" w:fill="auto"/>
        </w:rPr>
      </w:pPr>
    </w:p>
    <w:p w14:paraId="4BBF0388">
      <w:pPr>
        <w:pStyle w:val="29"/>
        <w:spacing w:after="156" w:afterLines="50"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供 应 商（乙方）</w:t>
      </w:r>
      <w:r>
        <w:rPr>
          <w:rFonts w:hint="eastAsia" w:hAnsi="宋体"/>
          <w:b/>
          <w:color w:val="auto"/>
          <w:sz w:val="32"/>
          <w:szCs w:val="32"/>
          <w:highlight w:val="none"/>
          <w:u w:val="single"/>
          <w:shd w:val="clear" w:color="auto" w:fill="auto"/>
        </w:rPr>
        <w:t xml:space="preserve">                      </w:t>
      </w:r>
    </w:p>
    <w:p w14:paraId="6644BB02">
      <w:pPr>
        <w:pStyle w:val="29"/>
        <w:spacing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住   所：</w:t>
      </w:r>
      <w:r>
        <w:rPr>
          <w:rFonts w:hint="eastAsia" w:hAnsi="宋体"/>
          <w:b/>
          <w:color w:val="auto"/>
          <w:sz w:val="32"/>
          <w:szCs w:val="32"/>
          <w:highlight w:val="none"/>
          <w:u w:val="single"/>
          <w:shd w:val="clear" w:color="auto" w:fill="auto"/>
        </w:rPr>
        <w:t xml:space="preserve">                            </w:t>
      </w:r>
    </w:p>
    <w:p w14:paraId="0A6221A9">
      <w:pPr>
        <w:pStyle w:val="29"/>
        <w:spacing w:line="340" w:lineRule="exact"/>
        <w:ind w:firstLine="1590" w:firstLineChars="495"/>
        <w:rPr>
          <w:rFonts w:hint="eastAsia" w:hAnsi="宋体"/>
          <w:b/>
          <w:color w:val="auto"/>
          <w:sz w:val="32"/>
          <w:szCs w:val="32"/>
          <w:highlight w:val="none"/>
          <w:shd w:val="clear" w:color="auto" w:fill="auto"/>
        </w:rPr>
      </w:pPr>
    </w:p>
    <w:p w14:paraId="16A23B85">
      <w:pPr>
        <w:pStyle w:val="29"/>
        <w:jc w:val="center"/>
        <w:rPr>
          <w:rFonts w:hint="eastAsia" w:hAnsi="宋体"/>
          <w:color w:val="auto"/>
          <w:highlight w:val="none"/>
          <w:shd w:val="clear" w:color="auto" w:fill="auto"/>
        </w:rPr>
      </w:pPr>
      <w:r>
        <w:rPr>
          <w:rFonts w:hint="eastAsia" w:hAnsi="宋体"/>
          <w:color w:val="auto"/>
          <w:highlight w:val="none"/>
          <w:shd w:val="clear" w:color="auto" w:fill="auto"/>
        </w:rPr>
        <w:t xml:space="preserve"> </w:t>
      </w:r>
    </w:p>
    <w:p w14:paraId="5865542C">
      <w:pPr>
        <w:pStyle w:val="29"/>
        <w:jc w:val="center"/>
        <w:rPr>
          <w:rFonts w:hint="eastAsia" w:hAnsi="宋体"/>
          <w:color w:val="auto"/>
          <w:highlight w:val="none"/>
          <w:shd w:val="clear" w:color="auto" w:fill="auto"/>
        </w:rPr>
      </w:pPr>
    </w:p>
    <w:p w14:paraId="6C021817">
      <w:pPr>
        <w:pStyle w:val="29"/>
        <w:jc w:val="center"/>
        <w:rPr>
          <w:rFonts w:hint="eastAsia" w:hAnsi="宋体"/>
          <w:color w:val="auto"/>
          <w:highlight w:val="none"/>
          <w:shd w:val="clear" w:color="auto" w:fill="auto"/>
        </w:rPr>
      </w:pPr>
    </w:p>
    <w:p w14:paraId="0EC2043B">
      <w:pPr>
        <w:pStyle w:val="29"/>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签订合同地点：</w:t>
      </w:r>
      <w:r>
        <w:rPr>
          <w:rFonts w:hint="eastAsia" w:hAnsi="宋体"/>
          <w:b/>
          <w:color w:val="auto"/>
          <w:sz w:val="32"/>
          <w:szCs w:val="32"/>
          <w:highlight w:val="none"/>
          <w:u w:val="single"/>
          <w:shd w:val="clear" w:color="auto" w:fill="auto"/>
        </w:rPr>
        <w:t xml:space="preserve">                       </w:t>
      </w:r>
    </w:p>
    <w:p w14:paraId="10269CB9">
      <w:pPr>
        <w:pStyle w:val="29"/>
        <w:ind w:firstLine="1590" w:firstLineChars="495"/>
        <w:rPr>
          <w:rFonts w:hint="eastAsia" w:hAnsi="宋体"/>
          <w:b/>
          <w:color w:val="auto"/>
          <w:sz w:val="32"/>
          <w:szCs w:val="32"/>
          <w:highlight w:val="none"/>
          <w:shd w:val="clear" w:color="auto" w:fill="auto"/>
        </w:rPr>
      </w:pPr>
    </w:p>
    <w:p w14:paraId="46217C82">
      <w:pPr>
        <w:pStyle w:val="29"/>
        <w:ind w:firstLine="1590" w:firstLineChars="495"/>
        <w:rPr>
          <w:rFonts w:hint="eastAsia" w:hAnsi="宋体"/>
          <w:b/>
          <w:color w:val="auto"/>
          <w:sz w:val="32"/>
          <w:szCs w:val="32"/>
          <w:highlight w:val="none"/>
          <w:shd w:val="clear" w:color="auto" w:fill="auto"/>
        </w:rPr>
      </w:pPr>
      <w:r>
        <w:rPr>
          <w:rFonts w:hint="eastAsia" w:hAnsi="宋体"/>
          <w:b/>
          <w:color w:val="auto"/>
          <w:sz w:val="32"/>
          <w:szCs w:val="32"/>
          <w:highlight w:val="none"/>
          <w:shd w:val="clear" w:color="auto" w:fill="auto"/>
        </w:rPr>
        <w:t>签订合同时间：</w:t>
      </w:r>
      <w:r>
        <w:rPr>
          <w:rFonts w:hint="eastAsia" w:hAnsi="宋体"/>
          <w:b/>
          <w:color w:val="auto"/>
          <w:sz w:val="32"/>
          <w:szCs w:val="32"/>
          <w:highlight w:val="none"/>
          <w:u w:val="single"/>
          <w:shd w:val="clear" w:color="auto" w:fill="auto"/>
        </w:rPr>
        <w:t xml:space="preserve">                       </w:t>
      </w:r>
    </w:p>
    <w:p w14:paraId="5E55FB26">
      <w:pPr>
        <w:pStyle w:val="29"/>
        <w:jc w:val="center"/>
        <w:rPr>
          <w:rFonts w:hint="eastAsia" w:hAnsi="宋体"/>
          <w:color w:val="auto"/>
          <w:highlight w:val="none"/>
          <w:shd w:val="clear" w:color="auto" w:fill="auto"/>
        </w:rPr>
      </w:pPr>
    </w:p>
    <w:p w14:paraId="4E30DD2B">
      <w:pPr>
        <w:pStyle w:val="29"/>
        <w:jc w:val="center"/>
        <w:rPr>
          <w:rFonts w:hint="eastAsia" w:hAnsi="宋体"/>
          <w:color w:val="auto"/>
          <w:highlight w:val="none"/>
          <w:shd w:val="clear" w:color="auto" w:fill="auto"/>
        </w:rPr>
      </w:pPr>
    </w:p>
    <w:p w14:paraId="4C6C3035">
      <w:pPr>
        <w:pStyle w:val="29"/>
        <w:jc w:val="center"/>
        <w:rPr>
          <w:rFonts w:hint="eastAsia"/>
          <w:color w:val="auto"/>
          <w:highlight w:val="none"/>
          <w:shd w:val="clear" w:color="auto" w:fill="auto"/>
        </w:rPr>
      </w:pPr>
    </w:p>
    <w:p w14:paraId="325F027A">
      <w:pPr>
        <w:pStyle w:val="29"/>
        <w:jc w:val="center"/>
        <w:rPr>
          <w:rFonts w:hint="eastAsia" w:hAnsi="宋体"/>
          <w:color w:val="auto"/>
          <w:highlight w:val="none"/>
          <w:shd w:val="clear" w:color="auto" w:fill="auto"/>
        </w:rPr>
      </w:pPr>
    </w:p>
    <w:p w14:paraId="14F79CB7">
      <w:pPr>
        <w:pStyle w:val="29"/>
        <w:spacing w:line="420" w:lineRule="exact"/>
        <w:jc w:val="center"/>
        <w:rPr>
          <w:rFonts w:hint="eastAsia" w:hAnsi="宋体"/>
          <w:color w:val="auto"/>
          <w:highlight w:val="none"/>
          <w:shd w:val="clear" w:color="auto" w:fill="auto"/>
        </w:rPr>
      </w:pPr>
      <w:r>
        <w:rPr>
          <w:rFonts w:hint="eastAsia" w:hAnsi="宋体"/>
          <w:color w:val="auto"/>
          <w:highlight w:val="none"/>
          <w:shd w:val="clear" w:color="auto" w:fill="auto"/>
        </w:rPr>
        <w:t>合同使用说明：根据《中华人民共和国政府采购法》、《中华人民共和国民法典》等法律、法规规定，</w:t>
      </w:r>
    </w:p>
    <w:p w14:paraId="5573D140">
      <w:pPr>
        <w:pStyle w:val="29"/>
        <w:snapToGrid w:val="0"/>
        <w:spacing w:before="120" w:after="120"/>
        <w:jc w:val="center"/>
        <w:outlineLvl w:val="0"/>
        <w:rPr>
          <w:rFonts w:hint="eastAsia" w:hAnsi="宋体"/>
          <w:color w:val="auto"/>
          <w:highlight w:val="none"/>
          <w:shd w:val="clear" w:color="auto" w:fill="auto"/>
        </w:rPr>
      </w:pPr>
      <w:r>
        <w:rPr>
          <w:rFonts w:hint="eastAsia" w:hAnsi="宋体"/>
          <w:color w:val="auto"/>
          <w:highlight w:val="none"/>
          <w:shd w:val="clear" w:color="auto" w:fill="auto"/>
        </w:rPr>
        <w:t xml:space="preserve">        按照招标文件规定条款和中标供应商投标文件及其承诺，甲乙双方签订本合同。</w:t>
      </w:r>
    </w:p>
    <w:p w14:paraId="0ECC8ACF">
      <w:pPr>
        <w:pStyle w:val="29"/>
        <w:snapToGrid w:val="0"/>
        <w:spacing w:before="120" w:after="120"/>
        <w:jc w:val="center"/>
        <w:outlineLvl w:val="0"/>
        <w:rPr>
          <w:rFonts w:hint="eastAsia" w:hAnsi="宋体"/>
          <w:color w:val="auto"/>
          <w:highlight w:val="none"/>
          <w:shd w:val="clear" w:color="auto" w:fill="auto"/>
        </w:rPr>
      </w:pPr>
    </w:p>
    <w:p w14:paraId="08013117">
      <w:pPr>
        <w:pStyle w:val="29"/>
        <w:snapToGrid w:val="0"/>
        <w:spacing w:before="120" w:after="120"/>
        <w:jc w:val="center"/>
        <w:outlineLvl w:val="0"/>
        <w:rPr>
          <w:rFonts w:hint="eastAsia" w:hAnsi="宋体"/>
          <w:color w:val="auto"/>
          <w:highlight w:val="none"/>
          <w:shd w:val="clear" w:color="auto" w:fill="auto"/>
        </w:rPr>
      </w:pPr>
    </w:p>
    <w:p w14:paraId="60308709">
      <w:pPr>
        <w:spacing w:line="300" w:lineRule="auto"/>
        <w:ind w:left="420" w:hanging="420"/>
        <w:jc w:val="center"/>
        <w:rPr>
          <w:rFonts w:hint="eastAsia" w:ascii="黑体" w:hAnsi="宋体" w:eastAsia="黑体"/>
          <w:b/>
          <w:bCs/>
          <w:color w:val="auto"/>
          <w:sz w:val="44"/>
          <w:szCs w:val="44"/>
          <w:highlight w:val="none"/>
        </w:rPr>
      </w:pPr>
      <w:r>
        <w:rPr>
          <w:rFonts w:hint="eastAsia" w:ascii="黑体" w:hAnsi="宋体" w:eastAsia="黑体"/>
          <w:b/>
          <w:color w:val="auto"/>
          <w:sz w:val="44"/>
          <w:szCs w:val="44"/>
          <w:highlight w:val="none"/>
        </w:rPr>
        <w:t>采购</w:t>
      </w:r>
      <w:r>
        <w:rPr>
          <w:rFonts w:hint="eastAsia" w:ascii="黑体" w:hAnsi="宋体" w:eastAsia="黑体"/>
          <w:b/>
          <w:bCs/>
          <w:color w:val="auto"/>
          <w:sz w:val="44"/>
          <w:szCs w:val="44"/>
          <w:highlight w:val="none"/>
        </w:rPr>
        <w:t>合同文本</w:t>
      </w:r>
    </w:p>
    <w:p w14:paraId="7944EFFE">
      <w:pPr>
        <w:snapToGrid w:val="0"/>
        <w:spacing w:line="360" w:lineRule="exact"/>
        <w:jc w:val="center"/>
        <w:rPr>
          <w:rFonts w:hint="eastAsia" w:ascii="宋体" w:hAnsi="宋体"/>
          <w:b/>
          <w:bCs/>
          <w:color w:val="auto"/>
          <w:szCs w:val="21"/>
          <w:highlight w:val="none"/>
        </w:rPr>
      </w:pPr>
      <w:r>
        <w:rPr>
          <w:rFonts w:hint="eastAsia" w:ascii="宋体" w:hAnsi="宋体"/>
          <w:b/>
          <w:bCs/>
          <w:color w:val="auto"/>
          <w:szCs w:val="21"/>
          <w:highlight w:val="none"/>
        </w:rPr>
        <w:t>广西壮族自治区政府采购合同</w:t>
      </w:r>
    </w:p>
    <w:p w14:paraId="66232882">
      <w:pPr>
        <w:pStyle w:val="52"/>
        <w:rPr>
          <w:rFonts w:hint="eastAsia"/>
          <w:color w:val="auto"/>
          <w:highlight w:val="none"/>
        </w:rPr>
      </w:pPr>
      <w:r>
        <w:rPr>
          <w:rFonts w:hint="eastAsia"/>
          <w:color w:val="auto"/>
          <w:highlight w:val="none"/>
          <w:lang w:val="en-US" w:eastAsia="zh-CN"/>
        </w:rPr>
        <w:t xml:space="preserve">                             </w:t>
      </w:r>
      <w:r>
        <w:rPr>
          <w:rFonts w:hint="eastAsia"/>
          <w:color w:val="auto"/>
          <w:highlight w:val="none"/>
          <w:u w:val="single"/>
          <w:lang w:val="en-US" w:eastAsia="zh-CN"/>
        </w:rPr>
        <w:t xml:space="preserve"> </w:t>
      </w:r>
      <w:r>
        <w:rPr>
          <w:rFonts w:hint="eastAsia"/>
          <w:color w:val="auto"/>
          <w:highlight w:val="none"/>
          <w:u w:val="single"/>
        </w:rPr>
        <w:t>（适用分标</w:t>
      </w:r>
      <w:r>
        <w:rPr>
          <w:rFonts w:hint="eastAsia"/>
          <w:color w:val="auto"/>
          <w:highlight w:val="none"/>
          <w:u w:val="single"/>
          <w:lang w:val="en-US" w:eastAsia="zh-CN"/>
        </w:rPr>
        <w:t>1</w:t>
      </w:r>
      <w:r>
        <w:rPr>
          <w:rFonts w:hint="eastAsia"/>
          <w:color w:val="auto"/>
          <w:highlight w:val="none"/>
          <w:u w:val="single"/>
        </w:rPr>
        <w:t xml:space="preserve"> ）</w:t>
      </w:r>
    </w:p>
    <w:p w14:paraId="43DD9B83">
      <w:pPr>
        <w:snapToGrid w:val="0"/>
        <w:spacing w:line="360" w:lineRule="exact"/>
        <w:ind w:right="480" w:firstLine="5985" w:firstLineChars="285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26D7022D">
      <w:pPr>
        <w:snapToGrid w:val="0"/>
        <w:spacing w:line="360" w:lineRule="exact"/>
        <w:rPr>
          <w:rFonts w:hint="eastAsia" w:ascii="宋体" w:hAnsi="宋体"/>
          <w:color w:val="auto"/>
          <w:szCs w:val="21"/>
          <w:highlight w:val="none"/>
        </w:rPr>
      </w:pPr>
    </w:p>
    <w:p w14:paraId="699A8E4A">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63D18B4E">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w:t>
      </w:r>
      <w:r>
        <w:rPr>
          <w:rFonts w:hint="eastAsia" w:ascii="宋体" w:hAnsi="宋体"/>
          <w:color w:val="auto"/>
          <w:spacing w:val="-20"/>
          <w:szCs w:val="21"/>
          <w:highlight w:val="none"/>
        </w:rPr>
        <w:t>编号</w:t>
      </w:r>
      <w:r>
        <w:rPr>
          <w:rFonts w:hint="eastAsia" w:ascii="宋体" w:hAnsi="宋体"/>
          <w:color w:val="auto"/>
          <w:szCs w:val="21"/>
          <w:highlight w:val="none"/>
          <w:u w:val="single"/>
        </w:rPr>
        <w:t xml:space="preserve">                       </w:t>
      </w:r>
    </w:p>
    <w:p w14:paraId="62302BFA">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24A5A4D6">
      <w:pPr>
        <w:snapToGrid w:val="0"/>
        <w:spacing w:line="360" w:lineRule="exact"/>
        <w:ind w:firstLine="420" w:firstLineChars="200"/>
        <w:rPr>
          <w:rFonts w:hint="eastAsia" w:ascii="宋体" w:hAnsi="宋体"/>
          <w:color w:val="auto"/>
          <w:szCs w:val="21"/>
          <w:highlight w:val="none"/>
        </w:rPr>
      </w:pPr>
    </w:p>
    <w:p w14:paraId="5A735625">
      <w:pPr>
        <w:pStyle w:val="29"/>
        <w:spacing w:line="420" w:lineRule="exact"/>
        <w:ind w:firstLine="420" w:firstLineChars="200"/>
        <w:rPr>
          <w:rFonts w:hint="eastAsia" w:hAnsi="宋体"/>
          <w:color w:val="auto"/>
          <w:highlight w:val="none"/>
        </w:rPr>
      </w:pPr>
      <w:r>
        <w:rPr>
          <w:rFonts w:hint="eastAsia"/>
          <w:color w:val="auto"/>
          <w:highlight w:val="none"/>
        </w:rPr>
        <w:t>根据《中华人民共和国政府采购法》、《</w:t>
      </w:r>
      <w:r>
        <w:rPr>
          <w:color w:val="auto"/>
          <w:highlight w:val="none"/>
        </w:rPr>
        <w:t>中华人民共和国民法典</w:t>
      </w:r>
      <w:r>
        <w:rPr>
          <w:rFonts w:hint="eastAsia"/>
          <w:color w:val="auto"/>
          <w:highlight w:val="none"/>
        </w:rPr>
        <w:t>》等法律、法规规定，按照招标文件规定条款和中标供应商投标文件及其承诺，甲乙双方签订本合同。</w:t>
      </w:r>
    </w:p>
    <w:p w14:paraId="599B7C7D">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第一条　合同标的</w:t>
      </w:r>
    </w:p>
    <w:p w14:paraId="6563ACC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1.供货一览表</w:t>
      </w:r>
    </w:p>
    <w:tbl>
      <w:tblPr>
        <w:tblStyle w:val="5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14:paraId="6CDC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0" w:hRule="atLeast"/>
        </w:trPr>
        <w:tc>
          <w:tcPr>
            <w:tcW w:w="496" w:type="dxa"/>
            <w:vAlign w:val="center"/>
          </w:tcPr>
          <w:p w14:paraId="07208ACF">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304" w:type="dxa"/>
            <w:vAlign w:val="center"/>
          </w:tcPr>
          <w:p w14:paraId="17560115">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产品</w:t>
            </w:r>
          </w:p>
          <w:p w14:paraId="388B6EDA">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名称</w:t>
            </w:r>
          </w:p>
        </w:tc>
        <w:tc>
          <w:tcPr>
            <w:tcW w:w="1081" w:type="dxa"/>
            <w:vAlign w:val="center"/>
          </w:tcPr>
          <w:p w14:paraId="66F3F7F3">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商标</w:t>
            </w:r>
          </w:p>
          <w:p w14:paraId="7CC9ECAE">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品牌</w:t>
            </w:r>
          </w:p>
        </w:tc>
        <w:tc>
          <w:tcPr>
            <w:tcW w:w="1194" w:type="dxa"/>
            <w:vAlign w:val="center"/>
          </w:tcPr>
          <w:p w14:paraId="21756335">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型号</w:t>
            </w:r>
          </w:p>
          <w:p w14:paraId="4D69A750">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参数</w:t>
            </w:r>
          </w:p>
        </w:tc>
        <w:tc>
          <w:tcPr>
            <w:tcW w:w="1193" w:type="dxa"/>
            <w:vAlign w:val="center"/>
          </w:tcPr>
          <w:p w14:paraId="2217A233">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生产</w:t>
            </w:r>
          </w:p>
          <w:p w14:paraId="0A60688C">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厂家</w:t>
            </w:r>
          </w:p>
        </w:tc>
        <w:tc>
          <w:tcPr>
            <w:tcW w:w="672" w:type="dxa"/>
            <w:vAlign w:val="center"/>
          </w:tcPr>
          <w:p w14:paraId="7ACBBBE0">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数  量</w:t>
            </w:r>
          </w:p>
        </w:tc>
        <w:tc>
          <w:tcPr>
            <w:tcW w:w="1080" w:type="dxa"/>
            <w:vAlign w:val="center"/>
          </w:tcPr>
          <w:p w14:paraId="263D0842">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单位</w:t>
            </w:r>
          </w:p>
        </w:tc>
        <w:tc>
          <w:tcPr>
            <w:tcW w:w="1080" w:type="dxa"/>
            <w:vAlign w:val="center"/>
          </w:tcPr>
          <w:p w14:paraId="3F20C420">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单  价</w:t>
            </w:r>
          </w:p>
          <w:p w14:paraId="6DE8B770">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（元）</w:t>
            </w:r>
          </w:p>
        </w:tc>
        <w:tc>
          <w:tcPr>
            <w:tcW w:w="1440" w:type="dxa"/>
            <w:vAlign w:val="center"/>
          </w:tcPr>
          <w:p w14:paraId="7D694C58">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金  额</w:t>
            </w:r>
          </w:p>
          <w:p w14:paraId="05854FA4">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（元）</w:t>
            </w:r>
          </w:p>
        </w:tc>
      </w:tr>
      <w:tr w14:paraId="694A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9540" w:type="dxa"/>
            <w:gridSpan w:val="9"/>
            <w:vAlign w:val="center"/>
          </w:tcPr>
          <w:p w14:paraId="33B6086C">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详细内容见“</w:t>
            </w:r>
            <w:r>
              <w:rPr>
                <w:rFonts w:hint="eastAsia" w:ascii="宋体" w:hAnsi="宋体"/>
                <w:b/>
                <w:color w:val="auto"/>
                <w:szCs w:val="21"/>
                <w:highlight w:val="none"/>
              </w:rPr>
              <w:t>投标报价明细表</w:t>
            </w:r>
            <w:r>
              <w:rPr>
                <w:rFonts w:hint="eastAsia" w:ascii="宋体" w:hAnsi="宋体"/>
                <w:color w:val="auto"/>
                <w:szCs w:val="21"/>
                <w:highlight w:val="none"/>
              </w:rPr>
              <w:t>”</w:t>
            </w:r>
          </w:p>
        </w:tc>
      </w:tr>
      <w:tr w14:paraId="5C62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540" w:type="dxa"/>
            <w:gridSpan w:val="9"/>
            <w:vAlign w:val="center"/>
          </w:tcPr>
          <w:p w14:paraId="6943BDC8">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人民币合计金额（大写）                          （小写）                 </w:t>
            </w:r>
          </w:p>
        </w:tc>
      </w:tr>
    </w:tbl>
    <w:p w14:paraId="1A3A0FF8">
      <w:pPr>
        <w:pStyle w:val="29"/>
        <w:spacing w:line="420" w:lineRule="exact"/>
        <w:ind w:firstLine="420" w:firstLineChars="200"/>
        <w:rPr>
          <w:rFonts w:hint="eastAsia" w:hAnsi="宋体"/>
          <w:color w:val="auto"/>
          <w:highlight w:val="none"/>
        </w:rPr>
      </w:pPr>
      <w:r>
        <w:rPr>
          <w:rFonts w:hint="eastAsia" w:hAnsi="宋体"/>
          <w:color w:val="auto"/>
          <w:highlight w:val="none"/>
        </w:rPr>
        <w:t>2.合同合计金额包括货物价款，备件、专用工具、安装、调试、检验、技术培训及技术资料和包装、运输等全部费用。如招投标文件对其另有规定的，从其规定。</w:t>
      </w:r>
    </w:p>
    <w:p w14:paraId="5A2AD1E6">
      <w:pPr>
        <w:snapToGrid w:val="0"/>
        <w:spacing w:line="3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第二条　质量保证</w:t>
      </w:r>
    </w:p>
    <w:p w14:paraId="33C340BB">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1.乙方所提供的货物型号、技术规格、技术参数等质量必须与招投标文件和承诺相一致。乙方提供的节能和环保产品必须是列入政府采购清单的产品。</w:t>
      </w:r>
    </w:p>
    <w:p w14:paraId="42419C7A">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2.乙方所提供的货物必须是全新、未使用的原装产品，且在正常安装、使用和保养条件下，其使用寿命期内各项指标均达到质量要求。</w:t>
      </w:r>
    </w:p>
    <w:p w14:paraId="1FDCE816">
      <w:pPr>
        <w:snapToGrid w:val="0"/>
        <w:spacing w:line="3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第三条　权利保证</w:t>
      </w:r>
    </w:p>
    <w:p w14:paraId="3296504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乙方应保证所提供货物在使用时不会侵犯任何第三方的专利权、商标权、工业设计权或其他权利。</w:t>
      </w:r>
    </w:p>
    <w:p w14:paraId="07C41C4D">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乙方应按招标文件规定的时间向甲方提供使用货物的有关技术资料。</w:t>
      </w:r>
    </w:p>
    <w:p w14:paraId="488BB10D">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8345885">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乙方保证所交付的货物的所有权完全属于乙方且无任何抵押、质押、查封等产权瑕疵。</w:t>
      </w:r>
    </w:p>
    <w:p w14:paraId="6314B87A">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第四条　包装和运输</w:t>
      </w:r>
    </w:p>
    <w:p w14:paraId="514122E9">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1.乙方提供的货物均应按招投标文件要求的包装材料、包装标准、包装方式进行包装，每一包装单元内应附详细的装箱单和质量合格证。</w:t>
      </w:r>
    </w:p>
    <w:p w14:paraId="0990933D">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2.货物的运输方式：</w:t>
      </w:r>
      <w:r>
        <w:rPr>
          <w:rFonts w:hint="eastAsia" w:ascii="宋体" w:hAnsi="宋体"/>
          <w:color w:val="auto"/>
          <w:szCs w:val="21"/>
          <w:highlight w:val="none"/>
          <w:u w:val="single"/>
        </w:rPr>
        <w:t xml:space="preserve">   乙方自定  。</w:t>
      </w:r>
    </w:p>
    <w:p w14:paraId="2967DD4C">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3.乙方负责货物运输，货物运输合理损耗及计算方法：</w:t>
      </w:r>
      <w:r>
        <w:rPr>
          <w:rFonts w:hint="eastAsia" w:ascii="宋体" w:hAnsi="宋体"/>
          <w:color w:val="auto"/>
          <w:szCs w:val="21"/>
          <w:highlight w:val="none"/>
          <w:u w:val="single"/>
        </w:rPr>
        <w:t xml:space="preserve">        由乙方负责   。</w:t>
      </w:r>
    </w:p>
    <w:p w14:paraId="6B89F7CA">
      <w:pPr>
        <w:snapToGrid w:val="0"/>
        <w:spacing w:line="3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第五条　交付和验收</w:t>
      </w:r>
    </w:p>
    <w:p w14:paraId="28F4714D">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1.交付使用时间：</w:t>
      </w:r>
      <w:r>
        <w:rPr>
          <w:rFonts w:hint="eastAsia" w:ascii="宋体" w:hAnsi="宋体"/>
          <w:color w:val="auto"/>
          <w:szCs w:val="21"/>
          <w:highlight w:val="none"/>
          <w:u w:val="single"/>
        </w:rPr>
        <w:t xml:space="preserve">按乙方投标文件中所承诺的时间 </w:t>
      </w:r>
      <w:r>
        <w:rPr>
          <w:rFonts w:hint="eastAsia" w:ascii="宋体" w:hAnsi="宋体"/>
          <w:color w:val="auto"/>
          <w:szCs w:val="21"/>
          <w:highlight w:val="none"/>
        </w:rPr>
        <w:t>、地点：</w:t>
      </w:r>
      <w:r>
        <w:rPr>
          <w:rFonts w:hint="eastAsia" w:ascii="宋体" w:hAnsi="宋体"/>
          <w:color w:val="auto"/>
          <w:szCs w:val="21"/>
          <w:highlight w:val="none"/>
          <w:u w:val="single"/>
        </w:rPr>
        <w:t xml:space="preserve"> 甲方指定地点。</w:t>
      </w:r>
    </w:p>
    <w:p w14:paraId="2BA8824A">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2.乙方提供不符合招投标文件和本合同规定的货物，甲方有权拒绝接受。</w:t>
      </w:r>
    </w:p>
    <w:p w14:paraId="46AE2219">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3.乙方应将所提供货物的装箱清单、用户手册、原厂保修卡、随机资料、工具和备品、备件等交付给甲方，如有缺失应及时补齐，否则视为逾期交货。</w:t>
      </w:r>
    </w:p>
    <w:p w14:paraId="48E4ADE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4.甲方应当在到货并安装、调试完后七个工作日内进行验收，逾期不验收的，乙方可视同验收合格。验收合格后由甲乙双方签署货物验收单并加盖采购单位公章，甲乙双方各执一份。</w:t>
      </w:r>
    </w:p>
    <w:p w14:paraId="73049465">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采购人委托本中心组织的验收项目，其验收时间以该项目验收方案确定的验收时间为准，验收结果以该项目验收报告结论为准。在验收过程中发现乙方有违约问题，可暂缓资金结算，待违约问题解决后，方可办理资金结算事宜。</w:t>
      </w:r>
    </w:p>
    <w:p w14:paraId="19F17DA1">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6.甲方对验收有异议的，在验收后五个工作日内以书面形式向乙方提出，乙方应自收到甲方书面异议后</w:t>
      </w:r>
      <w:r>
        <w:rPr>
          <w:rFonts w:hint="eastAsia" w:ascii="宋体" w:hAnsi="宋体"/>
          <w:color w:val="auto"/>
          <w:szCs w:val="21"/>
          <w:highlight w:val="none"/>
          <w:u w:val="single"/>
        </w:rPr>
        <w:t xml:space="preserve">                            </w:t>
      </w:r>
      <w:r>
        <w:rPr>
          <w:rFonts w:hint="default" w:ascii="宋体" w:hAnsi="宋体"/>
          <w:color w:val="auto"/>
          <w:szCs w:val="21"/>
          <w:highlight w:val="none"/>
          <w:u w:val="single"/>
        </w:rPr>
        <w:t xml:space="preserve">  </w:t>
      </w:r>
      <w:r>
        <w:rPr>
          <w:rFonts w:hint="eastAsia" w:ascii="宋体" w:hAnsi="宋体"/>
          <w:color w:val="auto"/>
          <w:szCs w:val="21"/>
          <w:highlight w:val="none"/>
        </w:rPr>
        <w:t>日内及时予以解决。</w:t>
      </w:r>
    </w:p>
    <w:p w14:paraId="104D60AA">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第六条　安装和培训</w:t>
      </w:r>
    </w:p>
    <w:p w14:paraId="6DE50FB8">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1.甲方应提供必要安装条件（如场地、电源、水源等）。</w:t>
      </w:r>
    </w:p>
    <w:p w14:paraId="60716B99">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2.乙方负责甲方有关人员的培训。培训时间、地点：</w:t>
      </w:r>
      <w:r>
        <w:rPr>
          <w:rFonts w:hint="eastAsia" w:ascii="宋体" w:hAnsi="宋体"/>
          <w:color w:val="auto"/>
          <w:szCs w:val="21"/>
          <w:highlight w:val="none"/>
          <w:u w:val="single"/>
        </w:rPr>
        <w:t xml:space="preserve">        由甲方决定     。</w:t>
      </w:r>
    </w:p>
    <w:p w14:paraId="00A3E9DC">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第七条  售后服务、保修期</w:t>
      </w:r>
    </w:p>
    <w:p w14:paraId="294885A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1.乙方应按照国家有关法律法规和“三包”规定以及招投标文件和本合同所附的《服务承诺》，为甲方提供售后服务。</w:t>
      </w:r>
    </w:p>
    <w:p w14:paraId="196C24B9">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2.货物保修期：</w:t>
      </w:r>
      <w:r>
        <w:rPr>
          <w:rFonts w:hint="eastAsia" w:ascii="宋体" w:hAnsi="宋体"/>
          <w:b/>
          <w:color w:val="auto"/>
          <w:szCs w:val="21"/>
          <w:highlight w:val="none"/>
          <w:u w:val="single"/>
        </w:rPr>
        <w:t xml:space="preserve">按乙方承诺，但是不得低于国家相关标准   </w:t>
      </w:r>
      <w:r>
        <w:rPr>
          <w:rFonts w:hint="eastAsia" w:ascii="宋体" w:hAnsi="宋体"/>
          <w:color w:val="auto"/>
          <w:szCs w:val="21"/>
          <w:highlight w:val="none"/>
        </w:rPr>
        <w:t>。</w:t>
      </w:r>
    </w:p>
    <w:p w14:paraId="477A625E">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3.乙方提供的服务承诺和售后服务及保修期责任等其它具体约定事项。（见合同附件）</w:t>
      </w:r>
    </w:p>
    <w:p w14:paraId="14F74850">
      <w:pPr>
        <w:snapToGrid w:val="0"/>
        <w:spacing w:line="3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第八条　付款方式和保证金</w:t>
      </w:r>
    </w:p>
    <w:p w14:paraId="054F93C1">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1.当采购数量与实际使用数量不一致时，乙方应根据实际使用量供货，合同的最终结算金额按实际使用量乘以</w:t>
      </w:r>
      <w:r>
        <w:rPr>
          <w:rFonts w:ascii="宋体" w:hAnsi="宋体"/>
          <w:color w:val="auto"/>
          <w:szCs w:val="21"/>
          <w:highlight w:val="none"/>
        </w:rPr>
        <w:t>中标</w:t>
      </w:r>
      <w:r>
        <w:rPr>
          <w:rFonts w:hint="eastAsia" w:ascii="宋体" w:hAnsi="宋体"/>
          <w:color w:val="auto"/>
          <w:szCs w:val="21"/>
          <w:highlight w:val="none"/>
        </w:rPr>
        <w:t>单价进行计算。</w:t>
      </w:r>
    </w:p>
    <w:p w14:paraId="0D0B7D45">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2.资金性质：</w:t>
      </w:r>
      <w:r>
        <w:rPr>
          <w:rFonts w:hint="eastAsia" w:ascii="宋体" w:hAnsi="宋体"/>
          <w:color w:val="auto"/>
          <w:szCs w:val="21"/>
          <w:highlight w:val="none"/>
          <w:u w:val="single"/>
        </w:rPr>
        <w:t>财政性资金</w:t>
      </w:r>
      <w:r>
        <w:rPr>
          <w:rFonts w:hint="eastAsia" w:ascii="宋体" w:hAnsi="宋体"/>
          <w:color w:val="auto"/>
          <w:szCs w:val="21"/>
          <w:highlight w:val="none"/>
        </w:rPr>
        <w:t>。</w:t>
      </w:r>
    </w:p>
    <w:p w14:paraId="6F9F4750">
      <w:pPr>
        <w:widowControl/>
        <w:ind w:firstLine="420"/>
        <w:jc w:val="left"/>
        <w:textAlignment w:val="center"/>
        <w:rPr>
          <w:rFonts w:hint="eastAsia" w:ascii="宋体" w:hAnsi="宋体"/>
          <w:color w:val="auto"/>
          <w:szCs w:val="21"/>
          <w:highlight w:val="none"/>
        </w:rPr>
      </w:pPr>
      <w:r>
        <w:rPr>
          <w:rFonts w:hint="eastAsia" w:ascii="宋体" w:hAnsi="宋体"/>
          <w:color w:val="auto"/>
          <w:szCs w:val="21"/>
          <w:highlight w:val="none"/>
        </w:rPr>
        <w:t>3.付款方式：</w:t>
      </w:r>
    </w:p>
    <w:p w14:paraId="367F05FC">
      <w:pPr>
        <w:widowControl/>
        <w:ind w:firstLine="42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预付款；合同生效、担保措施生效以及实施条件具备后10个</w:t>
      </w:r>
      <w:r>
        <w:rPr>
          <w:rFonts w:hint="eastAsia" w:ascii="宋体" w:hAnsi="宋体" w:eastAsia="宋体" w:cs="宋体"/>
          <w:color w:val="auto"/>
          <w:kern w:val="0"/>
          <w:sz w:val="21"/>
          <w:szCs w:val="21"/>
          <w:highlight w:val="none"/>
          <w:lang w:val="en-US" w:eastAsia="zh-CN"/>
        </w:rPr>
        <w:t>工作</w:t>
      </w:r>
      <w:r>
        <w:rPr>
          <w:rFonts w:hint="eastAsia" w:ascii="宋体" w:hAnsi="宋体" w:eastAsia="宋体" w:cs="宋体"/>
          <w:color w:val="auto"/>
          <w:kern w:val="0"/>
          <w:sz w:val="21"/>
          <w:szCs w:val="21"/>
          <w:highlight w:val="none"/>
        </w:rPr>
        <w:t>日内，支付合同总金额的30%</w:t>
      </w:r>
      <w:r>
        <w:rPr>
          <w:rFonts w:hint="eastAsia" w:ascii="宋体" w:hAnsi="宋体" w:eastAsia="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中标人提供</w:t>
      </w:r>
      <w:r>
        <w:rPr>
          <w:rFonts w:hint="eastAsia" w:ascii="宋体" w:hAnsi="宋体" w:eastAsia="宋体" w:cs="宋体"/>
          <w:b/>
          <w:bCs/>
          <w:color w:val="auto"/>
          <w:kern w:val="0"/>
          <w:sz w:val="21"/>
          <w:szCs w:val="21"/>
          <w:highlight w:val="none"/>
        </w:rPr>
        <w:t>等额预付款担保</w:t>
      </w:r>
      <w:r>
        <w:rPr>
          <w:rFonts w:hint="eastAsia" w:ascii="宋体" w:hAnsi="宋体" w:eastAsia="宋体" w:cs="宋体"/>
          <w:b/>
          <w:bCs/>
          <w:color w:val="auto"/>
          <w:kern w:val="0"/>
          <w:sz w:val="21"/>
          <w:szCs w:val="21"/>
          <w:highlight w:val="none"/>
          <w:lang w:val="en-US" w:eastAsia="zh-CN"/>
        </w:rPr>
        <w:t>函</w:t>
      </w:r>
      <w:r>
        <w:rPr>
          <w:rFonts w:hint="eastAsia" w:ascii="宋体" w:hAnsi="宋体" w:eastAsia="宋体" w:cs="宋体"/>
          <w:b/>
          <w:bCs/>
          <w:color w:val="auto"/>
          <w:kern w:val="0"/>
          <w:sz w:val="21"/>
          <w:szCs w:val="21"/>
          <w:highlight w:val="none"/>
        </w:rPr>
        <w:t>（预付款担保的有效期至项目验收合格之日止）</w:t>
      </w:r>
      <w:r>
        <w:rPr>
          <w:rFonts w:hint="eastAsia" w:ascii="宋体" w:hAnsi="宋体" w:eastAsia="宋体" w:cs="宋体"/>
          <w:b/>
          <w:bCs/>
          <w:color w:val="auto"/>
          <w:kern w:val="0"/>
          <w:sz w:val="21"/>
          <w:szCs w:val="21"/>
          <w:highlight w:val="none"/>
          <w:lang w:val="en-US" w:eastAsia="zh-CN"/>
        </w:rPr>
        <w:t>或银行转账</w:t>
      </w:r>
      <w:r>
        <w:rPr>
          <w:rFonts w:hint="eastAsia" w:ascii="宋体" w:hAnsi="宋体" w:eastAsia="宋体" w:cs="宋体"/>
          <w:color w:val="auto"/>
          <w:kern w:val="0"/>
          <w:sz w:val="21"/>
          <w:szCs w:val="21"/>
          <w:highlight w:val="none"/>
        </w:rPr>
        <w:t>；项目实施完毕且验收通过后10个</w:t>
      </w:r>
      <w:r>
        <w:rPr>
          <w:rFonts w:hint="eastAsia" w:ascii="宋体" w:hAnsi="宋体" w:eastAsia="宋体" w:cs="宋体"/>
          <w:color w:val="auto"/>
          <w:kern w:val="0"/>
          <w:sz w:val="21"/>
          <w:szCs w:val="21"/>
          <w:highlight w:val="none"/>
          <w:lang w:val="en-US" w:eastAsia="zh-CN"/>
        </w:rPr>
        <w:t>工作</w:t>
      </w:r>
      <w:r>
        <w:rPr>
          <w:rFonts w:hint="eastAsia" w:ascii="宋体" w:hAnsi="宋体" w:eastAsia="宋体" w:cs="宋体"/>
          <w:color w:val="auto"/>
          <w:kern w:val="0"/>
          <w:sz w:val="21"/>
          <w:szCs w:val="21"/>
          <w:highlight w:val="none"/>
        </w:rPr>
        <w:t>日内，支付至合同总金额的100%。</w:t>
      </w:r>
    </w:p>
    <w:p w14:paraId="42A6C248">
      <w:pPr>
        <w:widowControl/>
        <w:jc w:val="left"/>
        <w:textAlignment w:val="center"/>
        <w:rPr>
          <w:rFonts w:hint="eastAsia" w:ascii="宋体" w:hAnsi="宋体"/>
          <w:color w:val="auto"/>
          <w:szCs w:val="21"/>
          <w:highlight w:val="none"/>
          <w:u w:val="single"/>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付款前，</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应向</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开具等额有效的增值税</w:t>
      </w:r>
      <w:r>
        <w:rPr>
          <w:rFonts w:hint="eastAsia" w:ascii="宋体" w:hAnsi="宋体" w:eastAsia="宋体" w:cs="宋体"/>
          <w:color w:val="auto"/>
          <w:kern w:val="0"/>
          <w:sz w:val="21"/>
          <w:szCs w:val="21"/>
          <w:highlight w:val="none"/>
          <w:lang w:val="en-US" w:eastAsia="zh-CN"/>
        </w:rPr>
        <w:t>专用</w:t>
      </w:r>
      <w:r>
        <w:rPr>
          <w:rFonts w:hint="eastAsia" w:ascii="宋体" w:hAnsi="宋体" w:eastAsia="宋体" w:cs="宋体"/>
          <w:color w:val="auto"/>
          <w:kern w:val="0"/>
          <w:sz w:val="21"/>
          <w:szCs w:val="21"/>
          <w:highlight w:val="none"/>
        </w:rPr>
        <w:t>发票，</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未收到合格有效发票的，有权不予支付相应款项直至</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提供合格发票，并不承担延迟付款责任。发票认证通过是付款的必要前提之一。</w:t>
      </w:r>
    </w:p>
    <w:p w14:paraId="2AA8FFDF">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第九条 履约保证金 ：</w:t>
      </w:r>
    </w:p>
    <w:p w14:paraId="0CAAF371">
      <w:pPr>
        <w:snapToGrid w:val="0"/>
        <w:spacing w:line="360" w:lineRule="exact"/>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1.履约保证金金额：中标金额的 5 %。（若</w:t>
      </w:r>
      <w:r>
        <w:rPr>
          <w:rFonts w:hint="eastAsia" w:ascii="宋体" w:hAnsi="宋体"/>
          <w:b w:val="0"/>
          <w:bCs/>
          <w:color w:val="auto"/>
          <w:szCs w:val="21"/>
          <w:highlight w:val="none"/>
          <w:lang w:eastAsia="zh-CN"/>
        </w:rPr>
        <w:t>乙方</w:t>
      </w:r>
      <w:r>
        <w:rPr>
          <w:rFonts w:hint="eastAsia" w:ascii="宋体" w:hAnsi="宋体"/>
          <w:b w:val="0"/>
          <w:bCs/>
          <w:color w:val="auto"/>
          <w:szCs w:val="21"/>
          <w:highlight w:val="none"/>
        </w:rPr>
        <w:t>被认定为中小企业的，履约保证金数额将按中标金额的 2</w:t>
      </w:r>
      <w:r>
        <w:rPr>
          <w:rFonts w:hint="eastAsia" w:ascii="宋体" w:hAnsi="宋体"/>
          <w:b w:val="0"/>
          <w:bCs/>
          <w:color w:val="auto"/>
          <w:szCs w:val="21"/>
          <w:highlight w:val="none"/>
          <w:lang w:val="en-US" w:eastAsia="zh-CN"/>
        </w:rPr>
        <w:t xml:space="preserve"> </w:t>
      </w:r>
      <w:r>
        <w:rPr>
          <w:rFonts w:hint="eastAsia" w:ascii="宋体" w:hAnsi="宋体"/>
          <w:b w:val="0"/>
          <w:bCs/>
          <w:color w:val="auto"/>
          <w:szCs w:val="21"/>
          <w:highlight w:val="none"/>
        </w:rPr>
        <w:t>%收取）</w:t>
      </w:r>
    </w:p>
    <w:p w14:paraId="5FCAC14E">
      <w:pPr>
        <w:snapToGrid w:val="0"/>
        <w:spacing w:line="360" w:lineRule="exact"/>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2.履约保证金递交方式：银行转账、电汇、网上支付、支票、汇票、本票、保函等非现金形式。</w:t>
      </w:r>
    </w:p>
    <w:p w14:paraId="7D225AB0">
      <w:pPr>
        <w:snapToGrid w:val="0"/>
        <w:spacing w:line="360" w:lineRule="exact"/>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3.履约保证金递交时间：签订合同前5个工作日内由</w:t>
      </w:r>
      <w:r>
        <w:rPr>
          <w:rFonts w:hint="eastAsia" w:ascii="宋体" w:hAnsi="宋体"/>
          <w:b w:val="0"/>
          <w:bCs/>
          <w:color w:val="auto"/>
          <w:szCs w:val="21"/>
          <w:highlight w:val="none"/>
          <w:lang w:eastAsia="zh-CN"/>
        </w:rPr>
        <w:t>乙方</w:t>
      </w:r>
      <w:r>
        <w:rPr>
          <w:rFonts w:hint="eastAsia" w:ascii="宋体" w:hAnsi="宋体"/>
          <w:b w:val="0"/>
          <w:bCs/>
          <w:color w:val="auto"/>
          <w:szCs w:val="21"/>
          <w:highlight w:val="none"/>
        </w:rPr>
        <w:t>转入</w:t>
      </w:r>
      <w:r>
        <w:rPr>
          <w:rFonts w:hint="eastAsia" w:ascii="宋体" w:hAnsi="宋体"/>
          <w:b w:val="0"/>
          <w:bCs/>
          <w:color w:val="auto"/>
          <w:szCs w:val="21"/>
          <w:highlight w:val="none"/>
          <w:lang w:eastAsia="zh-CN"/>
        </w:rPr>
        <w:t>甲方</w:t>
      </w:r>
      <w:r>
        <w:rPr>
          <w:rFonts w:hint="eastAsia" w:ascii="宋体" w:hAnsi="宋体"/>
          <w:b w:val="0"/>
          <w:bCs/>
          <w:color w:val="auto"/>
          <w:szCs w:val="21"/>
          <w:highlight w:val="none"/>
        </w:rPr>
        <w:t>指定保证金账户。</w:t>
      </w:r>
    </w:p>
    <w:p w14:paraId="1B098FBD">
      <w:pPr>
        <w:snapToGrid w:val="0"/>
        <w:spacing w:line="360" w:lineRule="exact"/>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4.履约保证金退还：履约完成并验收合格后无质量问题，</w:t>
      </w:r>
      <w:r>
        <w:rPr>
          <w:rFonts w:hint="eastAsia" w:ascii="宋体" w:hAnsi="宋体" w:eastAsia="宋体" w:cs="Times New Roman"/>
          <w:bCs/>
          <w:color w:val="auto"/>
          <w:kern w:val="2"/>
          <w:sz w:val="21"/>
          <w:szCs w:val="21"/>
          <w:highlight w:val="none"/>
          <w:lang w:val="en-US" w:eastAsia="zh-CN"/>
        </w:rPr>
        <w:t>且待</w:t>
      </w:r>
      <w:r>
        <w:rPr>
          <w:rFonts w:hint="eastAsia" w:ascii="宋体" w:hAnsi="宋体" w:eastAsia="宋体" w:cs="Times New Roman"/>
          <w:bCs/>
          <w:color w:val="auto"/>
          <w:kern w:val="2"/>
          <w:sz w:val="21"/>
          <w:szCs w:val="21"/>
          <w:highlight w:val="none"/>
          <w:lang w:eastAsia="zh-CN"/>
        </w:rPr>
        <w:t>中标</w:t>
      </w:r>
      <w:r>
        <w:rPr>
          <w:rFonts w:hint="eastAsia" w:ascii="宋体" w:hAnsi="宋体" w:eastAsia="宋体" w:cs="Times New Roman"/>
          <w:bCs/>
          <w:color w:val="auto"/>
          <w:kern w:val="2"/>
          <w:sz w:val="21"/>
          <w:szCs w:val="21"/>
          <w:highlight w:val="none"/>
        </w:rPr>
        <w:t>供应商</w:t>
      </w:r>
      <w:r>
        <w:rPr>
          <w:rFonts w:hint="eastAsia" w:ascii="宋体" w:hAnsi="宋体" w:eastAsia="宋体" w:cs="Times New Roman"/>
          <w:bCs/>
          <w:color w:val="auto"/>
          <w:kern w:val="2"/>
          <w:sz w:val="21"/>
          <w:szCs w:val="21"/>
          <w:highlight w:val="none"/>
          <w:lang w:val="en-US" w:eastAsia="zh-CN"/>
        </w:rPr>
        <w:t>履行完质保义务后无息退还，</w:t>
      </w:r>
      <w:r>
        <w:rPr>
          <w:rFonts w:hint="eastAsia" w:ascii="宋体" w:hAnsi="宋体"/>
          <w:b w:val="0"/>
          <w:bCs/>
          <w:color w:val="auto"/>
          <w:szCs w:val="21"/>
          <w:highlight w:val="none"/>
          <w:lang w:eastAsia="zh-CN"/>
        </w:rPr>
        <w:t>乙方</w:t>
      </w:r>
      <w:r>
        <w:rPr>
          <w:rFonts w:hint="eastAsia" w:ascii="宋体" w:hAnsi="宋体"/>
          <w:b w:val="0"/>
          <w:bCs/>
          <w:color w:val="auto"/>
          <w:szCs w:val="21"/>
          <w:highlight w:val="none"/>
        </w:rPr>
        <w:t>提供《政府采购项目履约保证金退付意见书》及《政府采购项目合同验收报告》，向</w:t>
      </w:r>
      <w:r>
        <w:rPr>
          <w:rFonts w:hint="eastAsia" w:ascii="宋体" w:hAnsi="宋体"/>
          <w:b w:val="0"/>
          <w:bCs/>
          <w:color w:val="auto"/>
          <w:szCs w:val="21"/>
          <w:highlight w:val="none"/>
          <w:lang w:eastAsia="zh-CN"/>
        </w:rPr>
        <w:t>甲方</w:t>
      </w:r>
      <w:r>
        <w:rPr>
          <w:rFonts w:hint="eastAsia" w:ascii="宋体" w:hAnsi="宋体"/>
          <w:b w:val="0"/>
          <w:bCs/>
          <w:color w:val="auto"/>
          <w:szCs w:val="21"/>
          <w:highlight w:val="none"/>
        </w:rPr>
        <w:t>提出书面申请退还，</w:t>
      </w:r>
      <w:r>
        <w:rPr>
          <w:rFonts w:hint="eastAsia" w:ascii="宋体" w:hAnsi="宋体"/>
          <w:b w:val="0"/>
          <w:bCs/>
          <w:color w:val="auto"/>
          <w:szCs w:val="21"/>
          <w:highlight w:val="none"/>
          <w:lang w:eastAsia="zh-CN"/>
        </w:rPr>
        <w:t>甲方</w:t>
      </w:r>
      <w:r>
        <w:rPr>
          <w:rFonts w:hint="eastAsia" w:ascii="宋体" w:hAnsi="宋体"/>
          <w:b w:val="0"/>
          <w:bCs/>
          <w:color w:val="auto"/>
          <w:szCs w:val="21"/>
          <w:highlight w:val="none"/>
        </w:rPr>
        <w:t>在收到申请后十个工作日内以银行转账方式无息退还。保证金指定账户：</w:t>
      </w:r>
    </w:p>
    <w:p w14:paraId="023816E4">
      <w:pPr>
        <w:snapToGrid w:val="0"/>
        <w:spacing w:line="360" w:lineRule="exact"/>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开户名：广西建设职业技术学院</w:t>
      </w:r>
    </w:p>
    <w:p w14:paraId="1678942B">
      <w:pPr>
        <w:snapToGrid w:val="0"/>
        <w:spacing w:line="360" w:lineRule="exact"/>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开户行：建行南宁市高新支行</w:t>
      </w:r>
    </w:p>
    <w:p w14:paraId="1CEE0202">
      <w:pPr>
        <w:snapToGrid w:val="0"/>
        <w:spacing w:line="360" w:lineRule="exact"/>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账  号：45001604850059000000</w:t>
      </w:r>
    </w:p>
    <w:p w14:paraId="2FE68AF1">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第十条 税费</w:t>
      </w:r>
    </w:p>
    <w:p w14:paraId="3194DE0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本合同执行中相关的一切税费均由乙方负担。</w:t>
      </w:r>
    </w:p>
    <w:p w14:paraId="61FF11FC">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第十一条 质量保证及售后服务</w:t>
      </w:r>
    </w:p>
    <w:p w14:paraId="6BF0BAA7">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乙方应按招标文件规定的货物性能、技术要求、质量标准向甲方提供未经使用的全新产品。乙方提供货物的质量保证期按交货验收合格之日起计（期限</w:t>
      </w:r>
      <w:r>
        <w:rPr>
          <w:rFonts w:hint="eastAsia" w:ascii="宋体" w:hAnsi="宋体"/>
          <w:color w:val="auto"/>
          <w:szCs w:val="21"/>
          <w:highlight w:val="none"/>
          <w:lang w:val="en-US" w:eastAsia="zh-CN"/>
        </w:rPr>
        <w:t>以采购需求的要求、乙方承诺、制造商质保中较长者为准</w:t>
      </w:r>
      <w:r>
        <w:rPr>
          <w:rFonts w:hint="eastAsia" w:ascii="宋体" w:hAnsi="宋体"/>
          <w:color w:val="auto"/>
          <w:szCs w:val="21"/>
          <w:highlight w:val="none"/>
        </w:rPr>
        <w:t>）。在保证期内因货物本身的质量问题发生故障，乙方应负责免费修理和更换零部件。对达不到技术要求者，根据实际情况，甲方可按以下办法处理：</w:t>
      </w:r>
    </w:p>
    <w:p w14:paraId="296F9A60">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⑴更换：由乙方承担所发生的全部费用。</w:t>
      </w:r>
    </w:p>
    <w:p w14:paraId="3C489CA6">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⑵贬值处理：由甲乙双方合议定价。</w:t>
      </w:r>
    </w:p>
    <w:p w14:paraId="47A6DE3F">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⑶退货处理：乙方应退还甲方支付的合同款，同时应承担该货物的直接费用（运输、保险、检验、货款利息及银行手续费等）。</w:t>
      </w:r>
    </w:p>
    <w:p w14:paraId="5F13C8A1">
      <w:pPr>
        <w:pStyle w:val="29"/>
        <w:snapToGrid w:val="0"/>
        <w:spacing w:before="120" w:after="120" w:line="360" w:lineRule="exact"/>
        <w:ind w:firstLine="420" w:firstLineChars="200"/>
        <w:rPr>
          <w:rFonts w:hint="eastAsia" w:hAnsi="宋体"/>
          <w:color w:val="auto"/>
          <w:highlight w:val="none"/>
        </w:rPr>
      </w:pPr>
      <w:r>
        <w:rPr>
          <w:rFonts w:hint="eastAsia" w:hAnsi="宋体"/>
          <w:color w:val="auto"/>
          <w:highlight w:val="none"/>
        </w:rPr>
        <w:t>2. 如在使用过程中发生质量问题，乙方在接到甲方通知后在</w:t>
      </w:r>
      <w:r>
        <w:rPr>
          <w:rFonts w:hint="eastAsia" w:hAnsi="宋体"/>
          <w:color w:val="auto"/>
          <w:highlight w:val="none"/>
          <w:u w:val="single"/>
        </w:rPr>
        <w:t xml:space="preserve">         </w:t>
      </w:r>
      <w:r>
        <w:rPr>
          <w:rFonts w:hint="eastAsia" w:hAnsi="宋体"/>
          <w:color w:val="auto"/>
          <w:highlight w:val="none"/>
        </w:rPr>
        <w:t>小时内到达甲方现场。</w:t>
      </w:r>
    </w:p>
    <w:p w14:paraId="0F94FA15">
      <w:pPr>
        <w:pStyle w:val="29"/>
        <w:snapToGrid w:val="0"/>
        <w:spacing w:before="120" w:after="120" w:line="360" w:lineRule="exact"/>
        <w:ind w:firstLine="420" w:firstLineChars="200"/>
        <w:rPr>
          <w:rFonts w:hint="eastAsia" w:hAnsi="宋体"/>
          <w:color w:val="auto"/>
          <w:highlight w:val="none"/>
        </w:rPr>
      </w:pPr>
      <w:r>
        <w:rPr>
          <w:rFonts w:hint="eastAsia" w:hAnsi="宋体"/>
          <w:color w:val="auto"/>
          <w:highlight w:val="none"/>
        </w:rPr>
        <w:t>3. 在质保期内，乙方应对货物出现的质量及安全问题负责处理解决并承担一切费用。</w:t>
      </w:r>
    </w:p>
    <w:p w14:paraId="5EA9B617">
      <w:pPr>
        <w:pStyle w:val="29"/>
        <w:snapToGrid w:val="0"/>
        <w:spacing w:before="120" w:after="120" w:line="360" w:lineRule="exact"/>
        <w:ind w:firstLine="420" w:firstLineChars="200"/>
        <w:rPr>
          <w:rFonts w:hint="eastAsia" w:hAnsi="宋体"/>
          <w:color w:val="auto"/>
          <w:highlight w:val="none"/>
        </w:rPr>
      </w:pPr>
      <w:r>
        <w:rPr>
          <w:rFonts w:hint="eastAsia" w:hAnsi="宋体"/>
          <w:color w:val="auto"/>
          <w:highlight w:val="none"/>
        </w:rPr>
        <w:t>4.上述的货物因人为因素出现的故障不在免费保修范围内。超过保修期的机器设备，终生维修，维修时只收部件成本费。</w:t>
      </w:r>
    </w:p>
    <w:p w14:paraId="6B51BCBA">
      <w:pPr>
        <w:pStyle w:val="29"/>
        <w:snapToGrid w:val="0"/>
        <w:spacing w:before="120" w:after="120" w:line="360" w:lineRule="exact"/>
        <w:ind w:firstLine="413" w:firstLineChars="196"/>
        <w:rPr>
          <w:rFonts w:hint="eastAsia" w:hAnsi="宋体"/>
          <w:b/>
          <w:color w:val="auto"/>
          <w:highlight w:val="none"/>
        </w:rPr>
      </w:pPr>
      <w:r>
        <w:rPr>
          <w:rFonts w:hint="eastAsia" w:hAnsi="宋体"/>
          <w:b/>
          <w:color w:val="auto"/>
          <w:highlight w:val="none"/>
        </w:rPr>
        <w:t>第十二条 调试和验收</w:t>
      </w:r>
    </w:p>
    <w:p w14:paraId="4DBEDB46">
      <w:pPr>
        <w:pStyle w:val="29"/>
        <w:snapToGrid w:val="0"/>
        <w:spacing w:before="120" w:after="120" w:line="360" w:lineRule="exact"/>
        <w:ind w:firstLine="420" w:firstLineChars="200"/>
        <w:jc w:val="left"/>
        <w:rPr>
          <w:rFonts w:hint="eastAsia" w:hAnsi="宋体"/>
          <w:color w:val="auto"/>
          <w:highlight w:val="none"/>
        </w:rPr>
      </w:pPr>
      <w:r>
        <w:rPr>
          <w:rFonts w:hint="eastAsia" w:hAnsi="宋体"/>
          <w:color w:val="auto"/>
          <w:highlight w:val="none"/>
        </w:rPr>
        <w:t>1. 甲方对乙方提交的货物依据招标文件上的技术规格要求和国家有关质量标准进行现场初步验收，外观、说明书符合招标文件技术要求的，给予签收，初步验收不合格的不予签收。货到后，</w:t>
      </w:r>
      <w:r>
        <w:rPr>
          <w:rFonts w:hint="eastAsia" w:hAnsi="宋体"/>
          <w:bCs/>
          <w:color w:val="auto"/>
          <w:highlight w:val="none"/>
        </w:rPr>
        <w:t>甲方应当在到货并安装、调试完后七个工作日内进行验收</w:t>
      </w:r>
      <w:r>
        <w:rPr>
          <w:rFonts w:hint="eastAsia" w:hAnsi="宋体"/>
          <w:color w:val="auto"/>
          <w:highlight w:val="none"/>
        </w:rPr>
        <w:t>。</w:t>
      </w:r>
    </w:p>
    <w:p w14:paraId="7FC45D6A">
      <w:pPr>
        <w:pStyle w:val="29"/>
        <w:snapToGrid w:val="0"/>
        <w:spacing w:before="120" w:after="120" w:line="360" w:lineRule="exact"/>
        <w:ind w:firstLine="420" w:firstLineChars="200"/>
        <w:rPr>
          <w:rFonts w:hint="eastAsia" w:hAnsi="宋体"/>
          <w:color w:val="auto"/>
          <w:highlight w:val="none"/>
        </w:rPr>
      </w:pPr>
      <w:r>
        <w:rPr>
          <w:rFonts w:hint="eastAsia" w:hAnsi="宋体"/>
          <w:color w:val="auto"/>
          <w:highlight w:val="none"/>
        </w:rPr>
        <w:t>2. 乙方交货前应对产品作出全面检查和对验收文件进行整理，并列出清单，作为甲方收货验收和使用的技术条件依据，检验的结果应随货物交甲方。</w:t>
      </w:r>
    </w:p>
    <w:p w14:paraId="010315CC">
      <w:pPr>
        <w:pStyle w:val="29"/>
        <w:snapToGrid w:val="0"/>
        <w:spacing w:before="120" w:after="120" w:line="360" w:lineRule="exact"/>
        <w:ind w:firstLine="420" w:firstLineChars="200"/>
        <w:rPr>
          <w:rFonts w:hint="eastAsia" w:hAnsi="宋体"/>
          <w:color w:val="auto"/>
          <w:highlight w:val="none"/>
          <w:u w:val="single"/>
        </w:rPr>
      </w:pPr>
      <w:r>
        <w:rPr>
          <w:rFonts w:hint="eastAsia" w:hAnsi="宋体"/>
          <w:color w:val="auto"/>
          <w:highlight w:val="none"/>
        </w:rPr>
        <w:t>3. 甲方对乙方提供的货物在使用前进行调试时，乙方需负责安装并培训甲方的使用操作人员，并协助甲方一起调试，直到符合技术要求，甲方才做最终验收。</w:t>
      </w:r>
    </w:p>
    <w:p w14:paraId="1BF4F226">
      <w:pPr>
        <w:pStyle w:val="29"/>
        <w:snapToGrid w:val="0"/>
        <w:spacing w:before="120" w:after="120" w:line="360" w:lineRule="exact"/>
        <w:ind w:firstLine="420" w:firstLineChars="200"/>
        <w:rPr>
          <w:rFonts w:hint="eastAsia" w:hAnsi="宋体"/>
          <w:color w:val="auto"/>
          <w:highlight w:val="none"/>
        </w:rPr>
      </w:pPr>
      <w:r>
        <w:rPr>
          <w:rFonts w:hint="eastAsia" w:hAnsi="宋体"/>
          <w:color w:val="auto"/>
          <w:highlight w:val="none"/>
        </w:rPr>
        <w:t>4. 对技术复杂的货物，甲方应请国家认可的专业检测机构参与初步验收及最终验收，并由其出具质量检测报告，检测相关费用由</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rPr>
        <w:t>方承担。</w:t>
      </w:r>
    </w:p>
    <w:p w14:paraId="19A72729">
      <w:pPr>
        <w:pStyle w:val="29"/>
        <w:snapToGrid w:val="0"/>
        <w:spacing w:before="120" w:after="120" w:line="360" w:lineRule="exact"/>
        <w:ind w:firstLine="420" w:firstLineChars="200"/>
        <w:rPr>
          <w:rFonts w:hint="eastAsia" w:hAnsi="宋体"/>
          <w:color w:val="auto"/>
          <w:highlight w:val="none"/>
        </w:rPr>
      </w:pPr>
      <w:r>
        <w:rPr>
          <w:rFonts w:hint="eastAsia" w:hAnsi="宋体"/>
          <w:color w:val="auto"/>
          <w:highlight w:val="none"/>
        </w:rPr>
        <w:t>5. 验收时乙方必须在现场，验收完毕后作出验收结果报告；验收费用由乙方负责。</w:t>
      </w:r>
    </w:p>
    <w:p w14:paraId="67553B3C">
      <w:pPr>
        <w:pStyle w:val="29"/>
        <w:snapToGrid w:val="0"/>
        <w:spacing w:before="120" w:after="120" w:line="360" w:lineRule="exact"/>
        <w:ind w:firstLine="413" w:firstLineChars="196"/>
        <w:rPr>
          <w:rFonts w:hint="eastAsia" w:hAnsi="宋体"/>
          <w:b/>
          <w:color w:val="auto"/>
          <w:highlight w:val="none"/>
        </w:rPr>
      </w:pPr>
      <w:r>
        <w:rPr>
          <w:rFonts w:hint="eastAsia" w:hAnsi="宋体"/>
          <w:b/>
          <w:color w:val="auto"/>
          <w:highlight w:val="none"/>
        </w:rPr>
        <w:t>第十三条 货物包装、发运及运输</w:t>
      </w:r>
    </w:p>
    <w:p w14:paraId="37695CF0">
      <w:pPr>
        <w:pStyle w:val="29"/>
        <w:snapToGrid w:val="0"/>
        <w:spacing w:before="120" w:after="120" w:line="360" w:lineRule="exact"/>
        <w:ind w:firstLine="420" w:firstLineChars="200"/>
        <w:jc w:val="left"/>
        <w:rPr>
          <w:rFonts w:hint="eastAsia" w:hAnsi="宋体"/>
          <w:color w:val="auto"/>
          <w:highlight w:val="none"/>
        </w:rPr>
      </w:pPr>
      <w:r>
        <w:rPr>
          <w:rFonts w:hint="eastAsia" w:hAnsi="宋体"/>
          <w:color w:val="auto"/>
          <w:highlight w:val="none"/>
        </w:rPr>
        <w:t>1. 乙方应在货物发运前对其进行满足运输距离、防潮、防震、防锈和防破损装卸等要求包装，以保证货物安全运达甲方指定地点。</w:t>
      </w:r>
    </w:p>
    <w:p w14:paraId="14180F0B">
      <w:pPr>
        <w:pStyle w:val="29"/>
        <w:snapToGrid w:val="0"/>
        <w:spacing w:before="120" w:after="120" w:line="360" w:lineRule="exact"/>
        <w:ind w:firstLine="420" w:firstLineChars="200"/>
        <w:jc w:val="left"/>
        <w:rPr>
          <w:rFonts w:hint="eastAsia" w:hAnsi="宋体"/>
          <w:color w:val="auto"/>
          <w:highlight w:val="none"/>
        </w:rPr>
      </w:pPr>
      <w:r>
        <w:rPr>
          <w:rFonts w:hint="eastAsia" w:hAnsi="宋体"/>
          <w:color w:val="auto"/>
          <w:highlight w:val="none"/>
        </w:rPr>
        <w:t>2. 使用说明书、质量检验证明书、随配附件和工具以及清单一并附于货物内。</w:t>
      </w:r>
    </w:p>
    <w:p w14:paraId="02365EDA">
      <w:pPr>
        <w:pStyle w:val="29"/>
        <w:snapToGrid w:val="0"/>
        <w:spacing w:before="120" w:after="120" w:line="360" w:lineRule="exact"/>
        <w:ind w:firstLine="420" w:firstLineChars="200"/>
        <w:jc w:val="left"/>
        <w:rPr>
          <w:rFonts w:hint="eastAsia" w:hAnsi="宋体"/>
          <w:color w:val="auto"/>
          <w:highlight w:val="none"/>
        </w:rPr>
      </w:pPr>
      <w:r>
        <w:rPr>
          <w:rFonts w:hint="eastAsia" w:hAnsi="宋体"/>
          <w:color w:val="auto"/>
          <w:highlight w:val="none"/>
        </w:rPr>
        <w:t>3. 乙方在货物发运手续办理完毕后二十四小时内或货到甲方四十八小时前通知甲方，以准备接货。</w:t>
      </w:r>
    </w:p>
    <w:p w14:paraId="79C845ED">
      <w:pPr>
        <w:pStyle w:val="29"/>
        <w:snapToGrid w:val="0"/>
        <w:spacing w:before="120" w:after="120" w:line="360" w:lineRule="exact"/>
        <w:ind w:firstLine="420" w:firstLineChars="200"/>
        <w:jc w:val="left"/>
        <w:rPr>
          <w:rFonts w:hint="eastAsia" w:hAnsi="宋体"/>
          <w:color w:val="auto"/>
          <w:highlight w:val="none"/>
        </w:rPr>
      </w:pPr>
      <w:r>
        <w:rPr>
          <w:rFonts w:hint="eastAsia" w:hAnsi="宋体"/>
          <w:color w:val="auto"/>
          <w:highlight w:val="none"/>
        </w:rPr>
        <w:t>4. 货物在交付甲方前发生的风险均由乙方负责。</w:t>
      </w:r>
    </w:p>
    <w:p w14:paraId="3EA5416A">
      <w:pPr>
        <w:pStyle w:val="29"/>
        <w:snapToGrid w:val="0"/>
        <w:spacing w:before="120" w:after="120" w:line="360" w:lineRule="exact"/>
        <w:ind w:firstLine="420" w:firstLineChars="200"/>
        <w:jc w:val="left"/>
        <w:rPr>
          <w:rFonts w:hint="eastAsia" w:hAnsi="宋体"/>
          <w:color w:val="auto"/>
          <w:highlight w:val="none"/>
        </w:rPr>
      </w:pPr>
      <w:r>
        <w:rPr>
          <w:rFonts w:hint="eastAsia" w:hAnsi="宋体"/>
          <w:color w:val="auto"/>
          <w:highlight w:val="none"/>
        </w:rPr>
        <w:t>5. 货物在规定的交付期限内由乙方送达甲方指定的地点并初步验收合格后视为交付，乙方同时需通知甲方货物已送达。</w:t>
      </w:r>
    </w:p>
    <w:p w14:paraId="2347D347">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第十四条　违约责任</w:t>
      </w:r>
    </w:p>
    <w:p w14:paraId="2834E74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3C54EF6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2.乙方提供的货物如侵犯了第三方合法权益而引发的任何纠纷或诉讼，均由乙方负责交涉并承担全部责任。</w:t>
      </w:r>
    </w:p>
    <w:p w14:paraId="1D72B6A9">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3.因包装、运输引起的货物损坏，按质量不合格处罚。</w:t>
      </w:r>
    </w:p>
    <w:p w14:paraId="18A6D6CF">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4.甲方无故延期接收货物、乙方逾期交货的，每天向对方偿付违约货款额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w:t>
      </w:r>
      <w:r>
        <w:rPr>
          <w:rFonts w:hint="eastAsia" w:ascii="宋体" w:hAnsi="宋体"/>
          <w:color w:val="auto"/>
          <w:szCs w:val="21"/>
          <w:highlight w:val="none"/>
        </w:rPr>
        <w:t>违约金，但违约金累计不得超过违约货款额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w:t>
      </w:r>
      <w:r>
        <w:rPr>
          <w:rFonts w:hint="eastAsia" w:ascii="宋体" w:hAnsi="宋体"/>
          <w:color w:val="auto"/>
          <w:szCs w:val="21"/>
          <w:highlight w:val="none"/>
        </w:rPr>
        <w:t>，超过</w:t>
      </w:r>
      <w:r>
        <w:rPr>
          <w:rFonts w:hint="eastAsia" w:ascii="宋体" w:hAnsi="宋体"/>
          <w:color w:val="auto"/>
          <w:szCs w:val="21"/>
          <w:highlight w:val="none"/>
          <w:u w:val="single"/>
        </w:rPr>
        <w:t xml:space="preserve">        </w:t>
      </w:r>
      <w:r>
        <w:rPr>
          <w:rFonts w:hint="eastAsia" w:ascii="宋体" w:hAnsi="宋体"/>
          <w:color w:val="auto"/>
          <w:szCs w:val="21"/>
          <w:highlight w:val="none"/>
        </w:rPr>
        <w:t>天对方有权解除合同，违约方承担因此给对方造成经济损失；甲方延期付货款的，每天向乙方偿付延期货款额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违约金，但违约金累计不得超过延期货款额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w:t>
      </w:r>
      <w:r>
        <w:rPr>
          <w:rFonts w:hint="eastAsia" w:ascii="宋体" w:hAnsi="宋体"/>
          <w:color w:val="auto"/>
          <w:szCs w:val="21"/>
          <w:highlight w:val="none"/>
        </w:rPr>
        <w:t>。</w:t>
      </w:r>
    </w:p>
    <w:p w14:paraId="4E8FC62E">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5.乙方未按本合同和投标文件中规定的服务承诺提供售后服务的，乙方应按本合同合计金额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w:t>
      </w:r>
      <w:r>
        <w:rPr>
          <w:rFonts w:hint="eastAsia" w:ascii="宋体" w:hAnsi="宋体"/>
          <w:color w:val="auto"/>
          <w:szCs w:val="21"/>
          <w:highlight w:val="none"/>
        </w:rPr>
        <w:t>向甲方支付违约金。</w:t>
      </w:r>
    </w:p>
    <w:p w14:paraId="50C5BEA3">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6.乙方提供的货物在质量保证期内，因设计、工艺或材料的缺陷和其它质量原因造成的问题，由乙方负责，费用从履约保证金中扣除，履约保证金不足以支付的，由乙方另行支付。</w:t>
      </w:r>
    </w:p>
    <w:p w14:paraId="0A256E06">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7.其它违约行为按违约货款额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%收取违约金并赔偿经济损失。</w:t>
      </w:r>
    </w:p>
    <w:p w14:paraId="67029612">
      <w:pPr>
        <w:pStyle w:val="29"/>
        <w:snapToGrid w:val="0"/>
        <w:spacing w:before="120" w:after="120" w:line="360" w:lineRule="exact"/>
        <w:ind w:firstLine="413" w:firstLineChars="196"/>
        <w:rPr>
          <w:rFonts w:hint="eastAsia" w:hAnsi="宋体"/>
          <w:b/>
          <w:color w:val="auto"/>
          <w:highlight w:val="none"/>
        </w:rPr>
      </w:pPr>
      <w:r>
        <w:rPr>
          <w:rFonts w:hint="eastAsia" w:hAnsi="宋体"/>
          <w:b/>
          <w:color w:val="auto"/>
          <w:highlight w:val="none"/>
        </w:rPr>
        <w:t>第十五条 不可抗力事件处理</w:t>
      </w:r>
    </w:p>
    <w:p w14:paraId="0B65696A">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在合同有效期内，任何一方因不可抗力事件导致不能履行合同，则合同履行期可延长，其延长期与不可抗力影响期相同。</w:t>
      </w:r>
    </w:p>
    <w:p w14:paraId="71E5BAB4">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 不可抗力事件发生后，应立即通知对方，并寄送有关权威机构出具的证明。</w:t>
      </w:r>
    </w:p>
    <w:p w14:paraId="35738AE9">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 不可抗力事件延续一百二十天以上，双方应通过友好协商，确定是否继续履行合同。</w:t>
      </w:r>
    </w:p>
    <w:p w14:paraId="0506A1E9">
      <w:pPr>
        <w:snapToGrid w:val="0"/>
        <w:spacing w:line="3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第十六条  合同争议解决</w:t>
      </w:r>
    </w:p>
    <w:p w14:paraId="534D1A63">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1.因货物质量问题发生争议的，应邀请国家认可的质量检测机构按照国家标准对货物质量进行验收。货物符合国家标准的，鉴定费由甲方承担；货物不符合国家标准的，鉴定费由乙方承担。</w:t>
      </w:r>
    </w:p>
    <w:p w14:paraId="75608C60">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2.因履行本合同引起的或与本合同有关的争议，甲乙双方应首先通过友好协商解决，如果协商不能解决，可向甲方所在地人民法院提起诉讼。</w:t>
      </w:r>
    </w:p>
    <w:p w14:paraId="6D6BD3D0">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3.诉讼期间，本合同继续履行。</w:t>
      </w:r>
    </w:p>
    <w:p w14:paraId="2F73B25D">
      <w:pPr>
        <w:pStyle w:val="29"/>
        <w:snapToGrid w:val="0"/>
        <w:spacing w:before="120" w:after="120" w:line="360" w:lineRule="exact"/>
        <w:ind w:firstLine="422" w:firstLineChars="200"/>
        <w:rPr>
          <w:rFonts w:hint="eastAsia" w:hAnsi="宋体"/>
          <w:b/>
          <w:color w:val="auto"/>
          <w:highlight w:val="none"/>
        </w:rPr>
      </w:pPr>
      <w:r>
        <w:rPr>
          <w:rFonts w:hint="eastAsia" w:hAnsi="宋体"/>
          <w:b/>
          <w:color w:val="auto"/>
          <w:highlight w:val="none"/>
        </w:rPr>
        <w:t>第十七条 合同生效及其它</w:t>
      </w:r>
    </w:p>
    <w:p w14:paraId="0EE5F066">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1．合同经双方法定代表人或授权代表签字并加盖</w:t>
      </w:r>
      <w:r>
        <w:rPr>
          <w:rFonts w:hint="eastAsia" w:ascii="宋体" w:hAnsi="宋体"/>
          <w:color w:val="auto"/>
          <w:szCs w:val="21"/>
          <w:highlight w:val="none"/>
          <w:lang w:eastAsia="zh-CN"/>
        </w:rPr>
        <w:t>单位合同专用章或</w:t>
      </w:r>
      <w:r>
        <w:rPr>
          <w:rFonts w:hint="eastAsia" w:ascii="宋体" w:hAnsi="宋体"/>
          <w:color w:val="auto"/>
          <w:szCs w:val="21"/>
          <w:highlight w:val="none"/>
        </w:rPr>
        <w:t>单位公章后生效。</w:t>
      </w:r>
    </w:p>
    <w:p w14:paraId="70688814">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2．合同执行中涉及采购资金和采购内容修改或补充的，须经财政部门审批，并签书面补充协议报财政部门备案，方可作为主合同不可分割的一部分。</w:t>
      </w:r>
    </w:p>
    <w:p w14:paraId="77107379">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3．本合同（包括招标文件和投标文件）未尽事宜，遵照《</w:t>
      </w:r>
      <w:r>
        <w:rPr>
          <w:color w:val="auto"/>
          <w:highlight w:val="none"/>
        </w:rPr>
        <w:t>中华人民共和国民法典</w:t>
      </w:r>
      <w:r>
        <w:rPr>
          <w:rFonts w:hint="eastAsia" w:ascii="宋体" w:hAnsi="宋体"/>
          <w:color w:val="auto"/>
          <w:szCs w:val="21"/>
          <w:highlight w:val="none"/>
        </w:rPr>
        <w:t>》有关条文执行。</w:t>
      </w:r>
    </w:p>
    <w:p w14:paraId="40250DD6">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14:paraId="5DEA4F21">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第十八条　合同的变更、终止与转让</w:t>
      </w:r>
    </w:p>
    <w:p w14:paraId="60072DF7">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1.除《中华人民共和国政府采购法》第五十条规定的情形外，本合同一经签订，甲乙双方不得擅自变更、中止或终止。</w:t>
      </w:r>
    </w:p>
    <w:p w14:paraId="3836CCB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2.未经甲方书面同意，乙方不得擅自转让（无进口资格的供应商委托进口货物除外）其应履行的合同义务。</w:t>
      </w:r>
    </w:p>
    <w:p w14:paraId="7772A9A6">
      <w:pP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第十九条　签订本合同依据</w:t>
      </w:r>
    </w:p>
    <w:p w14:paraId="00745346">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1.政府采购招标文件</w:t>
      </w:r>
    </w:p>
    <w:p w14:paraId="3E3CCDEB">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2.乙方提供的投标文件</w:t>
      </w:r>
    </w:p>
    <w:p w14:paraId="25690BBC">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3.投标函</w:t>
      </w:r>
    </w:p>
    <w:p w14:paraId="0731E6E5">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4.中标通知书</w:t>
      </w:r>
    </w:p>
    <w:p w14:paraId="3A921DC8">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5.其他约定附件</w:t>
      </w:r>
    </w:p>
    <w:p w14:paraId="3802155A">
      <w:pPr>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第二十条　本合同一式</w:t>
      </w:r>
      <w:r>
        <w:rPr>
          <w:rFonts w:hint="eastAsia" w:ascii="宋体" w:hAnsi="宋体"/>
          <w:b/>
          <w:color w:val="auto"/>
          <w:szCs w:val="21"/>
          <w:highlight w:val="none"/>
          <w:lang w:eastAsia="zh-CN"/>
        </w:rPr>
        <w:t>柒</w:t>
      </w:r>
      <w:r>
        <w:rPr>
          <w:rFonts w:hint="eastAsia" w:ascii="宋体" w:hAnsi="宋体"/>
          <w:b/>
          <w:color w:val="auto"/>
          <w:szCs w:val="21"/>
          <w:highlight w:val="none"/>
        </w:rPr>
        <w:t>份，具有同等法律效力。广西壮族自治区财政厅政府采购监督管理处、代理机构各一份，甲方</w:t>
      </w:r>
      <w:r>
        <w:rPr>
          <w:rFonts w:hint="eastAsia" w:ascii="宋体" w:hAnsi="宋体"/>
          <w:b/>
          <w:color w:val="auto"/>
          <w:szCs w:val="21"/>
          <w:highlight w:val="none"/>
          <w:lang w:eastAsia="zh-CN"/>
        </w:rPr>
        <w:t>四</w:t>
      </w:r>
      <w:r>
        <w:rPr>
          <w:rFonts w:hint="eastAsia" w:ascii="宋体" w:hAnsi="宋体"/>
          <w:b/>
          <w:color w:val="auto"/>
          <w:szCs w:val="21"/>
          <w:highlight w:val="none"/>
        </w:rPr>
        <w:t>份，乙方一份。（可根据需要另增加）</w:t>
      </w:r>
    </w:p>
    <w:p w14:paraId="3747E9A7">
      <w:pPr>
        <w:snapToGrid w:val="0"/>
        <w:spacing w:line="400" w:lineRule="exact"/>
        <w:ind w:firstLine="422" w:firstLineChars="200"/>
        <w:rPr>
          <w:rFonts w:hint="eastAsia" w:ascii="宋体" w:hAnsi="宋体"/>
          <w:color w:val="auto"/>
          <w:spacing w:val="4"/>
          <w:szCs w:val="21"/>
          <w:highlight w:val="none"/>
        </w:rPr>
      </w:pPr>
      <w:r>
        <w:rPr>
          <w:rFonts w:hint="eastAsia" w:ascii="宋体" w:hAnsi="宋体"/>
          <w:b/>
          <w:color w:val="auto"/>
          <w:szCs w:val="21"/>
          <w:highlight w:val="none"/>
        </w:rPr>
        <w:t>自签订之日起两个工作日内，甲方应当将合同通过广西政府采购云平台上传完成合同网上公示。</w:t>
      </w:r>
    </w:p>
    <w:p w14:paraId="69F22AEA">
      <w:pPr>
        <w:snapToGrid w:val="0"/>
        <w:spacing w:line="360" w:lineRule="exact"/>
        <w:ind w:firstLine="420" w:firstLineChars="200"/>
        <w:rPr>
          <w:rFonts w:hint="eastAsia" w:ascii="宋体" w:hAnsi="宋体"/>
          <w:color w:val="auto"/>
          <w:szCs w:val="21"/>
          <w:highlight w:val="none"/>
        </w:rPr>
      </w:pPr>
    </w:p>
    <w:p w14:paraId="55763C7D">
      <w:pPr>
        <w:snapToGrid w:val="0"/>
        <w:spacing w:line="360" w:lineRule="exact"/>
        <w:ind w:firstLine="420" w:firstLineChars="200"/>
        <w:rPr>
          <w:rFonts w:hint="eastAsia" w:ascii="宋体" w:hAnsi="宋体"/>
          <w:color w:val="auto"/>
          <w:szCs w:val="21"/>
          <w:highlight w:val="none"/>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14:paraId="7520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vAlign w:val="center"/>
          </w:tcPr>
          <w:p w14:paraId="001607A8">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甲方（章）           </w:t>
            </w:r>
          </w:p>
          <w:p w14:paraId="4114FDB0">
            <w:pPr>
              <w:snapToGrid w:val="0"/>
              <w:spacing w:line="360" w:lineRule="exact"/>
              <w:rPr>
                <w:rFonts w:hint="eastAsia" w:ascii="宋体" w:hAnsi="宋体"/>
                <w:color w:val="auto"/>
                <w:szCs w:val="21"/>
                <w:highlight w:val="none"/>
              </w:rPr>
            </w:pPr>
          </w:p>
          <w:p w14:paraId="67D2AC8D">
            <w:pPr>
              <w:snapToGrid w:val="0"/>
              <w:spacing w:line="360" w:lineRule="exact"/>
              <w:rPr>
                <w:rFonts w:hint="eastAsia" w:ascii="宋体" w:hAnsi="宋体"/>
                <w:color w:val="auto"/>
                <w:szCs w:val="21"/>
                <w:highlight w:val="none"/>
              </w:rPr>
            </w:pPr>
          </w:p>
          <w:p w14:paraId="71A6CD82">
            <w:pPr>
              <w:snapToGrid w:val="0"/>
              <w:spacing w:line="360" w:lineRule="exact"/>
              <w:ind w:firstLine="945" w:firstLineChars="450"/>
              <w:jc w:val="right"/>
              <w:rPr>
                <w:rFonts w:hint="eastAsia" w:ascii="宋体" w:hAnsi="宋体"/>
                <w:color w:val="auto"/>
                <w:szCs w:val="21"/>
                <w:highlight w:val="none"/>
              </w:rPr>
            </w:pPr>
            <w:r>
              <w:rPr>
                <w:rFonts w:hint="eastAsia" w:ascii="宋体" w:hAnsi="宋体"/>
                <w:color w:val="auto"/>
                <w:szCs w:val="21"/>
                <w:highlight w:val="none"/>
              </w:rPr>
              <w:t>年   月   日</w:t>
            </w:r>
          </w:p>
        </w:tc>
        <w:tc>
          <w:tcPr>
            <w:tcW w:w="4772" w:type="dxa"/>
            <w:vAlign w:val="center"/>
          </w:tcPr>
          <w:p w14:paraId="0DA6199F">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乙方（章）              </w:t>
            </w:r>
          </w:p>
          <w:p w14:paraId="046E6A22">
            <w:pPr>
              <w:snapToGrid w:val="0"/>
              <w:spacing w:line="360" w:lineRule="exact"/>
              <w:rPr>
                <w:rFonts w:hint="eastAsia" w:ascii="宋体" w:hAnsi="宋体"/>
                <w:color w:val="auto"/>
                <w:szCs w:val="21"/>
                <w:highlight w:val="none"/>
              </w:rPr>
            </w:pPr>
          </w:p>
          <w:p w14:paraId="257FE683">
            <w:pPr>
              <w:snapToGrid w:val="0"/>
              <w:spacing w:line="360" w:lineRule="exact"/>
              <w:rPr>
                <w:rFonts w:hint="eastAsia" w:ascii="宋体" w:hAnsi="宋体"/>
                <w:color w:val="auto"/>
                <w:szCs w:val="21"/>
                <w:highlight w:val="none"/>
              </w:rPr>
            </w:pPr>
          </w:p>
          <w:p w14:paraId="40C83E3E">
            <w:pPr>
              <w:snapToGrid w:val="0"/>
              <w:spacing w:line="360" w:lineRule="exact"/>
              <w:jc w:val="right"/>
              <w:rPr>
                <w:rFonts w:hint="eastAsia" w:ascii="宋体" w:hAnsi="宋体"/>
                <w:color w:val="auto"/>
                <w:szCs w:val="21"/>
                <w:highlight w:val="none"/>
              </w:rPr>
            </w:pPr>
            <w:r>
              <w:rPr>
                <w:rFonts w:hint="eastAsia" w:ascii="宋体" w:hAnsi="宋体"/>
                <w:color w:val="auto"/>
                <w:szCs w:val="21"/>
                <w:highlight w:val="none"/>
              </w:rPr>
              <w:t xml:space="preserve"> 年   月   日</w:t>
            </w:r>
          </w:p>
        </w:tc>
      </w:tr>
      <w:tr w14:paraId="1E4C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4516" w:type="dxa"/>
            <w:vAlign w:val="center"/>
          </w:tcPr>
          <w:p w14:paraId="6548C9C2">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通讯地址：</w:t>
            </w:r>
          </w:p>
        </w:tc>
        <w:tc>
          <w:tcPr>
            <w:tcW w:w="4772" w:type="dxa"/>
            <w:vAlign w:val="center"/>
          </w:tcPr>
          <w:p w14:paraId="5FF51676">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通讯地址：</w:t>
            </w:r>
          </w:p>
        </w:tc>
      </w:tr>
      <w:tr w14:paraId="2993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516" w:type="dxa"/>
            <w:vAlign w:val="center"/>
          </w:tcPr>
          <w:p w14:paraId="5729DCE2">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w:t>
            </w:r>
          </w:p>
        </w:tc>
        <w:tc>
          <w:tcPr>
            <w:tcW w:w="4772" w:type="dxa"/>
            <w:vAlign w:val="center"/>
          </w:tcPr>
          <w:p w14:paraId="31526A7C">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w:t>
            </w:r>
          </w:p>
        </w:tc>
      </w:tr>
      <w:tr w14:paraId="689D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516" w:type="dxa"/>
            <w:vAlign w:val="center"/>
          </w:tcPr>
          <w:p w14:paraId="4E7860BA">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c>
          <w:tcPr>
            <w:tcW w:w="4772" w:type="dxa"/>
            <w:vAlign w:val="center"/>
          </w:tcPr>
          <w:p w14:paraId="75D5691A">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r>
      <w:tr w14:paraId="181C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4516" w:type="dxa"/>
            <w:vAlign w:val="center"/>
          </w:tcPr>
          <w:p w14:paraId="5F237011">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c>
          <w:tcPr>
            <w:tcW w:w="4772" w:type="dxa"/>
            <w:vAlign w:val="center"/>
          </w:tcPr>
          <w:p w14:paraId="315FFEB5">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r>
      <w:tr w14:paraId="584FC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4516" w:type="dxa"/>
            <w:vAlign w:val="center"/>
          </w:tcPr>
          <w:p w14:paraId="7E6F02E7">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c>
          <w:tcPr>
            <w:tcW w:w="4772" w:type="dxa"/>
            <w:vAlign w:val="center"/>
          </w:tcPr>
          <w:p w14:paraId="159DE411">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r>
      <w:tr w14:paraId="344F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516" w:type="dxa"/>
            <w:vAlign w:val="center"/>
          </w:tcPr>
          <w:p w14:paraId="5315FB20">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c>
          <w:tcPr>
            <w:tcW w:w="4772" w:type="dxa"/>
            <w:vAlign w:val="center"/>
          </w:tcPr>
          <w:p w14:paraId="1D58A2BA">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r>
      <w:tr w14:paraId="76E4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4516" w:type="dxa"/>
            <w:vAlign w:val="center"/>
          </w:tcPr>
          <w:p w14:paraId="2526288D">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c>
          <w:tcPr>
            <w:tcW w:w="4772" w:type="dxa"/>
            <w:vAlign w:val="center"/>
          </w:tcPr>
          <w:p w14:paraId="194B2E3A">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r>
      <w:tr w14:paraId="10A5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4516" w:type="dxa"/>
            <w:vAlign w:val="center"/>
          </w:tcPr>
          <w:p w14:paraId="5FFBE4FA">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c>
          <w:tcPr>
            <w:tcW w:w="4772" w:type="dxa"/>
            <w:vAlign w:val="center"/>
          </w:tcPr>
          <w:p w14:paraId="20AA9047">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r>
      <w:tr w14:paraId="7B98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9288" w:type="dxa"/>
            <w:gridSpan w:val="2"/>
          </w:tcPr>
          <w:p w14:paraId="008443F0">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经办人：</w:t>
            </w:r>
          </w:p>
          <w:p w14:paraId="69F97310">
            <w:pPr>
              <w:snapToGrid w:val="0"/>
              <w:spacing w:line="360" w:lineRule="exact"/>
              <w:ind w:firstLine="630" w:firstLineChars="300"/>
              <w:jc w:val="right"/>
              <w:rPr>
                <w:rFonts w:hint="eastAsia" w:ascii="宋体" w:hAnsi="宋体"/>
                <w:color w:val="auto"/>
                <w:szCs w:val="21"/>
                <w:highlight w:val="none"/>
              </w:rPr>
            </w:pPr>
          </w:p>
          <w:p w14:paraId="7E401877">
            <w:pPr>
              <w:snapToGrid w:val="0"/>
              <w:spacing w:line="360" w:lineRule="exact"/>
              <w:ind w:firstLine="630" w:firstLineChars="300"/>
              <w:jc w:val="right"/>
              <w:rPr>
                <w:rFonts w:hint="eastAsia" w:ascii="宋体" w:hAnsi="宋体"/>
                <w:color w:val="auto"/>
                <w:szCs w:val="21"/>
                <w:highlight w:val="none"/>
              </w:rPr>
            </w:pPr>
          </w:p>
          <w:p w14:paraId="23DF4484">
            <w:pPr>
              <w:snapToGrid w:val="0"/>
              <w:spacing w:line="360" w:lineRule="exact"/>
              <w:ind w:firstLine="630" w:firstLineChars="300"/>
              <w:jc w:val="right"/>
              <w:rPr>
                <w:rFonts w:hint="eastAsia" w:ascii="宋体" w:hAnsi="宋体"/>
                <w:color w:val="auto"/>
                <w:szCs w:val="21"/>
                <w:highlight w:val="none"/>
              </w:rPr>
            </w:pPr>
          </w:p>
          <w:p w14:paraId="095019BB">
            <w:pPr>
              <w:snapToGrid w:val="0"/>
              <w:spacing w:line="360" w:lineRule="exact"/>
              <w:ind w:firstLine="630" w:firstLineChars="300"/>
              <w:jc w:val="right"/>
              <w:rPr>
                <w:rFonts w:hint="eastAsia" w:ascii="宋体" w:hAnsi="宋体"/>
                <w:color w:val="auto"/>
                <w:szCs w:val="21"/>
                <w:highlight w:val="none"/>
              </w:rPr>
            </w:pPr>
          </w:p>
          <w:p w14:paraId="688E6307">
            <w:pPr>
              <w:snapToGrid w:val="0"/>
              <w:spacing w:line="360" w:lineRule="exact"/>
              <w:ind w:firstLine="630" w:firstLineChars="300"/>
              <w:jc w:val="right"/>
              <w:rPr>
                <w:rFonts w:hint="eastAsia" w:ascii="宋体" w:hAnsi="宋体"/>
                <w:color w:val="auto"/>
                <w:szCs w:val="21"/>
                <w:highlight w:val="none"/>
              </w:rPr>
            </w:pPr>
            <w:r>
              <w:rPr>
                <w:rFonts w:hint="eastAsia" w:ascii="宋体" w:hAnsi="宋体"/>
                <w:color w:val="auto"/>
                <w:szCs w:val="21"/>
                <w:highlight w:val="none"/>
              </w:rPr>
              <w:t>年    月    日</w:t>
            </w:r>
          </w:p>
        </w:tc>
      </w:tr>
    </w:tbl>
    <w:p w14:paraId="6B4EBD45">
      <w:pPr>
        <w:snapToGrid w:val="0"/>
        <w:spacing w:line="360" w:lineRule="exact"/>
        <w:ind w:left="420" w:hanging="420" w:hangingChars="200"/>
        <w:rPr>
          <w:rFonts w:hint="eastAsia" w:ascii="宋体" w:hAnsi="宋体"/>
          <w:color w:val="auto"/>
          <w:szCs w:val="21"/>
          <w:highlight w:val="none"/>
        </w:rPr>
      </w:pPr>
    </w:p>
    <w:p w14:paraId="6C1F7EEF">
      <w:pPr>
        <w:snapToGrid w:val="0"/>
        <w:spacing w:line="360" w:lineRule="exact"/>
        <w:jc w:val="center"/>
        <w:rPr>
          <w:rFonts w:hint="eastAsia" w:ascii="宋体" w:hAnsi="宋体"/>
          <w:b/>
          <w:color w:val="auto"/>
          <w:sz w:val="28"/>
          <w:szCs w:val="28"/>
          <w:highlight w:val="none"/>
        </w:rPr>
      </w:pPr>
    </w:p>
    <w:p w14:paraId="1C389830">
      <w:pPr>
        <w:snapToGrid w:val="0"/>
        <w:spacing w:line="36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合 同 附 件</w:t>
      </w:r>
    </w:p>
    <w:p w14:paraId="2F92D084">
      <w:pPr>
        <w:snapToGrid w:val="0"/>
        <w:spacing w:line="360" w:lineRule="exact"/>
        <w:jc w:val="center"/>
        <w:rPr>
          <w:rFonts w:hint="eastAsia" w:ascii="宋体" w:hAnsi="宋体"/>
          <w:b/>
          <w:color w:val="auto"/>
          <w:szCs w:val="21"/>
          <w:highlight w:val="none"/>
        </w:rPr>
      </w:pP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680"/>
      </w:tblGrid>
      <w:tr w14:paraId="27DF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9468" w:type="dxa"/>
            <w:gridSpan w:val="2"/>
            <w:tcBorders>
              <w:top w:val="single" w:color="auto" w:sz="4" w:space="0"/>
              <w:left w:val="single" w:color="auto" w:sz="4" w:space="0"/>
              <w:right w:val="single" w:color="auto" w:sz="4" w:space="0"/>
            </w:tcBorders>
          </w:tcPr>
          <w:p w14:paraId="2770C0E0">
            <w:pPr>
              <w:snapToGrid w:val="0"/>
              <w:spacing w:line="360" w:lineRule="exact"/>
              <w:rPr>
                <w:rFonts w:hint="eastAsia" w:hAnsi="宋体"/>
                <w:color w:val="auto"/>
                <w:szCs w:val="21"/>
                <w:highlight w:val="none"/>
              </w:rPr>
            </w:pPr>
            <w:r>
              <w:rPr>
                <w:rFonts w:hint="eastAsia" w:hAnsi="宋体"/>
                <w:color w:val="auto"/>
                <w:szCs w:val="21"/>
                <w:highlight w:val="none"/>
              </w:rPr>
              <w:t>1、供应商承诺具体事项：</w:t>
            </w:r>
          </w:p>
        </w:tc>
      </w:tr>
      <w:tr w14:paraId="0A01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9468" w:type="dxa"/>
            <w:gridSpan w:val="2"/>
            <w:tcBorders>
              <w:top w:val="single" w:color="auto" w:sz="4" w:space="0"/>
              <w:left w:val="single" w:color="auto" w:sz="4" w:space="0"/>
              <w:right w:val="single" w:color="auto" w:sz="4" w:space="0"/>
            </w:tcBorders>
          </w:tcPr>
          <w:p w14:paraId="4AC60922">
            <w:pPr>
              <w:snapToGrid w:val="0"/>
              <w:spacing w:line="360" w:lineRule="exact"/>
              <w:rPr>
                <w:rFonts w:hint="eastAsia" w:hAnsi="宋体"/>
                <w:color w:val="auto"/>
                <w:szCs w:val="21"/>
                <w:highlight w:val="none"/>
              </w:rPr>
            </w:pPr>
            <w:r>
              <w:rPr>
                <w:rFonts w:hint="eastAsia" w:hAnsi="宋体"/>
                <w:color w:val="auto"/>
                <w:szCs w:val="21"/>
                <w:highlight w:val="none"/>
              </w:rPr>
              <w:t>2、售后服务具体事项：</w:t>
            </w:r>
          </w:p>
        </w:tc>
      </w:tr>
      <w:tr w14:paraId="1BDB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9468" w:type="dxa"/>
            <w:gridSpan w:val="2"/>
            <w:tcBorders>
              <w:top w:val="single" w:color="auto" w:sz="4" w:space="0"/>
              <w:left w:val="single" w:color="auto" w:sz="4" w:space="0"/>
              <w:right w:val="single" w:color="auto" w:sz="4" w:space="0"/>
            </w:tcBorders>
          </w:tcPr>
          <w:p w14:paraId="7F4E4D44">
            <w:pPr>
              <w:snapToGrid w:val="0"/>
              <w:spacing w:line="360" w:lineRule="exact"/>
              <w:rPr>
                <w:rFonts w:hint="eastAsia" w:hAnsi="宋体"/>
                <w:color w:val="auto"/>
                <w:szCs w:val="21"/>
                <w:highlight w:val="none"/>
              </w:rPr>
            </w:pPr>
            <w:r>
              <w:rPr>
                <w:rFonts w:hint="eastAsia" w:hAnsi="宋体"/>
                <w:color w:val="auto"/>
                <w:szCs w:val="21"/>
                <w:highlight w:val="none"/>
              </w:rPr>
              <w:t>3、保修期责任：</w:t>
            </w:r>
          </w:p>
        </w:tc>
      </w:tr>
      <w:tr w14:paraId="595E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9468" w:type="dxa"/>
            <w:gridSpan w:val="2"/>
            <w:tcBorders>
              <w:top w:val="single" w:color="auto" w:sz="4" w:space="0"/>
              <w:left w:val="single" w:color="auto" w:sz="4" w:space="0"/>
              <w:right w:val="single" w:color="auto" w:sz="4" w:space="0"/>
            </w:tcBorders>
          </w:tcPr>
          <w:p w14:paraId="4841D57F">
            <w:pPr>
              <w:snapToGrid w:val="0"/>
              <w:spacing w:line="360" w:lineRule="exact"/>
              <w:rPr>
                <w:rFonts w:hint="eastAsia" w:hAnsi="宋体"/>
                <w:color w:val="auto"/>
                <w:szCs w:val="21"/>
                <w:highlight w:val="none"/>
              </w:rPr>
            </w:pPr>
            <w:r>
              <w:rPr>
                <w:rFonts w:hint="eastAsia" w:hAnsi="宋体"/>
                <w:color w:val="auto"/>
                <w:szCs w:val="21"/>
                <w:highlight w:val="none"/>
              </w:rPr>
              <w:t>4、其他具体事项：</w:t>
            </w:r>
          </w:p>
        </w:tc>
      </w:tr>
      <w:tr w14:paraId="572D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4788" w:type="dxa"/>
            <w:tcBorders>
              <w:top w:val="single" w:color="auto" w:sz="4" w:space="0"/>
              <w:left w:val="single" w:color="auto" w:sz="4" w:space="0"/>
              <w:bottom w:val="single" w:color="auto" w:sz="4" w:space="0"/>
              <w:right w:val="single" w:color="auto" w:sz="4" w:space="0"/>
            </w:tcBorders>
            <w:vAlign w:val="center"/>
          </w:tcPr>
          <w:p w14:paraId="2A623F02">
            <w:pPr>
              <w:snapToGrid w:val="0"/>
              <w:spacing w:line="360" w:lineRule="exact"/>
              <w:ind w:firstLine="422"/>
              <w:rPr>
                <w:rFonts w:hint="eastAsia" w:hAnsi="宋体"/>
                <w:color w:val="auto"/>
                <w:szCs w:val="21"/>
                <w:highlight w:val="none"/>
              </w:rPr>
            </w:pPr>
            <w:r>
              <w:rPr>
                <w:rFonts w:hint="eastAsia" w:hAnsi="宋体"/>
                <w:color w:val="auto"/>
                <w:szCs w:val="21"/>
                <w:highlight w:val="none"/>
              </w:rPr>
              <w:t>甲方（章）</w:t>
            </w:r>
          </w:p>
          <w:p w14:paraId="389A469D">
            <w:pPr>
              <w:snapToGrid w:val="0"/>
              <w:spacing w:line="360" w:lineRule="exact"/>
              <w:ind w:firstLine="422"/>
              <w:rPr>
                <w:rFonts w:hint="eastAsia" w:hAnsi="宋体"/>
                <w:color w:val="auto"/>
                <w:szCs w:val="21"/>
                <w:highlight w:val="none"/>
              </w:rPr>
            </w:pPr>
          </w:p>
          <w:p w14:paraId="4E3C7600">
            <w:pPr>
              <w:snapToGrid w:val="0"/>
              <w:spacing w:line="360" w:lineRule="exact"/>
              <w:ind w:firstLine="422"/>
              <w:rPr>
                <w:rFonts w:hint="eastAsia" w:hAnsi="宋体"/>
                <w:color w:val="auto"/>
                <w:szCs w:val="21"/>
                <w:highlight w:val="none"/>
              </w:rPr>
            </w:pPr>
          </w:p>
          <w:p w14:paraId="2ABC08B8">
            <w:pPr>
              <w:snapToGrid w:val="0"/>
              <w:spacing w:line="360" w:lineRule="exact"/>
              <w:ind w:firstLine="422"/>
              <w:rPr>
                <w:rFonts w:hint="eastAsia" w:hAnsi="宋体"/>
                <w:color w:val="auto"/>
                <w:szCs w:val="21"/>
                <w:highlight w:val="none"/>
              </w:rPr>
            </w:pPr>
          </w:p>
          <w:p w14:paraId="33190728">
            <w:pPr>
              <w:snapToGrid w:val="0"/>
              <w:spacing w:line="360" w:lineRule="exact"/>
              <w:ind w:firstLine="422"/>
              <w:rPr>
                <w:rFonts w:hint="eastAsia" w:hAnsi="宋体"/>
                <w:color w:val="auto"/>
                <w:szCs w:val="21"/>
                <w:highlight w:val="none"/>
              </w:rPr>
            </w:pPr>
          </w:p>
          <w:p w14:paraId="6875686D">
            <w:pPr>
              <w:snapToGrid w:val="0"/>
              <w:spacing w:line="360" w:lineRule="exact"/>
              <w:ind w:firstLine="422"/>
              <w:rPr>
                <w:rFonts w:hint="eastAsia" w:hAnsi="宋体"/>
                <w:color w:val="auto"/>
                <w:szCs w:val="21"/>
                <w:highlight w:val="none"/>
              </w:rPr>
            </w:pPr>
          </w:p>
          <w:p w14:paraId="69676485">
            <w:pPr>
              <w:snapToGrid w:val="0"/>
              <w:spacing w:line="360" w:lineRule="exact"/>
              <w:ind w:firstLine="422"/>
              <w:rPr>
                <w:rFonts w:hint="eastAsia" w:hAnsi="宋体"/>
                <w:color w:val="auto"/>
                <w:szCs w:val="21"/>
                <w:highlight w:val="none"/>
              </w:rPr>
            </w:pPr>
            <w:r>
              <w:rPr>
                <w:rFonts w:hint="eastAsia" w:hAnsi="宋体"/>
                <w:color w:val="auto"/>
                <w:szCs w:val="21"/>
                <w:highlight w:val="none"/>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14:paraId="32B92418">
            <w:pPr>
              <w:snapToGrid w:val="0"/>
              <w:spacing w:line="360" w:lineRule="exact"/>
              <w:ind w:firstLine="422"/>
              <w:rPr>
                <w:rFonts w:hint="eastAsia" w:hAnsi="宋体"/>
                <w:color w:val="auto"/>
                <w:szCs w:val="21"/>
                <w:highlight w:val="none"/>
              </w:rPr>
            </w:pPr>
            <w:r>
              <w:rPr>
                <w:rFonts w:hint="eastAsia" w:hAnsi="宋体"/>
                <w:color w:val="auto"/>
                <w:szCs w:val="21"/>
                <w:highlight w:val="none"/>
              </w:rPr>
              <w:t>乙方（章）</w:t>
            </w:r>
          </w:p>
          <w:p w14:paraId="564910FC">
            <w:pPr>
              <w:snapToGrid w:val="0"/>
              <w:spacing w:line="360" w:lineRule="exact"/>
              <w:ind w:firstLine="422"/>
              <w:rPr>
                <w:rFonts w:hint="eastAsia" w:hAnsi="宋体"/>
                <w:color w:val="auto"/>
                <w:szCs w:val="21"/>
                <w:highlight w:val="none"/>
              </w:rPr>
            </w:pPr>
          </w:p>
          <w:p w14:paraId="54A94CDB">
            <w:pPr>
              <w:snapToGrid w:val="0"/>
              <w:spacing w:line="360" w:lineRule="exact"/>
              <w:ind w:firstLine="422"/>
              <w:rPr>
                <w:rFonts w:hint="eastAsia" w:hAnsi="宋体"/>
                <w:color w:val="auto"/>
                <w:szCs w:val="21"/>
                <w:highlight w:val="none"/>
              </w:rPr>
            </w:pPr>
          </w:p>
          <w:p w14:paraId="7A772F4C">
            <w:pPr>
              <w:snapToGrid w:val="0"/>
              <w:spacing w:line="360" w:lineRule="exact"/>
              <w:ind w:firstLine="422"/>
              <w:rPr>
                <w:rFonts w:hint="eastAsia" w:hAnsi="宋体"/>
                <w:color w:val="auto"/>
                <w:szCs w:val="21"/>
                <w:highlight w:val="none"/>
              </w:rPr>
            </w:pPr>
          </w:p>
          <w:p w14:paraId="4B98B8F0">
            <w:pPr>
              <w:snapToGrid w:val="0"/>
              <w:spacing w:line="360" w:lineRule="exact"/>
              <w:ind w:firstLine="422"/>
              <w:rPr>
                <w:rFonts w:hint="eastAsia" w:hAnsi="宋体"/>
                <w:color w:val="auto"/>
                <w:szCs w:val="21"/>
                <w:highlight w:val="none"/>
              </w:rPr>
            </w:pPr>
          </w:p>
          <w:p w14:paraId="124CDDF8">
            <w:pPr>
              <w:snapToGrid w:val="0"/>
              <w:spacing w:line="360" w:lineRule="exact"/>
              <w:ind w:firstLine="422"/>
              <w:rPr>
                <w:rFonts w:hint="eastAsia" w:hAnsi="宋体"/>
                <w:color w:val="auto"/>
                <w:szCs w:val="21"/>
                <w:highlight w:val="none"/>
              </w:rPr>
            </w:pPr>
          </w:p>
          <w:p w14:paraId="05558219">
            <w:pPr>
              <w:snapToGrid w:val="0"/>
              <w:spacing w:line="360" w:lineRule="exact"/>
              <w:ind w:firstLine="422"/>
              <w:rPr>
                <w:rFonts w:hint="eastAsia" w:hAnsi="宋体"/>
                <w:color w:val="auto"/>
                <w:szCs w:val="21"/>
                <w:highlight w:val="none"/>
              </w:rPr>
            </w:pPr>
            <w:r>
              <w:rPr>
                <w:rFonts w:hint="eastAsia" w:hAnsi="宋体"/>
                <w:color w:val="auto"/>
                <w:szCs w:val="21"/>
                <w:highlight w:val="none"/>
              </w:rPr>
              <w:t xml:space="preserve">                       年   月   日</w:t>
            </w:r>
          </w:p>
        </w:tc>
      </w:tr>
    </w:tbl>
    <w:p w14:paraId="62E892D0">
      <w:pPr>
        <w:spacing w:line="300" w:lineRule="auto"/>
        <w:rPr>
          <w:rFonts w:hint="eastAsia" w:ascii="宋体" w:hAnsi="宋体"/>
          <w:b/>
          <w:color w:val="auto"/>
          <w:szCs w:val="21"/>
          <w:highlight w:val="none"/>
        </w:rPr>
      </w:pPr>
      <w:r>
        <w:rPr>
          <w:rFonts w:hint="eastAsia" w:ascii="宋体" w:hAnsi="宋体"/>
          <w:color w:val="auto"/>
          <w:szCs w:val="21"/>
          <w:highlight w:val="none"/>
        </w:rPr>
        <w:t>注：售后服务事项填不下时可另加附页</w:t>
      </w:r>
    </w:p>
    <w:p w14:paraId="1A5BB25B">
      <w:pPr>
        <w:snapToGrid w:val="0"/>
        <w:spacing w:line="360" w:lineRule="exact"/>
        <w:rPr>
          <w:rFonts w:hint="eastAsia" w:ascii="宋体" w:hAnsi="宋体"/>
          <w:color w:val="auto"/>
          <w:szCs w:val="21"/>
          <w:highlight w:val="none"/>
        </w:rPr>
      </w:pPr>
    </w:p>
    <w:p w14:paraId="27F53461">
      <w:pPr>
        <w:spacing w:line="300" w:lineRule="auto"/>
        <w:ind w:left="105" w:leftChars="50" w:firstLine="3092" w:firstLineChars="700"/>
        <w:rPr>
          <w:rFonts w:hint="eastAsia" w:ascii="黑体" w:hAnsi="宋体" w:eastAsia="黑体"/>
          <w:b/>
          <w:color w:val="auto"/>
          <w:sz w:val="44"/>
          <w:szCs w:val="44"/>
          <w:highlight w:val="none"/>
        </w:rPr>
      </w:pPr>
    </w:p>
    <w:p w14:paraId="0A9156E4">
      <w:pPr>
        <w:spacing w:line="300" w:lineRule="auto"/>
        <w:ind w:left="105" w:leftChars="50" w:firstLine="3092" w:firstLineChars="700"/>
        <w:rPr>
          <w:rFonts w:ascii="黑体" w:hAnsi="宋体" w:eastAsia="黑体"/>
          <w:b/>
          <w:bCs/>
          <w:color w:val="auto"/>
          <w:sz w:val="44"/>
          <w:szCs w:val="44"/>
          <w:highlight w:val="none"/>
        </w:rPr>
      </w:pPr>
      <w:r>
        <w:rPr>
          <w:rFonts w:hint="eastAsia" w:ascii="黑体" w:hAnsi="宋体" w:eastAsia="黑体"/>
          <w:b/>
          <w:color w:val="auto"/>
          <w:sz w:val="44"/>
          <w:szCs w:val="44"/>
          <w:highlight w:val="none"/>
        </w:rPr>
        <w:t>采购</w:t>
      </w:r>
      <w:r>
        <w:rPr>
          <w:rFonts w:hint="eastAsia" w:ascii="黑体" w:hAnsi="宋体" w:eastAsia="黑体"/>
          <w:b/>
          <w:bCs/>
          <w:color w:val="auto"/>
          <w:sz w:val="44"/>
          <w:szCs w:val="44"/>
          <w:highlight w:val="none"/>
        </w:rPr>
        <w:t>合同文本</w:t>
      </w:r>
    </w:p>
    <w:p w14:paraId="0F2E52B7">
      <w:pPr>
        <w:snapToGrid w:val="0"/>
        <w:spacing w:line="360" w:lineRule="exact"/>
        <w:ind w:right="480"/>
        <w:jc w:val="center"/>
        <w:rPr>
          <w:rFonts w:hint="eastAsia" w:ascii="宋体" w:hAnsi="宋体"/>
          <w:bCs/>
          <w:color w:val="auto"/>
          <w:szCs w:val="21"/>
          <w:highlight w:val="none"/>
        </w:rPr>
      </w:pPr>
      <w:r>
        <w:rPr>
          <w:rFonts w:hint="eastAsia" w:ascii="宋体" w:hAnsi="宋体"/>
          <w:b/>
          <w:bCs/>
          <w:color w:val="auto"/>
          <w:szCs w:val="21"/>
          <w:highlight w:val="none"/>
        </w:rPr>
        <w:t xml:space="preserve"> 广西壮族自治区政府采购合同</w:t>
      </w:r>
    </w:p>
    <w:p w14:paraId="278EF47E">
      <w:pPr>
        <w:snapToGrid w:val="0"/>
        <w:spacing w:line="360" w:lineRule="exact"/>
        <w:ind w:right="480"/>
        <w:jc w:val="center"/>
        <w:rPr>
          <w:rFonts w:hint="eastAsia" w:ascii="宋体" w:hAnsi="宋体"/>
          <w:b/>
          <w:bCs/>
          <w:color w:val="auto"/>
          <w:szCs w:val="21"/>
          <w:highlight w:val="none"/>
        </w:rPr>
      </w:pPr>
      <w:r>
        <w:rPr>
          <w:rFonts w:hint="eastAsia" w:ascii="宋体" w:hAnsi="宋体"/>
          <w:b/>
          <w:bCs/>
          <w:color w:val="auto"/>
          <w:szCs w:val="21"/>
          <w:highlight w:val="none"/>
          <w:u w:val="single"/>
          <w:lang w:eastAsia="zh-CN"/>
        </w:rPr>
        <w:t>（适用分标</w:t>
      </w:r>
      <w:r>
        <w:rPr>
          <w:rFonts w:hint="eastAsia" w:ascii="宋体" w:hAnsi="宋体"/>
          <w:b/>
          <w:bCs/>
          <w:color w:val="auto"/>
          <w:szCs w:val="21"/>
          <w:highlight w:val="none"/>
          <w:u w:val="single"/>
          <w:lang w:val="en-US" w:eastAsia="zh-CN"/>
        </w:rPr>
        <w:t>2</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eastAsia="zh-CN"/>
        </w:rPr>
        <w:t>）</w:t>
      </w:r>
      <w:r>
        <w:rPr>
          <w:rFonts w:hint="eastAsia" w:ascii="宋体" w:hAnsi="宋体"/>
          <w:b/>
          <w:bCs/>
          <w:color w:val="auto"/>
          <w:szCs w:val="21"/>
          <w:highlight w:val="none"/>
        </w:rPr>
        <w:t xml:space="preserve">  </w:t>
      </w:r>
      <w:r>
        <w:rPr>
          <w:rFonts w:hint="eastAsia" w:ascii="宋体" w:hAnsi="宋体"/>
          <w:b/>
          <w:bCs/>
          <w:color w:val="auto"/>
          <w:szCs w:val="21"/>
          <w:highlight w:val="none"/>
        </w:rPr>
        <w:t xml:space="preserve">                          </w:t>
      </w:r>
    </w:p>
    <w:p w14:paraId="7798E4A3">
      <w:pPr>
        <w:snapToGrid w:val="0"/>
        <w:spacing w:line="360" w:lineRule="exact"/>
        <w:ind w:right="480"/>
        <w:jc w:val="center"/>
        <w:rPr>
          <w:rFonts w:hint="eastAsia" w:ascii="宋体" w:hAnsi="宋体"/>
          <w:bCs/>
          <w:color w:val="auto"/>
          <w:szCs w:val="21"/>
          <w:highlight w:val="none"/>
          <w:u w:val="single"/>
        </w:rPr>
      </w:pPr>
      <w:r>
        <w:rPr>
          <w:rFonts w:hint="eastAsia" w:ascii="宋体" w:hAnsi="宋体"/>
          <w:bCs/>
          <w:color w:val="auto"/>
          <w:szCs w:val="21"/>
          <w:highlight w:val="none"/>
        </w:rPr>
        <w:t>合同编号：</w:t>
      </w:r>
      <w:r>
        <w:rPr>
          <w:rFonts w:hint="eastAsia" w:ascii="宋体" w:hAnsi="宋体"/>
          <w:bCs/>
          <w:color w:val="auto"/>
          <w:szCs w:val="21"/>
          <w:highlight w:val="none"/>
          <w:u w:val="single"/>
        </w:rPr>
        <w:t xml:space="preserve">                    </w:t>
      </w:r>
    </w:p>
    <w:p w14:paraId="66868A62">
      <w:pPr>
        <w:snapToGrid w:val="0"/>
        <w:spacing w:line="360" w:lineRule="exact"/>
        <w:ind w:firstLine="3685" w:firstLineChars="1748"/>
        <w:rPr>
          <w:rFonts w:hint="eastAsia" w:ascii="宋体" w:hAnsi="宋体"/>
          <w:b/>
          <w:color w:val="auto"/>
          <w:szCs w:val="21"/>
          <w:highlight w:val="none"/>
        </w:rPr>
      </w:pPr>
    </w:p>
    <w:p w14:paraId="32EDDEF8">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pacing w:val="-20"/>
          <w:szCs w:val="21"/>
          <w:highlight w:val="none"/>
        </w:rPr>
        <w:t xml:space="preserve">   采 购 计 划 号</w:t>
      </w:r>
      <w:r>
        <w:rPr>
          <w:rFonts w:hint="eastAsia" w:ascii="宋体" w:hAnsi="宋体"/>
          <w:color w:val="auto"/>
          <w:szCs w:val="21"/>
          <w:highlight w:val="none"/>
          <w:u w:val="single"/>
        </w:rPr>
        <w:t xml:space="preserve">                      </w:t>
      </w:r>
    </w:p>
    <w:p w14:paraId="332D4367">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项目名称和编号</w:t>
      </w:r>
      <w:r>
        <w:rPr>
          <w:rFonts w:hint="eastAsia" w:ascii="宋体" w:hAnsi="宋体"/>
          <w:color w:val="auto"/>
          <w:szCs w:val="21"/>
          <w:highlight w:val="none"/>
          <w:u w:val="single"/>
        </w:rPr>
        <w:t xml:space="preserve">                    </w:t>
      </w:r>
    </w:p>
    <w:p w14:paraId="2D50781B">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 </w:t>
      </w:r>
      <w:r>
        <w:rPr>
          <w:rFonts w:hint="eastAsia" w:ascii="宋体" w:hAnsi="宋体"/>
          <w:color w:val="auto"/>
          <w:szCs w:val="21"/>
          <w:highlight w:val="none"/>
          <w:u w:val="single"/>
        </w:rPr>
        <w:t xml:space="preserve">                    </w:t>
      </w:r>
    </w:p>
    <w:p w14:paraId="48BD949B">
      <w:pPr>
        <w:snapToGrid w:val="0"/>
        <w:spacing w:line="360" w:lineRule="exact"/>
        <w:ind w:firstLine="420" w:firstLineChars="200"/>
        <w:rPr>
          <w:rFonts w:hint="eastAsia" w:ascii="宋体" w:hAnsi="宋体"/>
          <w:color w:val="auto"/>
          <w:szCs w:val="21"/>
          <w:highlight w:val="none"/>
        </w:rPr>
      </w:pPr>
    </w:p>
    <w:p w14:paraId="2B1D17AC">
      <w:pPr>
        <w:pStyle w:val="29"/>
        <w:spacing w:line="420" w:lineRule="exact"/>
        <w:ind w:firstLine="420"/>
        <w:jc w:val="center"/>
        <w:rPr>
          <w:rFonts w:hint="eastAsia"/>
          <w:color w:val="auto"/>
          <w:highlight w:val="none"/>
        </w:rPr>
      </w:pPr>
      <w:r>
        <w:rPr>
          <w:rFonts w:hint="eastAsia"/>
          <w:color w:val="auto"/>
          <w:highlight w:val="none"/>
        </w:rPr>
        <w:t>根据《中华人民共和国政府采购法》、《</w:t>
      </w:r>
      <w:r>
        <w:rPr>
          <w:color w:val="auto"/>
          <w:highlight w:val="none"/>
        </w:rPr>
        <w:t>中华人民共和国民法典</w:t>
      </w:r>
      <w:r>
        <w:rPr>
          <w:rFonts w:hint="eastAsia"/>
          <w:color w:val="auto"/>
          <w:highlight w:val="none"/>
        </w:rPr>
        <w:t>》等法律、法规规定，按照招标文</w:t>
      </w:r>
    </w:p>
    <w:p w14:paraId="4271656E">
      <w:pPr>
        <w:pStyle w:val="29"/>
        <w:spacing w:line="420" w:lineRule="exact"/>
        <w:rPr>
          <w:rFonts w:hint="eastAsia"/>
          <w:color w:val="auto"/>
          <w:highlight w:val="none"/>
        </w:rPr>
      </w:pPr>
      <w:r>
        <w:rPr>
          <w:rFonts w:hint="eastAsia"/>
          <w:color w:val="auto"/>
          <w:highlight w:val="none"/>
        </w:rPr>
        <w:t>件规定条款和</w:t>
      </w:r>
      <w:r>
        <w:rPr>
          <w:rFonts w:hint="eastAsia"/>
          <w:color w:val="auto"/>
          <w:highlight w:val="none"/>
          <w:lang w:eastAsia="zh-CN"/>
        </w:rPr>
        <w:t>乙方</w:t>
      </w:r>
      <w:r>
        <w:rPr>
          <w:rFonts w:hint="eastAsia"/>
          <w:color w:val="auto"/>
          <w:highlight w:val="none"/>
        </w:rPr>
        <w:t>响应文件及其承诺，甲乙双方签订本合同。</w:t>
      </w:r>
    </w:p>
    <w:p w14:paraId="6860707A">
      <w:pPr>
        <w:snapToGrid w:val="0"/>
        <w:spacing w:line="360" w:lineRule="exact"/>
        <w:ind w:firstLine="525" w:firstLineChars="249"/>
        <w:rPr>
          <w:rFonts w:hint="eastAsia" w:ascii="宋体" w:hAnsi="宋体"/>
          <w:color w:val="auto"/>
          <w:szCs w:val="21"/>
          <w:highlight w:val="none"/>
        </w:rPr>
      </w:pPr>
      <w:r>
        <w:rPr>
          <w:rFonts w:hint="eastAsia" w:ascii="宋体" w:hAnsi="宋体"/>
          <w:b/>
          <w:color w:val="auto"/>
          <w:szCs w:val="21"/>
          <w:highlight w:val="none"/>
        </w:rPr>
        <w:t>第一条  合同标的</w:t>
      </w:r>
    </w:p>
    <w:p w14:paraId="60DDAD95">
      <w:pPr>
        <w:snapToGrid w:val="0"/>
        <w:spacing w:line="360" w:lineRule="exact"/>
        <w:ind w:firstLine="630" w:firstLineChars="300"/>
        <w:rPr>
          <w:rFonts w:hint="eastAsia" w:ascii="宋体" w:hAnsi="宋体"/>
          <w:color w:val="auto"/>
          <w:szCs w:val="21"/>
          <w:highlight w:val="none"/>
        </w:rPr>
      </w:pPr>
      <w:r>
        <w:rPr>
          <w:rFonts w:hint="eastAsia" w:ascii="宋体" w:hAnsi="宋体"/>
          <w:color w:val="auto"/>
          <w:szCs w:val="21"/>
          <w:highlight w:val="none"/>
        </w:rPr>
        <w:t>1、家具一览表</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960"/>
        <w:gridCol w:w="1090"/>
        <w:gridCol w:w="2990"/>
        <w:gridCol w:w="720"/>
        <w:gridCol w:w="720"/>
        <w:gridCol w:w="1260"/>
        <w:gridCol w:w="1260"/>
      </w:tblGrid>
      <w:tr w14:paraId="6830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468" w:type="dxa"/>
            <w:tcBorders>
              <w:top w:val="single" w:color="auto" w:sz="4" w:space="0"/>
              <w:left w:val="single" w:color="auto" w:sz="4" w:space="0"/>
              <w:bottom w:val="single" w:color="auto" w:sz="4" w:space="0"/>
              <w:right w:val="single" w:color="auto" w:sz="4" w:space="0"/>
            </w:tcBorders>
            <w:vAlign w:val="center"/>
          </w:tcPr>
          <w:p w14:paraId="3A6C4281">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序号</w:t>
            </w:r>
          </w:p>
        </w:tc>
        <w:tc>
          <w:tcPr>
            <w:tcW w:w="960" w:type="dxa"/>
            <w:tcBorders>
              <w:top w:val="single" w:color="auto" w:sz="4" w:space="0"/>
              <w:left w:val="single" w:color="auto" w:sz="4" w:space="0"/>
              <w:bottom w:val="single" w:color="auto" w:sz="4" w:space="0"/>
              <w:right w:val="single" w:color="auto" w:sz="4" w:space="0"/>
            </w:tcBorders>
            <w:vAlign w:val="center"/>
          </w:tcPr>
          <w:p w14:paraId="5784A42C">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货物</w:t>
            </w:r>
          </w:p>
          <w:p w14:paraId="18946602">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名称</w:t>
            </w:r>
          </w:p>
        </w:tc>
        <w:tc>
          <w:tcPr>
            <w:tcW w:w="1090" w:type="dxa"/>
            <w:tcBorders>
              <w:top w:val="single" w:color="auto" w:sz="4" w:space="0"/>
              <w:left w:val="single" w:color="auto" w:sz="4" w:space="0"/>
              <w:bottom w:val="single" w:color="auto" w:sz="4" w:space="0"/>
              <w:right w:val="single" w:color="auto" w:sz="4" w:space="0"/>
            </w:tcBorders>
            <w:vAlign w:val="center"/>
          </w:tcPr>
          <w:p w14:paraId="341ABB35">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品牌、型号规格、生产厂家</w:t>
            </w:r>
          </w:p>
        </w:tc>
        <w:tc>
          <w:tcPr>
            <w:tcW w:w="2990" w:type="dxa"/>
            <w:tcBorders>
              <w:top w:val="single" w:color="auto" w:sz="4" w:space="0"/>
              <w:left w:val="single" w:color="auto" w:sz="4" w:space="0"/>
              <w:bottom w:val="single" w:color="auto" w:sz="4" w:space="0"/>
              <w:right w:val="single" w:color="auto" w:sz="4" w:space="0"/>
            </w:tcBorders>
            <w:vAlign w:val="center"/>
          </w:tcPr>
          <w:p w14:paraId="1677E901">
            <w:pPr>
              <w:tabs>
                <w:tab w:val="left" w:pos="180"/>
                <w:tab w:val="left" w:pos="1620"/>
              </w:tabs>
              <w:spacing w:line="500" w:lineRule="exact"/>
              <w:jc w:val="center"/>
              <w:rPr>
                <w:rFonts w:hint="eastAsia" w:ascii="宋体" w:hAnsi="宋体"/>
                <w:color w:val="auto"/>
                <w:szCs w:val="21"/>
                <w:highlight w:val="none"/>
              </w:rPr>
            </w:pPr>
            <w:r>
              <w:rPr>
                <w:rFonts w:hint="eastAsia" w:ascii="宋体" w:hAnsi="宋体"/>
                <w:color w:val="auto"/>
                <w:szCs w:val="21"/>
                <w:highlight w:val="none"/>
              </w:rPr>
              <w:t>技术参数及性能配置</w:t>
            </w:r>
          </w:p>
          <w:p w14:paraId="7498B03D">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要求（材质工艺要求说明）</w:t>
            </w:r>
          </w:p>
        </w:tc>
        <w:tc>
          <w:tcPr>
            <w:tcW w:w="720" w:type="dxa"/>
            <w:tcBorders>
              <w:top w:val="single" w:color="auto" w:sz="4" w:space="0"/>
              <w:left w:val="single" w:color="auto" w:sz="4" w:space="0"/>
              <w:bottom w:val="single" w:color="auto" w:sz="4" w:space="0"/>
              <w:right w:val="single" w:color="auto" w:sz="4" w:space="0"/>
            </w:tcBorders>
            <w:vAlign w:val="center"/>
          </w:tcPr>
          <w:p w14:paraId="62677990">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1631B5F9">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单位</w:t>
            </w:r>
          </w:p>
        </w:tc>
        <w:tc>
          <w:tcPr>
            <w:tcW w:w="1260" w:type="dxa"/>
            <w:tcBorders>
              <w:top w:val="single" w:color="auto" w:sz="4" w:space="0"/>
              <w:left w:val="single" w:color="auto" w:sz="4" w:space="0"/>
              <w:bottom w:val="single" w:color="auto" w:sz="4" w:space="0"/>
              <w:right w:val="single" w:color="auto" w:sz="4" w:space="0"/>
            </w:tcBorders>
            <w:vAlign w:val="center"/>
          </w:tcPr>
          <w:p w14:paraId="5313066A">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单价（元）</w:t>
            </w:r>
          </w:p>
        </w:tc>
        <w:tc>
          <w:tcPr>
            <w:tcW w:w="1260" w:type="dxa"/>
            <w:tcBorders>
              <w:top w:val="single" w:color="auto" w:sz="4" w:space="0"/>
              <w:left w:val="single" w:color="auto" w:sz="4" w:space="0"/>
              <w:bottom w:val="single" w:color="auto" w:sz="4" w:space="0"/>
              <w:right w:val="single" w:color="auto" w:sz="4" w:space="0"/>
            </w:tcBorders>
            <w:vAlign w:val="center"/>
          </w:tcPr>
          <w:p w14:paraId="562C4BE5">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金额（元）</w:t>
            </w:r>
          </w:p>
        </w:tc>
      </w:tr>
      <w:tr w14:paraId="50AE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468" w:type="dxa"/>
            <w:gridSpan w:val="8"/>
            <w:tcBorders>
              <w:top w:val="single" w:color="auto" w:sz="4" w:space="0"/>
              <w:left w:val="single" w:color="auto" w:sz="4" w:space="0"/>
              <w:bottom w:val="single" w:color="auto" w:sz="4" w:space="0"/>
              <w:right w:val="single" w:color="auto" w:sz="4" w:space="0"/>
            </w:tcBorders>
            <w:vAlign w:val="center"/>
          </w:tcPr>
          <w:p w14:paraId="3E563995">
            <w:pPr>
              <w:snapToGrid w:val="0"/>
              <w:spacing w:line="360" w:lineRule="exact"/>
              <w:ind w:firstLine="3360" w:firstLineChars="1600"/>
              <w:rPr>
                <w:rFonts w:ascii="宋体" w:hAnsi="宋体"/>
                <w:color w:val="auto"/>
                <w:szCs w:val="21"/>
                <w:highlight w:val="none"/>
              </w:rPr>
            </w:pPr>
            <w:r>
              <w:rPr>
                <w:rFonts w:hint="eastAsia" w:ascii="宋体"/>
                <w:color w:val="auto"/>
                <w:szCs w:val="21"/>
                <w:highlight w:val="none"/>
              </w:rPr>
              <w:t>详细内容见“投标报价明细表”</w:t>
            </w:r>
          </w:p>
        </w:tc>
      </w:tr>
      <w:tr w14:paraId="4382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468" w:type="dxa"/>
            <w:gridSpan w:val="8"/>
            <w:tcBorders>
              <w:top w:val="single" w:color="auto" w:sz="4" w:space="0"/>
              <w:left w:val="single" w:color="auto" w:sz="4" w:space="0"/>
              <w:bottom w:val="single" w:color="auto" w:sz="4" w:space="0"/>
              <w:right w:val="single" w:color="auto" w:sz="4" w:space="0"/>
            </w:tcBorders>
            <w:vAlign w:val="center"/>
          </w:tcPr>
          <w:p w14:paraId="49EDA4AE">
            <w:pPr>
              <w:snapToGrid w:val="0"/>
              <w:spacing w:line="360" w:lineRule="exact"/>
              <w:rPr>
                <w:rFonts w:ascii="宋体" w:hAnsi="宋体"/>
                <w:color w:val="auto"/>
                <w:szCs w:val="21"/>
                <w:highlight w:val="none"/>
              </w:rPr>
            </w:pPr>
            <w:r>
              <w:rPr>
                <w:rFonts w:hint="eastAsia" w:ascii="宋体" w:hAnsi="宋体"/>
                <w:color w:val="auto"/>
                <w:szCs w:val="21"/>
                <w:highlight w:val="none"/>
              </w:rPr>
              <w:t>人民币合计金额（大写）：                                （小写）</w:t>
            </w:r>
          </w:p>
        </w:tc>
      </w:tr>
    </w:tbl>
    <w:p w14:paraId="55B07CA3">
      <w:pPr>
        <w:snapToGrid w:val="0"/>
        <w:spacing w:line="360" w:lineRule="exact"/>
        <w:ind w:right="420"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2、合同合计金额包括家具价款、备件、专用工具、安装、检验、技术资料和包装、运输等全部费用。如招响应文件对其另有规定的，从其规定。</w:t>
      </w:r>
    </w:p>
    <w:p w14:paraId="7349145F">
      <w:pPr>
        <w:snapToGrid w:val="0"/>
        <w:spacing w:line="360" w:lineRule="exact"/>
        <w:ind w:right="525" w:firstLine="656" w:firstLineChars="300"/>
        <w:rPr>
          <w:rFonts w:hint="eastAsia" w:ascii="宋体" w:hAnsi="宋体"/>
          <w:color w:val="auto"/>
          <w:spacing w:val="4"/>
          <w:szCs w:val="21"/>
          <w:highlight w:val="none"/>
        </w:rPr>
      </w:pPr>
      <w:r>
        <w:rPr>
          <w:rFonts w:hint="eastAsia" w:ascii="宋体" w:hAnsi="宋体"/>
          <w:b/>
          <w:bCs/>
          <w:color w:val="auto"/>
          <w:spacing w:val="4"/>
          <w:szCs w:val="21"/>
          <w:highlight w:val="none"/>
        </w:rPr>
        <w:t xml:space="preserve">第二条  </w:t>
      </w:r>
      <w:r>
        <w:rPr>
          <w:rFonts w:hint="eastAsia" w:ascii="宋体" w:hAnsi="宋体"/>
          <w:b/>
          <w:color w:val="auto"/>
          <w:spacing w:val="4"/>
          <w:szCs w:val="21"/>
          <w:highlight w:val="none"/>
        </w:rPr>
        <w:t>质量保证</w:t>
      </w:r>
    </w:p>
    <w:p w14:paraId="336CDBBB">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1、乙方所提供的家具规格、技术标准、材料等质量必须与招响应文件和承诺相一致。乙方提供的节能和环保产品必须是列入政府采购清单的产品。</w:t>
      </w:r>
    </w:p>
    <w:p w14:paraId="43E0819C">
      <w:pPr>
        <w:snapToGrid w:val="0"/>
        <w:spacing w:line="360" w:lineRule="exact"/>
        <w:ind w:firstLine="436" w:firstLineChars="200"/>
        <w:jc w:val="left"/>
        <w:rPr>
          <w:rFonts w:hint="eastAsia" w:ascii="宋体" w:hAnsi="宋体"/>
          <w:color w:val="auto"/>
          <w:spacing w:val="4"/>
          <w:szCs w:val="21"/>
          <w:highlight w:val="none"/>
          <w:u w:val="single"/>
        </w:rPr>
      </w:pPr>
      <w:r>
        <w:rPr>
          <w:rFonts w:hint="eastAsia" w:ascii="宋体" w:hAnsi="宋体"/>
          <w:color w:val="auto"/>
          <w:spacing w:val="4"/>
          <w:szCs w:val="21"/>
          <w:highlight w:val="none"/>
        </w:rPr>
        <w:t>2、乙方所提供的家具必须是全新、未使用的产品，且在正常使用条件下，其使用寿命应达到承诺年限。</w:t>
      </w:r>
    </w:p>
    <w:p w14:paraId="104FDEA8">
      <w:pPr>
        <w:snapToGrid w:val="0"/>
        <w:spacing w:line="360" w:lineRule="exact"/>
        <w:ind w:firstLine="652" w:firstLineChars="298"/>
        <w:rPr>
          <w:rFonts w:hint="eastAsia" w:ascii="宋体" w:hAnsi="宋体"/>
          <w:color w:val="auto"/>
          <w:spacing w:val="4"/>
          <w:szCs w:val="21"/>
          <w:highlight w:val="none"/>
        </w:rPr>
      </w:pPr>
      <w:r>
        <w:rPr>
          <w:rFonts w:hint="eastAsia" w:ascii="宋体" w:hAnsi="宋体"/>
          <w:b/>
          <w:bCs/>
          <w:color w:val="auto"/>
          <w:spacing w:val="4"/>
          <w:szCs w:val="21"/>
          <w:highlight w:val="none"/>
        </w:rPr>
        <w:t xml:space="preserve">第三条  </w:t>
      </w:r>
      <w:r>
        <w:rPr>
          <w:rFonts w:hint="eastAsia" w:ascii="宋体" w:hAnsi="宋体"/>
          <w:b/>
          <w:color w:val="auto"/>
          <w:spacing w:val="4"/>
          <w:szCs w:val="21"/>
          <w:highlight w:val="none"/>
        </w:rPr>
        <w:t>权利保证</w:t>
      </w:r>
    </w:p>
    <w:p w14:paraId="1BC9E991">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乙方应保证所提供家具在使用时不会侵犯任何第三方的专利权、商标权、工业设计权或其他权利。</w:t>
      </w:r>
    </w:p>
    <w:p w14:paraId="63B9C6BC">
      <w:pPr>
        <w:snapToGrid w:val="0"/>
        <w:spacing w:line="360" w:lineRule="exact"/>
        <w:ind w:firstLine="643" w:firstLineChars="294"/>
        <w:rPr>
          <w:rFonts w:hint="eastAsia" w:ascii="宋体" w:hAnsi="宋体"/>
          <w:b/>
          <w:bCs/>
          <w:color w:val="auto"/>
          <w:spacing w:val="4"/>
          <w:szCs w:val="21"/>
          <w:highlight w:val="none"/>
        </w:rPr>
      </w:pPr>
      <w:r>
        <w:rPr>
          <w:rFonts w:hint="eastAsia" w:ascii="宋体" w:hAnsi="宋体"/>
          <w:b/>
          <w:bCs/>
          <w:color w:val="auto"/>
          <w:spacing w:val="4"/>
          <w:szCs w:val="21"/>
          <w:highlight w:val="none"/>
        </w:rPr>
        <w:t>第四条  包装和运输</w:t>
      </w:r>
    </w:p>
    <w:p w14:paraId="072D32F4">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1、乙方提供的家具均应按招响应文件要求的包装材料、包装标准、包装方式进行包装。</w:t>
      </w:r>
    </w:p>
    <w:p w14:paraId="670C8428">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2、乙方负责家具运输，家具的运输方式：</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w:t>
      </w:r>
    </w:p>
    <w:p w14:paraId="39BC1D2B">
      <w:pPr>
        <w:snapToGrid w:val="0"/>
        <w:spacing w:line="360" w:lineRule="exact"/>
        <w:ind w:firstLine="652" w:firstLineChars="298"/>
        <w:rPr>
          <w:rFonts w:hint="eastAsia" w:ascii="宋体" w:hAnsi="宋体"/>
          <w:b/>
          <w:color w:val="auto"/>
          <w:spacing w:val="4"/>
          <w:szCs w:val="21"/>
          <w:highlight w:val="none"/>
        </w:rPr>
      </w:pPr>
      <w:r>
        <w:rPr>
          <w:rFonts w:hint="eastAsia" w:ascii="宋体" w:hAnsi="宋体"/>
          <w:b/>
          <w:color w:val="auto"/>
          <w:spacing w:val="4"/>
          <w:szCs w:val="21"/>
          <w:highlight w:val="none"/>
        </w:rPr>
        <w:t>第五条  交付和验收</w:t>
      </w:r>
    </w:p>
    <w:p w14:paraId="4E8C7936">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1、交付使用时间：</w:t>
      </w:r>
      <w:r>
        <w:rPr>
          <w:rFonts w:hint="eastAsia" w:ascii="宋体" w:hAnsi="宋体"/>
          <w:b/>
          <w:color w:val="auto"/>
          <w:spacing w:val="4"/>
          <w:szCs w:val="21"/>
          <w:highlight w:val="none"/>
          <w:u w:val="single"/>
        </w:rPr>
        <w:t>按乙方响应文件承诺的交付使用时间</w:t>
      </w:r>
      <w:r>
        <w:rPr>
          <w:rFonts w:hint="eastAsia" w:ascii="宋体" w:hAnsi="宋体"/>
          <w:color w:val="auto"/>
          <w:spacing w:val="4"/>
          <w:szCs w:val="21"/>
          <w:highlight w:val="none"/>
        </w:rPr>
        <w:t>；地点：</w:t>
      </w:r>
      <w:r>
        <w:rPr>
          <w:rFonts w:hint="eastAsia" w:ascii="宋体" w:hAnsi="宋体"/>
          <w:b/>
          <w:color w:val="auto"/>
          <w:szCs w:val="21"/>
          <w:highlight w:val="none"/>
          <w:u w:val="single"/>
          <w:lang w:eastAsia="zh-CN"/>
        </w:rPr>
        <w:t>甲方</w:t>
      </w:r>
      <w:r>
        <w:rPr>
          <w:rFonts w:hint="eastAsia" w:ascii="宋体" w:hAnsi="宋体"/>
          <w:b/>
          <w:color w:val="auto"/>
          <w:szCs w:val="21"/>
          <w:highlight w:val="none"/>
          <w:u w:val="single"/>
        </w:rPr>
        <w:t>指定地点</w:t>
      </w:r>
      <w:r>
        <w:rPr>
          <w:rFonts w:hint="eastAsia" w:ascii="宋体" w:hAnsi="宋体"/>
          <w:b/>
          <w:color w:val="auto"/>
          <w:spacing w:val="4"/>
          <w:szCs w:val="21"/>
          <w:highlight w:val="none"/>
          <w:u w:val="single"/>
        </w:rPr>
        <w:t>。</w:t>
      </w:r>
    </w:p>
    <w:p w14:paraId="335D999F">
      <w:pPr>
        <w:snapToGrid w:val="0"/>
        <w:spacing w:line="360" w:lineRule="exact"/>
        <w:ind w:firstLine="436" w:firstLineChars="200"/>
        <w:rPr>
          <w:rFonts w:hint="eastAsia" w:ascii="宋体" w:hAnsi="宋体"/>
          <w:color w:val="auto"/>
          <w:szCs w:val="21"/>
          <w:highlight w:val="none"/>
        </w:rPr>
      </w:pPr>
      <w:r>
        <w:rPr>
          <w:rFonts w:hint="eastAsia" w:ascii="宋体" w:hAnsi="宋体"/>
          <w:color w:val="auto"/>
          <w:spacing w:val="4"/>
          <w:szCs w:val="21"/>
          <w:highlight w:val="none"/>
        </w:rPr>
        <w:t>2、乙</w:t>
      </w:r>
      <w:r>
        <w:rPr>
          <w:rFonts w:hint="eastAsia" w:ascii="宋体" w:hAnsi="宋体"/>
          <w:color w:val="auto"/>
          <w:szCs w:val="21"/>
          <w:highlight w:val="none"/>
        </w:rPr>
        <w:t>方提供不符合招响应文件和本合同规定的家具，甲方有权拒绝接受。</w:t>
      </w:r>
    </w:p>
    <w:p w14:paraId="72F6AC1A">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3、乙方应按照甲方的要求，在</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年</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月</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日前安装完毕并承担安装费用。甲方应提供必要安装条件（如场地、电源等）。</w:t>
      </w:r>
    </w:p>
    <w:p w14:paraId="5387CE49">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4、甲方应当在产品安装完毕后十五个工作日内进行验收，逾期不验收的，乙方可视同验收合格。验收合格后由甲乙双方签署货物验收单并加盖采购单位公章，甲乙双方各执一份。</w:t>
      </w:r>
    </w:p>
    <w:p w14:paraId="6009A675">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5、</w:t>
      </w:r>
      <w:r>
        <w:rPr>
          <w:rFonts w:hint="eastAsia" w:ascii="宋体" w:hAnsi="宋体"/>
          <w:color w:val="auto"/>
          <w:spacing w:val="4"/>
          <w:szCs w:val="21"/>
          <w:highlight w:val="none"/>
          <w:lang w:eastAsia="zh-CN"/>
        </w:rPr>
        <w:t>甲方</w:t>
      </w:r>
      <w:r>
        <w:rPr>
          <w:rFonts w:hint="eastAsia" w:ascii="宋体" w:hAnsi="宋体"/>
          <w:color w:val="auto"/>
          <w:spacing w:val="4"/>
          <w:szCs w:val="21"/>
          <w:highlight w:val="none"/>
        </w:rPr>
        <w:t>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7F02E1AD">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6、甲方对验收有异议的，在验收后五个工作日内以书面形式向乙方提出，乙方应自收到甲方书面异议后</w:t>
      </w:r>
      <w:r>
        <w:rPr>
          <w:rFonts w:hint="eastAsia" w:ascii="宋体" w:hAnsi="宋体"/>
          <w:color w:val="auto"/>
          <w:spacing w:val="4"/>
          <w:szCs w:val="21"/>
          <w:highlight w:val="none"/>
          <w:u w:val="single"/>
        </w:rPr>
        <w:t>三</w:t>
      </w:r>
      <w:r>
        <w:rPr>
          <w:rFonts w:hint="eastAsia" w:ascii="宋体" w:hAnsi="宋体"/>
          <w:color w:val="auto"/>
          <w:spacing w:val="4"/>
          <w:szCs w:val="21"/>
          <w:highlight w:val="none"/>
        </w:rPr>
        <w:t>日内及时予以解决。</w:t>
      </w:r>
    </w:p>
    <w:p w14:paraId="1B8B6302">
      <w:pPr>
        <w:snapToGrid w:val="0"/>
        <w:spacing w:line="360" w:lineRule="exact"/>
        <w:ind w:firstLine="536" w:firstLineChars="245"/>
        <w:rPr>
          <w:rFonts w:hint="eastAsia" w:ascii="宋体" w:hAnsi="宋体"/>
          <w:color w:val="auto"/>
          <w:spacing w:val="4"/>
          <w:szCs w:val="21"/>
          <w:highlight w:val="none"/>
          <w:u w:val="single"/>
        </w:rPr>
      </w:pPr>
      <w:r>
        <w:rPr>
          <w:rFonts w:hint="eastAsia" w:ascii="宋体" w:hAnsi="宋体"/>
          <w:b/>
          <w:color w:val="auto"/>
          <w:spacing w:val="4"/>
          <w:szCs w:val="21"/>
          <w:highlight w:val="none"/>
        </w:rPr>
        <w:t xml:space="preserve">第六条  </w:t>
      </w:r>
      <w:r>
        <w:rPr>
          <w:rFonts w:hint="eastAsia" w:ascii="宋体" w:hAnsi="宋体"/>
          <w:color w:val="auto"/>
          <w:spacing w:val="4"/>
          <w:szCs w:val="21"/>
          <w:highlight w:val="none"/>
        </w:rPr>
        <w:t>定做家具图纸提供方法及要求：</w:t>
      </w:r>
      <w:r>
        <w:rPr>
          <w:rFonts w:hint="eastAsia" w:ascii="宋体" w:hAnsi="宋体"/>
          <w:color w:val="auto"/>
          <w:spacing w:val="4"/>
          <w:szCs w:val="21"/>
          <w:highlight w:val="none"/>
          <w:u w:val="single"/>
        </w:rPr>
        <w:t xml:space="preserve">                     。</w:t>
      </w:r>
    </w:p>
    <w:p w14:paraId="047A9EB8">
      <w:pPr>
        <w:snapToGrid w:val="0"/>
        <w:spacing w:line="360" w:lineRule="exact"/>
        <w:ind w:firstLine="543" w:firstLineChars="248"/>
        <w:rPr>
          <w:rFonts w:hint="eastAsia" w:ascii="宋体" w:hAnsi="宋体"/>
          <w:b/>
          <w:color w:val="auto"/>
          <w:spacing w:val="4"/>
          <w:szCs w:val="21"/>
          <w:highlight w:val="none"/>
        </w:rPr>
      </w:pPr>
      <w:r>
        <w:rPr>
          <w:rFonts w:hint="eastAsia" w:ascii="宋体" w:hAnsi="宋体"/>
          <w:b/>
          <w:bCs/>
          <w:color w:val="auto"/>
          <w:spacing w:val="4"/>
          <w:szCs w:val="21"/>
          <w:highlight w:val="none"/>
        </w:rPr>
        <w:t xml:space="preserve">第七条  </w:t>
      </w:r>
      <w:r>
        <w:rPr>
          <w:rFonts w:hint="eastAsia" w:ascii="宋体" w:hAnsi="宋体"/>
          <w:b/>
          <w:color w:val="auto"/>
          <w:spacing w:val="4"/>
          <w:szCs w:val="21"/>
          <w:highlight w:val="none"/>
        </w:rPr>
        <w:t>售后服务、保修期（质量保证期）</w:t>
      </w:r>
    </w:p>
    <w:p w14:paraId="2D7C1AE7">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1、乙方应按照国家有关法律法规和“三包”规定以及招响应文件和本合同所附的《服务承诺》，为甲方提供售后服务。</w:t>
      </w:r>
    </w:p>
    <w:p w14:paraId="63780D85">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2、家具保修期为</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个月，在保修期内出现家具质量问题，乙方须在</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rPr>
        <w:t>天内修理好或更换，并承担全部费用，家具更换后保修期重新开始计算。修理不好或不能更换的，予以退货，乙方应退回该家具全部货款。</w:t>
      </w:r>
    </w:p>
    <w:p w14:paraId="48DDE8DC">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3、乙方提供的服务承诺和售后服务及保修期责任等其它具体约定事项。（见合同附件）</w:t>
      </w:r>
    </w:p>
    <w:p w14:paraId="5F25B590">
      <w:pPr>
        <w:snapToGrid w:val="0"/>
        <w:spacing w:line="360" w:lineRule="exact"/>
        <w:ind w:firstLine="503" w:firstLineChars="230"/>
        <w:rPr>
          <w:rFonts w:hint="eastAsia" w:ascii="宋体" w:hAnsi="宋体"/>
          <w:color w:val="auto"/>
          <w:spacing w:val="4"/>
          <w:szCs w:val="21"/>
          <w:highlight w:val="none"/>
        </w:rPr>
      </w:pPr>
      <w:r>
        <w:rPr>
          <w:rFonts w:hint="eastAsia" w:ascii="宋体" w:hAnsi="宋体"/>
          <w:b/>
          <w:bCs/>
          <w:color w:val="auto"/>
          <w:spacing w:val="4"/>
          <w:szCs w:val="21"/>
          <w:highlight w:val="none"/>
        </w:rPr>
        <w:t xml:space="preserve">第八条  </w:t>
      </w:r>
      <w:r>
        <w:rPr>
          <w:rFonts w:hint="eastAsia" w:ascii="宋体" w:hAnsi="宋体"/>
          <w:b/>
          <w:color w:val="auto"/>
          <w:spacing w:val="4"/>
          <w:szCs w:val="21"/>
          <w:highlight w:val="none"/>
        </w:rPr>
        <w:t>付款方式</w:t>
      </w:r>
    </w:p>
    <w:p w14:paraId="5F8158C8">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color w:val="auto"/>
          <w:szCs w:val="21"/>
          <w:highlight w:val="none"/>
        </w:rPr>
        <w:t>当采购数量与实际使用数量不一致时，乙方应根据实际使用量供货，合同的最终结算金额按实际使用量乘以</w:t>
      </w:r>
      <w:r>
        <w:rPr>
          <w:rFonts w:ascii="宋体" w:hAnsi="宋体"/>
          <w:color w:val="auto"/>
          <w:szCs w:val="21"/>
          <w:highlight w:val="none"/>
        </w:rPr>
        <w:t>中标</w:t>
      </w:r>
      <w:r>
        <w:rPr>
          <w:rFonts w:hint="eastAsia" w:ascii="宋体" w:hAnsi="宋体"/>
          <w:color w:val="auto"/>
          <w:szCs w:val="21"/>
          <w:highlight w:val="none"/>
        </w:rPr>
        <w:t>单价进行计算。</w:t>
      </w:r>
    </w:p>
    <w:p w14:paraId="182D3A48">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w:t>
      </w:r>
      <w:r>
        <w:rPr>
          <w:rFonts w:hint="eastAsia" w:ascii="宋体" w:hAnsi="宋体"/>
          <w:color w:val="auto"/>
          <w:szCs w:val="21"/>
          <w:highlight w:val="none"/>
        </w:rPr>
        <w:t>资金性质：</w:t>
      </w:r>
      <w:r>
        <w:rPr>
          <w:rFonts w:hint="eastAsia" w:ascii="宋体" w:hAnsi="宋体"/>
          <w:color w:val="auto"/>
          <w:szCs w:val="21"/>
          <w:highlight w:val="none"/>
          <w:u w:val="single"/>
        </w:rPr>
        <w:t>财政性资金</w:t>
      </w:r>
      <w:r>
        <w:rPr>
          <w:rFonts w:hint="eastAsia" w:ascii="宋体" w:hAnsi="宋体"/>
          <w:color w:val="auto"/>
          <w:szCs w:val="21"/>
          <w:highlight w:val="none"/>
        </w:rPr>
        <w:t>。</w:t>
      </w:r>
    </w:p>
    <w:p w14:paraId="12D23001">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3.付款方式：合同签订后并向</w:t>
      </w:r>
      <w:r>
        <w:rPr>
          <w:rFonts w:hint="eastAsia" w:ascii="宋体" w:hAnsi="宋体"/>
          <w:color w:val="auto"/>
          <w:szCs w:val="21"/>
          <w:highlight w:val="none"/>
          <w:lang w:eastAsia="zh-CN"/>
        </w:rPr>
        <w:t>乙方</w:t>
      </w:r>
      <w:r>
        <w:rPr>
          <w:rFonts w:hint="eastAsia" w:ascii="宋体" w:hAnsi="宋体"/>
          <w:color w:val="auto"/>
          <w:szCs w:val="21"/>
          <w:highlight w:val="none"/>
        </w:rPr>
        <w:t>发出订货通知10个工作日内，乙方开具合同总价款的 30%的等额价值保函(保函有效期</w:t>
      </w:r>
      <w:r>
        <w:rPr>
          <w:rFonts w:hint="eastAsia" w:ascii="宋体" w:hAnsi="宋体"/>
          <w:color w:val="auto"/>
          <w:szCs w:val="21"/>
          <w:highlight w:val="none"/>
          <w:lang w:eastAsia="zh-CN"/>
        </w:rPr>
        <w:t>为自签订合同起</w:t>
      </w:r>
      <w:r>
        <w:rPr>
          <w:rFonts w:hint="eastAsia" w:ascii="宋体" w:hAnsi="宋体"/>
          <w:color w:val="auto"/>
          <w:szCs w:val="21"/>
          <w:highlight w:val="none"/>
          <w:lang w:val="en-US" w:eastAsia="zh-CN"/>
        </w:rPr>
        <w:t>6个月内</w:t>
      </w:r>
      <w:r>
        <w:rPr>
          <w:rFonts w:hint="eastAsia"/>
          <w:color w:val="auto"/>
          <w:highlight w:val="none"/>
        </w:rPr>
        <w:t>，保函到期前，若项目未完成，</w:t>
      </w:r>
      <w:r>
        <w:rPr>
          <w:rFonts w:hint="eastAsia"/>
          <w:color w:val="auto"/>
          <w:highlight w:val="none"/>
          <w:lang w:eastAsia="zh-CN"/>
        </w:rPr>
        <w:t>乙方</w:t>
      </w:r>
      <w:r>
        <w:rPr>
          <w:rFonts w:hint="eastAsia"/>
          <w:color w:val="auto"/>
          <w:highlight w:val="none"/>
        </w:rPr>
        <w:t>须在保函到期前提前1个月提交新一期保函</w:t>
      </w:r>
      <w:r>
        <w:rPr>
          <w:rFonts w:hint="eastAsia" w:ascii="宋体" w:hAnsi="宋体"/>
          <w:color w:val="auto"/>
          <w:szCs w:val="21"/>
          <w:highlight w:val="none"/>
        </w:rPr>
        <w:t>)给甲方后，甲方向</w:t>
      </w:r>
      <w:r>
        <w:rPr>
          <w:rFonts w:hint="eastAsia" w:ascii="宋体" w:hAnsi="宋体"/>
          <w:color w:val="auto"/>
          <w:szCs w:val="21"/>
          <w:highlight w:val="none"/>
          <w:lang w:eastAsia="zh-CN"/>
        </w:rPr>
        <w:t>乙方</w:t>
      </w:r>
      <w:r>
        <w:rPr>
          <w:rFonts w:hint="eastAsia" w:ascii="宋体" w:hAnsi="宋体"/>
          <w:color w:val="auto"/>
          <w:szCs w:val="21"/>
          <w:highlight w:val="none"/>
        </w:rPr>
        <w:t>支付合同价款30%预付款（</w:t>
      </w:r>
      <w:r>
        <w:rPr>
          <w:rFonts w:hint="eastAsia" w:ascii="宋体" w:hAnsi="宋体"/>
          <w:color w:val="auto"/>
          <w:szCs w:val="21"/>
          <w:highlight w:val="none"/>
          <w:lang w:eastAsia="zh-CN"/>
        </w:rPr>
        <w:t>乙方</w:t>
      </w:r>
      <w:r>
        <w:rPr>
          <w:rFonts w:hint="eastAsia" w:ascii="宋体" w:hAnsi="宋体"/>
          <w:color w:val="auto"/>
          <w:szCs w:val="21"/>
          <w:highlight w:val="none"/>
        </w:rPr>
        <w:t>须先提供</w:t>
      </w:r>
      <w:r>
        <w:rPr>
          <w:rFonts w:hint="eastAsia" w:ascii="宋体" w:hAnsi="宋体" w:eastAsia="宋体" w:cs="宋体"/>
          <w:color w:val="auto"/>
          <w:kern w:val="0"/>
          <w:sz w:val="21"/>
          <w:szCs w:val="21"/>
          <w:highlight w:val="none"/>
        </w:rPr>
        <w:t>等额有效的增值税</w:t>
      </w:r>
      <w:r>
        <w:rPr>
          <w:rFonts w:hint="eastAsia" w:ascii="宋体" w:hAnsi="宋体" w:eastAsia="宋体" w:cs="宋体"/>
          <w:color w:val="auto"/>
          <w:kern w:val="0"/>
          <w:sz w:val="21"/>
          <w:szCs w:val="21"/>
          <w:highlight w:val="none"/>
          <w:lang w:val="en-US" w:eastAsia="zh-CN"/>
        </w:rPr>
        <w:t>专用</w:t>
      </w:r>
      <w:r>
        <w:rPr>
          <w:rFonts w:hint="eastAsia" w:ascii="宋体" w:hAnsi="宋体" w:eastAsia="宋体" w:cs="宋体"/>
          <w:color w:val="auto"/>
          <w:kern w:val="0"/>
          <w:sz w:val="21"/>
          <w:szCs w:val="21"/>
          <w:highlight w:val="none"/>
        </w:rPr>
        <w:t>发票</w:t>
      </w:r>
      <w:r>
        <w:rPr>
          <w:rFonts w:hint="eastAsia" w:ascii="宋体" w:hAnsi="宋体"/>
          <w:color w:val="auto"/>
          <w:szCs w:val="21"/>
          <w:highlight w:val="none"/>
        </w:rPr>
        <w:t>），交货验收合格后，</w:t>
      </w:r>
      <w:r>
        <w:rPr>
          <w:rFonts w:hint="eastAsia" w:ascii="宋体" w:hAnsi="宋体"/>
          <w:color w:val="auto"/>
          <w:szCs w:val="21"/>
          <w:highlight w:val="none"/>
          <w:lang w:eastAsia="zh-CN"/>
        </w:rPr>
        <w:t>乙方</w:t>
      </w:r>
      <w:r>
        <w:rPr>
          <w:rFonts w:hint="eastAsia" w:ascii="宋体" w:hAnsi="宋体"/>
          <w:color w:val="auto"/>
          <w:szCs w:val="21"/>
          <w:highlight w:val="none"/>
        </w:rPr>
        <w:t>开具</w:t>
      </w:r>
      <w:r>
        <w:rPr>
          <w:rFonts w:hint="eastAsia" w:ascii="宋体" w:hAnsi="宋体" w:eastAsia="宋体" w:cs="宋体"/>
          <w:color w:val="auto"/>
          <w:kern w:val="0"/>
          <w:sz w:val="21"/>
          <w:szCs w:val="21"/>
          <w:highlight w:val="none"/>
        </w:rPr>
        <w:t>等额有效的增值税</w:t>
      </w:r>
      <w:r>
        <w:rPr>
          <w:rFonts w:hint="eastAsia" w:ascii="宋体" w:hAnsi="宋体" w:eastAsia="宋体" w:cs="宋体"/>
          <w:color w:val="auto"/>
          <w:kern w:val="0"/>
          <w:sz w:val="21"/>
          <w:szCs w:val="21"/>
          <w:highlight w:val="none"/>
          <w:lang w:val="en-US" w:eastAsia="zh-CN"/>
        </w:rPr>
        <w:t>专用</w:t>
      </w:r>
      <w:r>
        <w:rPr>
          <w:rFonts w:hint="eastAsia" w:ascii="宋体" w:hAnsi="宋体" w:eastAsia="宋体" w:cs="宋体"/>
          <w:color w:val="auto"/>
          <w:kern w:val="0"/>
          <w:sz w:val="21"/>
          <w:szCs w:val="21"/>
          <w:highlight w:val="none"/>
        </w:rPr>
        <w:t>发票</w:t>
      </w:r>
      <w:r>
        <w:rPr>
          <w:rFonts w:hint="eastAsia" w:ascii="宋体" w:hAnsi="宋体"/>
          <w:color w:val="auto"/>
          <w:szCs w:val="21"/>
          <w:highlight w:val="none"/>
        </w:rPr>
        <w:t>给</w:t>
      </w:r>
      <w:r>
        <w:rPr>
          <w:rFonts w:hint="eastAsia" w:ascii="宋体" w:hAnsi="宋体"/>
          <w:color w:val="auto"/>
          <w:szCs w:val="21"/>
          <w:highlight w:val="none"/>
          <w:lang w:eastAsia="zh-CN"/>
        </w:rPr>
        <w:t>甲方</w:t>
      </w:r>
      <w:r>
        <w:rPr>
          <w:rFonts w:hint="eastAsia" w:ascii="宋体" w:hAnsi="宋体"/>
          <w:color w:val="auto"/>
          <w:szCs w:val="21"/>
          <w:highlight w:val="none"/>
        </w:rPr>
        <w:t>，</w:t>
      </w:r>
      <w:r>
        <w:rPr>
          <w:rFonts w:hint="eastAsia" w:ascii="宋体" w:hAnsi="宋体"/>
          <w:color w:val="auto"/>
          <w:szCs w:val="21"/>
          <w:highlight w:val="none"/>
          <w:lang w:eastAsia="zh-CN"/>
        </w:rPr>
        <w:t>甲方</w:t>
      </w:r>
      <w:r>
        <w:rPr>
          <w:rFonts w:hint="eastAsia" w:ascii="宋体" w:hAnsi="宋体"/>
          <w:color w:val="auto"/>
          <w:szCs w:val="21"/>
          <w:highlight w:val="none"/>
        </w:rPr>
        <w:t>收到</w:t>
      </w:r>
      <w:r>
        <w:rPr>
          <w:rFonts w:hint="eastAsia" w:ascii="宋体" w:hAnsi="宋体"/>
          <w:color w:val="auto"/>
          <w:szCs w:val="21"/>
          <w:highlight w:val="none"/>
          <w:lang w:eastAsia="zh-CN"/>
        </w:rPr>
        <w:t>合法</w:t>
      </w:r>
      <w:r>
        <w:rPr>
          <w:rFonts w:hint="eastAsia" w:ascii="宋体" w:hAnsi="宋体"/>
          <w:color w:val="auto"/>
          <w:szCs w:val="21"/>
          <w:highlight w:val="none"/>
        </w:rPr>
        <w:t>发票后在20个工作日内一次性付清尾款（合同价款70%）。</w:t>
      </w:r>
    </w:p>
    <w:p w14:paraId="3B43D639">
      <w:pPr>
        <w:spacing w:line="360" w:lineRule="exact"/>
        <w:jc w:val="left"/>
        <w:rPr>
          <w:rFonts w:hint="eastAsia" w:ascii="宋体" w:hAnsi="宋体"/>
          <w:b/>
          <w:color w:val="auto"/>
          <w:szCs w:val="21"/>
          <w:highlight w:val="none"/>
        </w:rPr>
      </w:pPr>
      <w:r>
        <w:rPr>
          <w:rFonts w:hint="eastAsia" w:ascii="宋体" w:hAnsi="宋体"/>
          <w:b/>
          <w:color w:val="auto"/>
          <w:szCs w:val="21"/>
          <w:highlight w:val="none"/>
        </w:rPr>
        <w:t>第九条 履约保证金 ：</w:t>
      </w:r>
    </w:p>
    <w:p w14:paraId="6CD3BC52">
      <w:pPr>
        <w:spacing w:line="360" w:lineRule="exact"/>
        <w:jc w:val="left"/>
        <w:rPr>
          <w:rFonts w:hint="eastAsia" w:hAnsi="宋体"/>
          <w:color w:val="auto"/>
          <w:szCs w:val="21"/>
          <w:highlight w:val="none"/>
        </w:rPr>
      </w:pPr>
      <w:r>
        <w:rPr>
          <w:rFonts w:hint="eastAsia" w:ascii="宋体" w:hAnsi="宋体"/>
          <w:b/>
          <w:color w:val="auto"/>
          <w:szCs w:val="21"/>
          <w:highlight w:val="none"/>
          <w:lang w:val="en-US" w:eastAsia="zh-CN"/>
        </w:rPr>
        <w:t xml:space="preserve">    </w:t>
      </w:r>
      <w:r>
        <w:rPr>
          <w:rFonts w:hint="eastAsia" w:hAnsi="宋体"/>
          <w:color w:val="auto"/>
          <w:szCs w:val="21"/>
          <w:highlight w:val="none"/>
        </w:rPr>
        <w:t>1、履约保证金金额：中标金额的 5 %</w:t>
      </w:r>
      <w:r>
        <w:rPr>
          <w:rFonts w:hint="eastAsia" w:ascii="宋体" w:hAnsi="宋体" w:cs="宋体"/>
          <w:color w:val="auto"/>
          <w:szCs w:val="21"/>
          <w:highlight w:val="none"/>
        </w:rPr>
        <w:t>（如</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为中小企业的，按本项目中标总金额的2</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%）收取</w:t>
      </w:r>
      <w:r>
        <w:rPr>
          <w:rFonts w:hint="eastAsia" w:hAnsi="宋体"/>
          <w:color w:val="auto"/>
          <w:szCs w:val="21"/>
          <w:highlight w:val="none"/>
        </w:rPr>
        <w:t>。</w:t>
      </w:r>
    </w:p>
    <w:p w14:paraId="5CE3A478">
      <w:pPr>
        <w:spacing w:line="360" w:lineRule="exact"/>
        <w:jc w:val="left"/>
        <w:rPr>
          <w:rFonts w:hint="eastAsia" w:hAnsi="宋体"/>
          <w:color w:val="auto"/>
          <w:szCs w:val="21"/>
          <w:highlight w:val="none"/>
        </w:rPr>
      </w:pPr>
      <w:r>
        <w:rPr>
          <w:rFonts w:hint="eastAsia" w:hAnsi="宋体"/>
          <w:color w:val="auto"/>
          <w:szCs w:val="21"/>
          <w:highlight w:val="none"/>
          <w:lang w:val="en-US" w:eastAsia="zh-CN"/>
        </w:rPr>
        <w:t xml:space="preserve">    </w:t>
      </w:r>
      <w:r>
        <w:rPr>
          <w:rFonts w:hint="eastAsia" w:hAnsi="宋体"/>
          <w:color w:val="auto"/>
          <w:szCs w:val="21"/>
          <w:highlight w:val="none"/>
        </w:rPr>
        <w:t>2、履约保证金递交方式：支票、汇票、本票、网上银行等非现金形式。</w:t>
      </w:r>
    </w:p>
    <w:p w14:paraId="1BC76995">
      <w:pPr>
        <w:spacing w:line="360" w:lineRule="exact"/>
        <w:jc w:val="left"/>
        <w:rPr>
          <w:rFonts w:hint="eastAsia" w:hAnsi="宋体"/>
          <w:color w:val="auto"/>
          <w:szCs w:val="21"/>
          <w:highlight w:val="none"/>
        </w:rPr>
      </w:pPr>
      <w:r>
        <w:rPr>
          <w:rFonts w:hint="eastAsia" w:hAnsi="宋体"/>
          <w:color w:val="auto"/>
          <w:szCs w:val="21"/>
          <w:highlight w:val="none"/>
          <w:lang w:val="en-US" w:eastAsia="zh-CN"/>
        </w:rPr>
        <w:t xml:space="preserve">    </w:t>
      </w:r>
      <w:r>
        <w:rPr>
          <w:rFonts w:hint="eastAsia" w:hAnsi="宋体"/>
          <w:color w:val="auto"/>
          <w:szCs w:val="21"/>
          <w:highlight w:val="none"/>
        </w:rPr>
        <w:t>3、履约保证金递交时间：签订合同后5个工作日内由成交方转入</w:t>
      </w:r>
      <w:r>
        <w:rPr>
          <w:rFonts w:hint="eastAsia" w:hAnsi="宋体"/>
          <w:color w:val="auto"/>
          <w:szCs w:val="21"/>
          <w:highlight w:val="none"/>
          <w:lang w:eastAsia="zh-CN"/>
        </w:rPr>
        <w:t>甲方</w:t>
      </w:r>
      <w:r>
        <w:rPr>
          <w:rFonts w:hint="eastAsia" w:hAnsi="宋体"/>
          <w:color w:val="auto"/>
          <w:szCs w:val="21"/>
          <w:highlight w:val="none"/>
        </w:rPr>
        <w:t>指定保证金账户。</w:t>
      </w:r>
    </w:p>
    <w:p w14:paraId="65D7CBA3">
      <w:pPr>
        <w:spacing w:line="360" w:lineRule="exact"/>
        <w:jc w:val="left"/>
        <w:rPr>
          <w:rFonts w:hint="eastAsia" w:hAnsi="宋体"/>
          <w:color w:val="auto"/>
          <w:szCs w:val="21"/>
          <w:highlight w:val="none"/>
        </w:rPr>
      </w:pPr>
      <w:r>
        <w:rPr>
          <w:rFonts w:hint="eastAsia" w:hAnsi="宋体"/>
          <w:color w:val="auto"/>
          <w:szCs w:val="21"/>
          <w:highlight w:val="none"/>
          <w:lang w:val="en-US" w:eastAsia="zh-CN"/>
        </w:rPr>
        <w:t xml:space="preserve">    </w:t>
      </w:r>
      <w:r>
        <w:rPr>
          <w:rFonts w:hint="eastAsia" w:hAnsi="宋体"/>
          <w:color w:val="auto"/>
          <w:szCs w:val="21"/>
          <w:highlight w:val="none"/>
        </w:rPr>
        <w:t>4、履约保证金退还：验收合格后无质量问题，</w:t>
      </w:r>
      <w:r>
        <w:rPr>
          <w:rFonts w:hint="eastAsia" w:ascii="Times New Roman" w:hAnsi="宋体" w:eastAsia="宋体" w:cs="Times New Roman"/>
          <w:color w:val="auto"/>
          <w:kern w:val="2"/>
          <w:sz w:val="21"/>
          <w:szCs w:val="21"/>
          <w:highlight w:val="none"/>
          <w:lang w:val="en-US" w:eastAsia="zh-CN"/>
        </w:rPr>
        <w:t>且待</w:t>
      </w:r>
      <w:r>
        <w:rPr>
          <w:rFonts w:hint="eastAsia" w:ascii="Times New Roman" w:hAnsi="宋体" w:eastAsia="宋体" w:cs="Times New Roman"/>
          <w:color w:val="auto"/>
          <w:kern w:val="2"/>
          <w:sz w:val="21"/>
          <w:szCs w:val="21"/>
          <w:highlight w:val="none"/>
          <w:lang w:eastAsia="zh-CN"/>
        </w:rPr>
        <w:t>中标</w:t>
      </w:r>
      <w:r>
        <w:rPr>
          <w:rFonts w:hint="eastAsia" w:ascii="Times New Roman" w:hAnsi="宋体" w:eastAsia="宋体" w:cs="Times New Roman"/>
          <w:color w:val="auto"/>
          <w:kern w:val="2"/>
          <w:sz w:val="21"/>
          <w:szCs w:val="21"/>
          <w:highlight w:val="none"/>
        </w:rPr>
        <w:t>供应商</w:t>
      </w:r>
      <w:r>
        <w:rPr>
          <w:rFonts w:hint="eastAsia" w:ascii="Times New Roman" w:hAnsi="宋体" w:eastAsia="宋体" w:cs="Times New Roman"/>
          <w:color w:val="auto"/>
          <w:kern w:val="2"/>
          <w:sz w:val="21"/>
          <w:szCs w:val="21"/>
          <w:highlight w:val="none"/>
          <w:lang w:val="en-US" w:eastAsia="zh-CN"/>
        </w:rPr>
        <w:t>履行完质保义务后无息退还</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szCs w:val="21"/>
          <w:highlight w:val="none"/>
        </w:rPr>
        <w:t>中标供应</w:t>
      </w:r>
      <w:r>
        <w:rPr>
          <w:rFonts w:hint="eastAsia" w:hAnsi="宋体"/>
          <w:color w:val="auto"/>
          <w:szCs w:val="21"/>
          <w:highlight w:val="none"/>
        </w:rPr>
        <w:t>提供《政府采购项目履约保证金退付意见书》及《政府采购项目合同验收报告》，向</w:t>
      </w:r>
      <w:r>
        <w:rPr>
          <w:rFonts w:hint="eastAsia" w:hAnsi="宋体"/>
          <w:color w:val="auto"/>
          <w:szCs w:val="21"/>
          <w:highlight w:val="none"/>
          <w:lang w:eastAsia="zh-CN"/>
        </w:rPr>
        <w:t>甲方</w:t>
      </w:r>
      <w:r>
        <w:rPr>
          <w:rFonts w:hint="eastAsia" w:hAnsi="宋体"/>
          <w:color w:val="auto"/>
          <w:szCs w:val="21"/>
          <w:highlight w:val="none"/>
        </w:rPr>
        <w:t>提出书面申请退还，</w:t>
      </w:r>
      <w:r>
        <w:rPr>
          <w:rFonts w:hint="eastAsia" w:hAnsi="宋体"/>
          <w:color w:val="auto"/>
          <w:szCs w:val="21"/>
          <w:highlight w:val="none"/>
          <w:lang w:eastAsia="zh-CN"/>
        </w:rPr>
        <w:t>甲方</w:t>
      </w:r>
      <w:r>
        <w:rPr>
          <w:rFonts w:hint="eastAsia" w:hAnsi="宋体"/>
          <w:color w:val="auto"/>
          <w:szCs w:val="21"/>
          <w:highlight w:val="none"/>
        </w:rPr>
        <w:t>在收到申请后二十个工作日内以银行转账方式无息退还。</w:t>
      </w:r>
    </w:p>
    <w:p w14:paraId="50716E94">
      <w:pPr>
        <w:spacing w:line="360" w:lineRule="exact"/>
        <w:jc w:val="left"/>
        <w:rPr>
          <w:rFonts w:hint="eastAsia" w:hAnsi="宋体"/>
          <w:color w:val="auto"/>
          <w:szCs w:val="21"/>
          <w:highlight w:val="none"/>
        </w:rPr>
      </w:pPr>
      <w:r>
        <w:rPr>
          <w:rFonts w:hint="eastAsia" w:hAnsi="宋体"/>
          <w:color w:val="auto"/>
          <w:szCs w:val="21"/>
          <w:highlight w:val="none"/>
          <w:lang w:val="en-US" w:eastAsia="zh-CN"/>
        </w:rPr>
        <w:t xml:space="preserve">    </w:t>
      </w:r>
      <w:r>
        <w:rPr>
          <w:rFonts w:hint="eastAsia" w:hAnsi="宋体"/>
          <w:color w:val="auto"/>
          <w:szCs w:val="21"/>
          <w:highlight w:val="none"/>
        </w:rPr>
        <w:t xml:space="preserve">保证金指定账户： </w:t>
      </w:r>
    </w:p>
    <w:p w14:paraId="5B933766">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开户名：</w:t>
      </w:r>
      <w:r>
        <w:rPr>
          <w:rFonts w:hint="eastAsia" w:ascii="宋体" w:hAnsi="宋体" w:cs="宋体"/>
          <w:color w:val="auto"/>
          <w:szCs w:val="21"/>
          <w:highlight w:val="none"/>
        </w:rPr>
        <w:t>广西建设职业技术学院</w:t>
      </w:r>
    </w:p>
    <w:p w14:paraId="1C21C777">
      <w:pPr>
        <w:widowControl/>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开户行：</w:t>
      </w:r>
      <w:r>
        <w:rPr>
          <w:rFonts w:hint="eastAsia" w:ascii="宋体" w:hAnsi="宋体" w:cs="宋体"/>
          <w:color w:val="auto"/>
          <w:szCs w:val="21"/>
          <w:highlight w:val="none"/>
        </w:rPr>
        <w:t>建行南宁市高新支行</w:t>
      </w:r>
    </w:p>
    <w:p w14:paraId="770E55B7">
      <w:pPr>
        <w:snapToGrid w:val="0"/>
        <w:spacing w:line="320" w:lineRule="exact"/>
        <w:ind w:left="-61" w:leftChars="-29" w:firstLine="514" w:firstLineChars="245"/>
        <w:rPr>
          <w:rFonts w:ascii="宋体" w:hAnsi="Courier New" w:cs="Courier New"/>
          <w:color w:val="auto"/>
          <w:szCs w:val="21"/>
          <w:highlight w:val="none"/>
          <w:u w:val="single"/>
        </w:rPr>
      </w:pPr>
      <w:r>
        <w:rPr>
          <w:rFonts w:hint="eastAsia" w:ascii="宋体" w:hAnsi="宋体" w:eastAsia="宋体" w:cs="宋体"/>
          <w:color w:val="auto"/>
          <w:kern w:val="0"/>
          <w:sz w:val="21"/>
          <w:szCs w:val="21"/>
          <w:highlight w:val="none"/>
        </w:rPr>
        <w:t>账  号：</w:t>
      </w:r>
      <w:r>
        <w:rPr>
          <w:rFonts w:hint="eastAsia" w:ascii="宋体" w:hAnsi="宋体" w:cs="宋体"/>
          <w:color w:val="auto"/>
          <w:szCs w:val="21"/>
          <w:highlight w:val="none"/>
        </w:rPr>
        <w:t>45001604850059000000</w:t>
      </w:r>
      <w:r>
        <w:rPr>
          <w:rFonts w:hint="eastAsia" w:ascii="宋体" w:hAnsi="宋体" w:cs="宋体"/>
          <w:color w:val="auto"/>
          <w:szCs w:val="21"/>
          <w:highlight w:val="none"/>
        </w:rPr>
        <w:t>。</w:t>
      </w:r>
    </w:p>
    <w:p w14:paraId="27BC9F33">
      <w:pPr>
        <w:snapToGrid w:val="0"/>
        <w:spacing w:line="360" w:lineRule="exact"/>
        <w:ind w:firstLine="438" w:firstLineChars="200"/>
        <w:rPr>
          <w:rFonts w:ascii="宋体" w:hAnsi="宋体"/>
          <w:b/>
          <w:color w:val="auto"/>
          <w:spacing w:val="4"/>
          <w:szCs w:val="21"/>
          <w:highlight w:val="none"/>
        </w:rPr>
      </w:pPr>
      <w:r>
        <w:rPr>
          <w:rFonts w:hint="eastAsia" w:ascii="宋体" w:hAnsi="宋体"/>
          <w:b/>
          <w:color w:val="auto"/>
          <w:spacing w:val="4"/>
          <w:szCs w:val="21"/>
          <w:highlight w:val="none"/>
        </w:rPr>
        <w:t>第十条  合同的变更、终止与转让</w:t>
      </w:r>
    </w:p>
    <w:p w14:paraId="197DDB69">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1、除《中华人民共和国政府采购法》第五十条规定的情形外，本合同一经签订，甲乙双方不得擅自变更、中止或终止。</w:t>
      </w:r>
    </w:p>
    <w:p w14:paraId="189A90E2">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2、乙方不得擅自转让其应履行的合同义务。</w:t>
      </w:r>
    </w:p>
    <w:p w14:paraId="7E1D51DE">
      <w:pPr>
        <w:snapToGrid w:val="0"/>
        <w:spacing w:line="360" w:lineRule="exact"/>
        <w:ind w:firstLine="438" w:firstLineChars="200"/>
        <w:rPr>
          <w:rFonts w:hint="eastAsia" w:ascii="宋体" w:hAnsi="宋体"/>
          <w:b/>
          <w:color w:val="auto"/>
          <w:spacing w:val="4"/>
          <w:szCs w:val="21"/>
          <w:highlight w:val="none"/>
        </w:rPr>
      </w:pPr>
      <w:r>
        <w:rPr>
          <w:rFonts w:hint="eastAsia" w:ascii="宋体" w:hAnsi="宋体"/>
          <w:b/>
          <w:color w:val="auto"/>
          <w:spacing w:val="4"/>
          <w:szCs w:val="21"/>
          <w:highlight w:val="none"/>
        </w:rPr>
        <w:t>第十一条  违约责任</w:t>
      </w:r>
    </w:p>
    <w:p w14:paraId="6914E0B1">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1、乙方所提供的家具规格、技术标准、材料等质量不合格的，应及时更换，更换不及时的按逾期交货处罚；因质量问题甲方不同意接收的或特殊情况甲方同意接收的，乙方应向甲方支付违约货款额 5%违约金并乙方应赔偿甲方经济损失。</w:t>
      </w:r>
    </w:p>
    <w:p w14:paraId="33DA59C2">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2、乙方提供的货物如侵犯第三方合法权益而引发的任何纠纷或诉讼，均由乙方负责交涉并承担全部责任。</w:t>
      </w:r>
    </w:p>
    <w:p w14:paraId="735461FD">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3、因包装、运输引起的货物损坏，按质量不合格处罚。</w:t>
      </w:r>
    </w:p>
    <w:p w14:paraId="06ECFDCB">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4、甲方无故延期接收货物、乙方逾期交货的，每天向对方偿付违约货款额</w:t>
      </w:r>
      <w:r>
        <w:rPr>
          <w:rFonts w:hint="eastAsia" w:ascii="宋体" w:hAnsi="宋体"/>
          <w:color w:val="auto"/>
          <w:spacing w:val="4"/>
          <w:szCs w:val="21"/>
          <w:highlight w:val="none"/>
          <w:u w:val="single"/>
          <w:lang w:val="en-US" w:eastAsia="zh-CN"/>
        </w:rPr>
        <w:t xml:space="preserve">       </w:t>
      </w:r>
      <w:r>
        <w:rPr>
          <w:rFonts w:hint="eastAsia" w:ascii="宋体" w:hAnsi="宋体"/>
          <w:color w:val="auto"/>
          <w:spacing w:val="4"/>
          <w:szCs w:val="21"/>
          <w:highlight w:val="none"/>
          <w:u w:val="single"/>
        </w:rPr>
        <w:t>‰</w:t>
      </w:r>
      <w:r>
        <w:rPr>
          <w:rFonts w:hint="eastAsia" w:ascii="宋体" w:hAnsi="宋体"/>
          <w:color w:val="auto"/>
          <w:spacing w:val="4"/>
          <w:szCs w:val="21"/>
          <w:highlight w:val="none"/>
          <w:u w:val="single"/>
          <w:lang w:val="en-US" w:eastAsia="zh-CN"/>
        </w:rPr>
        <w:t xml:space="preserve">  </w:t>
      </w:r>
      <w:r>
        <w:rPr>
          <w:rFonts w:hint="eastAsia" w:ascii="宋体" w:hAnsi="宋体"/>
          <w:color w:val="auto"/>
          <w:spacing w:val="4"/>
          <w:szCs w:val="21"/>
          <w:highlight w:val="none"/>
        </w:rPr>
        <w:t>违约金，但违约金累计不得超过违约货款额</w:t>
      </w:r>
      <w:r>
        <w:rPr>
          <w:rFonts w:hint="eastAsia" w:ascii="宋体" w:hAnsi="宋体"/>
          <w:color w:val="auto"/>
          <w:spacing w:val="4"/>
          <w:szCs w:val="21"/>
          <w:highlight w:val="none"/>
          <w:u w:val="single"/>
          <w:lang w:val="en-US" w:eastAsia="zh-CN"/>
        </w:rPr>
        <w:t xml:space="preserve">       </w:t>
      </w:r>
      <w:r>
        <w:rPr>
          <w:rFonts w:hint="eastAsia" w:ascii="宋体" w:hAnsi="宋体"/>
          <w:color w:val="auto"/>
          <w:spacing w:val="4"/>
          <w:szCs w:val="21"/>
          <w:highlight w:val="none"/>
          <w:u w:val="single"/>
        </w:rPr>
        <w:t>%</w:t>
      </w:r>
      <w:r>
        <w:rPr>
          <w:rFonts w:hint="eastAsia" w:ascii="宋体" w:hAnsi="宋体"/>
          <w:color w:val="auto"/>
          <w:spacing w:val="4"/>
          <w:szCs w:val="21"/>
          <w:highlight w:val="none"/>
          <w:u w:val="single"/>
          <w:lang w:val="en-US" w:eastAsia="zh-CN"/>
        </w:rPr>
        <w:t xml:space="preserve">  </w:t>
      </w:r>
      <w:r>
        <w:rPr>
          <w:rFonts w:hint="eastAsia" w:ascii="宋体" w:hAnsi="宋体"/>
          <w:color w:val="auto"/>
          <w:spacing w:val="4"/>
          <w:szCs w:val="21"/>
          <w:highlight w:val="none"/>
        </w:rPr>
        <w:t>，超过</w:t>
      </w:r>
      <w:r>
        <w:rPr>
          <w:rFonts w:hint="eastAsia" w:ascii="宋体" w:hAnsi="宋体"/>
          <w:color w:val="auto"/>
          <w:spacing w:val="4"/>
          <w:szCs w:val="21"/>
          <w:highlight w:val="none"/>
          <w:u w:val="single"/>
          <w:lang w:val="en-US" w:eastAsia="zh-CN"/>
        </w:rPr>
        <w:t xml:space="preserve">      </w:t>
      </w:r>
      <w:r>
        <w:rPr>
          <w:rFonts w:hint="eastAsia" w:ascii="宋体" w:hAnsi="宋体"/>
          <w:color w:val="auto"/>
          <w:spacing w:val="4"/>
          <w:szCs w:val="21"/>
          <w:highlight w:val="none"/>
        </w:rPr>
        <w:t>天对方有权解除合同，违约方承担因此给对方造成经济损失；甲方延期付货款的，每天向乙方偿付延期货款额</w:t>
      </w:r>
      <w:r>
        <w:rPr>
          <w:rFonts w:hint="eastAsia" w:ascii="宋体" w:hAnsi="宋体"/>
          <w:color w:val="auto"/>
          <w:spacing w:val="4"/>
          <w:szCs w:val="21"/>
          <w:highlight w:val="none"/>
          <w:u w:val="single"/>
          <w:lang w:val="en-US" w:eastAsia="zh-CN"/>
        </w:rPr>
        <w:t xml:space="preserve">      </w:t>
      </w:r>
      <w:r>
        <w:rPr>
          <w:rFonts w:hint="eastAsia" w:ascii="宋体" w:hAnsi="宋体"/>
          <w:color w:val="auto"/>
          <w:spacing w:val="4"/>
          <w:szCs w:val="21"/>
          <w:highlight w:val="none"/>
          <w:u w:val="single"/>
        </w:rPr>
        <w:t>‰</w:t>
      </w:r>
      <w:r>
        <w:rPr>
          <w:rFonts w:hint="eastAsia" w:ascii="宋体" w:hAnsi="宋体"/>
          <w:color w:val="auto"/>
          <w:spacing w:val="4"/>
          <w:szCs w:val="21"/>
          <w:highlight w:val="none"/>
          <w:u w:val="single"/>
          <w:lang w:val="en-US" w:eastAsia="zh-CN"/>
        </w:rPr>
        <w:t xml:space="preserve">  </w:t>
      </w:r>
      <w:r>
        <w:rPr>
          <w:rFonts w:hint="eastAsia" w:ascii="宋体" w:hAnsi="宋体"/>
          <w:color w:val="auto"/>
          <w:spacing w:val="4"/>
          <w:szCs w:val="21"/>
          <w:highlight w:val="none"/>
        </w:rPr>
        <w:t>违约金，但违约金累计不得超过延期货款额</w:t>
      </w:r>
      <w:r>
        <w:rPr>
          <w:rFonts w:hint="eastAsia" w:ascii="宋体" w:hAnsi="宋体"/>
          <w:color w:val="auto"/>
          <w:spacing w:val="4"/>
          <w:szCs w:val="21"/>
          <w:highlight w:val="none"/>
          <w:u w:val="single"/>
          <w:lang w:val="en-US" w:eastAsia="zh-CN"/>
        </w:rPr>
        <w:t xml:space="preserve">     </w:t>
      </w:r>
      <w:r>
        <w:rPr>
          <w:rFonts w:hint="eastAsia" w:ascii="宋体" w:hAnsi="宋体"/>
          <w:color w:val="auto"/>
          <w:spacing w:val="4"/>
          <w:szCs w:val="21"/>
          <w:highlight w:val="none"/>
          <w:u w:val="single"/>
        </w:rPr>
        <w:t>%</w:t>
      </w:r>
      <w:r>
        <w:rPr>
          <w:rFonts w:hint="eastAsia" w:ascii="宋体" w:hAnsi="宋体"/>
          <w:color w:val="auto"/>
          <w:spacing w:val="4"/>
          <w:szCs w:val="21"/>
          <w:highlight w:val="none"/>
          <w:u w:val="single"/>
          <w:lang w:val="en-US" w:eastAsia="zh-CN"/>
        </w:rPr>
        <w:t xml:space="preserve"> </w:t>
      </w:r>
      <w:r>
        <w:rPr>
          <w:rFonts w:hint="eastAsia" w:ascii="宋体" w:hAnsi="宋体"/>
          <w:color w:val="auto"/>
          <w:spacing w:val="4"/>
          <w:szCs w:val="21"/>
          <w:highlight w:val="none"/>
        </w:rPr>
        <w:t>。</w:t>
      </w:r>
    </w:p>
    <w:p w14:paraId="7142C173">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5、乙方未按本合同和响应文件中规定的服务承诺提供售后服务的，乙方应按本合同合计金额</w:t>
      </w:r>
      <w:r>
        <w:rPr>
          <w:rFonts w:hint="eastAsia" w:ascii="宋体" w:hAnsi="宋体"/>
          <w:color w:val="auto"/>
          <w:spacing w:val="4"/>
          <w:szCs w:val="21"/>
          <w:highlight w:val="none"/>
          <w:u w:val="single"/>
        </w:rPr>
        <w:t xml:space="preserve"> </w:t>
      </w:r>
      <w:r>
        <w:rPr>
          <w:rFonts w:hint="eastAsia" w:ascii="宋体" w:hAnsi="宋体"/>
          <w:color w:val="auto"/>
          <w:spacing w:val="4"/>
          <w:szCs w:val="21"/>
          <w:highlight w:val="none"/>
          <w:u w:val="single"/>
          <w:lang w:val="en-US" w:eastAsia="zh-CN"/>
        </w:rPr>
        <w:t xml:space="preserve">    </w:t>
      </w:r>
      <w:r>
        <w:rPr>
          <w:rFonts w:hint="eastAsia" w:ascii="宋体" w:hAnsi="宋体"/>
          <w:color w:val="auto"/>
          <w:spacing w:val="4"/>
          <w:szCs w:val="21"/>
          <w:highlight w:val="none"/>
        </w:rPr>
        <w:t>%向甲方支付违约金。</w:t>
      </w:r>
    </w:p>
    <w:p w14:paraId="697D5062">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6、</w:t>
      </w:r>
      <w:r>
        <w:rPr>
          <w:rFonts w:hint="eastAsia" w:ascii="宋体" w:hAnsi="宋体"/>
          <w:color w:val="auto"/>
          <w:szCs w:val="21"/>
          <w:highlight w:val="none"/>
        </w:rPr>
        <w:t>乙方提供的货物在质量保证期内，因设计、工艺或材料的缺陷和其它质量原因造成的问题，由乙方负责，费用从</w:t>
      </w:r>
      <w:r>
        <w:rPr>
          <w:rFonts w:hint="eastAsia" w:ascii="宋体" w:hAnsi="宋体"/>
          <w:b/>
          <w:color w:val="auto"/>
          <w:szCs w:val="21"/>
          <w:highlight w:val="none"/>
        </w:rPr>
        <w:t>履约保证金</w:t>
      </w:r>
      <w:r>
        <w:rPr>
          <w:rFonts w:hint="eastAsia" w:ascii="宋体" w:hAnsi="宋体"/>
          <w:color w:val="auto"/>
          <w:szCs w:val="21"/>
          <w:highlight w:val="none"/>
        </w:rPr>
        <w:t>中扣除，</w:t>
      </w:r>
      <w:r>
        <w:rPr>
          <w:rFonts w:hint="eastAsia" w:ascii="宋体" w:hAnsi="宋体"/>
          <w:b/>
          <w:color w:val="auto"/>
          <w:szCs w:val="21"/>
          <w:highlight w:val="none"/>
        </w:rPr>
        <w:t>履约保证金</w:t>
      </w:r>
      <w:r>
        <w:rPr>
          <w:rFonts w:hint="eastAsia" w:ascii="宋体" w:hAnsi="宋体"/>
          <w:color w:val="auto"/>
          <w:szCs w:val="21"/>
          <w:highlight w:val="none"/>
        </w:rPr>
        <w:t>不足以支付的，由乙方另行支付</w:t>
      </w:r>
      <w:r>
        <w:rPr>
          <w:rFonts w:hint="eastAsia" w:ascii="宋体" w:hAnsi="宋体"/>
          <w:color w:val="auto"/>
          <w:spacing w:val="4"/>
          <w:szCs w:val="21"/>
          <w:highlight w:val="none"/>
        </w:rPr>
        <w:t>。</w:t>
      </w:r>
    </w:p>
    <w:p w14:paraId="1AAA9264">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7、其它违约行为按违约货款额</w:t>
      </w:r>
      <w:r>
        <w:rPr>
          <w:rFonts w:hint="eastAsia" w:ascii="宋体" w:hAnsi="宋体"/>
          <w:color w:val="auto"/>
          <w:spacing w:val="4"/>
          <w:szCs w:val="21"/>
          <w:highlight w:val="none"/>
          <w:u w:val="single"/>
          <w:lang w:val="en-US" w:eastAsia="zh-CN"/>
        </w:rPr>
        <w:t xml:space="preserve">      </w:t>
      </w:r>
      <w:r>
        <w:rPr>
          <w:rFonts w:hint="eastAsia" w:ascii="宋体" w:hAnsi="宋体"/>
          <w:color w:val="auto"/>
          <w:spacing w:val="4"/>
          <w:szCs w:val="21"/>
          <w:highlight w:val="none"/>
          <w:u w:val="single"/>
        </w:rPr>
        <w:t>%</w:t>
      </w:r>
      <w:r>
        <w:rPr>
          <w:rFonts w:hint="eastAsia" w:ascii="宋体" w:hAnsi="宋体"/>
          <w:color w:val="auto"/>
          <w:spacing w:val="4"/>
          <w:szCs w:val="21"/>
          <w:highlight w:val="none"/>
          <w:u w:val="single"/>
          <w:lang w:val="en-US" w:eastAsia="zh-CN"/>
        </w:rPr>
        <w:t xml:space="preserve">  </w:t>
      </w:r>
      <w:r>
        <w:rPr>
          <w:rFonts w:hint="eastAsia" w:ascii="宋体" w:hAnsi="宋体"/>
          <w:color w:val="auto"/>
          <w:spacing w:val="4"/>
          <w:szCs w:val="21"/>
          <w:highlight w:val="none"/>
        </w:rPr>
        <w:t>收取违约金并赔偿经济损失。</w:t>
      </w:r>
    </w:p>
    <w:p w14:paraId="1ACBF8DA">
      <w:pPr>
        <w:snapToGrid w:val="0"/>
        <w:spacing w:line="360" w:lineRule="exact"/>
        <w:ind w:firstLine="438" w:firstLineChars="200"/>
        <w:rPr>
          <w:rFonts w:hint="eastAsia" w:ascii="宋体" w:hAnsi="宋体"/>
          <w:color w:val="auto"/>
          <w:spacing w:val="4"/>
          <w:szCs w:val="21"/>
          <w:highlight w:val="none"/>
        </w:rPr>
      </w:pPr>
      <w:r>
        <w:rPr>
          <w:rFonts w:hint="eastAsia" w:ascii="宋体" w:hAnsi="宋体"/>
          <w:b/>
          <w:color w:val="auto"/>
          <w:spacing w:val="4"/>
          <w:szCs w:val="21"/>
          <w:highlight w:val="none"/>
        </w:rPr>
        <w:t>第十二条  解决合同争议</w:t>
      </w:r>
    </w:p>
    <w:p w14:paraId="189EE360">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1、因家具质量问题发生争议的，应邀请国家认可的质量检测机构对家具质量进行鉴定。家具符合标准的，鉴定费由甲方承担；家具不符合标准的，鉴定费由乙方承担。</w:t>
      </w:r>
    </w:p>
    <w:p w14:paraId="368DF804">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2、因履行本合同引起的或与本合同有关的争议，甲乙双方应首先通过友好协商解决，如果协商不能解决，</w:t>
      </w:r>
      <w:r>
        <w:rPr>
          <w:rFonts w:hint="eastAsia" w:ascii="宋体" w:hAnsi="宋体" w:eastAsia="宋体" w:cs="Times New Roman"/>
          <w:i w:val="0"/>
          <w:iCs w:val="0"/>
          <w:caps w:val="0"/>
          <w:color w:val="auto"/>
          <w:spacing w:val="4"/>
          <w:sz w:val="21"/>
          <w:szCs w:val="21"/>
          <w:highlight w:val="none"/>
          <w:shd w:val="clear" w:color="auto" w:fill="auto"/>
        </w:rPr>
        <w:t>可选择以下第X种方式解决（1.向甲方所在地的人民法院提起诉讼 2.向南宁仲裁委员会申请仲裁）</w:t>
      </w:r>
      <w:r>
        <w:rPr>
          <w:rFonts w:hint="eastAsia" w:ascii="宋体" w:hAnsi="宋体"/>
          <w:color w:val="auto"/>
          <w:spacing w:val="4"/>
          <w:szCs w:val="21"/>
          <w:highlight w:val="none"/>
        </w:rPr>
        <w:t>。</w:t>
      </w:r>
    </w:p>
    <w:p w14:paraId="76679BA9">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3、诉讼期间，本合同继续履行。</w:t>
      </w:r>
    </w:p>
    <w:p w14:paraId="6DB3DBCA">
      <w:pPr>
        <w:pStyle w:val="29"/>
        <w:snapToGrid w:val="0"/>
        <w:spacing w:before="120" w:after="120" w:line="360" w:lineRule="exact"/>
        <w:ind w:firstLine="422" w:firstLineChars="200"/>
        <w:rPr>
          <w:rFonts w:hint="eastAsia" w:hAnsi="宋体"/>
          <w:b/>
          <w:color w:val="auto"/>
          <w:highlight w:val="none"/>
        </w:rPr>
      </w:pPr>
      <w:r>
        <w:rPr>
          <w:rFonts w:hint="eastAsia" w:hAnsi="宋体"/>
          <w:b/>
          <w:color w:val="auto"/>
          <w:highlight w:val="none"/>
        </w:rPr>
        <w:t>第十三条 合同生效及其它</w:t>
      </w:r>
    </w:p>
    <w:p w14:paraId="6824AAC9">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1、合同经双方法定代表人或授权代表签字并加盖</w:t>
      </w:r>
      <w:r>
        <w:rPr>
          <w:rFonts w:hint="eastAsia" w:ascii="宋体" w:hAnsi="宋体"/>
          <w:color w:val="auto"/>
          <w:szCs w:val="21"/>
          <w:highlight w:val="none"/>
          <w:lang w:eastAsia="zh-CN"/>
        </w:rPr>
        <w:t>单位合同专用章或</w:t>
      </w:r>
      <w:r>
        <w:rPr>
          <w:rFonts w:hint="eastAsia" w:ascii="宋体" w:hAnsi="宋体"/>
          <w:color w:val="auto"/>
          <w:szCs w:val="21"/>
          <w:highlight w:val="none"/>
        </w:rPr>
        <w:t>单位公章后生效。</w:t>
      </w:r>
    </w:p>
    <w:p w14:paraId="308809FB">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2、合同执行中涉及采购资金和采购内容修改或补充的，须经财政部门审批，并签书面补充协议报财政部门备案，方可作为主合同不可分割的一部分。</w:t>
      </w:r>
    </w:p>
    <w:p w14:paraId="3450B713">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3、本合同未尽事宜，遵照《</w:t>
      </w:r>
      <w:r>
        <w:rPr>
          <w:color w:val="auto"/>
          <w:highlight w:val="none"/>
        </w:rPr>
        <w:t>中华人民共和国民法典</w:t>
      </w:r>
      <w:r>
        <w:rPr>
          <w:rFonts w:hint="eastAsia" w:ascii="宋体" w:hAnsi="宋体"/>
          <w:color w:val="auto"/>
          <w:szCs w:val="21"/>
          <w:highlight w:val="none"/>
        </w:rPr>
        <w:t>》有关条文执行。</w:t>
      </w:r>
    </w:p>
    <w:p w14:paraId="7677B27B">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14:paraId="71560F61">
      <w:pPr>
        <w:snapToGrid w:val="0"/>
        <w:spacing w:line="360" w:lineRule="exact"/>
        <w:ind w:firstLine="438" w:firstLineChars="200"/>
        <w:rPr>
          <w:rFonts w:hint="eastAsia" w:ascii="宋体" w:hAnsi="宋体"/>
          <w:b/>
          <w:color w:val="auto"/>
          <w:spacing w:val="4"/>
          <w:szCs w:val="21"/>
          <w:highlight w:val="none"/>
        </w:rPr>
      </w:pPr>
      <w:r>
        <w:rPr>
          <w:rFonts w:hint="eastAsia" w:ascii="宋体" w:hAnsi="宋体"/>
          <w:b/>
          <w:color w:val="auto"/>
          <w:spacing w:val="4"/>
          <w:szCs w:val="21"/>
          <w:highlight w:val="none"/>
        </w:rPr>
        <w:t>第十四条  签订本合同依据</w:t>
      </w:r>
    </w:p>
    <w:p w14:paraId="195C242E">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1、政府采购招标文件</w:t>
      </w:r>
    </w:p>
    <w:p w14:paraId="34295D50">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2、乙方提供的投标文件</w:t>
      </w:r>
    </w:p>
    <w:p w14:paraId="151A913B">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3、投标函</w:t>
      </w:r>
    </w:p>
    <w:p w14:paraId="06B9217D">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4、中标通知书</w:t>
      </w:r>
    </w:p>
    <w:p w14:paraId="40804C35">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5、其他约定附件</w:t>
      </w:r>
    </w:p>
    <w:p w14:paraId="44798C3D">
      <w:pPr>
        <w:snapToGrid w:val="0"/>
        <w:spacing w:line="360" w:lineRule="exact"/>
        <w:ind w:firstLine="438" w:firstLineChars="200"/>
        <w:rPr>
          <w:rFonts w:hint="eastAsia" w:ascii="宋体" w:hAnsi="宋体"/>
          <w:color w:val="auto"/>
          <w:spacing w:val="4"/>
          <w:szCs w:val="21"/>
          <w:highlight w:val="none"/>
        </w:rPr>
      </w:pPr>
      <w:r>
        <w:rPr>
          <w:rFonts w:hint="eastAsia" w:ascii="宋体" w:hAnsi="宋体"/>
          <w:b/>
          <w:color w:val="auto"/>
          <w:spacing w:val="4"/>
          <w:szCs w:val="21"/>
          <w:highlight w:val="none"/>
        </w:rPr>
        <w:t xml:space="preserve">第十五条  </w:t>
      </w:r>
      <w:r>
        <w:rPr>
          <w:rFonts w:hint="eastAsia" w:ascii="宋体" w:hAnsi="宋体"/>
          <w:color w:val="auto"/>
          <w:szCs w:val="21"/>
          <w:highlight w:val="none"/>
        </w:rPr>
        <w:t>本合同一式</w:t>
      </w:r>
      <w:r>
        <w:rPr>
          <w:rFonts w:hint="eastAsia" w:ascii="宋体" w:hAnsi="宋体"/>
          <w:color w:val="auto"/>
          <w:szCs w:val="21"/>
          <w:highlight w:val="none"/>
          <w:lang w:eastAsia="zh-CN"/>
        </w:rPr>
        <w:t>七</w:t>
      </w:r>
      <w:r>
        <w:rPr>
          <w:rFonts w:hint="eastAsia" w:ascii="宋体" w:hAnsi="宋体"/>
          <w:color w:val="auto"/>
          <w:szCs w:val="21"/>
          <w:highlight w:val="none"/>
        </w:rPr>
        <w:t>份，具有同等法律效力。</w:t>
      </w:r>
      <w:r>
        <w:rPr>
          <w:rFonts w:hint="eastAsia" w:ascii="宋体" w:hAnsi="宋体"/>
          <w:color w:val="auto"/>
          <w:spacing w:val="4"/>
          <w:szCs w:val="21"/>
          <w:highlight w:val="none"/>
        </w:rPr>
        <w:t>广西壮族自治区财政厅政府采购监督管理处、广西壮族自治区政府采购中心</w:t>
      </w:r>
      <w:r>
        <w:rPr>
          <w:rFonts w:hint="eastAsia" w:ascii="宋体" w:hAnsi="宋体"/>
          <w:color w:val="auto"/>
          <w:szCs w:val="21"/>
          <w:highlight w:val="none"/>
        </w:rPr>
        <w:t>各一份，甲方</w:t>
      </w:r>
      <w:r>
        <w:rPr>
          <w:rFonts w:hint="eastAsia" w:ascii="宋体" w:hAnsi="宋体"/>
          <w:color w:val="auto"/>
          <w:szCs w:val="21"/>
          <w:highlight w:val="none"/>
          <w:lang w:eastAsia="zh-CN"/>
        </w:rPr>
        <w:t>四</w:t>
      </w:r>
      <w:r>
        <w:rPr>
          <w:rFonts w:hint="eastAsia" w:ascii="宋体" w:hAnsi="宋体"/>
          <w:color w:val="auto"/>
          <w:szCs w:val="21"/>
          <w:highlight w:val="none"/>
        </w:rPr>
        <w:t>份，乙方一份</w:t>
      </w:r>
      <w:r>
        <w:rPr>
          <w:rFonts w:hint="eastAsia" w:ascii="宋体" w:hAnsi="宋体"/>
          <w:color w:val="auto"/>
          <w:spacing w:val="4"/>
          <w:szCs w:val="21"/>
          <w:highlight w:val="none"/>
        </w:rPr>
        <w:t>。</w:t>
      </w:r>
      <w:r>
        <w:rPr>
          <w:rFonts w:hint="eastAsia" w:ascii="宋体" w:hAnsi="宋体"/>
          <w:color w:val="auto"/>
          <w:szCs w:val="21"/>
          <w:highlight w:val="none"/>
        </w:rPr>
        <w:t>（可根据需要另增加）</w:t>
      </w:r>
    </w:p>
    <w:p w14:paraId="7BC15DA1">
      <w:pPr>
        <w:snapToGrid w:val="0"/>
        <w:spacing w:line="360" w:lineRule="exact"/>
        <w:ind w:firstLine="436" w:firstLineChars="200"/>
        <w:rPr>
          <w:rFonts w:hint="eastAsia" w:ascii="宋体" w:hAnsi="宋体"/>
          <w:color w:val="auto"/>
          <w:spacing w:val="4"/>
          <w:szCs w:val="21"/>
          <w:highlight w:val="none"/>
        </w:rPr>
      </w:pPr>
      <w:r>
        <w:rPr>
          <w:rFonts w:hint="eastAsia" w:ascii="宋体" w:hAnsi="宋体"/>
          <w:color w:val="auto"/>
          <w:spacing w:val="4"/>
          <w:szCs w:val="21"/>
          <w:highlight w:val="none"/>
        </w:rPr>
        <w:t>本合同甲乙双方</w:t>
      </w:r>
      <w:r>
        <w:rPr>
          <w:rFonts w:ascii="Arial" w:hAnsi="Arial" w:eastAsia="宋体" w:cs="Arial"/>
          <w:i w:val="0"/>
          <w:iCs w:val="0"/>
          <w:caps w:val="0"/>
          <w:color w:val="auto"/>
          <w:spacing w:val="0"/>
          <w:sz w:val="21"/>
          <w:szCs w:val="21"/>
          <w:highlight w:val="none"/>
          <w:shd w:val="clear" w:color="auto" w:fill="FFFFFF"/>
        </w:rPr>
        <w:t>签字并盖章</w:t>
      </w:r>
      <w:r>
        <w:rPr>
          <w:rFonts w:hint="eastAsia" w:ascii="宋体" w:hAnsi="宋体"/>
          <w:color w:val="auto"/>
          <w:spacing w:val="4"/>
          <w:szCs w:val="21"/>
          <w:highlight w:val="none"/>
        </w:rPr>
        <w:t>后生效，自签订之日起七个工作日内，</w:t>
      </w:r>
      <w:r>
        <w:rPr>
          <w:rFonts w:hint="eastAsia" w:ascii="宋体" w:hAnsi="宋体"/>
          <w:color w:val="auto"/>
          <w:spacing w:val="4"/>
          <w:szCs w:val="21"/>
          <w:highlight w:val="none"/>
          <w:lang w:eastAsia="zh-CN"/>
        </w:rPr>
        <w:t>甲方</w:t>
      </w:r>
      <w:r>
        <w:rPr>
          <w:rFonts w:hint="eastAsia" w:ascii="宋体" w:hAnsi="宋体"/>
          <w:color w:val="auto"/>
          <w:spacing w:val="4"/>
          <w:szCs w:val="21"/>
          <w:highlight w:val="none"/>
        </w:rPr>
        <w:t>或采购代理机构应当将本合同副本报广西区财政厅政府采购监督管理处备案。</w:t>
      </w:r>
    </w:p>
    <w:p w14:paraId="26991672">
      <w:pPr>
        <w:snapToGrid w:val="0"/>
        <w:spacing w:line="360" w:lineRule="exact"/>
        <w:ind w:firstLine="436" w:firstLineChars="200"/>
        <w:rPr>
          <w:rFonts w:hint="eastAsia" w:ascii="宋体" w:hAnsi="宋体"/>
          <w:color w:val="auto"/>
          <w:spacing w:val="4"/>
          <w:szCs w:val="21"/>
          <w:highlight w:val="none"/>
        </w:rPr>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14:paraId="2B05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trPr>
        <w:tc>
          <w:tcPr>
            <w:tcW w:w="2500" w:type="pct"/>
            <w:tcBorders>
              <w:top w:val="single" w:color="auto" w:sz="4" w:space="0"/>
              <w:left w:val="single" w:color="auto" w:sz="4" w:space="0"/>
              <w:bottom w:val="single" w:color="auto" w:sz="4" w:space="0"/>
              <w:right w:val="single" w:color="auto" w:sz="4" w:space="0"/>
            </w:tcBorders>
            <w:vAlign w:val="center"/>
          </w:tcPr>
          <w:p w14:paraId="14AF2FE7">
            <w:pPr>
              <w:snapToGrid w:val="0"/>
              <w:spacing w:line="360" w:lineRule="exact"/>
              <w:rPr>
                <w:rFonts w:ascii="宋体" w:hAnsi="宋体"/>
                <w:color w:val="auto"/>
                <w:szCs w:val="21"/>
                <w:highlight w:val="none"/>
              </w:rPr>
            </w:pPr>
            <w:r>
              <w:rPr>
                <w:rFonts w:hint="eastAsia" w:ascii="宋体" w:hAnsi="宋体"/>
                <w:color w:val="auto"/>
                <w:szCs w:val="21"/>
                <w:highlight w:val="none"/>
              </w:rPr>
              <w:t xml:space="preserve">甲方（章）        </w:t>
            </w:r>
          </w:p>
          <w:p w14:paraId="59FC6226">
            <w:pPr>
              <w:snapToGrid w:val="0"/>
              <w:spacing w:line="360" w:lineRule="exact"/>
              <w:rPr>
                <w:rFonts w:hint="eastAsia" w:ascii="宋体" w:hAnsi="宋体"/>
                <w:color w:val="auto"/>
                <w:szCs w:val="21"/>
                <w:highlight w:val="none"/>
              </w:rPr>
            </w:pPr>
          </w:p>
          <w:p w14:paraId="6F61239A">
            <w:pPr>
              <w:snapToGrid w:val="0"/>
              <w:spacing w:line="360" w:lineRule="exact"/>
              <w:ind w:firstLine="630" w:firstLineChars="300"/>
              <w:jc w:val="right"/>
              <w:rPr>
                <w:rFonts w:ascii="宋体" w:hAnsi="宋体"/>
                <w:color w:val="auto"/>
                <w:szCs w:val="21"/>
                <w:highlight w:val="none"/>
              </w:rPr>
            </w:pPr>
            <w:r>
              <w:rPr>
                <w:rFonts w:hint="eastAsia" w:ascii="宋体" w:hAnsi="宋体"/>
                <w:color w:val="auto"/>
                <w:szCs w:val="21"/>
                <w:highlight w:val="none"/>
              </w:rPr>
              <w:t xml:space="preserve"> 年   月   日</w:t>
            </w:r>
          </w:p>
        </w:tc>
        <w:tc>
          <w:tcPr>
            <w:tcW w:w="2500" w:type="pct"/>
            <w:tcBorders>
              <w:top w:val="single" w:color="auto" w:sz="4" w:space="0"/>
              <w:left w:val="single" w:color="auto" w:sz="4" w:space="0"/>
              <w:bottom w:val="single" w:color="auto" w:sz="4" w:space="0"/>
              <w:right w:val="single" w:color="auto" w:sz="4" w:space="0"/>
            </w:tcBorders>
            <w:vAlign w:val="center"/>
          </w:tcPr>
          <w:p w14:paraId="0ED1BE1B">
            <w:pPr>
              <w:snapToGrid w:val="0"/>
              <w:spacing w:line="360" w:lineRule="exact"/>
              <w:rPr>
                <w:rFonts w:ascii="宋体" w:hAnsi="宋体"/>
                <w:color w:val="auto"/>
                <w:szCs w:val="21"/>
                <w:highlight w:val="none"/>
              </w:rPr>
            </w:pPr>
            <w:r>
              <w:rPr>
                <w:rFonts w:hint="eastAsia" w:ascii="宋体" w:hAnsi="宋体"/>
                <w:color w:val="auto"/>
                <w:szCs w:val="21"/>
                <w:highlight w:val="none"/>
              </w:rPr>
              <w:t>乙方（章）</w:t>
            </w:r>
          </w:p>
          <w:p w14:paraId="00CCC3C7">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                 </w:t>
            </w:r>
          </w:p>
          <w:p w14:paraId="0B7F59FB">
            <w:pPr>
              <w:snapToGrid w:val="0"/>
              <w:spacing w:line="360" w:lineRule="exact"/>
              <w:ind w:firstLine="630" w:firstLineChars="300"/>
              <w:jc w:val="right"/>
              <w:rPr>
                <w:rFonts w:ascii="宋体" w:hAnsi="宋体"/>
                <w:color w:val="auto"/>
                <w:szCs w:val="21"/>
                <w:highlight w:val="none"/>
              </w:rPr>
            </w:pPr>
            <w:r>
              <w:rPr>
                <w:rFonts w:hint="eastAsia" w:ascii="宋体" w:hAnsi="宋体"/>
                <w:color w:val="auto"/>
                <w:szCs w:val="21"/>
                <w:highlight w:val="none"/>
              </w:rPr>
              <w:t>年   月   日</w:t>
            </w:r>
          </w:p>
        </w:tc>
      </w:tr>
      <w:tr w14:paraId="2BCC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2500" w:type="pct"/>
            <w:tcBorders>
              <w:top w:val="single" w:color="auto" w:sz="4" w:space="0"/>
              <w:left w:val="single" w:color="auto" w:sz="4" w:space="0"/>
              <w:bottom w:val="single" w:color="auto" w:sz="4" w:space="0"/>
              <w:right w:val="single" w:color="auto" w:sz="4" w:space="0"/>
            </w:tcBorders>
            <w:vAlign w:val="center"/>
          </w:tcPr>
          <w:p w14:paraId="09224F8F">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单位地址：</w:t>
            </w:r>
          </w:p>
          <w:p w14:paraId="58103D49">
            <w:pPr>
              <w:snapToGrid w:val="0"/>
              <w:spacing w:line="360" w:lineRule="exact"/>
              <w:rPr>
                <w:rFonts w:ascii="宋体" w:hAnsi="宋体"/>
                <w:color w:val="auto"/>
                <w:szCs w:val="21"/>
                <w:highlight w:val="none"/>
              </w:rPr>
            </w:pPr>
          </w:p>
        </w:tc>
        <w:tc>
          <w:tcPr>
            <w:tcW w:w="2500" w:type="pct"/>
            <w:tcBorders>
              <w:top w:val="single" w:color="auto" w:sz="4" w:space="0"/>
              <w:left w:val="single" w:color="auto" w:sz="4" w:space="0"/>
              <w:bottom w:val="single" w:color="auto" w:sz="4" w:space="0"/>
              <w:right w:val="single" w:color="auto" w:sz="4" w:space="0"/>
            </w:tcBorders>
            <w:vAlign w:val="center"/>
          </w:tcPr>
          <w:p w14:paraId="16EB7E76">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单位地址：</w:t>
            </w:r>
          </w:p>
          <w:p w14:paraId="5DF1D67F">
            <w:pPr>
              <w:snapToGrid w:val="0"/>
              <w:spacing w:line="360" w:lineRule="exact"/>
              <w:rPr>
                <w:rFonts w:ascii="宋体" w:hAnsi="宋体"/>
                <w:color w:val="auto"/>
                <w:szCs w:val="21"/>
                <w:highlight w:val="none"/>
              </w:rPr>
            </w:pPr>
          </w:p>
        </w:tc>
      </w:tr>
      <w:tr w14:paraId="5B15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2500" w:type="pct"/>
            <w:tcBorders>
              <w:top w:val="single" w:color="auto" w:sz="4" w:space="0"/>
              <w:left w:val="single" w:color="auto" w:sz="4" w:space="0"/>
              <w:bottom w:val="single" w:color="auto" w:sz="4" w:space="0"/>
              <w:right w:val="single" w:color="auto" w:sz="4" w:space="0"/>
            </w:tcBorders>
            <w:vAlign w:val="center"/>
          </w:tcPr>
          <w:p w14:paraId="1D4620E5">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w:t>
            </w:r>
          </w:p>
          <w:p w14:paraId="532BD2A5">
            <w:pPr>
              <w:snapToGrid w:val="0"/>
              <w:spacing w:line="360" w:lineRule="exact"/>
              <w:rPr>
                <w:rFonts w:ascii="宋体" w:hAnsi="宋体"/>
                <w:color w:val="auto"/>
                <w:szCs w:val="21"/>
                <w:highlight w:val="none"/>
              </w:rPr>
            </w:pPr>
          </w:p>
        </w:tc>
        <w:tc>
          <w:tcPr>
            <w:tcW w:w="2500" w:type="pct"/>
            <w:tcBorders>
              <w:top w:val="single" w:color="auto" w:sz="4" w:space="0"/>
              <w:left w:val="single" w:color="auto" w:sz="4" w:space="0"/>
              <w:bottom w:val="single" w:color="auto" w:sz="4" w:space="0"/>
              <w:right w:val="single" w:color="auto" w:sz="4" w:space="0"/>
            </w:tcBorders>
            <w:vAlign w:val="center"/>
          </w:tcPr>
          <w:p w14:paraId="724F47AF">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w:t>
            </w:r>
          </w:p>
          <w:p w14:paraId="540958F1">
            <w:pPr>
              <w:snapToGrid w:val="0"/>
              <w:spacing w:line="360" w:lineRule="exact"/>
              <w:rPr>
                <w:rFonts w:ascii="宋体" w:hAnsi="宋体"/>
                <w:color w:val="auto"/>
                <w:szCs w:val="21"/>
                <w:highlight w:val="none"/>
              </w:rPr>
            </w:pPr>
          </w:p>
        </w:tc>
      </w:tr>
      <w:tr w14:paraId="23E3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2500" w:type="pct"/>
            <w:tcBorders>
              <w:top w:val="single" w:color="auto" w:sz="4" w:space="0"/>
              <w:left w:val="single" w:color="auto" w:sz="4" w:space="0"/>
              <w:bottom w:val="single" w:color="auto" w:sz="4" w:space="0"/>
              <w:right w:val="single" w:color="auto" w:sz="4" w:space="0"/>
            </w:tcBorders>
            <w:vAlign w:val="center"/>
          </w:tcPr>
          <w:p w14:paraId="3833C707">
            <w:pPr>
              <w:snapToGrid w:val="0"/>
              <w:spacing w:line="360" w:lineRule="exact"/>
              <w:rPr>
                <w:rFonts w:ascii="宋体" w:hAnsi="宋体"/>
                <w:color w:val="auto"/>
                <w:szCs w:val="21"/>
                <w:highlight w:val="none"/>
              </w:rPr>
            </w:pPr>
            <w:r>
              <w:rPr>
                <w:rFonts w:hint="eastAsia" w:ascii="宋体" w:hAnsi="宋体"/>
                <w:color w:val="auto"/>
                <w:szCs w:val="21"/>
                <w:highlight w:val="none"/>
              </w:rPr>
              <w:t>委托代理人：</w:t>
            </w:r>
          </w:p>
        </w:tc>
        <w:tc>
          <w:tcPr>
            <w:tcW w:w="2500" w:type="pct"/>
            <w:tcBorders>
              <w:top w:val="single" w:color="auto" w:sz="4" w:space="0"/>
              <w:left w:val="single" w:color="auto" w:sz="4" w:space="0"/>
              <w:bottom w:val="single" w:color="auto" w:sz="4" w:space="0"/>
              <w:right w:val="single" w:color="auto" w:sz="4" w:space="0"/>
            </w:tcBorders>
            <w:vAlign w:val="center"/>
          </w:tcPr>
          <w:p w14:paraId="3250E7D6">
            <w:pPr>
              <w:snapToGrid w:val="0"/>
              <w:spacing w:line="360" w:lineRule="exact"/>
              <w:rPr>
                <w:rFonts w:ascii="宋体" w:hAnsi="宋体"/>
                <w:color w:val="auto"/>
                <w:szCs w:val="21"/>
                <w:highlight w:val="none"/>
              </w:rPr>
            </w:pPr>
            <w:r>
              <w:rPr>
                <w:rFonts w:hint="eastAsia" w:ascii="宋体" w:hAnsi="宋体"/>
                <w:color w:val="auto"/>
                <w:szCs w:val="21"/>
                <w:highlight w:val="none"/>
              </w:rPr>
              <w:t>委托代理人：</w:t>
            </w:r>
          </w:p>
        </w:tc>
      </w:tr>
      <w:tr w14:paraId="6F10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2500" w:type="pct"/>
            <w:tcBorders>
              <w:top w:val="single" w:color="auto" w:sz="4" w:space="0"/>
              <w:left w:val="single" w:color="auto" w:sz="4" w:space="0"/>
              <w:bottom w:val="single" w:color="auto" w:sz="4" w:space="0"/>
              <w:right w:val="single" w:color="auto" w:sz="4" w:space="0"/>
            </w:tcBorders>
            <w:vAlign w:val="center"/>
          </w:tcPr>
          <w:p w14:paraId="07FBD2DF">
            <w:pPr>
              <w:snapToGrid w:val="0"/>
              <w:spacing w:line="360" w:lineRule="exact"/>
              <w:rPr>
                <w:rFonts w:ascii="宋体" w:hAnsi="宋体"/>
                <w:color w:val="auto"/>
                <w:szCs w:val="21"/>
                <w:highlight w:val="none"/>
              </w:rPr>
            </w:pPr>
            <w:r>
              <w:rPr>
                <w:rFonts w:hint="eastAsia" w:ascii="宋体" w:hAnsi="宋体"/>
                <w:color w:val="auto"/>
                <w:szCs w:val="21"/>
                <w:highlight w:val="none"/>
              </w:rPr>
              <w:t>电话：</w:t>
            </w:r>
          </w:p>
        </w:tc>
        <w:tc>
          <w:tcPr>
            <w:tcW w:w="2500" w:type="pct"/>
            <w:tcBorders>
              <w:top w:val="single" w:color="auto" w:sz="4" w:space="0"/>
              <w:left w:val="single" w:color="auto" w:sz="4" w:space="0"/>
              <w:bottom w:val="single" w:color="auto" w:sz="4" w:space="0"/>
              <w:right w:val="single" w:color="auto" w:sz="4" w:space="0"/>
            </w:tcBorders>
            <w:vAlign w:val="center"/>
          </w:tcPr>
          <w:p w14:paraId="5A055485">
            <w:pPr>
              <w:snapToGrid w:val="0"/>
              <w:spacing w:line="360" w:lineRule="exact"/>
              <w:rPr>
                <w:rFonts w:ascii="宋体" w:hAnsi="宋体"/>
                <w:color w:val="auto"/>
                <w:szCs w:val="21"/>
                <w:highlight w:val="none"/>
              </w:rPr>
            </w:pPr>
            <w:r>
              <w:rPr>
                <w:rFonts w:hint="eastAsia" w:ascii="宋体" w:hAnsi="宋体"/>
                <w:color w:val="auto"/>
                <w:szCs w:val="21"/>
                <w:highlight w:val="none"/>
              </w:rPr>
              <w:t>电话：</w:t>
            </w:r>
          </w:p>
        </w:tc>
      </w:tr>
      <w:tr w14:paraId="4F38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2500" w:type="pct"/>
            <w:tcBorders>
              <w:top w:val="single" w:color="auto" w:sz="4" w:space="0"/>
              <w:left w:val="single" w:color="auto" w:sz="4" w:space="0"/>
              <w:bottom w:val="single" w:color="auto" w:sz="4" w:space="0"/>
              <w:right w:val="single" w:color="auto" w:sz="4" w:space="0"/>
            </w:tcBorders>
            <w:vAlign w:val="center"/>
          </w:tcPr>
          <w:p w14:paraId="71D45DE7">
            <w:pPr>
              <w:snapToGrid w:val="0"/>
              <w:spacing w:line="360" w:lineRule="exact"/>
              <w:rPr>
                <w:rFonts w:ascii="宋体" w:hAnsi="宋体"/>
                <w:color w:val="auto"/>
                <w:szCs w:val="21"/>
                <w:highlight w:val="none"/>
              </w:rPr>
            </w:pPr>
            <w:r>
              <w:rPr>
                <w:rFonts w:hint="eastAsia" w:ascii="宋体" w:hAnsi="宋体"/>
                <w:color w:val="auto"/>
                <w:szCs w:val="21"/>
                <w:highlight w:val="none"/>
              </w:rPr>
              <w:t>电子邮箱：</w:t>
            </w:r>
          </w:p>
        </w:tc>
        <w:tc>
          <w:tcPr>
            <w:tcW w:w="2500" w:type="pct"/>
            <w:tcBorders>
              <w:top w:val="single" w:color="auto" w:sz="4" w:space="0"/>
              <w:left w:val="single" w:color="auto" w:sz="4" w:space="0"/>
              <w:bottom w:val="single" w:color="auto" w:sz="4" w:space="0"/>
              <w:right w:val="single" w:color="auto" w:sz="4" w:space="0"/>
            </w:tcBorders>
            <w:vAlign w:val="center"/>
          </w:tcPr>
          <w:p w14:paraId="43295967">
            <w:pPr>
              <w:snapToGrid w:val="0"/>
              <w:spacing w:line="360" w:lineRule="exact"/>
              <w:rPr>
                <w:rFonts w:ascii="宋体" w:hAnsi="宋体"/>
                <w:color w:val="auto"/>
                <w:szCs w:val="21"/>
                <w:highlight w:val="none"/>
              </w:rPr>
            </w:pPr>
            <w:r>
              <w:rPr>
                <w:rFonts w:hint="eastAsia" w:ascii="宋体" w:hAnsi="宋体"/>
                <w:color w:val="auto"/>
                <w:szCs w:val="21"/>
                <w:highlight w:val="none"/>
              </w:rPr>
              <w:t>电子邮箱：</w:t>
            </w:r>
          </w:p>
        </w:tc>
      </w:tr>
      <w:tr w14:paraId="2E18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2500" w:type="pct"/>
            <w:tcBorders>
              <w:top w:val="single" w:color="auto" w:sz="4" w:space="0"/>
              <w:left w:val="single" w:color="auto" w:sz="4" w:space="0"/>
              <w:bottom w:val="single" w:color="auto" w:sz="4" w:space="0"/>
              <w:right w:val="single" w:color="auto" w:sz="4" w:space="0"/>
            </w:tcBorders>
            <w:vAlign w:val="center"/>
          </w:tcPr>
          <w:p w14:paraId="5EFE2AC8">
            <w:pPr>
              <w:snapToGrid w:val="0"/>
              <w:spacing w:line="360" w:lineRule="exact"/>
              <w:rPr>
                <w:rFonts w:ascii="宋体" w:hAnsi="宋体"/>
                <w:color w:val="auto"/>
                <w:szCs w:val="21"/>
                <w:highlight w:val="none"/>
              </w:rPr>
            </w:pPr>
            <w:r>
              <w:rPr>
                <w:rFonts w:hint="eastAsia" w:ascii="宋体" w:hAnsi="宋体"/>
                <w:color w:val="auto"/>
                <w:szCs w:val="21"/>
                <w:highlight w:val="none"/>
              </w:rPr>
              <w:t>开户银行：</w:t>
            </w:r>
          </w:p>
        </w:tc>
        <w:tc>
          <w:tcPr>
            <w:tcW w:w="2500" w:type="pct"/>
            <w:tcBorders>
              <w:top w:val="single" w:color="auto" w:sz="4" w:space="0"/>
              <w:left w:val="single" w:color="auto" w:sz="4" w:space="0"/>
              <w:bottom w:val="single" w:color="auto" w:sz="4" w:space="0"/>
              <w:right w:val="single" w:color="auto" w:sz="4" w:space="0"/>
            </w:tcBorders>
            <w:vAlign w:val="center"/>
          </w:tcPr>
          <w:p w14:paraId="42947E03">
            <w:pPr>
              <w:snapToGrid w:val="0"/>
              <w:spacing w:line="360" w:lineRule="exact"/>
              <w:rPr>
                <w:rFonts w:ascii="宋体" w:hAnsi="宋体"/>
                <w:color w:val="auto"/>
                <w:szCs w:val="21"/>
                <w:highlight w:val="none"/>
              </w:rPr>
            </w:pPr>
            <w:r>
              <w:rPr>
                <w:rFonts w:hint="eastAsia" w:ascii="宋体" w:hAnsi="宋体"/>
                <w:color w:val="auto"/>
                <w:szCs w:val="21"/>
                <w:highlight w:val="none"/>
              </w:rPr>
              <w:t>开户银行：</w:t>
            </w:r>
          </w:p>
        </w:tc>
      </w:tr>
      <w:tr w14:paraId="1595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2500" w:type="pct"/>
            <w:tcBorders>
              <w:top w:val="single" w:color="auto" w:sz="4" w:space="0"/>
              <w:left w:val="single" w:color="auto" w:sz="4" w:space="0"/>
              <w:bottom w:val="single" w:color="auto" w:sz="4" w:space="0"/>
              <w:right w:val="single" w:color="auto" w:sz="4" w:space="0"/>
            </w:tcBorders>
            <w:vAlign w:val="center"/>
          </w:tcPr>
          <w:p w14:paraId="18390D5C">
            <w:pPr>
              <w:snapToGrid w:val="0"/>
              <w:spacing w:line="360" w:lineRule="exact"/>
              <w:rPr>
                <w:rFonts w:ascii="宋体" w:hAnsi="宋体"/>
                <w:color w:val="auto"/>
                <w:szCs w:val="21"/>
                <w:highlight w:val="none"/>
              </w:rPr>
            </w:pPr>
            <w:r>
              <w:rPr>
                <w:rFonts w:hint="eastAsia" w:ascii="宋体" w:hAnsi="宋体"/>
                <w:color w:val="auto"/>
                <w:szCs w:val="21"/>
                <w:highlight w:val="none"/>
              </w:rPr>
              <w:t>账号：</w:t>
            </w:r>
          </w:p>
        </w:tc>
        <w:tc>
          <w:tcPr>
            <w:tcW w:w="2500" w:type="pct"/>
            <w:tcBorders>
              <w:top w:val="single" w:color="auto" w:sz="4" w:space="0"/>
              <w:left w:val="single" w:color="auto" w:sz="4" w:space="0"/>
              <w:bottom w:val="single" w:color="auto" w:sz="4" w:space="0"/>
              <w:right w:val="single" w:color="auto" w:sz="4" w:space="0"/>
            </w:tcBorders>
            <w:vAlign w:val="center"/>
          </w:tcPr>
          <w:p w14:paraId="3C537674">
            <w:pPr>
              <w:snapToGrid w:val="0"/>
              <w:spacing w:line="360" w:lineRule="exact"/>
              <w:rPr>
                <w:rFonts w:ascii="宋体" w:hAnsi="宋体"/>
                <w:color w:val="auto"/>
                <w:szCs w:val="21"/>
                <w:highlight w:val="none"/>
              </w:rPr>
            </w:pPr>
            <w:r>
              <w:rPr>
                <w:rFonts w:hint="eastAsia" w:ascii="宋体" w:hAnsi="宋体"/>
                <w:color w:val="auto"/>
                <w:szCs w:val="21"/>
                <w:highlight w:val="none"/>
              </w:rPr>
              <w:t>账号：</w:t>
            </w:r>
          </w:p>
        </w:tc>
      </w:tr>
      <w:tr w14:paraId="211E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2500" w:type="pct"/>
            <w:tcBorders>
              <w:top w:val="single" w:color="auto" w:sz="4" w:space="0"/>
              <w:left w:val="single" w:color="auto" w:sz="4" w:space="0"/>
              <w:bottom w:val="single" w:color="auto" w:sz="4" w:space="0"/>
              <w:right w:val="single" w:color="auto" w:sz="4" w:space="0"/>
            </w:tcBorders>
            <w:vAlign w:val="center"/>
          </w:tcPr>
          <w:p w14:paraId="70ED927F">
            <w:pPr>
              <w:snapToGrid w:val="0"/>
              <w:spacing w:line="360" w:lineRule="exact"/>
              <w:rPr>
                <w:rFonts w:ascii="宋体" w:hAnsi="宋体"/>
                <w:color w:val="auto"/>
                <w:szCs w:val="21"/>
                <w:highlight w:val="none"/>
              </w:rPr>
            </w:pPr>
            <w:r>
              <w:rPr>
                <w:rFonts w:hint="eastAsia" w:ascii="宋体" w:hAnsi="宋体"/>
                <w:color w:val="auto"/>
                <w:szCs w:val="21"/>
                <w:highlight w:val="none"/>
              </w:rPr>
              <w:t>邮政编码：</w:t>
            </w:r>
          </w:p>
        </w:tc>
        <w:tc>
          <w:tcPr>
            <w:tcW w:w="2500" w:type="pct"/>
            <w:tcBorders>
              <w:top w:val="single" w:color="auto" w:sz="4" w:space="0"/>
              <w:left w:val="single" w:color="auto" w:sz="4" w:space="0"/>
              <w:bottom w:val="single" w:color="auto" w:sz="4" w:space="0"/>
              <w:right w:val="single" w:color="auto" w:sz="4" w:space="0"/>
            </w:tcBorders>
            <w:vAlign w:val="center"/>
          </w:tcPr>
          <w:p w14:paraId="15F943CA">
            <w:pPr>
              <w:snapToGrid w:val="0"/>
              <w:spacing w:line="360" w:lineRule="exact"/>
              <w:rPr>
                <w:rFonts w:ascii="宋体" w:hAnsi="宋体"/>
                <w:color w:val="auto"/>
                <w:szCs w:val="21"/>
                <w:highlight w:val="none"/>
              </w:rPr>
            </w:pPr>
            <w:r>
              <w:rPr>
                <w:rFonts w:hint="eastAsia" w:ascii="宋体" w:hAnsi="宋体"/>
                <w:color w:val="auto"/>
                <w:szCs w:val="21"/>
                <w:highlight w:val="none"/>
              </w:rPr>
              <w:t>邮政编码：</w:t>
            </w:r>
          </w:p>
        </w:tc>
      </w:tr>
      <w:tr w14:paraId="39EA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5000" w:type="pct"/>
            <w:gridSpan w:val="2"/>
            <w:tcBorders>
              <w:top w:val="single" w:color="auto" w:sz="4" w:space="0"/>
              <w:left w:val="single" w:color="auto" w:sz="4" w:space="0"/>
              <w:bottom w:val="single" w:color="auto" w:sz="4" w:space="0"/>
              <w:right w:val="single" w:color="auto" w:sz="4" w:space="0"/>
            </w:tcBorders>
          </w:tcPr>
          <w:p w14:paraId="7BEC7A28">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经办人：</w:t>
            </w:r>
          </w:p>
          <w:p w14:paraId="65E2C9F7">
            <w:pPr>
              <w:snapToGrid w:val="0"/>
              <w:spacing w:line="360" w:lineRule="exact"/>
              <w:ind w:firstLine="840" w:firstLineChars="400"/>
              <w:jc w:val="right"/>
              <w:rPr>
                <w:rFonts w:hint="eastAsia" w:ascii="宋体" w:hAnsi="宋体"/>
                <w:color w:val="auto"/>
                <w:szCs w:val="21"/>
                <w:highlight w:val="none"/>
              </w:rPr>
            </w:pPr>
          </w:p>
          <w:p w14:paraId="5840A576">
            <w:pPr>
              <w:snapToGrid w:val="0"/>
              <w:spacing w:line="360" w:lineRule="exact"/>
              <w:ind w:firstLine="840" w:firstLineChars="400"/>
              <w:jc w:val="right"/>
              <w:rPr>
                <w:rFonts w:hint="eastAsia" w:ascii="宋体" w:hAnsi="宋体"/>
                <w:color w:val="auto"/>
                <w:szCs w:val="21"/>
                <w:highlight w:val="none"/>
              </w:rPr>
            </w:pPr>
          </w:p>
          <w:p w14:paraId="05E84C9C">
            <w:pPr>
              <w:snapToGrid w:val="0"/>
              <w:spacing w:line="360" w:lineRule="exact"/>
              <w:ind w:firstLine="840" w:firstLineChars="400"/>
              <w:jc w:val="right"/>
              <w:rPr>
                <w:rFonts w:ascii="宋体" w:hAnsi="宋体"/>
                <w:color w:val="auto"/>
                <w:szCs w:val="21"/>
                <w:highlight w:val="none"/>
              </w:rPr>
            </w:pPr>
            <w:r>
              <w:rPr>
                <w:rFonts w:hint="eastAsia" w:ascii="宋体" w:hAnsi="宋体"/>
                <w:color w:val="auto"/>
                <w:szCs w:val="21"/>
                <w:highlight w:val="none"/>
              </w:rPr>
              <w:t xml:space="preserve">年    月    日 </w:t>
            </w:r>
          </w:p>
        </w:tc>
      </w:tr>
    </w:tbl>
    <w:p w14:paraId="4510DE74">
      <w:pPr>
        <w:snapToGrid w:val="0"/>
        <w:spacing w:line="360" w:lineRule="exact"/>
        <w:jc w:val="center"/>
        <w:rPr>
          <w:rFonts w:hint="eastAsia" w:ascii="宋体" w:hAnsi="宋体"/>
          <w:b/>
          <w:color w:val="auto"/>
          <w:szCs w:val="21"/>
          <w:highlight w:val="none"/>
        </w:rPr>
      </w:pPr>
    </w:p>
    <w:p w14:paraId="3D017004">
      <w:pPr>
        <w:snapToGrid w:val="0"/>
        <w:spacing w:line="360" w:lineRule="exact"/>
        <w:jc w:val="center"/>
        <w:rPr>
          <w:rFonts w:hint="eastAsia" w:ascii="宋体" w:hAnsi="宋体"/>
          <w:b/>
          <w:color w:val="auto"/>
          <w:szCs w:val="21"/>
          <w:highlight w:val="none"/>
        </w:rPr>
      </w:pPr>
    </w:p>
    <w:p w14:paraId="6388B34E">
      <w:pPr>
        <w:snapToGrid w:val="0"/>
        <w:spacing w:line="360" w:lineRule="exact"/>
        <w:jc w:val="center"/>
        <w:rPr>
          <w:rFonts w:hint="eastAsia" w:ascii="宋体" w:hAnsi="宋体"/>
          <w:b/>
          <w:color w:val="auto"/>
          <w:szCs w:val="21"/>
          <w:highlight w:val="none"/>
        </w:rPr>
      </w:pPr>
    </w:p>
    <w:p w14:paraId="6D7F50A0">
      <w:pPr>
        <w:snapToGrid w:val="0"/>
        <w:spacing w:line="360" w:lineRule="exact"/>
        <w:jc w:val="center"/>
        <w:rPr>
          <w:rFonts w:hint="eastAsia" w:ascii="宋体" w:hAnsi="宋体"/>
          <w:b/>
          <w:color w:val="auto"/>
          <w:szCs w:val="21"/>
          <w:highlight w:val="none"/>
        </w:rPr>
      </w:pPr>
    </w:p>
    <w:p w14:paraId="117B2398">
      <w:pPr>
        <w:snapToGrid w:val="0"/>
        <w:spacing w:line="360" w:lineRule="exact"/>
        <w:jc w:val="center"/>
        <w:rPr>
          <w:rFonts w:hint="eastAsia" w:ascii="宋体" w:hAnsi="宋体"/>
          <w:b/>
          <w:color w:val="auto"/>
          <w:szCs w:val="21"/>
          <w:highlight w:val="none"/>
        </w:rPr>
      </w:pPr>
    </w:p>
    <w:p w14:paraId="1A984481">
      <w:pPr>
        <w:snapToGrid w:val="0"/>
        <w:spacing w:line="360" w:lineRule="exact"/>
        <w:jc w:val="center"/>
        <w:rPr>
          <w:rFonts w:hint="eastAsia" w:ascii="宋体" w:hAnsi="宋体"/>
          <w:b/>
          <w:color w:val="auto"/>
          <w:szCs w:val="21"/>
          <w:highlight w:val="none"/>
        </w:rPr>
      </w:pPr>
    </w:p>
    <w:p w14:paraId="7FD93D58">
      <w:pPr>
        <w:snapToGrid w:val="0"/>
        <w:spacing w:line="360" w:lineRule="exact"/>
        <w:jc w:val="center"/>
        <w:rPr>
          <w:rFonts w:hint="eastAsia" w:ascii="宋体" w:hAnsi="宋体"/>
          <w:b/>
          <w:color w:val="auto"/>
          <w:szCs w:val="21"/>
          <w:highlight w:val="none"/>
        </w:rPr>
      </w:pPr>
    </w:p>
    <w:p w14:paraId="0B491413">
      <w:pPr>
        <w:snapToGrid w:val="0"/>
        <w:spacing w:line="360" w:lineRule="exact"/>
        <w:jc w:val="center"/>
        <w:rPr>
          <w:rFonts w:hint="eastAsia" w:ascii="宋体" w:hAnsi="宋体"/>
          <w:b/>
          <w:color w:val="auto"/>
          <w:szCs w:val="21"/>
          <w:highlight w:val="none"/>
        </w:rPr>
      </w:pPr>
    </w:p>
    <w:p w14:paraId="72586E1F">
      <w:pPr>
        <w:snapToGrid w:val="0"/>
        <w:spacing w:line="360" w:lineRule="exact"/>
        <w:jc w:val="center"/>
        <w:rPr>
          <w:rFonts w:hint="eastAsia" w:ascii="宋体" w:hAnsi="宋体"/>
          <w:b/>
          <w:color w:val="auto"/>
          <w:szCs w:val="21"/>
          <w:highlight w:val="none"/>
        </w:rPr>
      </w:pPr>
    </w:p>
    <w:p w14:paraId="5AF83BEA">
      <w:pPr>
        <w:snapToGrid w:val="0"/>
        <w:spacing w:line="360" w:lineRule="exact"/>
        <w:jc w:val="center"/>
        <w:rPr>
          <w:rFonts w:hint="eastAsia" w:ascii="宋体" w:hAnsi="宋体"/>
          <w:b/>
          <w:color w:val="auto"/>
          <w:szCs w:val="21"/>
          <w:highlight w:val="none"/>
        </w:rPr>
      </w:pPr>
    </w:p>
    <w:p w14:paraId="4D55DE5B">
      <w:pPr>
        <w:snapToGrid w:val="0"/>
        <w:spacing w:line="360" w:lineRule="exact"/>
        <w:jc w:val="center"/>
        <w:rPr>
          <w:rFonts w:hint="eastAsia" w:ascii="宋体" w:hAnsi="宋体"/>
          <w:b/>
          <w:color w:val="auto"/>
          <w:szCs w:val="21"/>
          <w:highlight w:val="none"/>
        </w:rPr>
      </w:pPr>
    </w:p>
    <w:p w14:paraId="4B8C356D">
      <w:pPr>
        <w:snapToGrid w:val="0"/>
        <w:spacing w:line="360" w:lineRule="exact"/>
        <w:jc w:val="center"/>
        <w:rPr>
          <w:rFonts w:hint="eastAsia" w:ascii="宋体" w:hAnsi="宋体"/>
          <w:b/>
          <w:color w:val="auto"/>
          <w:szCs w:val="21"/>
          <w:highlight w:val="none"/>
        </w:rPr>
      </w:pPr>
    </w:p>
    <w:p w14:paraId="100A5B70">
      <w:pPr>
        <w:snapToGrid w:val="0"/>
        <w:spacing w:line="360" w:lineRule="exact"/>
        <w:jc w:val="center"/>
        <w:rPr>
          <w:rFonts w:hint="eastAsia" w:ascii="宋体" w:hAnsi="宋体"/>
          <w:b/>
          <w:color w:val="auto"/>
          <w:szCs w:val="21"/>
          <w:highlight w:val="none"/>
        </w:rPr>
      </w:pPr>
    </w:p>
    <w:p w14:paraId="7D929D6F">
      <w:pPr>
        <w:snapToGrid w:val="0"/>
        <w:spacing w:line="360" w:lineRule="exact"/>
        <w:jc w:val="center"/>
        <w:rPr>
          <w:rFonts w:hint="eastAsia" w:ascii="宋体" w:hAnsi="宋体"/>
          <w:b/>
          <w:color w:val="auto"/>
          <w:szCs w:val="21"/>
          <w:highlight w:val="none"/>
        </w:rPr>
      </w:pPr>
    </w:p>
    <w:p w14:paraId="062A0A6F">
      <w:pPr>
        <w:snapToGrid w:val="0"/>
        <w:spacing w:line="360" w:lineRule="exact"/>
        <w:jc w:val="center"/>
        <w:rPr>
          <w:rFonts w:hint="eastAsia" w:ascii="宋体" w:hAnsi="宋体"/>
          <w:b/>
          <w:color w:val="auto"/>
          <w:szCs w:val="21"/>
          <w:highlight w:val="none"/>
        </w:rPr>
      </w:pPr>
    </w:p>
    <w:p w14:paraId="37F1D3B9">
      <w:pPr>
        <w:snapToGrid w:val="0"/>
        <w:spacing w:line="360" w:lineRule="exact"/>
        <w:jc w:val="center"/>
        <w:rPr>
          <w:rFonts w:hint="eastAsia" w:ascii="宋体" w:hAnsi="宋体"/>
          <w:b/>
          <w:color w:val="auto"/>
          <w:szCs w:val="21"/>
          <w:highlight w:val="none"/>
        </w:rPr>
      </w:pPr>
    </w:p>
    <w:p w14:paraId="1158C366">
      <w:pPr>
        <w:snapToGrid w:val="0"/>
        <w:spacing w:line="360" w:lineRule="exact"/>
        <w:jc w:val="center"/>
        <w:rPr>
          <w:rFonts w:hint="eastAsia" w:ascii="宋体" w:hAnsi="宋体"/>
          <w:b/>
          <w:color w:val="auto"/>
          <w:szCs w:val="21"/>
          <w:highlight w:val="none"/>
        </w:rPr>
      </w:pPr>
    </w:p>
    <w:p w14:paraId="0441CC94">
      <w:pPr>
        <w:snapToGrid w:val="0"/>
        <w:spacing w:line="360" w:lineRule="exact"/>
        <w:jc w:val="center"/>
        <w:rPr>
          <w:rFonts w:hint="eastAsia" w:ascii="宋体" w:hAnsi="宋体"/>
          <w:b/>
          <w:color w:val="auto"/>
          <w:szCs w:val="21"/>
          <w:highlight w:val="none"/>
        </w:rPr>
      </w:pPr>
    </w:p>
    <w:p w14:paraId="75CD8460">
      <w:pPr>
        <w:snapToGrid w:val="0"/>
        <w:spacing w:line="360" w:lineRule="exact"/>
        <w:jc w:val="center"/>
        <w:rPr>
          <w:rFonts w:hint="eastAsia" w:ascii="宋体" w:hAnsi="宋体"/>
          <w:b/>
          <w:color w:val="auto"/>
          <w:szCs w:val="21"/>
          <w:highlight w:val="none"/>
        </w:rPr>
      </w:pPr>
    </w:p>
    <w:p w14:paraId="50410FEF">
      <w:pPr>
        <w:snapToGrid w:val="0"/>
        <w:spacing w:line="360" w:lineRule="exact"/>
        <w:jc w:val="center"/>
        <w:rPr>
          <w:rFonts w:hint="eastAsia" w:ascii="宋体" w:hAnsi="宋体"/>
          <w:b/>
          <w:color w:val="auto"/>
          <w:szCs w:val="21"/>
          <w:highlight w:val="none"/>
        </w:rPr>
      </w:pPr>
    </w:p>
    <w:p w14:paraId="0E0D2204">
      <w:pPr>
        <w:snapToGrid w:val="0"/>
        <w:spacing w:line="360" w:lineRule="exact"/>
        <w:jc w:val="center"/>
        <w:rPr>
          <w:rFonts w:hint="eastAsia" w:ascii="宋体" w:hAnsi="宋体"/>
          <w:b/>
          <w:color w:val="auto"/>
          <w:szCs w:val="21"/>
          <w:highlight w:val="none"/>
        </w:rPr>
      </w:pPr>
    </w:p>
    <w:p w14:paraId="6713CCFD">
      <w:pPr>
        <w:snapToGrid w:val="0"/>
        <w:spacing w:line="360" w:lineRule="exact"/>
        <w:jc w:val="center"/>
        <w:rPr>
          <w:rFonts w:hint="eastAsia" w:ascii="宋体" w:hAnsi="宋体"/>
          <w:b/>
          <w:color w:val="auto"/>
          <w:szCs w:val="21"/>
          <w:highlight w:val="none"/>
        </w:rPr>
      </w:pPr>
    </w:p>
    <w:p w14:paraId="689A85E1">
      <w:pPr>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合 同 附 件</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6"/>
        <w:gridCol w:w="4492"/>
      </w:tblGrid>
      <w:tr w14:paraId="52E9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5000" w:type="pct"/>
            <w:gridSpan w:val="2"/>
            <w:tcBorders>
              <w:top w:val="single" w:color="auto" w:sz="4" w:space="0"/>
              <w:left w:val="single" w:color="auto" w:sz="4" w:space="0"/>
              <w:bottom w:val="single" w:color="auto" w:sz="4" w:space="0"/>
              <w:right w:val="single" w:color="auto" w:sz="4" w:space="0"/>
            </w:tcBorders>
          </w:tcPr>
          <w:p w14:paraId="3A1309AE">
            <w:pPr>
              <w:snapToGrid w:val="0"/>
              <w:spacing w:line="360" w:lineRule="exact"/>
              <w:rPr>
                <w:rFonts w:hint="eastAsia" w:hAnsi="宋体"/>
                <w:color w:val="auto"/>
                <w:szCs w:val="21"/>
                <w:highlight w:val="none"/>
              </w:rPr>
            </w:pPr>
            <w:r>
              <w:rPr>
                <w:rFonts w:hAnsi="宋体"/>
                <w:color w:val="auto"/>
                <w:szCs w:val="21"/>
                <w:highlight w:val="none"/>
              </w:rPr>
              <w:t>1</w:t>
            </w:r>
            <w:r>
              <w:rPr>
                <w:rFonts w:hint="eastAsia" w:hAnsi="宋体"/>
                <w:color w:val="auto"/>
                <w:szCs w:val="21"/>
                <w:highlight w:val="none"/>
              </w:rPr>
              <w:t>、供应商承诺具体事项：</w:t>
            </w:r>
          </w:p>
          <w:p w14:paraId="3CE4DFA8">
            <w:pPr>
              <w:snapToGrid w:val="0"/>
              <w:spacing w:line="360" w:lineRule="exact"/>
              <w:rPr>
                <w:rFonts w:hint="eastAsia" w:hAnsi="宋体"/>
                <w:color w:val="auto"/>
                <w:szCs w:val="21"/>
                <w:highlight w:val="none"/>
              </w:rPr>
            </w:pPr>
          </w:p>
          <w:p w14:paraId="2FB042B8">
            <w:pPr>
              <w:snapToGrid w:val="0"/>
              <w:spacing w:line="360" w:lineRule="exact"/>
              <w:rPr>
                <w:rFonts w:hint="eastAsia" w:hAnsi="宋体"/>
                <w:color w:val="auto"/>
                <w:szCs w:val="21"/>
                <w:highlight w:val="none"/>
              </w:rPr>
            </w:pPr>
          </w:p>
          <w:p w14:paraId="43A16CDF">
            <w:pPr>
              <w:snapToGrid w:val="0"/>
              <w:spacing w:line="360" w:lineRule="exact"/>
              <w:rPr>
                <w:rFonts w:hint="eastAsia" w:hAnsi="宋体"/>
                <w:color w:val="auto"/>
                <w:szCs w:val="21"/>
                <w:highlight w:val="none"/>
              </w:rPr>
            </w:pPr>
          </w:p>
          <w:p w14:paraId="71799F64">
            <w:pPr>
              <w:snapToGrid w:val="0"/>
              <w:spacing w:line="360" w:lineRule="exact"/>
              <w:rPr>
                <w:rFonts w:hAnsi="宋体"/>
                <w:color w:val="auto"/>
                <w:szCs w:val="21"/>
                <w:highlight w:val="none"/>
              </w:rPr>
            </w:pPr>
          </w:p>
        </w:tc>
      </w:tr>
      <w:tr w14:paraId="17C3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5000" w:type="pct"/>
            <w:gridSpan w:val="2"/>
            <w:tcBorders>
              <w:top w:val="single" w:color="auto" w:sz="4" w:space="0"/>
              <w:left w:val="single" w:color="auto" w:sz="4" w:space="0"/>
              <w:bottom w:val="single" w:color="auto" w:sz="4" w:space="0"/>
              <w:right w:val="single" w:color="auto" w:sz="4" w:space="0"/>
            </w:tcBorders>
          </w:tcPr>
          <w:p w14:paraId="65785852">
            <w:pPr>
              <w:snapToGrid w:val="0"/>
              <w:spacing w:line="360" w:lineRule="exact"/>
              <w:rPr>
                <w:rFonts w:hint="eastAsia" w:hAnsi="宋体"/>
                <w:color w:val="auto"/>
                <w:szCs w:val="21"/>
                <w:highlight w:val="none"/>
              </w:rPr>
            </w:pPr>
            <w:r>
              <w:rPr>
                <w:rFonts w:hAnsi="宋体"/>
                <w:color w:val="auto"/>
                <w:szCs w:val="21"/>
                <w:highlight w:val="none"/>
              </w:rPr>
              <w:t>2</w:t>
            </w:r>
            <w:r>
              <w:rPr>
                <w:rFonts w:hint="eastAsia" w:hAnsi="宋体"/>
                <w:color w:val="auto"/>
                <w:szCs w:val="21"/>
                <w:highlight w:val="none"/>
              </w:rPr>
              <w:t>、售后服务具体事项：</w:t>
            </w:r>
          </w:p>
          <w:p w14:paraId="4FE37711">
            <w:pPr>
              <w:snapToGrid w:val="0"/>
              <w:spacing w:line="360" w:lineRule="exact"/>
              <w:rPr>
                <w:rFonts w:hint="eastAsia" w:hAnsi="宋体"/>
                <w:color w:val="auto"/>
                <w:szCs w:val="21"/>
                <w:highlight w:val="none"/>
              </w:rPr>
            </w:pPr>
          </w:p>
          <w:p w14:paraId="7848F17D">
            <w:pPr>
              <w:snapToGrid w:val="0"/>
              <w:spacing w:line="360" w:lineRule="exact"/>
              <w:rPr>
                <w:rFonts w:hint="eastAsia" w:hAnsi="宋体"/>
                <w:color w:val="auto"/>
                <w:szCs w:val="21"/>
                <w:highlight w:val="none"/>
              </w:rPr>
            </w:pPr>
          </w:p>
          <w:p w14:paraId="6568AF87">
            <w:pPr>
              <w:snapToGrid w:val="0"/>
              <w:spacing w:line="360" w:lineRule="exact"/>
              <w:rPr>
                <w:rFonts w:hint="eastAsia" w:hAnsi="宋体"/>
                <w:color w:val="auto"/>
                <w:szCs w:val="21"/>
                <w:highlight w:val="none"/>
              </w:rPr>
            </w:pPr>
          </w:p>
          <w:p w14:paraId="69B552B1">
            <w:pPr>
              <w:snapToGrid w:val="0"/>
              <w:spacing w:line="360" w:lineRule="exact"/>
              <w:rPr>
                <w:rFonts w:hAnsi="宋体"/>
                <w:color w:val="auto"/>
                <w:szCs w:val="21"/>
                <w:highlight w:val="none"/>
              </w:rPr>
            </w:pPr>
          </w:p>
        </w:tc>
      </w:tr>
      <w:tr w14:paraId="396B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5000" w:type="pct"/>
            <w:gridSpan w:val="2"/>
            <w:tcBorders>
              <w:top w:val="single" w:color="auto" w:sz="4" w:space="0"/>
              <w:left w:val="single" w:color="auto" w:sz="4" w:space="0"/>
              <w:bottom w:val="single" w:color="auto" w:sz="4" w:space="0"/>
              <w:right w:val="single" w:color="auto" w:sz="4" w:space="0"/>
            </w:tcBorders>
          </w:tcPr>
          <w:p w14:paraId="6F9D38A3">
            <w:pPr>
              <w:snapToGrid w:val="0"/>
              <w:spacing w:line="360" w:lineRule="exact"/>
              <w:rPr>
                <w:rFonts w:hint="eastAsia" w:hAnsi="宋体"/>
                <w:color w:val="auto"/>
                <w:szCs w:val="21"/>
                <w:highlight w:val="none"/>
              </w:rPr>
            </w:pPr>
            <w:r>
              <w:rPr>
                <w:rFonts w:hAnsi="宋体"/>
                <w:color w:val="auto"/>
                <w:szCs w:val="21"/>
                <w:highlight w:val="none"/>
              </w:rPr>
              <w:t>3</w:t>
            </w:r>
            <w:r>
              <w:rPr>
                <w:rFonts w:hint="eastAsia" w:hAnsi="宋体"/>
                <w:color w:val="auto"/>
                <w:szCs w:val="21"/>
                <w:highlight w:val="none"/>
              </w:rPr>
              <w:t>、保修期责任：</w:t>
            </w:r>
          </w:p>
          <w:p w14:paraId="0C688110">
            <w:pPr>
              <w:snapToGrid w:val="0"/>
              <w:spacing w:line="360" w:lineRule="exact"/>
              <w:rPr>
                <w:rFonts w:hint="eastAsia" w:hAnsi="宋体"/>
                <w:color w:val="auto"/>
                <w:szCs w:val="21"/>
                <w:highlight w:val="none"/>
              </w:rPr>
            </w:pPr>
          </w:p>
          <w:p w14:paraId="54326C28">
            <w:pPr>
              <w:snapToGrid w:val="0"/>
              <w:spacing w:line="360" w:lineRule="exact"/>
              <w:rPr>
                <w:rFonts w:hint="eastAsia" w:hAnsi="宋体"/>
                <w:color w:val="auto"/>
                <w:szCs w:val="21"/>
                <w:highlight w:val="none"/>
              </w:rPr>
            </w:pPr>
          </w:p>
          <w:p w14:paraId="6690D4CF">
            <w:pPr>
              <w:snapToGrid w:val="0"/>
              <w:spacing w:line="360" w:lineRule="exact"/>
              <w:rPr>
                <w:rFonts w:hint="eastAsia" w:hAnsi="宋体"/>
                <w:color w:val="auto"/>
                <w:szCs w:val="21"/>
                <w:highlight w:val="none"/>
              </w:rPr>
            </w:pPr>
          </w:p>
          <w:p w14:paraId="495BB831">
            <w:pPr>
              <w:snapToGrid w:val="0"/>
              <w:spacing w:line="360" w:lineRule="exact"/>
              <w:rPr>
                <w:rFonts w:hAnsi="宋体"/>
                <w:color w:val="auto"/>
                <w:szCs w:val="21"/>
                <w:highlight w:val="none"/>
              </w:rPr>
            </w:pPr>
          </w:p>
        </w:tc>
      </w:tr>
      <w:tr w14:paraId="6F4D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5000" w:type="pct"/>
            <w:gridSpan w:val="2"/>
            <w:tcBorders>
              <w:top w:val="single" w:color="auto" w:sz="4" w:space="0"/>
              <w:left w:val="single" w:color="auto" w:sz="4" w:space="0"/>
              <w:bottom w:val="single" w:color="auto" w:sz="4" w:space="0"/>
              <w:right w:val="single" w:color="auto" w:sz="4" w:space="0"/>
            </w:tcBorders>
          </w:tcPr>
          <w:p w14:paraId="48F32008">
            <w:pPr>
              <w:snapToGrid w:val="0"/>
              <w:spacing w:line="360" w:lineRule="exact"/>
              <w:rPr>
                <w:rFonts w:hint="eastAsia" w:hAnsi="宋体"/>
                <w:color w:val="auto"/>
                <w:szCs w:val="21"/>
                <w:highlight w:val="none"/>
              </w:rPr>
            </w:pPr>
            <w:r>
              <w:rPr>
                <w:rFonts w:hAnsi="宋体"/>
                <w:color w:val="auto"/>
                <w:szCs w:val="21"/>
                <w:highlight w:val="none"/>
              </w:rPr>
              <w:t>4</w:t>
            </w:r>
            <w:r>
              <w:rPr>
                <w:rFonts w:hint="eastAsia" w:hAnsi="宋体"/>
                <w:color w:val="auto"/>
                <w:szCs w:val="21"/>
                <w:highlight w:val="none"/>
              </w:rPr>
              <w:t>、其他具体事项：</w:t>
            </w:r>
          </w:p>
          <w:p w14:paraId="50064253">
            <w:pPr>
              <w:snapToGrid w:val="0"/>
              <w:spacing w:line="360" w:lineRule="exact"/>
              <w:rPr>
                <w:rFonts w:hint="eastAsia" w:hAnsi="宋体"/>
                <w:color w:val="auto"/>
                <w:szCs w:val="21"/>
                <w:highlight w:val="none"/>
              </w:rPr>
            </w:pPr>
          </w:p>
          <w:p w14:paraId="18EACC6F">
            <w:pPr>
              <w:snapToGrid w:val="0"/>
              <w:spacing w:line="360" w:lineRule="exact"/>
              <w:rPr>
                <w:rFonts w:hint="eastAsia" w:hAnsi="宋体"/>
                <w:color w:val="auto"/>
                <w:szCs w:val="21"/>
                <w:highlight w:val="none"/>
              </w:rPr>
            </w:pPr>
          </w:p>
          <w:p w14:paraId="602FD0E0">
            <w:pPr>
              <w:snapToGrid w:val="0"/>
              <w:spacing w:line="360" w:lineRule="exact"/>
              <w:rPr>
                <w:rFonts w:hint="eastAsia" w:hAnsi="宋体"/>
                <w:color w:val="auto"/>
                <w:szCs w:val="21"/>
                <w:highlight w:val="none"/>
              </w:rPr>
            </w:pPr>
          </w:p>
          <w:p w14:paraId="76E469BC">
            <w:pPr>
              <w:snapToGrid w:val="0"/>
              <w:spacing w:line="360" w:lineRule="exact"/>
              <w:rPr>
                <w:rFonts w:hint="eastAsia" w:hAnsi="宋体"/>
                <w:color w:val="auto"/>
                <w:szCs w:val="21"/>
                <w:highlight w:val="none"/>
              </w:rPr>
            </w:pPr>
          </w:p>
          <w:p w14:paraId="51C3C6FF">
            <w:pPr>
              <w:snapToGrid w:val="0"/>
              <w:spacing w:line="360" w:lineRule="exact"/>
              <w:rPr>
                <w:rFonts w:hint="eastAsia" w:hAnsi="宋体"/>
                <w:color w:val="auto"/>
                <w:szCs w:val="21"/>
                <w:highlight w:val="none"/>
              </w:rPr>
            </w:pPr>
          </w:p>
          <w:p w14:paraId="777F6179">
            <w:pPr>
              <w:snapToGrid w:val="0"/>
              <w:spacing w:line="360" w:lineRule="exact"/>
              <w:rPr>
                <w:rFonts w:hAnsi="宋体"/>
                <w:color w:val="auto"/>
                <w:szCs w:val="21"/>
                <w:highlight w:val="none"/>
              </w:rPr>
            </w:pPr>
          </w:p>
        </w:tc>
      </w:tr>
      <w:tr w14:paraId="4D5B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2667" w:type="pct"/>
            <w:tcBorders>
              <w:top w:val="single" w:color="auto" w:sz="4" w:space="0"/>
              <w:left w:val="single" w:color="auto" w:sz="4" w:space="0"/>
              <w:bottom w:val="single" w:color="auto" w:sz="4" w:space="0"/>
              <w:right w:val="single" w:color="auto" w:sz="4" w:space="0"/>
            </w:tcBorders>
            <w:vAlign w:val="center"/>
          </w:tcPr>
          <w:p w14:paraId="126A1C6B">
            <w:pPr>
              <w:snapToGrid w:val="0"/>
              <w:spacing w:line="360" w:lineRule="exact"/>
              <w:ind w:firstLine="422"/>
              <w:rPr>
                <w:rFonts w:hAnsi="宋体"/>
                <w:color w:val="auto"/>
                <w:szCs w:val="21"/>
                <w:highlight w:val="none"/>
              </w:rPr>
            </w:pPr>
            <w:r>
              <w:rPr>
                <w:rFonts w:hint="eastAsia" w:hAnsi="宋体"/>
                <w:color w:val="auto"/>
                <w:szCs w:val="21"/>
                <w:highlight w:val="none"/>
              </w:rPr>
              <w:t>甲方（章）</w:t>
            </w:r>
          </w:p>
          <w:p w14:paraId="4C107CBF">
            <w:pPr>
              <w:wordWrap w:val="0"/>
              <w:snapToGrid w:val="0"/>
              <w:spacing w:line="360" w:lineRule="exact"/>
              <w:ind w:firstLine="422"/>
              <w:jc w:val="right"/>
              <w:rPr>
                <w:rFonts w:hAnsi="宋体"/>
                <w:color w:val="auto"/>
                <w:szCs w:val="21"/>
                <w:highlight w:val="none"/>
              </w:rPr>
            </w:pPr>
            <w:r>
              <w:rPr>
                <w:rFonts w:hAnsi="宋体"/>
                <w:color w:val="auto"/>
                <w:szCs w:val="21"/>
                <w:highlight w:val="none"/>
              </w:rPr>
              <w:t xml:space="preserve">                  </w:t>
            </w:r>
          </w:p>
          <w:p w14:paraId="6DE24CEB">
            <w:pPr>
              <w:snapToGrid w:val="0"/>
              <w:spacing w:line="360" w:lineRule="exact"/>
              <w:ind w:firstLine="422"/>
              <w:jc w:val="right"/>
              <w:rPr>
                <w:rFonts w:hAnsi="宋体"/>
                <w:color w:val="auto"/>
                <w:szCs w:val="21"/>
                <w:highlight w:val="none"/>
              </w:rPr>
            </w:pPr>
          </w:p>
          <w:p w14:paraId="48821977">
            <w:pPr>
              <w:snapToGrid w:val="0"/>
              <w:spacing w:line="360" w:lineRule="exact"/>
              <w:ind w:firstLine="422"/>
              <w:jc w:val="right"/>
              <w:rPr>
                <w:rFonts w:hAnsi="宋体"/>
                <w:color w:val="auto"/>
                <w:szCs w:val="21"/>
                <w:highlight w:val="none"/>
              </w:rPr>
            </w:pPr>
            <w:r>
              <w:rPr>
                <w:rFonts w:hAnsi="宋体"/>
                <w:color w:val="auto"/>
                <w:szCs w:val="21"/>
                <w:highlight w:val="none"/>
              </w:rPr>
              <w:t xml:space="preserve">  </w:t>
            </w:r>
          </w:p>
          <w:p w14:paraId="105DFCCB">
            <w:pPr>
              <w:snapToGrid w:val="0"/>
              <w:spacing w:line="360" w:lineRule="exact"/>
              <w:ind w:firstLine="422"/>
              <w:jc w:val="right"/>
              <w:rPr>
                <w:rFonts w:hint="eastAsia" w:hAnsi="宋体"/>
                <w:color w:val="auto"/>
                <w:szCs w:val="21"/>
                <w:highlight w:val="none"/>
              </w:rPr>
            </w:pPr>
          </w:p>
          <w:p w14:paraId="0A9A5D70">
            <w:pPr>
              <w:snapToGrid w:val="0"/>
              <w:spacing w:line="360" w:lineRule="exact"/>
              <w:ind w:firstLine="422"/>
              <w:jc w:val="right"/>
              <w:rPr>
                <w:rFonts w:hint="eastAsia" w:hAnsi="宋体"/>
                <w:color w:val="auto"/>
                <w:szCs w:val="21"/>
                <w:highlight w:val="none"/>
              </w:rPr>
            </w:pPr>
          </w:p>
          <w:p w14:paraId="602E6DE2">
            <w:pPr>
              <w:snapToGrid w:val="0"/>
              <w:spacing w:line="360" w:lineRule="exact"/>
              <w:ind w:firstLine="422"/>
              <w:jc w:val="right"/>
              <w:rPr>
                <w:rFonts w:hint="eastAsia" w:hAnsi="宋体"/>
                <w:color w:val="auto"/>
                <w:szCs w:val="21"/>
                <w:highlight w:val="none"/>
              </w:rPr>
            </w:pPr>
          </w:p>
          <w:p w14:paraId="39D22FCE">
            <w:pPr>
              <w:snapToGrid w:val="0"/>
              <w:spacing w:line="360" w:lineRule="exact"/>
              <w:ind w:firstLine="422"/>
              <w:jc w:val="right"/>
              <w:rPr>
                <w:rFonts w:hAnsi="宋体"/>
                <w:color w:val="auto"/>
                <w:szCs w:val="21"/>
                <w:highlight w:val="none"/>
              </w:rPr>
            </w:pPr>
            <w:r>
              <w:rPr>
                <w:rFonts w:hint="eastAsia" w:hAnsi="宋体"/>
                <w:color w:val="auto"/>
                <w:szCs w:val="21"/>
                <w:highlight w:val="none"/>
              </w:rPr>
              <w:t>年</w:t>
            </w:r>
            <w:r>
              <w:rPr>
                <w:rFonts w:hAnsi="宋体"/>
                <w:color w:val="auto"/>
                <w:szCs w:val="21"/>
                <w:highlight w:val="none"/>
              </w:rPr>
              <w:t xml:space="preserve">   </w:t>
            </w:r>
            <w:r>
              <w:rPr>
                <w:rFonts w:hint="eastAsia" w:hAnsi="宋体"/>
                <w:color w:val="auto"/>
                <w:szCs w:val="21"/>
                <w:highlight w:val="none"/>
              </w:rPr>
              <w:t>月</w:t>
            </w:r>
            <w:r>
              <w:rPr>
                <w:rFonts w:hAnsi="宋体"/>
                <w:color w:val="auto"/>
                <w:szCs w:val="21"/>
                <w:highlight w:val="none"/>
              </w:rPr>
              <w:t xml:space="preserve">   </w:t>
            </w:r>
            <w:r>
              <w:rPr>
                <w:rFonts w:hint="eastAsia" w:hAnsi="宋体"/>
                <w:color w:val="auto"/>
                <w:szCs w:val="21"/>
                <w:highlight w:val="none"/>
              </w:rPr>
              <w:t>日</w:t>
            </w:r>
            <w:r>
              <w:rPr>
                <w:rFonts w:hAnsi="宋体"/>
                <w:color w:val="auto"/>
                <w:szCs w:val="21"/>
                <w:highlight w:val="none"/>
              </w:rPr>
              <w:t xml:space="preserve"> </w:t>
            </w:r>
          </w:p>
        </w:tc>
        <w:tc>
          <w:tcPr>
            <w:tcW w:w="2332" w:type="pct"/>
            <w:tcBorders>
              <w:top w:val="single" w:color="auto" w:sz="4" w:space="0"/>
              <w:left w:val="single" w:color="auto" w:sz="4" w:space="0"/>
              <w:bottom w:val="single" w:color="auto" w:sz="4" w:space="0"/>
              <w:right w:val="single" w:color="auto" w:sz="4" w:space="0"/>
            </w:tcBorders>
            <w:vAlign w:val="center"/>
          </w:tcPr>
          <w:p w14:paraId="660F5186">
            <w:pPr>
              <w:snapToGrid w:val="0"/>
              <w:spacing w:line="360" w:lineRule="exact"/>
              <w:ind w:firstLine="422"/>
              <w:rPr>
                <w:rFonts w:hAnsi="宋体"/>
                <w:color w:val="auto"/>
                <w:szCs w:val="21"/>
                <w:highlight w:val="none"/>
              </w:rPr>
            </w:pPr>
            <w:r>
              <w:rPr>
                <w:rFonts w:hint="eastAsia" w:hAnsi="宋体"/>
                <w:color w:val="auto"/>
                <w:szCs w:val="21"/>
                <w:highlight w:val="none"/>
              </w:rPr>
              <w:t>乙方（章）</w:t>
            </w:r>
          </w:p>
          <w:p w14:paraId="483EFFE3">
            <w:pPr>
              <w:snapToGrid w:val="0"/>
              <w:spacing w:line="360" w:lineRule="exact"/>
              <w:ind w:firstLine="422"/>
              <w:jc w:val="right"/>
              <w:rPr>
                <w:rFonts w:hAnsi="宋体"/>
                <w:color w:val="auto"/>
                <w:szCs w:val="21"/>
                <w:highlight w:val="none"/>
              </w:rPr>
            </w:pPr>
            <w:r>
              <w:rPr>
                <w:rFonts w:hAnsi="宋体"/>
                <w:color w:val="auto"/>
                <w:szCs w:val="21"/>
                <w:highlight w:val="none"/>
              </w:rPr>
              <w:t xml:space="preserve">                 </w:t>
            </w:r>
          </w:p>
          <w:p w14:paraId="7C7CFEEF">
            <w:pPr>
              <w:snapToGrid w:val="0"/>
              <w:spacing w:line="360" w:lineRule="exact"/>
              <w:ind w:firstLine="422"/>
              <w:jc w:val="right"/>
              <w:rPr>
                <w:rFonts w:hAnsi="宋体"/>
                <w:color w:val="auto"/>
                <w:szCs w:val="21"/>
                <w:highlight w:val="none"/>
              </w:rPr>
            </w:pPr>
          </w:p>
          <w:p w14:paraId="63FB513D">
            <w:pPr>
              <w:snapToGrid w:val="0"/>
              <w:spacing w:line="360" w:lineRule="exact"/>
              <w:ind w:firstLine="422"/>
              <w:jc w:val="right"/>
              <w:rPr>
                <w:rFonts w:hAnsi="宋体"/>
                <w:color w:val="auto"/>
                <w:szCs w:val="21"/>
                <w:highlight w:val="none"/>
              </w:rPr>
            </w:pPr>
          </w:p>
          <w:p w14:paraId="3FD666FB">
            <w:pPr>
              <w:snapToGrid w:val="0"/>
              <w:spacing w:line="360" w:lineRule="exact"/>
              <w:ind w:firstLine="422"/>
              <w:jc w:val="right"/>
              <w:rPr>
                <w:rFonts w:hint="eastAsia" w:hAnsi="宋体"/>
                <w:color w:val="auto"/>
                <w:szCs w:val="21"/>
                <w:highlight w:val="none"/>
              </w:rPr>
            </w:pPr>
          </w:p>
          <w:p w14:paraId="3F9F1975">
            <w:pPr>
              <w:snapToGrid w:val="0"/>
              <w:spacing w:line="360" w:lineRule="exact"/>
              <w:ind w:firstLine="422"/>
              <w:jc w:val="right"/>
              <w:rPr>
                <w:rFonts w:hint="eastAsia" w:hAnsi="宋体"/>
                <w:color w:val="auto"/>
                <w:szCs w:val="21"/>
                <w:highlight w:val="none"/>
              </w:rPr>
            </w:pPr>
          </w:p>
          <w:p w14:paraId="51479CB1">
            <w:pPr>
              <w:snapToGrid w:val="0"/>
              <w:spacing w:line="360" w:lineRule="exact"/>
              <w:ind w:firstLine="422"/>
              <w:jc w:val="right"/>
              <w:rPr>
                <w:rFonts w:hAnsi="宋体"/>
                <w:color w:val="auto"/>
                <w:szCs w:val="21"/>
                <w:highlight w:val="none"/>
              </w:rPr>
            </w:pPr>
            <w:r>
              <w:rPr>
                <w:rFonts w:hint="eastAsia" w:hAnsi="宋体"/>
                <w:color w:val="auto"/>
                <w:szCs w:val="21"/>
                <w:highlight w:val="none"/>
              </w:rPr>
              <w:t>年</w:t>
            </w:r>
            <w:r>
              <w:rPr>
                <w:rFonts w:hAnsi="宋体"/>
                <w:color w:val="auto"/>
                <w:szCs w:val="21"/>
                <w:highlight w:val="none"/>
              </w:rPr>
              <w:t xml:space="preserve">   </w:t>
            </w:r>
            <w:r>
              <w:rPr>
                <w:rFonts w:hint="eastAsia" w:hAnsi="宋体"/>
                <w:color w:val="auto"/>
                <w:szCs w:val="21"/>
                <w:highlight w:val="none"/>
              </w:rPr>
              <w:t>月</w:t>
            </w:r>
            <w:r>
              <w:rPr>
                <w:rFonts w:hAnsi="宋体"/>
                <w:color w:val="auto"/>
                <w:szCs w:val="21"/>
                <w:highlight w:val="none"/>
              </w:rPr>
              <w:t xml:space="preserve">   </w:t>
            </w:r>
            <w:r>
              <w:rPr>
                <w:rFonts w:hint="eastAsia" w:hAnsi="宋体"/>
                <w:color w:val="auto"/>
                <w:szCs w:val="21"/>
                <w:highlight w:val="none"/>
              </w:rPr>
              <w:t>日</w:t>
            </w:r>
          </w:p>
        </w:tc>
      </w:tr>
    </w:tbl>
    <w:p w14:paraId="358030B2">
      <w:pPr>
        <w:snapToGrid w:val="0"/>
        <w:spacing w:line="360" w:lineRule="exact"/>
        <w:jc w:val="left"/>
        <w:rPr>
          <w:rFonts w:hint="eastAsia" w:ascii="宋体" w:hAnsi="宋体"/>
          <w:color w:val="auto"/>
          <w:szCs w:val="21"/>
          <w:highlight w:val="none"/>
        </w:rPr>
      </w:pPr>
      <w:r>
        <w:rPr>
          <w:rFonts w:hint="eastAsia" w:ascii="宋体" w:hAnsi="宋体"/>
          <w:color w:val="auto"/>
          <w:szCs w:val="21"/>
          <w:highlight w:val="none"/>
        </w:rPr>
        <w:t xml:space="preserve">    注：售后服务事项填不下时可另加附页</w:t>
      </w:r>
    </w:p>
    <w:p w14:paraId="5879202A">
      <w:pPr>
        <w:pStyle w:val="29"/>
        <w:snapToGrid w:val="0"/>
        <w:spacing w:before="120" w:after="120"/>
        <w:jc w:val="center"/>
        <w:outlineLvl w:val="0"/>
        <w:rPr>
          <w:rFonts w:hint="eastAsia" w:ascii="黑体" w:eastAsia="黑体"/>
          <w:b/>
          <w:color w:val="auto"/>
          <w:sz w:val="44"/>
          <w:szCs w:val="44"/>
          <w:highlight w:val="none"/>
          <w:shd w:val="clear" w:color="auto" w:fill="auto"/>
        </w:rPr>
      </w:pPr>
      <w:r>
        <w:rPr>
          <w:rFonts w:ascii="黑体" w:eastAsia="黑体"/>
          <w:b/>
          <w:color w:val="auto"/>
          <w:sz w:val="44"/>
          <w:szCs w:val="44"/>
          <w:highlight w:val="none"/>
          <w:shd w:val="clear" w:color="auto" w:fill="auto"/>
        </w:rPr>
        <w:br w:type="page"/>
      </w:r>
    </w:p>
    <w:p w14:paraId="536DCB1D">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21F6BA6A">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38D4F26A">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32C250DA">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2ED803DC">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3C5FCE0D">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5A4DF9C2">
      <w:pPr>
        <w:pStyle w:val="29"/>
        <w:snapToGrid w:val="0"/>
        <w:spacing w:before="120" w:after="120"/>
        <w:jc w:val="center"/>
        <w:outlineLvl w:val="0"/>
        <w:rPr>
          <w:rFonts w:hint="eastAsia" w:ascii="黑体" w:eastAsia="黑体"/>
          <w:b/>
          <w:color w:val="auto"/>
          <w:sz w:val="44"/>
          <w:szCs w:val="44"/>
          <w:highlight w:val="none"/>
          <w:shd w:val="clear" w:color="auto" w:fill="auto"/>
        </w:rPr>
      </w:pPr>
    </w:p>
    <w:p w14:paraId="5502D00E">
      <w:pPr>
        <w:pStyle w:val="29"/>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仿宋_GB2312" w:eastAsia="仿宋_GB2312"/>
          <w:b/>
          <w:color w:val="auto"/>
          <w:sz w:val="44"/>
          <w:szCs w:val="44"/>
          <w:highlight w:val="none"/>
          <w:shd w:val="clear" w:color="auto" w:fill="auto"/>
        </w:rPr>
        <w:t>第六章　投标文件格式</w:t>
      </w:r>
    </w:p>
    <w:p w14:paraId="28A46165">
      <w:pPr>
        <w:snapToGrid w:val="0"/>
        <w:spacing w:before="50" w:after="50"/>
        <w:outlineLvl w:val="1"/>
        <w:rPr>
          <w:rFonts w:hint="eastAsia" w:ascii="仿宋_GB2312" w:eastAsia="仿宋_GB2312"/>
          <w:color w:val="auto"/>
          <w:sz w:val="32"/>
          <w:szCs w:val="20"/>
          <w:highlight w:val="none"/>
          <w:shd w:val="clear" w:color="auto" w:fill="auto"/>
        </w:rPr>
      </w:pPr>
      <w:r>
        <w:rPr>
          <w:rFonts w:ascii="仿宋_GB2312" w:eastAsia="仿宋_GB2312"/>
          <w:color w:val="auto"/>
          <w:sz w:val="32"/>
          <w:szCs w:val="20"/>
          <w:highlight w:val="none"/>
          <w:shd w:val="clear" w:color="auto" w:fill="auto"/>
        </w:rPr>
        <w:br w:type="page"/>
      </w:r>
      <w:bookmarkStart w:id="12" w:name="_Toc254970697"/>
      <w:bookmarkStart w:id="13" w:name="_Toc254970556"/>
    </w:p>
    <w:p w14:paraId="36B693F8">
      <w:pPr>
        <w:snapToGrid w:val="0"/>
        <w:spacing w:before="50" w:after="50"/>
        <w:outlineLvl w:val="1"/>
        <w:rPr>
          <w:rFonts w:hint="eastAsia" w:ascii="仿宋_GB2312" w:eastAsia="仿宋_GB2312"/>
          <w:color w:val="auto"/>
          <w:sz w:val="32"/>
          <w:szCs w:val="20"/>
          <w:highlight w:val="none"/>
          <w:shd w:val="clear" w:color="auto" w:fill="auto"/>
        </w:rPr>
      </w:pPr>
    </w:p>
    <w:p w14:paraId="1BC0245B">
      <w:pPr>
        <w:snapToGrid w:val="0"/>
        <w:spacing w:before="50" w:after="50"/>
        <w:outlineLvl w:val="1"/>
        <w:rPr>
          <w:rFonts w:hint="eastAsia" w:ascii="宋体"/>
          <w:b/>
          <w:bCs/>
          <w:color w:val="auto"/>
          <w:szCs w:val="21"/>
          <w:highlight w:val="none"/>
          <w:shd w:val="clear" w:color="auto" w:fill="auto"/>
        </w:rPr>
      </w:pPr>
    </w:p>
    <w:bookmarkEnd w:id="12"/>
    <w:bookmarkEnd w:id="13"/>
    <w:p w14:paraId="599BE257">
      <w:pPr>
        <w:snapToGrid w:val="0"/>
        <w:spacing w:before="156" w:beforeLines="50" w:after="50" w:line="360" w:lineRule="exact"/>
        <w:jc w:val="center"/>
        <w:outlineLvl w:val="1"/>
        <w:rPr>
          <w:rFonts w:ascii="仿宋_GB2312" w:hAnsi="宋体" w:eastAsia="仿宋_GB2312"/>
          <w:b/>
          <w:bCs/>
          <w:color w:val="auto"/>
          <w:sz w:val="32"/>
          <w:szCs w:val="32"/>
          <w:highlight w:val="none"/>
          <w:shd w:val="clear" w:color="auto" w:fill="auto"/>
        </w:rPr>
      </w:pPr>
      <w:r>
        <w:rPr>
          <w:rFonts w:hint="eastAsia" w:ascii="仿宋_GB2312" w:hAnsi="宋体" w:eastAsia="仿宋_GB2312"/>
          <w:b/>
          <w:color w:val="auto"/>
          <w:sz w:val="32"/>
          <w:szCs w:val="32"/>
          <w:highlight w:val="none"/>
          <w:shd w:val="clear" w:color="auto" w:fill="auto"/>
        </w:rPr>
        <w:t>投标文件格式</w:t>
      </w:r>
    </w:p>
    <w:p w14:paraId="62913866">
      <w:pPr>
        <w:snapToGrid w:val="0"/>
        <w:spacing w:before="156" w:beforeLines="50" w:after="50" w:line="360" w:lineRule="exact"/>
        <w:jc w:val="center"/>
        <w:outlineLvl w:val="0"/>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一、</w:t>
      </w:r>
      <w:r>
        <w:rPr>
          <w:rFonts w:hint="eastAsia" w:ascii="宋体" w:hAnsi="宋体"/>
          <w:b/>
          <w:color w:val="auto"/>
          <w:szCs w:val="21"/>
          <w:highlight w:val="none"/>
          <w:shd w:val="clear" w:color="auto" w:fill="auto"/>
        </w:rPr>
        <w:t>投标文件封面</w:t>
      </w:r>
      <w:r>
        <w:rPr>
          <w:rFonts w:hint="eastAsia" w:ascii="宋体" w:hAnsi="宋体"/>
          <w:b/>
          <w:bCs/>
          <w:color w:val="auto"/>
          <w:szCs w:val="21"/>
          <w:highlight w:val="none"/>
          <w:shd w:val="clear" w:color="auto" w:fill="auto"/>
        </w:rPr>
        <w:t>格式</w:t>
      </w:r>
    </w:p>
    <w:p w14:paraId="343AB801">
      <w:pPr>
        <w:snapToGrid w:val="0"/>
        <w:spacing w:before="156" w:beforeLines="50" w:after="50" w:line="360" w:lineRule="exact"/>
        <w:rPr>
          <w:rFonts w:hint="eastAsia" w:ascii="宋体" w:hAnsi="宋体"/>
          <w:b/>
          <w:color w:val="auto"/>
          <w:szCs w:val="21"/>
          <w:highlight w:val="none"/>
          <w:shd w:val="clear" w:color="auto" w:fill="auto"/>
        </w:rPr>
      </w:pPr>
    </w:p>
    <w:p w14:paraId="7D148B21">
      <w:pPr>
        <w:snapToGrid w:val="0"/>
        <w:spacing w:before="156" w:beforeLines="50" w:after="50" w:line="360" w:lineRule="exact"/>
        <w:rPr>
          <w:rFonts w:hint="eastAsia" w:ascii="仿宋_GB2312" w:hAnsi="宋体" w:eastAsia="仿宋_GB2312"/>
          <w:color w:val="auto"/>
          <w:sz w:val="24"/>
          <w:highlight w:val="none"/>
          <w:shd w:val="clear" w:color="auto" w:fill="auto"/>
        </w:rPr>
      </w:pPr>
    </w:p>
    <w:p w14:paraId="6B49B63D">
      <w:pPr>
        <w:snapToGrid w:val="0"/>
        <w:spacing w:before="156" w:beforeLines="50" w:after="50" w:line="360" w:lineRule="exact"/>
        <w:rPr>
          <w:rFonts w:hint="eastAsia" w:ascii="仿宋_GB2312" w:hAnsi="宋体" w:eastAsia="仿宋_GB2312"/>
          <w:bCs/>
          <w:color w:val="auto"/>
          <w:sz w:val="24"/>
          <w:highlight w:val="none"/>
          <w:shd w:val="clear" w:color="auto" w:fill="auto"/>
        </w:rPr>
      </w:pPr>
      <w:r>
        <w:rPr>
          <w:rFonts w:hint="eastAsia" w:ascii="仿宋_GB2312" w:hAnsi="宋体" w:eastAsia="仿宋_GB2312"/>
          <w:color w:val="auto"/>
          <w:sz w:val="24"/>
          <w:highlight w:val="none"/>
          <w:shd w:val="clear" w:color="auto" w:fill="auto"/>
        </w:rPr>
        <w:t xml:space="preserve">                                                   </w:t>
      </w:r>
    </w:p>
    <w:p w14:paraId="6667429D">
      <w:pPr>
        <w:snapToGrid w:val="0"/>
        <w:spacing w:before="156" w:beforeLines="50" w:after="50" w:line="360" w:lineRule="exact"/>
        <w:jc w:val="center"/>
        <w:rPr>
          <w:rFonts w:hint="eastAsia" w:ascii="宋体" w:hAnsi="宋体"/>
          <w:b/>
          <w:bCs/>
          <w:color w:val="auto"/>
          <w:sz w:val="32"/>
          <w:szCs w:val="32"/>
          <w:highlight w:val="none"/>
          <w:shd w:val="clear" w:color="auto" w:fill="auto"/>
        </w:rPr>
      </w:pPr>
      <w:r>
        <w:rPr>
          <w:rFonts w:hint="eastAsia" w:ascii="宋体" w:hAnsi="宋体"/>
          <w:b/>
          <w:bCs/>
          <w:color w:val="auto"/>
          <w:sz w:val="32"/>
          <w:szCs w:val="32"/>
          <w:highlight w:val="none"/>
          <w:shd w:val="clear" w:color="auto" w:fill="auto"/>
        </w:rPr>
        <w:t>投标文件</w:t>
      </w:r>
    </w:p>
    <w:p w14:paraId="2C45CFC1">
      <w:pPr>
        <w:snapToGrid w:val="0"/>
        <w:spacing w:before="156" w:beforeLines="50" w:after="50" w:line="360" w:lineRule="exact"/>
        <w:rPr>
          <w:rFonts w:hint="eastAsia" w:ascii="仿宋_GB2312" w:hAnsi="宋体" w:eastAsia="仿宋_GB2312"/>
          <w:bCs/>
          <w:color w:val="auto"/>
          <w:sz w:val="24"/>
          <w:highlight w:val="none"/>
          <w:shd w:val="clear" w:color="auto" w:fill="auto"/>
        </w:rPr>
      </w:pPr>
    </w:p>
    <w:p w14:paraId="24D264BB">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 xml:space="preserve">项目名称： </w:t>
      </w:r>
    </w:p>
    <w:p w14:paraId="57AB57EA">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 xml:space="preserve">项目编号： </w:t>
      </w:r>
    </w:p>
    <w:p w14:paraId="2AC7E4C9">
      <w:pPr>
        <w:snapToGrid w:val="0"/>
        <w:spacing w:before="156" w:beforeLines="50" w:after="50" w:line="360" w:lineRule="exact"/>
        <w:ind w:firstLine="630" w:firstLineChars="300"/>
        <w:rPr>
          <w:rFonts w:hint="default" w:ascii="宋体" w:hAnsi="宋体" w:eastAsia="宋体"/>
          <w:bCs/>
          <w:color w:val="auto"/>
          <w:szCs w:val="21"/>
          <w:highlight w:val="none"/>
          <w:shd w:val="clear" w:color="auto" w:fill="auto"/>
          <w:lang w:val="en-US" w:eastAsia="zh-CN"/>
        </w:rPr>
      </w:pPr>
      <w:r>
        <w:rPr>
          <w:rFonts w:hint="eastAsia" w:ascii="宋体" w:hAnsi="宋体"/>
          <w:bCs/>
          <w:color w:val="auto"/>
          <w:szCs w:val="21"/>
          <w:highlight w:val="none"/>
          <w:shd w:val="clear" w:color="auto" w:fill="auto"/>
        </w:rPr>
        <w:t>所投分标：</w:t>
      </w:r>
      <w:r>
        <w:rPr>
          <w:rFonts w:hint="eastAsia" w:ascii="宋体" w:hAnsi="宋体"/>
          <w:bCs/>
          <w:color w:val="auto"/>
          <w:szCs w:val="21"/>
          <w:highlight w:val="none"/>
          <w:shd w:val="clear" w:color="auto" w:fill="auto"/>
          <w:lang w:eastAsia="zh-CN"/>
        </w:rPr>
        <w:t>分标</w:t>
      </w:r>
      <w:r>
        <w:rPr>
          <w:rFonts w:hint="eastAsia" w:ascii="宋体" w:hAnsi="宋体"/>
          <w:bCs/>
          <w:color w:val="auto"/>
          <w:szCs w:val="21"/>
          <w:highlight w:val="none"/>
          <w:u w:val="single"/>
          <w:shd w:val="clear" w:color="auto" w:fill="auto"/>
          <w:lang w:val="en-US" w:eastAsia="zh-CN"/>
        </w:rPr>
        <w:t xml:space="preserve">       </w:t>
      </w:r>
    </w:p>
    <w:p w14:paraId="443B637C">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投标人名称：（盖章）</w:t>
      </w:r>
    </w:p>
    <w:p w14:paraId="1E677ADF">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投标人地址：</w:t>
      </w:r>
    </w:p>
    <w:p w14:paraId="4A977A11">
      <w:pPr>
        <w:snapToGrid w:val="0"/>
        <w:spacing w:before="156" w:beforeLines="50" w:after="50" w:line="360" w:lineRule="exact"/>
        <w:jc w:val="center"/>
        <w:outlineLvl w:val="1"/>
        <w:rPr>
          <w:rFonts w:hint="eastAsia" w:ascii="宋体" w:hAnsi="宋体"/>
          <w:color w:val="auto"/>
          <w:szCs w:val="21"/>
          <w:highlight w:val="none"/>
          <w:shd w:val="clear" w:color="auto" w:fill="auto"/>
        </w:rPr>
      </w:pPr>
      <w:r>
        <w:rPr>
          <w:rFonts w:hint="eastAsia" w:ascii="仿宋_GB2312" w:hAnsi="宋体" w:eastAsia="仿宋_GB2312"/>
          <w:color w:val="auto"/>
          <w:sz w:val="24"/>
          <w:highlight w:val="none"/>
          <w:shd w:val="clear" w:color="auto" w:fill="auto"/>
        </w:rPr>
        <w:t xml:space="preserve">                        年  月  日</w:t>
      </w:r>
    </w:p>
    <w:p w14:paraId="1A75D838">
      <w:pPr>
        <w:snapToGrid w:val="0"/>
        <w:spacing w:before="156" w:beforeLines="50" w:after="50" w:line="360" w:lineRule="exact"/>
        <w:jc w:val="center"/>
        <w:outlineLvl w:val="1"/>
        <w:rPr>
          <w:rFonts w:hint="eastAsia" w:ascii="宋体" w:hAnsi="宋体"/>
          <w:bCs/>
          <w:color w:val="auto"/>
          <w:szCs w:val="21"/>
          <w:highlight w:val="none"/>
          <w:shd w:val="clear" w:color="auto" w:fill="auto"/>
        </w:rPr>
      </w:pPr>
      <w:bookmarkStart w:id="14" w:name="_Toc254970698"/>
      <w:bookmarkStart w:id="15" w:name="_Toc254970557"/>
    </w:p>
    <w:p w14:paraId="6547BD26">
      <w:pPr>
        <w:snapToGrid w:val="0"/>
        <w:spacing w:before="156" w:beforeLines="50" w:after="50" w:line="360" w:lineRule="exact"/>
        <w:jc w:val="both"/>
        <w:outlineLvl w:val="1"/>
        <w:rPr>
          <w:rFonts w:hint="eastAsia" w:ascii="黑体" w:hAnsi="宋体" w:eastAsia="黑体"/>
          <w:bCs/>
          <w:color w:val="auto"/>
          <w:sz w:val="24"/>
          <w:highlight w:val="none"/>
          <w:shd w:val="clear" w:color="auto" w:fill="auto"/>
        </w:rPr>
      </w:pPr>
      <w:r>
        <w:rPr>
          <w:rFonts w:hint="eastAsia" w:ascii="宋体" w:hAnsi="宋体"/>
          <w:bCs/>
          <w:color w:val="auto"/>
          <w:szCs w:val="21"/>
          <w:highlight w:val="none"/>
          <w:shd w:val="clear" w:color="auto" w:fill="auto"/>
          <w:lang w:val="en-US" w:eastAsia="zh-CN"/>
        </w:rPr>
        <w:t xml:space="preserve">     </w:t>
      </w:r>
      <w:r>
        <w:rPr>
          <w:rFonts w:hint="eastAsia" w:ascii="宋体" w:hAnsi="宋体"/>
          <w:bCs/>
          <w:color w:val="auto"/>
          <w:szCs w:val="21"/>
          <w:highlight w:val="none"/>
          <w:shd w:val="clear" w:color="auto" w:fill="auto"/>
        </w:rPr>
        <w:t>[注：</w:t>
      </w:r>
      <w:r>
        <w:rPr>
          <w:rFonts w:hint="eastAsia" w:ascii="宋体"/>
          <w:color w:val="auto"/>
          <w:szCs w:val="21"/>
          <w:highlight w:val="none"/>
          <w:shd w:val="clear" w:color="auto" w:fill="auto"/>
        </w:rPr>
        <w:t>投标文件由</w:t>
      </w:r>
      <w:r>
        <w:rPr>
          <w:rFonts w:hint="eastAsia" w:ascii="宋体"/>
          <w:b/>
          <w:bCs/>
          <w:color w:val="auto"/>
          <w:szCs w:val="21"/>
          <w:highlight w:val="none"/>
          <w:shd w:val="clear" w:color="auto" w:fill="auto"/>
        </w:rPr>
        <w:t>资格文件、资信及商务文件、技术文件、投标报价文件</w:t>
      </w:r>
      <w:r>
        <w:rPr>
          <w:rFonts w:hint="eastAsia" w:ascii="宋体"/>
          <w:b/>
          <w:color w:val="auto"/>
          <w:szCs w:val="21"/>
          <w:highlight w:val="none"/>
          <w:shd w:val="clear" w:color="auto" w:fill="auto"/>
        </w:rPr>
        <w:t>四部份</w:t>
      </w:r>
      <w:r>
        <w:rPr>
          <w:rFonts w:hint="eastAsia" w:ascii="宋体"/>
          <w:color w:val="auto"/>
          <w:szCs w:val="21"/>
          <w:highlight w:val="none"/>
          <w:shd w:val="clear" w:color="auto" w:fill="auto"/>
        </w:rPr>
        <w:t>组成</w:t>
      </w:r>
      <w:r>
        <w:rPr>
          <w:rFonts w:hint="eastAsia" w:ascii="宋体" w:hAnsi="宋体"/>
          <w:bCs/>
          <w:color w:val="auto"/>
          <w:szCs w:val="21"/>
          <w:highlight w:val="none"/>
          <w:shd w:val="clear" w:color="auto" w:fill="auto"/>
        </w:rPr>
        <w:t>]</w:t>
      </w:r>
    </w:p>
    <w:p w14:paraId="30D9CB63">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418DE90D">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697F2619">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413CD962">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28BC476B">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3194006E">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710B6242">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3A764A61">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6D3D49CF">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14:paraId="1D28306F">
      <w:pPr>
        <w:pStyle w:val="52"/>
        <w:rPr>
          <w:rFonts w:hint="eastAsia" w:ascii="黑体" w:hAnsi="宋体" w:eastAsia="黑体"/>
          <w:bCs/>
          <w:color w:val="auto"/>
          <w:sz w:val="32"/>
          <w:szCs w:val="32"/>
          <w:highlight w:val="none"/>
          <w:shd w:val="clear" w:color="auto" w:fill="auto"/>
        </w:rPr>
      </w:pPr>
    </w:p>
    <w:p w14:paraId="0D0B6E69">
      <w:pPr>
        <w:pStyle w:val="52"/>
        <w:rPr>
          <w:rFonts w:hint="eastAsia" w:ascii="黑体" w:hAnsi="宋体" w:eastAsia="黑体"/>
          <w:bCs/>
          <w:color w:val="auto"/>
          <w:sz w:val="32"/>
          <w:szCs w:val="32"/>
          <w:highlight w:val="none"/>
          <w:shd w:val="clear" w:color="auto" w:fill="auto"/>
        </w:rPr>
      </w:pPr>
    </w:p>
    <w:p w14:paraId="62601BD2">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r>
        <w:rPr>
          <w:rFonts w:hint="eastAsia" w:ascii="黑体" w:hAnsi="宋体" w:eastAsia="黑体"/>
          <w:bCs/>
          <w:color w:val="auto"/>
          <w:sz w:val="32"/>
          <w:szCs w:val="32"/>
          <w:highlight w:val="none"/>
          <w:shd w:val="clear" w:color="auto" w:fill="auto"/>
        </w:rPr>
        <w:t>二、投标文件目录</w:t>
      </w:r>
    </w:p>
    <w:p w14:paraId="0D07BEB8">
      <w:pPr>
        <w:snapToGrid w:val="0"/>
        <w:spacing w:before="156" w:beforeLines="50" w:after="50" w:line="360" w:lineRule="exact"/>
        <w:jc w:val="center"/>
        <w:outlineLvl w:val="1"/>
        <w:rPr>
          <w:rFonts w:hint="eastAsia" w:ascii="宋体" w:hAnsi="宋体"/>
          <w:bCs/>
          <w:color w:val="auto"/>
          <w:szCs w:val="21"/>
          <w:highlight w:val="none"/>
          <w:shd w:val="clear" w:color="auto" w:fill="auto"/>
        </w:rPr>
      </w:pPr>
    </w:p>
    <w:p w14:paraId="510021E1">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1.资格文件：</w:t>
      </w:r>
    </w:p>
    <w:p w14:paraId="5FC58FBA">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14:paraId="52AF9B18">
      <w:pPr>
        <w:pStyle w:val="29"/>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14:paraId="4ECA86FC">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14:paraId="6AAC09CB">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14:paraId="141434D3">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14:paraId="145CD90F">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14:paraId="10CFAD6A">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14:paraId="0641902E">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14:paraId="2F6EF090">
      <w:pPr>
        <w:snapToGrid w:val="0"/>
        <w:spacing w:line="360" w:lineRule="exact"/>
        <w:ind w:firstLine="411" w:firstLineChars="196"/>
        <w:jc w:val="left"/>
        <w:rPr>
          <w:rFonts w:hint="eastAsia" w:hAnsi="宋体"/>
          <w:b/>
          <w:color w:val="auto"/>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14:paraId="23B54914">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2.资信及商务文件：</w:t>
      </w:r>
    </w:p>
    <w:p w14:paraId="60EB52BC">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（1）投标保证金的相关证明扫描件或其他电子文件（</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14:paraId="37762890">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u w:val="none"/>
          <w:shd w:val="clear" w:color="auto" w:fill="auto"/>
        </w:rPr>
        <w:t>（2）投标声明书 (格式见第六章)（必须提供）</w:t>
      </w:r>
      <w:r>
        <w:rPr>
          <w:rFonts w:hint="eastAsia" w:ascii="宋体" w:hAnsi="宋体"/>
          <w:color w:val="auto"/>
          <w:szCs w:val="21"/>
          <w:highlight w:val="none"/>
          <w:shd w:val="clear" w:color="auto" w:fill="auto"/>
        </w:rPr>
        <w:t>；</w:t>
      </w:r>
    </w:p>
    <w:p w14:paraId="3A032B2E">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（3）法定代表人授权委托书和委托代理人身份证扫描件或其他电子文件（格式见第六章)（必须提供）</w:t>
      </w:r>
      <w:r>
        <w:rPr>
          <w:rFonts w:hint="eastAsia" w:ascii="宋体" w:hAnsi="宋体"/>
          <w:color w:val="auto"/>
          <w:szCs w:val="21"/>
          <w:highlight w:val="none"/>
          <w:shd w:val="clear" w:color="auto" w:fill="auto"/>
        </w:rPr>
        <w:t>；（格式见第六章)；</w:t>
      </w:r>
      <w:r>
        <w:rPr>
          <w:rFonts w:hint="eastAsia" w:ascii="宋体" w:hAnsi="宋体"/>
          <w:b/>
          <w:color w:val="auto"/>
          <w:szCs w:val="21"/>
          <w:highlight w:val="none"/>
          <w:shd w:val="clear" w:color="auto" w:fill="auto"/>
        </w:rPr>
        <w:t>当法定代表人参加投标时，必须提供法定代表人身份证扫描件或其他电子文件</w:t>
      </w:r>
      <w:r>
        <w:rPr>
          <w:rFonts w:hint="eastAsia" w:ascii="宋体" w:hAnsi="宋体"/>
          <w:color w:val="auto"/>
          <w:szCs w:val="21"/>
          <w:highlight w:val="none"/>
          <w:shd w:val="clear" w:color="auto" w:fill="auto"/>
        </w:rPr>
        <w:t>；</w:t>
      </w:r>
    </w:p>
    <w:p w14:paraId="611D7C4B">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（4）投标截止之日前半年内投标人连续三个月的依法缴纳税费或依法免缴税费的证明（复印件，，格式自拟）（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无纳税记录的，应提供由投标人所在地主管国税或地税部门出具的《依法纳税或依法免税证明》（格式自拟，复印件，）。</w:t>
      </w:r>
    </w:p>
    <w:p w14:paraId="1F3E84F5">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14:paraId="717FC709">
      <w:pPr>
        <w:snapToGrid w:val="0"/>
        <w:spacing w:line="360" w:lineRule="exact"/>
        <w:ind w:firstLine="422"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14:paraId="5620F2FB">
      <w:pPr>
        <w:snapToGrid w:val="0"/>
        <w:spacing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14:paraId="01F2ACCC">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b/>
          <w:color w:val="auto"/>
          <w:szCs w:val="21"/>
          <w:highlight w:val="none"/>
          <w:shd w:val="clear" w:color="auto" w:fill="auto"/>
          <w:lang w:val="en-US" w:eastAsia="zh-CN"/>
        </w:rPr>
        <w:t>8</w:t>
      </w:r>
      <w:r>
        <w:rPr>
          <w:rFonts w:hint="eastAsia" w:hAnsi="宋体"/>
          <w:b/>
          <w:color w:val="auto"/>
          <w:szCs w:val="21"/>
          <w:highlight w:val="none"/>
          <w:shd w:val="clear" w:color="auto" w:fill="auto"/>
        </w:rPr>
        <w:t>）商务响应表</w:t>
      </w:r>
      <w:r>
        <w:rPr>
          <w:rFonts w:hint="eastAsia" w:hAnsi="宋体"/>
          <w:color w:val="auto"/>
          <w:szCs w:val="21"/>
          <w:highlight w:val="none"/>
          <w:shd w:val="clear" w:color="auto" w:fill="auto"/>
        </w:rPr>
        <w:t>（格式见第六章）</w:t>
      </w:r>
      <w:r>
        <w:rPr>
          <w:rFonts w:hint="eastAsia" w:hAnsi="宋体"/>
          <w:b/>
          <w:color w:val="auto"/>
          <w:szCs w:val="21"/>
          <w:highlight w:val="none"/>
          <w:shd w:val="clear" w:color="auto" w:fill="auto"/>
        </w:rPr>
        <w:t>（</w:t>
      </w:r>
      <w:r>
        <w:rPr>
          <w:rFonts w:hint="eastAsia" w:hAnsi="宋体"/>
          <w:b/>
          <w:color w:val="auto"/>
          <w:szCs w:val="21"/>
          <w:highlight w:val="none"/>
          <w:u w:val="single"/>
          <w:shd w:val="clear" w:color="auto" w:fill="auto"/>
        </w:rPr>
        <w:t>必须提供</w:t>
      </w:r>
      <w:r>
        <w:rPr>
          <w:rFonts w:hint="eastAsia" w:hAnsi="宋体"/>
          <w:b/>
          <w:color w:val="auto"/>
          <w:szCs w:val="21"/>
          <w:highlight w:val="none"/>
          <w:shd w:val="clear" w:color="auto" w:fill="auto"/>
        </w:rPr>
        <w:t>）；</w:t>
      </w:r>
    </w:p>
    <w:p w14:paraId="4538FE0B">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highlight w:val="none"/>
          <w:shd w:val="clear" w:color="auto" w:fill="auto"/>
        </w:rPr>
        <w:t>▲</w:t>
      </w: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9</w:t>
      </w:r>
      <w:r>
        <w:rPr>
          <w:rFonts w:hint="eastAsia" w:hAnsi="宋体"/>
          <w:color w:val="auto"/>
          <w:szCs w:val="21"/>
          <w:highlight w:val="none"/>
          <w:shd w:val="clear" w:color="auto" w:fill="auto"/>
        </w:rPr>
        <w:t>）</w:t>
      </w:r>
      <w:r>
        <w:rPr>
          <w:rFonts w:hint="eastAsia" w:hAnsi="宋体"/>
          <w:b/>
          <w:color w:val="auto"/>
          <w:szCs w:val="21"/>
          <w:highlight w:val="none"/>
          <w:shd w:val="clear" w:color="auto" w:fill="auto"/>
        </w:rPr>
        <w:t>招标项目采购需求中要求必须提供的材料等；</w:t>
      </w:r>
    </w:p>
    <w:p w14:paraId="6C5BA3A2">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10</w:t>
      </w:r>
      <w:r>
        <w:rPr>
          <w:rFonts w:hint="eastAsia" w:hAnsi="宋体"/>
          <w:color w:val="auto"/>
          <w:szCs w:val="21"/>
          <w:highlight w:val="none"/>
          <w:shd w:val="clear" w:color="auto" w:fill="auto"/>
        </w:rPr>
        <w:t>）具备法律、行政法规规定的其他条件的证明材料</w:t>
      </w:r>
      <w:r>
        <w:rPr>
          <w:rFonts w:hint="eastAsia" w:hAnsi="宋体"/>
          <w:b/>
          <w:color w:val="auto"/>
          <w:szCs w:val="21"/>
          <w:highlight w:val="none"/>
          <w:shd w:val="clear" w:color="auto" w:fill="auto"/>
        </w:rPr>
        <w:t>(如有规定,则必须提供)。</w:t>
      </w:r>
    </w:p>
    <w:p w14:paraId="66E3A122">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bCs/>
          <w:color w:val="auto"/>
          <w:szCs w:val="21"/>
          <w:highlight w:val="none"/>
          <w:shd w:val="clear" w:color="auto" w:fill="auto"/>
        </w:rPr>
        <w:t xml:space="preserve">可作为投标人资信评分的资质证明材料（可选）  </w:t>
      </w:r>
    </w:p>
    <w:p w14:paraId="3009099A">
      <w:pPr>
        <w:snapToGrid w:val="0"/>
        <w:spacing w:line="360" w:lineRule="exact"/>
        <w:ind w:left="937" w:leftChars="196" w:hanging="525" w:hangingChars="250"/>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1</w:t>
      </w:r>
      <w:r>
        <w:rPr>
          <w:rFonts w:hint="eastAsia" w:hAnsi="宋体"/>
          <w:color w:val="auto"/>
          <w:szCs w:val="21"/>
          <w:highlight w:val="none"/>
          <w:shd w:val="clear" w:color="auto" w:fill="auto"/>
        </w:rPr>
        <w:t>）类似案例成功的业绩（投标人同类项目实施情况一览表、合同扫描件）；</w:t>
      </w:r>
    </w:p>
    <w:p w14:paraId="383AFBA1">
      <w:pPr>
        <w:snapToGrid w:val="0"/>
        <w:spacing w:line="360" w:lineRule="exact"/>
        <w:ind w:firstLine="422" w:firstLineChars="200"/>
        <w:jc w:val="left"/>
        <w:rPr>
          <w:rFonts w:hint="eastAsia" w:hAnsi="宋体"/>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2</w:t>
      </w:r>
      <w:r>
        <w:rPr>
          <w:rFonts w:hint="eastAsia" w:hAnsi="宋体"/>
          <w:b/>
          <w:color w:val="auto"/>
          <w:szCs w:val="21"/>
          <w:highlight w:val="none"/>
          <w:shd w:val="clear" w:color="auto" w:fill="auto"/>
        </w:rPr>
        <w:t>）</w:t>
      </w:r>
      <w:r>
        <w:rPr>
          <w:rFonts w:hint="eastAsia" w:hAnsi="宋体"/>
          <w:color w:val="auto"/>
          <w:szCs w:val="21"/>
          <w:highlight w:val="none"/>
          <w:shd w:val="clear" w:color="auto" w:fill="auto"/>
        </w:rPr>
        <w:t>其他特殊资质证书（如本地化服务能力等）；</w:t>
      </w:r>
    </w:p>
    <w:p w14:paraId="7FD7964E">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3</w:t>
      </w:r>
      <w:r>
        <w:rPr>
          <w:rFonts w:hint="eastAsia" w:hAnsi="宋体"/>
          <w:color w:val="auto"/>
          <w:szCs w:val="21"/>
          <w:highlight w:val="none"/>
          <w:shd w:val="clear" w:color="auto" w:fill="auto"/>
        </w:rPr>
        <w:t>）节能环保产品或政府强制采购节能产品清单证书</w:t>
      </w:r>
      <w:r>
        <w:rPr>
          <w:rFonts w:hint="eastAsia" w:hAnsi="宋体"/>
          <w:b/>
          <w:color w:val="auto"/>
          <w:szCs w:val="21"/>
          <w:highlight w:val="none"/>
          <w:shd w:val="clear" w:color="auto" w:fill="auto"/>
        </w:rPr>
        <w:t>；</w:t>
      </w:r>
    </w:p>
    <w:p w14:paraId="6897C80E">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14</w:t>
      </w:r>
      <w:r>
        <w:rPr>
          <w:rFonts w:hint="eastAsia" w:hAnsi="宋体"/>
          <w:color w:val="auto"/>
          <w:szCs w:val="21"/>
          <w:highlight w:val="none"/>
          <w:shd w:val="clear" w:color="auto" w:fill="auto"/>
        </w:rPr>
        <w:t>）投标人质量管理和质量保证体系等方面的认证证书；</w:t>
      </w:r>
    </w:p>
    <w:p w14:paraId="5681ADEB">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5</w:t>
      </w:r>
      <w:r>
        <w:rPr>
          <w:rFonts w:hint="eastAsia" w:hAnsi="宋体"/>
          <w:color w:val="auto"/>
          <w:szCs w:val="21"/>
          <w:highlight w:val="none"/>
          <w:shd w:val="clear" w:color="auto" w:fill="auto"/>
        </w:rPr>
        <w:t>）投标人认为可以证明其能力或业绩的其他材料；</w:t>
      </w:r>
    </w:p>
    <w:p w14:paraId="48031F7E">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6</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p>
    <w:p w14:paraId="1ABA6DB8">
      <w:pPr>
        <w:adjustRightInd w:val="0"/>
        <w:snapToGrid w:val="0"/>
        <w:spacing w:line="440" w:lineRule="exact"/>
        <w:ind w:left="3368" w:leftChars="200" w:hanging="2948" w:hangingChars="1404"/>
        <w:jc w:val="left"/>
        <w:rPr>
          <w:rFonts w:hint="eastAsia" w:ascii="宋体" w:hAnsi="宋体"/>
          <w:color w:val="auto"/>
          <w:szCs w:val="21"/>
          <w:highlight w:val="none"/>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17</w:t>
      </w:r>
      <w:r>
        <w:rPr>
          <w:rFonts w:hint="eastAsia" w:hAnsi="宋体"/>
          <w:color w:val="auto"/>
          <w:szCs w:val="21"/>
          <w:highlight w:val="none"/>
          <w:shd w:val="clear" w:color="auto" w:fill="auto"/>
        </w:rPr>
        <w:t>）</w:t>
      </w:r>
      <w:r>
        <w:rPr>
          <w:rFonts w:hint="eastAsia" w:ascii="宋体" w:hAnsi="宋体"/>
          <w:color w:val="auto"/>
          <w:szCs w:val="21"/>
          <w:highlight w:val="none"/>
        </w:rPr>
        <w:t>中小企业声明函（格式见第六章，如有请提供）</w:t>
      </w:r>
      <w:r>
        <w:rPr>
          <w:rFonts w:hint="eastAsia" w:ascii="宋体" w:hAnsi="宋体"/>
          <w:color w:val="auto"/>
          <w:szCs w:val="21"/>
          <w:highlight w:val="none"/>
          <w:lang w:eastAsia="zh-CN"/>
        </w:rPr>
        <w:t>；</w:t>
      </w:r>
    </w:p>
    <w:p w14:paraId="2C3BC46C">
      <w:pPr>
        <w:adjustRightInd w:val="0"/>
        <w:snapToGrid w:val="0"/>
        <w:spacing w:line="440" w:lineRule="exact"/>
        <w:ind w:left="3368" w:leftChars="200" w:hanging="2948" w:hangingChars="1404"/>
        <w:jc w:val="left"/>
        <w:rPr>
          <w:rFonts w:hint="eastAsia" w:ascii="宋体" w:hAnsi="宋体" w:eastAsia="宋体"/>
          <w:color w:val="auto"/>
          <w:szCs w:val="21"/>
          <w:highlight w:val="none"/>
          <w:lang w:eastAsia="zh-CN"/>
        </w:rPr>
      </w:pPr>
      <w:r>
        <w:rPr>
          <w:rFonts w:hint="eastAsia" w:ascii="宋体" w:hAnsi="宋体"/>
          <w:color w:val="auto"/>
          <w:szCs w:val="21"/>
          <w:highlight w:val="none"/>
        </w:rPr>
        <w:t>（18）</w:t>
      </w:r>
      <w:r>
        <w:rPr>
          <w:rFonts w:hint="eastAsia" w:hAnsi="宋体" w:cs="Times New Roman"/>
          <w:color w:val="auto"/>
          <w:kern w:val="2"/>
          <w:sz w:val="21"/>
          <w:szCs w:val="21"/>
          <w:highlight w:val="none"/>
        </w:rPr>
        <w:t>关于符合本国产品标准的声明函（格式见第六章，如有请提供）</w:t>
      </w:r>
      <w:r>
        <w:rPr>
          <w:rFonts w:hint="eastAsia" w:hAnsi="宋体" w:cs="Times New Roman"/>
          <w:color w:val="auto"/>
          <w:kern w:val="2"/>
          <w:sz w:val="21"/>
          <w:szCs w:val="21"/>
          <w:highlight w:val="none"/>
          <w:lang w:eastAsia="zh-CN"/>
        </w:rPr>
        <w:t>；</w:t>
      </w:r>
    </w:p>
    <w:p w14:paraId="77345B3F">
      <w:pPr>
        <w:snapToGrid w:val="0"/>
        <w:spacing w:line="360" w:lineRule="exact"/>
        <w:ind w:firstLine="411" w:firstLineChars="196"/>
        <w:jc w:val="left"/>
        <w:rPr>
          <w:rFonts w:hint="eastAsia" w:hAnsi="宋体" w:cs="Times New Roman"/>
          <w:color w:val="auto"/>
          <w:kern w:val="2"/>
          <w:sz w:val="21"/>
          <w:szCs w:val="21"/>
          <w:highlight w:val="none"/>
        </w:rPr>
      </w:pPr>
      <w:r>
        <w:rPr>
          <w:rFonts w:hint="eastAsia" w:hAnsi="宋体" w:cs="Times New Roman"/>
          <w:color w:val="auto"/>
          <w:kern w:val="2"/>
          <w:sz w:val="21"/>
          <w:szCs w:val="21"/>
          <w:highlight w:val="none"/>
        </w:rPr>
        <w:t>（1</w:t>
      </w:r>
      <w:r>
        <w:rPr>
          <w:rFonts w:hint="eastAsia" w:hAnsi="宋体" w:cs="Times New Roman"/>
          <w:color w:val="auto"/>
          <w:kern w:val="2"/>
          <w:sz w:val="21"/>
          <w:szCs w:val="21"/>
          <w:highlight w:val="none"/>
          <w:lang w:val="en-US" w:eastAsia="zh-CN"/>
        </w:rPr>
        <w:t>9</w:t>
      </w:r>
      <w:r>
        <w:rPr>
          <w:rFonts w:hint="eastAsia" w:hAnsi="宋体" w:cs="Times New Roman"/>
          <w:color w:val="auto"/>
          <w:kern w:val="2"/>
          <w:sz w:val="21"/>
          <w:szCs w:val="21"/>
          <w:highlight w:val="none"/>
        </w:rPr>
        <w:t>）</w:t>
      </w:r>
      <w:r>
        <w:rPr>
          <w:rFonts w:hint="eastAsia" w:hAnsi="宋体"/>
          <w:color w:val="auto"/>
          <w:szCs w:val="21"/>
          <w:highlight w:val="none"/>
          <w:shd w:val="clear" w:color="auto" w:fill="auto"/>
        </w:rPr>
        <w:t>投标人情况介绍</w:t>
      </w:r>
      <w:r>
        <w:rPr>
          <w:rFonts w:hint="eastAsia" w:hAnsi="宋体" w:cs="Times New Roman"/>
          <w:color w:val="auto"/>
          <w:kern w:val="2"/>
          <w:sz w:val="21"/>
          <w:szCs w:val="21"/>
          <w:highlight w:val="none"/>
        </w:rPr>
        <w:t>。</w:t>
      </w:r>
    </w:p>
    <w:p w14:paraId="04E07758">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3.技术文件</w:t>
      </w:r>
    </w:p>
    <w:p w14:paraId="66B6BA23">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（1）对本项目系统总体要求的理解；</w:t>
      </w:r>
    </w:p>
    <w:p w14:paraId="3B62951C">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b/>
          <w:color w:val="auto"/>
          <w:szCs w:val="21"/>
          <w:highlight w:val="none"/>
          <w:shd w:val="clear" w:color="auto" w:fill="auto"/>
        </w:rPr>
        <w:t>技术响应表（</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p>
    <w:p w14:paraId="2EC9C1ED">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（3）设备配置清单（均不含报价）；</w:t>
      </w:r>
    </w:p>
    <w:p w14:paraId="2A8C1517">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b/>
          <w:color w:val="auto"/>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w:t>
      </w:r>
      <w:r>
        <w:rPr>
          <w:rFonts w:hint="eastAsia" w:ascii="宋体" w:hAnsi="宋体"/>
          <w:b/>
          <w:color w:val="auto"/>
          <w:szCs w:val="21"/>
          <w:highlight w:val="none"/>
          <w:u w:val="single"/>
          <w:shd w:val="clear" w:color="auto" w:fill="auto"/>
        </w:rPr>
        <w:t>格式自拟,必须提供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14:paraId="5FE2141F">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（5）投标人拥有主要装备和检测设施的情况和现状（格式自拟）及项目实施人员一览表； </w:t>
      </w:r>
    </w:p>
    <w:p w14:paraId="5455A22C">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（6）优惠条件：投标人承诺给予招标人的各种优惠条件，包括备品备件、专用耗材、售后服务等方面的优惠；</w:t>
      </w:r>
    </w:p>
    <w:p w14:paraId="0F390853">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（7）投标人对本项目的合理化建议和改进措施；</w:t>
      </w:r>
    </w:p>
    <w:p w14:paraId="75E21698">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（8）投标人需要说明的其他文件和说明（格式略）；</w:t>
      </w:r>
    </w:p>
    <w:p w14:paraId="35F49D24">
      <w:pPr>
        <w:snapToGrid w:val="0"/>
        <w:spacing w:line="360" w:lineRule="exact"/>
        <w:ind w:firstLine="210" w:firstLineChars="1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▲（9）招标项目采购需求中要求必须提供的材料。</w:t>
      </w:r>
    </w:p>
    <w:p w14:paraId="21B9EAC6">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4.报价文件：</w:t>
      </w:r>
    </w:p>
    <w:p w14:paraId="3C368A0E">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（1）投标函（格式见第六章）； </w:t>
      </w:r>
    </w:p>
    <w:p w14:paraId="0B5DF7E4">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（2）投标报价明细表（格式见第六章）；</w:t>
      </w:r>
    </w:p>
    <w:p w14:paraId="5D2EED0A">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（3）投标人针对报价需要说明的其他文件和说明（格式自拟）；</w:t>
      </w:r>
    </w:p>
    <w:p w14:paraId="14041B9B">
      <w:pPr>
        <w:tabs>
          <w:tab w:val="left" w:pos="3870"/>
          <w:tab w:val="left" w:pos="4085"/>
        </w:tabs>
        <w:snapToGrid w:val="0"/>
        <w:spacing w:line="360" w:lineRule="exact"/>
        <w:ind w:firstLine="420" w:firstLineChars="200"/>
        <w:jc w:val="left"/>
        <w:rPr>
          <w:rFonts w:hint="eastAsia" w:ascii="宋体" w:hAnsi="宋体" w:eastAsia="等线"/>
          <w:color w:val="auto"/>
          <w:szCs w:val="21"/>
          <w:highlight w:val="none"/>
          <w:shd w:val="clear" w:color="auto" w:fill="auto"/>
        </w:rPr>
      </w:pPr>
      <w:r>
        <w:rPr>
          <w:rFonts w:hint="eastAsia" w:ascii="宋体" w:hAnsi="宋体"/>
          <w:color w:val="auto"/>
          <w:szCs w:val="21"/>
          <w:highlight w:val="none"/>
          <w:shd w:val="clear" w:color="auto" w:fill="auto"/>
        </w:rPr>
        <w:t>（4）开标一览表（格式见第六章）。</w:t>
      </w:r>
    </w:p>
    <w:p w14:paraId="54BD14C8">
      <w:pPr>
        <w:pStyle w:val="46"/>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b/>
          <w:bCs/>
          <w:color w:val="auto"/>
          <w:szCs w:val="21"/>
          <w:highlight w:val="none"/>
          <w:shd w:val="clear" w:color="auto" w:fill="auto"/>
        </w:rPr>
        <w:t>注：法定代表人授权委托书、投标声明书、投标函、开标一览表必须按</w:t>
      </w:r>
      <w:r>
        <w:rPr>
          <w:rFonts w:hint="eastAsia" w:ascii="宋体" w:hAnsi="宋体"/>
          <w:b/>
          <w:color w:val="auto"/>
          <w:szCs w:val="21"/>
          <w:highlight w:val="none"/>
          <w:shd w:val="clear" w:color="auto" w:fill="auto"/>
        </w:rPr>
        <w:t>招标文件格式要求</w:t>
      </w:r>
      <w:r>
        <w:rPr>
          <w:rFonts w:hint="eastAsia" w:ascii="宋体" w:hAnsi="宋体"/>
          <w:b/>
          <w:color w:val="auto"/>
          <w:szCs w:val="21"/>
          <w:highlight w:val="none"/>
          <w:shd w:val="clear" w:color="auto" w:fill="auto"/>
          <w:lang w:eastAsia="zh-CN"/>
        </w:rPr>
        <w:t>签字或签章</w:t>
      </w:r>
      <w:r>
        <w:rPr>
          <w:rFonts w:hint="eastAsia" w:ascii="宋体" w:hAnsi="宋体"/>
          <w:b/>
          <w:bCs/>
          <w:color w:val="auto"/>
          <w:szCs w:val="21"/>
          <w:highlight w:val="none"/>
          <w:shd w:val="clear" w:color="auto" w:fill="auto"/>
        </w:rPr>
        <w:t>并加盖单位公章。</w:t>
      </w:r>
    </w:p>
    <w:p w14:paraId="53F7671F">
      <w:pPr>
        <w:pStyle w:val="46"/>
        <w:spacing w:line="360" w:lineRule="exact"/>
        <w:ind w:firstLine="420" w:firstLineChars="200"/>
        <w:rPr>
          <w:rFonts w:hint="eastAsia" w:ascii="宋体" w:hAnsi="宋体"/>
          <w:color w:val="auto"/>
          <w:szCs w:val="21"/>
          <w:highlight w:val="none"/>
          <w:shd w:val="clear" w:color="auto" w:fill="auto"/>
        </w:rPr>
      </w:pPr>
    </w:p>
    <w:p w14:paraId="3A7C62A3">
      <w:pPr>
        <w:snapToGrid w:val="0"/>
        <w:spacing w:before="50" w:after="156" w:afterLines="50" w:line="360" w:lineRule="exact"/>
        <w:ind w:firstLine="3896" w:firstLineChars="1617"/>
        <w:jc w:val="left"/>
        <w:rPr>
          <w:rFonts w:hint="eastAsia" w:ascii="宋体" w:hAnsi="宋体"/>
          <w:b/>
          <w:color w:val="auto"/>
          <w:sz w:val="24"/>
          <w:highlight w:val="none"/>
          <w:shd w:val="clear" w:color="auto" w:fill="auto"/>
        </w:rPr>
      </w:pPr>
    </w:p>
    <w:p w14:paraId="0B220E30">
      <w:pPr>
        <w:snapToGrid w:val="0"/>
        <w:spacing w:before="50" w:after="156" w:afterLines="50" w:line="360" w:lineRule="exact"/>
        <w:ind w:firstLine="3896" w:firstLineChars="1617"/>
        <w:jc w:val="left"/>
        <w:rPr>
          <w:rFonts w:hint="eastAsia" w:ascii="宋体" w:hAnsi="宋体"/>
          <w:b/>
          <w:color w:val="auto"/>
          <w:sz w:val="24"/>
          <w:highlight w:val="none"/>
          <w:shd w:val="clear" w:color="auto" w:fill="auto"/>
        </w:rPr>
      </w:pPr>
    </w:p>
    <w:p w14:paraId="0BC24741">
      <w:pPr>
        <w:snapToGrid w:val="0"/>
        <w:spacing w:before="50" w:after="156" w:afterLines="50" w:line="360" w:lineRule="exact"/>
        <w:ind w:firstLine="3896" w:firstLineChars="1617"/>
        <w:jc w:val="left"/>
        <w:rPr>
          <w:rFonts w:hint="eastAsia" w:ascii="宋体" w:hAnsi="宋体"/>
          <w:b/>
          <w:color w:val="auto"/>
          <w:sz w:val="24"/>
          <w:highlight w:val="none"/>
          <w:shd w:val="clear" w:color="auto" w:fill="auto"/>
        </w:rPr>
      </w:pPr>
    </w:p>
    <w:p w14:paraId="4436D34E">
      <w:pPr>
        <w:snapToGrid w:val="0"/>
        <w:spacing w:before="50" w:after="156" w:afterLines="50" w:line="360" w:lineRule="exact"/>
        <w:ind w:firstLine="3896" w:firstLineChars="1617"/>
        <w:jc w:val="left"/>
        <w:rPr>
          <w:rFonts w:hint="eastAsia" w:ascii="宋体" w:hAnsi="宋体"/>
          <w:b/>
          <w:color w:val="auto"/>
          <w:sz w:val="24"/>
          <w:highlight w:val="none"/>
          <w:shd w:val="clear" w:color="auto" w:fill="auto"/>
        </w:rPr>
      </w:pPr>
    </w:p>
    <w:p w14:paraId="1B44C4D1">
      <w:pPr>
        <w:snapToGrid w:val="0"/>
        <w:spacing w:before="50" w:after="156" w:afterLines="50" w:line="360" w:lineRule="exact"/>
        <w:ind w:firstLine="3896" w:firstLineChars="1617"/>
        <w:jc w:val="left"/>
        <w:rPr>
          <w:rFonts w:hint="eastAsia" w:ascii="宋体" w:hAnsi="宋体"/>
          <w:b/>
          <w:color w:val="auto"/>
          <w:sz w:val="24"/>
          <w:highlight w:val="none"/>
          <w:shd w:val="clear" w:color="auto" w:fill="auto"/>
        </w:rPr>
      </w:pPr>
    </w:p>
    <w:p w14:paraId="2F709CB6">
      <w:pPr>
        <w:snapToGrid w:val="0"/>
        <w:spacing w:before="50" w:after="156" w:afterLines="50" w:line="360" w:lineRule="exact"/>
        <w:ind w:firstLine="3896" w:firstLineChars="1617"/>
        <w:jc w:val="left"/>
        <w:outlineLvl w:val="0"/>
        <w:rPr>
          <w:rFonts w:hint="eastAsia" w:ascii="宋体" w:hAnsi="宋体"/>
          <w:b/>
          <w:color w:val="auto"/>
          <w:sz w:val="24"/>
          <w:highlight w:val="none"/>
          <w:shd w:val="clear" w:color="auto" w:fill="auto"/>
        </w:rPr>
      </w:pPr>
    </w:p>
    <w:p w14:paraId="589E60CC">
      <w:pPr>
        <w:snapToGrid w:val="0"/>
        <w:spacing w:before="50" w:after="156" w:afterLines="50" w:line="360" w:lineRule="exact"/>
        <w:ind w:firstLine="3896" w:firstLineChars="1617"/>
        <w:jc w:val="left"/>
        <w:outlineLvl w:val="0"/>
        <w:rPr>
          <w:rFonts w:hint="eastAsia" w:ascii="宋体" w:hAnsi="宋体"/>
          <w:b/>
          <w:color w:val="auto"/>
          <w:sz w:val="24"/>
          <w:highlight w:val="none"/>
          <w:shd w:val="clear" w:color="auto" w:fill="auto"/>
        </w:rPr>
      </w:pPr>
    </w:p>
    <w:p w14:paraId="7D76A1BF">
      <w:pPr>
        <w:snapToGrid w:val="0"/>
        <w:spacing w:before="50" w:after="156" w:afterLines="50" w:line="360" w:lineRule="exact"/>
        <w:ind w:firstLine="3896" w:firstLineChars="1617"/>
        <w:jc w:val="left"/>
        <w:outlineLvl w:val="0"/>
        <w:rPr>
          <w:rFonts w:hint="eastAsia" w:ascii="宋体" w:hAnsi="宋体"/>
          <w:b/>
          <w:color w:val="auto"/>
          <w:sz w:val="24"/>
          <w:highlight w:val="none"/>
          <w:shd w:val="clear" w:color="auto" w:fill="auto"/>
        </w:rPr>
      </w:pPr>
      <w:r>
        <w:rPr>
          <w:rFonts w:hint="eastAsia" w:ascii="宋体" w:hAnsi="宋体"/>
          <w:b/>
          <w:color w:val="auto"/>
          <w:sz w:val="24"/>
          <w:highlight w:val="none"/>
          <w:shd w:val="clear" w:color="auto" w:fill="auto"/>
        </w:rPr>
        <w:t>三、投标文件格式</w:t>
      </w:r>
    </w:p>
    <w:p w14:paraId="15AAE8E0">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14:paraId="1774454D">
      <w:pPr>
        <w:snapToGrid w:val="0"/>
        <w:spacing w:before="50" w:after="156" w:afterLines="50" w:line="360" w:lineRule="exact"/>
        <w:jc w:val="left"/>
        <w:outlineLvl w:val="0"/>
        <w:rPr>
          <w:rFonts w:hint="eastAsia" w:ascii="宋体" w:hAnsi="宋体"/>
          <w:b/>
          <w:bCs/>
          <w:color w:val="auto"/>
          <w:szCs w:val="21"/>
          <w:highlight w:val="none"/>
          <w:shd w:val="clear" w:color="auto" w:fill="auto"/>
        </w:rPr>
      </w:pPr>
      <w:r>
        <w:rPr>
          <w:rFonts w:hint="eastAsia" w:ascii="宋体" w:hAnsi="宋体"/>
          <w:b/>
          <w:color w:val="auto"/>
          <w:szCs w:val="21"/>
          <w:highlight w:val="none"/>
          <w:shd w:val="clear" w:color="auto" w:fill="auto"/>
        </w:rPr>
        <w:t xml:space="preserve">  一）</w:t>
      </w:r>
      <w:r>
        <w:rPr>
          <w:rFonts w:hint="eastAsia" w:ascii="宋体" w:hAnsi="宋体"/>
          <w:b/>
          <w:bCs/>
          <w:color w:val="auto"/>
          <w:szCs w:val="21"/>
          <w:highlight w:val="none"/>
          <w:shd w:val="clear" w:color="auto" w:fill="auto"/>
        </w:rPr>
        <w:t>资格文件部分（格式）</w:t>
      </w:r>
    </w:p>
    <w:p w14:paraId="0C7B276F">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14:paraId="2784987C">
      <w:pPr>
        <w:pStyle w:val="29"/>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14:paraId="6D91D02E">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14:paraId="3E4906F6">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14:paraId="5C46056E">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14:paraId="5EFAACF5">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14:paraId="49B2CCA4">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14:paraId="71287CCC">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14:paraId="5667AFD5">
      <w:pPr>
        <w:snapToGrid w:val="0"/>
        <w:spacing w:line="360" w:lineRule="exact"/>
        <w:ind w:firstLine="411" w:firstLineChars="196"/>
        <w:jc w:val="left"/>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14:paraId="35BCEF4D">
      <w:pPr>
        <w:snapToGrid w:val="0"/>
        <w:spacing w:line="360" w:lineRule="exact"/>
        <w:jc w:val="center"/>
        <w:rPr>
          <w:rFonts w:hint="eastAsia" w:ascii="宋体" w:hAnsi="宋体" w:cs="宋体"/>
          <w:b/>
          <w:color w:val="auto"/>
          <w:kern w:val="0"/>
          <w:sz w:val="28"/>
          <w:szCs w:val="28"/>
          <w:highlight w:val="none"/>
          <w:shd w:val="clear" w:color="auto" w:fill="auto"/>
        </w:rPr>
      </w:pPr>
      <w:r>
        <w:rPr>
          <w:rFonts w:hint="eastAsia" w:ascii="宋体" w:hAnsi="宋体"/>
          <w:b/>
          <w:color w:val="auto"/>
          <w:szCs w:val="21"/>
          <w:highlight w:val="none"/>
          <w:shd w:val="clear" w:color="auto" w:fill="auto"/>
        </w:rPr>
        <w:t xml:space="preserve"> </w:t>
      </w:r>
    </w:p>
    <w:p w14:paraId="75EB89EC">
      <w:pPr>
        <w:snapToGrid w:val="0"/>
        <w:spacing w:line="360" w:lineRule="exact"/>
        <w:jc w:val="center"/>
        <w:rPr>
          <w:rFonts w:hint="eastAsia" w:ascii="宋体" w:hAnsi="宋体" w:cs="宋体"/>
          <w:b/>
          <w:color w:val="auto"/>
          <w:kern w:val="0"/>
          <w:sz w:val="28"/>
          <w:szCs w:val="28"/>
          <w:highlight w:val="none"/>
          <w:shd w:val="clear" w:color="auto" w:fill="auto"/>
        </w:rPr>
      </w:pPr>
    </w:p>
    <w:p w14:paraId="07B1747D">
      <w:pPr>
        <w:snapToGrid w:val="0"/>
        <w:spacing w:line="360" w:lineRule="exact"/>
        <w:jc w:val="center"/>
        <w:rPr>
          <w:rFonts w:hint="eastAsia" w:ascii="宋体" w:hAnsi="宋体" w:cs="宋体"/>
          <w:b/>
          <w:color w:val="auto"/>
          <w:kern w:val="0"/>
          <w:sz w:val="28"/>
          <w:szCs w:val="28"/>
          <w:highlight w:val="none"/>
          <w:shd w:val="clear" w:color="auto" w:fill="auto"/>
        </w:rPr>
      </w:pPr>
      <w:r>
        <w:rPr>
          <w:rFonts w:hint="eastAsia" w:ascii="宋体" w:hAnsi="宋体" w:cs="宋体"/>
          <w:b/>
          <w:color w:val="auto"/>
          <w:kern w:val="0"/>
          <w:sz w:val="28"/>
          <w:szCs w:val="28"/>
          <w:highlight w:val="none"/>
          <w:shd w:val="clear" w:color="auto" w:fill="auto"/>
        </w:rPr>
        <w:t>参加政府采购活动前三年内在经营活动中没有重大违法记录的书面声明</w:t>
      </w:r>
    </w:p>
    <w:p w14:paraId="1900E651">
      <w:pPr>
        <w:snapToGrid w:val="0"/>
        <w:spacing w:line="360" w:lineRule="exact"/>
        <w:jc w:val="cente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（格式自拟，必须提供）</w:t>
      </w:r>
    </w:p>
    <w:p w14:paraId="38D687BB">
      <w:pPr>
        <w:snapToGrid w:val="0"/>
        <w:spacing w:line="360" w:lineRule="exact"/>
        <w:ind w:firstLine="413" w:firstLineChars="196"/>
        <w:jc w:val="center"/>
        <w:rPr>
          <w:rFonts w:hint="eastAsia" w:ascii="宋体" w:hAnsi="宋体"/>
          <w:b/>
          <w:color w:val="auto"/>
          <w:szCs w:val="21"/>
          <w:highlight w:val="none"/>
          <w:shd w:val="clear" w:color="auto" w:fill="auto"/>
        </w:rPr>
      </w:pPr>
    </w:p>
    <w:p w14:paraId="128CCB55">
      <w:pPr>
        <w:snapToGrid w:val="0"/>
        <w:spacing w:line="360" w:lineRule="exact"/>
        <w:ind w:firstLine="413" w:firstLineChars="196"/>
        <w:jc w:val="center"/>
        <w:rPr>
          <w:rFonts w:hint="eastAsia" w:ascii="宋体" w:hAnsi="宋体"/>
          <w:b/>
          <w:color w:val="auto"/>
          <w:szCs w:val="21"/>
          <w:highlight w:val="none"/>
          <w:shd w:val="clear" w:color="auto" w:fill="auto"/>
        </w:rPr>
      </w:pPr>
    </w:p>
    <w:p w14:paraId="4E6A3299">
      <w:pPr>
        <w:snapToGrid w:val="0"/>
        <w:spacing w:line="360" w:lineRule="exact"/>
        <w:ind w:firstLine="413" w:firstLineChars="196"/>
        <w:jc w:val="center"/>
        <w:rPr>
          <w:rFonts w:hint="eastAsia" w:ascii="宋体" w:hAnsi="宋体"/>
          <w:b/>
          <w:color w:val="auto"/>
          <w:szCs w:val="21"/>
          <w:highlight w:val="none"/>
          <w:shd w:val="clear" w:color="auto" w:fill="auto"/>
        </w:rPr>
      </w:pPr>
    </w:p>
    <w:p w14:paraId="341C2706">
      <w:pPr>
        <w:snapToGrid w:val="0"/>
        <w:spacing w:line="360" w:lineRule="exact"/>
        <w:ind w:firstLine="413" w:firstLineChars="196"/>
        <w:jc w:val="center"/>
        <w:rPr>
          <w:rFonts w:hint="eastAsia" w:ascii="宋体" w:hAnsi="宋体"/>
          <w:b/>
          <w:color w:val="auto"/>
          <w:szCs w:val="21"/>
          <w:highlight w:val="none"/>
          <w:shd w:val="clear" w:color="auto" w:fill="auto"/>
        </w:rPr>
      </w:pPr>
    </w:p>
    <w:p w14:paraId="69CC196D">
      <w:pPr>
        <w:snapToGrid w:val="0"/>
        <w:spacing w:before="156" w:beforeLines="50" w:line="340" w:lineRule="exact"/>
        <w:ind w:firstLine="3509" w:firstLineChars="1671"/>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法定代表人（或机构负责人）或委托代理人</w:t>
      </w:r>
      <w:r>
        <w:rPr>
          <w:rFonts w:hint="eastAsia" w:ascii="宋体" w:hAnsi="宋体"/>
          <w:color w:val="auto"/>
          <w:sz w:val="24"/>
          <w:highlight w:val="none"/>
          <w:shd w:val="clear" w:color="auto" w:fill="auto"/>
        </w:rPr>
        <w:t>签名（或签章）</w:t>
      </w:r>
      <w:r>
        <w:rPr>
          <w:rFonts w:hint="eastAsia" w:ascii="宋体" w:hAnsi="宋体"/>
          <w:color w:val="auto"/>
          <w:szCs w:val="21"/>
          <w:highlight w:val="none"/>
          <w:shd w:val="clear" w:color="auto" w:fill="auto"/>
        </w:rPr>
        <w:t xml:space="preserve">：             </w:t>
      </w:r>
    </w:p>
    <w:p w14:paraId="3D22A42A">
      <w:pPr>
        <w:snapToGrid w:val="0"/>
        <w:spacing w:before="156" w:beforeLines="50" w:after="50" w:line="340" w:lineRule="exact"/>
        <w:ind w:firstLine="3570" w:firstLineChars="17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投标人公章：                                    </w:t>
      </w:r>
    </w:p>
    <w:p w14:paraId="52D188C0">
      <w:pPr>
        <w:pStyle w:val="29"/>
        <w:tabs>
          <w:tab w:val="left" w:pos="5580"/>
        </w:tabs>
        <w:spacing w:line="360" w:lineRule="auto"/>
        <w:ind w:left="1080" w:leftChars="257" w:hanging="540"/>
        <w:rPr>
          <w:rFonts w:hint="eastAsia" w:ascii="仿宋_GB2312" w:hAnsi="宋体" w:eastAsia="仿宋_GB2312"/>
          <w:b/>
          <w:color w:val="auto"/>
          <w:sz w:val="24"/>
          <w:highlight w:val="none"/>
          <w:shd w:val="clear" w:color="auto" w:fill="auto"/>
        </w:rPr>
      </w:pPr>
      <w:r>
        <w:rPr>
          <w:rFonts w:hint="eastAsia" w:hAnsi="宋体"/>
          <w:color w:val="auto"/>
          <w:highlight w:val="none"/>
          <w:shd w:val="clear" w:color="auto" w:fill="auto"/>
        </w:rPr>
        <w:t xml:space="preserve">                                          年    月    日</w:t>
      </w:r>
    </w:p>
    <w:p w14:paraId="4C5805AB">
      <w:pPr>
        <w:snapToGrid w:val="0"/>
        <w:spacing w:line="360" w:lineRule="exact"/>
        <w:ind w:firstLine="665" w:firstLineChars="368"/>
        <w:jc w:val="left"/>
        <w:rPr>
          <w:rFonts w:hint="eastAsia" w:ascii="宋体" w:hAnsi="宋体" w:cs="宋体"/>
          <w:b/>
          <w:color w:val="auto"/>
          <w:kern w:val="0"/>
          <w:sz w:val="18"/>
          <w:szCs w:val="18"/>
          <w:highlight w:val="none"/>
          <w:shd w:val="clear" w:color="auto" w:fill="auto"/>
        </w:rPr>
      </w:pPr>
      <w:r>
        <w:rPr>
          <w:rFonts w:hint="eastAsia" w:ascii="宋体" w:hAnsi="宋体" w:cs="宋体"/>
          <w:b/>
          <w:color w:val="auto"/>
          <w:kern w:val="0"/>
          <w:sz w:val="18"/>
          <w:szCs w:val="18"/>
          <w:highlight w:val="none"/>
          <w:shd w:val="clear" w:color="auto" w:fill="auto"/>
        </w:rPr>
        <w:t>说明:1.投标人应按照相关法规规定如实做出书面声明。</w:t>
      </w:r>
    </w:p>
    <w:p w14:paraId="50CEFF93">
      <w:pPr>
        <w:snapToGrid w:val="0"/>
        <w:spacing w:line="360" w:lineRule="exact"/>
        <w:ind w:firstLine="1153" w:firstLineChars="638"/>
        <w:jc w:val="left"/>
        <w:rPr>
          <w:rFonts w:hint="eastAsia" w:ascii="宋体" w:hAnsi="宋体" w:cs="宋体"/>
          <w:b/>
          <w:color w:val="auto"/>
          <w:kern w:val="0"/>
          <w:sz w:val="18"/>
          <w:szCs w:val="18"/>
          <w:highlight w:val="none"/>
          <w:shd w:val="clear" w:color="auto" w:fill="auto"/>
        </w:rPr>
      </w:pPr>
      <w:r>
        <w:rPr>
          <w:rFonts w:hint="eastAsia" w:ascii="宋体" w:hAnsi="宋体" w:cs="宋体"/>
          <w:b/>
          <w:color w:val="auto"/>
          <w:kern w:val="0"/>
          <w:sz w:val="18"/>
          <w:szCs w:val="18"/>
          <w:highlight w:val="none"/>
          <w:shd w:val="clear" w:color="auto" w:fill="auto"/>
        </w:rPr>
        <w:t>2．按照采购文件的规定盖章（自然人投标的无需盖章，需要</w:t>
      </w:r>
      <w:r>
        <w:rPr>
          <w:rFonts w:hint="eastAsia" w:ascii="宋体" w:hAnsi="宋体" w:cs="宋体"/>
          <w:b/>
          <w:color w:val="auto"/>
          <w:kern w:val="0"/>
          <w:sz w:val="18"/>
          <w:szCs w:val="18"/>
          <w:highlight w:val="none"/>
          <w:shd w:val="clear" w:color="auto" w:fill="auto"/>
          <w:lang w:eastAsia="zh-CN"/>
        </w:rPr>
        <w:t>签字或签章</w:t>
      </w:r>
      <w:r>
        <w:rPr>
          <w:rFonts w:hint="eastAsia" w:ascii="宋体" w:hAnsi="宋体" w:cs="宋体"/>
          <w:b/>
          <w:color w:val="auto"/>
          <w:kern w:val="0"/>
          <w:sz w:val="18"/>
          <w:szCs w:val="18"/>
          <w:highlight w:val="none"/>
          <w:shd w:val="clear" w:color="auto" w:fill="auto"/>
        </w:rPr>
        <w:t>）。</w:t>
      </w:r>
    </w:p>
    <w:bookmarkEnd w:id="14"/>
    <w:bookmarkEnd w:id="15"/>
    <w:p w14:paraId="2E53250F">
      <w:pPr>
        <w:snapToGrid w:val="0"/>
        <w:spacing w:before="50" w:after="156" w:afterLines="50" w:line="360" w:lineRule="exact"/>
        <w:jc w:val="left"/>
        <w:outlineLvl w:val="0"/>
        <w:rPr>
          <w:rFonts w:ascii="宋体" w:hAnsi="宋体"/>
          <w:b/>
          <w:color w:val="auto"/>
          <w:szCs w:val="21"/>
          <w:highlight w:val="none"/>
          <w:shd w:val="clear" w:color="auto" w:fill="auto"/>
        </w:rPr>
      </w:pPr>
    </w:p>
    <w:p w14:paraId="15E211AD">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14:paraId="5EE1C9DC">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14:paraId="53ED1AC5">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14:paraId="12F4E4A5">
      <w:pPr>
        <w:snapToGrid w:val="0"/>
        <w:spacing w:before="50" w:after="156" w:afterLines="50" w:line="360" w:lineRule="exact"/>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二）</w:t>
      </w:r>
      <w:r>
        <w:rPr>
          <w:rFonts w:hint="eastAsia" w:ascii="宋体" w:hAnsi="宋体"/>
          <w:b/>
          <w:bCs/>
          <w:color w:val="auto"/>
          <w:szCs w:val="21"/>
          <w:highlight w:val="none"/>
          <w:shd w:val="clear" w:color="auto" w:fill="auto"/>
        </w:rPr>
        <w:t>资信及商务文件部分（格式）</w:t>
      </w:r>
    </w:p>
    <w:p w14:paraId="6549CDBB">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r>
        <w:rPr>
          <w:rFonts w:hint="eastAsia" w:ascii="宋体" w:hAnsi="宋体"/>
          <w:b/>
          <w:bCs/>
          <w:color w:val="auto"/>
          <w:szCs w:val="21"/>
          <w:highlight w:val="none"/>
          <w:shd w:val="clear" w:color="auto" w:fill="auto"/>
        </w:rPr>
        <w:t>（1）</w:t>
      </w:r>
      <w:r>
        <w:rPr>
          <w:rFonts w:hint="eastAsia" w:ascii="宋体" w:hAnsi="宋体"/>
          <w:color w:val="auto"/>
          <w:szCs w:val="21"/>
          <w:highlight w:val="none"/>
          <w:shd w:val="clear" w:color="auto" w:fill="auto"/>
        </w:rPr>
        <w:t>投标保证金的相关证明扫描件或其他电子文件</w:t>
      </w:r>
    </w:p>
    <w:p w14:paraId="6340C65B">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p>
    <w:p w14:paraId="210AE09F">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（2）投标声明书格式：</w:t>
      </w:r>
    </w:p>
    <w:p w14:paraId="53FC2C74">
      <w:pPr>
        <w:snapToGrid w:val="0"/>
        <w:spacing w:before="156" w:beforeLines="50" w:after="50" w:line="360" w:lineRule="exact"/>
        <w:jc w:val="center"/>
        <w:rPr>
          <w:rFonts w:hint="eastAsia" w:ascii="仿宋_GB2312" w:hAnsi="宋体" w:eastAsia="仿宋_GB2312"/>
          <w:b/>
          <w:color w:val="auto"/>
          <w:sz w:val="30"/>
          <w:szCs w:val="30"/>
          <w:highlight w:val="none"/>
          <w:shd w:val="clear" w:color="auto" w:fill="auto"/>
        </w:rPr>
      </w:pPr>
      <w:r>
        <w:rPr>
          <w:rFonts w:hint="eastAsia" w:ascii="仿宋_GB2312" w:hAnsi="宋体" w:eastAsia="仿宋_GB2312"/>
          <w:b/>
          <w:color w:val="auto"/>
          <w:sz w:val="30"/>
          <w:szCs w:val="30"/>
          <w:highlight w:val="none"/>
          <w:shd w:val="clear" w:color="auto" w:fill="auto"/>
        </w:rPr>
        <w:t>投标声明书</w:t>
      </w:r>
    </w:p>
    <w:p w14:paraId="10F4043A">
      <w:pPr>
        <w:snapToGrid w:val="0"/>
        <w:spacing w:before="156" w:beforeLines="50" w:after="50" w:line="34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致：_</w:t>
      </w:r>
      <w:r>
        <w:rPr>
          <w:rFonts w:hint="eastAsia"/>
          <w:color w:val="auto"/>
          <w:highlight w:val="none"/>
          <w:u w:val="single"/>
          <w:shd w:val="clear" w:color="auto" w:fill="auto"/>
        </w:rPr>
        <w:t>广西壮族自治区政府采购中心</w:t>
      </w:r>
      <w:r>
        <w:rPr>
          <w:rFonts w:hint="eastAsia" w:ascii="宋体" w:hAnsi="宋体"/>
          <w:color w:val="auto"/>
          <w:szCs w:val="21"/>
          <w:highlight w:val="none"/>
          <w:shd w:val="clear" w:color="auto" w:fill="auto"/>
        </w:rPr>
        <w:t>：</w:t>
      </w:r>
    </w:p>
    <w:p w14:paraId="7B26F7FD">
      <w:pPr>
        <w:snapToGrid w:val="0"/>
        <w:spacing w:before="156" w:beforeLines="50" w:after="50" w:line="340" w:lineRule="exact"/>
        <w:ind w:firstLine="630" w:firstLineChars="3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______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_（投标人名称）系中华人民共和国合法企业，经营地址</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w:t>
      </w:r>
    </w:p>
    <w:p w14:paraId="01AD1BF5">
      <w:pPr>
        <w:snapToGrid w:val="0"/>
        <w:spacing w:before="156" w:beforeLines="50" w:after="50" w:line="340" w:lineRule="exact"/>
        <w:ind w:firstLine="645"/>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我___</w:t>
      </w:r>
      <w:r>
        <w:rPr>
          <w:rFonts w:hint="eastAsia" w:ascii="宋体" w:hAnsi="宋体"/>
          <w:color w:val="auto"/>
          <w:szCs w:val="21"/>
          <w:highlight w:val="none"/>
          <w:u w:val="single"/>
          <w:shd w:val="clear" w:color="auto" w:fill="auto"/>
        </w:rPr>
        <w:t xml:space="preserve">    _</w:t>
      </w:r>
      <w:r>
        <w:rPr>
          <w:rFonts w:hint="eastAsia" w:ascii="宋体" w:hAnsi="宋体"/>
          <w:color w:val="auto"/>
          <w:szCs w:val="21"/>
          <w:highlight w:val="none"/>
          <w:shd w:val="clear" w:color="auto" w:fill="auto"/>
        </w:rPr>
        <w:t>_（姓名）系______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_（投标人名称）的法定代表人，我方愿意参加贵方组织的_____</w:t>
      </w:r>
      <w:r>
        <w:rPr>
          <w:rFonts w:hint="eastAsia" w:ascii="宋体" w:hAnsi="宋体"/>
          <w:color w:val="auto"/>
          <w:szCs w:val="21"/>
          <w:highlight w:val="none"/>
          <w:u w:val="single"/>
          <w:shd w:val="clear" w:color="auto" w:fill="auto"/>
        </w:rPr>
        <w:t>_              _     _</w:t>
      </w:r>
      <w:r>
        <w:rPr>
          <w:rFonts w:hint="eastAsia" w:ascii="宋体" w:hAnsi="宋体"/>
          <w:color w:val="auto"/>
          <w:szCs w:val="21"/>
          <w:highlight w:val="none"/>
          <w:shd w:val="clear" w:color="auto" w:fill="auto"/>
        </w:rPr>
        <w:t>_项目的投标，为便于贵方公正、择优地确定中标人及其投标产品和服务，我方就本次投标有关事项郑重声明如下：</w:t>
      </w:r>
    </w:p>
    <w:p w14:paraId="01D5057A">
      <w:pPr>
        <w:snapToGrid w:val="0"/>
        <w:spacing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1.我方向贵方提交的所有投标文件、资料都是准确的和真实的。</w:t>
      </w:r>
    </w:p>
    <w:p w14:paraId="3627F07F">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2.我方不是采购人的附属机构；在获知本项目采购信息后，与采购人聘请的为此项目提供咨询服务的公司及其附属机构没有任何联系。</w:t>
      </w:r>
    </w:p>
    <w:p w14:paraId="4BB52480">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3.我方此次向贵方提供的产品名称为：</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；规格型号：</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；该型号产品我方有现货可供，并已于</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年</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月生产完工或向　</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（原厂商名称）购进［</w:t>
      </w:r>
      <w:r>
        <w:rPr>
          <w:rFonts w:hint="eastAsia" w:ascii="宋体" w:hAnsi="宋体"/>
          <w:b/>
          <w:bCs/>
          <w:color w:val="auto"/>
          <w:szCs w:val="21"/>
          <w:highlight w:val="none"/>
          <w:shd w:val="clear" w:color="auto" w:fill="auto"/>
        </w:rPr>
        <w:t>或</w:t>
      </w:r>
      <w:r>
        <w:rPr>
          <w:rFonts w:hint="eastAsia" w:ascii="宋体" w:hAnsi="宋体"/>
          <w:color w:val="auto"/>
          <w:szCs w:val="21"/>
          <w:highlight w:val="none"/>
          <w:shd w:val="clear" w:color="auto" w:fill="auto"/>
        </w:rPr>
        <w:t>需在中标后向</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订购］。</w:t>
      </w:r>
    </w:p>
    <w:p w14:paraId="36D27D79">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4.我方诚意提请贵方关注：近期有关该型号产品的生产、供货、售后服务以及性能等方面的重大决策和事项有：</w:t>
      </w:r>
    </w:p>
    <w:p w14:paraId="1B031AB0">
      <w:pPr>
        <w:snapToGrid w:val="0"/>
        <w:spacing w:before="156" w:beforeLines="50" w:line="340" w:lineRule="exact"/>
        <w:ind w:firstLine="420" w:firstLineChars="200"/>
        <w:rPr>
          <w:rFonts w:hint="eastAsia" w:ascii="宋体" w:hAnsi="宋体"/>
          <w:color w:val="auto"/>
          <w:szCs w:val="21"/>
          <w:highlight w:val="none"/>
          <w:u w:val="single"/>
          <w:shd w:val="clear" w:color="auto" w:fill="auto"/>
        </w:rPr>
      </w:pPr>
      <w:r>
        <w:rPr>
          <w:rFonts w:hint="eastAsia" w:ascii="宋体" w:hAnsi="宋体"/>
          <w:color w:val="auto"/>
          <w:szCs w:val="21"/>
          <w:highlight w:val="none"/>
          <w:u w:val="single"/>
          <w:shd w:val="clear" w:color="auto" w:fill="auto"/>
        </w:rPr>
        <w:t>　　　　　　　　　　　　　　　　　　　　　　　　　　　</w:t>
      </w:r>
    </w:p>
    <w:p w14:paraId="64979BD4">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u w:val="single"/>
          <w:shd w:val="clear" w:color="auto" w:fill="auto"/>
        </w:rPr>
        <w:t>　　　　　　　　　　　　　　　　　　　　　　　　　　　</w:t>
      </w:r>
    </w:p>
    <w:p w14:paraId="43F04FBC">
      <w:pP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 我方参加政府采购活动前三年内在经营活动中重大违法记录和不良信用记录情况：</w:t>
      </w:r>
    </w:p>
    <w:p w14:paraId="2D753032">
      <w:pPr>
        <w:snapToGrid w:val="0"/>
        <w:spacing w:before="156" w:beforeLines="50" w:line="340" w:lineRule="exact"/>
        <w:ind w:firstLine="422" w:firstLineChars="200"/>
        <w:rPr>
          <w:rFonts w:hint="eastAsia" w:ascii="宋体" w:hAnsi="宋体"/>
          <w:color w:val="auto"/>
          <w:szCs w:val="21"/>
          <w:highlight w:val="none"/>
          <w:u w:val="single"/>
          <w:shd w:val="clear" w:color="auto" w:fill="auto"/>
        </w:rPr>
      </w:pPr>
      <w:r>
        <w:rPr>
          <w:rFonts w:hint="eastAsia" w:ascii="宋体" w:hAnsi="宋体"/>
          <w:b/>
          <w:color w:val="auto"/>
          <w:szCs w:val="21"/>
          <w:highlight w:val="none"/>
          <w:u w:val="single"/>
          <w:shd w:val="clear" w:color="auto" w:fill="auto"/>
        </w:rPr>
        <w:t>　　　　　　</w:t>
      </w:r>
      <w:r>
        <w:rPr>
          <w:rFonts w:hint="eastAsia" w:ascii="宋体" w:hAnsi="宋体"/>
          <w:color w:val="auto"/>
          <w:szCs w:val="21"/>
          <w:highlight w:val="none"/>
          <w:u w:val="single"/>
          <w:shd w:val="clear" w:color="auto" w:fill="auto"/>
        </w:rPr>
        <w:t>　　　　　　　　　　　　　　　　　　　　　</w:t>
      </w:r>
    </w:p>
    <w:p w14:paraId="12508328">
      <w:pPr>
        <w:snapToGrid w:val="0"/>
        <w:spacing w:before="156" w:beforeLines="50" w:line="34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6.以上事项如有虚假或隐瞒，我方愿意承担一切后果。</w:t>
      </w:r>
    </w:p>
    <w:p w14:paraId="0149E23D">
      <w:pPr>
        <w:snapToGrid w:val="0"/>
        <w:spacing w:before="156" w:beforeLines="50" w:line="340" w:lineRule="exact"/>
        <w:ind w:firstLine="3509" w:firstLineChars="1671"/>
        <w:rPr>
          <w:rFonts w:hint="eastAsia" w:ascii="宋体" w:hAnsi="宋体"/>
          <w:color w:val="auto"/>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w:t>
      </w:r>
      <w:r>
        <w:rPr>
          <w:rFonts w:hint="eastAsia" w:ascii="宋体" w:hAnsi="宋体"/>
          <w:color w:val="auto"/>
          <w:szCs w:val="21"/>
          <w:highlight w:val="none"/>
          <w:u w:val="single"/>
          <w:shd w:val="clear" w:color="auto" w:fill="auto"/>
        </w:rPr>
        <w:t xml:space="preserve">             </w:t>
      </w:r>
    </w:p>
    <w:p w14:paraId="1E1210F7">
      <w:pPr>
        <w:snapToGrid w:val="0"/>
        <w:spacing w:before="156" w:beforeLines="50" w:after="50" w:line="340" w:lineRule="exact"/>
        <w:ind w:firstLine="3570" w:firstLineChars="17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投标人公章：</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w:t>
      </w:r>
    </w:p>
    <w:p w14:paraId="45300635">
      <w:pPr>
        <w:snapToGrid w:val="0"/>
        <w:spacing w:before="156" w:beforeLines="50" w:after="50" w:line="340" w:lineRule="exact"/>
        <w:ind w:firstLine="210" w:firstLineChars="1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年    月    日</w:t>
      </w:r>
    </w:p>
    <w:p w14:paraId="1BEDB7E1">
      <w:pPr>
        <w:widowControl/>
        <w:spacing w:before="100" w:beforeAutospacing="1" w:after="100" w:afterAutospacing="1" w:line="432" w:lineRule="auto"/>
        <w:ind w:firstLine="413" w:firstLineChars="196"/>
        <w:jc w:val="left"/>
        <w:rPr>
          <w:rFonts w:hint="eastAsia" w:ascii="宋体" w:hAnsi="宋体"/>
          <w:b/>
          <w:color w:val="auto"/>
          <w:szCs w:val="21"/>
          <w:highlight w:val="none"/>
          <w:u w:val="single"/>
          <w:shd w:val="clear" w:color="auto" w:fill="auto"/>
        </w:rPr>
      </w:pPr>
      <w:r>
        <w:rPr>
          <w:rFonts w:hint="eastAsia" w:ascii="宋体" w:hAnsi="宋体"/>
          <w:b/>
          <w:color w:val="auto"/>
          <w:szCs w:val="21"/>
          <w:highlight w:val="none"/>
          <w:u w:val="single"/>
          <w:shd w:val="clear" w:color="auto" w:fill="auto"/>
        </w:rPr>
        <w:t>（重大违法记录，是指供应商因违法经营受到刑事处罚或者责令停产停业、吊销许可证或者执照、较大数额罚款等行政处罚。）</w:t>
      </w:r>
    </w:p>
    <w:p w14:paraId="0D8C3E1A">
      <w:pPr>
        <w:snapToGrid w:val="0"/>
        <w:spacing w:before="50" w:after="156" w:afterLines="50" w:line="340" w:lineRule="exact"/>
        <w:jc w:val="left"/>
        <w:rPr>
          <w:rFonts w:hint="eastAsia" w:ascii="宋体" w:hAnsi="宋体"/>
          <w:b/>
          <w:color w:val="auto"/>
          <w:szCs w:val="21"/>
          <w:highlight w:val="none"/>
          <w:shd w:val="clear" w:color="auto" w:fill="auto"/>
        </w:rPr>
      </w:pPr>
    </w:p>
    <w:p w14:paraId="3FD85AC9">
      <w:pPr>
        <w:snapToGrid w:val="0"/>
        <w:spacing w:before="50" w:after="156" w:afterLines="50" w:line="340" w:lineRule="exact"/>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（3）法定代表人授权委托书格式：</w:t>
      </w:r>
    </w:p>
    <w:p w14:paraId="4B05B629">
      <w:pPr>
        <w:snapToGrid w:val="0"/>
        <w:spacing w:before="156" w:beforeLines="50" w:after="50" w:line="340" w:lineRule="exact"/>
        <w:jc w:val="center"/>
        <w:rPr>
          <w:rFonts w:hint="eastAsia" w:ascii="仿宋_GB2312" w:hAnsi="宋体" w:eastAsia="仿宋_GB2312"/>
          <w:b/>
          <w:color w:val="auto"/>
          <w:sz w:val="30"/>
          <w:szCs w:val="30"/>
          <w:highlight w:val="none"/>
          <w:shd w:val="clear" w:color="auto" w:fill="auto"/>
        </w:rPr>
      </w:pPr>
    </w:p>
    <w:p w14:paraId="618B7595">
      <w:pPr>
        <w:snapToGrid w:val="0"/>
        <w:spacing w:before="156" w:beforeLines="50" w:after="50" w:line="340" w:lineRule="exact"/>
        <w:jc w:val="center"/>
        <w:rPr>
          <w:rFonts w:hint="eastAsia" w:ascii="仿宋_GB2312" w:hAnsi="宋体" w:eastAsia="仿宋_GB2312"/>
          <w:b/>
          <w:color w:val="auto"/>
          <w:sz w:val="30"/>
          <w:szCs w:val="30"/>
          <w:highlight w:val="none"/>
          <w:shd w:val="clear" w:color="auto" w:fill="auto"/>
        </w:rPr>
      </w:pPr>
    </w:p>
    <w:p w14:paraId="580D580F">
      <w:pPr>
        <w:snapToGrid w:val="0"/>
        <w:spacing w:before="156" w:beforeLines="50" w:after="50" w:line="340" w:lineRule="exact"/>
        <w:jc w:val="center"/>
        <w:rPr>
          <w:rFonts w:hint="eastAsia" w:ascii="仿宋_GB2312" w:hAnsi="宋体" w:eastAsia="仿宋_GB2312"/>
          <w:b/>
          <w:color w:val="auto"/>
          <w:sz w:val="30"/>
          <w:szCs w:val="30"/>
          <w:highlight w:val="none"/>
          <w:shd w:val="clear" w:color="auto" w:fill="auto"/>
        </w:rPr>
      </w:pPr>
      <w:r>
        <w:rPr>
          <w:rFonts w:hint="eastAsia" w:ascii="仿宋_GB2312" w:hAnsi="宋体" w:eastAsia="仿宋_GB2312"/>
          <w:b/>
          <w:color w:val="auto"/>
          <w:sz w:val="30"/>
          <w:szCs w:val="30"/>
          <w:highlight w:val="none"/>
          <w:shd w:val="clear" w:color="auto" w:fill="auto"/>
        </w:rPr>
        <w:t>法定代表人授权委托书</w:t>
      </w:r>
    </w:p>
    <w:p w14:paraId="67AB7E72">
      <w:pPr>
        <w:snapToGrid w:val="0"/>
        <w:spacing w:before="156" w:beforeLines="50" w:after="50" w:line="480" w:lineRule="auto"/>
        <w:rPr>
          <w:rFonts w:hint="eastAsia" w:ascii="宋体" w:hAnsi="宋体"/>
          <w:b/>
          <w:bCs/>
          <w:color w:val="auto"/>
          <w:szCs w:val="21"/>
          <w:highlight w:val="none"/>
          <w:shd w:val="clear" w:color="auto" w:fill="auto"/>
        </w:rPr>
      </w:pPr>
      <w:r>
        <w:rPr>
          <w:rFonts w:hint="eastAsia" w:ascii="宋体" w:hAnsi="宋体"/>
          <w:bCs/>
          <w:color w:val="auto"/>
          <w:szCs w:val="21"/>
          <w:highlight w:val="none"/>
          <w:shd w:val="clear" w:color="auto" w:fill="auto"/>
        </w:rPr>
        <w:t>致：</w:t>
      </w:r>
      <w:r>
        <w:rPr>
          <w:rFonts w:hint="eastAsia" w:ascii="宋体" w:hAnsi="宋体"/>
          <w:color w:val="auto"/>
          <w:szCs w:val="21"/>
          <w:highlight w:val="none"/>
          <w:shd w:val="clear" w:color="auto" w:fill="auto"/>
        </w:rPr>
        <w:t>_</w:t>
      </w:r>
      <w:r>
        <w:rPr>
          <w:rFonts w:hint="eastAsia"/>
          <w:color w:val="auto"/>
          <w:highlight w:val="none"/>
          <w:u w:val="single"/>
          <w:shd w:val="clear" w:color="auto" w:fill="auto"/>
        </w:rPr>
        <w:t>广西壮族自治区政府采购中心</w:t>
      </w:r>
      <w:r>
        <w:rPr>
          <w:rFonts w:hint="eastAsia" w:ascii="宋体" w:hAnsi="宋体"/>
          <w:color w:val="auto"/>
          <w:szCs w:val="21"/>
          <w:highlight w:val="none"/>
          <w:shd w:val="clear" w:color="auto" w:fill="auto"/>
        </w:rPr>
        <w:t>：</w:t>
      </w:r>
    </w:p>
    <w:p w14:paraId="3393FA75">
      <w:pPr>
        <w:snapToGrid w:val="0"/>
        <w:spacing w:before="156" w:beforeLines="50" w:after="50" w:line="480" w:lineRule="auto"/>
        <w:ind w:firstLine="630" w:firstLineChars="3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我______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_（姓名）系______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 xml:space="preserve">_（投标人名称）的法定代表人，现授权委托本单位在职职工 </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（姓名）以我方的名义参加</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项目的投标活动，并代表我方全权办理针对上述项目的投标、开标、评标、签约等具体事务和签署相关文件。</w:t>
      </w:r>
    </w:p>
    <w:p w14:paraId="5FF29A0F">
      <w:pPr>
        <w:snapToGrid w:val="0"/>
        <w:spacing w:before="156" w:beforeLines="50" w:after="50" w:line="480" w:lineRule="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我方对被授权人的签名事项负全部责任。</w:t>
      </w:r>
    </w:p>
    <w:p w14:paraId="7FEDC3C4">
      <w:pPr>
        <w:snapToGrid w:val="0"/>
        <w:spacing w:before="156" w:beforeLines="50" w:after="50" w:line="480" w:lineRule="auto"/>
        <w:ind w:firstLine="480"/>
        <w:rPr>
          <w:rFonts w:hint="eastAsia" w:ascii="宋体" w:hAnsi="宋体"/>
          <w:color w:val="auto"/>
          <w:szCs w:val="21"/>
          <w:highlight w:val="none"/>
          <w:shd w:val="clear" w:color="auto" w:fill="auto"/>
        </w:rPr>
      </w:pPr>
      <w:r>
        <w:rPr>
          <w:rFonts w:hint="eastAsia" w:ascii="宋体" w:hAnsi="宋体"/>
          <w:color w:val="auto"/>
          <w:szCs w:val="21"/>
          <w:highlight w:val="none"/>
          <w:u w:val="single"/>
          <w:shd w:val="clear" w:color="auto" w:fill="auto"/>
        </w:rPr>
        <w:t>在撤销授权的书面通知以前，本授权书一直有效。</w:t>
      </w:r>
      <w:r>
        <w:rPr>
          <w:rFonts w:hint="eastAsia" w:ascii="宋体" w:hAnsi="宋体"/>
          <w:color w:val="auto"/>
          <w:szCs w:val="21"/>
          <w:highlight w:val="none"/>
          <w:shd w:val="clear" w:color="auto" w:fill="auto"/>
        </w:rPr>
        <w:t>被授权人在授权书有效期内签署的所有文件不因授权的撤销而失效。</w:t>
      </w:r>
    </w:p>
    <w:p w14:paraId="7594F2DA">
      <w:pPr>
        <w:snapToGrid w:val="0"/>
        <w:spacing w:before="156" w:beforeLines="50" w:after="50" w:line="480" w:lineRule="auto"/>
        <w:ind w:firstLine="48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被授权人无转委托权，特此委托。</w:t>
      </w:r>
    </w:p>
    <w:p w14:paraId="165068EE">
      <w:pPr>
        <w:snapToGrid w:val="0"/>
        <w:spacing w:before="156" w:beforeLines="50" w:after="50" w:line="480" w:lineRule="auto"/>
        <w:rPr>
          <w:rFonts w:hint="eastAsia" w:ascii="宋体" w:hAnsi="宋体"/>
          <w:color w:val="auto"/>
          <w:szCs w:val="21"/>
          <w:highlight w:val="none"/>
          <w:u w:val="single"/>
          <w:shd w:val="clear" w:color="auto" w:fill="auto"/>
        </w:rPr>
      </w:pPr>
      <w:r>
        <w:rPr>
          <w:rFonts w:hint="eastAsia" w:ascii="宋体" w:hAnsi="宋体"/>
          <w:color w:val="auto"/>
          <w:szCs w:val="21"/>
          <w:highlight w:val="none"/>
          <w:shd w:val="clear" w:color="auto" w:fill="auto"/>
        </w:rPr>
        <w:t>被授权人签名：</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法定代表人签字（或签章）：</w:t>
      </w:r>
      <w:r>
        <w:rPr>
          <w:rFonts w:hint="eastAsia" w:ascii="宋体" w:hAnsi="宋体"/>
          <w:color w:val="auto"/>
          <w:szCs w:val="21"/>
          <w:highlight w:val="none"/>
          <w:u w:val="single"/>
          <w:shd w:val="clear" w:color="auto" w:fill="auto"/>
        </w:rPr>
        <w:t xml:space="preserve">          </w:t>
      </w:r>
    </w:p>
    <w:p w14:paraId="33D8B424">
      <w:pPr>
        <w:snapToGrid w:val="0"/>
        <w:spacing w:before="156" w:beforeLines="50" w:after="50" w:line="480" w:lineRule="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所在部门职务：</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职务：</w:t>
      </w:r>
      <w:r>
        <w:rPr>
          <w:rFonts w:hint="eastAsia" w:ascii="宋体" w:hAnsi="宋体"/>
          <w:color w:val="auto"/>
          <w:szCs w:val="21"/>
          <w:highlight w:val="none"/>
          <w:u w:val="single"/>
          <w:shd w:val="clear" w:color="auto" w:fill="auto"/>
        </w:rPr>
        <w:t xml:space="preserve">           </w:t>
      </w:r>
    </w:p>
    <w:p w14:paraId="56D6F63B">
      <w:pPr>
        <w:snapToGrid w:val="0"/>
        <w:spacing w:before="156" w:beforeLines="50" w:after="50" w:line="480" w:lineRule="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被授权人身份证号码：</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w:t>
      </w:r>
    </w:p>
    <w:p w14:paraId="40263ABC">
      <w:pPr>
        <w:snapToGrid w:val="0"/>
        <w:spacing w:before="156" w:beforeLines="50" w:after="50" w:line="480" w:lineRule="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贴附“委托代理人身份证复印件”（正反两面）</w:t>
      </w:r>
    </w:p>
    <w:p w14:paraId="4B346C1C">
      <w:pPr>
        <w:snapToGrid w:val="0"/>
        <w:spacing w:before="156" w:beforeLines="50" w:after="50" w:line="480" w:lineRule="auto"/>
        <w:rPr>
          <w:rFonts w:hint="eastAsia" w:ascii="宋体" w:hAnsi="宋体"/>
          <w:color w:val="auto"/>
          <w:szCs w:val="21"/>
          <w:highlight w:val="none"/>
          <w:shd w:val="clear" w:color="auto" w:fill="auto"/>
        </w:rPr>
      </w:pPr>
    </w:p>
    <w:p w14:paraId="2B900016">
      <w:pPr>
        <w:snapToGrid w:val="0"/>
        <w:spacing w:before="156" w:beforeLines="50" w:after="50" w:line="480" w:lineRule="auto"/>
        <w:rPr>
          <w:rFonts w:hint="eastAsia" w:ascii="宋体" w:hAnsi="宋体"/>
          <w:color w:val="auto"/>
          <w:szCs w:val="21"/>
          <w:highlight w:val="none"/>
          <w:shd w:val="clear" w:color="auto" w:fill="auto"/>
        </w:rPr>
      </w:pPr>
    </w:p>
    <w:p w14:paraId="394AF6E1">
      <w:pPr>
        <w:snapToGrid w:val="0"/>
        <w:spacing w:before="156" w:beforeLines="50" w:after="50" w:line="480" w:lineRule="auto"/>
        <w:rPr>
          <w:rFonts w:hint="eastAsia" w:ascii="宋体" w:hAnsi="宋体"/>
          <w:color w:val="auto"/>
          <w:szCs w:val="21"/>
          <w:highlight w:val="none"/>
          <w:shd w:val="clear" w:color="auto" w:fill="auto"/>
        </w:rPr>
      </w:pPr>
    </w:p>
    <w:p w14:paraId="65215763">
      <w:pPr>
        <w:snapToGrid w:val="0"/>
        <w:spacing w:before="156" w:beforeLines="50" w:after="50" w:line="480" w:lineRule="auto"/>
        <w:ind w:firstLine="4620" w:firstLineChars="2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投标人公章：</w:t>
      </w:r>
    </w:p>
    <w:p w14:paraId="29A8E54E">
      <w:pPr>
        <w:snapToGrid w:val="0"/>
        <w:spacing w:before="156" w:beforeLines="50" w:after="50" w:line="480" w:lineRule="auto"/>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年    月    日</w:t>
      </w:r>
    </w:p>
    <w:p w14:paraId="0348870A">
      <w:pPr>
        <w:snapToGrid w:val="0"/>
        <w:spacing w:before="312" w:beforeLines="100" w:after="312" w:afterLines="100" w:line="360" w:lineRule="exact"/>
        <w:ind w:firstLine="413" w:firstLineChars="196"/>
        <w:jc w:val="left"/>
        <w:rPr>
          <w:rFonts w:hint="eastAsia" w:ascii="宋体" w:hAnsi="宋体"/>
          <w:b/>
          <w:color w:val="auto"/>
          <w:szCs w:val="21"/>
          <w:highlight w:val="none"/>
          <w:shd w:val="clear" w:color="auto" w:fill="auto"/>
        </w:rPr>
      </w:pPr>
    </w:p>
    <w:p w14:paraId="451E70DF">
      <w:pPr>
        <w:snapToGrid w:val="0"/>
        <w:spacing w:before="312" w:beforeLines="100" w:after="312" w:afterLines="100"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14:paraId="50041348">
      <w:pPr>
        <w:snapToGrid w:val="0"/>
        <w:spacing w:before="312" w:beforeLines="100" w:after="312" w:afterLines="10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14:paraId="3179DF3A">
      <w:pPr>
        <w:snapToGrid w:val="0"/>
        <w:spacing w:before="312" w:beforeLines="100" w:after="312" w:afterLines="100" w:line="360" w:lineRule="exact"/>
        <w:ind w:firstLine="422"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14:paraId="41E752CD">
      <w:pPr>
        <w:snapToGrid w:val="0"/>
        <w:spacing w:before="312" w:beforeLines="100" w:after="312" w:afterLines="100"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14:paraId="7C255D38">
      <w:pPr>
        <w:snapToGrid w:val="0"/>
        <w:spacing w:before="50" w:line="360" w:lineRule="exact"/>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w:t>
      </w:r>
      <w:r>
        <w:rPr>
          <w:rFonts w:hint="eastAsia" w:ascii="宋体" w:hAnsi="宋体"/>
          <w:b/>
          <w:color w:val="auto"/>
          <w:szCs w:val="21"/>
          <w:highlight w:val="none"/>
          <w:shd w:val="clear" w:color="auto" w:fill="auto"/>
          <w:lang w:val="en-US" w:eastAsia="zh-CN"/>
        </w:rPr>
        <w:t>8</w:t>
      </w:r>
      <w:r>
        <w:rPr>
          <w:rFonts w:hint="eastAsia" w:ascii="宋体" w:hAnsi="宋体"/>
          <w:b/>
          <w:color w:val="auto"/>
          <w:szCs w:val="21"/>
          <w:highlight w:val="none"/>
          <w:shd w:val="clear" w:color="auto" w:fill="auto"/>
        </w:rPr>
        <w:t>）商务响应表格式：</w:t>
      </w:r>
    </w:p>
    <w:p w14:paraId="3A0A302B">
      <w:pPr>
        <w:snapToGrid w:val="0"/>
        <w:spacing w:before="50" w:line="360" w:lineRule="exact"/>
        <w:jc w:val="center"/>
        <w:rPr>
          <w:rFonts w:hint="eastAsia" w:ascii="宋体" w:hAnsi="宋体"/>
          <w:color w:val="auto"/>
          <w:szCs w:val="21"/>
          <w:highlight w:val="none"/>
          <w:u w:val="single"/>
          <w:shd w:val="clear" w:color="auto" w:fill="auto"/>
        </w:rPr>
      </w:pPr>
      <w:r>
        <w:rPr>
          <w:rFonts w:hint="eastAsia" w:ascii="宋体" w:hAnsi="宋体"/>
          <w:b/>
          <w:color w:val="auto"/>
          <w:szCs w:val="21"/>
          <w:highlight w:val="none"/>
          <w:shd w:val="clear" w:color="auto" w:fill="auto"/>
        </w:rPr>
        <w:t>商务响应表</w:t>
      </w:r>
    </w:p>
    <w:p w14:paraId="11E60964">
      <w:pPr>
        <w:snapToGrid w:val="0"/>
        <w:spacing w:before="50" w:line="360" w:lineRule="exact"/>
        <w:jc w:val="left"/>
        <w:rPr>
          <w:rFonts w:hint="eastAsia" w:ascii="宋体" w:hAnsi="宋体"/>
          <w:color w:val="auto"/>
          <w:szCs w:val="21"/>
          <w:highlight w:val="none"/>
          <w:u w:val="single"/>
          <w:shd w:val="clear" w:color="auto" w:fill="auto"/>
        </w:rPr>
      </w:pPr>
    </w:p>
    <w:tbl>
      <w:tblPr>
        <w:tblStyle w:val="5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955"/>
        <w:gridCol w:w="2625"/>
        <w:gridCol w:w="2340"/>
      </w:tblGrid>
      <w:tr w14:paraId="258F6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14:paraId="5518C3CF">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项号</w:t>
            </w:r>
          </w:p>
        </w:tc>
        <w:tc>
          <w:tcPr>
            <w:tcW w:w="2955" w:type="dxa"/>
            <w:tcBorders>
              <w:top w:val="single" w:color="auto" w:sz="4" w:space="0"/>
              <w:left w:val="single" w:color="auto" w:sz="4" w:space="0"/>
              <w:bottom w:val="single" w:color="auto" w:sz="4" w:space="0"/>
              <w:right w:val="single" w:color="auto" w:sz="4" w:space="0"/>
            </w:tcBorders>
          </w:tcPr>
          <w:p w14:paraId="0E778486">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招标文件要求</w:t>
            </w:r>
          </w:p>
        </w:tc>
        <w:tc>
          <w:tcPr>
            <w:tcW w:w="2625" w:type="dxa"/>
            <w:tcBorders>
              <w:top w:val="single" w:color="auto" w:sz="4" w:space="0"/>
              <w:left w:val="single" w:color="auto" w:sz="4" w:space="0"/>
              <w:bottom w:val="single" w:color="auto" w:sz="4" w:space="0"/>
              <w:right w:val="single" w:color="auto" w:sz="4" w:space="0"/>
            </w:tcBorders>
          </w:tcPr>
          <w:p w14:paraId="77EDA6A7">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是否提供并响应</w:t>
            </w:r>
          </w:p>
        </w:tc>
        <w:tc>
          <w:tcPr>
            <w:tcW w:w="2340" w:type="dxa"/>
            <w:tcBorders>
              <w:top w:val="single" w:color="auto" w:sz="4" w:space="0"/>
              <w:left w:val="single" w:color="auto" w:sz="4" w:space="0"/>
              <w:bottom w:val="single" w:color="auto" w:sz="4" w:space="0"/>
              <w:right w:val="single" w:color="auto" w:sz="4" w:space="0"/>
            </w:tcBorders>
          </w:tcPr>
          <w:p w14:paraId="1823D3CF">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投标人的承诺或说明</w:t>
            </w:r>
          </w:p>
        </w:tc>
      </w:tr>
      <w:tr w14:paraId="16002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vAlign w:val="center"/>
          </w:tcPr>
          <w:p w14:paraId="3A012BB5">
            <w:pPr>
              <w:snapToGrid w:val="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1</w:t>
            </w:r>
          </w:p>
        </w:tc>
        <w:tc>
          <w:tcPr>
            <w:tcW w:w="2955" w:type="dxa"/>
            <w:tcBorders>
              <w:top w:val="single" w:color="auto" w:sz="4" w:space="0"/>
              <w:left w:val="single" w:color="auto" w:sz="4" w:space="0"/>
              <w:bottom w:val="single" w:color="auto" w:sz="4" w:space="0"/>
              <w:right w:val="single" w:color="auto" w:sz="4" w:space="0"/>
            </w:tcBorders>
            <w:vAlign w:val="center"/>
          </w:tcPr>
          <w:p w14:paraId="0999DB5B">
            <w:pPr>
              <w:snapToGrid w:val="0"/>
              <w:jc w:val="center"/>
              <w:rPr>
                <w:rFonts w:ascii="宋体" w:hAnsi="宋体"/>
                <w:color w:val="auto"/>
                <w:szCs w:val="21"/>
                <w:highlight w:val="none"/>
                <w:shd w:val="clear" w:color="auto" w:fill="auto"/>
              </w:rPr>
            </w:pPr>
            <w:r>
              <w:rPr>
                <w:rFonts w:hint="eastAsia" w:hAnsi="宋体" w:cs="宋体"/>
                <w:color w:val="auto"/>
                <w:szCs w:val="21"/>
                <w:highlight w:val="none"/>
                <w:shd w:val="clear" w:color="auto" w:fill="auto"/>
              </w:rPr>
              <w:t>交付使用时间</w:t>
            </w:r>
            <w:r>
              <w:rPr>
                <w:rFonts w:hint="eastAsia" w:ascii="宋体" w:hAnsi="宋体" w:cs="宋体"/>
                <w:color w:val="auto"/>
                <w:kern w:val="0"/>
                <w:szCs w:val="21"/>
                <w:highlight w:val="none"/>
                <w:shd w:val="clear" w:color="auto" w:fill="auto"/>
              </w:rPr>
              <w:t>：</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vAlign w:val="center"/>
          </w:tcPr>
          <w:p w14:paraId="7984BDDC">
            <w:pPr>
              <w:snapToGrid w:val="0"/>
              <w:ind w:firstLine="315" w:firstLineChars="150"/>
              <w:rPr>
                <w:rFonts w:hint="eastAsia"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vAlign w:val="center"/>
          </w:tcPr>
          <w:p w14:paraId="7C24D394">
            <w:pPr>
              <w:snapToGrid w:val="0"/>
              <w:rPr>
                <w:rFonts w:ascii="宋体" w:hAnsi="宋体"/>
                <w:color w:val="auto"/>
                <w:szCs w:val="21"/>
                <w:highlight w:val="none"/>
                <w:shd w:val="clear" w:color="auto" w:fill="auto"/>
              </w:rPr>
            </w:pPr>
          </w:p>
        </w:tc>
      </w:tr>
      <w:tr w14:paraId="2DC465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vAlign w:val="center"/>
          </w:tcPr>
          <w:p w14:paraId="3447319C">
            <w:pPr>
              <w:snapToGrid w:val="0"/>
              <w:jc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2955" w:type="dxa"/>
            <w:tcBorders>
              <w:top w:val="single" w:color="auto" w:sz="4" w:space="0"/>
              <w:left w:val="single" w:color="auto" w:sz="4" w:space="0"/>
              <w:bottom w:val="single" w:color="auto" w:sz="4" w:space="0"/>
              <w:right w:val="single" w:color="auto" w:sz="4" w:space="0"/>
            </w:tcBorders>
            <w:vAlign w:val="center"/>
          </w:tcPr>
          <w:p w14:paraId="6BED1ED3">
            <w:pPr>
              <w:snapToGrid w:val="0"/>
              <w:jc w:val="center"/>
              <w:rPr>
                <w:rFonts w:ascii="宋体" w:hAnsi="宋体"/>
                <w:color w:val="auto"/>
                <w:szCs w:val="21"/>
                <w:highlight w:val="none"/>
                <w:shd w:val="clear" w:color="auto" w:fill="auto"/>
              </w:rPr>
            </w:pPr>
            <w:r>
              <w:rPr>
                <w:rFonts w:hint="eastAsia" w:ascii="宋体" w:hAnsi="宋体" w:cs="宋体"/>
                <w:color w:val="auto"/>
                <w:kern w:val="0"/>
                <w:szCs w:val="21"/>
                <w:highlight w:val="none"/>
                <w:shd w:val="clear" w:color="auto" w:fill="auto"/>
              </w:rPr>
              <w:t>交货地点：</w:t>
            </w:r>
            <w:r>
              <w:rPr>
                <w:rFonts w:ascii="宋体" w:hAnsi="宋体"/>
                <w:color w:val="auto"/>
                <w:szCs w:val="21"/>
                <w:highlight w:val="none"/>
                <w:shd w:val="clear" w:color="auto" w:fill="auto"/>
              </w:rPr>
              <w:t xml:space="preserve"> </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vAlign w:val="center"/>
          </w:tcPr>
          <w:p w14:paraId="0A3A9E4D">
            <w:pPr>
              <w:snapToGrid w:val="0"/>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vAlign w:val="center"/>
          </w:tcPr>
          <w:p w14:paraId="205FAA05">
            <w:pPr>
              <w:snapToGrid w:val="0"/>
              <w:rPr>
                <w:rFonts w:ascii="宋体" w:hAnsi="宋体"/>
                <w:color w:val="auto"/>
                <w:szCs w:val="21"/>
                <w:highlight w:val="none"/>
                <w:shd w:val="clear" w:color="auto" w:fill="auto"/>
              </w:rPr>
            </w:pPr>
          </w:p>
        </w:tc>
      </w:tr>
      <w:tr w14:paraId="12A44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vAlign w:val="center"/>
          </w:tcPr>
          <w:p w14:paraId="178E3AB1">
            <w:pPr>
              <w:snapToGrid w:val="0"/>
              <w:jc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w:t>
            </w:r>
          </w:p>
        </w:tc>
        <w:tc>
          <w:tcPr>
            <w:tcW w:w="2955" w:type="dxa"/>
            <w:tcBorders>
              <w:top w:val="single" w:color="auto" w:sz="4" w:space="0"/>
              <w:left w:val="single" w:color="auto" w:sz="4" w:space="0"/>
              <w:bottom w:val="single" w:color="auto" w:sz="4" w:space="0"/>
              <w:right w:val="single" w:color="auto" w:sz="4" w:space="0"/>
            </w:tcBorders>
            <w:vAlign w:val="center"/>
          </w:tcPr>
          <w:p w14:paraId="7DF89580">
            <w:pPr>
              <w:snapToGrid w:val="0"/>
              <w:jc w:val="center"/>
              <w:rPr>
                <w:rFonts w:ascii="宋体" w:hAnsi="宋体"/>
                <w:color w:val="auto"/>
                <w:szCs w:val="21"/>
                <w:highlight w:val="none"/>
                <w:shd w:val="clear" w:color="auto" w:fill="auto"/>
              </w:rPr>
            </w:pPr>
            <w:r>
              <w:rPr>
                <w:rFonts w:hint="eastAsia" w:ascii="宋体" w:hAnsi="宋体" w:cs="宋体"/>
                <w:color w:val="auto"/>
                <w:kern w:val="0"/>
                <w:szCs w:val="21"/>
                <w:highlight w:val="none"/>
                <w:shd w:val="clear" w:color="auto" w:fill="auto"/>
              </w:rPr>
              <w:t>付款方式：</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vAlign w:val="center"/>
          </w:tcPr>
          <w:p w14:paraId="1F54F46C">
            <w:pPr>
              <w:snapToGrid w:val="0"/>
              <w:ind w:left="43"/>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vAlign w:val="center"/>
          </w:tcPr>
          <w:p w14:paraId="129E3D19">
            <w:pPr>
              <w:snapToGrid w:val="0"/>
              <w:ind w:left="43"/>
              <w:rPr>
                <w:rFonts w:ascii="宋体" w:hAnsi="宋体"/>
                <w:color w:val="auto"/>
                <w:szCs w:val="21"/>
                <w:highlight w:val="none"/>
                <w:shd w:val="clear" w:color="auto" w:fill="auto"/>
              </w:rPr>
            </w:pPr>
          </w:p>
        </w:tc>
      </w:tr>
      <w:tr w14:paraId="38F85A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vAlign w:val="center"/>
          </w:tcPr>
          <w:p w14:paraId="03A5DABA">
            <w:pPr>
              <w:snapToGrid w:val="0"/>
              <w:jc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w:t>
            </w:r>
          </w:p>
        </w:tc>
        <w:tc>
          <w:tcPr>
            <w:tcW w:w="2955" w:type="dxa"/>
            <w:tcBorders>
              <w:top w:val="single" w:color="auto" w:sz="4" w:space="0"/>
              <w:left w:val="single" w:color="auto" w:sz="4" w:space="0"/>
              <w:bottom w:val="single" w:color="auto" w:sz="4" w:space="0"/>
              <w:right w:val="single" w:color="auto" w:sz="4" w:space="0"/>
            </w:tcBorders>
            <w:vAlign w:val="center"/>
          </w:tcPr>
          <w:p w14:paraId="67102C2F">
            <w:pPr>
              <w:snapToGrid w:val="0"/>
              <w:ind w:left="105" w:hanging="105" w:hangingChars="50"/>
              <w:jc w:val="center"/>
              <w:rPr>
                <w:rFonts w:ascii="宋体" w:hAnsi="宋体"/>
                <w:color w:val="auto"/>
                <w:szCs w:val="21"/>
                <w:highlight w:val="none"/>
                <w:shd w:val="clear" w:color="auto" w:fill="auto"/>
              </w:rPr>
            </w:pPr>
            <w:r>
              <w:rPr>
                <w:rFonts w:hint="eastAsia" w:ascii="宋体" w:hAnsi="宋体" w:cs="宋体"/>
                <w:color w:val="auto"/>
                <w:kern w:val="0"/>
                <w:szCs w:val="21"/>
                <w:highlight w:val="none"/>
                <w:shd w:val="clear" w:color="auto" w:fill="auto"/>
              </w:rPr>
              <w:t>质保期：</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vAlign w:val="center"/>
          </w:tcPr>
          <w:p w14:paraId="78F767A0">
            <w:pPr>
              <w:snapToGrid w:val="0"/>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vAlign w:val="center"/>
          </w:tcPr>
          <w:p w14:paraId="0D41A20C">
            <w:pPr>
              <w:snapToGrid w:val="0"/>
              <w:rPr>
                <w:rFonts w:ascii="宋体" w:hAnsi="宋体"/>
                <w:color w:val="auto"/>
                <w:szCs w:val="21"/>
                <w:highlight w:val="none"/>
                <w:shd w:val="clear" w:color="auto" w:fill="auto"/>
              </w:rPr>
            </w:pPr>
          </w:p>
        </w:tc>
      </w:tr>
      <w:tr w14:paraId="07B926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548" w:type="dxa"/>
            <w:tcBorders>
              <w:top w:val="single" w:color="auto" w:sz="4" w:space="0"/>
              <w:left w:val="single" w:color="auto" w:sz="4" w:space="0"/>
              <w:bottom w:val="single" w:color="auto" w:sz="4" w:space="0"/>
              <w:right w:val="single" w:color="auto" w:sz="4" w:space="0"/>
            </w:tcBorders>
            <w:vAlign w:val="center"/>
          </w:tcPr>
          <w:p w14:paraId="6A233AAA">
            <w:pPr>
              <w:snapToGrid w:val="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w:t>
            </w:r>
          </w:p>
        </w:tc>
        <w:tc>
          <w:tcPr>
            <w:tcW w:w="2955" w:type="dxa"/>
            <w:tcBorders>
              <w:top w:val="single" w:color="auto" w:sz="4" w:space="0"/>
              <w:left w:val="single" w:color="auto" w:sz="4" w:space="0"/>
              <w:bottom w:val="single" w:color="auto" w:sz="4" w:space="0"/>
              <w:right w:val="single" w:color="auto" w:sz="4" w:space="0"/>
            </w:tcBorders>
            <w:vAlign w:val="center"/>
          </w:tcPr>
          <w:p w14:paraId="2C0E2D78">
            <w:pPr>
              <w:snapToGrid w:val="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vAlign w:val="center"/>
          </w:tcPr>
          <w:p w14:paraId="3461D4B6">
            <w:pPr>
              <w:snapToGrid w:val="0"/>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vAlign w:val="center"/>
          </w:tcPr>
          <w:p w14:paraId="1AAADC92">
            <w:pPr>
              <w:snapToGrid w:val="0"/>
              <w:rPr>
                <w:rFonts w:ascii="宋体" w:hAnsi="宋体"/>
                <w:color w:val="auto"/>
                <w:szCs w:val="21"/>
                <w:highlight w:val="none"/>
                <w:shd w:val="clear" w:color="auto" w:fill="auto"/>
              </w:rPr>
            </w:pPr>
          </w:p>
        </w:tc>
      </w:tr>
    </w:tbl>
    <w:p w14:paraId="41DEAFEB">
      <w:pPr>
        <w:snapToGrid w:val="0"/>
        <w:spacing w:before="50" w:after="50" w:line="360" w:lineRule="exact"/>
        <w:rPr>
          <w:rFonts w:hint="eastAsia" w:ascii="宋体" w:hAnsi="宋体"/>
          <w:color w:val="auto"/>
          <w:spacing w:val="20"/>
          <w:szCs w:val="21"/>
          <w:highlight w:val="none"/>
          <w:shd w:val="clear" w:color="auto" w:fill="auto"/>
        </w:rPr>
      </w:pPr>
    </w:p>
    <w:p w14:paraId="1A203032">
      <w:pPr>
        <w:snapToGrid w:val="0"/>
        <w:spacing w:before="50" w:after="50" w:line="360" w:lineRule="exact"/>
        <w:ind w:firstLine="210" w:firstLineChars="100"/>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14:paraId="72711AD9">
      <w:pPr>
        <w:snapToGrid w:val="0"/>
        <w:spacing w:line="360" w:lineRule="exact"/>
        <w:ind w:firstLine="245" w:firstLineChars="98"/>
        <w:jc w:val="left"/>
        <w:rPr>
          <w:rFonts w:hint="eastAsia" w:ascii="宋体" w:hAnsi="宋体"/>
          <w:color w:val="auto"/>
          <w:spacing w:val="20"/>
          <w:szCs w:val="21"/>
          <w:highlight w:val="none"/>
          <w:shd w:val="clear" w:color="auto" w:fill="auto"/>
        </w:rPr>
      </w:pPr>
    </w:p>
    <w:p w14:paraId="54D23D43">
      <w:pPr>
        <w:snapToGrid w:val="0"/>
        <w:spacing w:line="360" w:lineRule="exact"/>
        <w:ind w:firstLine="245" w:firstLineChars="98"/>
        <w:jc w:val="left"/>
        <w:rPr>
          <w:rFonts w:hint="eastAsia" w:ascii="宋体" w:hAnsi="宋体"/>
          <w:b/>
          <w:color w:val="auto"/>
          <w:szCs w:val="21"/>
          <w:highlight w:val="non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14:paraId="63EDD396">
      <w:pPr>
        <w:snapToGrid w:val="0"/>
        <w:spacing w:line="360" w:lineRule="exact"/>
        <w:ind w:firstLine="207" w:firstLineChars="98"/>
        <w:jc w:val="left"/>
        <w:rPr>
          <w:rFonts w:hint="eastAsia" w:ascii="宋体" w:hAnsi="宋体"/>
          <w:b/>
          <w:color w:val="auto"/>
          <w:szCs w:val="21"/>
          <w:highlight w:val="none"/>
          <w:shd w:val="clear" w:color="auto" w:fill="auto"/>
        </w:rPr>
      </w:pPr>
    </w:p>
    <w:p w14:paraId="37BB5787">
      <w:pPr>
        <w:snapToGrid w:val="0"/>
        <w:spacing w:line="360" w:lineRule="exact"/>
        <w:ind w:left="840" w:hanging="840" w:hangingChars="400"/>
        <w:jc w:val="left"/>
        <w:rPr>
          <w:rFonts w:ascii="宋体" w:hAnsi="宋体"/>
          <w:b/>
          <w:color w:val="auto"/>
          <w:szCs w:val="21"/>
          <w:highlight w:val="none"/>
          <w:shd w:val="clear" w:color="auto" w:fill="auto"/>
        </w:rPr>
      </w:pPr>
      <w:r>
        <w:rPr>
          <w:rFonts w:hAnsi="宋体"/>
          <w:color w:val="auto"/>
          <w:highlight w:val="none"/>
          <w:shd w:val="clear" w:color="auto" w:fill="auto"/>
        </w:rPr>
        <w:br w:type="page"/>
      </w:r>
      <w:r>
        <w:rPr>
          <w:rFonts w:hint="eastAsia" w:hAnsi="宋体"/>
          <w:color w:val="auto"/>
          <w:highlight w:val="none"/>
          <w:shd w:val="clear" w:color="auto" w:fill="auto"/>
        </w:rPr>
        <w:t>▲</w:t>
      </w:r>
      <w:r>
        <w:rPr>
          <w:rFonts w:hint="eastAsia" w:ascii="宋体" w:hAnsi="宋体"/>
          <w:b/>
          <w:color w:val="auto"/>
          <w:szCs w:val="21"/>
          <w:highlight w:val="none"/>
          <w:shd w:val="clear" w:color="auto" w:fill="auto"/>
        </w:rPr>
        <w:t>（</w:t>
      </w:r>
      <w:r>
        <w:rPr>
          <w:rFonts w:hint="eastAsia" w:ascii="宋体" w:hAnsi="宋体"/>
          <w:b/>
          <w:color w:val="auto"/>
          <w:szCs w:val="21"/>
          <w:highlight w:val="none"/>
          <w:shd w:val="clear" w:color="auto" w:fill="auto"/>
          <w:lang w:val="en-US" w:eastAsia="zh-CN"/>
        </w:rPr>
        <w:t>9</w:t>
      </w:r>
      <w:r>
        <w:rPr>
          <w:rFonts w:hint="eastAsia" w:ascii="宋体" w:hAnsi="宋体"/>
          <w:b/>
          <w:color w:val="auto"/>
          <w:szCs w:val="21"/>
          <w:highlight w:val="none"/>
          <w:shd w:val="clear" w:color="auto" w:fill="auto"/>
        </w:rPr>
        <w:t>）招标项目采购需求中要求必须提供的材料等；</w:t>
      </w:r>
      <w:r>
        <w:rPr>
          <w:rFonts w:hint="eastAsia" w:ascii="宋体" w:hAnsi="宋体"/>
          <w:color w:val="auto"/>
          <w:szCs w:val="21"/>
          <w:highlight w:val="none"/>
          <w:shd w:val="clear" w:color="auto" w:fill="auto"/>
        </w:rPr>
        <w:t>（招标项目采购需求中要求必须提供的材料，据实提供）</w:t>
      </w:r>
    </w:p>
    <w:p w14:paraId="16B1E123">
      <w:pPr>
        <w:snapToGrid w:val="0"/>
        <w:spacing w:before="312" w:beforeLines="100" w:after="312" w:afterLines="100" w:line="360" w:lineRule="exact"/>
        <w:ind w:firstLine="205" w:firstLineChars="98"/>
        <w:jc w:val="left"/>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w:t>
      </w:r>
      <w:r>
        <w:rPr>
          <w:rFonts w:hint="eastAsia" w:ascii="宋体" w:hAnsi="宋体"/>
          <w:color w:val="auto"/>
          <w:szCs w:val="21"/>
          <w:highlight w:val="none"/>
          <w:shd w:val="clear" w:color="auto" w:fill="auto"/>
          <w:lang w:val="en-US" w:eastAsia="zh-CN"/>
        </w:rPr>
        <w:t>10</w:t>
      </w:r>
      <w:r>
        <w:rPr>
          <w:rFonts w:hint="eastAsia" w:ascii="宋体" w:hAnsi="宋体"/>
          <w:color w:val="auto"/>
          <w:szCs w:val="21"/>
          <w:highlight w:val="none"/>
          <w:shd w:val="clear" w:color="auto" w:fill="auto"/>
        </w:rPr>
        <w:t>）具备法律、行政法规规定的其他条件的证明材料</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（格式自拟）</w:t>
      </w:r>
    </w:p>
    <w:p w14:paraId="7EDD154B">
      <w:pPr>
        <w:snapToGrid w:val="0"/>
        <w:spacing w:before="312" w:beforeLines="100" w:after="312" w:afterLines="100" w:line="360" w:lineRule="exact"/>
        <w:ind w:firstLine="205" w:firstLineChars="98"/>
        <w:jc w:val="left"/>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（1</w:t>
      </w:r>
      <w:r>
        <w:rPr>
          <w:rFonts w:hint="eastAsia" w:ascii="宋体" w:hAnsi="宋体"/>
          <w:color w:val="auto"/>
          <w:szCs w:val="21"/>
          <w:highlight w:val="none"/>
          <w:shd w:val="clear" w:color="auto" w:fill="auto"/>
          <w:lang w:val="en-US" w:eastAsia="zh-CN"/>
        </w:rPr>
        <w:t>1</w:t>
      </w:r>
      <w:r>
        <w:rPr>
          <w:rFonts w:hint="eastAsia" w:ascii="宋体" w:hAnsi="宋体"/>
          <w:color w:val="auto"/>
          <w:szCs w:val="21"/>
          <w:highlight w:val="none"/>
          <w:shd w:val="clear" w:color="auto" w:fill="auto"/>
        </w:rPr>
        <w:t>）</w:t>
      </w:r>
      <w:r>
        <w:rPr>
          <w:rFonts w:hint="eastAsia" w:hAnsi="宋体"/>
          <w:color w:val="auto"/>
          <w:szCs w:val="21"/>
          <w:highlight w:val="none"/>
          <w:shd w:val="clear" w:color="auto" w:fill="auto"/>
        </w:rPr>
        <w:t>类似案例成功的业绩（投标人同类项目实施情况一览表、合同扫描件）；</w:t>
      </w:r>
    </w:p>
    <w:p w14:paraId="26D491C8">
      <w:pPr>
        <w:snapToGrid w:val="0"/>
        <w:spacing w:before="312" w:beforeLines="100" w:after="312" w:afterLines="100" w:line="360" w:lineRule="exact"/>
        <w:ind w:firstLine="420" w:firstLineChars="200"/>
        <w:jc w:val="left"/>
        <w:rPr>
          <w:rFonts w:hint="eastAsia" w:hAnsi="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rPr>
        <w:t>）</w:t>
      </w:r>
      <w:r>
        <w:rPr>
          <w:rFonts w:hint="eastAsia" w:hAnsi="宋体"/>
          <w:color w:val="auto"/>
          <w:szCs w:val="21"/>
          <w:highlight w:val="none"/>
          <w:shd w:val="clear" w:color="auto" w:fill="auto"/>
        </w:rPr>
        <w:t>其他特殊资质证书（如本地化服务能力等）；</w:t>
      </w:r>
    </w:p>
    <w:p w14:paraId="6E85950A">
      <w:pPr>
        <w:snapToGrid w:val="0"/>
        <w:spacing w:before="312" w:beforeLines="100" w:after="312" w:afterLines="100" w:line="360" w:lineRule="exact"/>
        <w:ind w:firstLine="411" w:firstLineChars="196"/>
        <w:jc w:val="left"/>
        <w:rPr>
          <w:rFonts w:hint="eastAsia" w:hAnsi="宋体"/>
          <w:b/>
          <w:color w:val="auto"/>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13</w:t>
      </w:r>
      <w:r>
        <w:rPr>
          <w:rFonts w:hint="eastAsia" w:ascii="宋体" w:hAnsi="宋体" w:cs="宋体"/>
          <w:color w:val="auto"/>
          <w:szCs w:val="21"/>
          <w:highlight w:val="none"/>
          <w:shd w:val="clear" w:color="auto" w:fill="auto"/>
        </w:rPr>
        <w:t>）</w:t>
      </w:r>
      <w:r>
        <w:rPr>
          <w:rFonts w:hint="eastAsia" w:hAnsi="宋体"/>
          <w:color w:val="auto"/>
          <w:szCs w:val="21"/>
          <w:highlight w:val="none"/>
          <w:shd w:val="clear" w:color="auto" w:fill="auto"/>
        </w:rPr>
        <w:t>节能环保产品或政府强制采购节能产品清单证书</w:t>
      </w:r>
      <w:r>
        <w:rPr>
          <w:rFonts w:hint="eastAsia" w:hAnsi="宋体"/>
          <w:b/>
          <w:color w:val="auto"/>
          <w:szCs w:val="21"/>
          <w:highlight w:val="none"/>
          <w:shd w:val="clear" w:color="auto" w:fill="auto"/>
        </w:rPr>
        <w:t>；</w:t>
      </w:r>
    </w:p>
    <w:p w14:paraId="23A691C5">
      <w:pPr>
        <w:snapToGrid w:val="0"/>
        <w:spacing w:before="312" w:beforeLines="100" w:after="312" w:afterLines="100" w:line="360" w:lineRule="exact"/>
        <w:ind w:firstLine="411" w:firstLineChars="196"/>
        <w:jc w:val="left"/>
        <w:rPr>
          <w:rFonts w:hint="eastAsia" w:hAnsi="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14</w:t>
      </w:r>
      <w:r>
        <w:rPr>
          <w:rFonts w:hint="eastAsia" w:ascii="宋体" w:hAnsi="宋体" w:cs="宋体"/>
          <w:color w:val="auto"/>
          <w:szCs w:val="21"/>
          <w:highlight w:val="none"/>
          <w:shd w:val="clear" w:color="auto" w:fill="auto"/>
        </w:rPr>
        <w:t>）</w:t>
      </w:r>
      <w:r>
        <w:rPr>
          <w:rFonts w:hint="eastAsia" w:hAnsi="宋体"/>
          <w:color w:val="auto"/>
          <w:szCs w:val="21"/>
          <w:highlight w:val="none"/>
          <w:shd w:val="clear" w:color="auto" w:fill="auto"/>
        </w:rPr>
        <w:t>投标人质量管理和质量保证体系等方面的认证证书；</w:t>
      </w:r>
    </w:p>
    <w:p w14:paraId="230B37C3">
      <w:pPr>
        <w:snapToGrid w:val="0"/>
        <w:spacing w:before="312" w:beforeLines="100" w:after="312" w:afterLines="100"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5</w:t>
      </w:r>
      <w:r>
        <w:rPr>
          <w:rFonts w:hint="eastAsia" w:hAnsi="宋体"/>
          <w:color w:val="auto"/>
          <w:szCs w:val="21"/>
          <w:highlight w:val="none"/>
          <w:shd w:val="clear" w:color="auto" w:fill="auto"/>
        </w:rPr>
        <w:t>）投标人认为可以证明其能力或业绩的其他材料；</w:t>
      </w:r>
    </w:p>
    <w:p w14:paraId="486F8E38">
      <w:pPr>
        <w:snapToGrid w:val="0"/>
        <w:spacing w:before="312" w:beforeLines="100" w:after="312" w:afterLines="100"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6</w:t>
      </w:r>
      <w:r>
        <w:rPr>
          <w:rFonts w:hint="eastAsia" w:hAnsi="宋体"/>
          <w:color w:val="auto"/>
          <w:szCs w:val="21"/>
          <w:highlight w:val="none"/>
          <w:shd w:val="clear" w:color="auto" w:fill="auto"/>
        </w:rPr>
        <w:t>）投标人关于产品生产时间、升级或者更新淘汰计划、配件供应以及本单位债务纠纷、违法违规记录等方面的情况（内容见投标声明书）；</w:t>
      </w:r>
    </w:p>
    <w:p w14:paraId="6F27846C">
      <w:pPr>
        <w:rPr>
          <w:rFonts w:hint="eastAsia" w:hAnsi="宋体"/>
          <w:color w:val="auto"/>
          <w:szCs w:val="21"/>
          <w:highlight w:val="none"/>
          <w:shd w:val="clear" w:color="auto" w:fill="auto"/>
        </w:rPr>
      </w:pPr>
      <w:r>
        <w:rPr>
          <w:rFonts w:hint="eastAsia" w:hAnsi="宋体"/>
          <w:color w:val="auto"/>
          <w:szCs w:val="21"/>
          <w:highlight w:val="none"/>
          <w:shd w:val="clear" w:color="auto" w:fill="auto"/>
        </w:rPr>
        <w:br w:type="page"/>
      </w:r>
    </w:p>
    <w:p w14:paraId="60225EAB">
      <w:pPr>
        <w:snapToGrid w:val="0"/>
        <w:spacing w:before="312" w:beforeLines="100" w:after="312" w:afterLines="100" w:line="360" w:lineRule="exact"/>
        <w:ind w:firstLine="411" w:firstLineChars="196"/>
        <w:jc w:val="left"/>
        <w:rPr>
          <w:rFonts w:hint="eastAsia" w:ascii="宋体" w:hAnsi="宋体"/>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17</w:t>
      </w:r>
      <w:r>
        <w:rPr>
          <w:rFonts w:hint="eastAsia" w:hAnsi="宋体"/>
          <w:color w:val="auto"/>
          <w:szCs w:val="21"/>
          <w:highlight w:val="none"/>
          <w:shd w:val="clear" w:color="auto" w:fill="auto"/>
        </w:rPr>
        <w:t>）</w:t>
      </w:r>
      <w:r>
        <w:rPr>
          <w:rFonts w:ascii="宋体" w:hAnsi="宋体"/>
          <w:color w:val="auto"/>
          <w:highlight w:val="none"/>
          <w:shd w:val="clear" w:color="auto" w:fill="auto"/>
        </w:rPr>
        <w:t>中小企业声明函</w:t>
      </w:r>
      <w:r>
        <w:rPr>
          <w:rFonts w:hint="eastAsia" w:ascii="宋体" w:hAnsi="宋体"/>
          <w:color w:val="auto"/>
          <w:highlight w:val="none"/>
          <w:shd w:val="clear" w:color="auto" w:fill="auto"/>
        </w:rPr>
        <w:t>格式：</w:t>
      </w:r>
    </w:p>
    <w:p w14:paraId="473C90FE">
      <w:pPr>
        <w:pStyle w:val="402"/>
        <w:spacing w:after="0"/>
        <w:rPr>
          <w:color w:val="auto"/>
          <w:highlight w:val="none"/>
          <w:shd w:val="clear" w:color="auto" w:fill="auto"/>
        </w:rPr>
      </w:pPr>
      <w:r>
        <w:rPr>
          <w:color w:val="auto"/>
          <w:highlight w:val="none"/>
          <w:shd w:val="clear" w:color="auto" w:fill="auto"/>
        </w:rPr>
        <w:t>中小企业声明函</w:t>
      </w:r>
    </w:p>
    <w:p w14:paraId="6E44A10C">
      <w:pPr>
        <w:pStyle w:val="402"/>
        <w:spacing w:after="0"/>
        <w:rPr>
          <w:color w:val="auto"/>
          <w:highlight w:val="none"/>
          <w:shd w:val="clear" w:color="auto" w:fill="auto"/>
        </w:rPr>
      </w:pPr>
    </w:p>
    <w:p w14:paraId="62FA1388">
      <w:pPr>
        <w:pStyle w:val="404"/>
        <w:spacing w:line="506" w:lineRule="exact"/>
        <w:ind w:firstLine="640"/>
        <w:jc w:val="both"/>
        <w:rPr>
          <w:color w:val="auto"/>
          <w:sz w:val="21"/>
          <w:szCs w:val="21"/>
          <w:highlight w:val="none"/>
          <w:shd w:val="clear" w:color="auto" w:fill="auto"/>
        </w:rPr>
      </w:pPr>
      <w:r>
        <w:rPr>
          <w:color w:val="auto"/>
          <w:sz w:val="21"/>
          <w:szCs w:val="21"/>
          <w:highlight w:val="none"/>
          <w:shd w:val="clear" w:color="auto" w:fill="auto"/>
        </w:rPr>
        <w:t>本公司（联合体）郑重声明，根据《政府采购促进中小企业发展管理办法》（财库〔2020〕46号）的规定，本公司 （联合体）参加</w:t>
      </w:r>
      <w:r>
        <w:rPr>
          <w:color w:val="auto"/>
          <w:sz w:val="21"/>
          <w:szCs w:val="21"/>
          <w:highlight w:val="none"/>
          <w:u w:val="single"/>
          <w:shd w:val="clear" w:color="auto" w:fill="auto"/>
        </w:rPr>
        <w:t>（单位名称）</w:t>
      </w:r>
      <w:r>
        <w:rPr>
          <w:color w:val="auto"/>
          <w:sz w:val="21"/>
          <w:szCs w:val="21"/>
          <w:highlight w:val="none"/>
          <w:shd w:val="clear" w:color="auto" w:fill="auto"/>
        </w:rPr>
        <w:t>的</w:t>
      </w:r>
      <w:r>
        <w:rPr>
          <w:color w:val="auto"/>
          <w:sz w:val="21"/>
          <w:szCs w:val="21"/>
          <w:highlight w:val="none"/>
          <w:u w:val="single"/>
          <w:shd w:val="clear" w:color="auto" w:fill="auto"/>
        </w:rPr>
        <w:t>（项目名称）</w:t>
      </w:r>
      <w:r>
        <w:rPr>
          <w:color w:val="auto"/>
          <w:sz w:val="21"/>
          <w:szCs w:val="21"/>
          <w:highlight w:val="none"/>
          <w:shd w:val="clear" w:color="auto" w:fill="auto"/>
        </w:rPr>
        <w:t>釆购活动,提供的货物全部由符合政策要求的中小企业制造。相关企业（含联合体中的中小企业、签订分包意向协议的中小企业）的具体情况如下</w:t>
      </w:r>
      <w:bookmarkStart w:id="16" w:name="bookmark1"/>
      <w:bookmarkEnd w:id="16"/>
      <w:r>
        <w:rPr>
          <w:rFonts w:hint="eastAsia"/>
          <w:color w:val="auto"/>
          <w:sz w:val="21"/>
          <w:szCs w:val="21"/>
          <w:highlight w:val="none"/>
          <w:shd w:val="clear" w:color="auto" w:fill="auto"/>
        </w:rPr>
        <w:t>：</w:t>
      </w:r>
    </w:p>
    <w:p w14:paraId="37A42009">
      <w:pPr>
        <w:pStyle w:val="404"/>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1.</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标的名称</w:t>
      </w:r>
      <w:r>
        <w:rPr>
          <w:rFonts w:hint="eastAsia"/>
          <w:color w:val="auto"/>
          <w:sz w:val="21"/>
          <w:szCs w:val="21"/>
          <w:highlight w:val="none"/>
          <w:u w:val="single"/>
          <w:shd w:val="clear" w:color="auto" w:fill="auto"/>
        </w:rPr>
        <w:t>）</w:t>
      </w:r>
      <w:r>
        <w:rPr>
          <w:rFonts w:hint="eastAsia"/>
          <w:color w:val="auto"/>
          <w:sz w:val="21"/>
          <w:szCs w:val="21"/>
          <w:highlight w:val="none"/>
          <w:shd w:val="clear" w:color="auto" w:fill="auto"/>
        </w:rPr>
        <w:t>，</w:t>
      </w:r>
      <w:r>
        <w:rPr>
          <w:color w:val="auto"/>
          <w:sz w:val="21"/>
          <w:szCs w:val="21"/>
          <w:highlight w:val="none"/>
          <w:shd w:val="clear" w:color="auto" w:fill="auto"/>
        </w:rPr>
        <w:t>属于</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（釆购文件中明确的所属行业）行业</w:t>
      </w:r>
      <w:r>
        <w:rPr>
          <w:rFonts w:hint="eastAsia"/>
          <w:color w:val="auto"/>
          <w:sz w:val="21"/>
          <w:szCs w:val="21"/>
          <w:highlight w:val="none"/>
          <w:shd w:val="clear" w:color="auto" w:fill="auto"/>
        </w:rPr>
        <w:t>；</w:t>
      </w:r>
      <w:r>
        <w:rPr>
          <w:color w:val="auto"/>
          <w:sz w:val="21"/>
          <w:szCs w:val="21"/>
          <w:highlight w:val="none"/>
          <w:shd w:val="clear" w:color="auto" w:fill="auto"/>
        </w:rPr>
        <w:t>制造商为</w:t>
      </w:r>
      <w:r>
        <w:rPr>
          <w:color w:val="auto"/>
          <w:sz w:val="21"/>
          <w:szCs w:val="21"/>
          <w:highlight w:val="none"/>
          <w:u w:val="single"/>
          <w:shd w:val="clear" w:color="auto" w:fill="auto"/>
        </w:rPr>
        <w:t>（企业名称）</w:t>
      </w:r>
      <w:r>
        <w:rPr>
          <w:rFonts w:hint="eastAsia"/>
          <w:color w:val="auto"/>
          <w:sz w:val="21"/>
          <w:szCs w:val="21"/>
          <w:highlight w:val="none"/>
          <w:shd w:val="clear" w:color="auto" w:fill="auto"/>
        </w:rPr>
        <w:t>，</w:t>
      </w:r>
      <w:r>
        <w:rPr>
          <w:color w:val="auto"/>
          <w:sz w:val="21"/>
          <w:szCs w:val="21"/>
          <w:highlight w:val="none"/>
          <w:shd w:val="clear" w:color="auto" w:fill="auto"/>
        </w:rPr>
        <w:t>从业人员</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ab/>
      </w:r>
      <w:r>
        <w:rPr>
          <w:color w:val="auto"/>
          <w:sz w:val="21"/>
          <w:szCs w:val="21"/>
          <w:highlight w:val="none"/>
          <w:shd w:val="clear" w:color="auto" w:fill="auto"/>
        </w:rPr>
        <w:t>人，营业收入为</w:t>
      </w:r>
      <w:r>
        <w:rPr>
          <w:rFonts w:hint="eastAsia"/>
          <w:color w:val="auto"/>
          <w:sz w:val="21"/>
          <w:szCs w:val="21"/>
          <w:highlight w:val="none"/>
          <w:u w:val="single"/>
          <w:shd w:val="clear" w:color="auto" w:fill="auto"/>
        </w:rPr>
        <w:t xml:space="preserve">    </w:t>
      </w:r>
      <w:r>
        <w:rPr>
          <w:color w:val="auto"/>
          <w:sz w:val="21"/>
          <w:szCs w:val="21"/>
          <w:highlight w:val="none"/>
          <w:shd w:val="clear" w:color="auto" w:fill="auto"/>
        </w:rPr>
        <w:t>万元，资产总额为</w:t>
      </w:r>
      <w:r>
        <w:rPr>
          <w:rFonts w:hint="eastAsia"/>
          <w:color w:val="auto"/>
          <w:sz w:val="21"/>
          <w:szCs w:val="21"/>
          <w:highlight w:val="none"/>
          <w:u w:val="single"/>
          <w:shd w:val="clear" w:color="auto" w:fill="auto"/>
        </w:rPr>
        <w:t xml:space="preserve">     </w:t>
      </w:r>
      <w:r>
        <w:rPr>
          <w:color w:val="auto"/>
          <w:sz w:val="21"/>
          <w:szCs w:val="21"/>
          <w:highlight w:val="none"/>
          <w:shd w:val="clear" w:color="auto" w:fill="auto"/>
        </w:rPr>
        <w:t>万元</w:t>
      </w:r>
      <w:r>
        <w:rPr>
          <w:rFonts w:hint="eastAsia"/>
          <w:color w:val="auto"/>
          <w:sz w:val="21"/>
          <w:szCs w:val="21"/>
          <w:highlight w:val="none"/>
          <w:shd w:val="clear" w:color="auto" w:fill="auto"/>
        </w:rPr>
        <w:t>，</w:t>
      </w:r>
      <w:r>
        <w:rPr>
          <w:color w:val="auto"/>
          <w:sz w:val="21"/>
          <w:szCs w:val="21"/>
          <w:highlight w:val="none"/>
          <w:shd w:val="clear" w:color="auto" w:fill="auto"/>
        </w:rPr>
        <w:t>属于</w:t>
      </w:r>
      <w:r>
        <w:rPr>
          <w:color w:val="auto"/>
          <w:sz w:val="21"/>
          <w:szCs w:val="21"/>
          <w:highlight w:val="none"/>
          <w:u w:val="single"/>
          <w:shd w:val="clear" w:color="auto" w:fill="auto"/>
        </w:rPr>
        <w:t>（中型企业、小型企业、微型企业）</w:t>
      </w:r>
      <w:r>
        <w:rPr>
          <w:rFonts w:hint="eastAsia"/>
          <w:color w:val="auto"/>
          <w:sz w:val="21"/>
          <w:szCs w:val="21"/>
          <w:highlight w:val="none"/>
          <w:shd w:val="clear" w:color="auto" w:fill="auto"/>
        </w:rPr>
        <w:t>；</w:t>
      </w:r>
      <w:r>
        <w:rPr>
          <w:color w:val="auto"/>
          <w:sz w:val="21"/>
          <w:szCs w:val="21"/>
          <w:highlight w:val="none"/>
          <w:shd w:val="clear" w:color="auto" w:fill="auto"/>
        </w:rPr>
        <w:t xml:space="preserve"> </w:t>
      </w:r>
    </w:p>
    <w:p w14:paraId="158D9629">
      <w:pPr>
        <w:pStyle w:val="404"/>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2.</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（标的名称）</w:t>
      </w:r>
      <w:r>
        <w:rPr>
          <w:rFonts w:hint="eastAsia"/>
          <w:color w:val="auto"/>
          <w:sz w:val="21"/>
          <w:szCs w:val="21"/>
          <w:highlight w:val="none"/>
          <w:shd w:val="clear" w:color="auto" w:fill="auto"/>
        </w:rPr>
        <w:t>，</w:t>
      </w:r>
      <w:r>
        <w:rPr>
          <w:color w:val="auto"/>
          <w:sz w:val="21"/>
          <w:szCs w:val="21"/>
          <w:highlight w:val="none"/>
          <w:shd w:val="clear" w:color="auto" w:fill="auto"/>
        </w:rPr>
        <w:t>属于</w:t>
      </w:r>
      <w:r>
        <w:rPr>
          <w:rFonts w:hint="eastAsia"/>
          <w:color w:val="auto"/>
          <w:sz w:val="21"/>
          <w:szCs w:val="21"/>
          <w:highlight w:val="none"/>
          <w:u w:val="single"/>
          <w:shd w:val="clear" w:color="auto" w:fill="auto"/>
        </w:rPr>
        <w:t xml:space="preserve">     </w:t>
      </w:r>
      <w:r>
        <w:rPr>
          <w:color w:val="auto"/>
          <w:sz w:val="21"/>
          <w:szCs w:val="21"/>
          <w:highlight w:val="none"/>
          <w:u w:val="single"/>
          <w:shd w:val="clear" w:color="auto" w:fill="auto"/>
        </w:rPr>
        <w:t>（釆购文件中明确的所属行业）行业</w:t>
      </w:r>
      <w:r>
        <w:rPr>
          <w:rFonts w:hint="eastAsia"/>
          <w:color w:val="auto"/>
          <w:sz w:val="21"/>
          <w:szCs w:val="21"/>
          <w:highlight w:val="none"/>
          <w:shd w:val="clear" w:color="auto" w:fill="auto"/>
        </w:rPr>
        <w:t>；</w:t>
      </w:r>
      <w:r>
        <w:rPr>
          <w:color w:val="auto"/>
          <w:sz w:val="21"/>
          <w:szCs w:val="21"/>
          <w:highlight w:val="none"/>
          <w:shd w:val="clear" w:color="auto" w:fill="auto"/>
        </w:rPr>
        <w:t>制造商为</w:t>
      </w:r>
      <w:r>
        <w:rPr>
          <w:color w:val="auto"/>
          <w:sz w:val="21"/>
          <w:szCs w:val="21"/>
          <w:highlight w:val="none"/>
          <w:u w:val="single"/>
          <w:shd w:val="clear" w:color="auto" w:fill="auto"/>
        </w:rPr>
        <w:t>（企业名称）</w:t>
      </w:r>
      <w:r>
        <w:rPr>
          <w:color w:val="auto"/>
          <w:sz w:val="21"/>
          <w:szCs w:val="21"/>
          <w:highlight w:val="none"/>
          <w:shd w:val="clear" w:color="auto" w:fill="auto"/>
        </w:rPr>
        <w:t>、从业人员</w:t>
      </w:r>
      <w:r>
        <w:rPr>
          <w:color w:val="auto"/>
          <w:sz w:val="21"/>
          <w:szCs w:val="21"/>
          <w:highlight w:val="none"/>
          <w:u w:val="single"/>
          <w:shd w:val="clear" w:color="auto" w:fill="auto"/>
        </w:rPr>
        <w:tab/>
      </w:r>
      <w:r>
        <w:rPr>
          <w:color w:val="auto"/>
          <w:sz w:val="21"/>
          <w:szCs w:val="21"/>
          <w:highlight w:val="none"/>
          <w:shd w:val="clear" w:color="auto" w:fill="auto"/>
        </w:rPr>
        <w:t>人，营业收入为</w:t>
      </w:r>
      <w:r>
        <w:rPr>
          <w:rFonts w:hint="eastAsia"/>
          <w:color w:val="auto"/>
          <w:sz w:val="21"/>
          <w:szCs w:val="21"/>
          <w:highlight w:val="none"/>
          <w:u w:val="single"/>
          <w:shd w:val="clear" w:color="auto" w:fill="auto"/>
        </w:rPr>
        <w:t xml:space="preserve">    </w:t>
      </w:r>
      <w:r>
        <w:rPr>
          <w:color w:val="auto"/>
          <w:sz w:val="21"/>
          <w:szCs w:val="21"/>
          <w:highlight w:val="none"/>
          <w:shd w:val="clear" w:color="auto" w:fill="auto"/>
        </w:rPr>
        <w:t>万元，资产总额为</w:t>
      </w:r>
      <w:r>
        <w:rPr>
          <w:rFonts w:hint="eastAsia"/>
          <w:color w:val="auto"/>
          <w:sz w:val="21"/>
          <w:szCs w:val="21"/>
          <w:highlight w:val="none"/>
          <w:u w:val="single"/>
          <w:shd w:val="clear" w:color="auto" w:fill="auto"/>
        </w:rPr>
        <w:t xml:space="preserve">    </w:t>
      </w:r>
      <w:r>
        <w:rPr>
          <w:color w:val="auto"/>
          <w:sz w:val="21"/>
          <w:szCs w:val="21"/>
          <w:highlight w:val="none"/>
          <w:shd w:val="clear" w:color="auto" w:fill="auto"/>
        </w:rPr>
        <w:t>万元，属于</w:t>
      </w:r>
      <w:r>
        <w:rPr>
          <w:color w:val="auto"/>
          <w:sz w:val="21"/>
          <w:szCs w:val="21"/>
          <w:highlight w:val="none"/>
          <w:u w:val="single"/>
          <w:shd w:val="clear" w:color="auto" w:fill="auto"/>
        </w:rPr>
        <w:t>（中型企业、小型 企业、微型企业）</w:t>
      </w:r>
      <w:r>
        <w:rPr>
          <w:rFonts w:hint="eastAsia"/>
          <w:color w:val="auto"/>
          <w:sz w:val="21"/>
          <w:szCs w:val="21"/>
          <w:highlight w:val="none"/>
          <w:shd w:val="clear" w:color="auto" w:fill="auto"/>
        </w:rPr>
        <w:t>；</w:t>
      </w:r>
    </w:p>
    <w:p w14:paraId="59BE50AF">
      <w:pPr>
        <w:pStyle w:val="404"/>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w:t>
      </w:r>
    </w:p>
    <w:p w14:paraId="7703F2DE">
      <w:pPr>
        <w:pStyle w:val="404"/>
        <w:spacing w:line="499" w:lineRule="exact"/>
        <w:ind w:firstLine="640"/>
        <w:jc w:val="both"/>
        <w:rPr>
          <w:color w:val="auto"/>
          <w:sz w:val="21"/>
          <w:szCs w:val="21"/>
          <w:highlight w:val="none"/>
          <w:shd w:val="clear" w:color="auto" w:fill="auto"/>
        </w:rPr>
      </w:pPr>
      <w:r>
        <w:rPr>
          <w:color w:val="auto"/>
          <w:sz w:val="21"/>
          <w:szCs w:val="21"/>
          <w:highlight w:val="none"/>
          <w:shd w:val="clear" w:color="auto" w:fill="auto"/>
        </w:rPr>
        <w:t>以上企业，不属于大企业的分支机构，不存在控股股东为大企业的情形，也不存在与大企业的负责人为同一人的情形。</w:t>
      </w:r>
    </w:p>
    <w:p w14:paraId="3DD55670">
      <w:pPr>
        <w:pStyle w:val="404"/>
        <w:spacing w:after="40" w:line="499" w:lineRule="exact"/>
        <w:ind w:firstLine="640"/>
        <w:jc w:val="both"/>
        <w:rPr>
          <w:rFonts w:hint="eastAsia"/>
          <w:color w:val="auto"/>
          <w:sz w:val="21"/>
          <w:szCs w:val="21"/>
          <w:highlight w:val="none"/>
          <w:shd w:val="clear" w:color="auto" w:fill="auto"/>
        </w:rPr>
      </w:pPr>
      <w:r>
        <w:rPr>
          <w:color w:val="auto"/>
          <w:sz w:val="21"/>
          <w:szCs w:val="21"/>
          <w:highlight w:val="none"/>
          <w:shd w:val="clear" w:color="auto" w:fill="auto"/>
        </w:rPr>
        <w:t>本企业对上述声明内容的真实性</w:t>
      </w:r>
      <w:r>
        <w:rPr>
          <w:rFonts w:hint="eastAsia"/>
          <w:color w:val="auto"/>
          <w:sz w:val="21"/>
          <w:szCs w:val="21"/>
          <w:highlight w:val="none"/>
          <w:shd w:val="clear" w:color="auto" w:fill="auto"/>
        </w:rPr>
        <w:t>负责</w:t>
      </w:r>
      <w:r>
        <w:rPr>
          <w:color w:val="auto"/>
          <w:sz w:val="21"/>
          <w:szCs w:val="21"/>
          <w:highlight w:val="none"/>
          <w:shd w:val="clear" w:color="auto" w:fill="auto"/>
        </w:rPr>
        <w:t>。如有虚假，将依法承担相应责任。</w:t>
      </w:r>
    </w:p>
    <w:p w14:paraId="36D82A04">
      <w:pPr>
        <w:pStyle w:val="404"/>
        <w:spacing w:after="40" w:line="499" w:lineRule="exact"/>
        <w:ind w:firstLine="640"/>
        <w:jc w:val="both"/>
        <w:rPr>
          <w:color w:val="auto"/>
          <w:sz w:val="21"/>
          <w:szCs w:val="21"/>
          <w:highlight w:val="none"/>
          <w:shd w:val="clear" w:color="auto" w:fill="auto"/>
        </w:rPr>
      </w:pPr>
    </w:p>
    <w:p w14:paraId="52F2367D">
      <w:pPr>
        <w:pStyle w:val="404"/>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 xml:space="preserve">                          </w:t>
      </w:r>
      <w:r>
        <w:rPr>
          <w:color w:val="auto"/>
          <w:sz w:val="21"/>
          <w:szCs w:val="21"/>
          <w:highlight w:val="none"/>
          <w:shd w:val="clear" w:color="auto" w:fill="auto"/>
        </w:rPr>
        <w:t>企业名称（盖章）：</w:t>
      </w:r>
    </w:p>
    <w:p w14:paraId="32716E46">
      <w:pPr>
        <w:pStyle w:val="404"/>
        <w:spacing w:line="506" w:lineRule="exact"/>
        <w:ind w:firstLine="640"/>
        <w:jc w:val="both"/>
        <w:rPr>
          <w:color w:val="auto"/>
          <w:sz w:val="21"/>
          <w:szCs w:val="21"/>
          <w:highlight w:val="none"/>
          <w:shd w:val="clear" w:color="auto" w:fill="auto"/>
        </w:rPr>
      </w:pPr>
      <w:r>
        <w:rPr>
          <w:rFonts w:hint="eastAsia"/>
          <w:color w:val="auto"/>
          <w:sz w:val="21"/>
          <w:szCs w:val="21"/>
          <w:highlight w:val="none"/>
          <w:shd w:val="clear" w:color="auto" w:fill="auto"/>
        </w:rPr>
        <w:t xml:space="preserve">                          日期：</w:t>
      </w:r>
    </w:p>
    <w:p w14:paraId="18A06547">
      <w:pPr>
        <w:pStyle w:val="402"/>
        <w:spacing w:after="0"/>
        <w:rPr>
          <w:rFonts w:hint="eastAsia"/>
          <w:color w:val="auto"/>
          <w:sz w:val="21"/>
          <w:szCs w:val="21"/>
          <w:highlight w:val="none"/>
          <w:shd w:val="clear" w:color="auto" w:fill="auto"/>
        </w:rPr>
      </w:pPr>
    </w:p>
    <w:p w14:paraId="2E59F97C">
      <w:pPr>
        <w:pStyle w:val="402"/>
        <w:spacing w:after="0"/>
        <w:rPr>
          <w:rFonts w:hint="eastAsia"/>
          <w:color w:val="auto"/>
          <w:highlight w:val="none"/>
          <w:shd w:val="clear" w:color="auto" w:fill="auto"/>
        </w:rPr>
      </w:pPr>
    </w:p>
    <w:p w14:paraId="059223FC">
      <w:pPr>
        <w:pStyle w:val="402"/>
        <w:adjustRightInd w:val="0"/>
        <w:snapToGrid w:val="0"/>
        <w:spacing w:after="0" w:line="360" w:lineRule="exact"/>
        <w:jc w:val="left"/>
        <w:rPr>
          <w:rFonts w:hint="eastAsia"/>
          <w:color w:val="auto"/>
          <w:sz w:val="18"/>
          <w:szCs w:val="18"/>
          <w:highlight w:val="none"/>
          <w:shd w:val="clear" w:color="auto" w:fill="auto"/>
        </w:rPr>
      </w:pPr>
      <w:r>
        <w:rPr>
          <w:color w:val="auto"/>
          <w:sz w:val="18"/>
          <w:szCs w:val="18"/>
          <w:highlight w:val="none"/>
          <w:shd w:val="clear" w:color="auto" w:fill="auto"/>
        </w:rPr>
        <w:t>备注：</w:t>
      </w:r>
    </w:p>
    <w:p w14:paraId="1B40711A">
      <w:pPr>
        <w:pStyle w:val="402"/>
        <w:adjustRightInd w:val="0"/>
        <w:snapToGrid w:val="0"/>
        <w:spacing w:after="0" w:line="360" w:lineRule="exact"/>
        <w:jc w:val="left"/>
        <w:rPr>
          <w:rFonts w:hint="eastAsia"/>
          <w:color w:val="auto"/>
          <w:sz w:val="18"/>
          <w:szCs w:val="18"/>
          <w:highlight w:val="none"/>
          <w:shd w:val="clear" w:color="auto" w:fill="auto"/>
        </w:rPr>
      </w:pPr>
      <w:r>
        <w:rPr>
          <w:rFonts w:hint="eastAsia"/>
          <w:color w:val="auto"/>
          <w:sz w:val="18"/>
          <w:szCs w:val="18"/>
          <w:highlight w:val="none"/>
          <w:shd w:val="clear" w:color="auto" w:fill="auto"/>
        </w:rPr>
        <w:t>1、</w:t>
      </w:r>
      <w:r>
        <w:rPr>
          <w:color w:val="auto"/>
          <w:sz w:val="18"/>
          <w:szCs w:val="18"/>
          <w:highlight w:val="none"/>
          <w:shd w:val="clear" w:color="auto" w:fill="auto"/>
        </w:rPr>
        <w:t>从业人员、营业收入、资产总额填报上一年度数据，无上一年度数据的新成立企业可不填报。</w:t>
      </w:r>
    </w:p>
    <w:p w14:paraId="22756CA1">
      <w:pPr>
        <w:pStyle w:val="402"/>
        <w:adjustRightInd w:val="0"/>
        <w:snapToGrid w:val="0"/>
        <w:spacing w:after="0" w:line="360" w:lineRule="exact"/>
        <w:jc w:val="left"/>
        <w:rPr>
          <w:rFonts w:hint="eastAsia"/>
          <w:color w:val="auto"/>
          <w:sz w:val="18"/>
          <w:szCs w:val="18"/>
          <w:highlight w:val="none"/>
          <w:shd w:val="clear" w:color="auto" w:fill="auto"/>
        </w:rPr>
      </w:pPr>
      <w:r>
        <w:rPr>
          <w:rFonts w:hint="eastAsia"/>
          <w:color w:val="auto"/>
          <w:sz w:val="18"/>
          <w:szCs w:val="18"/>
          <w:highlight w:val="none"/>
          <w:shd w:val="clear" w:color="auto" w:fill="auto"/>
        </w:rPr>
        <w:t>2、采购文件中明确的所属行业名称是根据《关于印发中小企业划型标准规定的通知》（工信部联企业[2011]300号）规定确定。</w:t>
      </w:r>
    </w:p>
    <w:p w14:paraId="0EF1CE77">
      <w:pPr>
        <w:pStyle w:val="402"/>
        <w:spacing w:after="0"/>
        <w:rPr>
          <w:rFonts w:hint="eastAsia"/>
          <w:color w:val="auto"/>
          <w:sz w:val="21"/>
          <w:szCs w:val="21"/>
          <w:highlight w:val="none"/>
          <w:shd w:val="clear" w:color="auto" w:fill="auto"/>
        </w:rPr>
      </w:pPr>
    </w:p>
    <w:p w14:paraId="059A0B5C">
      <w:pPr>
        <w:pStyle w:val="402"/>
        <w:spacing w:after="0"/>
        <w:rPr>
          <w:rFonts w:hint="eastAsia"/>
          <w:color w:val="auto"/>
          <w:sz w:val="21"/>
          <w:szCs w:val="21"/>
          <w:highlight w:val="none"/>
          <w:shd w:val="clear" w:color="auto" w:fill="auto"/>
        </w:rPr>
      </w:pPr>
    </w:p>
    <w:p w14:paraId="59C30BF8">
      <w:pPr>
        <w:snapToGrid w:val="0"/>
        <w:spacing w:line="360" w:lineRule="exact"/>
        <w:ind w:firstLine="207" w:firstLineChars="98"/>
        <w:jc w:val="left"/>
        <w:rPr>
          <w:rFonts w:hint="eastAsia" w:ascii="宋体" w:hAnsi="宋体"/>
          <w:b/>
          <w:color w:val="auto"/>
          <w:szCs w:val="21"/>
          <w:highlight w:val="none"/>
          <w:shd w:val="clear" w:color="auto" w:fill="auto"/>
        </w:rPr>
      </w:pPr>
    </w:p>
    <w:p w14:paraId="4EC08B81">
      <w:pPr>
        <w:snapToGrid w:val="0"/>
        <w:spacing w:line="360" w:lineRule="exact"/>
        <w:ind w:firstLine="516" w:firstLineChars="24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br w:type="page"/>
      </w:r>
    </w:p>
    <w:p w14:paraId="3E14D3AA">
      <w:pPr>
        <w:pStyle w:val="70"/>
        <w:spacing w:line="440" w:lineRule="exact"/>
        <w:ind w:firstLine="420" w:firstLineChars="200"/>
        <w:rPr>
          <w:rFonts w:hint="eastAsia" w:hAnsi="宋体" w:eastAsia="宋体" w:cs="Times New Roman"/>
          <w:color w:val="auto"/>
          <w:kern w:val="2"/>
          <w:sz w:val="21"/>
          <w:szCs w:val="21"/>
          <w:highlight w:val="none"/>
          <w:lang w:eastAsia="zh-CN"/>
        </w:rPr>
      </w:pPr>
      <w:r>
        <w:rPr>
          <w:rFonts w:hint="eastAsia" w:hAnsi="宋体" w:cs="Times New Roman"/>
          <w:color w:val="auto"/>
          <w:kern w:val="2"/>
          <w:sz w:val="21"/>
          <w:szCs w:val="21"/>
          <w:highlight w:val="none"/>
        </w:rPr>
        <w:t>（1</w:t>
      </w:r>
      <w:r>
        <w:rPr>
          <w:rFonts w:hint="eastAsia" w:hAnsi="宋体" w:cs="Times New Roman"/>
          <w:color w:val="auto"/>
          <w:kern w:val="2"/>
          <w:sz w:val="21"/>
          <w:szCs w:val="21"/>
          <w:highlight w:val="none"/>
          <w:lang w:val="en-US" w:eastAsia="zh-CN"/>
        </w:rPr>
        <w:t>8</w:t>
      </w:r>
      <w:r>
        <w:rPr>
          <w:rFonts w:hint="eastAsia" w:hAnsi="宋体" w:cs="Times New Roman"/>
          <w:color w:val="auto"/>
          <w:kern w:val="2"/>
          <w:sz w:val="21"/>
          <w:szCs w:val="21"/>
          <w:highlight w:val="none"/>
        </w:rPr>
        <w:t>）关于符合本国产品标准的声明函</w:t>
      </w:r>
      <w:r>
        <w:rPr>
          <w:rFonts w:hint="eastAsia" w:hAnsi="宋体" w:cs="Times New Roman"/>
          <w:color w:val="auto"/>
          <w:kern w:val="2"/>
          <w:sz w:val="21"/>
          <w:szCs w:val="21"/>
          <w:highlight w:val="none"/>
          <w:lang w:eastAsia="zh-CN"/>
        </w:rPr>
        <w:t>格式：</w:t>
      </w:r>
    </w:p>
    <w:p w14:paraId="6A592877">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caps w:val="0"/>
          <w:color w:val="auto"/>
          <w:spacing w:val="0"/>
          <w:sz w:val="36"/>
          <w:szCs w:val="36"/>
          <w:highlight w:val="none"/>
        </w:rPr>
      </w:pPr>
      <w:r>
        <w:rPr>
          <w:rStyle w:val="56"/>
          <w:rFonts w:hint="eastAsia" w:ascii="宋体" w:hAnsi="宋体" w:eastAsia="宋体" w:cs="宋体"/>
          <w:i w:val="0"/>
          <w:caps w:val="0"/>
          <w:color w:val="auto"/>
          <w:spacing w:val="0"/>
          <w:sz w:val="36"/>
          <w:szCs w:val="36"/>
          <w:highlight w:val="none"/>
          <w:shd w:val="clear" w:color="auto" w:fill="FFFFFF"/>
        </w:rPr>
        <w:t>关于符合本国产品标准的声明函</w:t>
      </w:r>
    </w:p>
    <w:p w14:paraId="35467885">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p>
    <w:p w14:paraId="297F0FE3">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73B83FF">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color="auto" w:fill="FFFFFF"/>
        </w:rPr>
        <w:t>1.</w:t>
      </w:r>
      <w:r>
        <w:rPr>
          <w:rStyle w:val="59"/>
          <w:rFonts w:hint="eastAsia" w:ascii="宋体" w:hAnsi="宋体" w:eastAsia="宋体" w:cs="宋体"/>
          <w:i w:val="0"/>
          <w:caps w:val="0"/>
          <w:color w:val="auto"/>
          <w:spacing w:val="0"/>
          <w:sz w:val="24"/>
          <w:szCs w:val="24"/>
          <w:highlight w:val="none"/>
          <w:shd w:val="clear" w:color="auto" w:fill="FFFFFF"/>
        </w:rPr>
        <w:t>（产品名称1）</w:t>
      </w:r>
      <w:r>
        <w:rPr>
          <w:rStyle w:val="59"/>
          <w:rFonts w:hint="eastAsia" w:ascii="宋体" w:hAnsi="宋体" w:eastAsia="宋体" w:cs="宋体"/>
          <w:i w:val="0"/>
          <w:caps w:val="0"/>
          <w:color w:val="auto"/>
          <w:spacing w:val="0"/>
          <w:sz w:val="24"/>
          <w:szCs w:val="24"/>
          <w:highlight w:val="none"/>
          <w:shd w:val="clear" w:color="auto" w:fill="FFFFFF"/>
          <w:vertAlign w:val="superscript"/>
        </w:rPr>
        <w:t>1</w:t>
      </w:r>
      <w:r>
        <w:rPr>
          <w:rFonts w:hint="eastAsia" w:ascii="宋体" w:hAnsi="宋体" w:eastAsia="宋体" w:cs="宋体"/>
          <w:i w:val="0"/>
          <w:caps w:val="0"/>
          <w:color w:val="auto"/>
          <w:spacing w:val="0"/>
          <w:sz w:val="24"/>
          <w:szCs w:val="24"/>
          <w:highlight w:val="none"/>
          <w:shd w:val="clear" w:color="auto" w:fill="FFFFFF"/>
        </w:rPr>
        <w:t>，生产厂为</w:t>
      </w:r>
      <w:r>
        <w:rPr>
          <w:rStyle w:val="59"/>
          <w:rFonts w:hint="eastAsia" w:ascii="宋体" w:hAnsi="宋体" w:eastAsia="宋体" w:cs="宋体"/>
          <w:i w:val="0"/>
          <w:caps w:val="0"/>
          <w:color w:val="auto"/>
          <w:spacing w:val="0"/>
          <w:sz w:val="24"/>
          <w:szCs w:val="24"/>
          <w:highlight w:val="none"/>
          <w:shd w:val="clear" w:color="auto" w:fill="FFFFFF"/>
        </w:rPr>
        <w:t>（厂名）</w:t>
      </w:r>
      <w:r>
        <w:rPr>
          <w:rStyle w:val="59"/>
          <w:rFonts w:hint="eastAsia" w:ascii="宋体" w:hAnsi="宋体" w:eastAsia="宋体" w:cs="宋体"/>
          <w:i w:val="0"/>
          <w:caps w:val="0"/>
          <w:color w:val="auto"/>
          <w:spacing w:val="0"/>
          <w:sz w:val="24"/>
          <w:szCs w:val="24"/>
          <w:highlight w:val="none"/>
          <w:shd w:val="clear" w:color="auto" w:fill="FFFFFF"/>
          <w:vertAlign w:val="superscript"/>
        </w:rPr>
        <w:t>2</w:t>
      </w:r>
      <w:r>
        <w:rPr>
          <w:rFonts w:hint="eastAsia" w:ascii="宋体" w:hAnsi="宋体" w:eastAsia="宋体" w:cs="宋体"/>
          <w:i w:val="0"/>
          <w:caps w:val="0"/>
          <w:color w:val="auto"/>
          <w:spacing w:val="0"/>
          <w:sz w:val="24"/>
          <w:szCs w:val="24"/>
          <w:highlight w:val="none"/>
          <w:shd w:val="clear" w:color="auto" w:fill="FFFFFF"/>
        </w:rPr>
        <w:t>，厂址为</w:t>
      </w:r>
      <w:r>
        <w:rPr>
          <w:rStyle w:val="59"/>
          <w:rFonts w:hint="eastAsia" w:ascii="宋体" w:hAnsi="宋体" w:eastAsia="宋体" w:cs="宋体"/>
          <w:i w:val="0"/>
          <w:caps w:val="0"/>
          <w:color w:val="auto"/>
          <w:spacing w:val="0"/>
          <w:sz w:val="24"/>
          <w:szCs w:val="24"/>
          <w:highlight w:val="none"/>
          <w:shd w:val="clear" w:color="auto" w:fill="FFFFFF"/>
        </w:rPr>
        <w:t>（生产厂址）</w:t>
      </w:r>
      <w:r>
        <w:rPr>
          <w:rFonts w:hint="eastAsia" w:ascii="宋体" w:hAnsi="宋体" w:eastAsia="宋体" w:cs="宋体"/>
          <w:i w:val="0"/>
          <w:caps w:val="0"/>
          <w:color w:val="auto"/>
          <w:spacing w:val="0"/>
          <w:sz w:val="24"/>
          <w:szCs w:val="24"/>
          <w:highlight w:val="none"/>
          <w:shd w:val="clear" w:color="auto" w:fill="FFFFFF"/>
        </w:rPr>
        <w:t>。</w:t>
      </w:r>
    </w:p>
    <w:p w14:paraId="2A1DB44B">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color="auto" w:fill="FFFFFF"/>
        </w:rPr>
        <w:t>2.</w:t>
      </w:r>
      <w:r>
        <w:rPr>
          <w:rStyle w:val="59"/>
          <w:rFonts w:hint="eastAsia" w:ascii="宋体" w:hAnsi="宋体" w:eastAsia="宋体" w:cs="宋体"/>
          <w:i w:val="0"/>
          <w:caps w:val="0"/>
          <w:color w:val="auto"/>
          <w:spacing w:val="0"/>
          <w:sz w:val="24"/>
          <w:szCs w:val="24"/>
          <w:highlight w:val="none"/>
          <w:shd w:val="clear" w:color="auto" w:fill="FFFFFF"/>
        </w:rPr>
        <w:t>（产品名称2）</w:t>
      </w:r>
      <w:r>
        <w:rPr>
          <w:rFonts w:hint="eastAsia" w:ascii="宋体" w:hAnsi="宋体" w:eastAsia="宋体" w:cs="宋体"/>
          <w:i w:val="0"/>
          <w:caps w:val="0"/>
          <w:color w:val="auto"/>
          <w:spacing w:val="0"/>
          <w:sz w:val="24"/>
          <w:szCs w:val="24"/>
          <w:highlight w:val="none"/>
          <w:shd w:val="clear" w:color="auto" w:fill="FFFFFF"/>
        </w:rPr>
        <w:t>，生产厂为</w:t>
      </w:r>
      <w:r>
        <w:rPr>
          <w:rStyle w:val="59"/>
          <w:rFonts w:hint="eastAsia" w:ascii="宋体" w:hAnsi="宋体" w:eastAsia="宋体" w:cs="宋体"/>
          <w:i w:val="0"/>
          <w:caps w:val="0"/>
          <w:color w:val="auto"/>
          <w:spacing w:val="0"/>
          <w:sz w:val="24"/>
          <w:szCs w:val="24"/>
          <w:highlight w:val="none"/>
          <w:shd w:val="clear" w:color="auto" w:fill="FFFFFF"/>
        </w:rPr>
        <w:t>（厂名）</w:t>
      </w:r>
      <w:r>
        <w:rPr>
          <w:rFonts w:hint="eastAsia" w:ascii="宋体" w:hAnsi="宋体" w:eastAsia="宋体" w:cs="宋体"/>
          <w:i w:val="0"/>
          <w:caps w:val="0"/>
          <w:color w:val="auto"/>
          <w:spacing w:val="0"/>
          <w:sz w:val="24"/>
          <w:szCs w:val="24"/>
          <w:highlight w:val="none"/>
          <w:shd w:val="clear" w:color="auto" w:fill="FFFFFF"/>
        </w:rPr>
        <w:t>，厂址为</w:t>
      </w:r>
      <w:r>
        <w:rPr>
          <w:rStyle w:val="59"/>
          <w:rFonts w:hint="eastAsia" w:ascii="宋体" w:hAnsi="宋体" w:eastAsia="宋体" w:cs="宋体"/>
          <w:i w:val="0"/>
          <w:caps w:val="0"/>
          <w:color w:val="auto"/>
          <w:spacing w:val="0"/>
          <w:sz w:val="24"/>
          <w:szCs w:val="24"/>
          <w:highlight w:val="none"/>
          <w:shd w:val="clear" w:color="auto" w:fill="FFFFFF"/>
        </w:rPr>
        <w:t>（生产厂址）</w:t>
      </w:r>
      <w:r>
        <w:rPr>
          <w:rFonts w:hint="eastAsia" w:ascii="宋体" w:hAnsi="宋体" w:eastAsia="宋体" w:cs="宋体"/>
          <w:i w:val="0"/>
          <w:caps w:val="0"/>
          <w:color w:val="auto"/>
          <w:spacing w:val="0"/>
          <w:sz w:val="24"/>
          <w:szCs w:val="24"/>
          <w:highlight w:val="none"/>
          <w:shd w:val="clear" w:color="auto" w:fill="FFFFFF"/>
        </w:rPr>
        <w:t>。</w:t>
      </w:r>
    </w:p>
    <w:p w14:paraId="48A1AF84">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color="auto" w:fill="FFFFFF"/>
        </w:rPr>
        <w:t>……</w:t>
      </w:r>
    </w:p>
    <w:p w14:paraId="2D8D5433">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color="auto" w:fill="FFFFFF"/>
        </w:rPr>
        <w:t>本公司（单位）对上述声明内容的真实性负责。如有虚假，愿承担相应法律责任。</w:t>
      </w:r>
    </w:p>
    <w:p w14:paraId="3831CFD2">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right"/>
        <w:rPr>
          <w:rFonts w:hint="eastAsia" w:ascii="宋体" w:hAnsi="宋体" w:eastAsia="宋体" w:cs="宋体"/>
          <w:i w:val="0"/>
          <w:caps w:val="0"/>
          <w:color w:val="auto"/>
          <w:spacing w:val="0"/>
          <w:sz w:val="24"/>
          <w:szCs w:val="24"/>
          <w:highlight w:val="none"/>
          <w:shd w:val="clear" w:color="auto" w:fill="FFFFFF"/>
        </w:rPr>
      </w:pPr>
    </w:p>
    <w:p w14:paraId="421BD1F7">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right"/>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color="auto" w:fill="FFFFFF"/>
        </w:rPr>
        <w:t>公司（单位）名称（盖章）：      </w:t>
      </w:r>
    </w:p>
    <w:p w14:paraId="0EB8909D">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right"/>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color="auto" w:fill="FFFFFF"/>
        </w:rPr>
        <w:t>日期：　　　　　年　　月　日    </w:t>
      </w:r>
    </w:p>
    <w:p w14:paraId="41890999">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p>
    <w:p w14:paraId="46A0ECD8">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p>
    <w:p w14:paraId="53715C11">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shd w:val="clear" w:color="auto" w:fill="FFFFFF"/>
        </w:rPr>
        <w:t>_____________________________</w:t>
      </w:r>
    </w:p>
    <w:p w14:paraId="01F13404">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r>
        <w:rPr>
          <w:rFonts w:hint="eastAsia" w:ascii="楷体" w:hAnsi="楷体" w:eastAsia="楷体" w:cs="楷体"/>
          <w:i w:val="0"/>
          <w:caps w:val="0"/>
          <w:color w:val="auto"/>
          <w:spacing w:val="0"/>
          <w:sz w:val="24"/>
          <w:szCs w:val="24"/>
          <w:highlight w:val="none"/>
          <w:shd w:val="clear" w:color="auto" w:fill="FFFFFF"/>
        </w:rPr>
        <w:t>1.产品如有型号，请在“产品名称”栏一并填写。</w:t>
      </w:r>
    </w:p>
    <w:p w14:paraId="0E28B97F">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caps w:val="0"/>
          <w:color w:val="auto"/>
          <w:spacing w:val="0"/>
          <w:sz w:val="24"/>
          <w:szCs w:val="24"/>
          <w:highlight w:val="none"/>
        </w:rPr>
      </w:pPr>
      <w:r>
        <w:rPr>
          <w:rFonts w:hint="eastAsia" w:ascii="楷体" w:hAnsi="楷体" w:eastAsia="楷体" w:cs="楷体"/>
          <w:i w:val="0"/>
          <w:caps w:val="0"/>
          <w:color w:val="auto"/>
          <w:spacing w:val="0"/>
          <w:sz w:val="24"/>
          <w:szCs w:val="24"/>
          <w:highlight w:val="none"/>
          <w:shd w:val="clear" w:color="auto" w:fill="FFFFFF"/>
        </w:rPr>
        <w:t>2.生产厂名与厂址应与生产厂营业执照载明的相关信息保持一致。</w:t>
      </w:r>
    </w:p>
    <w:p w14:paraId="0E4138E0">
      <w:pPr>
        <w:pStyle w:val="52"/>
        <w:rPr>
          <w:rFonts w:hint="eastAsia"/>
          <w:color w:val="auto"/>
          <w:highlight w:val="none"/>
          <w:lang w:eastAsia="zh-CN"/>
        </w:rPr>
      </w:pPr>
    </w:p>
    <w:p w14:paraId="28ABD3F0">
      <w:pPr>
        <w:snapToGrid w:val="0"/>
        <w:spacing w:line="360" w:lineRule="exact"/>
        <w:ind w:firstLine="210" w:firstLineChars="100"/>
        <w:jc w:val="left"/>
        <w:rPr>
          <w:rFonts w:hint="eastAsia" w:ascii="Times New Roman" w:hAnsi="宋体" w:eastAsia="宋体" w:cs="Times New Roman"/>
          <w:color w:val="auto"/>
          <w:szCs w:val="21"/>
          <w:highlight w:val="none"/>
          <w:shd w:val="clear" w:color="auto" w:fill="auto"/>
        </w:rPr>
      </w:pPr>
    </w:p>
    <w:p w14:paraId="5A8CD6ED">
      <w:pPr>
        <w:snapToGrid w:val="0"/>
        <w:spacing w:line="360" w:lineRule="exact"/>
        <w:ind w:firstLine="210" w:firstLineChars="100"/>
        <w:jc w:val="left"/>
        <w:rPr>
          <w:rFonts w:hint="eastAsia" w:hAnsi="宋体" w:cs="Times New Roman"/>
          <w:color w:val="auto"/>
          <w:kern w:val="2"/>
          <w:sz w:val="21"/>
          <w:szCs w:val="21"/>
          <w:highlight w:val="none"/>
        </w:rPr>
      </w:pPr>
      <w:r>
        <w:rPr>
          <w:rFonts w:hint="eastAsia" w:ascii="Times New Roman" w:hAnsi="宋体" w:eastAsia="宋体" w:cs="Times New Roman"/>
          <w:color w:val="auto"/>
          <w:szCs w:val="21"/>
          <w:highlight w:val="none"/>
          <w:shd w:val="clear" w:color="auto" w:fill="auto"/>
        </w:rPr>
        <w:t>（1</w:t>
      </w:r>
      <w:r>
        <w:rPr>
          <w:rFonts w:hint="eastAsia" w:ascii="Times New Roman" w:hAnsi="宋体" w:eastAsia="宋体" w:cs="Times New Roman"/>
          <w:color w:val="auto"/>
          <w:szCs w:val="21"/>
          <w:highlight w:val="none"/>
          <w:shd w:val="clear" w:color="auto" w:fill="auto"/>
          <w:lang w:val="en-US" w:eastAsia="zh-CN"/>
        </w:rPr>
        <w:t>9</w:t>
      </w:r>
      <w:r>
        <w:rPr>
          <w:rFonts w:hint="eastAsia" w:ascii="Times New Roman" w:hAnsi="宋体" w:eastAsia="宋体" w:cs="Times New Roman"/>
          <w:color w:val="auto"/>
          <w:szCs w:val="21"/>
          <w:highlight w:val="none"/>
          <w:shd w:val="clear" w:color="auto" w:fill="auto"/>
        </w:rPr>
        <w:t>）</w:t>
      </w:r>
      <w:r>
        <w:rPr>
          <w:rFonts w:hint="eastAsia" w:hAnsi="宋体"/>
          <w:color w:val="auto"/>
          <w:szCs w:val="21"/>
          <w:highlight w:val="none"/>
          <w:shd w:val="clear" w:color="auto" w:fill="auto"/>
        </w:rPr>
        <w:t>投标人情况介绍</w:t>
      </w:r>
      <w:r>
        <w:rPr>
          <w:rFonts w:hint="eastAsia" w:ascii="宋体" w:hAnsi="宋体"/>
          <w:color w:val="auto"/>
          <w:szCs w:val="21"/>
          <w:highlight w:val="none"/>
        </w:rPr>
        <w:t>（主要产品、技术力量、生产规模、经营业绩等，格式自拟）</w:t>
      </w:r>
      <w:r>
        <w:rPr>
          <w:rFonts w:hint="eastAsia" w:hAnsi="宋体" w:cs="Times New Roman"/>
          <w:color w:val="auto"/>
          <w:kern w:val="2"/>
          <w:sz w:val="21"/>
          <w:szCs w:val="21"/>
          <w:highlight w:val="none"/>
        </w:rPr>
        <w:t>。</w:t>
      </w:r>
    </w:p>
    <w:p w14:paraId="281BADEF">
      <w:pPr>
        <w:snapToGrid w:val="0"/>
        <w:spacing w:line="360" w:lineRule="exact"/>
        <w:ind w:firstLine="516" w:firstLineChars="246"/>
        <w:jc w:val="left"/>
        <w:rPr>
          <w:rFonts w:hint="eastAsia" w:ascii="宋体" w:hAnsi="宋体"/>
          <w:color w:val="auto"/>
          <w:szCs w:val="21"/>
          <w:highlight w:val="none"/>
          <w:shd w:val="clear" w:color="auto" w:fill="auto"/>
        </w:rPr>
      </w:pPr>
    </w:p>
    <w:p w14:paraId="750F0292">
      <w:pPr>
        <w:snapToGrid w:val="0"/>
        <w:spacing w:line="360" w:lineRule="exact"/>
        <w:ind w:firstLine="516" w:firstLineChars="246"/>
        <w:jc w:val="left"/>
        <w:rPr>
          <w:rFonts w:hint="eastAsia" w:ascii="宋体" w:hAnsi="宋体"/>
          <w:color w:val="auto"/>
          <w:szCs w:val="21"/>
          <w:highlight w:val="none"/>
          <w:shd w:val="clear" w:color="auto" w:fill="auto"/>
        </w:rPr>
      </w:pPr>
    </w:p>
    <w:p w14:paraId="428BFAD4">
      <w:pPr>
        <w:snapToGrid w:val="0"/>
        <w:spacing w:line="360" w:lineRule="exact"/>
        <w:ind w:firstLine="516" w:firstLineChars="246"/>
        <w:jc w:val="left"/>
        <w:rPr>
          <w:rFonts w:hint="eastAsia" w:ascii="宋体" w:hAnsi="宋体"/>
          <w:color w:val="auto"/>
          <w:szCs w:val="21"/>
          <w:highlight w:val="none"/>
          <w:shd w:val="clear" w:color="auto" w:fill="auto"/>
        </w:rPr>
      </w:pPr>
    </w:p>
    <w:p w14:paraId="3EDF97FF">
      <w:pP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br w:type="page"/>
      </w:r>
    </w:p>
    <w:p w14:paraId="6D87711E">
      <w:pPr>
        <w:snapToGrid w:val="0"/>
        <w:spacing w:line="360" w:lineRule="exact"/>
        <w:ind w:firstLine="519" w:firstLineChars="24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三）、技术文件部分（格式）</w:t>
      </w:r>
    </w:p>
    <w:p w14:paraId="701AA375">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bCs/>
          <w:color w:val="auto"/>
          <w:szCs w:val="21"/>
          <w:highlight w:val="none"/>
          <w:shd w:val="clear" w:color="auto" w:fill="auto"/>
        </w:rPr>
        <w:t>（1）</w:t>
      </w:r>
      <w:r>
        <w:rPr>
          <w:rFonts w:hint="eastAsia" w:ascii="宋体" w:hAnsi="宋体"/>
          <w:color w:val="auto"/>
          <w:szCs w:val="21"/>
          <w:highlight w:val="none"/>
          <w:shd w:val="clear" w:color="auto" w:fill="auto"/>
        </w:rPr>
        <w:t>对本项目系统总体要求的理解（包括：功能说明、性能指标、设备选型说明以及质量、性能、价格、外观、体积等方面进行比较和选择的理由和过程，格式自拟）</w:t>
      </w:r>
    </w:p>
    <w:p w14:paraId="40CAD802">
      <w:pPr>
        <w:snapToGrid w:val="0"/>
        <w:spacing w:before="50" w:after="156" w:afterLines="50" w:line="360" w:lineRule="exact"/>
        <w:jc w:val="left"/>
        <w:rPr>
          <w:rFonts w:hint="eastAsia" w:ascii="宋体" w:hAnsi="宋体"/>
          <w:b/>
          <w:color w:val="auto"/>
          <w:szCs w:val="21"/>
          <w:highlight w:val="none"/>
          <w:shd w:val="clear" w:color="auto" w:fill="auto"/>
        </w:rPr>
      </w:pPr>
      <w:r>
        <w:rPr>
          <w:rFonts w:hint="eastAsia" w:ascii="宋体" w:hAnsi="宋体"/>
          <w:bCs/>
          <w:color w:val="auto"/>
          <w:szCs w:val="21"/>
          <w:highlight w:val="none"/>
          <w:shd w:val="clear" w:color="auto" w:fill="auto"/>
        </w:rPr>
        <w:t>（2）</w:t>
      </w:r>
      <w:r>
        <w:rPr>
          <w:rFonts w:hint="eastAsia" w:ascii="宋体" w:hAnsi="宋体"/>
          <w:color w:val="auto"/>
          <w:szCs w:val="21"/>
          <w:highlight w:val="none"/>
          <w:shd w:val="clear" w:color="auto" w:fill="auto"/>
        </w:rPr>
        <w:t>技术响应表格式：</w:t>
      </w:r>
      <w:r>
        <w:rPr>
          <w:rFonts w:hint="eastAsia" w:ascii="宋体" w:hAnsi="宋体"/>
          <w:b/>
          <w:color w:val="auto"/>
          <w:szCs w:val="21"/>
          <w:highlight w:val="none"/>
          <w:shd w:val="clear" w:color="auto" w:fill="auto"/>
        </w:rPr>
        <w:t xml:space="preserve"> </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14:paraId="5686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5901635D">
            <w:pPr>
              <w:pStyle w:val="29"/>
              <w:spacing w:line="400" w:lineRule="exact"/>
              <w:jc w:val="center"/>
              <w:rPr>
                <w:rFonts w:hAnsi="宋体"/>
                <w:color w:val="auto"/>
                <w:highlight w:val="none"/>
                <w:shd w:val="clear" w:color="auto" w:fill="auto"/>
              </w:rPr>
            </w:pPr>
            <w:r>
              <w:rPr>
                <w:rFonts w:hint="eastAsia" w:hAnsi="宋体"/>
                <w:color w:val="auto"/>
                <w:highlight w:val="none"/>
                <w:shd w:val="clear" w:color="auto" w:fill="auto"/>
              </w:rPr>
              <w:t>项号</w:t>
            </w:r>
          </w:p>
        </w:tc>
        <w:tc>
          <w:tcPr>
            <w:tcW w:w="3600" w:type="dxa"/>
            <w:tcBorders>
              <w:top w:val="single" w:color="auto" w:sz="4" w:space="0"/>
              <w:left w:val="single" w:color="auto" w:sz="4" w:space="0"/>
              <w:bottom w:val="single" w:color="auto" w:sz="4" w:space="0"/>
              <w:right w:val="single" w:color="auto" w:sz="4" w:space="0"/>
            </w:tcBorders>
            <w:vAlign w:val="center"/>
          </w:tcPr>
          <w:p w14:paraId="7FFBEEBA">
            <w:pPr>
              <w:pStyle w:val="29"/>
              <w:spacing w:line="400" w:lineRule="exact"/>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招标要求</w:t>
            </w:r>
          </w:p>
        </w:tc>
        <w:tc>
          <w:tcPr>
            <w:tcW w:w="3600" w:type="dxa"/>
            <w:tcBorders>
              <w:top w:val="single" w:color="auto" w:sz="4" w:space="0"/>
              <w:left w:val="single" w:color="auto" w:sz="4" w:space="0"/>
              <w:bottom w:val="single" w:color="auto" w:sz="4" w:space="0"/>
              <w:right w:val="single" w:color="auto" w:sz="4" w:space="0"/>
            </w:tcBorders>
            <w:vAlign w:val="center"/>
          </w:tcPr>
          <w:p w14:paraId="13B65EC2">
            <w:pPr>
              <w:pStyle w:val="29"/>
              <w:spacing w:line="400" w:lineRule="exact"/>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应标情况</w:t>
            </w:r>
          </w:p>
        </w:tc>
        <w:tc>
          <w:tcPr>
            <w:tcW w:w="1573" w:type="dxa"/>
            <w:tcBorders>
              <w:top w:val="single" w:color="auto" w:sz="4" w:space="0"/>
              <w:left w:val="single" w:color="auto" w:sz="4" w:space="0"/>
              <w:bottom w:val="single" w:color="auto" w:sz="4" w:space="0"/>
              <w:right w:val="single" w:color="auto" w:sz="4" w:space="0"/>
            </w:tcBorders>
            <w:vAlign w:val="center"/>
          </w:tcPr>
          <w:p w14:paraId="611DCDCC">
            <w:pPr>
              <w:pStyle w:val="29"/>
              <w:spacing w:line="400" w:lineRule="exact"/>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偏离说明</w:t>
            </w:r>
          </w:p>
        </w:tc>
      </w:tr>
      <w:tr w14:paraId="3D1A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14:paraId="47C09FB0">
            <w:pPr>
              <w:pStyle w:val="29"/>
              <w:spacing w:line="600" w:lineRule="exact"/>
              <w:ind w:left="5250"/>
              <w:jc w:val="center"/>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vAlign w:val="center"/>
          </w:tcPr>
          <w:p w14:paraId="5301FB8D">
            <w:pPr>
              <w:pStyle w:val="29"/>
              <w:spacing w:line="600" w:lineRule="exact"/>
              <w:ind w:left="5250"/>
              <w:jc w:val="center"/>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vAlign w:val="center"/>
          </w:tcPr>
          <w:p w14:paraId="65E0675C">
            <w:pPr>
              <w:pStyle w:val="29"/>
              <w:spacing w:line="600" w:lineRule="exact"/>
              <w:ind w:left="5250"/>
              <w:jc w:val="center"/>
              <w:rPr>
                <w:rFonts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vAlign w:val="center"/>
          </w:tcPr>
          <w:p w14:paraId="15060B73">
            <w:pPr>
              <w:pStyle w:val="29"/>
              <w:spacing w:line="600" w:lineRule="exact"/>
              <w:ind w:left="5250"/>
              <w:jc w:val="center"/>
              <w:rPr>
                <w:rFonts w:ascii="Times New Roman" w:hAnsi="Times New Roman"/>
                <w:color w:val="auto"/>
                <w:highlight w:val="none"/>
                <w:shd w:val="clear" w:color="auto" w:fill="auto"/>
              </w:rPr>
            </w:pPr>
          </w:p>
        </w:tc>
      </w:tr>
      <w:tr w14:paraId="02B6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14:paraId="4EAC3B3A">
            <w:pPr>
              <w:pStyle w:val="29"/>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tcPr>
          <w:p w14:paraId="1099CF30">
            <w:pPr>
              <w:pStyle w:val="29"/>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tcPr>
          <w:p w14:paraId="2855367E">
            <w:pPr>
              <w:pStyle w:val="29"/>
              <w:spacing w:line="600" w:lineRule="exact"/>
              <w:ind w:left="5250"/>
              <w:rPr>
                <w:rFonts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tcPr>
          <w:p w14:paraId="36540791">
            <w:pPr>
              <w:pStyle w:val="29"/>
              <w:spacing w:line="600" w:lineRule="exact"/>
              <w:ind w:left="5250"/>
              <w:rPr>
                <w:rFonts w:ascii="Times New Roman" w:hAnsi="Times New Roman"/>
                <w:color w:val="auto"/>
                <w:highlight w:val="none"/>
                <w:shd w:val="clear" w:color="auto" w:fill="auto"/>
              </w:rPr>
            </w:pPr>
          </w:p>
        </w:tc>
      </w:tr>
      <w:tr w14:paraId="1E24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14:paraId="1B964943">
            <w:pPr>
              <w:pStyle w:val="29"/>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tcPr>
          <w:p w14:paraId="19506AC0">
            <w:pPr>
              <w:pStyle w:val="29"/>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tcPr>
          <w:p w14:paraId="1E3EDBEE">
            <w:pPr>
              <w:pStyle w:val="29"/>
              <w:spacing w:line="600" w:lineRule="exact"/>
              <w:ind w:left="5250"/>
              <w:rPr>
                <w:rFonts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tcPr>
          <w:p w14:paraId="3CFF500E">
            <w:pPr>
              <w:pStyle w:val="29"/>
              <w:spacing w:line="600" w:lineRule="exact"/>
              <w:ind w:left="5250"/>
              <w:rPr>
                <w:rFonts w:ascii="Times New Roman" w:hAnsi="Times New Roman"/>
                <w:color w:val="auto"/>
                <w:highlight w:val="none"/>
                <w:shd w:val="clear" w:color="auto" w:fill="auto"/>
              </w:rPr>
            </w:pPr>
          </w:p>
        </w:tc>
      </w:tr>
      <w:tr w14:paraId="13B0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14:paraId="3B98CBCB">
            <w:pPr>
              <w:pStyle w:val="29"/>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tcPr>
          <w:p w14:paraId="73A57043">
            <w:pPr>
              <w:pStyle w:val="29"/>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tcPr>
          <w:p w14:paraId="7DA1D4E8">
            <w:pPr>
              <w:pStyle w:val="29"/>
              <w:spacing w:line="600" w:lineRule="exact"/>
              <w:ind w:left="5250"/>
              <w:rPr>
                <w:rFonts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tcPr>
          <w:p w14:paraId="2F287535">
            <w:pPr>
              <w:pStyle w:val="29"/>
              <w:spacing w:line="600" w:lineRule="exact"/>
              <w:ind w:left="5250"/>
              <w:rPr>
                <w:rFonts w:ascii="Times New Roman" w:hAnsi="Times New Roman"/>
                <w:color w:val="auto"/>
                <w:highlight w:val="none"/>
                <w:shd w:val="clear" w:color="auto" w:fill="auto"/>
              </w:rPr>
            </w:pPr>
          </w:p>
        </w:tc>
      </w:tr>
      <w:tr w14:paraId="7DE6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14:paraId="44BE71A2">
            <w:pPr>
              <w:pStyle w:val="29"/>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tcPr>
          <w:p w14:paraId="1F6C56B5">
            <w:pPr>
              <w:pStyle w:val="29"/>
              <w:spacing w:line="600" w:lineRule="exact"/>
              <w:ind w:left="5250"/>
              <w:rPr>
                <w:rFonts w:ascii="Times New Roman" w:hAnsi="Times New Roman"/>
                <w:color w:val="auto"/>
                <w:highlight w:val="none"/>
                <w:shd w:val="clear" w:color="auto" w:fill="auto"/>
              </w:rPr>
            </w:pPr>
          </w:p>
        </w:tc>
        <w:tc>
          <w:tcPr>
            <w:tcW w:w="3600" w:type="dxa"/>
            <w:tcBorders>
              <w:top w:val="single" w:color="auto" w:sz="4" w:space="0"/>
              <w:left w:val="single" w:color="auto" w:sz="4" w:space="0"/>
              <w:bottom w:val="single" w:color="auto" w:sz="4" w:space="0"/>
              <w:right w:val="single" w:color="auto" w:sz="4" w:space="0"/>
            </w:tcBorders>
          </w:tcPr>
          <w:p w14:paraId="39D9B633">
            <w:pPr>
              <w:pStyle w:val="29"/>
              <w:spacing w:line="600" w:lineRule="exact"/>
              <w:ind w:left="5250"/>
              <w:rPr>
                <w:rFonts w:ascii="Times New Roman" w:hAnsi="Times New Roman"/>
                <w:color w:val="auto"/>
                <w:highlight w:val="none"/>
                <w:shd w:val="clear" w:color="auto" w:fill="auto"/>
              </w:rPr>
            </w:pPr>
          </w:p>
        </w:tc>
        <w:tc>
          <w:tcPr>
            <w:tcW w:w="1573" w:type="dxa"/>
            <w:tcBorders>
              <w:top w:val="single" w:color="auto" w:sz="4" w:space="0"/>
              <w:left w:val="single" w:color="auto" w:sz="4" w:space="0"/>
              <w:bottom w:val="single" w:color="auto" w:sz="4" w:space="0"/>
              <w:right w:val="single" w:color="auto" w:sz="4" w:space="0"/>
            </w:tcBorders>
          </w:tcPr>
          <w:p w14:paraId="17AC58E0">
            <w:pPr>
              <w:pStyle w:val="29"/>
              <w:spacing w:line="600" w:lineRule="exact"/>
              <w:ind w:left="5250"/>
              <w:rPr>
                <w:rFonts w:ascii="Times New Roman" w:hAnsi="Times New Roman"/>
                <w:color w:val="auto"/>
                <w:highlight w:val="none"/>
                <w:shd w:val="clear" w:color="auto" w:fill="auto"/>
              </w:rPr>
            </w:pPr>
          </w:p>
        </w:tc>
      </w:tr>
    </w:tbl>
    <w:p w14:paraId="6133EA46">
      <w:pPr>
        <w:snapToGrid w:val="0"/>
        <w:spacing w:before="50" w:after="156" w:afterLines="50" w:line="360" w:lineRule="exact"/>
        <w:jc w:val="left"/>
        <w:rPr>
          <w:rFonts w:hint="eastAsia" w:ascii="宋体" w:hAnsi="宋体"/>
          <w:color w:val="auto"/>
          <w:szCs w:val="21"/>
          <w:highlight w:val="none"/>
          <w:u w:val="single"/>
          <w:shd w:val="clear" w:color="auto" w:fill="auto"/>
        </w:rPr>
      </w:pPr>
    </w:p>
    <w:p w14:paraId="75D428F3">
      <w:pPr>
        <w:pStyle w:val="20"/>
        <w:spacing w:line="360" w:lineRule="exact"/>
        <w:ind w:firstLine="422"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注：投标人应根据投标设备的性能指标、对照招标文件要求在技术响应表中详细列明招标要求及投标设备技术规格的响应情况，并填写“</w:t>
      </w:r>
      <w:r>
        <w:rPr>
          <w:rFonts w:hint="eastAsia"/>
          <w:color w:val="auto"/>
          <w:highlight w:val="none"/>
          <w:shd w:val="clear" w:color="auto" w:fill="auto"/>
        </w:rPr>
        <w:t>偏离说明”。</w:t>
      </w:r>
      <w:r>
        <w:rPr>
          <w:rFonts w:hint="eastAsia" w:ascii="宋体" w:hAnsi="宋体"/>
          <w:color w:val="auto"/>
          <w:sz w:val="21"/>
          <w:szCs w:val="21"/>
          <w:highlight w:val="none"/>
          <w:shd w:val="clear" w:color="auto" w:fill="auto"/>
        </w:rPr>
        <w:t>“偏离</w:t>
      </w:r>
      <w:r>
        <w:rPr>
          <w:rFonts w:hint="eastAsia"/>
          <w:color w:val="auto"/>
          <w:highlight w:val="none"/>
          <w:shd w:val="clear" w:color="auto" w:fill="auto"/>
        </w:rPr>
        <w:t>说明</w:t>
      </w:r>
      <w:r>
        <w:rPr>
          <w:rFonts w:hint="eastAsia" w:ascii="宋体" w:hAnsi="宋体"/>
          <w:color w:val="auto"/>
          <w:sz w:val="21"/>
          <w:szCs w:val="21"/>
          <w:highlight w:val="none"/>
          <w:shd w:val="clear" w:color="auto" w:fill="auto"/>
        </w:rPr>
        <w:t>”栏注明“正偏离”、“负偏离”或“无偏离”。投标技术规格与招标要求相同的为无偏离，投标技术规格高于招标要求的为正偏离，低于招标要求的为负偏离。</w:t>
      </w:r>
    </w:p>
    <w:p w14:paraId="4263BAA9">
      <w:pPr>
        <w:snapToGrid w:val="0"/>
        <w:spacing w:before="50" w:after="50" w:line="360" w:lineRule="exact"/>
        <w:rPr>
          <w:rFonts w:hint="eastAsia" w:ascii="宋体" w:hAnsi="宋体"/>
          <w:color w:val="auto"/>
          <w:spacing w:val="20"/>
          <w:szCs w:val="21"/>
          <w:highlight w:val="none"/>
          <w:shd w:val="clear" w:color="auto" w:fill="auto"/>
        </w:rPr>
      </w:pPr>
    </w:p>
    <w:p w14:paraId="3FE1E00F">
      <w:pPr>
        <w:snapToGrid w:val="0"/>
        <w:spacing w:before="50" w:after="50" w:line="360" w:lineRule="exact"/>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14:paraId="5FE42186">
      <w:pPr>
        <w:snapToGrid w:val="0"/>
        <w:spacing w:before="50" w:after="50" w:line="360" w:lineRule="exact"/>
        <w:rPr>
          <w:rFonts w:hint="eastAsia" w:ascii="宋体" w:hAnsi="宋体"/>
          <w:color w:val="auto"/>
          <w:spacing w:val="20"/>
          <w:szCs w:val="21"/>
          <w:highlight w:val="none"/>
          <w:u w:val="singl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14:paraId="3BAD4245">
      <w:pPr>
        <w:pStyle w:val="29"/>
        <w:jc w:val="center"/>
        <w:rPr>
          <w:rFonts w:hint="eastAsia"/>
          <w:color w:val="auto"/>
          <w:highlight w:val="none"/>
          <w:shd w:val="clear" w:color="auto" w:fill="auto"/>
        </w:rPr>
      </w:pPr>
    </w:p>
    <w:p w14:paraId="7B463F88">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w:t>
      </w:r>
      <w:r>
        <w:rPr>
          <w:rFonts w:hint="eastAsia" w:ascii="宋体" w:hAnsi="宋体"/>
          <w:color w:val="auto"/>
          <w:szCs w:val="21"/>
          <w:highlight w:val="none"/>
          <w:shd w:val="clear" w:color="auto" w:fill="auto"/>
        </w:rPr>
        <w:t>设备配置清单格式：</w:t>
      </w:r>
    </w:p>
    <w:tbl>
      <w:tblPr>
        <w:tblStyle w:val="5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14:paraId="7CEF0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3AA92050">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序号</w:t>
            </w:r>
          </w:p>
        </w:tc>
        <w:tc>
          <w:tcPr>
            <w:tcW w:w="1443" w:type="dxa"/>
            <w:tcBorders>
              <w:top w:val="single" w:color="auto" w:sz="4" w:space="0"/>
              <w:left w:val="single" w:color="auto" w:sz="4" w:space="0"/>
              <w:bottom w:val="single" w:color="auto" w:sz="4" w:space="0"/>
              <w:right w:val="single" w:color="auto" w:sz="4" w:space="0"/>
            </w:tcBorders>
            <w:vAlign w:val="center"/>
          </w:tcPr>
          <w:p w14:paraId="55C02D04">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14:paraId="349AF9B0">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品牌</w:t>
            </w:r>
          </w:p>
        </w:tc>
        <w:tc>
          <w:tcPr>
            <w:tcW w:w="1498" w:type="dxa"/>
            <w:tcBorders>
              <w:top w:val="single" w:color="auto" w:sz="4" w:space="0"/>
              <w:left w:val="single" w:color="auto" w:sz="4" w:space="0"/>
              <w:bottom w:val="single" w:color="auto" w:sz="4" w:space="0"/>
              <w:right w:val="single" w:color="auto" w:sz="4" w:space="0"/>
            </w:tcBorders>
            <w:vAlign w:val="center"/>
          </w:tcPr>
          <w:p w14:paraId="38F09E15">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14:paraId="2F5752A8">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单位及数量</w:t>
            </w:r>
          </w:p>
        </w:tc>
        <w:tc>
          <w:tcPr>
            <w:tcW w:w="1809" w:type="dxa"/>
            <w:tcBorders>
              <w:top w:val="single" w:color="auto" w:sz="4" w:space="0"/>
              <w:left w:val="single" w:color="auto" w:sz="4" w:space="0"/>
              <w:bottom w:val="single" w:color="auto" w:sz="4" w:space="0"/>
              <w:right w:val="single" w:color="auto" w:sz="4" w:space="0"/>
            </w:tcBorders>
            <w:vAlign w:val="center"/>
          </w:tcPr>
          <w:p w14:paraId="43D3DE56">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性能及指标</w:t>
            </w:r>
          </w:p>
        </w:tc>
        <w:tc>
          <w:tcPr>
            <w:tcW w:w="912" w:type="dxa"/>
            <w:tcBorders>
              <w:top w:val="single" w:color="auto" w:sz="4" w:space="0"/>
              <w:left w:val="single" w:color="auto" w:sz="4" w:space="0"/>
              <w:bottom w:val="single" w:color="auto" w:sz="4" w:space="0"/>
              <w:right w:val="single" w:color="auto" w:sz="4" w:space="0"/>
            </w:tcBorders>
            <w:vAlign w:val="center"/>
          </w:tcPr>
          <w:p w14:paraId="527A171A">
            <w:pPr>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产地</w:t>
            </w:r>
          </w:p>
        </w:tc>
      </w:tr>
      <w:tr w14:paraId="6A0EDB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7B221F98">
            <w:pPr>
              <w:snapToGrid w:val="0"/>
              <w:spacing w:before="50" w:after="50" w:line="360" w:lineRule="exact"/>
              <w:jc w:val="center"/>
              <w:rPr>
                <w:rFonts w:ascii="宋体" w:hAnsi="宋体"/>
                <w:color w:val="auto"/>
                <w:szCs w:val="21"/>
                <w:highlight w:val="none"/>
                <w:shd w:val="clear" w:color="auto" w:fill="auto"/>
              </w:rPr>
            </w:pPr>
          </w:p>
        </w:tc>
        <w:tc>
          <w:tcPr>
            <w:tcW w:w="1443" w:type="dxa"/>
            <w:tcBorders>
              <w:top w:val="single" w:color="auto" w:sz="4" w:space="0"/>
              <w:left w:val="single" w:color="auto" w:sz="4" w:space="0"/>
              <w:bottom w:val="single" w:color="auto" w:sz="4" w:space="0"/>
              <w:right w:val="single" w:color="auto" w:sz="4" w:space="0"/>
            </w:tcBorders>
            <w:vAlign w:val="center"/>
          </w:tcPr>
          <w:p w14:paraId="03BE10EC">
            <w:pPr>
              <w:snapToGrid w:val="0"/>
              <w:spacing w:before="50" w:after="50" w:line="360" w:lineRule="exact"/>
              <w:jc w:val="center"/>
              <w:rPr>
                <w:rFonts w:ascii="宋体" w:hAnsi="宋体"/>
                <w:color w:val="auto"/>
                <w:szCs w:val="21"/>
                <w:highlight w:val="none"/>
                <w:shd w:val="clear" w:color="auto" w:fill="auto"/>
              </w:rPr>
            </w:pPr>
          </w:p>
        </w:tc>
        <w:tc>
          <w:tcPr>
            <w:tcW w:w="839" w:type="dxa"/>
            <w:tcBorders>
              <w:top w:val="single" w:color="auto" w:sz="4" w:space="0"/>
              <w:left w:val="single" w:color="auto" w:sz="4" w:space="0"/>
              <w:bottom w:val="single" w:color="auto" w:sz="4" w:space="0"/>
              <w:right w:val="single" w:color="auto" w:sz="4" w:space="0"/>
            </w:tcBorders>
            <w:vAlign w:val="center"/>
          </w:tcPr>
          <w:p w14:paraId="7527F2CE">
            <w:pPr>
              <w:snapToGrid w:val="0"/>
              <w:spacing w:before="50" w:after="50" w:line="360" w:lineRule="exact"/>
              <w:jc w:val="center"/>
              <w:rPr>
                <w:rFonts w:ascii="宋体" w:hAnsi="宋体"/>
                <w:color w:val="auto"/>
                <w:szCs w:val="21"/>
                <w:highlight w:val="none"/>
                <w:shd w:val="clear" w:color="auto" w:fill="auto"/>
              </w:rPr>
            </w:pPr>
          </w:p>
        </w:tc>
        <w:tc>
          <w:tcPr>
            <w:tcW w:w="1498" w:type="dxa"/>
            <w:tcBorders>
              <w:top w:val="single" w:color="auto" w:sz="4" w:space="0"/>
              <w:left w:val="single" w:color="auto" w:sz="4" w:space="0"/>
              <w:bottom w:val="single" w:color="auto" w:sz="4" w:space="0"/>
              <w:right w:val="single" w:color="auto" w:sz="4" w:space="0"/>
            </w:tcBorders>
            <w:vAlign w:val="center"/>
          </w:tcPr>
          <w:p w14:paraId="71B942E2">
            <w:pPr>
              <w:snapToGrid w:val="0"/>
              <w:spacing w:before="50" w:after="50" w:line="360" w:lineRule="exact"/>
              <w:jc w:val="center"/>
              <w:rPr>
                <w:rFonts w:ascii="宋体" w:hAnsi="宋体"/>
                <w:color w:val="auto"/>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vAlign w:val="center"/>
          </w:tcPr>
          <w:p w14:paraId="66A87AE0">
            <w:pPr>
              <w:snapToGrid w:val="0"/>
              <w:spacing w:before="50" w:after="50" w:line="360" w:lineRule="exact"/>
              <w:jc w:val="center"/>
              <w:rPr>
                <w:rFonts w:ascii="宋体" w:hAnsi="宋体"/>
                <w:color w:val="auto"/>
                <w:szCs w:val="21"/>
                <w:highlight w:val="none"/>
                <w:shd w:val="clear" w:color="auto" w:fill="auto"/>
              </w:rPr>
            </w:pPr>
          </w:p>
        </w:tc>
        <w:tc>
          <w:tcPr>
            <w:tcW w:w="1809" w:type="dxa"/>
            <w:tcBorders>
              <w:top w:val="single" w:color="auto" w:sz="4" w:space="0"/>
              <w:left w:val="single" w:color="auto" w:sz="4" w:space="0"/>
              <w:bottom w:val="single" w:color="auto" w:sz="4" w:space="0"/>
              <w:right w:val="single" w:color="auto" w:sz="4" w:space="0"/>
            </w:tcBorders>
            <w:vAlign w:val="center"/>
          </w:tcPr>
          <w:p w14:paraId="3CB461CC">
            <w:pPr>
              <w:snapToGrid w:val="0"/>
              <w:spacing w:before="50" w:after="50" w:line="360" w:lineRule="exact"/>
              <w:jc w:val="center"/>
              <w:rPr>
                <w:rFonts w:ascii="宋体" w:hAnsi="宋体"/>
                <w:color w:val="auto"/>
                <w:szCs w:val="21"/>
                <w:highlight w:val="none"/>
                <w:shd w:val="clear" w:color="auto" w:fill="auto"/>
              </w:rPr>
            </w:pPr>
          </w:p>
        </w:tc>
        <w:tc>
          <w:tcPr>
            <w:tcW w:w="912" w:type="dxa"/>
            <w:tcBorders>
              <w:top w:val="single" w:color="auto" w:sz="4" w:space="0"/>
              <w:left w:val="single" w:color="auto" w:sz="4" w:space="0"/>
              <w:bottom w:val="single" w:color="auto" w:sz="4" w:space="0"/>
              <w:right w:val="single" w:color="auto" w:sz="4" w:space="0"/>
            </w:tcBorders>
            <w:vAlign w:val="center"/>
          </w:tcPr>
          <w:p w14:paraId="13DC1555">
            <w:pPr>
              <w:snapToGrid w:val="0"/>
              <w:spacing w:before="50" w:after="50" w:line="360" w:lineRule="exact"/>
              <w:jc w:val="center"/>
              <w:rPr>
                <w:rFonts w:ascii="宋体" w:hAnsi="宋体"/>
                <w:color w:val="auto"/>
                <w:szCs w:val="21"/>
                <w:highlight w:val="none"/>
                <w:shd w:val="clear" w:color="auto" w:fill="auto"/>
              </w:rPr>
            </w:pPr>
          </w:p>
        </w:tc>
      </w:tr>
      <w:tr w14:paraId="4C936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50CA485A">
            <w:pPr>
              <w:snapToGrid w:val="0"/>
              <w:spacing w:before="50" w:after="50" w:line="360" w:lineRule="exact"/>
              <w:jc w:val="center"/>
              <w:rPr>
                <w:rFonts w:ascii="宋体" w:hAnsi="宋体"/>
                <w:color w:val="auto"/>
                <w:szCs w:val="21"/>
                <w:highlight w:val="none"/>
                <w:shd w:val="clear" w:color="auto" w:fill="auto"/>
              </w:rPr>
            </w:pPr>
          </w:p>
        </w:tc>
        <w:tc>
          <w:tcPr>
            <w:tcW w:w="1443" w:type="dxa"/>
            <w:tcBorders>
              <w:top w:val="single" w:color="auto" w:sz="4" w:space="0"/>
              <w:left w:val="single" w:color="auto" w:sz="4" w:space="0"/>
              <w:bottom w:val="single" w:color="auto" w:sz="4" w:space="0"/>
              <w:right w:val="single" w:color="auto" w:sz="4" w:space="0"/>
            </w:tcBorders>
            <w:vAlign w:val="center"/>
          </w:tcPr>
          <w:p w14:paraId="5CAC3873">
            <w:pPr>
              <w:snapToGrid w:val="0"/>
              <w:spacing w:before="50" w:after="50" w:line="360" w:lineRule="exact"/>
              <w:jc w:val="center"/>
              <w:rPr>
                <w:rFonts w:ascii="宋体" w:hAnsi="宋体"/>
                <w:color w:val="auto"/>
                <w:szCs w:val="21"/>
                <w:highlight w:val="none"/>
                <w:shd w:val="clear" w:color="auto" w:fill="auto"/>
              </w:rPr>
            </w:pPr>
          </w:p>
        </w:tc>
        <w:tc>
          <w:tcPr>
            <w:tcW w:w="839" w:type="dxa"/>
            <w:tcBorders>
              <w:top w:val="single" w:color="auto" w:sz="4" w:space="0"/>
              <w:left w:val="single" w:color="auto" w:sz="4" w:space="0"/>
              <w:bottom w:val="single" w:color="auto" w:sz="4" w:space="0"/>
              <w:right w:val="single" w:color="auto" w:sz="4" w:space="0"/>
            </w:tcBorders>
            <w:vAlign w:val="center"/>
          </w:tcPr>
          <w:p w14:paraId="5F2806F7">
            <w:pPr>
              <w:snapToGrid w:val="0"/>
              <w:spacing w:before="50" w:after="50" w:line="360" w:lineRule="exact"/>
              <w:jc w:val="center"/>
              <w:rPr>
                <w:rFonts w:ascii="宋体" w:hAnsi="宋体"/>
                <w:color w:val="auto"/>
                <w:szCs w:val="21"/>
                <w:highlight w:val="none"/>
                <w:shd w:val="clear" w:color="auto" w:fill="auto"/>
              </w:rPr>
            </w:pPr>
          </w:p>
        </w:tc>
        <w:tc>
          <w:tcPr>
            <w:tcW w:w="1498" w:type="dxa"/>
            <w:tcBorders>
              <w:top w:val="single" w:color="auto" w:sz="4" w:space="0"/>
              <w:left w:val="single" w:color="auto" w:sz="4" w:space="0"/>
              <w:bottom w:val="single" w:color="auto" w:sz="4" w:space="0"/>
              <w:right w:val="single" w:color="auto" w:sz="4" w:space="0"/>
            </w:tcBorders>
            <w:vAlign w:val="center"/>
          </w:tcPr>
          <w:p w14:paraId="54399694">
            <w:pPr>
              <w:snapToGrid w:val="0"/>
              <w:spacing w:before="50" w:after="50" w:line="360" w:lineRule="exact"/>
              <w:jc w:val="center"/>
              <w:rPr>
                <w:rFonts w:ascii="宋体" w:hAnsi="宋体"/>
                <w:color w:val="auto"/>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vAlign w:val="center"/>
          </w:tcPr>
          <w:p w14:paraId="3A27D571">
            <w:pPr>
              <w:snapToGrid w:val="0"/>
              <w:spacing w:before="50" w:after="50" w:line="360" w:lineRule="exact"/>
              <w:jc w:val="center"/>
              <w:rPr>
                <w:rFonts w:ascii="宋体" w:hAnsi="宋体"/>
                <w:color w:val="auto"/>
                <w:szCs w:val="21"/>
                <w:highlight w:val="none"/>
                <w:shd w:val="clear" w:color="auto" w:fill="auto"/>
              </w:rPr>
            </w:pPr>
          </w:p>
        </w:tc>
        <w:tc>
          <w:tcPr>
            <w:tcW w:w="1809" w:type="dxa"/>
            <w:tcBorders>
              <w:top w:val="single" w:color="auto" w:sz="4" w:space="0"/>
              <w:left w:val="single" w:color="auto" w:sz="4" w:space="0"/>
              <w:bottom w:val="single" w:color="auto" w:sz="4" w:space="0"/>
              <w:right w:val="single" w:color="auto" w:sz="4" w:space="0"/>
            </w:tcBorders>
            <w:vAlign w:val="center"/>
          </w:tcPr>
          <w:p w14:paraId="73F62242">
            <w:pPr>
              <w:snapToGrid w:val="0"/>
              <w:spacing w:before="50" w:after="50" w:line="360" w:lineRule="exact"/>
              <w:jc w:val="center"/>
              <w:rPr>
                <w:rFonts w:ascii="宋体" w:hAnsi="宋体"/>
                <w:color w:val="auto"/>
                <w:szCs w:val="21"/>
                <w:highlight w:val="none"/>
                <w:shd w:val="clear" w:color="auto" w:fill="auto"/>
              </w:rPr>
            </w:pPr>
          </w:p>
        </w:tc>
        <w:tc>
          <w:tcPr>
            <w:tcW w:w="912" w:type="dxa"/>
            <w:tcBorders>
              <w:top w:val="single" w:color="auto" w:sz="4" w:space="0"/>
              <w:left w:val="single" w:color="auto" w:sz="4" w:space="0"/>
              <w:bottom w:val="single" w:color="auto" w:sz="4" w:space="0"/>
              <w:right w:val="single" w:color="auto" w:sz="4" w:space="0"/>
            </w:tcBorders>
            <w:vAlign w:val="center"/>
          </w:tcPr>
          <w:p w14:paraId="37D73597">
            <w:pPr>
              <w:snapToGrid w:val="0"/>
              <w:spacing w:before="50" w:after="50" w:line="360" w:lineRule="exact"/>
              <w:jc w:val="center"/>
              <w:rPr>
                <w:rFonts w:ascii="宋体" w:hAnsi="宋体"/>
                <w:color w:val="auto"/>
                <w:szCs w:val="21"/>
                <w:highlight w:val="none"/>
                <w:shd w:val="clear" w:color="auto" w:fill="auto"/>
              </w:rPr>
            </w:pPr>
          </w:p>
        </w:tc>
      </w:tr>
      <w:tr w14:paraId="5998F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23AA5BF2">
            <w:pPr>
              <w:snapToGrid w:val="0"/>
              <w:spacing w:before="50" w:after="50" w:line="360" w:lineRule="exact"/>
              <w:jc w:val="center"/>
              <w:rPr>
                <w:rFonts w:ascii="宋体" w:hAnsi="宋体"/>
                <w:color w:val="auto"/>
                <w:szCs w:val="21"/>
                <w:highlight w:val="none"/>
                <w:shd w:val="clear" w:color="auto" w:fill="auto"/>
              </w:rPr>
            </w:pPr>
          </w:p>
        </w:tc>
        <w:tc>
          <w:tcPr>
            <w:tcW w:w="1443" w:type="dxa"/>
            <w:tcBorders>
              <w:top w:val="single" w:color="auto" w:sz="4" w:space="0"/>
              <w:left w:val="single" w:color="auto" w:sz="4" w:space="0"/>
              <w:bottom w:val="single" w:color="auto" w:sz="4" w:space="0"/>
              <w:right w:val="single" w:color="auto" w:sz="4" w:space="0"/>
            </w:tcBorders>
            <w:vAlign w:val="center"/>
          </w:tcPr>
          <w:p w14:paraId="4C123E63">
            <w:pPr>
              <w:snapToGrid w:val="0"/>
              <w:spacing w:before="50" w:after="50" w:line="360" w:lineRule="exact"/>
              <w:jc w:val="center"/>
              <w:rPr>
                <w:rFonts w:ascii="宋体" w:hAnsi="宋体"/>
                <w:color w:val="auto"/>
                <w:szCs w:val="21"/>
                <w:highlight w:val="none"/>
                <w:shd w:val="clear" w:color="auto" w:fill="auto"/>
              </w:rPr>
            </w:pPr>
          </w:p>
        </w:tc>
        <w:tc>
          <w:tcPr>
            <w:tcW w:w="839" w:type="dxa"/>
            <w:tcBorders>
              <w:top w:val="single" w:color="auto" w:sz="4" w:space="0"/>
              <w:left w:val="single" w:color="auto" w:sz="4" w:space="0"/>
              <w:bottom w:val="single" w:color="auto" w:sz="4" w:space="0"/>
              <w:right w:val="single" w:color="auto" w:sz="4" w:space="0"/>
            </w:tcBorders>
            <w:vAlign w:val="center"/>
          </w:tcPr>
          <w:p w14:paraId="66F907FD">
            <w:pPr>
              <w:snapToGrid w:val="0"/>
              <w:spacing w:before="50" w:after="50" w:line="360" w:lineRule="exact"/>
              <w:jc w:val="center"/>
              <w:rPr>
                <w:rFonts w:ascii="宋体" w:hAnsi="宋体"/>
                <w:color w:val="auto"/>
                <w:szCs w:val="21"/>
                <w:highlight w:val="none"/>
                <w:shd w:val="clear" w:color="auto" w:fill="auto"/>
              </w:rPr>
            </w:pPr>
          </w:p>
        </w:tc>
        <w:tc>
          <w:tcPr>
            <w:tcW w:w="1498" w:type="dxa"/>
            <w:tcBorders>
              <w:top w:val="single" w:color="auto" w:sz="4" w:space="0"/>
              <w:left w:val="single" w:color="auto" w:sz="4" w:space="0"/>
              <w:bottom w:val="single" w:color="auto" w:sz="4" w:space="0"/>
              <w:right w:val="single" w:color="auto" w:sz="4" w:space="0"/>
            </w:tcBorders>
            <w:vAlign w:val="center"/>
          </w:tcPr>
          <w:p w14:paraId="02C0E824">
            <w:pPr>
              <w:snapToGrid w:val="0"/>
              <w:spacing w:before="50" w:after="50" w:line="360" w:lineRule="exact"/>
              <w:jc w:val="center"/>
              <w:rPr>
                <w:rFonts w:ascii="宋体" w:hAnsi="宋体"/>
                <w:color w:val="auto"/>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vAlign w:val="center"/>
          </w:tcPr>
          <w:p w14:paraId="3ABEC2BF">
            <w:pPr>
              <w:snapToGrid w:val="0"/>
              <w:spacing w:before="50" w:after="50" w:line="360" w:lineRule="exact"/>
              <w:jc w:val="center"/>
              <w:rPr>
                <w:rFonts w:ascii="宋体" w:hAnsi="宋体"/>
                <w:color w:val="auto"/>
                <w:szCs w:val="21"/>
                <w:highlight w:val="none"/>
                <w:shd w:val="clear" w:color="auto" w:fill="auto"/>
              </w:rPr>
            </w:pPr>
          </w:p>
        </w:tc>
        <w:tc>
          <w:tcPr>
            <w:tcW w:w="1809" w:type="dxa"/>
            <w:tcBorders>
              <w:top w:val="single" w:color="auto" w:sz="4" w:space="0"/>
              <w:left w:val="single" w:color="auto" w:sz="4" w:space="0"/>
              <w:bottom w:val="single" w:color="auto" w:sz="4" w:space="0"/>
              <w:right w:val="single" w:color="auto" w:sz="4" w:space="0"/>
            </w:tcBorders>
            <w:vAlign w:val="center"/>
          </w:tcPr>
          <w:p w14:paraId="434B8D16">
            <w:pPr>
              <w:snapToGrid w:val="0"/>
              <w:spacing w:before="50" w:after="50" w:line="360" w:lineRule="exact"/>
              <w:jc w:val="center"/>
              <w:rPr>
                <w:rFonts w:ascii="宋体" w:hAnsi="宋体"/>
                <w:color w:val="auto"/>
                <w:szCs w:val="21"/>
                <w:highlight w:val="none"/>
                <w:shd w:val="clear" w:color="auto" w:fill="auto"/>
              </w:rPr>
            </w:pPr>
          </w:p>
        </w:tc>
        <w:tc>
          <w:tcPr>
            <w:tcW w:w="912" w:type="dxa"/>
            <w:tcBorders>
              <w:top w:val="single" w:color="auto" w:sz="4" w:space="0"/>
              <w:left w:val="single" w:color="auto" w:sz="4" w:space="0"/>
              <w:bottom w:val="single" w:color="auto" w:sz="4" w:space="0"/>
              <w:right w:val="single" w:color="auto" w:sz="4" w:space="0"/>
            </w:tcBorders>
            <w:vAlign w:val="center"/>
          </w:tcPr>
          <w:p w14:paraId="673371C4">
            <w:pPr>
              <w:snapToGrid w:val="0"/>
              <w:spacing w:before="50" w:after="50" w:line="360" w:lineRule="exact"/>
              <w:jc w:val="center"/>
              <w:rPr>
                <w:rFonts w:ascii="宋体" w:hAnsi="宋体"/>
                <w:color w:val="auto"/>
                <w:szCs w:val="21"/>
                <w:highlight w:val="none"/>
                <w:shd w:val="clear" w:color="auto" w:fill="auto"/>
              </w:rPr>
            </w:pPr>
          </w:p>
        </w:tc>
      </w:tr>
    </w:tbl>
    <w:p w14:paraId="351B289F">
      <w:pPr>
        <w:snapToGrid w:val="0"/>
        <w:spacing w:before="100" w:beforeAutospacing="1" w:after="100" w:afterAutospacing="1" w:line="480" w:lineRule="auto"/>
        <w:ind w:firstLine="315" w:firstLineChars="150"/>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14:paraId="1756BD6B">
      <w:pPr>
        <w:snapToGrid w:val="0"/>
        <w:spacing w:before="100" w:beforeAutospacing="1" w:after="100" w:afterAutospacing="1" w:line="480" w:lineRule="auto"/>
        <w:ind w:firstLine="500" w:firstLineChars="200"/>
        <w:jc w:val="left"/>
        <w:rPr>
          <w:rFonts w:hint="eastAsia" w:ascii="宋体" w:hAnsi="宋体"/>
          <w:color w:val="auto"/>
          <w:spacing w:val="20"/>
          <w:szCs w:val="21"/>
          <w:highlight w:val="none"/>
          <w:u w:val="singl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14:paraId="40F9CB45">
      <w:pPr>
        <w:snapToGrid w:val="0"/>
        <w:spacing w:before="50" w:after="156" w:afterLines="50" w:line="360" w:lineRule="exact"/>
        <w:jc w:val="left"/>
        <w:rPr>
          <w:rFonts w:hint="eastAsia" w:ascii="宋体" w:hAnsi="宋体"/>
          <w:b/>
          <w:color w:val="auto"/>
          <w:szCs w:val="21"/>
          <w:highlight w:val="none"/>
          <w:shd w:val="clear" w:color="auto" w:fill="auto"/>
        </w:rPr>
      </w:pPr>
      <w:r>
        <w:rPr>
          <w:rFonts w:hint="eastAsia" w:ascii="宋体" w:hAnsi="宋体"/>
          <w:bCs/>
          <w:color w:val="auto"/>
          <w:szCs w:val="21"/>
          <w:highlight w:val="none"/>
          <w:shd w:val="clear" w:color="auto" w:fill="auto"/>
        </w:rPr>
        <w:t>（4）</w:t>
      </w:r>
      <w:r>
        <w:rPr>
          <w:rFonts w:hint="eastAsia" w:ascii="宋体" w:hAnsi="宋体"/>
          <w:color w:val="auto"/>
          <w:szCs w:val="21"/>
          <w:highlight w:val="none"/>
          <w:shd w:val="clear" w:color="auto" w:fill="auto"/>
        </w:rPr>
        <w:t>售后服务承诺书</w:t>
      </w:r>
      <w:r>
        <w:rPr>
          <w:rFonts w:hint="eastAsia"/>
          <w:color w:val="auto"/>
          <w:highlight w:val="none"/>
          <w:shd w:val="clear" w:color="auto" w:fill="auto"/>
        </w:rPr>
        <w:t>（应据项目实际要求描述如：</w:t>
      </w:r>
      <w:r>
        <w:rPr>
          <w:rFonts w:hint="eastAsia" w:ascii="宋体" w:hAnsi="宋体"/>
          <w:color w:val="auto"/>
          <w:szCs w:val="21"/>
          <w:highlight w:val="none"/>
          <w:shd w:val="clear" w:color="auto" w:fill="auto"/>
        </w:rPr>
        <w:t>投标人建议的安装、调试、验收方法或方案；技术服务、技术培训、售后服务的内容和措施等）</w:t>
      </w:r>
      <w:r>
        <w:rPr>
          <w:rFonts w:hint="eastAsia" w:ascii="宋体" w:hAnsi="宋体"/>
          <w:b/>
          <w:color w:val="auto"/>
          <w:szCs w:val="21"/>
          <w:highlight w:val="none"/>
          <w:shd w:val="clear" w:color="auto" w:fill="auto"/>
        </w:rPr>
        <w:t>(格式自拟,必须提供）</w:t>
      </w:r>
      <w:r>
        <w:rPr>
          <w:rFonts w:hint="eastAsia" w:ascii="宋体" w:hAnsi="宋体"/>
          <w:color w:val="auto"/>
          <w:szCs w:val="21"/>
          <w:highlight w:val="none"/>
          <w:shd w:val="clear" w:color="auto" w:fill="auto"/>
        </w:rPr>
        <w:t>；</w:t>
      </w:r>
    </w:p>
    <w:p w14:paraId="2A6722D2">
      <w:pPr>
        <w:snapToGrid w:val="0"/>
        <w:spacing w:before="50" w:after="156" w:afterLines="50" w:line="360" w:lineRule="exact"/>
        <w:ind w:left="514" w:hanging="514" w:hangingChars="245"/>
        <w:jc w:val="left"/>
        <w:rPr>
          <w:rFonts w:hint="eastAsia" w:ascii="宋体" w:hAnsi="宋体"/>
          <w:color w:val="auto"/>
          <w:szCs w:val="21"/>
          <w:highlight w:val="none"/>
          <w:shd w:val="clear" w:color="auto" w:fill="auto"/>
        </w:rPr>
      </w:pPr>
      <w:r>
        <w:rPr>
          <w:rFonts w:hint="eastAsia" w:ascii="宋体" w:hAnsi="宋体"/>
          <w:bCs/>
          <w:color w:val="auto"/>
          <w:szCs w:val="21"/>
          <w:highlight w:val="none"/>
          <w:shd w:val="clear" w:color="auto" w:fill="auto"/>
        </w:rPr>
        <w:t>（5）</w:t>
      </w:r>
      <w:r>
        <w:rPr>
          <w:rFonts w:hint="eastAsia" w:ascii="宋体" w:hAnsi="宋体"/>
          <w:color w:val="auto"/>
          <w:szCs w:val="21"/>
          <w:highlight w:val="none"/>
          <w:shd w:val="clear" w:color="auto" w:fill="auto"/>
        </w:rPr>
        <w:t>投标人拥有主要装备和检测设施的情况和现状（格式自拟）及项目实施人员一览表</w:t>
      </w:r>
    </w:p>
    <w:p w14:paraId="3FD8DAEF">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（6）优惠条件：投标人承诺给予招标人的各种优惠条件，包括备品备件、专用耗材、售后服务等方面的优惠；</w:t>
      </w:r>
    </w:p>
    <w:p w14:paraId="7EADC287">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备品备件、专用耗材、售后服务优惠表格式：</w:t>
      </w:r>
    </w:p>
    <w:tbl>
      <w:tblPr>
        <w:tblStyle w:val="5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14:paraId="18C4B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8BE16E4">
            <w:pPr>
              <w:pStyle w:val="29"/>
              <w:snapToGrid w:val="0"/>
              <w:jc w:val="center"/>
              <w:rPr>
                <w:rFonts w:hAnsi="宋体"/>
                <w:color w:val="auto"/>
                <w:highlight w:val="none"/>
                <w:shd w:val="clear" w:color="auto" w:fill="auto"/>
              </w:rPr>
            </w:pPr>
            <w:r>
              <w:rPr>
                <w:rFonts w:hint="eastAsia" w:hAnsi="宋体"/>
                <w:color w:val="auto"/>
                <w:highlight w:val="none"/>
                <w:shd w:val="clear" w:color="auto" w:fill="auto"/>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5B18ACAC">
            <w:pPr>
              <w:pStyle w:val="29"/>
              <w:snapToGrid w:val="0"/>
              <w:jc w:val="center"/>
              <w:rPr>
                <w:rFonts w:hAnsi="宋体"/>
                <w:color w:val="auto"/>
                <w:highlight w:val="none"/>
                <w:shd w:val="clear" w:color="auto" w:fill="auto"/>
              </w:rPr>
            </w:pPr>
            <w:r>
              <w:rPr>
                <w:rFonts w:hint="eastAsia" w:hAnsi="宋体"/>
                <w:color w:val="auto"/>
                <w:highlight w:val="none"/>
                <w:shd w:val="clear" w:color="auto" w:fill="auto"/>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0B38323D">
            <w:pPr>
              <w:pStyle w:val="29"/>
              <w:snapToGrid w:val="0"/>
              <w:jc w:val="center"/>
              <w:rPr>
                <w:rFonts w:hAnsi="宋体"/>
                <w:color w:val="auto"/>
                <w:highlight w:val="none"/>
                <w:shd w:val="clear" w:color="auto" w:fill="auto"/>
              </w:rPr>
            </w:pPr>
            <w:r>
              <w:rPr>
                <w:rFonts w:hint="eastAsia" w:hAnsi="宋体"/>
                <w:color w:val="auto"/>
                <w:highlight w:val="none"/>
                <w:shd w:val="clear" w:color="auto" w:fill="auto"/>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0DE69990">
            <w:pPr>
              <w:pStyle w:val="29"/>
              <w:snapToGrid w:val="0"/>
              <w:jc w:val="center"/>
              <w:rPr>
                <w:rFonts w:hAnsi="宋体"/>
                <w:color w:val="auto"/>
                <w:highlight w:val="none"/>
                <w:shd w:val="clear" w:color="auto" w:fill="auto"/>
              </w:rPr>
            </w:pPr>
            <w:r>
              <w:rPr>
                <w:rFonts w:hint="eastAsia" w:hAnsi="宋体"/>
                <w:color w:val="auto"/>
                <w:highlight w:val="none"/>
                <w:shd w:val="clear" w:color="auto" w:fill="auto"/>
              </w:rPr>
              <w:t>单价</w:t>
            </w:r>
          </w:p>
        </w:tc>
        <w:tc>
          <w:tcPr>
            <w:tcW w:w="1530" w:type="dxa"/>
            <w:tcBorders>
              <w:top w:val="single" w:color="auto" w:sz="4" w:space="0"/>
              <w:left w:val="single" w:color="auto" w:sz="4" w:space="0"/>
              <w:bottom w:val="single" w:color="auto" w:sz="2" w:space="0"/>
              <w:right w:val="single" w:color="auto" w:sz="4" w:space="0"/>
            </w:tcBorders>
            <w:vAlign w:val="center"/>
          </w:tcPr>
          <w:p w14:paraId="5A38A8C6">
            <w:pPr>
              <w:pStyle w:val="29"/>
              <w:snapToGrid w:val="0"/>
              <w:jc w:val="center"/>
              <w:rPr>
                <w:rFonts w:hAnsi="宋体"/>
                <w:color w:val="auto"/>
                <w:highlight w:val="none"/>
                <w:shd w:val="clear" w:color="auto" w:fill="auto"/>
              </w:rPr>
            </w:pPr>
            <w:r>
              <w:rPr>
                <w:rFonts w:hint="eastAsia" w:hAnsi="宋体"/>
                <w:color w:val="auto"/>
                <w:highlight w:val="none"/>
                <w:shd w:val="clear" w:color="auto" w:fill="auto"/>
              </w:rPr>
              <w:t>比投标报价优惠率</w:t>
            </w:r>
          </w:p>
        </w:tc>
        <w:tc>
          <w:tcPr>
            <w:tcW w:w="1530" w:type="dxa"/>
            <w:tcBorders>
              <w:top w:val="single" w:color="auto" w:sz="4" w:space="0"/>
              <w:left w:val="single" w:color="auto" w:sz="4" w:space="0"/>
              <w:bottom w:val="single" w:color="auto" w:sz="2" w:space="0"/>
              <w:right w:val="single" w:color="auto" w:sz="4" w:space="0"/>
            </w:tcBorders>
            <w:vAlign w:val="center"/>
          </w:tcPr>
          <w:p w14:paraId="70DFABB5">
            <w:pPr>
              <w:pStyle w:val="29"/>
              <w:snapToGrid w:val="0"/>
              <w:jc w:val="center"/>
              <w:rPr>
                <w:rFonts w:hAnsi="宋体"/>
                <w:color w:val="auto"/>
                <w:highlight w:val="none"/>
                <w:shd w:val="clear" w:color="auto" w:fill="auto"/>
              </w:rPr>
            </w:pPr>
            <w:r>
              <w:rPr>
                <w:rFonts w:hint="eastAsia" w:hAnsi="宋体"/>
                <w:color w:val="auto"/>
                <w:highlight w:val="none"/>
                <w:shd w:val="clear" w:color="auto" w:fill="auto"/>
              </w:rPr>
              <w:t>比招标要求提供更优售后服务</w:t>
            </w:r>
          </w:p>
        </w:tc>
      </w:tr>
      <w:tr w14:paraId="0B98B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385EAAB">
            <w:pPr>
              <w:pStyle w:val="29"/>
              <w:snapToGrid w:val="0"/>
              <w:jc w:val="center"/>
              <w:rPr>
                <w:rFonts w:hAnsi="宋体"/>
                <w:color w:val="auto"/>
                <w:highlight w:val="none"/>
                <w:shd w:val="clear" w:color="auto" w:fill="auto"/>
              </w:rPr>
            </w:pPr>
          </w:p>
        </w:tc>
        <w:tc>
          <w:tcPr>
            <w:tcW w:w="2700" w:type="dxa"/>
            <w:tcBorders>
              <w:top w:val="single" w:color="auto" w:sz="2" w:space="0"/>
              <w:left w:val="single" w:color="auto" w:sz="2" w:space="0"/>
              <w:bottom w:val="single" w:color="auto" w:sz="6" w:space="0"/>
              <w:right w:val="single" w:color="auto" w:sz="4" w:space="0"/>
            </w:tcBorders>
            <w:vAlign w:val="center"/>
          </w:tcPr>
          <w:p w14:paraId="50D73C3B">
            <w:pPr>
              <w:pStyle w:val="29"/>
              <w:snapToGrid w:val="0"/>
              <w:jc w:val="center"/>
              <w:rPr>
                <w:rFonts w:hAnsi="宋体"/>
                <w:color w:val="auto"/>
                <w:highlight w:val="none"/>
                <w:shd w:val="clear" w:color="auto" w:fill="auto"/>
              </w:rPr>
            </w:pPr>
          </w:p>
        </w:tc>
        <w:tc>
          <w:tcPr>
            <w:tcW w:w="1440" w:type="dxa"/>
            <w:tcBorders>
              <w:top w:val="single" w:color="auto" w:sz="2" w:space="0"/>
              <w:left w:val="single" w:color="auto" w:sz="4" w:space="0"/>
              <w:bottom w:val="single" w:color="auto" w:sz="6" w:space="0"/>
              <w:right w:val="single" w:color="auto" w:sz="6" w:space="0"/>
            </w:tcBorders>
            <w:vAlign w:val="center"/>
          </w:tcPr>
          <w:p w14:paraId="4925C44A">
            <w:pPr>
              <w:pStyle w:val="29"/>
              <w:snapToGrid w:val="0"/>
              <w:jc w:val="center"/>
              <w:rPr>
                <w:rFonts w:hAnsi="宋体"/>
                <w:color w:val="auto"/>
                <w:highlight w:val="none"/>
                <w:shd w:val="clear" w:color="auto" w:fill="auto"/>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060B3E97">
            <w:pPr>
              <w:pStyle w:val="29"/>
              <w:snapToGrid w:val="0"/>
              <w:jc w:val="center"/>
              <w:rPr>
                <w:rFonts w:hAnsi="宋体"/>
                <w:color w:val="auto"/>
                <w:highlight w:val="none"/>
                <w:shd w:val="clear" w:color="auto" w:fill="auto"/>
              </w:rPr>
            </w:pPr>
          </w:p>
        </w:tc>
        <w:tc>
          <w:tcPr>
            <w:tcW w:w="1530" w:type="dxa"/>
            <w:tcBorders>
              <w:top w:val="single" w:color="auto" w:sz="2" w:space="0"/>
              <w:left w:val="single" w:color="auto" w:sz="6" w:space="0"/>
              <w:bottom w:val="single" w:color="auto" w:sz="6" w:space="0"/>
              <w:right w:val="single" w:color="auto" w:sz="2" w:space="0"/>
            </w:tcBorders>
            <w:vAlign w:val="center"/>
          </w:tcPr>
          <w:p w14:paraId="3A782399">
            <w:pPr>
              <w:pStyle w:val="29"/>
              <w:snapToGrid w:val="0"/>
              <w:jc w:val="center"/>
              <w:rPr>
                <w:rFonts w:hAnsi="宋体"/>
                <w:color w:val="auto"/>
                <w:highlight w:val="none"/>
                <w:shd w:val="clear" w:color="auto" w:fill="auto"/>
              </w:rPr>
            </w:pPr>
            <w:r>
              <w:rPr>
                <w:rFonts w:hint="eastAsia" w:hAnsi="宋体"/>
                <w:color w:val="auto"/>
                <w:highlight w:val="none"/>
                <w:u w:val="single"/>
                <w:shd w:val="clear" w:color="auto" w:fill="auto"/>
              </w:rPr>
              <w:t xml:space="preserve">            </w:t>
            </w:r>
            <w:r>
              <w:rPr>
                <w:rFonts w:hint="eastAsia" w:hAnsi="宋体"/>
                <w:color w:val="auto"/>
                <w:highlight w:val="none"/>
                <w:shd w:val="clear" w:color="auto" w:fill="auto"/>
              </w:rPr>
              <w:t>%</w:t>
            </w:r>
          </w:p>
        </w:tc>
        <w:tc>
          <w:tcPr>
            <w:tcW w:w="1530" w:type="dxa"/>
            <w:tcBorders>
              <w:top w:val="single" w:color="auto" w:sz="2" w:space="0"/>
              <w:left w:val="single" w:color="auto" w:sz="6" w:space="0"/>
              <w:bottom w:val="single" w:color="auto" w:sz="6" w:space="0"/>
              <w:right w:val="single" w:color="auto" w:sz="2" w:space="0"/>
            </w:tcBorders>
            <w:vAlign w:val="center"/>
          </w:tcPr>
          <w:p w14:paraId="61E43FF8">
            <w:pPr>
              <w:pStyle w:val="29"/>
              <w:snapToGrid w:val="0"/>
              <w:jc w:val="center"/>
              <w:rPr>
                <w:rFonts w:hAnsi="宋体"/>
                <w:color w:val="auto"/>
                <w:highlight w:val="none"/>
                <w:shd w:val="clear" w:color="auto" w:fill="auto"/>
              </w:rPr>
            </w:pPr>
          </w:p>
        </w:tc>
      </w:tr>
      <w:tr w14:paraId="4A502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877CBFD">
            <w:pPr>
              <w:pStyle w:val="29"/>
              <w:snapToGrid w:val="0"/>
              <w:jc w:val="center"/>
              <w:rPr>
                <w:rFonts w:hAnsi="宋体"/>
                <w:color w:val="auto"/>
                <w:highlight w:val="none"/>
                <w:shd w:val="clear" w:color="auto" w:fill="auto"/>
              </w:rPr>
            </w:pPr>
          </w:p>
        </w:tc>
        <w:tc>
          <w:tcPr>
            <w:tcW w:w="2700" w:type="dxa"/>
            <w:tcBorders>
              <w:top w:val="single" w:color="auto" w:sz="6" w:space="0"/>
              <w:left w:val="single" w:color="auto" w:sz="2" w:space="0"/>
              <w:bottom w:val="single" w:color="auto" w:sz="6" w:space="0"/>
              <w:right w:val="single" w:color="auto" w:sz="4" w:space="0"/>
            </w:tcBorders>
            <w:vAlign w:val="center"/>
          </w:tcPr>
          <w:p w14:paraId="1FF22B74">
            <w:pPr>
              <w:pStyle w:val="29"/>
              <w:snapToGrid w:val="0"/>
              <w:jc w:val="center"/>
              <w:rPr>
                <w:rFonts w:hAnsi="宋体"/>
                <w:color w:val="auto"/>
                <w:highlight w:val="none"/>
                <w:shd w:val="clear" w:color="auto" w:fill="auto"/>
              </w:rPr>
            </w:pPr>
          </w:p>
        </w:tc>
        <w:tc>
          <w:tcPr>
            <w:tcW w:w="1440" w:type="dxa"/>
            <w:tcBorders>
              <w:top w:val="single" w:color="auto" w:sz="6" w:space="0"/>
              <w:left w:val="single" w:color="auto" w:sz="4" w:space="0"/>
              <w:bottom w:val="single" w:color="auto" w:sz="6" w:space="0"/>
              <w:right w:val="single" w:color="auto" w:sz="6" w:space="0"/>
            </w:tcBorders>
            <w:vAlign w:val="center"/>
          </w:tcPr>
          <w:p w14:paraId="0DE6E5E7">
            <w:pPr>
              <w:pStyle w:val="29"/>
              <w:snapToGrid w:val="0"/>
              <w:jc w:val="center"/>
              <w:rPr>
                <w:rFonts w:hAnsi="宋体"/>
                <w:color w:val="auto"/>
                <w:highlight w:val="none"/>
                <w:shd w:val="clear" w:color="auto" w:fill="auto"/>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A7C98DD">
            <w:pPr>
              <w:pStyle w:val="29"/>
              <w:snapToGrid w:val="0"/>
              <w:jc w:val="center"/>
              <w:rPr>
                <w:rFonts w:hAnsi="宋体"/>
                <w:color w:val="auto"/>
                <w:highlight w:val="none"/>
                <w:shd w:val="clear" w:color="auto" w:fill="auto"/>
              </w:rPr>
            </w:pPr>
          </w:p>
        </w:tc>
        <w:tc>
          <w:tcPr>
            <w:tcW w:w="1530" w:type="dxa"/>
            <w:tcBorders>
              <w:top w:val="single" w:color="auto" w:sz="6" w:space="0"/>
              <w:left w:val="single" w:color="auto" w:sz="6" w:space="0"/>
              <w:bottom w:val="single" w:color="auto" w:sz="6" w:space="0"/>
              <w:right w:val="single" w:color="auto" w:sz="2" w:space="0"/>
            </w:tcBorders>
            <w:vAlign w:val="center"/>
          </w:tcPr>
          <w:p w14:paraId="34FA4D70">
            <w:pPr>
              <w:pStyle w:val="29"/>
              <w:snapToGrid w:val="0"/>
              <w:jc w:val="center"/>
              <w:rPr>
                <w:rFonts w:hAnsi="宋体"/>
                <w:color w:val="auto"/>
                <w:highlight w:val="none"/>
                <w:shd w:val="clear" w:color="auto" w:fill="auto"/>
              </w:rPr>
            </w:pPr>
            <w:r>
              <w:rPr>
                <w:rFonts w:hint="eastAsia" w:hAnsi="宋体"/>
                <w:color w:val="auto"/>
                <w:highlight w:val="none"/>
                <w:u w:val="single"/>
                <w:shd w:val="clear" w:color="auto" w:fill="auto"/>
              </w:rPr>
              <w:t xml:space="preserve">            </w:t>
            </w:r>
            <w:r>
              <w:rPr>
                <w:rFonts w:hint="eastAsia" w:hAnsi="宋体"/>
                <w:color w:val="auto"/>
                <w:highlight w:val="none"/>
                <w:shd w:val="clear" w:color="auto" w:fill="auto"/>
              </w:rPr>
              <w:t>%</w:t>
            </w:r>
          </w:p>
        </w:tc>
        <w:tc>
          <w:tcPr>
            <w:tcW w:w="1530" w:type="dxa"/>
            <w:tcBorders>
              <w:top w:val="single" w:color="auto" w:sz="6" w:space="0"/>
              <w:left w:val="single" w:color="auto" w:sz="6" w:space="0"/>
              <w:bottom w:val="single" w:color="auto" w:sz="6" w:space="0"/>
              <w:right w:val="single" w:color="auto" w:sz="2" w:space="0"/>
            </w:tcBorders>
            <w:vAlign w:val="center"/>
          </w:tcPr>
          <w:p w14:paraId="0DE1BFA5">
            <w:pPr>
              <w:pStyle w:val="29"/>
              <w:snapToGrid w:val="0"/>
              <w:jc w:val="center"/>
              <w:rPr>
                <w:rFonts w:hAnsi="宋体"/>
                <w:color w:val="auto"/>
                <w:highlight w:val="none"/>
                <w:shd w:val="clear" w:color="auto" w:fill="auto"/>
              </w:rPr>
            </w:pPr>
          </w:p>
        </w:tc>
      </w:tr>
      <w:tr w14:paraId="5A6C5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646EC765">
            <w:pPr>
              <w:pStyle w:val="29"/>
              <w:snapToGrid w:val="0"/>
              <w:jc w:val="center"/>
              <w:rPr>
                <w:rFonts w:hAnsi="宋体"/>
                <w:color w:val="auto"/>
                <w:highlight w:val="none"/>
                <w:shd w:val="clear" w:color="auto" w:fill="auto"/>
              </w:rPr>
            </w:pPr>
          </w:p>
        </w:tc>
        <w:tc>
          <w:tcPr>
            <w:tcW w:w="2700" w:type="dxa"/>
            <w:tcBorders>
              <w:top w:val="single" w:color="auto" w:sz="6" w:space="0"/>
              <w:left w:val="single" w:color="auto" w:sz="2" w:space="0"/>
              <w:bottom w:val="single" w:color="auto" w:sz="6" w:space="0"/>
              <w:right w:val="single" w:color="auto" w:sz="4" w:space="0"/>
            </w:tcBorders>
            <w:vAlign w:val="center"/>
          </w:tcPr>
          <w:p w14:paraId="0592509F">
            <w:pPr>
              <w:pStyle w:val="29"/>
              <w:snapToGrid w:val="0"/>
              <w:jc w:val="center"/>
              <w:rPr>
                <w:rFonts w:hAnsi="宋体"/>
                <w:color w:val="auto"/>
                <w:highlight w:val="none"/>
                <w:shd w:val="clear" w:color="auto" w:fill="auto"/>
              </w:rPr>
            </w:pPr>
          </w:p>
        </w:tc>
        <w:tc>
          <w:tcPr>
            <w:tcW w:w="1440" w:type="dxa"/>
            <w:tcBorders>
              <w:top w:val="single" w:color="auto" w:sz="6" w:space="0"/>
              <w:left w:val="single" w:color="auto" w:sz="4" w:space="0"/>
              <w:bottom w:val="single" w:color="auto" w:sz="6" w:space="0"/>
              <w:right w:val="single" w:color="auto" w:sz="6" w:space="0"/>
            </w:tcBorders>
            <w:vAlign w:val="center"/>
          </w:tcPr>
          <w:p w14:paraId="65138CD7">
            <w:pPr>
              <w:pStyle w:val="29"/>
              <w:snapToGrid w:val="0"/>
              <w:jc w:val="center"/>
              <w:rPr>
                <w:rFonts w:hAnsi="宋体"/>
                <w:color w:val="auto"/>
                <w:highlight w:val="none"/>
                <w:shd w:val="clear" w:color="auto" w:fill="auto"/>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9B082DC">
            <w:pPr>
              <w:pStyle w:val="29"/>
              <w:snapToGrid w:val="0"/>
              <w:jc w:val="center"/>
              <w:rPr>
                <w:rFonts w:hAnsi="宋体"/>
                <w:color w:val="auto"/>
                <w:highlight w:val="none"/>
                <w:shd w:val="clear" w:color="auto" w:fill="auto"/>
              </w:rPr>
            </w:pPr>
          </w:p>
        </w:tc>
        <w:tc>
          <w:tcPr>
            <w:tcW w:w="1530" w:type="dxa"/>
            <w:tcBorders>
              <w:top w:val="single" w:color="auto" w:sz="6" w:space="0"/>
              <w:left w:val="single" w:color="auto" w:sz="6" w:space="0"/>
              <w:bottom w:val="single" w:color="auto" w:sz="6" w:space="0"/>
              <w:right w:val="single" w:color="auto" w:sz="2" w:space="0"/>
            </w:tcBorders>
            <w:vAlign w:val="center"/>
          </w:tcPr>
          <w:p w14:paraId="0C17EC88">
            <w:pPr>
              <w:pStyle w:val="29"/>
              <w:snapToGrid w:val="0"/>
              <w:jc w:val="center"/>
              <w:rPr>
                <w:rFonts w:hAnsi="宋体"/>
                <w:color w:val="auto"/>
                <w:highlight w:val="none"/>
                <w:shd w:val="clear" w:color="auto" w:fill="auto"/>
              </w:rPr>
            </w:pPr>
            <w:r>
              <w:rPr>
                <w:rFonts w:hint="eastAsia" w:hAnsi="宋体"/>
                <w:color w:val="auto"/>
                <w:highlight w:val="none"/>
                <w:u w:val="single"/>
                <w:shd w:val="clear" w:color="auto" w:fill="auto"/>
              </w:rPr>
              <w:t xml:space="preserve">            </w:t>
            </w:r>
            <w:r>
              <w:rPr>
                <w:rFonts w:hint="eastAsia" w:hAnsi="宋体"/>
                <w:color w:val="auto"/>
                <w:highlight w:val="none"/>
                <w:shd w:val="clear" w:color="auto" w:fill="auto"/>
              </w:rPr>
              <w:t>%</w:t>
            </w:r>
          </w:p>
        </w:tc>
        <w:tc>
          <w:tcPr>
            <w:tcW w:w="1530" w:type="dxa"/>
            <w:tcBorders>
              <w:top w:val="single" w:color="auto" w:sz="6" w:space="0"/>
              <w:left w:val="single" w:color="auto" w:sz="6" w:space="0"/>
              <w:bottom w:val="single" w:color="auto" w:sz="6" w:space="0"/>
              <w:right w:val="single" w:color="auto" w:sz="2" w:space="0"/>
            </w:tcBorders>
            <w:vAlign w:val="center"/>
          </w:tcPr>
          <w:p w14:paraId="0C9B2276">
            <w:pPr>
              <w:pStyle w:val="29"/>
              <w:snapToGrid w:val="0"/>
              <w:jc w:val="center"/>
              <w:rPr>
                <w:rFonts w:hAnsi="宋体"/>
                <w:color w:val="auto"/>
                <w:highlight w:val="none"/>
                <w:shd w:val="clear" w:color="auto" w:fill="auto"/>
              </w:rPr>
            </w:pPr>
          </w:p>
        </w:tc>
      </w:tr>
    </w:tbl>
    <w:p w14:paraId="40A54B2B">
      <w:pPr>
        <w:snapToGrid w:val="0"/>
        <w:spacing w:before="100" w:beforeAutospacing="1" w:after="100" w:afterAutospacing="1" w:line="360" w:lineRule="auto"/>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14:paraId="23846AB0">
      <w:pPr>
        <w:snapToGrid w:val="0"/>
        <w:spacing w:before="100" w:beforeAutospacing="1" w:after="100" w:afterAutospacing="1" w:line="480" w:lineRule="auto"/>
        <w:rPr>
          <w:rFonts w:hint="eastAsia" w:ascii="宋体" w:hAnsi="宋体"/>
          <w:color w:val="auto"/>
          <w:szCs w:val="21"/>
          <w:highlight w:val="non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14:paraId="15761ECD">
      <w:pPr>
        <w:snapToGrid w:val="0"/>
        <w:spacing w:before="50" w:after="156" w:afterLines="50" w:line="360" w:lineRule="exact"/>
        <w:jc w:val="left"/>
        <w:rPr>
          <w:rFonts w:hint="eastAsia" w:ascii="宋体" w:hAnsi="宋体"/>
          <w:color w:val="auto"/>
          <w:szCs w:val="21"/>
          <w:highlight w:val="none"/>
          <w:shd w:val="clear" w:color="auto" w:fill="auto"/>
        </w:rPr>
      </w:pPr>
    </w:p>
    <w:p w14:paraId="2B042F92">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（7）投标人对本项目的合理化建议和改进措施（格式自拟）</w:t>
      </w:r>
    </w:p>
    <w:p w14:paraId="0893694E">
      <w:pPr>
        <w:snapToGrid w:val="0"/>
        <w:spacing w:before="50" w:after="156" w:afterLines="50"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（8）投标人需要说明的其他文件和说明（格式自拟）</w:t>
      </w:r>
    </w:p>
    <w:p w14:paraId="3C85E4FA">
      <w:pPr>
        <w:snapToGrid w:val="0"/>
        <w:spacing w:line="36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▲（9）招标项目采购需求中要求必须提供的材料。（招标项目采购需求中要求必须提供的材料，据实提供）</w:t>
      </w:r>
    </w:p>
    <w:p w14:paraId="4CA7AE1B">
      <w:pPr>
        <w:snapToGrid w:val="0"/>
        <w:spacing w:before="50" w:line="360" w:lineRule="exact"/>
        <w:jc w:val="left"/>
        <w:rPr>
          <w:rFonts w:hint="eastAsia" w:ascii="宋体" w:hAnsi="宋体"/>
          <w:b/>
          <w:color w:val="auto"/>
          <w:szCs w:val="21"/>
          <w:highlight w:val="none"/>
          <w:shd w:val="clear" w:color="auto" w:fill="auto"/>
        </w:rPr>
      </w:pPr>
    </w:p>
    <w:p w14:paraId="19D55599">
      <w:pPr>
        <w:snapToGrid w:val="0"/>
        <w:spacing w:before="156" w:beforeLines="50" w:after="50" w:line="360" w:lineRule="exac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四）报价文件部分 （格式）</w:t>
      </w:r>
    </w:p>
    <w:p w14:paraId="2AA03733">
      <w:pPr>
        <w:snapToGrid w:val="0"/>
        <w:spacing w:before="156" w:beforeLines="50" w:after="50"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（1）投标函格式：</w:t>
      </w:r>
    </w:p>
    <w:p w14:paraId="2AD50D1B">
      <w:pPr>
        <w:snapToGrid w:val="0"/>
        <w:spacing w:before="156" w:beforeLines="50" w:after="50" w:line="360" w:lineRule="exact"/>
        <w:jc w:val="cente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投 标 函</w:t>
      </w:r>
    </w:p>
    <w:p w14:paraId="545759D2">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致：</w:t>
      </w:r>
      <w:r>
        <w:rPr>
          <w:rFonts w:hint="eastAsia"/>
          <w:color w:val="auto"/>
          <w:highlight w:val="none"/>
          <w:u w:val="single"/>
          <w:shd w:val="clear" w:color="auto" w:fill="auto"/>
        </w:rPr>
        <w:t>广西壮族自治区政府采购中心</w:t>
      </w:r>
      <w:r>
        <w:rPr>
          <w:rFonts w:hint="eastAsia" w:ascii="宋体" w:hAnsi="宋体"/>
          <w:color w:val="auto"/>
          <w:szCs w:val="21"/>
          <w:highlight w:val="none"/>
          <w:shd w:val="clear" w:color="auto" w:fill="auto"/>
        </w:rPr>
        <w:t>：</w:t>
      </w:r>
    </w:p>
    <w:p w14:paraId="1BE381E7">
      <w:pPr>
        <w:snapToGrid w:val="0"/>
        <w:spacing w:line="500" w:lineRule="exact"/>
        <w:ind w:firstLine="48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根据贵方为</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项目的招标公告（项目编号：____</w:t>
      </w:r>
      <w:r>
        <w:rPr>
          <w:rFonts w:hint="eastAsia" w:ascii="宋体" w:hAnsi="宋体"/>
          <w:color w:val="auto"/>
          <w:szCs w:val="21"/>
          <w:highlight w:val="none"/>
          <w:u w:val="single"/>
          <w:shd w:val="clear" w:color="auto" w:fill="auto"/>
        </w:rPr>
        <w:t>_     _</w:t>
      </w:r>
      <w:r>
        <w:rPr>
          <w:rFonts w:hint="eastAsia" w:ascii="宋体" w:hAnsi="宋体"/>
          <w:color w:val="auto"/>
          <w:szCs w:val="21"/>
          <w:highlight w:val="none"/>
          <w:shd w:val="clear" w:color="auto" w:fill="auto"/>
        </w:rPr>
        <w:t>_），签字代表______</w:t>
      </w:r>
      <w:r>
        <w:rPr>
          <w:rFonts w:hint="eastAsia" w:ascii="宋体" w:hAnsi="宋体"/>
          <w:color w:val="auto"/>
          <w:szCs w:val="21"/>
          <w:highlight w:val="none"/>
          <w:u w:val="single"/>
          <w:shd w:val="clear" w:color="auto" w:fill="auto"/>
        </w:rPr>
        <w:t xml:space="preserve">_     </w:t>
      </w:r>
      <w:r>
        <w:rPr>
          <w:rFonts w:hint="eastAsia" w:ascii="宋体" w:hAnsi="宋体"/>
          <w:color w:val="auto"/>
          <w:szCs w:val="21"/>
          <w:highlight w:val="none"/>
          <w:shd w:val="clear" w:color="auto" w:fill="auto"/>
        </w:rPr>
        <w:t>（全名）经正式授权并代表投标人_____</w:t>
      </w:r>
      <w:r>
        <w:rPr>
          <w:rFonts w:hint="eastAsia" w:ascii="宋体" w:hAnsi="宋体"/>
          <w:color w:val="auto"/>
          <w:szCs w:val="21"/>
          <w:highlight w:val="none"/>
          <w:u w:val="single"/>
          <w:shd w:val="clear" w:color="auto" w:fill="auto"/>
        </w:rPr>
        <w:t>__                    __</w:t>
      </w:r>
      <w:r>
        <w:rPr>
          <w:rFonts w:hint="eastAsia" w:ascii="宋体" w:hAnsi="宋体"/>
          <w:color w:val="auto"/>
          <w:szCs w:val="21"/>
          <w:highlight w:val="none"/>
          <w:shd w:val="clear" w:color="auto" w:fill="auto"/>
        </w:rPr>
        <w:t>（投标人名称）上传并提交加密的电子投标文件一份。</w:t>
      </w:r>
    </w:p>
    <w:p w14:paraId="42B04427">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据此函，签字代表宣布同意如下：</w:t>
      </w:r>
    </w:p>
    <w:p w14:paraId="388685CE">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1.投标人已详细审查全部“招标文件”，包括修改文件（如有的话）以及全部参考资料和有关附件，已经了解我方对于招标文件、采购过程、采购结果有依法进行询问、质疑、投诉的权利及相关渠道和要求。</w:t>
      </w:r>
    </w:p>
    <w:p w14:paraId="3130C19A">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2.投标人在投标之前已经与贵方进行了充分的沟通，完全理解并接受招标文件的各项规定和要求，对招标文件的合理性、合法性不再有异议。</w:t>
      </w:r>
    </w:p>
    <w:p w14:paraId="5861BEE7">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3.本投标有效期自开标日起 ______个</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日（自然日）。</w:t>
      </w:r>
    </w:p>
    <w:p w14:paraId="4CB27E3F">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4.如中标，本投标文件至本项目合同履行完毕止均保持有效，本投标人将按“招标文件”及政府采购法律、法规的规定履行合同责任和义务。</w:t>
      </w:r>
    </w:p>
    <w:p w14:paraId="5DFB36A8">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5.投标人同意按照贵方要求提供与投标有关的一切数据或资料。</w:t>
      </w:r>
    </w:p>
    <w:p w14:paraId="2198E0BF">
      <w:pPr>
        <w:snapToGrid w:val="0"/>
        <w:spacing w:line="50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6.与本投标有关的一切正式往来信函请寄：</w:t>
      </w:r>
    </w:p>
    <w:p w14:paraId="2B04E0A0">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地址：______________________</w:t>
      </w:r>
      <w:r>
        <w:rPr>
          <w:rFonts w:hint="eastAsia" w:ascii="宋体" w:hAnsi="宋体"/>
          <w:color w:val="auto"/>
          <w:szCs w:val="21"/>
          <w:highlight w:val="none"/>
          <w:u w:val="single"/>
          <w:shd w:val="clear" w:color="auto" w:fill="auto"/>
        </w:rPr>
        <w:t>_</w:t>
      </w:r>
      <w:r>
        <w:rPr>
          <w:rFonts w:hint="eastAsia" w:ascii="宋体" w:hAnsi="宋体"/>
          <w:color w:val="auto"/>
          <w:szCs w:val="21"/>
          <w:highlight w:val="none"/>
          <w:shd w:val="clear" w:color="auto" w:fill="auto"/>
        </w:rPr>
        <w:t>___邮编：__________   电话：______________</w:t>
      </w:r>
    </w:p>
    <w:p w14:paraId="71F670DE">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传真：______________投标人代表姓名 ___________  职务：_____________</w:t>
      </w:r>
    </w:p>
    <w:p w14:paraId="195E1116">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投标人名称(公章):___________________</w:t>
      </w:r>
    </w:p>
    <w:p w14:paraId="6059AD87">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开户银行：</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银行账号：</w:t>
      </w:r>
      <w:r>
        <w:rPr>
          <w:rFonts w:hint="eastAsia" w:ascii="宋体" w:hAnsi="宋体"/>
          <w:color w:val="auto"/>
          <w:szCs w:val="21"/>
          <w:highlight w:val="none"/>
          <w:u w:val="single"/>
          <w:shd w:val="clear" w:color="auto" w:fill="auto"/>
        </w:rPr>
        <w:t xml:space="preserve">                    </w:t>
      </w:r>
      <w:r>
        <w:rPr>
          <w:rFonts w:hint="eastAsia" w:ascii="宋体" w:hAnsi="宋体"/>
          <w:color w:val="auto"/>
          <w:szCs w:val="21"/>
          <w:highlight w:val="none"/>
          <w:shd w:val="clear" w:color="auto" w:fill="auto"/>
        </w:rPr>
        <w:t xml:space="preserve"> </w:t>
      </w:r>
    </w:p>
    <w:p w14:paraId="0A9A7033">
      <w:pPr>
        <w:snapToGrid w:val="0"/>
        <w:spacing w:line="5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:___________                 日期:_____年___月___日</w:t>
      </w:r>
    </w:p>
    <w:p w14:paraId="3E866A94">
      <w:pPr>
        <w:pStyle w:val="29"/>
        <w:snapToGrid w:val="0"/>
        <w:spacing w:line="500" w:lineRule="exact"/>
        <w:ind w:firstLine="5670" w:firstLineChars="2700"/>
        <w:rPr>
          <w:rFonts w:hint="eastAsia" w:hAnsi="宋体"/>
          <w:color w:val="auto"/>
          <w:highlight w:val="none"/>
          <w:shd w:val="clear" w:color="auto" w:fill="auto"/>
        </w:rPr>
      </w:pPr>
      <w:r>
        <w:rPr>
          <w:rFonts w:hint="eastAsia" w:hAnsi="宋体"/>
          <w:color w:val="auto"/>
          <w:highlight w:val="none"/>
          <w:shd w:val="clear" w:color="auto" w:fill="auto"/>
        </w:rPr>
        <w:t>(公章)</w:t>
      </w:r>
    </w:p>
    <w:p w14:paraId="11722BB1">
      <w:pPr>
        <w:pStyle w:val="29"/>
        <w:snapToGrid w:val="0"/>
        <w:spacing w:line="500" w:lineRule="exact"/>
        <w:ind w:firstLine="5565" w:firstLineChars="2650"/>
        <w:rPr>
          <w:rFonts w:hint="eastAsia" w:hAnsi="宋体"/>
          <w:color w:val="auto"/>
          <w:highlight w:val="none"/>
          <w:shd w:val="clear" w:color="auto" w:fill="auto"/>
        </w:rPr>
      </w:pPr>
      <w:r>
        <w:rPr>
          <w:rFonts w:hint="eastAsia" w:hAnsi="宋体"/>
          <w:color w:val="auto"/>
          <w:highlight w:val="none"/>
          <w:shd w:val="clear" w:color="auto" w:fill="auto"/>
        </w:rPr>
        <w:t>年___月___日</w:t>
      </w:r>
    </w:p>
    <w:p w14:paraId="3806A7CE">
      <w:pPr>
        <w:snapToGrid w:val="0"/>
        <w:spacing w:before="156" w:beforeLines="50" w:after="50" w:line="360" w:lineRule="exact"/>
        <w:rPr>
          <w:rFonts w:hint="eastAsia" w:ascii="宋体" w:hAnsi="宋体"/>
          <w:b/>
          <w:color w:val="auto"/>
          <w:szCs w:val="21"/>
          <w:highlight w:val="none"/>
          <w:shd w:val="clear" w:color="auto" w:fill="auto"/>
        </w:rPr>
      </w:pPr>
    </w:p>
    <w:p w14:paraId="1429FB93">
      <w:pPr>
        <w:snapToGrid w:val="0"/>
        <w:spacing w:before="156" w:beforeLines="50" w:after="50" w:line="360" w:lineRule="exact"/>
        <w:rPr>
          <w:rFonts w:hint="eastAsia" w:ascii="宋体" w:hAnsi="宋体"/>
          <w:b/>
          <w:color w:val="auto"/>
          <w:szCs w:val="21"/>
          <w:highlight w:val="none"/>
          <w:shd w:val="clear" w:color="auto" w:fill="auto"/>
        </w:rPr>
      </w:pPr>
    </w:p>
    <w:p w14:paraId="3EE9D8EF">
      <w:pPr>
        <w:snapToGrid w:val="0"/>
        <w:spacing w:before="156" w:beforeLines="50" w:after="50" w:line="360" w:lineRule="exact"/>
        <w:rPr>
          <w:rFonts w:hint="eastAsia" w:ascii="宋体" w:hAnsi="宋体"/>
          <w:b/>
          <w:color w:val="auto"/>
          <w:szCs w:val="21"/>
          <w:highlight w:val="none"/>
          <w:shd w:val="clear" w:color="auto" w:fill="auto"/>
        </w:rPr>
      </w:pPr>
    </w:p>
    <w:p w14:paraId="3904C9CF">
      <w:pPr>
        <w:snapToGrid w:val="0"/>
        <w:spacing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（2）投标报价明细表格式</w:t>
      </w:r>
    </w:p>
    <w:p w14:paraId="68B73EBA">
      <w:pPr>
        <w:pStyle w:val="29"/>
        <w:snapToGrid w:val="0"/>
        <w:spacing w:line="360" w:lineRule="exact"/>
        <w:ind w:firstLine="105" w:firstLineChars="50"/>
        <w:rPr>
          <w:rFonts w:hint="eastAsia" w:hAnsi="宋体"/>
          <w:color w:val="auto"/>
          <w:highlight w:val="none"/>
          <w:shd w:val="clear" w:color="auto" w:fill="auto"/>
        </w:rPr>
      </w:pPr>
      <w:r>
        <w:rPr>
          <w:rFonts w:hint="eastAsia" w:hAnsi="宋体"/>
          <w:color w:val="auto"/>
          <w:highlight w:val="none"/>
          <w:shd w:val="clear" w:color="auto" w:fill="auto"/>
        </w:rPr>
        <w:t xml:space="preserve">                                                金额单位：人民币（元）</w:t>
      </w:r>
    </w:p>
    <w:tbl>
      <w:tblPr>
        <w:tblStyle w:val="53"/>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14:paraId="6DA26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14:paraId="2A89B4F7">
            <w:pPr>
              <w:tabs>
                <w:tab w:val="left" w:pos="1418"/>
              </w:tabs>
              <w:snapToGrid w:val="0"/>
              <w:spacing w:before="50" w:after="50" w:line="360" w:lineRule="exact"/>
              <w:jc w:val="center"/>
              <w:rPr>
                <w:rFonts w:ascii="宋体" w:hAnsi="宋体"/>
                <w:color w:val="auto"/>
                <w:spacing w:val="20"/>
                <w:szCs w:val="21"/>
                <w:highlight w:val="none"/>
                <w:shd w:val="clear" w:color="auto" w:fill="auto"/>
              </w:rPr>
            </w:pPr>
            <w:r>
              <w:rPr>
                <w:rFonts w:hint="eastAsia" w:ascii="宋体" w:hAnsi="宋体"/>
                <w:color w:val="auto"/>
                <w:szCs w:val="21"/>
                <w:highlight w:val="none"/>
                <w:shd w:val="clear" w:color="auto" w:fill="auto"/>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39BBA7B6">
            <w:pPr>
              <w:tabs>
                <w:tab w:val="left" w:pos="1418"/>
              </w:tabs>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设备名称</w:t>
            </w:r>
          </w:p>
        </w:tc>
        <w:tc>
          <w:tcPr>
            <w:tcW w:w="1260" w:type="dxa"/>
            <w:tcBorders>
              <w:top w:val="single" w:color="auto" w:sz="4" w:space="0"/>
              <w:left w:val="single" w:color="auto" w:sz="4" w:space="0"/>
              <w:bottom w:val="single" w:color="auto" w:sz="4" w:space="0"/>
              <w:right w:val="single" w:color="auto" w:sz="4" w:space="0"/>
            </w:tcBorders>
            <w:vAlign w:val="center"/>
          </w:tcPr>
          <w:p w14:paraId="38086AD7">
            <w:pPr>
              <w:pStyle w:val="245"/>
              <w:jc w:val="center"/>
              <w:rPr>
                <w:color w:val="auto"/>
                <w:highlight w:val="none"/>
                <w:shd w:val="clear" w:color="auto" w:fill="auto"/>
              </w:rPr>
            </w:pPr>
            <w:r>
              <w:rPr>
                <w:rFonts w:hint="eastAsia"/>
                <w:b w:val="0"/>
                <w:bCs/>
                <w:color w:val="auto"/>
                <w:highlight w:val="none"/>
                <w:shd w:val="clear" w:color="auto" w:fill="auto"/>
              </w:rPr>
              <w:t>品牌</w:t>
            </w:r>
          </w:p>
        </w:tc>
        <w:tc>
          <w:tcPr>
            <w:tcW w:w="1080" w:type="dxa"/>
            <w:tcBorders>
              <w:top w:val="single" w:color="auto" w:sz="4" w:space="0"/>
              <w:left w:val="single" w:color="auto" w:sz="4" w:space="0"/>
              <w:bottom w:val="single" w:color="auto" w:sz="4" w:space="0"/>
              <w:right w:val="single" w:color="auto" w:sz="4" w:space="0"/>
            </w:tcBorders>
            <w:vAlign w:val="center"/>
          </w:tcPr>
          <w:p w14:paraId="3ABA8D5C">
            <w:pPr>
              <w:tabs>
                <w:tab w:val="left" w:pos="1418"/>
              </w:tabs>
              <w:snapToGrid w:val="0"/>
              <w:spacing w:before="50" w:after="50" w:line="2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规格型号</w:t>
            </w:r>
          </w:p>
        </w:tc>
        <w:tc>
          <w:tcPr>
            <w:tcW w:w="1080" w:type="dxa"/>
            <w:tcBorders>
              <w:top w:val="single" w:color="auto" w:sz="4" w:space="0"/>
              <w:left w:val="single" w:color="auto" w:sz="4" w:space="0"/>
              <w:bottom w:val="single" w:color="auto" w:sz="4" w:space="0"/>
              <w:right w:val="single" w:color="auto" w:sz="4" w:space="0"/>
            </w:tcBorders>
            <w:vAlign w:val="center"/>
          </w:tcPr>
          <w:p w14:paraId="0BBB962D">
            <w:pPr>
              <w:tabs>
                <w:tab w:val="left" w:pos="1418"/>
              </w:tabs>
              <w:snapToGrid w:val="0"/>
              <w:spacing w:before="50" w:after="50" w:line="2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生产厂家</w:t>
            </w:r>
          </w:p>
        </w:tc>
        <w:tc>
          <w:tcPr>
            <w:tcW w:w="1620" w:type="dxa"/>
            <w:tcBorders>
              <w:top w:val="single" w:color="auto" w:sz="4" w:space="0"/>
              <w:left w:val="single" w:color="auto" w:sz="4" w:space="0"/>
              <w:bottom w:val="single" w:color="auto" w:sz="4" w:space="0"/>
              <w:right w:val="single" w:color="auto" w:sz="4" w:space="0"/>
            </w:tcBorders>
            <w:vAlign w:val="center"/>
          </w:tcPr>
          <w:p w14:paraId="2F9C0810">
            <w:pPr>
              <w:tabs>
                <w:tab w:val="left" w:pos="1418"/>
              </w:tabs>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单位及数量</w:t>
            </w:r>
          </w:p>
        </w:tc>
        <w:tc>
          <w:tcPr>
            <w:tcW w:w="900" w:type="dxa"/>
            <w:tcBorders>
              <w:top w:val="single" w:color="auto" w:sz="4" w:space="0"/>
              <w:left w:val="single" w:color="auto" w:sz="4" w:space="0"/>
              <w:bottom w:val="single" w:color="auto" w:sz="4" w:space="0"/>
              <w:right w:val="single" w:color="auto" w:sz="4" w:space="0"/>
            </w:tcBorders>
            <w:vAlign w:val="center"/>
          </w:tcPr>
          <w:p w14:paraId="7E206053">
            <w:pPr>
              <w:tabs>
                <w:tab w:val="left" w:pos="1418"/>
              </w:tabs>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单价</w:t>
            </w:r>
          </w:p>
        </w:tc>
        <w:tc>
          <w:tcPr>
            <w:tcW w:w="1620" w:type="dxa"/>
            <w:tcBorders>
              <w:top w:val="single" w:color="auto" w:sz="4" w:space="0"/>
              <w:left w:val="single" w:color="auto" w:sz="4" w:space="0"/>
              <w:bottom w:val="single" w:color="auto" w:sz="4" w:space="0"/>
              <w:right w:val="single" w:color="auto" w:sz="4" w:space="0"/>
            </w:tcBorders>
            <w:vAlign w:val="center"/>
          </w:tcPr>
          <w:p w14:paraId="3D67D779">
            <w:pPr>
              <w:tabs>
                <w:tab w:val="left" w:pos="1418"/>
              </w:tabs>
              <w:snapToGrid w:val="0"/>
              <w:spacing w:before="50" w:after="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金额</w:t>
            </w:r>
          </w:p>
        </w:tc>
      </w:tr>
      <w:tr w14:paraId="3602B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14:paraId="755EFCBD">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tcPr>
          <w:p w14:paraId="03ED657C">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tcPr>
          <w:p w14:paraId="40E6E44B">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tcPr>
          <w:p w14:paraId="4106E6C2">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tcPr>
          <w:p w14:paraId="49327C78">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tcPr>
          <w:p w14:paraId="67DEE0AB">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900" w:type="dxa"/>
            <w:tcBorders>
              <w:top w:val="single" w:color="auto" w:sz="4" w:space="0"/>
              <w:left w:val="single" w:color="auto" w:sz="4" w:space="0"/>
              <w:bottom w:val="single" w:color="auto" w:sz="4" w:space="0"/>
              <w:right w:val="single" w:color="auto" w:sz="4" w:space="0"/>
            </w:tcBorders>
          </w:tcPr>
          <w:p w14:paraId="00CAC920">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tcPr>
          <w:p w14:paraId="41ED9FFA">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r>
      <w:tr w14:paraId="54531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14:paraId="6C8CF804">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tcPr>
          <w:p w14:paraId="2F4F5101">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tcPr>
          <w:p w14:paraId="7B4FAA00">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tcPr>
          <w:p w14:paraId="3CBB636C">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tcPr>
          <w:p w14:paraId="079ABA50">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tcPr>
          <w:p w14:paraId="25943976">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900" w:type="dxa"/>
            <w:tcBorders>
              <w:top w:val="single" w:color="auto" w:sz="4" w:space="0"/>
              <w:left w:val="single" w:color="auto" w:sz="4" w:space="0"/>
              <w:bottom w:val="single" w:color="auto" w:sz="4" w:space="0"/>
              <w:right w:val="single" w:color="auto" w:sz="4" w:space="0"/>
            </w:tcBorders>
          </w:tcPr>
          <w:p w14:paraId="64DC1930">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tcPr>
          <w:p w14:paraId="194B7E86">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r>
      <w:tr w14:paraId="7114C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14:paraId="099D2C6B">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260" w:type="dxa"/>
            <w:tcBorders>
              <w:top w:val="single" w:color="auto" w:sz="4" w:space="0"/>
              <w:left w:val="single" w:color="auto" w:sz="4" w:space="0"/>
              <w:bottom w:val="single" w:color="auto" w:sz="4" w:space="0"/>
              <w:right w:val="single" w:color="auto" w:sz="4" w:space="0"/>
            </w:tcBorders>
          </w:tcPr>
          <w:p w14:paraId="06C23DBD">
            <w:pPr>
              <w:tabs>
                <w:tab w:val="left" w:pos="1418"/>
              </w:tabs>
              <w:snapToGrid w:val="0"/>
              <w:spacing w:before="50" w:after="50" w:line="360" w:lineRule="exact"/>
              <w:jc w:val="center"/>
              <w:rPr>
                <w:rFonts w:ascii="宋体" w:hAnsi="宋体"/>
                <w:color w:val="auto"/>
                <w:spacing w:val="20"/>
                <w:szCs w:val="21"/>
                <w:highlight w:val="none"/>
                <w:shd w:val="clear" w:color="auto" w:fill="auto"/>
              </w:rPr>
            </w:pPr>
            <w:r>
              <w:rPr>
                <w:rFonts w:hint="eastAsia" w:ascii="宋体" w:hAnsi="宋体"/>
                <w:color w:val="auto"/>
                <w:spacing w:val="20"/>
                <w:szCs w:val="21"/>
                <w:highlight w:val="none"/>
                <w:shd w:val="clear" w:color="auto" w:fill="auto"/>
              </w:rPr>
              <w:t>……</w:t>
            </w:r>
          </w:p>
        </w:tc>
        <w:tc>
          <w:tcPr>
            <w:tcW w:w="1260" w:type="dxa"/>
            <w:tcBorders>
              <w:top w:val="single" w:color="auto" w:sz="4" w:space="0"/>
              <w:left w:val="single" w:color="auto" w:sz="4" w:space="0"/>
              <w:bottom w:val="single" w:color="auto" w:sz="4" w:space="0"/>
              <w:right w:val="single" w:color="auto" w:sz="4" w:space="0"/>
            </w:tcBorders>
          </w:tcPr>
          <w:p w14:paraId="75CD235C">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tcPr>
          <w:p w14:paraId="698B6DB6">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080" w:type="dxa"/>
            <w:tcBorders>
              <w:top w:val="single" w:color="auto" w:sz="4" w:space="0"/>
              <w:left w:val="single" w:color="auto" w:sz="4" w:space="0"/>
              <w:bottom w:val="single" w:color="auto" w:sz="4" w:space="0"/>
              <w:right w:val="single" w:color="auto" w:sz="4" w:space="0"/>
            </w:tcBorders>
          </w:tcPr>
          <w:p w14:paraId="4EE2F19F">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tcPr>
          <w:p w14:paraId="01531EB1">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900" w:type="dxa"/>
            <w:tcBorders>
              <w:top w:val="single" w:color="auto" w:sz="4" w:space="0"/>
              <w:left w:val="single" w:color="auto" w:sz="4" w:space="0"/>
              <w:bottom w:val="single" w:color="auto" w:sz="4" w:space="0"/>
              <w:right w:val="single" w:color="auto" w:sz="4" w:space="0"/>
            </w:tcBorders>
          </w:tcPr>
          <w:p w14:paraId="26E1A42A">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c>
          <w:tcPr>
            <w:tcW w:w="1620" w:type="dxa"/>
            <w:tcBorders>
              <w:top w:val="single" w:color="auto" w:sz="4" w:space="0"/>
              <w:left w:val="single" w:color="auto" w:sz="4" w:space="0"/>
              <w:bottom w:val="single" w:color="auto" w:sz="4" w:space="0"/>
              <w:right w:val="single" w:color="auto" w:sz="4" w:space="0"/>
            </w:tcBorders>
          </w:tcPr>
          <w:p w14:paraId="609B1A29">
            <w:pPr>
              <w:tabs>
                <w:tab w:val="left" w:pos="1418"/>
              </w:tabs>
              <w:snapToGrid w:val="0"/>
              <w:spacing w:before="50" w:after="50" w:line="360" w:lineRule="exact"/>
              <w:jc w:val="center"/>
              <w:rPr>
                <w:rFonts w:ascii="宋体" w:hAnsi="宋体"/>
                <w:color w:val="auto"/>
                <w:spacing w:val="20"/>
                <w:szCs w:val="21"/>
                <w:highlight w:val="none"/>
                <w:shd w:val="clear" w:color="auto" w:fill="auto"/>
              </w:rPr>
            </w:pPr>
          </w:p>
        </w:tc>
      </w:tr>
      <w:tr w14:paraId="6EC58D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00" w:type="dxa"/>
            <w:gridSpan w:val="7"/>
            <w:tcBorders>
              <w:top w:val="single" w:color="auto" w:sz="4" w:space="0"/>
              <w:left w:val="single" w:color="auto" w:sz="4" w:space="0"/>
              <w:bottom w:val="single" w:color="auto" w:sz="4" w:space="0"/>
              <w:right w:val="single" w:color="auto" w:sz="4" w:space="0"/>
            </w:tcBorders>
            <w:vAlign w:val="center"/>
          </w:tcPr>
          <w:p w14:paraId="4C5BADA8">
            <w:pPr>
              <w:tabs>
                <w:tab w:val="left" w:pos="1418"/>
              </w:tabs>
              <w:snapToGrid w:val="0"/>
              <w:spacing w:before="50" w:after="50" w:line="360" w:lineRule="exact"/>
              <w:rPr>
                <w:rFonts w:ascii="宋体" w:hAnsi="宋体"/>
                <w:color w:val="auto"/>
                <w:spacing w:val="20"/>
                <w:szCs w:val="21"/>
                <w:highlight w:val="none"/>
                <w:shd w:val="clear" w:color="auto" w:fill="auto"/>
              </w:rPr>
            </w:pPr>
            <w:r>
              <w:rPr>
                <w:rFonts w:hint="eastAsia" w:hAnsi="宋体"/>
                <w:color w:val="auto"/>
                <w:highlight w:val="none"/>
                <w:shd w:val="clear" w:color="auto" w:fill="auto"/>
              </w:rPr>
              <w:t>分标</w:t>
            </w:r>
            <w:r>
              <w:rPr>
                <w:rFonts w:hint="eastAsia" w:hAnsi="宋体"/>
                <w:color w:val="auto"/>
                <w:highlight w:val="none"/>
                <w:u w:val="single"/>
                <w:shd w:val="clear" w:color="auto" w:fill="auto"/>
                <w:lang w:val="en-US" w:eastAsia="zh-CN"/>
              </w:rPr>
              <w:t xml:space="preserve">      </w:t>
            </w:r>
            <w:r>
              <w:rPr>
                <w:rFonts w:hint="eastAsia" w:ascii="宋体" w:hAnsi="宋体"/>
                <w:color w:val="auto"/>
                <w:szCs w:val="21"/>
                <w:highlight w:val="none"/>
                <w:shd w:val="clear" w:color="auto" w:fill="auto"/>
              </w:rPr>
              <w:t>合计金额大写：</w:t>
            </w:r>
          </w:p>
        </w:tc>
        <w:tc>
          <w:tcPr>
            <w:tcW w:w="1620" w:type="dxa"/>
            <w:tcBorders>
              <w:top w:val="single" w:color="auto" w:sz="4" w:space="0"/>
              <w:left w:val="single" w:color="auto" w:sz="4" w:space="0"/>
              <w:bottom w:val="single" w:color="auto" w:sz="4" w:space="0"/>
              <w:right w:val="single" w:color="auto" w:sz="4" w:space="0"/>
            </w:tcBorders>
            <w:vAlign w:val="center"/>
          </w:tcPr>
          <w:p w14:paraId="221CC2E5">
            <w:pPr>
              <w:tabs>
                <w:tab w:val="left" w:pos="1418"/>
              </w:tabs>
              <w:snapToGrid w:val="0"/>
              <w:spacing w:before="50" w:after="50" w:line="360" w:lineRule="exact"/>
              <w:rPr>
                <w:rFonts w:ascii="宋体" w:hAnsi="宋体"/>
                <w:color w:val="auto"/>
                <w:spacing w:val="20"/>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color w:val="auto"/>
                <w:szCs w:val="21"/>
                <w:highlight w:val="none"/>
                <w:u w:val="single"/>
                <w:shd w:val="clear" w:color="auto" w:fill="auto"/>
              </w:rPr>
              <w:t xml:space="preserve">            </w:t>
            </w:r>
          </w:p>
        </w:tc>
      </w:tr>
    </w:tbl>
    <w:p w14:paraId="6D9B7CFF">
      <w:pPr>
        <w:tabs>
          <w:tab w:val="left" w:pos="1418"/>
        </w:tabs>
        <w:snapToGrid w:val="0"/>
        <w:ind w:left="1418" w:hanging="567"/>
        <w:jc w:val="center"/>
        <w:rPr>
          <w:rFonts w:hint="eastAsia" w:ascii="宋体" w:hAnsi="宋体"/>
          <w:color w:val="auto"/>
          <w:spacing w:val="20"/>
          <w:szCs w:val="21"/>
          <w:highlight w:val="none"/>
          <w:u w:val="single"/>
          <w:shd w:val="clear" w:color="auto" w:fill="auto"/>
        </w:rPr>
      </w:pPr>
    </w:p>
    <w:p w14:paraId="10DE0E5D">
      <w:pPr>
        <w:snapToGrid w:val="0"/>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default" w:ascii="宋体" w:hAnsi="宋体"/>
          <w:color w:val="auto"/>
          <w:szCs w:val="21"/>
          <w:highlight w:val="none"/>
          <w:shd w:val="clear" w:color="auto" w:fill="auto"/>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14:paraId="780E9BD2">
      <w:pPr>
        <w:snapToGrid w:val="0"/>
        <w:rPr>
          <w:rFonts w:hint="eastAsia" w:ascii="宋体" w:hAnsi="宋体"/>
          <w:color w:val="auto"/>
          <w:spacing w:val="20"/>
          <w:szCs w:val="21"/>
          <w:highlight w:val="none"/>
          <w:u w:val="single"/>
          <w:shd w:val="clear" w:color="auto" w:fill="auto"/>
        </w:rPr>
      </w:pPr>
    </w:p>
    <w:p w14:paraId="6EAAB1A8">
      <w:pPr>
        <w:snapToGrid w:val="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投标人盖章：                               日  期：         </w:t>
      </w:r>
    </w:p>
    <w:p w14:paraId="5FB81C61">
      <w:pPr>
        <w:snapToGrid w:val="0"/>
        <w:rPr>
          <w:rFonts w:hint="eastAsia" w:ascii="宋体" w:hAnsi="宋体"/>
          <w:b/>
          <w:color w:val="auto"/>
          <w:szCs w:val="21"/>
          <w:highlight w:val="none"/>
          <w:shd w:val="clear" w:color="auto" w:fill="auto"/>
        </w:rPr>
      </w:pPr>
    </w:p>
    <w:p w14:paraId="6DF46388">
      <w:pPr>
        <w:snapToGrid w:val="0"/>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w:t>
      </w:r>
      <w:r>
        <w:rPr>
          <w:rFonts w:hint="eastAsia" w:ascii="宋体" w:hAnsi="宋体"/>
          <w:color w:val="auto"/>
          <w:szCs w:val="21"/>
          <w:highlight w:val="none"/>
          <w:shd w:val="clear" w:color="auto" w:fill="auto"/>
        </w:rPr>
        <w:t>投标人针对报价需要说明的其他文件和说明（格式自拟）</w:t>
      </w:r>
    </w:p>
    <w:p w14:paraId="199FFEC3">
      <w:pPr>
        <w:snapToGrid w:val="0"/>
        <w:ind w:firstLine="422" w:firstLineChars="200"/>
        <w:rPr>
          <w:rFonts w:hint="eastAsia" w:ascii="宋体" w:hAnsi="宋体"/>
          <w:b/>
          <w:color w:val="auto"/>
          <w:szCs w:val="21"/>
          <w:highlight w:val="none"/>
          <w:shd w:val="clear" w:color="auto" w:fill="auto"/>
        </w:rPr>
      </w:pPr>
    </w:p>
    <w:p w14:paraId="30AA90E4">
      <w:pPr>
        <w:snapToGrid w:val="0"/>
        <w:spacing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（4）开标一览表</w:t>
      </w:r>
    </w:p>
    <w:p w14:paraId="6232CC0A">
      <w:pPr>
        <w:snapToGrid w:val="0"/>
        <w:spacing w:line="360" w:lineRule="exact"/>
        <w:jc w:val="cente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开标一览表</w:t>
      </w:r>
    </w:p>
    <w:p w14:paraId="37142C49">
      <w:pPr>
        <w:snapToGrid w:val="0"/>
        <w:spacing w:line="360" w:lineRule="exact"/>
        <w:jc w:val="left"/>
        <w:rPr>
          <w:rFonts w:hint="eastAsia"/>
          <w:color w:val="auto"/>
          <w:highlight w:val="none"/>
          <w:shd w:val="clear" w:color="auto" w:fill="auto"/>
        </w:rPr>
      </w:pPr>
      <w:r>
        <w:rPr>
          <w:rFonts w:hint="eastAsia" w:hAnsi="宋体"/>
          <w:color w:val="auto"/>
          <w:highlight w:val="none"/>
          <w:shd w:val="clear" w:color="auto" w:fill="auto"/>
        </w:rPr>
        <w:t>项目名称：</w:t>
      </w:r>
    </w:p>
    <w:p w14:paraId="182CD216">
      <w:pPr>
        <w:snapToGrid w:val="0"/>
        <w:spacing w:line="360" w:lineRule="exact"/>
        <w:jc w:val="left"/>
        <w:rPr>
          <w:rFonts w:hint="eastAsia" w:ascii="宋体" w:hAnsi="宋体"/>
          <w:b/>
          <w:color w:val="auto"/>
          <w:szCs w:val="21"/>
          <w:highlight w:val="none"/>
          <w:shd w:val="clear" w:color="auto" w:fill="auto"/>
        </w:rPr>
      </w:pPr>
      <w:r>
        <w:rPr>
          <w:rFonts w:hint="eastAsia"/>
          <w:color w:val="auto"/>
          <w:highlight w:val="none"/>
          <w:shd w:val="clear" w:color="auto" w:fill="auto"/>
        </w:rPr>
        <w:t>项目编号：</w:t>
      </w:r>
      <w:r>
        <w:rPr>
          <w:color w:val="auto"/>
          <w:highlight w:val="none"/>
          <w:shd w:val="clear" w:color="auto" w:fill="auto"/>
        </w:rPr>
        <w:t xml:space="preserve">                                        </w:t>
      </w:r>
    </w:p>
    <w:p w14:paraId="73B96183">
      <w:pPr>
        <w:snapToGrid w:val="0"/>
        <w:spacing w:line="360" w:lineRule="exact"/>
        <w:ind w:firstLine="102" w:firstLineChars="49"/>
        <w:jc w:val="left"/>
        <w:rPr>
          <w:rFonts w:hint="eastAsia" w:ascii="宋体" w:hAnsi="宋体"/>
          <w:b/>
          <w:color w:val="auto"/>
          <w:szCs w:val="21"/>
          <w:highlight w:val="none"/>
          <w:shd w:val="clear" w:color="auto" w:fill="auto"/>
        </w:rPr>
      </w:pPr>
      <w:r>
        <w:rPr>
          <w:rFonts w:hint="eastAsia"/>
          <w:color w:val="auto"/>
          <w:highlight w:val="none"/>
          <w:shd w:val="clear" w:color="auto" w:fill="auto"/>
        </w:rPr>
        <w:t xml:space="preserve">                                                金额单位：人民币（元）</w:t>
      </w:r>
    </w:p>
    <w:tbl>
      <w:tblPr>
        <w:tblStyle w:val="53"/>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14:paraId="6C7AD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955CD57">
            <w:pPr>
              <w:snapToGrid w:val="0"/>
              <w:spacing w:before="50" w:after="5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序号</w:t>
            </w:r>
          </w:p>
        </w:tc>
        <w:tc>
          <w:tcPr>
            <w:tcW w:w="1542" w:type="dxa"/>
            <w:tcBorders>
              <w:top w:val="single" w:color="auto" w:sz="4" w:space="0"/>
              <w:left w:val="single" w:color="auto" w:sz="4" w:space="0"/>
              <w:bottom w:val="single" w:color="auto" w:sz="4" w:space="0"/>
              <w:right w:val="single" w:color="auto" w:sz="4" w:space="0"/>
            </w:tcBorders>
            <w:vAlign w:val="center"/>
          </w:tcPr>
          <w:p w14:paraId="473BD383">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设备名称</w:t>
            </w:r>
          </w:p>
        </w:tc>
        <w:tc>
          <w:tcPr>
            <w:tcW w:w="850" w:type="dxa"/>
            <w:tcBorders>
              <w:top w:val="single" w:color="auto" w:sz="4" w:space="0"/>
              <w:left w:val="single" w:color="auto" w:sz="4" w:space="0"/>
              <w:bottom w:val="single" w:color="auto" w:sz="4" w:space="0"/>
              <w:right w:val="single" w:color="auto" w:sz="4" w:space="0"/>
            </w:tcBorders>
            <w:vAlign w:val="center"/>
          </w:tcPr>
          <w:p w14:paraId="5E59730B">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数量</w:t>
            </w:r>
          </w:p>
        </w:tc>
        <w:tc>
          <w:tcPr>
            <w:tcW w:w="749" w:type="dxa"/>
            <w:tcBorders>
              <w:top w:val="single" w:color="auto" w:sz="4" w:space="0"/>
              <w:left w:val="single" w:color="auto" w:sz="4" w:space="0"/>
              <w:bottom w:val="single" w:color="auto" w:sz="4" w:space="0"/>
              <w:right w:val="single" w:color="auto" w:sz="4" w:space="0"/>
            </w:tcBorders>
            <w:vAlign w:val="center"/>
          </w:tcPr>
          <w:p w14:paraId="4F62AA06">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产地</w:t>
            </w:r>
          </w:p>
        </w:tc>
        <w:tc>
          <w:tcPr>
            <w:tcW w:w="1855" w:type="dxa"/>
            <w:tcBorders>
              <w:top w:val="single" w:color="auto" w:sz="4" w:space="0"/>
              <w:left w:val="single" w:color="auto" w:sz="4" w:space="0"/>
              <w:bottom w:val="single" w:color="auto" w:sz="4" w:space="0"/>
              <w:right w:val="single" w:color="auto" w:sz="4" w:space="0"/>
            </w:tcBorders>
            <w:vAlign w:val="center"/>
          </w:tcPr>
          <w:p w14:paraId="7740E4A5">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品牌及厂家</w:t>
            </w:r>
          </w:p>
        </w:tc>
        <w:tc>
          <w:tcPr>
            <w:tcW w:w="1381" w:type="dxa"/>
            <w:tcBorders>
              <w:top w:val="single" w:color="auto" w:sz="4" w:space="0"/>
              <w:left w:val="single" w:color="auto" w:sz="4" w:space="0"/>
              <w:bottom w:val="single" w:color="auto" w:sz="4" w:space="0"/>
              <w:right w:val="single" w:color="auto" w:sz="4" w:space="0"/>
            </w:tcBorders>
            <w:vAlign w:val="center"/>
          </w:tcPr>
          <w:p w14:paraId="747E3CD3">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规格型号</w:t>
            </w:r>
          </w:p>
        </w:tc>
        <w:tc>
          <w:tcPr>
            <w:tcW w:w="751" w:type="dxa"/>
            <w:tcBorders>
              <w:top w:val="single" w:color="auto" w:sz="4" w:space="0"/>
              <w:left w:val="single" w:color="auto" w:sz="4" w:space="0"/>
              <w:bottom w:val="single" w:color="auto" w:sz="4" w:space="0"/>
              <w:right w:val="single" w:color="auto" w:sz="4" w:space="0"/>
            </w:tcBorders>
            <w:vAlign w:val="center"/>
          </w:tcPr>
          <w:p w14:paraId="32524906">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单价</w:t>
            </w:r>
          </w:p>
        </w:tc>
        <w:tc>
          <w:tcPr>
            <w:tcW w:w="1725" w:type="dxa"/>
            <w:tcBorders>
              <w:top w:val="single" w:color="auto" w:sz="4" w:space="0"/>
              <w:left w:val="single" w:color="auto" w:sz="4" w:space="0"/>
              <w:bottom w:val="single" w:color="auto" w:sz="4" w:space="0"/>
              <w:right w:val="single" w:color="auto" w:sz="4" w:space="0"/>
            </w:tcBorders>
            <w:vAlign w:val="center"/>
          </w:tcPr>
          <w:p w14:paraId="14E68B93">
            <w:pPr>
              <w:snapToGrid w:val="0"/>
              <w:spacing w:before="50" w:after="5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投标报价</w:t>
            </w:r>
          </w:p>
        </w:tc>
      </w:tr>
      <w:tr w14:paraId="43407F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518BB7A9">
            <w:pPr>
              <w:snapToGrid w:val="0"/>
              <w:spacing w:before="50" w:after="50" w:line="360" w:lineRule="exact"/>
              <w:jc w:val="center"/>
              <w:rPr>
                <w:rFonts w:ascii="宋体" w:hAnsi="宋体"/>
                <w:color w:val="auto"/>
                <w:szCs w:val="21"/>
                <w:highlight w:val="none"/>
                <w:shd w:val="clear" w:color="auto" w:fill="auto"/>
              </w:rPr>
            </w:pPr>
          </w:p>
        </w:tc>
        <w:tc>
          <w:tcPr>
            <w:tcW w:w="1542" w:type="dxa"/>
            <w:tcBorders>
              <w:top w:val="single" w:color="auto" w:sz="4" w:space="0"/>
              <w:left w:val="single" w:color="auto" w:sz="4" w:space="0"/>
              <w:bottom w:val="single" w:color="auto" w:sz="4" w:space="0"/>
              <w:right w:val="single" w:color="auto" w:sz="4" w:space="0"/>
            </w:tcBorders>
            <w:vAlign w:val="center"/>
          </w:tcPr>
          <w:p w14:paraId="3F6A0B6B">
            <w:pPr>
              <w:snapToGrid w:val="0"/>
              <w:spacing w:before="50" w:after="50" w:line="360" w:lineRule="exact"/>
              <w:jc w:val="center"/>
              <w:rPr>
                <w:rFonts w:ascii="宋体" w:hAnsi="宋体"/>
                <w:bCs/>
                <w:color w:val="auto"/>
                <w:szCs w:val="21"/>
                <w:highlight w:val="none"/>
                <w:shd w:val="clear" w:color="auto" w:fill="auto"/>
              </w:rPr>
            </w:pPr>
          </w:p>
        </w:tc>
        <w:tc>
          <w:tcPr>
            <w:tcW w:w="850" w:type="dxa"/>
            <w:tcBorders>
              <w:top w:val="single" w:color="auto" w:sz="4" w:space="0"/>
              <w:left w:val="single" w:color="auto" w:sz="4" w:space="0"/>
              <w:bottom w:val="single" w:color="auto" w:sz="4" w:space="0"/>
              <w:right w:val="single" w:color="auto" w:sz="4" w:space="0"/>
            </w:tcBorders>
            <w:vAlign w:val="center"/>
          </w:tcPr>
          <w:p w14:paraId="6D752EF1">
            <w:pPr>
              <w:snapToGrid w:val="0"/>
              <w:spacing w:before="50" w:after="50" w:line="360" w:lineRule="exact"/>
              <w:jc w:val="center"/>
              <w:rPr>
                <w:rFonts w:ascii="宋体" w:hAnsi="宋体"/>
                <w:bCs/>
                <w:color w:val="auto"/>
                <w:szCs w:val="21"/>
                <w:highlight w:val="none"/>
                <w:shd w:val="clear" w:color="auto" w:fill="auto"/>
              </w:rPr>
            </w:pPr>
          </w:p>
        </w:tc>
        <w:tc>
          <w:tcPr>
            <w:tcW w:w="749" w:type="dxa"/>
            <w:tcBorders>
              <w:top w:val="single" w:color="auto" w:sz="4" w:space="0"/>
              <w:left w:val="single" w:color="auto" w:sz="4" w:space="0"/>
              <w:bottom w:val="single" w:color="auto" w:sz="4" w:space="0"/>
              <w:right w:val="single" w:color="auto" w:sz="4" w:space="0"/>
            </w:tcBorders>
            <w:vAlign w:val="center"/>
          </w:tcPr>
          <w:p w14:paraId="45D97797">
            <w:pPr>
              <w:snapToGrid w:val="0"/>
              <w:spacing w:before="50" w:after="50" w:line="360" w:lineRule="exact"/>
              <w:jc w:val="center"/>
              <w:rPr>
                <w:rFonts w:ascii="宋体" w:hAnsi="宋体"/>
                <w:color w:val="auto"/>
                <w:szCs w:val="21"/>
                <w:highlight w:val="none"/>
                <w:shd w:val="clear" w:color="auto" w:fill="auto"/>
              </w:rPr>
            </w:pPr>
          </w:p>
        </w:tc>
        <w:tc>
          <w:tcPr>
            <w:tcW w:w="1855" w:type="dxa"/>
            <w:tcBorders>
              <w:top w:val="single" w:color="auto" w:sz="4" w:space="0"/>
              <w:left w:val="single" w:color="auto" w:sz="4" w:space="0"/>
              <w:bottom w:val="single" w:color="auto" w:sz="4" w:space="0"/>
              <w:right w:val="single" w:color="auto" w:sz="4" w:space="0"/>
            </w:tcBorders>
            <w:vAlign w:val="center"/>
          </w:tcPr>
          <w:p w14:paraId="12DB5669">
            <w:pPr>
              <w:snapToGrid w:val="0"/>
              <w:spacing w:before="50" w:after="50" w:line="360" w:lineRule="exact"/>
              <w:jc w:val="center"/>
              <w:rPr>
                <w:rFonts w:ascii="宋体" w:hAnsi="宋体"/>
                <w:color w:val="auto"/>
                <w:szCs w:val="21"/>
                <w:highlight w:val="none"/>
                <w:shd w:val="clear" w:color="auto" w:fill="auto"/>
              </w:rPr>
            </w:pPr>
          </w:p>
        </w:tc>
        <w:tc>
          <w:tcPr>
            <w:tcW w:w="1381" w:type="dxa"/>
            <w:tcBorders>
              <w:top w:val="single" w:color="auto" w:sz="4" w:space="0"/>
              <w:left w:val="single" w:color="auto" w:sz="4" w:space="0"/>
              <w:bottom w:val="single" w:color="auto" w:sz="4" w:space="0"/>
              <w:right w:val="single" w:color="auto" w:sz="4" w:space="0"/>
            </w:tcBorders>
            <w:vAlign w:val="center"/>
          </w:tcPr>
          <w:p w14:paraId="1179BE06">
            <w:pPr>
              <w:snapToGrid w:val="0"/>
              <w:spacing w:before="50" w:after="50" w:line="360" w:lineRule="exact"/>
              <w:jc w:val="center"/>
              <w:rPr>
                <w:rFonts w:ascii="宋体" w:hAnsi="宋体"/>
                <w:color w:val="auto"/>
                <w:szCs w:val="21"/>
                <w:highlight w:val="none"/>
                <w:shd w:val="clear" w:color="auto" w:fill="auto"/>
              </w:rPr>
            </w:pPr>
          </w:p>
        </w:tc>
        <w:tc>
          <w:tcPr>
            <w:tcW w:w="751" w:type="dxa"/>
            <w:tcBorders>
              <w:top w:val="single" w:color="auto" w:sz="4" w:space="0"/>
              <w:left w:val="single" w:color="auto" w:sz="4" w:space="0"/>
              <w:bottom w:val="single" w:color="auto" w:sz="4" w:space="0"/>
              <w:right w:val="single" w:color="auto" w:sz="4" w:space="0"/>
            </w:tcBorders>
            <w:vAlign w:val="center"/>
          </w:tcPr>
          <w:p w14:paraId="04C67277">
            <w:pPr>
              <w:snapToGrid w:val="0"/>
              <w:spacing w:before="50" w:after="50" w:line="360" w:lineRule="exact"/>
              <w:jc w:val="center"/>
              <w:rPr>
                <w:rFonts w:ascii="宋体" w:hAnsi="宋体"/>
                <w:color w:val="auto"/>
                <w:szCs w:val="21"/>
                <w:highlight w:val="none"/>
                <w:shd w:val="clear" w:color="auto" w:fill="auto"/>
              </w:rPr>
            </w:pPr>
          </w:p>
        </w:tc>
        <w:tc>
          <w:tcPr>
            <w:tcW w:w="1725" w:type="dxa"/>
            <w:tcBorders>
              <w:top w:val="single" w:color="auto" w:sz="4" w:space="0"/>
              <w:left w:val="single" w:color="auto" w:sz="4" w:space="0"/>
              <w:bottom w:val="single" w:color="auto" w:sz="4" w:space="0"/>
              <w:right w:val="single" w:color="auto" w:sz="4" w:space="0"/>
            </w:tcBorders>
            <w:vAlign w:val="center"/>
          </w:tcPr>
          <w:p w14:paraId="11368C22">
            <w:pPr>
              <w:snapToGrid w:val="0"/>
              <w:spacing w:before="50" w:after="50" w:line="360" w:lineRule="exact"/>
              <w:jc w:val="center"/>
              <w:rPr>
                <w:rFonts w:ascii="宋体" w:hAnsi="宋体"/>
                <w:color w:val="auto"/>
                <w:szCs w:val="21"/>
                <w:highlight w:val="none"/>
                <w:shd w:val="clear" w:color="auto" w:fill="auto"/>
              </w:rPr>
            </w:pPr>
          </w:p>
        </w:tc>
      </w:tr>
      <w:tr w14:paraId="2FF51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597BD31A">
            <w:pPr>
              <w:snapToGrid w:val="0"/>
              <w:spacing w:before="50" w:after="50" w:line="360" w:lineRule="exact"/>
              <w:jc w:val="center"/>
              <w:rPr>
                <w:rFonts w:ascii="宋体" w:hAnsi="宋体"/>
                <w:color w:val="auto"/>
                <w:szCs w:val="21"/>
                <w:highlight w:val="none"/>
                <w:shd w:val="clear" w:color="auto" w:fill="auto"/>
              </w:rPr>
            </w:pPr>
          </w:p>
        </w:tc>
        <w:tc>
          <w:tcPr>
            <w:tcW w:w="1542" w:type="dxa"/>
            <w:tcBorders>
              <w:top w:val="single" w:color="auto" w:sz="4" w:space="0"/>
              <w:left w:val="single" w:color="auto" w:sz="4" w:space="0"/>
              <w:bottom w:val="single" w:color="auto" w:sz="4" w:space="0"/>
              <w:right w:val="single" w:color="auto" w:sz="4" w:space="0"/>
            </w:tcBorders>
            <w:vAlign w:val="center"/>
          </w:tcPr>
          <w:p w14:paraId="24724BE4">
            <w:pPr>
              <w:snapToGrid w:val="0"/>
              <w:spacing w:before="50" w:after="50" w:line="360" w:lineRule="exact"/>
              <w:jc w:val="center"/>
              <w:rPr>
                <w:rFonts w:ascii="宋体" w:hAnsi="宋体"/>
                <w:bCs/>
                <w:color w:val="auto"/>
                <w:szCs w:val="21"/>
                <w:highlight w:val="none"/>
                <w:shd w:val="clear" w:color="auto" w:fill="auto"/>
              </w:rPr>
            </w:pPr>
          </w:p>
        </w:tc>
        <w:tc>
          <w:tcPr>
            <w:tcW w:w="850" w:type="dxa"/>
            <w:tcBorders>
              <w:top w:val="single" w:color="auto" w:sz="4" w:space="0"/>
              <w:left w:val="single" w:color="auto" w:sz="4" w:space="0"/>
              <w:bottom w:val="single" w:color="auto" w:sz="4" w:space="0"/>
              <w:right w:val="single" w:color="auto" w:sz="4" w:space="0"/>
            </w:tcBorders>
            <w:vAlign w:val="center"/>
          </w:tcPr>
          <w:p w14:paraId="01B55FA8">
            <w:pPr>
              <w:snapToGrid w:val="0"/>
              <w:spacing w:before="50" w:after="50" w:line="360" w:lineRule="exact"/>
              <w:jc w:val="center"/>
              <w:rPr>
                <w:rFonts w:ascii="宋体" w:hAnsi="宋体"/>
                <w:bCs/>
                <w:color w:val="auto"/>
                <w:szCs w:val="21"/>
                <w:highlight w:val="none"/>
                <w:shd w:val="clear" w:color="auto" w:fill="auto"/>
              </w:rPr>
            </w:pPr>
          </w:p>
        </w:tc>
        <w:tc>
          <w:tcPr>
            <w:tcW w:w="749" w:type="dxa"/>
            <w:tcBorders>
              <w:top w:val="single" w:color="auto" w:sz="4" w:space="0"/>
              <w:left w:val="single" w:color="auto" w:sz="4" w:space="0"/>
              <w:bottom w:val="single" w:color="auto" w:sz="4" w:space="0"/>
              <w:right w:val="single" w:color="auto" w:sz="4" w:space="0"/>
            </w:tcBorders>
            <w:vAlign w:val="center"/>
          </w:tcPr>
          <w:p w14:paraId="1928C66D">
            <w:pPr>
              <w:snapToGrid w:val="0"/>
              <w:spacing w:before="50" w:after="50" w:line="360" w:lineRule="exact"/>
              <w:jc w:val="center"/>
              <w:rPr>
                <w:rFonts w:ascii="宋体" w:hAnsi="宋体"/>
                <w:color w:val="auto"/>
                <w:szCs w:val="21"/>
                <w:highlight w:val="none"/>
                <w:shd w:val="clear" w:color="auto" w:fill="auto"/>
              </w:rPr>
            </w:pPr>
          </w:p>
        </w:tc>
        <w:tc>
          <w:tcPr>
            <w:tcW w:w="1855" w:type="dxa"/>
            <w:tcBorders>
              <w:top w:val="single" w:color="auto" w:sz="4" w:space="0"/>
              <w:left w:val="single" w:color="auto" w:sz="4" w:space="0"/>
              <w:bottom w:val="single" w:color="auto" w:sz="4" w:space="0"/>
              <w:right w:val="single" w:color="auto" w:sz="4" w:space="0"/>
            </w:tcBorders>
            <w:vAlign w:val="center"/>
          </w:tcPr>
          <w:p w14:paraId="2D1AD716">
            <w:pPr>
              <w:snapToGrid w:val="0"/>
              <w:spacing w:before="50" w:after="50" w:line="360" w:lineRule="exact"/>
              <w:jc w:val="center"/>
              <w:rPr>
                <w:rFonts w:ascii="宋体" w:hAnsi="宋体"/>
                <w:color w:val="auto"/>
                <w:szCs w:val="21"/>
                <w:highlight w:val="none"/>
                <w:shd w:val="clear" w:color="auto" w:fill="auto"/>
              </w:rPr>
            </w:pPr>
          </w:p>
        </w:tc>
        <w:tc>
          <w:tcPr>
            <w:tcW w:w="1381" w:type="dxa"/>
            <w:tcBorders>
              <w:top w:val="single" w:color="auto" w:sz="4" w:space="0"/>
              <w:left w:val="single" w:color="auto" w:sz="4" w:space="0"/>
              <w:bottom w:val="single" w:color="auto" w:sz="4" w:space="0"/>
              <w:right w:val="single" w:color="auto" w:sz="4" w:space="0"/>
            </w:tcBorders>
            <w:vAlign w:val="center"/>
          </w:tcPr>
          <w:p w14:paraId="4D1A61E9">
            <w:pPr>
              <w:snapToGrid w:val="0"/>
              <w:spacing w:before="50" w:after="50" w:line="360" w:lineRule="exact"/>
              <w:jc w:val="center"/>
              <w:rPr>
                <w:rFonts w:ascii="宋体" w:hAnsi="宋体"/>
                <w:color w:val="auto"/>
                <w:szCs w:val="21"/>
                <w:highlight w:val="none"/>
                <w:shd w:val="clear" w:color="auto" w:fill="auto"/>
              </w:rPr>
            </w:pPr>
          </w:p>
        </w:tc>
        <w:tc>
          <w:tcPr>
            <w:tcW w:w="751" w:type="dxa"/>
            <w:tcBorders>
              <w:top w:val="single" w:color="auto" w:sz="4" w:space="0"/>
              <w:left w:val="single" w:color="auto" w:sz="4" w:space="0"/>
              <w:bottom w:val="single" w:color="auto" w:sz="4" w:space="0"/>
              <w:right w:val="single" w:color="auto" w:sz="4" w:space="0"/>
            </w:tcBorders>
            <w:vAlign w:val="center"/>
          </w:tcPr>
          <w:p w14:paraId="3D4AF76E">
            <w:pPr>
              <w:snapToGrid w:val="0"/>
              <w:spacing w:before="50" w:after="50" w:line="360" w:lineRule="exact"/>
              <w:jc w:val="center"/>
              <w:rPr>
                <w:rFonts w:ascii="宋体" w:hAnsi="宋体"/>
                <w:color w:val="auto"/>
                <w:szCs w:val="21"/>
                <w:highlight w:val="none"/>
                <w:shd w:val="clear" w:color="auto" w:fill="auto"/>
              </w:rPr>
            </w:pPr>
          </w:p>
        </w:tc>
        <w:tc>
          <w:tcPr>
            <w:tcW w:w="1725" w:type="dxa"/>
            <w:tcBorders>
              <w:top w:val="single" w:color="auto" w:sz="4" w:space="0"/>
              <w:left w:val="single" w:color="auto" w:sz="4" w:space="0"/>
              <w:bottom w:val="single" w:color="auto" w:sz="4" w:space="0"/>
              <w:right w:val="single" w:color="auto" w:sz="4" w:space="0"/>
            </w:tcBorders>
            <w:vAlign w:val="center"/>
          </w:tcPr>
          <w:p w14:paraId="6E66B437">
            <w:pPr>
              <w:snapToGrid w:val="0"/>
              <w:spacing w:before="50" w:after="50" w:line="360" w:lineRule="exact"/>
              <w:jc w:val="center"/>
              <w:rPr>
                <w:rFonts w:ascii="宋体" w:hAnsi="宋体"/>
                <w:color w:val="auto"/>
                <w:szCs w:val="21"/>
                <w:highlight w:val="none"/>
                <w:shd w:val="clear" w:color="auto" w:fill="auto"/>
              </w:rPr>
            </w:pPr>
          </w:p>
        </w:tc>
      </w:tr>
      <w:tr w14:paraId="7B6F9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757A001">
            <w:pPr>
              <w:snapToGrid w:val="0"/>
              <w:spacing w:before="50" w:after="50"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p>
        </w:tc>
        <w:tc>
          <w:tcPr>
            <w:tcW w:w="1542" w:type="dxa"/>
            <w:tcBorders>
              <w:top w:val="single" w:color="auto" w:sz="4" w:space="0"/>
              <w:left w:val="single" w:color="auto" w:sz="4" w:space="0"/>
              <w:bottom w:val="single" w:color="auto" w:sz="4" w:space="0"/>
              <w:right w:val="single" w:color="auto" w:sz="4" w:space="0"/>
            </w:tcBorders>
            <w:vAlign w:val="center"/>
          </w:tcPr>
          <w:p w14:paraId="7D5024F7">
            <w:pPr>
              <w:snapToGrid w:val="0"/>
              <w:spacing w:before="50" w:after="50" w:line="360" w:lineRule="exact"/>
              <w:jc w:val="center"/>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w:t>
            </w:r>
          </w:p>
        </w:tc>
        <w:tc>
          <w:tcPr>
            <w:tcW w:w="850" w:type="dxa"/>
            <w:tcBorders>
              <w:top w:val="single" w:color="auto" w:sz="4" w:space="0"/>
              <w:left w:val="single" w:color="auto" w:sz="4" w:space="0"/>
              <w:bottom w:val="single" w:color="auto" w:sz="4" w:space="0"/>
              <w:right w:val="single" w:color="auto" w:sz="4" w:space="0"/>
            </w:tcBorders>
            <w:vAlign w:val="center"/>
          </w:tcPr>
          <w:p w14:paraId="2D3EBE1B">
            <w:pPr>
              <w:snapToGrid w:val="0"/>
              <w:spacing w:before="50" w:after="50" w:line="360" w:lineRule="exact"/>
              <w:jc w:val="center"/>
              <w:rPr>
                <w:rFonts w:ascii="宋体" w:hAnsi="宋体"/>
                <w:bCs/>
                <w:color w:val="auto"/>
                <w:szCs w:val="21"/>
                <w:highlight w:val="none"/>
                <w:shd w:val="clear" w:color="auto" w:fill="auto"/>
              </w:rPr>
            </w:pPr>
          </w:p>
        </w:tc>
        <w:tc>
          <w:tcPr>
            <w:tcW w:w="749" w:type="dxa"/>
            <w:tcBorders>
              <w:top w:val="single" w:color="auto" w:sz="4" w:space="0"/>
              <w:left w:val="single" w:color="auto" w:sz="4" w:space="0"/>
              <w:bottom w:val="single" w:color="auto" w:sz="4" w:space="0"/>
              <w:right w:val="single" w:color="auto" w:sz="4" w:space="0"/>
            </w:tcBorders>
            <w:vAlign w:val="center"/>
          </w:tcPr>
          <w:p w14:paraId="5F7A733A">
            <w:pPr>
              <w:snapToGrid w:val="0"/>
              <w:spacing w:before="50" w:after="50" w:line="360" w:lineRule="exact"/>
              <w:jc w:val="center"/>
              <w:rPr>
                <w:rFonts w:ascii="宋体" w:hAnsi="宋体"/>
                <w:color w:val="auto"/>
                <w:szCs w:val="21"/>
                <w:highlight w:val="none"/>
                <w:shd w:val="clear" w:color="auto" w:fill="auto"/>
              </w:rPr>
            </w:pPr>
          </w:p>
        </w:tc>
        <w:tc>
          <w:tcPr>
            <w:tcW w:w="1855" w:type="dxa"/>
            <w:tcBorders>
              <w:top w:val="single" w:color="auto" w:sz="4" w:space="0"/>
              <w:left w:val="single" w:color="auto" w:sz="4" w:space="0"/>
              <w:bottom w:val="single" w:color="auto" w:sz="4" w:space="0"/>
              <w:right w:val="single" w:color="auto" w:sz="4" w:space="0"/>
            </w:tcBorders>
            <w:vAlign w:val="center"/>
          </w:tcPr>
          <w:p w14:paraId="0AEE0A2C">
            <w:pPr>
              <w:snapToGrid w:val="0"/>
              <w:spacing w:before="50" w:after="50" w:line="360" w:lineRule="exact"/>
              <w:jc w:val="center"/>
              <w:rPr>
                <w:rFonts w:ascii="宋体" w:hAnsi="宋体"/>
                <w:color w:val="auto"/>
                <w:szCs w:val="21"/>
                <w:highlight w:val="none"/>
                <w:shd w:val="clear" w:color="auto" w:fill="auto"/>
              </w:rPr>
            </w:pPr>
          </w:p>
        </w:tc>
        <w:tc>
          <w:tcPr>
            <w:tcW w:w="1381" w:type="dxa"/>
            <w:tcBorders>
              <w:top w:val="single" w:color="auto" w:sz="4" w:space="0"/>
              <w:left w:val="single" w:color="auto" w:sz="4" w:space="0"/>
              <w:bottom w:val="single" w:color="auto" w:sz="4" w:space="0"/>
              <w:right w:val="single" w:color="auto" w:sz="4" w:space="0"/>
            </w:tcBorders>
            <w:vAlign w:val="center"/>
          </w:tcPr>
          <w:p w14:paraId="64A361D9">
            <w:pPr>
              <w:snapToGrid w:val="0"/>
              <w:spacing w:before="50" w:after="50" w:line="360" w:lineRule="exact"/>
              <w:jc w:val="center"/>
              <w:rPr>
                <w:rFonts w:ascii="宋体" w:hAnsi="宋体"/>
                <w:color w:val="auto"/>
                <w:szCs w:val="21"/>
                <w:highlight w:val="none"/>
                <w:shd w:val="clear" w:color="auto" w:fill="auto"/>
              </w:rPr>
            </w:pPr>
          </w:p>
        </w:tc>
        <w:tc>
          <w:tcPr>
            <w:tcW w:w="751" w:type="dxa"/>
            <w:tcBorders>
              <w:top w:val="single" w:color="auto" w:sz="4" w:space="0"/>
              <w:left w:val="single" w:color="auto" w:sz="4" w:space="0"/>
              <w:bottom w:val="single" w:color="auto" w:sz="4" w:space="0"/>
              <w:right w:val="single" w:color="auto" w:sz="4" w:space="0"/>
            </w:tcBorders>
            <w:vAlign w:val="center"/>
          </w:tcPr>
          <w:p w14:paraId="76472FED">
            <w:pPr>
              <w:snapToGrid w:val="0"/>
              <w:spacing w:before="50" w:after="50" w:line="360" w:lineRule="exact"/>
              <w:jc w:val="center"/>
              <w:rPr>
                <w:rFonts w:ascii="宋体" w:hAnsi="宋体"/>
                <w:color w:val="auto"/>
                <w:szCs w:val="21"/>
                <w:highlight w:val="none"/>
                <w:shd w:val="clear" w:color="auto" w:fill="auto"/>
              </w:rPr>
            </w:pPr>
          </w:p>
        </w:tc>
        <w:tc>
          <w:tcPr>
            <w:tcW w:w="1725" w:type="dxa"/>
            <w:tcBorders>
              <w:top w:val="single" w:color="auto" w:sz="4" w:space="0"/>
              <w:left w:val="single" w:color="auto" w:sz="4" w:space="0"/>
              <w:bottom w:val="single" w:color="auto" w:sz="4" w:space="0"/>
              <w:right w:val="single" w:color="auto" w:sz="4" w:space="0"/>
            </w:tcBorders>
            <w:vAlign w:val="center"/>
          </w:tcPr>
          <w:p w14:paraId="0B9C3FA3">
            <w:pPr>
              <w:snapToGrid w:val="0"/>
              <w:spacing w:before="50" w:after="50" w:line="360" w:lineRule="exact"/>
              <w:jc w:val="center"/>
              <w:rPr>
                <w:rFonts w:ascii="宋体" w:hAnsi="宋体"/>
                <w:color w:val="auto"/>
                <w:szCs w:val="21"/>
                <w:highlight w:val="none"/>
                <w:shd w:val="clear" w:color="auto" w:fill="auto"/>
              </w:rPr>
            </w:pPr>
          </w:p>
        </w:tc>
      </w:tr>
      <w:tr w14:paraId="5CC49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700" w:type="dxa"/>
            <w:gridSpan w:val="8"/>
            <w:tcBorders>
              <w:top w:val="single" w:color="auto" w:sz="4" w:space="0"/>
              <w:left w:val="single" w:color="auto" w:sz="4" w:space="0"/>
              <w:bottom w:val="single" w:color="auto" w:sz="4" w:space="0"/>
              <w:right w:val="single" w:color="auto" w:sz="4" w:space="0"/>
            </w:tcBorders>
            <w:vAlign w:val="center"/>
          </w:tcPr>
          <w:p w14:paraId="5D40A204">
            <w:pPr>
              <w:snapToGrid w:val="0"/>
              <w:spacing w:before="50" w:after="50" w:line="360" w:lineRule="exact"/>
              <w:rPr>
                <w:rFonts w:ascii="宋体" w:hAnsi="宋体"/>
                <w:color w:val="auto"/>
                <w:szCs w:val="21"/>
                <w:highlight w:val="none"/>
                <w:u w:val="single"/>
                <w:shd w:val="clear" w:color="auto" w:fill="auto"/>
              </w:rPr>
            </w:pPr>
            <w:r>
              <w:rPr>
                <w:rFonts w:hint="eastAsia" w:hAnsi="宋体"/>
                <w:color w:val="auto"/>
                <w:highlight w:val="none"/>
                <w:shd w:val="clear" w:color="auto" w:fill="auto"/>
              </w:rPr>
              <w:t>分标</w:t>
            </w:r>
            <w:r>
              <w:rPr>
                <w:rFonts w:hint="eastAsia" w:hAnsi="宋体"/>
                <w:color w:val="auto"/>
                <w:highlight w:val="none"/>
                <w:u w:val="single"/>
                <w:shd w:val="clear" w:color="auto" w:fill="auto"/>
                <w:lang w:val="en-US" w:eastAsia="zh-CN"/>
              </w:rPr>
              <w:t xml:space="preserve">      </w:t>
            </w:r>
            <w:r>
              <w:rPr>
                <w:rFonts w:hint="eastAsia" w:ascii="宋体" w:hAnsi="宋体"/>
                <w:color w:val="auto"/>
                <w:szCs w:val="21"/>
                <w:highlight w:val="none"/>
                <w:shd w:val="clear" w:color="auto" w:fill="auto"/>
              </w:rPr>
              <w:t>合计金额大写：                                              ￥</w:t>
            </w:r>
            <w:r>
              <w:rPr>
                <w:rFonts w:hint="eastAsia" w:ascii="宋体" w:hAnsi="宋体"/>
                <w:color w:val="auto"/>
                <w:szCs w:val="21"/>
                <w:highlight w:val="none"/>
                <w:u w:val="single"/>
                <w:shd w:val="clear" w:color="auto" w:fill="auto"/>
              </w:rPr>
              <w:t xml:space="preserve">            </w:t>
            </w:r>
          </w:p>
        </w:tc>
      </w:tr>
    </w:tbl>
    <w:p w14:paraId="77C8801A">
      <w:pPr>
        <w:snapToGrid w:val="0"/>
        <w:spacing w:before="50" w:after="50"/>
        <w:jc w:val="left"/>
        <w:rPr>
          <w:rFonts w:hint="eastAsia" w:ascii="宋体" w:hAnsi="宋体"/>
          <w:color w:val="auto"/>
          <w:szCs w:val="21"/>
          <w:highlight w:val="none"/>
          <w:shd w:val="clear" w:color="auto" w:fill="auto"/>
        </w:rPr>
      </w:pPr>
    </w:p>
    <w:p w14:paraId="5F7AAB55">
      <w:pPr>
        <w:snapToGrid w:val="0"/>
        <w:spacing w:line="24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注: </w:t>
      </w:r>
    </w:p>
    <w:p w14:paraId="5DAC6F51">
      <w:pPr>
        <w:snapToGrid w:val="0"/>
        <w:spacing w:line="24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1.报价一经涂改，应在涂改处加盖单位公章或者由法定代表人或授权委托人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，否则其投标作无效标处理。</w:t>
      </w:r>
    </w:p>
    <w:p w14:paraId="70DFBB34">
      <w:pPr>
        <w:snapToGrid w:val="0"/>
        <w:spacing w:line="24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2.凡需用专用耗材的专用设备类采购项目，应按招标文件规定的耗材量或按耗材的常规试用量提供报价。</w:t>
      </w:r>
    </w:p>
    <w:p w14:paraId="01BEAADF">
      <w:pPr>
        <w:snapToGrid w:val="0"/>
        <w:spacing w:line="240" w:lineRule="exact"/>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w:t>
      </w: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3.投标费用包括项目实施所需的人工费、运输费、安装调试费、制作投标文件费、税费及其他一切费用。</w:t>
      </w:r>
    </w:p>
    <w:p w14:paraId="11DDA04E">
      <w:pPr>
        <w:snapToGrid w:val="0"/>
        <w:spacing w:line="24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4.以上报价应与“投标设备报价明细表”中的“投标总价”相一致。</w:t>
      </w:r>
    </w:p>
    <w:p w14:paraId="3C7D8826">
      <w:pPr>
        <w:snapToGrid w:val="0"/>
        <w:spacing w:line="240" w:lineRule="exact"/>
        <w:ind w:left="-2" w:leftChars="-1" w:right="-817" w:rightChars="-389" w:firstLine="422" w:firstLineChars="200"/>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5.</w:t>
      </w:r>
      <w:r>
        <w:rPr>
          <w:rFonts w:hint="eastAsia" w:ascii="宋体" w:hAnsi="宋体"/>
          <w:b w:val="0"/>
          <w:bCs/>
          <w:color w:val="auto"/>
          <w:szCs w:val="21"/>
          <w:highlight w:val="none"/>
          <w:shd w:val="clear" w:color="auto" w:fill="auto"/>
        </w:rPr>
        <w:t>项目中有多个分标的，每一分标的开标一览表必须分别按格式要求填写并签字、盖章。</w:t>
      </w:r>
    </w:p>
    <w:p w14:paraId="295E0A18">
      <w:pPr>
        <w:snapToGrid w:val="0"/>
        <w:ind w:left="-2" w:leftChars="-1" w:right="-817" w:rightChars="-389" w:firstLine="420" w:firstLineChars="200"/>
        <w:rPr>
          <w:rFonts w:hint="eastAsia" w:ascii="宋体" w:hAnsi="宋体"/>
          <w:color w:val="auto"/>
          <w:szCs w:val="21"/>
          <w:highlight w:val="none"/>
          <w:shd w:val="clear" w:color="auto" w:fill="auto"/>
        </w:rPr>
      </w:pPr>
    </w:p>
    <w:p w14:paraId="4F698488">
      <w:pPr>
        <w:snapToGrid w:val="0"/>
        <w:ind w:left="-2" w:leftChars="-1" w:right="-817" w:rightChars="-389"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法定代表人或委托代理人</w:t>
      </w:r>
      <w:r>
        <w:rPr>
          <w:rFonts w:hint="default" w:ascii="宋体" w:hAnsi="宋体"/>
          <w:color w:val="auto"/>
          <w:szCs w:val="21"/>
          <w:highlight w:val="none"/>
          <w:shd w:val="clear" w:color="auto" w:fill="auto"/>
        </w:rPr>
        <w:t>签字或签章</w:t>
      </w:r>
      <w:r>
        <w:rPr>
          <w:rFonts w:hint="eastAsia" w:ascii="宋体" w:hAnsi="宋体"/>
          <w:color w:val="auto"/>
          <w:szCs w:val="21"/>
          <w:highlight w:val="none"/>
          <w:shd w:val="clear" w:color="auto" w:fill="auto"/>
        </w:rPr>
        <w:t xml:space="preserve">：                    </w:t>
      </w:r>
    </w:p>
    <w:p w14:paraId="2CFC133B">
      <w:pPr>
        <w:snapToGrid w:val="0"/>
        <w:ind w:right="-817" w:rightChars="-389" w:firstLine="420" w:firstLineChars="200"/>
        <w:rPr>
          <w:rFonts w:hint="eastAsia" w:ascii="宋体" w:hAnsi="宋体"/>
          <w:color w:val="auto"/>
          <w:szCs w:val="21"/>
          <w:highlight w:val="none"/>
          <w:shd w:val="clear" w:color="auto" w:fill="auto"/>
        </w:rPr>
      </w:pPr>
    </w:p>
    <w:p w14:paraId="72DEDAD9">
      <w:pPr>
        <w:snapToGrid w:val="0"/>
        <w:ind w:right="-817" w:rightChars="-389"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投标人名称（盖章）：</w:t>
      </w:r>
    </w:p>
    <w:p w14:paraId="0B4AD213">
      <w:pPr>
        <w:snapToGrid w:val="0"/>
        <w:jc w:val="center"/>
        <w:rPr>
          <w:rFonts w:hint="eastAsia"/>
          <w:color w:val="auto"/>
          <w:highlight w:val="none"/>
          <w:shd w:val="clear" w:color="auto" w:fill="auto"/>
        </w:rPr>
      </w:pPr>
      <w:r>
        <w:rPr>
          <w:rFonts w:hint="eastAsia"/>
          <w:color w:val="auto"/>
          <w:highlight w:val="none"/>
          <w:shd w:val="clear" w:color="auto" w:fill="auto"/>
        </w:rPr>
        <w:t xml:space="preserve">                  日期：  年   月   日 </w:t>
      </w:r>
    </w:p>
    <w:p w14:paraId="41EC890A">
      <w:pPr>
        <w:rPr>
          <w:color w:val="auto"/>
          <w:highlight w:val="none"/>
        </w:rPr>
      </w:pPr>
    </w:p>
    <w:bookmarkEnd w:id="17"/>
    <w:sectPr>
      <w:headerReference r:id="rId5" w:type="default"/>
      <w:footerReference r:id="rId6"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中等线简体 Regular">
    <w:altName w:val="黑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大黑简 regular">
    <w:altName w:val="黑体"/>
    <w:panose1 w:val="00000000000000000000"/>
    <w:charset w:val="86"/>
    <w:family w:val="auto"/>
    <w:pitch w:val="default"/>
    <w:sig w:usb0="00000000" w:usb1="00000000" w:usb2="00000010" w:usb3="00000000" w:csb0="00040000" w:csb1="00000000"/>
  </w:font>
  <w:font w:name="创艺简黑体">
    <w:altName w:val="黑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0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汉仪书宋二S">
    <w:altName w:val="宋体"/>
    <w:panose1 w:val="00000000000000000000"/>
    <w:charset w:val="00"/>
    <w:family w:val="auto"/>
    <w:pitch w:val="default"/>
    <w:sig w:usb0="00000000" w:usb1="00000000" w:usb2="00000000" w:usb3="00000000" w:csb0="00000000" w:csb1="00000000"/>
  </w:font>
  <w:font w:name="Arial Regular">
    <w:altName w:val="Arial"/>
    <w:panose1 w:val="00000000000000000000"/>
    <w:charset w:val="00"/>
    <w:family w:val="auto"/>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 w:name="KSOF51510006">
    <w:panose1 w:val="020B07030202040202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AE7F3">
    <w:pPr>
      <w:pStyle w:val="3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4B01F">
    <w:pPr>
      <w:pStyle w:val="35"/>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8F644A9">
                          <w:pPr>
                            <w:pStyle w:val="35"/>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asDMH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mSUo0MHw4RKKSeabGQ7eRDz1bVjqOWJqL//N86v632t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FasDMHTAQAAngMAAA4AAAAAAAAAAQAgAAAAHwEA&#10;AGRycy9lMm9Eb2MueG1sUEsFBgAAAAAGAAYAWQEAAGQFAAAAAA==&#10;">
              <v:fill on="f" focussize="0,0"/>
              <v:stroke on="f"/>
              <v:imagedata o:title=""/>
              <o:lock v:ext="edit" aspectratio="f"/>
              <v:textbox inset="0mm,0mm,0mm,0mm" style="mso-fit-shape-to-text:t;">
                <w:txbxContent>
                  <w:p w14:paraId="58F644A9">
                    <w:pPr>
                      <w:pStyle w:val="35"/>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11D35">
    <w:pPr>
      <w:pStyle w:val="3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46788">
    <w:pPr>
      <w:keepNext w:val="0"/>
      <w:keepLines w:val="0"/>
      <w:widowControl/>
      <w:suppressLineNumbers w:val="0"/>
      <w:jc w:val="left"/>
      <w:rPr>
        <w:u w:val="single"/>
      </w:rPr>
    </w:pPr>
    <w:r>
      <w:rPr>
        <w:rFonts w:hint="eastAsia" w:ascii="Arial Regular" w:hAnsi="Arial Regular" w:eastAsia="Arial Regular" w:cs="Arial Regular"/>
        <w:i w:val="0"/>
        <w:caps w:val="0"/>
        <w:color w:val="232323"/>
        <w:spacing w:val="0"/>
        <w:kern w:val="0"/>
        <w:sz w:val="18"/>
        <w:szCs w:val="18"/>
        <w:u w:val="single"/>
        <w:shd w:val="clear" w:color="auto" w:fill="FFFFFF"/>
        <w:lang w:val="en-US" w:eastAsia="zh-CN"/>
      </w:rPr>
      <w:t xml:space="preserve">               </w:t>
    </w:r>
    <w:r>
      <w:rPr>
        <w:rFonts w:hint="eastAsia" w:ascii="宋体" w:hAnsi="宋体" w:eastAsia="宋体" w:cs="宋体"/>
        <w:i w:val="0"/>
        <w:caps w:val="0"/>
        <w:color w:val="232323"/>
        <w:spacing w:val="0"/>
        <w:kern w:val="0"/>
        <w:sz w:val="18"/>
        <w:szCs w:val="18"/>
        <w:u w:val="single"/>
        <w:shd w:val="clear" w:color="auto" w:fill="FFFFFF"/>
        <w:lang w:val="en-US" w:eastAsia="zh-CN"/>
      </w:rPr>
      <w:t>武鸣校区7#礼堂及5#学生活动综合楼一层会议空间显示系统及家具采购（GXZC2026-G1-000650-CGZX）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2"/>
      <w:numFmt w:val="decimal"/>
      <w:suff w:val="nothing"/>
      <w:lvlText w:val="（%1）"/>
      <w:lvlJc w:val="left"/>
      <w:pPr>
        <w:ind w:left="30"/>
      </w:pPr>
    </w:lvl>
  </w:abstractNum>
  <w:abstractNum w:abstractNumId="2">
    <w:nsid w:val="00000002"/>
    <w:multiLevelType w:val="multilevel"/>
    <w:tmpl w:val="00000002"/>
    <w:lvl w:ilvl="0" w:tentative="0">
      <w:start w:val="1"/>
      <w:numFmt w:val="decimal"/>
      <w:pStyle w:val="375"/>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3">
    <w:nsid w:val="00000003"/>
    <w:multiLevelType w:val="multilevel"/>
    <w:tmpl w:val="00000003"/>
    <w:lvl w:ilvl="0" w:tentative="0">
      <w:start w:val="1"/>
      <w:numFmt w:val="none"/>
      <w:pStyle w:val="362"/>
      <w:suff w:val="nothing"/>
      <w:lvlText w:val="表2　"/>
      <w:lvlJc w:val="left"/>
      <w:pPr>
        <w:ind w:left="270"/>
      </w:pPr>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pStyle w:val="367"/>
      <w:lvlText w:val="%1.%2.%3"/>
      <w:lvlJc w:val="left"/>
      <w:pPr>
        <w:tabs>
          <w:tab w:val="left" w:pos="1418"/>
        </w:tabs>
        <w:ind w:left="1418" w:hanging="567"/>
      </w:pPr>
      <w:rPr>
        <w:rFonts w:hint="eastAsia" w:cs="Times New Roman"/>
      </w:rPr>
    </w:lvl>
    <w:lvl w:ilvl="3" w:tentative="0">
      <w:start w:val="1"/>
      <w:numFmt w:val="decimal"/>
      <w:pStyle w:val="366"/>
      <w:lvlText w:val="%1.%2.%3.%4"/>
      <w:lvlJc w:val="left"/>
      <w:pPr>
        <w:tabs>
          <w:tab w:val="left" w:pos="1984"/>
        </w:tabs>
        <w:ind w:left="1984" w:hanging="708"/>
      </w:pPr>
      <w:rPr>
        <w:rFonts w:hint="eastAsia" w:cs="Times New Roman"/>
      </w:rPr>
    </w:lvl>
    <w:lvl w:ilvl="4" w:tentative="0">
      <w:start w:val="1"/>
      <w:numFmt w:val="decimal"/>
      <w:pStyle w:val="365"/>
      <w:lvlText w:val="%1.%2.%3.%4.%5"/>
      <w:lvlJc w:val="left"/>
      <w:pPr>
        <w:tabs>
          <w:tab w:val="left" w:pos="2551"/>
        </w:tabs>
        <w:ind w:left="2551" w:hanging="850"/>
      </w:pPr>
      <w:rPr>
        <w:rFonts w:hint="eastAsia" w:cs="Times New Roman"/>
      </w:rPr>
    </w:lvl>
    <w:lvl w:ilvl="5" w:tentative="0">
      <w:start w:val="1"/>
      <w:numFmt w:val="decimal"/>
      <w:pStyle w:val="377"/>
      <w:lvlText w:val="%1.%2.%3.%4.%5.%6"/>
      <w:lvlJc w:val="left"/>
      <w:pPr>
        <w:tabs>
          <w:tab w:val="left" w:pos="3260"/>
        </w:tabs>
        <w:ind w:left="3260" w:hanging="1134"/>
      </w:pPr>
      <w:rPr>
        <w:rFonts w:hint="eastAsia" w:cs="Times New Roman"/>
      </w:rPr>
    </w:lvl>
    <w:lvl w:ilvl="6" w:tentative="0">
      <w:start w:val="1"/>
      <w:numFmt w:val="decimal"/>
      <w:pStyle w:val="387"/>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4">
    <w:nsid w:val="00000004"/>
    <w:multiLevelType w:val="multilevel"/>
    <w:tmpl w:val="00000004"/>
    <w:lvl w:ilvl="0" w:tentative="0">
      <w:start w:val="1"/>
      <w:numFmt w:val="none"/>
      <w:pStyle w:val="388"/>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05"/>
    <w:multiLevelType w:val="multilevel"/>
    <w:tmpl w:val="00000005"/>
    <w:lvl w:ilvl="0" w:tentative="0">
      <w:start w:val="1"/>
      <w:numFmt w:val="upperLetter"/>
      <w:suff w:val="nothing"/>
      <w:lvlText w:val="附　录　%1"/>
      <w:lvlJc w:val="left"/>
      <w:pPr>
        <w:ind w:left="4310"/>
      </w:pPr>
      <w:rPr>
        <w:rFonts w:cs="Times New Roman"/>
      </w:rPr>
    </w:lvl>
    <w:lvl w:ilvl="1" w:tentative="0">
      <w:start w:val="1"/>
      <w:numFmt w:val="decimal"/>
      <w:pStyle w:val="345"/>
      <w:suff w:val="nothing"/>
      <w:lvlText w:val="%1.%2　"/>
      <w:lvlJc w:val="left"/>
      <w:pPr>
        <w:ind w:left="568"/>
      </w:pPr>
      <w:rPr>
        <w:rFonts w:hint="eastAsia" w:ascii="黑体" w:hAnsi="Times New Roman" w:eastAsia="黑体" w:cs="Times New Roman"/>
        <w:b w:val="0"/>
        <w:i w:val="0"/>
        <w:snapToGrid/>
        <w:spacing w:val="0"/>
        <w:w w:val="100"/>
        <w:kern w:val="21"/>
        <w:sz w:val="21"/>
      </w:rPr>
    </w:lvl>
    <w:lvl w:ilvl="2" w:tentative="0">
      <w:start w:val="1"/>
      <w:numFmt w:val="decimal"/>
      <w:pStyle w:val="381"/>
      <w:suff w:val="nothing"/>
      <w:lvlText w:val="%1.%2.%3　"/>
      <w:lvlJc w:val="left"/>
      <w:pPr>
        <w:ind w:left="5355"/>
      </w:pPr>
      <w:rPr>
        <w:rFonts w:hint="eastAsia" w:ascii="黑体" w:hAnsi="Times New Roman" w:eastAsia="黑体" w:cs="Times New Roman"/>
        <w:b w:val="0"/>
        <w:i w:val="0"/>
        <w:sz w:val="21"/>
      </w:rPr>
    </w:lvl>
    <w:lvl w:ilvl="3" w:tentative="0">
      <w:start w:val="1"/>
      <w:numFmt w:val="decimal"/>
      <w:pStyle w:val="352"/>
      <w:suff w:val="nothing"/>
      <w:lvlText w:val="%1.%2.%3.%4　"/>
      <w:lvlJc w:val="left"/>
      <w:pPr>
        <w:ind w:left="4620"/>
      </w:pPr>
      <w:rPr>
        <w:rFonts w:hint="eastAsia" w:ascii="黑体" w:hAnsi="Times New Roman" w:eastAsia="黑体" w:cs="Times New Roman"/>
        <w:b w:val="0"/>
        <w:i w:val="0"/>
        <w:sz w:val="21"/>
      </w:rPr>
    </w:lvl>
    <w:lvl w:ilvl="4" w:tentative="0">
      <w:start w:val="1"/>
      <w:numFmt w:val="decimal"/>
      <w:pStyle w:val="347"/>
      <w:suff w:val="nothing"/>
      <w:lvlText w:val="%1.%2.%3.%4.%5　"/>
      <w:lvlJc w:val="left"/>
      <w:pPr>
        <w:ind w:left="4620"/>
      </w:pPr>
      <w:rPr>
        <w:rFonts w:hint="eastAsia" w:ascii="黑体" w:hAnsi="Times New Roman" w:eastAsia="黑体" w:cs="Times New Roman"/>
        <w:b w:val="0"/>
        <w:i w:val="0"/>
        <w:sz w:val="21"/>
      </w:rPr>
    </w:lvl>
    <w:lvl w:ilvl="5" w:tentative="0">
      <w:start w:val="1"/>
      <w:numFmt w:val="decimal"/>
      <w:pStyle w:val="369"/>
      <w:suff w:val="nothing"/>
      <w:lvlText w:val="%1.%2.%3.%4.%5.%6　"/>
      <w:lvlJc w:val="left"/>
      <w:pPr>
        <w:ind w:left="4620"/>
      </w:pPr>
      <w:rPr>
        <w:rFonts w:hint="eastAsia" w:ascii="黑体" w:hAnsi="Times New Roman" w:eastAsia="黑体" w:cs="Times New Roman"/>
        <w:b w:val="0"/>
        <w:i w:val="0"/>
        <w:sz w:val="21"/>
      </w:rPr>
    </w:lvl>
    <w:lvl w:ilvl="6" w:tentative="0">
      <w:start w:val="1"/>
      <w:numFmt w:val="decimal"/>
      <w:pStyle w:val="346"/>
      <w:suff w:val="nothing"/>
      <w:lvlText w:val="%1.%2.%3.%4.%5.%6.%7　"/>
      <w:lvlJc w:val="left"/>
      <w:pPr>
        <w:ind w:left="4620"/>
      </w:pPr>
      <w:rPr>
        <w:rFonts w:hint="eastAsia" w:ascii="黑体" w:hAnsi="Times New Roman" w:eastAsia="黑体" w:cs="Times New Roman"/>
        <w:b w:val="0"/>
        <w:i w:val="0"/>
        <w:sz w:val="21"/>
      </w:rPr>
    </w:lvl>
    <w:lvl w:ilvl="7" w:tentative="0">
      <w:start w:val="1"/>
      <w:numFmt w:val="decimal"/>
      <w:lvlText w:val="%1.%2.%3.%4.%5.%6.%7.%8"/>
      <w:lvlJc w:val="left"/>
      <w:pPr>
        <w:tabs>
          <w:tab w:val="left" w:pos="9014"/>
        </w:tabs>
        <w:ind w:left="9014" w:hanging="1418"/>
      </w:pPr>
      <w:rPr>
        <w:rFonts w:hint="eastAsia" w:cs="Times New Roman"/>
      </w:rPr>
    </w:lvl>
    <w:lvl w:ilvl="8" w:tentative="0">
      <w:start w:val="1"/>
      <w:numFmt w:val="decimal"/>
      <w:lvlText w:val="%1.%2.%3.%4.%5.%6.%7.%8.%9"/>
      <w:lvlJc w:val="left"/>
      <w:pPr>
        <w:tabs>
          <w:tab w:val="left" w:pos="9722"/>
        </w:tabs>
        <w:ind w:left="9722" w:hanging="1700"/>
      </w:pPr>
      <w:rPr>
        <w:rFonts w:hint="eastAsia" w:cs="Times New Roman"/>
      </w:rPr>
    </w:lvl>
  </w:abstractNum>
  <w:abstractNum w:abstractNumId="6">
    <w:nsid w:val="00000006"/>
    <w:multiLevelType w:val="multilevel"/>
    <w:tmpl w:val="00000006"/>
    <w:lvl w:ilvl="0" w:tentative="0">
      <w:start w:val="1"/>
      <w:numFmt w:val="none"/>
      <w:pStyle w:val="358"/>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00000007"/>
    <w:multiLevelType w:val="multilevel"/>
    <w:tmpl w:val="00000007"/>
    <w:lvl w:ilvl="0" w:tentative="0">
      <w:start w:val="1"/>
      <w:numFmt w:val="none"/>
      <w:pStyle w:val="361"/>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decimal"/>
      <w:lvlText w:val="%2."/>
      <w:lvlJc w:val="left"/>
      <w:pPr>
        <w:tabs>
          <w:tab w:val="left" w:pos="840"/>
        </w:tabs>
        <w:ind w:left="840" w:hanging="420"/>
      </w:pPr>
      <w:rPr>
        <w:rFonts w:hint="eastAsia" w:cs="Times New Roman"/>
        <w:b w:val="0"/>
        <w:i w:val="0"/>
        <w:sz w:val="18"/>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00000008"/>
    <w:multiLevelType w:val="multilevel"/>
    <w:tmpl w:val="00000008"/>
    <w:lvl w:ilvl="0" w:tentative="0">
      <w:start w:val="1"/>
      <w:numFmt w:val="none"/>
      <w:pStyle w:val="378"/>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00000009"/>
    <w:multiLevelType w:val="multilevel"/>
    <w:tmpl w:val="00000009"/>
    <w:lvl w:ilvl="0" w:tentative="0">
      <w:start w:val="1"/>
      <w:numFmt w:val="none"/>
      <w:pStyle w:val="344"/>
      <w:suff w:val="nothing"/>
      <w:lvlText w:val="%1"/>
      <w:lvlJc w:val="left"/>
      <w:rPr>
        <w:rFonts w:hint="default" w:ascii="Times New Roman" w:hAnsi="Times New Roman" w:cs="Times New Roman"/>
        <w:b/>
        <w:i w:val="0"/>
        <w:sz w:val="21"/>
      </w:rPr>
    </w:lvl>
    <w:lvl w:ilvl="1" w:tentative="0">
      <w:start w:val="1"/>
      <w:numFmt w:val="decimal"/>
      <w:pStyle w:val="327"/>
      <w:suff w:val="nothing"/>
      <w:lvlText w:val="%1%2　"/>
      <w:lvlJc w:val="left"/>
      <w:pPr>
        <w:ind w:left="993"/>
      </w:pPr>
      <w:rPr>
        <w:rFonts w:hint="eastAsia" w:ascii="黑体" w:hAnsi="Times New Roman" w:eastAsia="黑体" w:cs="Times New Roman"/>
        <w:b w:val="0"/>
        <w:i w:val="0"/>
        <w:sz w:val="21"/>
      </w:rPr>
    </w:lvl>
    <w:lvl w:ilvl="2" w:tentative="0">
      <w:start w:val="1"/>
      <w:numFmt w:val="decimal"/>
      <w:pStyle w:val="331"/>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pPr>
        <w:ind w:left="3402"/>
      </w:pPr>
      <w:rPr>
        <w:rFonts w:hint="eastAsia" w:ascii="黑体" w:hAnsi="Times New Roman" w:eastAsia="黑体" w:cs="Times New Roman"/>
        <w:b w:val="0"/>
        <w:i w:val="0"/>
        <w:sz w:val="21"/>
      </w:rPr>
    </w:lvl>
    <w:lvl w:ilvl="4" w:tentative="0">
      <w:start w:val="1"/>
      <w:numFmt w:val="decimal"/>
      <w:suff w:val="nothing"/>
      <w:lvlText w:val="%1%2.%3.%4.%5　"/>
      <w:lvlJc w:val="left"/>
      <w:pPr>
        <w:ind w:left="284"/>
      </w:pPr>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0">
    <w:nsid w:val="0000000A"/>
    <w:multiLevelType w:val="multilevel"/>
    <w:tmpl w:val="0000000A"/>
    <w:lvl w:ilvl="0" w:tentative="0">
      <w:start w:val="1"/>
      <w:numFmt w:val="none"/>
      <w:pStyle w:val="376"/>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0000000B"/>
    <w:multiLevelType w:val="multilevel"/>
    <w:tmpl w:val="0000000B"/>
    <w:lvl w:ilvl="0" w:tentative="0">
      <w:start w:val="1"/>
      <w:numFmt w:val="japaneseCounting"/>
      <w:pStyle w:val="343"/>
      <w:lvlText w:val="%1、"/>
      <w:lvlJc w:val="left"/>
      <w:pPr>
        <w:ind w:left="1356" w:hanging="720"/>
      </w:pPr>
      <w:rPr>
        <w:rFonts w:hint="default" w:cs="Times New Roman"/>
      </w:rPr>
    </w:lvl>
    <w:lvl w:ilvl="1" w:tentative="0">
      <w:start w:val="1"/>
      <w:numFmt w:val="lowerLetter"/>
      <w:lvlText w:val="%2)"/>
      <w:lvlJc w:val="left"/>
      <w:pPr>
        <w:ind w:left="1476" w:hanging="420"/>
      </w:pPr>
      <w:rPr>
        <w:rFonts w:cs="Times New Roman"/>
      </w:rPr>
    </w:lvl>
    <w:lvl w:ilvl="2" w:tentative="0">
      <w:start w:val="1"/>
      <w:numFmt w:val="lowerRoman"/>
      <w:lvlText w:val="%3."/>
      <w:lvlJc w:val="right"/>
      <w:pPr>
        <w:ind w:left="1896" w:hanging="420"/>
      </w:pPr>
      <w:rPr>
        <w:rFonts w:cs="Times New Roman"/>
      </w:rPr>
    </w:lvl>
    <w:lvl w:ilvl="3" w:tentative="0">
      <w:start w:val="1"/>
      <w:numFmt w:val="decimal"/>
      <w:pStyle w:val="332"/>
      <w:lvlText w:val="%4."/>
      <w:lvlJc w:val="left"/>
      <w:pPr>
        <w:ind w:left="2316" w:hanging="420"/>
      </w:pPr>
      <w:rPr>
        <w:rFonts w:cs="Times New Roman"/>
      </w:rPr>
    </w:lvl>
    <w:lvl w:ilvl="4" w:tentative="0">
      <w:start w:val="1"/>
      <w:numFmt w:val="lowerLetter"/>
      <w:lvlText w:val="%5)"/>
      <w:lvlJc w:val="left"/>
      <w:pPr>
        <w:ind w:left="2736" w:hanging="420"/>
      </w:pPr>
      <w:rPr>
        <w:rFonts w:cs="Times New Roman"/>
      </w:rPr>
    </w:lvl>
    <w:lvl w:ilvl="5" w:tentative="0">
      <w:start w:val="1"/>
      <w:numFmt w:val="lowerRoman"/>
      <w:pStyle w:val="356"/>
      <w:lvlText w:val="%6."/>
      <w:lvlJc w:val="right"/>
      <w:pPr>
        <w:ind w:left="3156" w:hanging="420"/>
      </w:pPr>
      <w:rPr>
        <w:rFonts w:cs="Times New Roman"/>
      </w:rPr>
    </w:lvl>
    <w:lvl w:ilvl="6" w:tentative="0">
      <w:start w:val="1"/>
      <w:numFmt w:val="decimal"/>
      <w:pStyle w:val="359"/>
      <w:lvlText w:val="%7."/>
      <w:lvlJc w:val="left"/>
      <w:pPr>
        <w:ind w:left="3576" w:hanging="420"/>
      </w:pPr>
      <w:rPr>
        <w:rFonts w:cs="Times New Roman"/>
      </w:rPr>
    </w:lvl>
    <w:lvl w:ilvl="7" w:tentative="0">
      <w:start w:val="1"/>
      <w:numFmt w:val="lowerLetter"/>
      <w:lvlText w:val="%8)"/>
      <w:lvlJc w:val="left"/>
      <w:pPr>
        <w:ind w:left="3996" w:hanging="420"/>
      </w:pPr>
      <w:rPr>
        <w:rFonts w:cs="Times New Roman"/>
      </w:rPr>
    </w:lvl>
    <w:lvl w:ilvl="8" w:tentative="0">
      <w:start w:val="1"/>
      <w:numFmt w:val="lowerRoman"/>
      <w:lvlText w:val="%9."/>
      <w:lvlJc w:val="right"/>
      <w:pPr>
        <w:ind w:left="4416" w:hanging="420"/>
      </w:pPr>
      <w:rPr>
        <w:rFonts w:cs="Times New Roman"/>
      </w:rPr>
    </w:lvl>
  </w:abstractNum>
  <w:num w:numId="1">
    <w:abstractNumId w:val="9"/>
  </w:num>
  <w:num w:numId="2">
    <w:abstractNumId w:val="11"/>
  </w:num>
  <w:num w:numId="3">
    <w:abstractNumId w:val="5"/>
  </w:num>
  <w:num w:numId="4">
    <w:abstractNumId w:val="6"/>
  </w:num>
  <w:num w:numId="5">
    <w:abstractNumId w:val="7"/>
  </w:num>
  <w:num w:numId="6">
    <w:abstractNumId w:val="3"/>
  </w:num>
  <w:num w:numId="7">
    <w:abstractNumId w:val="2"/>
  </w:num>
  <w:num w:numId="8">
    <w:abstractNumId w:val="10"/>
  </w:num>
  <w:num w:numId="9">
    <w:abstractNumId w:val="8"/>
  </w:num>
  <w:num w:numId="10">
    <w:abstractNumId w:val="4"/>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E4C18"/>
    <w:rsid w:val="0C5B233E"/>
    <w:rsid w:val="0D7E02DF"/>
    <w:rsid w:val="0D906017"/>
    <w:rsid w:val="11276C93"/>
    <w:rsid w:val="11FC6B44"/>
    <w:rsid w:val="192A5572"/>
    <w:rsid w:val="1B3B203B"/>
    <w:rsid w:val="24796E62"/>
    <w:rsid w:val="24C71A58"/>
    <w:rsid w:val="265665C6"/>
    <w:rsid w:val="2666527A"/>
    <w:rsid w:val="26A12BEB"/>
    <w:rsid w:val="26E56F7C"/>
    <w:rsid w:val="2E422F06"/>
    <w:rsid w:val="33D62126"/>
    <w:rsid w:val="374E46CA"/>
    <w:rsid w:val="3A9248CD"/>
    <w:rsid w:val="3C9E05D8"/>
    <w:rsid w:val="3D6E5A4F"/>
    <w:rsid w:val="441822E7"/>
    <w:rsid w:val="46826E58"/>
    <w:rsid w:val="4E3B5550"/>
    <w:rsid w:val="54ED0C26"/>
    <w:rsid w:val="5B152C85"/>
    <w:rsid w:val="5E2F22B0"/>
    <w:rsid w:val="5F2E6A0B"/>
    <w:rsid w:val="60B87BDB"/>
    <w:rsid w:val="62DF24F6"/>
    <w:rsid w:val="68691B3D"/>
    <w:rsid w:val="6FB70357"/>
    <w:rsid w:val="6FF366D0"/>
    <w:rsid w:val="73702CF6"/>
    <w:rsid w:val="7A9C2623"/>
    <w:rsid w:val="7C7E21A8"/>
    <w:rsid w:val="7CE44CB9"/>
    <w:rsid w:val="7D7A07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3"/>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74"/>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7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76"/>
    <w:qFormat/>
    <w:uiPriority w:val="0"/>
    <w:pPr>
      <w:keepNext/>
      <w:keepLines/>
      <w:spacing w:before="280" w:after="290" w:line="376" w:lineRule="auto"/>
      <w:outlineLvl w:val="4"/>
    </w:pPr>
    <w:rPr>
      <w:b/>
      <w:sz w:val="28"/>
    </w:rPr>
  </w:style>
  <w:style w:type="paragraph" w:styleId="8">
    <w:name w:val="heading 6"/>
    <w:basedOn w:val="1"/>
    <w:next w:val="7"/>
    <w:link w:val="77"/>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7"/>
    <w:link w:val="78"/>
    <w:qFormat/>
    <w:uiPriority w:val="0"/>
    <w:pPr>
      <w:keepNext/>
      <w:keepLines/>
      <w:spacing w:before="240" w:after="64" w:line="320" w:lineRule="auto"/>
      <w:outlineLvl w:val="6"/>
    </w:pPr>
    <w:rPr>
      <w:b/>
      <w:sz w:val="24"/>
    </w:rPr>
  </w:style>
  <w:style w:type="paragraph" w:styleId="10">
    <w:name w:val="heading 8"/>
    <w:basedOn w:val="1"/>
    <w:next w:val="7"/>
    <w:link w:val="79"/>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80"/>
    <w:qFormat/>
    <w:uiPriority w:val="0"/>
    <w:pPr>
      <w:keepNext/>
      <w:keepLines/>
      <w:spacing w:before="240" w:after="64" w:line="320" w:lineRule="auto"/>
      <w:outlineLvl w:val="8"/>
    </w:pPr>
    <w:rPr>
      <w:rFonts w:ascii="Arial" w:hAnsi="Arial" w:eastAsia="黑体"/>
    </w:rPr>
  </w:style>
  <w:style w:type="character" w:default="1" w:styleId="55">
    <w:name w:val="Default Paragraph Font"/>
    <w:qFormat/>
    <w:uiPriority w:val="0"/>
  </w:style>
  <w:style w:type="table" w:default="1" w:styleId="53">
    <w:name w:val="Normal Table"/>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3">
    <w:name w:val="index 8"/>
    <w:basedOn w:val="1"/>
    <w:next w:val="1"/>
    <w:qFormat/>
    <w:uiPriority w:val="0"/>
    <w:pPr>
      <w:ind w:left="2940"/>
    </w:p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81"/>
    <w:qFormat/>
    <w:uiPriority w:val="0"/>
    <w:pPr>
      <w:shd w:val="clear" w:color="auto" w:fill="000080"/>
    </w:pPr>
  </w:style>
  <w:style w:type="paragraph" w:styleId="17">
    <w:name w:val="toa heading"/>
    <w:basedOn w:val="1"/>
    <w:next w:val="1"/>
    <w:qFormat/>
    <w:uiPriority w:val="0"/>
    <w:pPr>
      <w:adjustRightInd w:val="0"/>
      <w:spacing w:before="120" w:line="312" w:lineRule="atLeast"/>
    </w:pPr>
    <w:rPr>
      <w:rFonts w:ascii="Arial" w:hAnsi="Arial"/>
      <w:b/>
      <w:kern w:val="0"/>
      <w:sz w:val="24"/>
    </w:rPr>
  </w:style>
  <w:style w:type="paragraph" w:styleId="18">
    <w:name w:val="annotation text"/>
    <w:basedOn w:val="1"/>
    <w:link w:val="82"/>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3"/>
    <w:qFormat/>
    <w:uiPriority w:val="0"/>
    <w:rPr>
      <w:sz w:val="28"/>
    </w:rPr>
  </w:style>
  <w:style w:type="paragraph" w:styleId="20">
    <w:name w:val="Body Text 3"/>
    <w:basedOn w:val="1"/>
    <w:link w:val="84"/>
    <w:qFormat/>
    <w:uiPriority w:val="0"/>
    <w:pPr>
      <w:spacing w:line="500" w:lineRule="exact"/>
    </w:pPr>
    <w:rPr>
      <w:b/>
      <w:bCs/>
      <w:sz w:val="24"/>
    </w:rPr>
  </w:style>
  <w:style w:type="paragraph" w:styleId="21">
    <w:name w:val="Body Text"/>
    <w:basedOn w:val="1"/>
    <w:next w:val="1"/>
    <w:link w:val="71"/>
    <w:qFormat/>
    <w:uiPriority w:val="0"/>
    <w:pPr>
      <w:spacing w:line="380" w:lineRule="exact"/>
    </w:pPr>
    <w:rPr>
      <w:sz w:val="24"/>
    </w:rPr>
  </w:style>
  <w:style w:type="paragraph" w:styleId="22">
    <w:name w:val="Body Text Indent"/>
    <w:basedOn w:val="1"/>
    <w:link w:val="85"/>
    <w:qFormat/>
    <w:uiPriority w:val="0"/>
    <w:pPr>
      <w:ind w:firstLine="830" w:firstLineChars="352"/>
    </w:pPr>
    <w:rPr>
      <w:rFonts w:ascii="仿宋_GB2312" w:eastAsia="仿宋_GB2312"/>
      <w:sz w:val="32"/>
      <w:szCs w:val="20"/>
    </w:rPr>
  </w:style>
  <w:style w:type="paragraph" w:styleId="23">
    <w:name w:val="List Number 3"/>
    <w:basedOn w:val="1"/>
    <w:qFormat/>
    <w:uiPriority w:val="0"/>
    <w:pPr>
      <w:tabs>
        <w:tab w:val="left" w:pos="360"/>
      </w:tabs>
      <w:ind w:left="360" w:hanging="36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HTML Address"/>
    <w:basedOn w:val="1"/>
    <w:link w:val="86"/>
    <w:qFormat/>
    <w:uiPriority w:val="0"/>
    <w:rPr>
      <w:rFonts w:ascii="宋体"/>
      <w:i/>
      <w:iCs/>
      <w:kern w:val="21"/>
      <w:szCs w:val="21"/>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link w:val="87"/>
    <w:qFormat/>
    <w:uiPriority w:val="0"/>
    <w:pPr>
      <w:ind w:left="840" w:leftChars="400"/>
    </w:pPr>
  </w:style>
  <w:style w:type="paragraph" w:styleId="29">
    <w:name w:val="Plain Text"/>
    <w:basedOn w:val="1"/>
    <w:next w:val="13"/>
    <w:link w:val="88"/>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89"/>
    <w:qFormat/>
    <w:uiPriority w:val="0"/>
    <w:pPr>
      <w:ind w:left="100" w:leftChars="2500"/>
    </w:pPr>
    <w:rPr>
      <w:rFonts w:ascii="宋体" w:hAnsi="Courier New" w:cs="Courier New"/>
      <w:szCs w:val="21"/>
    </w:rPr>
  </w:style>
  <w:style w:type="paragraph" w:styleId="32">
    <w:name w:val="Body Text Indent 2"/>
    <w:basedOn w:val="1"/>
    <w:link w:val="90"/>
    <w:qFormat/>
    <w:uiPriority w:val="0"/>
    <w:pPr>
      <w:ind w:firstLine="630"/>
    </w:pPr>
    <w:rPr>
      <w:sz w:val="32"/>
      <w:szCs w:val="20"/>
    </w:rPr>
  </w:style>
  <w:style w:type="paragraph" w:styleId="33">
    <w:name w:val="endnote text"/>
    <w:basedOn w:val="1"/>
    <w:link w:val="91"/>
    <w:qFormat/>
    <w:uiPriority w:val="0"/>
    <w:pPr>
      <w:snapToGrid w:val="0"/>
      <w:jc w:val="left"/>
    </w:pPr>
    <w:rPr>
      <w:rFonts w:ascii="Calibri" w:hAnsi="Calibri"/>
      <w:szCs w:val="22"/>
    </w:rPr>
  </w:style>
  <w:style w:type="paragraph" w:styleId="34">
    <w:name w:val="Balloon Text"/>
    <w:basedOn w:val="1"/>
    <w:link w:val="92"/>
    <w:qFormat/>
    <w:uiPriority w:val="0"/>
    <w:rPr>
      <w:sz w:val="18"/>
      <w:szCs w:val="18"/>
    </w:rPr>
  </w:style>
  <w:style w:type="paragraph" w:styleId="35">
    <w:name w:val="footer"/>
    <w:basedOn w:val="1"/>
    <w:next w:val="1"/>
    <w:link w:val="93"/>
    <w:qFormat/>
    <w:uiPriority w:val="99"/>
    <w:pPr>
      <w:tabs>
        <w:tab w:val="center" w:pos="4153"/>
        <w:tab w:val="right" w:pos="8306"/>
      </w:tabs>
      <w:snapToGrid w:val="0"/>
      <w:jc w:val="left"/>
    </w:pPr>
    <w:rPr>
      <w:sz w:val="18"/>
      <w:szCs w:val="18"/>
    </w:rPr>
  </w:style>
  <w:style w:type="paragraph" w:styleId="36">
    <w:name w:val="header"/>
    <w:basedOn w:val="1"/>
    <w:link w:val="94"/>
    <w:qFormat/>
    <w:uiPriority w:val="99"/>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List"/>
    <w:basedOn w:val="1"/>
    <w:qFormat/>
    <w:uiPriority w:val="0"/>
    <w:pPr>
      <w:ind w:left="200" w:hanging="200" w:hangingChars="200"/>
    </w:pPr>
    <w:rPr>
      <w:sz w:val="28"/>
    </w:rPr>
  </w:style>
  <w:style w:type="paragraph" w:styleId="40">
    <w:name w:val="footnote text"/>
    <w:basedOn w:val="1"/>
    <w:link w:val="95"/>
    <w:qFormat/>
    <w:uiPriority w:val="0"/>
    <w:pPr>
      <w:snapToGrid w:val="0"/>
      <w:jc w:val="left"/>
    </w:pPr>
    <w:rPr>
      <w:rFonts w:ascii="宋体"/>
      <w:kern w:val="21"/>
      <w:sz w:val="18"/>
      <w:szCs w:val="18"/>
    </w:rPr>
  </w:style>
  <w:style w:type="paragraph" w:styleId="41">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2">
    <w:name w:val="List 5"/>
    <w:basedOn w:val="1"/>
    <w:qFormat/>
    <w:uiPriority w:val="0"/>
    <w:pPr>
      <w:ind w:left="2100" w:hanging="420"/>
    </w:pPr>
    <w:rPr>
      <w:szCs w:val="20"/>
    </w:rPr>
  </w:style>
  <w:style w:type="paragraph" w:styleId="43">
    <w:name w:val="Body Text Indent 3"/>
    <w:basedOn w:val="1"/>
    <w:link w:val="96"/>
    <w:qFormat/>
    <w:uiPriority w:val="0"/>
    <w:pPr>
      <w:spacing w:after="120"/>
      <w:ind w:left="420" w:leftChars="200"/>
    </w:pPr>
    <w:rPr>
      <w:sz w:val="16"/>
      <w:szCs w:val="16"/>
    </w:rPr>
  </w:style>
  <w:style w:type="paragraph" w:styleId="44">
    <w:name w:val="toc 2"/>
    <w:basedOn w:val="1"/>
    <w:next w:val="1"/>
    <w:qFormat/>
    <w:uiPriority w:val="39"/>
    <w:pPr>
      <w:ind w:left="420" w:leftChars="200"/>
    </w:pPr>
  </w:style>
  <w:style w:type="paragraph" w:styleId="45">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6">
    <w:name w:val="Body Text 2"/>
    <w:basedOn w:val="1"/>
    <w:link w:val="97"/>
    <w:qFormat/>
    <w:uiPriority w:val="0"/>
    <w:pPr>
      <w:spacing w:after="120" w:line="480" w:lineRule="auto"/>
    </w:pPr>
  </w:style>
  <w:style w:type="paragraph" w:styleId="47">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8">
    <w:name w:val="Normal (Web)"/>
    <w:basedOn w:val="1"/>
    <w:qFormat/>
    <w:uiPriority w:val="99"/>
    <w:pPr>
      <w:widowControl/>
      <w:spacing w:before="100" w:beforeAutospacing="1" w:after="100" w:afterAutospacing="1"/>
      <w:jc w:val="left"/>
    </w:pPr>
    <w:rPr>
      <w:rFonts w:ascii="宋体" w:hAnsi="宋体"/>
      <w:kern w:val="0"/>
      <w:sz w:val="24"/>
    </w:rPr>
  </w:style>
  <w:style w:type="paragraph" w:styleId="49">
    <w:name w:val="index 1"/>
    <w:basedOn w:val="1"/>
    <w:next w:val="1"/>
    <w:qFormat/>
    <w:uiPriority w:val="0"/>
    <w:pPr>
      <w:spacing w:line="400" w:lineRule="exact"/>
      <w:ind w:firstLine="420" w:firstLineChars="200"/>
    </w:pPr>
    <w:rPr>
      <w:rFonts w:ascii="宋体" w:hAnsi="Courier New"/>
      <w:b/>
      <w:szCs w:val="20"/>
    </w:rPr>
  </w:style>
  <w:style w:type="paragraph" w:styleId="50">
    <w:name w:val="Title"/>
    <w:basedOn w:val="1"/>
    <w:link w:val="99"/>
    <w:qFormat/>
    <w:uiPriority w:val="0"/>
    <w:pPr>
      <w:spacing w:before="240" w:after="60"/>
      <w:jc w:val="center"/>
      <w:outlineLvl w:val="0"/>
    </w:pPr>
    <w:rPr>
      <w:rFonts w:ascii="Arial" w:hAnsi="Arial"/>
      <w:b/>
      <w:bCs/>
      <w:sz w:val="32"/>
      <w:szCs w:val="32"/>
    </w:rPr>
  </w:style>
  <w:style w:type="paragraph" w:styleId="51">
    <w:name w:val="annotation subject"/>
    <w:basedOn w:val="18"/>
    <w:next w:val="18"/>
    <w:link w:val="100"/>
    <w:qFormat/>
    <w:uiPriority w:val="0"/>
    <w:pPr>
      <w:adjustRightInd/>
      <w:spacing w:line="240" w:lineRule="auto"/>
      <w:textAlignment w:val="auto"/>
    </w:pPr>
    <w:rPr>
      <w:b/>
      <w:bCs/>
      <w:kern w:val="2"/>
      <w:sz w:val="21"/>
      <w:szCs w:val="24"/>
    </w:rPr>
  </w:style>
  <w:style w:type="paragraph" w:styleId="52">
    <w:name w:val="Body Text First Indent"/>
    <w:basedOn w:val="21"/>
    <w:qFormat/>
    <w:uiPriority w:val="0"/>
    <w:pPr>
      <w:spacing w:after="0" w:line="380" w:lineRule="exact"/>
      <w:ind w:firstLine="420" w:firstLineChars="100"/>
    </w:pPr>
    <w:rPr>
      <w:sz w:val="24"/>
    </w:rPr>
  </w:style>
  <w:style w:type="table" w:styleId="54">
    <w:name w:val="Table Grid"/>
    <w:basedOn w:val="5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0"/>
    <w:rPr>
      <w:color w:val="800080"/>
      <w:u w:val="single"/>
    </w:rPr>
  </w:style>
  <w:style w:type="character" w:styleId="59">
    <w:name w:val="Emphasis"/>
    <w:qFormat/>
    <w:uiPriority w:val="0"/>
    <w:rPr>
      <w:color w:val="CC0000"/>
    </w:rPr>
  </w:style>
  <w:style w:type="character" w:styleId="60">
    <w:name w:val="HTML Definition"/>
    <w:basedOn w:val="55"/>
    <w:qFormat/>
    <w:uiPriority w:val="0"/>
    <w:rPr>
      <w:i/>
    </w:rPr>
  </w:style>
  <w:style w:type="character" w:styleId="61">
    <w:name w:val="HTML Typewriter"/>
    <w:basedOn w:val="55"/>
    <w:qFormat/>
    <w:uiPriority w:val="0"/>
    <w:rPr>
      <w:rFonts w:ascii="Courier New" w:hAnsi="Courier New"/>
      <w:sz w:val="20"/>
    </w:rPr>
  </w:style>
  <w:style w:type="character" w:styleId="62">
    <w:name w:val="HTML Acronym"/>
    <w:basedOn w:val="55"/>
    <w:qFormat/>
    <w:uiPriority w:val="0"/>
    <w:rPr>
      <w:rFonts w:cs="Times New Roman"/>
    </w:rPr>
  </w:style>
  <w:style w:type="character" w:styleId="63">
    <w:name w:val="HTML Variable"/>
    <w:basedOn w:val="55"/>
    <w:qFormat/>
    <w:uiPriority w:val="0"/>
    <w:rPr>
      <w:i/>
    </w:rPr>
  </w:style>
  <w:style w:type="character" w:styleId="64">
    <w:name w:val="Hyperlink"/>
    <w:qFormat/>
    <w:uiPriority w:val="99"/>
    <w:rPr>
      <w:color w:val="0000FF"/>
      <w:u w:val="single"/>
    </w:rPr>
  </w:style>
  <w:style w:type="character" w:styleId="65">
    <w:name w:val="HTML Code"/>
    <w:basedOn w:val="55"/>
    <w:qFormat/>
    <w:uiPriority w:val="0"/>
    <w:rPr>
      <w:rFonts w:ascii="Courier New" w:hAnsi="Courier New"/>
      <w:sz w:val="20"/>
    </w:rPr>
  </w:style>
  <w:style w:type="character" w:styleId="66">
    <w:name w:val="annotation reference"/>
    <w:qFormat/>
    <w:uiPriority w:val="0"/>
    <w:rPr>
      <w:sz w:val="21"/>
      <w:szCs w:val="21"/>
    </w:rPr>
  </w:style>
  <w:style w:type="character" w:styleId="67">
    <w:name w:val="HTML Cite"/>
    <w:basedOn w:val="55"/>
    <w:qFormat/>
    <w:uiPriority w:val="0"/>
    <w:rPr>
      <w:i/>
    </w:rPr>
  </w:style>
  <w:style w:type="character" w:styleId="68">
    <w:name w:val="HTML Keyboard"/>
    <w:basedOn w:val="55"/>
    <w:qFormat/>
    <w:uiPriority w:val="0"/>
    <w:rPr>
      <w:rFonts w:ascii="Courier New" w:hAnsi="Courier New"/>
      <w:sz w:val="20"/>
    </w:rPr>
  </w:style>
  <w:style w:type="character" w:styleId="69">
    <w:name w:val="HTML Sample"/>
    <w:basedOn w:val="55"/>
    <w:qFormat/>
    <w:uiPriority w:val="0"/>
    <w:rPr>
      <w:rFonts w:ascii="Courier New" w:hAnsi="Courier New"/>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1">
    <w:name w:val="正文文本 Char"/>
    <w:link w:val="21"/>
    <w:qFormat/>
    <w:uiPriority w:val="0"/>
    <w:rPr>
      <w:rFonts w:eastAsia="宋体"/>
      <w:kern w:val="2"/>
      <w:sz w:val="24"/>
      <w:szCs w:val="24"/>
      <w:lang w:val="en-US" w:eastAsia="zh-CN" w:bidi="ar-SA"/>
    </w:rPr>
  </w:style>
  <w:style w:type="character" w:customStyle="1" w:styleId="72">
    <w:name w:val="标题 1 Char"/>
    <w:link w:val="2"/>
    <w:qFormat/>
    <w:uiPriority w:val="0"/>
    <w:rPr>
      <w:rFonts w:eastAsia="宋体"/>
      <w:b/>
      <w:bCs/>
      <w:kern w:val="44"/>
      <w:sz w:val="44"/>
      <w:szCs w:val="44"/>
      <w:lang w:val="en-US" w:eastAsia="zh-CN" w:bidi="ar-SA"/>
    </w:rPr>
  </w:style>
  <w:style w:type="character" w:customStyle="1" w:styleId="73">
    <w:name w:val="标题 2 Char"/>
    <w:link w:val="3"/>
    <w:qFormat/>
    <w:uiPriority w:val="0"/>
    <w:rPr>
      <w:rFonts w:ascii="Arial" w:hAnsi="Arial" w:eastAsia="黑体"/>
      <w:b/>
      <w:bCs/>
      <w:sz w:val="32"/>
      <w:szCs w:val="32"/>
      <w:lang w:bidi="ar-SA"/>
    </w:rPr>
  </w:style>
  <w:style w:type="character" w:customStyle="1" w:styleId="74">
    <w:name w:val="标题 3 Char"/>
    <w:link w:val="4"/>
    <w:qFormat/>
    <w:uiPriority w:val="0"/>
    <w:rPr>
      <w:rFonts w:eastAsia="宋体"/>
      <w:b/>
      <w:bCs/>
      <w:sz w:val="32"/>
      <w:szCs w:val="32"/>
      <w:lang w:bidi="ar-SA"/>
    </w:rPr>
  </w:style>
  <w:style w:type="character" w:customStyle="1" w:styleId="75">
    <w:name w:val="标题 4 Char"/>
    <w:link w:val="5"/>
    <w:qFormat/>
    <w:uiPriority w:val="0"/>
    <w:rPr>
      <w:rFonts w:ascii="Arial" w:hAnsi="Arial" w:eastAsia="黑体"/>
      <w:sz w:val="28"/>
      <w:lang w:bidi="ar-SA"/>
    </w:rPr>
  </w:style>
  <w:style w:type="character" w:customStyle="1" w:styleId="76">
    <w:name w:val="标题 5 Char"/>
    <w:link w:val="6"/>
    <w:qFormat/>
    <w:uiPriority w:val="0"/>
    <w:rPr>
      <w:rFonts w:eastAsia="宋体"/>
      <w:b/>
      <w:kern w:val="2"/>
      <w:sz w:val="28"/>
      <w:szCs w:val="24"/>
      <w:lang w:val="en-US" w:eastAsia="zh-CN" w:bidi="ar-SA"/>
    </w:rPr>
  </w:style>
  <w:style w:type="character" w:customStyle="1" w:styleId="77">
    <w:name w:val="标题 6 Char"/>
    <w:link w:val="8"/>
    <w:qFormat/>
    <w:uiPriority w:val="0"/>
    <w:rPr>
      <w:rFonts w:ascii="Arial" w:hAnsi="Arial" w:eastAsia="黑体"/>
      <w:b/>
      <w:kern w:val="2"/>
      <w:sz w:val="24"/>
      <w:szCs w:val="24"/>
      <w:lang w:val="en-US" w:eastAsia="zh-CN" w:bidi="ar-SA"/>
    </w:rPr>
  </w:style>
  <w:style w:type="character" w:customStyle="1" w:styleId="78">
    <w:name w:val="标题 7 Char"/>
    <w:link w:val="9"/>
    <w:qFormat/>
    <w:uiPriority w:val="0"/>
    <w:rPr>
      <w:rFonts w:eastAsia="宋体"/>
      <w:b/>
      <w:kern w:val="2"/>
      <w:sz w:val="24"/>
      <w:szCs w:val="24"/>
      <w:lang w:val="en-US" w:eastAsia="zh-CN" w:bidi="ar-SA"/>
    </w:rPr>
  </w:style>
  <w:style w:type="character" w:customStyle="1" w:styleId="79">
    <w:name w:val="标题 8 Char"/>
    <w:link w:val="10"/>
    <w:qFormat/>
    <w:uiPriority w:val="0"/>
    <w:rPr>
      <w:rFonts w:ascii="Arial" w:hAnsi="Arial" w:eastAsia="黑体"/>
      <w:kern w:val="2"/>
      <w:sz w:val="24"/>
      <w:szCs w:val="24"/>
      <w:lang w:val="en-US" w:eastAsia="zh-CN" w:bidi="ar-SA"/>
    </w:rPr>
  </w:style>
  <w:style w:type="character" w:customStyle="1" w:styleId="80">
    <w:name w:val="标题 9 Char"/>
    <w:link w:val="11"/>
    <w:qFormat/>
    <w:uiPriority w:val="0"/>
    <w:rPr>
      <w:rFonts w:ascii="Arial" w:hAnsi="Arial" w:eastAsia="黑体"/>
      <w:kern w:val="2"/>
      <w:sz w:val="21"/>
      <w:szCs w:val="24"/>
      <w:lang w:val="en-US" w:eastAsia="zh-CN" w:bidi="ar-SA"/>
    </w:rPr>
  </w:style>
  <w:style w:type="character" w:customStyle="1" w:styleId="81">
    <w:name w:val="文档结构图 Char"/>
    <w:link w:val="16"/>
    <w:qFormat/>
    <w:uiPriority w:val="0"/>
    <w:rPr>
      <w:rFonts w:eastAsia="宋体"/>
      <w:kern w:val="2"/>
      <w:sz w:val="21"/>
      <w:szCs w:val="24"/>
      <w:lang w:val="en-US" w:eastAsia="zh-CN" w:bidi="ar-SA"/>
    </w:rPr>
  </w:style>
  <w:style w:type="character" w:customStyle="1" w:styleId="82">
    <w:name w:val="批注文字 Char"/>
    <w:link w:val="18"/>
    <w:qFormat/>
    <w:uiPriority w:val="0"/>
    <w:rPr>
      <w:rFonts w:eastAsia="宋体"/>
      <w:sz w:val="24"/>
      <w:lang w:bidi="ar-SA"/>
    </w:rPr>
  </w:style>
  <w:style w:type="character" w:customStyle="1" w:styleId="83">
    <w:name w:val="称呼 Char"/>
    <w:link w:val="19"/>
    <w:qFormat/>
    <w:uiPriority w:val="0"/>
    <w:rPr>
      <w:kern w:val="2"/>
      <w:sz w:val="28"/>
      <w:szCs w:val="24"/>
    </w:rPr>
  </w:style>
  <w:style w:type="character" w:customStyle="1" w:styleId="84">
    <w:name w:val="正文文本 3 Char"/>
    <w:link w:val="20"/>
    <w:qFormat/>
    <w:uiPriority w:val="0"/>
    <w:rPr>
      <w:rFonts w:eastAsia="宋体"/>
      <w:b/>
      <w:bCs/>
      <w:kern w:val="2"/>
      <w:sz w:val="24"/>
      <w:szCs w:val="24"/>
      <w:lang w:val="en-US" w:eastAsia="zh-CN" w:bidi="ar-SA"/>
    </w:rPr>
  </w:style>
  <w:style w:type="character" w:customStyle="1" w:styleId="85">
    <w:name w:val="正文文本缩进 Char"/>
    <w:link w:val="22"/>
    <w:qFormat/>
    <w:uiPriority w:val="0"/>
    <w:rPr>
      <w:rFonts w:ascii="仿宋_GB2312" w:eastAsia="仿宋_GB2312"/>
      <w:kern w:val="2"/>
      <w:sz w:val="32"/>
      <w:lang w:val="en-US" w:eastAsia="zh-CN" w:bidi="ar-SA"/>
    </w:rPr>
  </w:style>
  <w:style w:type="character" w:customStyle="1" w:styleId="86">
    <w:name w:val="HTML 地址 Char"/>
    <w:basedOn w:val="55"/>
    <w:link w:val="26"/>
    <w:qFormat/>
    <w:uiPriority w:val="0"/>
    <w:rPr>
      <w:rFonts w:ascii="宋体" w:eastAsia="宋体"/>
      <w:i/>
      <w:iCs/>
      <w:kern w:val="21"/>
      <w:sz w:val="21"/>
      <w:szCs w:val="21"/>
      <w:lang w:val="en-US" w:eastAsia="zh-CN" w:bidi="ar-SA"/>
    </w:rPr>
  </w:style>
  <w:style w:type="character" w:customStyle="1" w:styleId="87">
    <w:name w:val="目录 3 Char"/>
    <w:link w:val="28"/>
    <w:qFormat/>
    <w:uiPriority w:val="0"/>
    <w:rPr>
      <w:rFonts w:eastAsia="宋体"/>
      <w:kern w:val="2"/>
      <w:sz w:val="21"/>
      <w:szCs w:val="24"/>
      <w:lang w:val="en-US" w:eastAsia="zh-CN" w:bidi="ar-SA"/>
    </w:rPr>
  </w:style>
  <w:style w:type="character" w:customStyle="1" w:styleId="88">
    <w:name w:val="纯文本 Char2"/>
    <w:link w:val="29"/>
    <w:qFormat/>
    <w:uiPriority w:val="0"/>
    <w:rPr>
      <w:rFonts w:ascii="宋体" w:hAnsi="Courier New" w:eastAsia="宋体" w:cs="Courier New"/>
      <w:kern w:val="2"/>
      <w:sz w:val="21"/>
      <w:szCs w:val="21"/>
      <w:lang w:val="en-US" w:eastAsia="zh-CN" w:bidi="ar-SA"/>
    </w:rPr>
  </w:style>
  <w:style w:type="character" w:customStyle="1" w:styleId="89">
    <w:name w:val="日期 Char"/>
    <w:link w:val="31"/>
    <w:qFormat/>
    <w:uiPriority w:val="0"/>
    <w:rPr>
      <w:rFonts w:ascii="宋体" w:hAnsi="Courier New" w:eastAsia="宋体" w:cs="Courier New"/>
      <w:kern w:val="2"/>
      <w:sz w:val="21"/>
      <w:szCs w:val="21"/>
      <w:lang w:val="en-US" w:eastAsia="zh-CN" w:bidi="ar-SA"/>
    </w:rPr>
  </w:style>
  <w:style w:type="character" w:customStyle="1" w:styleId="90">
    <w:name w:val="正文文本缩进 2 Char"/>
    <w:link w:val="32"/>
    <w:qFormat/>
    <w:uiPriority w:val="0"/>
    <w:rPr>
      <w:rFonts w:eastAsia="宋体"/>
      <w:kern w:val="2"/>
      <w:sz w:val="32"/>
      <w:lang w:val="en-US" w:eastAsia="zh-CN" w:bidi="ar-SA"/>
    </w:rPr>
  </w:style>
  <w:style w:type="character" w:customStyle="1" w:styleId="91">
    <w:name w:val="尾注文本 Char"/>
    <w:link w:val="33"/>
    <w:qFormat/>
    <w:uiPriority w:val="0"/>
    <w:rPr>
      <w:rFonts w:ascii="Calibri" w:hAnsi="Calibri"/>
      <w:kern w:val="2"/>
      <w:sz w:val="21"/>
      <w:szCs w:val="22"/>
    </w:rPr>
  </w:style>
  <w:style w:type="character" w:customStyle="1" w:styleId="92">
    <w:name w:val="批注框文本 Char"/>
    <w:link w:val="34"/>
    <w:qFormat/>
    <w:uiPriority w:val="0"/>
    <w:rPr>
      <w:rFonts w:eastAsia="宋体"/>
      <w:kern w:val="2"/>
      <w:sz w:val="18"/>
      <w:szCs w:val="18"/>
      <w:lang w:val="en-US" w:eastAsia="zh-CN" w:bidi="ar-SA"/>
    </w:rPr>
  </w:style>
  <w:style w:type="character" w:customStyle="1" w:styleId="93">
    <w:name w:val="页脚 Char"/>
    <w:link w:val="35"/>
    <w:qFormat/>
    <w:uiPriority w:val="99"/>
    <w:rPr>
      <w:rFonts w:eastAsia="宋体"/>
      <w:kern w:val="2"/>
      <w:sz w:val="18"/>
      <w:szCs w:val="18"/>
      <w:lang w:val="en-US" w:eastAsia="zh-CN" w:bidi="ar-SA"/>
    </w:rPr>
  </w:style>
  <w:style w:type="character" w:customStyle="1" w:styleId="94">
    <w:name w:val="页眉 Char"/>
    <w:link w:val="36"/>
    <w:qFormat/>
    <w:uiPriority w:val="99"/>
    <w:rPr>
      <w:rFonts w:eastAsia="宋体"/>
      <w:kern w:val="2"/>
      <w:sz w:val="18"/>
      <w:szCs w:val="18"/>
      <w:lang w:val="en-US" w:eastAsia="zh-CN" w:bidi="ar-SA"/>
    </w:rPr>
  </w:style>
  <w:style w:type="character" w:customStyle="1" w:styleId="95">
    <w:name w:val="脚注文本 Char"/>
    <w:basedOn w:val="55"/>
    <w:link w:val="40"/>
    <w:qFormat/>
    <w:uiPriority w:val="0"/>
    <w:rPr>
      <w:rFonts w:ascii="宋体" w:eastAsia="宋体"/>
      <w:kern w:val="21"/>
      <w:sz w:val="18"/>
      <w:szCs w:val="18"/>
      <w:lang w:val="en-US" w:eastAsia="zh-CN" w:bidi="ar-SA"/>
    </w:rPr>
  </w:style>
  <w:style w:type="character" w:customStyle="1" w:styleId="96">
    <w:name w:val="正文文本缩进 3 Char"/>
    <w:link w:val="43"/>
    <w:qFormat/>
    <w:uiPriority w:val="0"/>
    <w:rPr>
      <w:rFonts w:eastAsia="宋体"/>
      <w:kern w:val="2"/>
      <w:sz w:val="16"/>
      <w:szCs w:val="16"/>
      <w:lang w:val="en-US" w:eastAsia="zh-CN" w:bidi="ar-SA"/>
    </w:rPr>
  </w:style>
  <w:style w:type="character" w:customStyle="1" w:styleId="97">
    <w:name w:val="正文文本 2 Char"/>
    <w:link w:val="46"/>
    <w:qFormat/>
    <w:uiPriority w:val="0"/>
    <w:rPr>
      <w:rFonts w:eastAsia="宋体"/>
      <w:kern w:val="2"/>
      <w:sz w:val="21"/>
      <w:szCs w:val="24"/>
      <w:lang w:val="en-US" w:eastAsia="zh-CN" w:bidi="ar-SA"/>
    </w:rPr>
  </w:style>
  <w:style w:type="character" w:customStyle="1" w:styleId="98">
    <w:name w:val="HTML 预设格式 Char"/>
    <w:link w:val="47"/>
    <w:qFormat/>
    <w:uiPriority w:val="0"/>
    <w:rPr>
      <w:rFonts w:ascii="黑体" w:hAnsi="Courier New" w:eastAsia="黑体" w:cs="Courier New"/>
      <w:lang w:val="en-US" w:eastAsia="zh-CN" w:bidi="ar-SA"/>
    </w:rPr>
  </w:style>
  <w:style w:type="character" w:customStyle="1" w:styleId="99">
    <w:name w:val="标题 Char"/>
    <w:link w:val="50"/>
    <w:qFormat/>
    <w:uiPriority w:val="0"/>
    <w:rPr>
      <w:rFonts w:ascii="Arial" w:hAnsi="Arial" w:eastAsia="宋体"/>
      <w:b/>
      <w:bCs/>
      <w:kern w:val="2"/>
      <w:sz w:val="32"/>
      <w:szCs w:val="32"/>
      <w:lang w:bidi="ar-SA"/>
    </w:rPr>
  </w:style>
  <w:style w:type="character" w:customStyle="1" w:styleId="100">
    <w:name w:val="批注主题 Char"/>
    <w:link w:val="51"/>
    <w:qFormat/>
    <w:uiPriority w:val="0"/>
    <w:rPr>
      <w:b/>
      <w:bCs/>
      <w:kern w:val="2"/>
      <w:sz w:val="21"/>
      <w:szCs w:val="24"/>
    </w:rPr>
  </w:style>
  <w:style w:type="paragraph" w:customStyle="1" w:styleId="101">
    <w:name w:val="表格文字"/>
    <w:basedOn w:val="1"/>
    <w:next w:val="21"/>
    <w:qFormat/>
    <w:uiPriority w:val="0"/>
    <w:pPr>
      <w:keepNext w:val="0"/>
      <w:keepLines w:val="0"/>
      <w:widowControl w:val="0"/>
      <w:suppressLineNumbers w:val="0"/>
      <w:spacing w:before="25" w:beforeAutospacing="0" w:after="25" w:afterAutospacing="0"/>
      <w:ind w:left="0" w:right="0"/>
      <w:jc w:val="left"/>
    </w:pPr>
    <w:rPr>
      <w:rFonts w:hint="default" w:ascii="Times New Roman" w:hAnsi="Times New Roman" w:eastAsia="宋体" w:cs="Times New Roman"/>
      <w:bCs/>
      <w:spacing w:val="10"/>
      <w:kern w:val="0"/>
      <w:sz w:val="24"/>
      <w:szCs w:val="24"/>
      <w:lang w:val="en-US" w:eastAsia="zh-CN"/>
    </w:rPr>
  </w:style>
  <w:style w:type="paragraph" w:customStyle="1" w:styleId="102">
    <w:name w:val="_Style 8"/>
    <w:basedOn w:val="16"/>
    <w:qFormat/>
    <w:uiPriority w:val="0"/>
    <w:pPr>
      <w:widowControl/>
      <w:ind w:firstLine="454"/>
      <w:jc w:val="left"/>
    </w:pPr>
  </w:style>
  <w:style w:type="character" w:customStyle="1" w:styleId="10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1"/>
        </w14:srgbClr>
      </w14:shadow>
    </w:rPr>
  </w:style>
  <w:style w:type="character" w:customStyle="1" w:styleId="104">
    <w:name w:val="apple-style-span"/>
    <w:basedOn w:val="55"/>
    <w:qFormat/>
    <w:uiPriority w:val="0"/>
  </w:style>
  <w:style w:type="character" w:customStyle="1" w:styleId="105">
    <w:name w:val="无间隔 Char"/>
    <w:link w:val="106"/>
    <w:qFormat/>
    <w:uiPriority w:val="0"/>
    <w:rPr>
      <w:sz w:val="22"/>
      <w:szCs w:val="22"/>
      <w:lang w:val="en-US" w:eastAsia="zh-CN" w:bidi="ar-SA"/>
    </w:rPr>
  </w:style>
  <w:style w:type="paragraph" w:styleId="106">
    <w:name w:val="No Spacing"/>
    <w:link w:val="105"/>
    <w:qFormat/>
    <w:uiPriority w:val="0"/>
    <w:rPr>
      <w:rFonts w:ascii="Times New Roman" w:hAnsi="Times New Roman" w:eastAsia="宋体" w:cs="Times New Roman"/>
      <w:sz w:val="22"/>
      <w:szCs w:val="22"/>
      <w:lang w:val="en-US" w:eastAsia="zh-CN" w:bidi="ar-SA"/>
    </w:rPr>
  </w:style>
  <w:style w:type="character" w:customStyle="1" w:styleId="107">
    <w:name w:val="纯文本 Char"/>
    <w:qFormat/>
    <w:uiPriority w:val="99"/>
    <w:rPr>
      <w:rFonts w:ascii="宋体" w:hAnsi="Courier New" w:eastAsia="宋体"/>
      <w:kern w:val="2"/>
      <w:sz w:val="21"/>
      <w:lang w:val="en-US" w:eastAsia="zh-CN" w:bidi="ar-SA"/>
    </w:rPr>
  </w:style>
  <w:style w:type="character" w:customStyle="1" w:styleId="108">
    <w:name w:val="ca-10"/>
    <w:basedOn w:val="55"/>
    <w:qFormat/>
    <w:uiPriority w:val="0"/>
  </w:style>
  <w:style w:type="character" w:customStyle="1" w:styleId="109">
    <w:name w:val="Char Char Char Char Char"/>
    <w:qFormat/>
    <w:uiPriority w:val="0"/>
    <w:rPr>
      <w:rFonts w:hint="eastAsia" w:ascii="宋体" w:hAnsi="宋体" w:eastAsia="宋体"/>
      <w:b/>
      <w:bCs/>
      <w:kern w:val="44"/>
      <w:sz w:val="44"/>
      <w:szCs w:val="44"/>
      <w:lang w:val="en-US" w:eastAsia="zh-CN" w:bidi="ar-SA"/>
    </w:rPr>
  </w:style>
  <w:style w:type="character" w:customStyle="1" w:styleId="110">
    <w:name w:val="font41"/>
    <w:basedOn w:val="55"/>
    <w:qFormat/>
    <w:uiPriority w:val="0"/>
    <w:rPr>
      <w:rFonts w:hint="eastAsia" w:ascii="仿宋_GB2312" w:eastAsia="仿宋_GB2312" w:cs="仿宋_GB2312"/>
      <w:color w:val="000000"/>
      <w:sz w:val="20"/>
      <w:szCs w:val="20"/>
      <w:u w:val="none"/>
    </w:rPr>
  </w:style>
  <w:style w:type="character" w:customStyle="1" w:styleId="111">
    <w:name w:val="ca-11"/>
    <w:basedOn w:val="55"/>
    <w:qFormat/>
    <w:uiPriority w:val="0"/>
  </w:style>
  <w:style w:type="character" w:customStyle="1" w:styleId="112">
    <w:name w:val="Char Char12"/>
    <w:qFormat/>
    <w:uiPriority w:val="0"/>
    <w:rPr>
      <w:rFonts w:ascii="宋体" w:eastAsia="宋体" w:cs="Courier New"/>
      <w:kern w:val="2"/>
      <w:sz w:val="21"/>
      <w:szCs w:val="21"/>
      <w:lang w:val="en-US" w:eastAsia="zh-CN" w:bidi="ar-SA"/>
    </w:rPr>
  </w:style>
  <w:style w:type="character" w:customStyle="1" w:styleId="113">
    <w:name w:val="普通文字 Char Char4"/>
    <w:qFormat/>
    <w:uiPriority w:val="0"/>
    <w:rPr>
      <w:rFonts w:ascii="宋体" w:hAnsi="Courier New" w:eastAsia="宋体" w:cs="Courier New"/>
      <w:kern w:val="2"/>
      <w:sz w:val="21"/>
      <w:szCs w:val="21"/>
      <w:lang w:val="en-US" w:eastAsia="zh-CN" w:bidi="ar-SA"/>
    </w:rPr>
  </w:style>
  <w:style w:type="character" w:customStyle="1" w:styleId="114">
    <w:name w:val="ca-12"/>
    <w:basedOn w:val="55"/>
    <w:qFormat/>
    <w:uiPriority w:val="0"/>
  </w:style>
  <w:style w:type="character" w:customStyle="1" w:styleId="115">
    <w:name w:val="font71"/>
    <w:basedOn w:val="55"/>
    <w:qFormat/>
    <w:uiPriority w:val="0"/>
    <w:rPr>
      <w:rFonts w:hint="eastAsia" w:ascii="宋体" w:hAnsi="宋体" w:eastAsia="宋体" w:cs="宋体"/>
      <w:color w:val="FF0000"/>
      <w:sz w:val="18"/>
      <w:szCs w:val="18"/>
      <w:u w:val="none"/>
    </w:rPr>
  </w:style>
  <w:style w:type="character" w:customStyle="1" w:styleId="116">
    <w:name w:val="unnamed3"/>
    <w:basedOn w:val="55"/>
    <w:qFormat/>
    <w:uiPriority w:val="0"/>
  </w:style>
  <w:style w:type="character" w:customStyle="1" w:styleId="117">
    <w:name w:val="Char Char7"/>
    <w:qFormat/>
    <w:uiPriority w:val="0"/>
    <w:rPr>
      <w:rFonts w:ascii="宋体" w:eastAsia="宋体" w:cs="Courier New"/>
      <w:kern w:val="2"/>
      <w:sz w:val="21"/>
      <w:szCs w:val="21"/>
      <w:lang w:val="en-US" w:eastAsia="zh-CN" w:bidi="ar-SA"/>
    </w:rPr>
  </w:style>
  <w:style w:type="character" w:customStyle="1" w:styleId="118">
    <w:name w:val="ca-3"/>
    <w:basedOn w:val="55"/>
    <w:qFormat/>
    <w:uiPriority w:val="0"/>
  </w:style>
  <w:style w:type="character" w:customStyle="1" w:styleId="119">
    <w:name w:val="mark13"/>
    <w:basedOn w:val="55"/>
    <w:qFormat/>
    <w:uiPriority w:val="0"/>
  </w:style>
  <w:style w:type="character" w:customStyle="1" w:styleId="120">
    <w:name w:val="style21"/>
    <w:qFormat/>
    <w:uiPriority w:val="0"/>
    <w:rPr>
      <w:sz w:val="18"/>
      <w:szCs w:val="18"/>
    </w:rPr>
  </w:style>
  <w:style w:type="character" w:customStyle="1" w:styleId="121">
    <w:name w:val="Char Char14"/>
    <w:qFormat/>
    <w:uiPriority w:val="0"/>
    <w:rPr>
      <w:sz w:val="18"/>
      <w:szCs w:val="18"/>
    </w:rPr>
  </w:style>
  <w:style w:type="character" w:customStyle="1" w:styleId="122">
    <w:name w:val="Char Char15"/>
    <w:qFormat/>
    <w:uiPriority w:val="0"/>
    <w:rPr>
      <w:sz w:val="18"/>
      <w:szCs w:val="18"/>
    </w:rPr>
  </w:style>
  <w:style w:type="character" w:customStyle="1" w:styleId="123">
    <w:name w:val="p1"/>
    <w:basedOn w:val="55"/>
    <w:qFormat/>
    <w:uiPriority w:val="0"/>
  </w:style>
  <w:style w:type="character" w:customStyle="1" w:styleId="124">
    <w:name w:val="UP标题3 Char Char"/>
    <w:link w:val="125"/>
    <w:qFormat/>
    <w:uiPriority w:val="0"/>
    <w:rPr>
      <w:rFonts w:ascii="黑体" w:eastAsia="黑体"/>
      <w:sz w:val="28"/>
      <w:szCs w:val="28"/>
      <w:lang w:bidi="ar-SA"/>
    </w:rPr>
  </w:style>
  <w:style w:type="paragraph" w:customStyle="1" w:styleId="125">
    <w:name w:val="UP标题3"/>
    <w:basedOn w:val="1"/>
    <w:link w:val="124"/>
    <w:qFormat/>
    <w:uiPriority w:val="0"/>
    <w:pPr>
      <w:spacing w:line="360" w:lineRule="auto"/>
      <w:ind w:firstLine="149" w:firstLineChars="149"/>
    </w:pPr>
    <w:rPr>
      <w:rFonts w:ascii="黑体" w:eastAsia="黑体"/>
      <w:kern w:val="0"/>
      <w:sz w:val="28"/>
      <w:szCs w:val="28"/>
    </w:rPr>
  </w:style>
  <w:style w:type="character" w:customStyle="1" w:styleId="126">
    <w:name w:val="ca-8"/>
    <w:basedOn w:val="55"/>
    <w:qFormat/>
    <w:uiPriority w:val="0"/>
  </w:style>
  <w:style w:type="character" w:customStyle="1" w:styleId="127">
    <w:name w:val="Body Text Char"/>
    <w:qFormat/>
    <w:uiPriority w:val="0"/>
    <w:rPr>
      <w:rFonts w:eastAsia="宋体"/>
      <w:kern w:val="2"/>
      <w:sz w:val="24"/>
      <w:szCs w:val="24"/>
      <w:lang w:val="en-US" w:eastAsia="zh-CN" w:bidi="ar-SA"/>
    </w:rPr>
  </w:style>
  <w:style w:type="character" w:customStyle="1" w:styleId="128">
    <w:name w:val="ca-16"/>
    <w:basedOn w:val="55"/>
    <w:qFormat/>
    <w:uiPriority w:val="0"/>
  </w:style>
  <w:style w:type="character" w:customStyle="1" w:styleId="129">
    <w:name w:val="Char Char17"/>
    <w:qFormat/>
    <w:uiPriority w:val="0"/>
    <w:rPr>
      <w:rFonts w:hint="default" w:ascii="Times New Roman" w:hAnsi="Times New Roman" w:cs="Times New Roman"/>
      <w:b/>
      <w:bCs/>
      <w:kern w:val="2"/>
      <w:sz w:val="21"/>
      <w:szCs w:val="24"/>
    </w:rPr>
  </w:style>
  <w:style w:type="character" w:customStyle="1" w:styleId="130">
    <w:name w:val="ca-0"/>
    <w:qFormat/>
    <w:uiPriority w:val="0"/>
  </w:style>
  <w:style w:type="character" w:customStyle="1" w:styleId="131">
    <w:name w:val="Char Char8"/>
    <w:qFormat/>
    <w:uiPriority w:val="0"/>
    <w:rPr>
      <w:rFonts w:hint="eastAsia" w:ascii="仿宋_GB2312" w:eastAsia="仿宋_GB2312"/>
      <w:kern w:val="2"/>
      <w:sz w:val="32"/>
      <w:lang w:val="en-US" w:eastAsia="zh-CN" w:bidi="ar-SA"/>
    </w:rPr>
  </w:style>
  <w:style w:type="character" w:customStyle="1" w:styleId="132">
    <w:name w:val="Char Char3"/>
    <w:qFormat/>
    <w:uiPriority w:val="0"/>
    <w:rPr>
      <w:rFonts w:ascii="宋体" w:hAnsi="Courier New" w:eastAsia="宋体" w:cs="Courier New"/>
      <w:kern w:val="2"/>
      <w:sz w:val="21"/>
      <w:szCs w:val="21"/>
      <w:lang w:val="en-US" w:eastAsia="zh-CN" w:bidi="ar-SA"/>
    </w:rPr>
  </w:style>
  <w:style w:type="character" w:customStyle="1" w:styleId="133">
    <w:name w:val="Char Char2"/>
    <w:qFormat/>
    <w:uiPriority w:val="0"/>
    <w:rPr>
      <w:rFonts w:eastAsia="宋体"/>
      <w:sz w:val="24"/>
    </w:rPr>
  </w:style>
  <w:style w:type="character" w:customStyle="1" w:styleId="134">
    <w:name w:val="批注文字 Char1"/>
    <w:qFormat/>
    <w:uiPriority w:val="0"/>
    <w:rPr>
      <w:kern w:val="2"/>
      <w:sz w:val="21"/>
      <w:szCs w:val="24"/>
    </w:rPr>
  </w:style>
  <w:style w:type="character" w:customStyle="1" w:styleId="135">
    <w:name w:val="Char Char23"/>
    <w:qFormat/>
    <w:uiPriority w:val="0"/>
    <w:rPr>
      <w:rFonts w:hint="default" w:ascii="Times New Roman" w:hAnsi="Times New Roman" w:eastAsia="宋体" w:cs="Times New Roman"/>
      <w:b/>
      <w:bCs/>
      <w:kern w:val="44"/>
      <w:sz w:val="44"/>
      <w:szCs w:val="44"/>
    </w:rPr>
  </w:style>
  <w:style w:type="character" w:customStyle="1" w:styleId="136">
    <w:name w:val="ca-5"/>
    <w:basedOn w:val="55"/>
    <w:qFormat/>
    <w:uiPriority w:val="0"/>
  </w:style>
  <w:style w:type="character" w:customStyle="1" w:styleId="137">
    <w:name w:val="cubane_hilight1"/>
    <w:qFormat/>
    <w:uiPriority w:val="0"/>
    <w:rPr>
      <w:color w:val="CC0000"/>
    </w:rPr>
  </w:style>
  <w:style w:type="character" w:customStyle="1" w:styleId="138">
    <w:name w:val="ca-7"/>
    <w:basedOn w:val="55"/>
    <w:qFormat/>
    <w:uiPriority w:val="0"/>
  </w:style>
  <w:style w:type="character" w:customStyle="1" w:styleId="139">
    <w:name w:val="普通文字 Char Char2"/>
    <w:qFormat/>
    <w:uiPriority w:val="0"/>
    <w:rPr>
      <w:rFonts w:ascii="宋体" w:hAnsi="Courier New" w:eastAsia="宋体"/>
      <w:kern w:val="2"/>
      <w:sz w:val="21"/>
      <w:lang w:val="en-US" w:eastAsia="zh-CN" w:bidi="ar-SA"/>
    </w:rPr>
  </w:style>
  <w:style w:type="character" w:customStyle="1" w:styleId="140">
    <w:name w:val="apple-converted-space"/>
    <w:basedOn w:val="55"/>
    <w:qFormat/>
    <w:uiPriority w:val="0"/>
  </w:style>
  <w:style w:type="character" w:customStyle="1" w:styleId="141">
    <w:name w:val="标题 Char1"/>
    <w:qFormat/>
    <w:uiPriority w:val="0"/>
    <w:rPr>
      <w:rFonts w:hint="default" w:ascii="Cambria" w:hAnsi="Cambria" w:cs="Times New Roman"/>
      <w:b/>
      <w:bCs/>
      <w:kern w:val="2"/>
      <w:sz w:val="32"/>
      <w:szCs w:val="32"/>
    </w:rPr>
  </w:style>
  <w:style w:type="character" w:customStyle="1" w:styleId="142">
    <w:name w:val="ca-4"/>
    <w:basedOn w:val="55"/>
    <w:qFormat/>
    <w:uiPriority w:val="0"/>
  </w:style>
  <w:style w:type="character" w:customStyle="1" w:styleId="143">
    <w:name w:val="ca-2"/>
    <w:basedOn w:val="55"/>
    <w:qFormat/>
    <w:uiPriority w:val="0"/>
  </w:style>
  <w:style w:type="character" w:customStyle="1" w:styleId="144">
    <w:name w:val="Char Char10"/>
    <w:qFormat/>
    <w:uiPriority w:val="0"/>
    <w:rPr>
      <w:rFonts w:hint="eastAsia" w:ascii="宋体" w:hAnsi="宋体" w:eastAsia="宋体"/>
      <w:kern w:val="2"/>
      <w:sz w:val="24"/>
      <w:szCs w:val="24"/>
      <w:lang w:val="en-US" w:eastAsia="zh-CN" w:bidi="ar-SA"/>
    </w:rPr>
  </w:style>
  <w:style w:type="character" w:customStyle="1" w:styleId="145">
    <w:name w:val="1ji Char Char"/>
    <w:qFormat/>
    <w:uiPriority w:val="0"/>
    <w:rPr>
      <w:rFonts w:ascii="宋体" w:hAnsi="宋体" w:eastAsia="宋体"/>
      <w:b/>
      <w:bCs/>
      <w:kern w:val="44"/>
      <w:sz w:val="36"/>
      <w:szCs w:val="44"/>
    </w:rPr>
  </w:style>
  <w:style w:type="character" w:customStyle="1" w:styleId="146">
    <w:name w:val="H1 Char1"/>
    <w:qFormat/>
    <w:uiPriority w:val="0"/>
    <w:rPr>
      <w:rFonts w:eastAsia="宋体"/>
      <w:b/>
      <w:bCs/>
      <w:kern w:val="44"/>
      <w:sz w:val="44"/>
      <w:szCs w:val="44"/>
      <w:lang w:val="en-US" w:eastAsia="zh-CN" w:bidi="ar-SA"/>
    </w:rPr>
  </w:style>
  <w:style w:type="character" w:customStyle="1" w:styleId="147">
    <w:name w:val=" Char Char10"/>
    <w:qFormat/>
    <w:uiPriority w:val="0"/>
    <w:rPr>
      <w:rFonts w:eastAsia="宋体"/>
      <w:kern w:val="2"/>
      <w:sz w:val="24"/>
      <w:szCs w:val="24"/>
      <w:lang w:val="en-US" w:eastAsia="zh-CN" w:bidi="ar-SA"/>
    </w:rPr>
  </w:style>
  <w:style w:type="character" w:customStyle="1" w:styleId="148">
    <w:name w:val=" Char Char14"/>
    <w:qFormat/>
    <w:uiPriority w:val="0"/>
    <w:rPr>
      <w:sz w:val="18"/>
      <w:szCs w:val="18"/>
    </w:rPr>
  </w:style>
  <w:style w:type="character" w:customStyle="1" w:styleId="149">
    <w:name w:val="H1 Char2"/>
    <w:qFormat/>
    <w:uiPriority w:val="0"/>
    <w:rPr>
      <w:rFonts w:eastAsia="宋体"/>
      <w:b/>
      <w:bCs/>
      <w:kern w:val="44"/>
      <w:sz w:val="44"/>
      <w:szCs w:val="44"/>
      <w:lang w:val="en-US" w:eastAsia="zh-CN" w:bidi="ar-SA"/>
    </w:rPr>
  </w:style>
  <w:style w:type="character" w:customStyle="1" w:styleId="150">
    <w:name w:val="无间隔 Char Char"/>
    <w:qFormat/>
    <w:uiPriority w:val="0"/>
    <w:rPr>
      <w:rFonts w:ascii="Calibri" w:hAnsi="Calibri" w:eastAsia="宋体"/>
      <w:sz w:val="22"/>
      <w:szCs w:val="22"/>
      <w:lang w:val="en-US" w:eastAsia="zh-CN" w:bidi="ar-SA"/>
    </w:rPr>
  </w:style>
  <w:style w:type="character" w:customStyle="1" w:styleId="151">
    <w:name w:val="正文文本缩进 Char1"/>
    <w:qFormat/>
    <w:uiPriority w:val="0"/>
    <w:rPr>
      <w:kern w:val="2"/>
      <w:sz w:val="21"/>
      <w:szCs w:val="22"/>
    </w:rPr>
  </w:style>
  <w:style w:type="character" w:customStyle="1" w:styleId="152">
    <w:name w:val="font31"/>
    <w:basedOn w:val="55"/>
    <w:qFormat/>
    <w:uiPriority w:val="0"/>
    <w:rPr>
      <w:rFonts w:hint="eastAsia" w:ascii="宋体" w:hAnsi="宋体" w:eastAsia="宋体" w:cs="宋体"/>
      <w:color w:val="000000"/>
      <w:sz w:val="16"/>
      <w:szCs w:val="16"/>
      <w:u w:val="none"/>
    </w:rPr>
  </w:style>
  <w:style w:type="character" w:customStyle="1" w:styleId="153">
    <w:name w:val="Char Char4"/>
    <w:qFormat/>
    <w:uiPriority w:val="0"/>
    <w:rPr>
      <w:rFonts w:ascii="宋体" w:hAnsi="Courier New" w:eastAsia="宋体" w:cs="Courier New"/>
      <w:kern w:val="2"/>
      <w:sz w:val="21"/>
      <w:szCs w:val="21"/>
      <w:lang w:val="en-US" w:eastAsia="zh-CN" w:bidi="ar-SA"/>
    </w:rPr>
  </w:style>
  <w:style w:type="character" w:customStyle="1" w:styleId="154">
    <w:name w:val="Char Char21"/>
    <w:qFormat/>
    <w:uiPriority w:val="0"/>
    <w:rPr>
      <w:rFonts w:ascii="宋体" w:eastAsia="宋体"/>
      <w:sz w:val="24"/>
    </w:rPr>
  </w:style>
  <w:style w:type="character" w:customStyle="1" w:styleId="155">
    <w:name w:val=" Char Char11"/>
    <w:qFormat/>
    <w:uiPriority w:val="0"/>
    <w:rPr>
      <w:rFonts w:ascii="Times New Roman" w:hAnsi="Times New Roman" w:eastAsia="宋体" w:cs="Times New Roman"/>
      <w:sz w:val="30"/>
      <w:szCs w:val="24"/>
    </w:rPr>
  </w:style>
  <w:style w:type="character" w:customStyle="1" w:styleId="156">
    <w:name w:val="font21"/>
    <w:basedOn w:val="55"/>
    <w:qFormat/>
    <w:uiPriority w:val="0"/>
    <w:rPr>
      <w:rFonts w:ascii="Calibri" w:hAnsi="Calibri" w:cs="Calibri"/>
      <w:color w:val="000000"/>
      <w:sz w:val="20"/>
      <w:szCs w:val="20"/>
      <w:u w:val="none"/>
    </w:rPr>
  </w:style>
  <w:style w:type="character" w:customStyle="1" w:styleId="157">
    <w:name w:val="彩色列表 - 强调文字颜色 1 Char"/>
    <w:qFormat/>
    <w:uiPriority w:val="34"/>
    <w:rPr>
      <w:rFonts w:ascii="Calibri" w:hAnsi="Calibri"/>
      <w:sz w:val="24"/>
      <w:szCs w:val="24"/>
      <w:lang w:eastAsia="en-US"/>
    </w:rPr>
  </w:style>
  <w:style w:type="character" w:customStyle="1" w:styleId="158">
    <w:name w:val="Char Char111"/>
    <w:qFormat/>
    <w:uiPriority w:val="0"/>
    <w:rPr>
      <w:rFonts w:hint="default" w:ascii="Times New Roman" w:hAnsi="Times New Roman" w:eastAsia="宋体" w:cs="Times New Roman"/>
      <w:sz w:val="30"/>
      <w:szCs w:val="24"/>
    </w:rPr>
  </w:style>
  <w:style w:type="character" w:customStyle="1" w:styleId="159">
    <w:name w:val="ca-14"/>
    <w:basedOn w:val="55"/>
    <w:qFormat/>
    <w:uiPriority w:val="0"/>
  </w:style>
  <w:style w:type="character" w:customStyle="1" w:styleId="160">
    <w:name w:val="font11"/>
    <w:basedOn w:val="55"/>
    <w:qFormat/>
    <w:uiPriority w:val="0"/>
    <w:rPr>
      <w:rFonts w:hint="eastAsia" w:ascii="宋体" w:hAnsi="宋体" w:eastAsia="宋体" w:cs="宋体"/>
      <w:color w:val="FF0000"/>
      <w:sz w:val="16"/>
      <w:szCs w:val="16"/>
      <w:u w:val="none"/>
    </w:rPr>
  </w:style>
  <w:style w:type="character" w:customStyle="1" w:styleId="161">
    <w:name w:val="row08"/>
    <w:qFormat/>
    <w:uiPriority w:val="0"/>
    <w:rPr>
      <w:rFonts w:cs="Times New Roman"/>
      <w:lang w:bidi="ar-SA"/>
    </w:rPr>
  </w:style>
  <w:style w:type="character" w:customStyle="1" w:styleId="162">
    <w:name w:val="列出段落 Char"/>
    <w:link w:val="163"/>
    <w:qFormat/>
    <w:uiPriority w:val="0"/>
    <w:rPr>
      <w:rFonts w:ascii="Calibri" w:hAnsi="Calibri" w:eastAsia="宋体"/>
      <w:kern w:val="2"/>
      <w:sz w:val="21"/>
      <w:szCs w:val="22"/>
      <w:lang w:val="en-US" w:eastAsia="zh-CN" w:bidi="ar-SA"/>
    </w:rPr>
  </w:style>
  <w:style w:type="paragraph" w:customStyle="1" w:styleId="163">
    <w:name w:val="列出段落3"/>
    <w:basedOn w:val="1"/>
    <w:link w:val="162"/>
    <w:qFormat/>
    <w:uiPriority w:val="0"/>
    <w:pPr>
      <w:ind w:firstLine="420" w:firstLineChars="200"/>
    </w:pPr>
    <w:rPr>
      <w:rFonts w:ascii="Calibri" w:hAnsi="Calibri"/>
      <w:szCs w:val="22"/>
    </w:rPr>
  </w:style>
  <w:style w:type="character" w:customStyle="1" w:styleId="164">
    <w:name w:val="自定义标题一 Char"/>
    <w:link w:val="165"/>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1"/>
        </w14:srgbClr>
      </w14:shadow>
    </w:rPr>
  </w:style>
  <w:style w:type="paragraph" w:customStyle="1" w:styleId="165">
    <w:name w:val="自定义标题一"/>
    <w:basedOn w:val="2"/>
    <w:link w:val="164"/>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1"/>
        </w14:srgbClr>
      </w14:shadow>
    </w:rPr>
  </w:style>
  <w:style w:type="character" w:customStyle="1" w:styleId="166">
    <w:name w:val="Char Char6"/>
    <w:qFormat/>
    <w:uiPriority w:val="0"/>
    <w:rPr>
      <w:rFonts w:ascii="宋体" w:hAnsi="Courier New" w:eastAsia="宋体" w:cs="Courier New"/>
      <w:kern w:val="2"/>
      <w:sz w:val="21"/>
      <w:szCs w:val="21"/>
      <w:lang w:val="en-US" w:eastAsia="zh-CN" w:bidi="ar-SA"/>
    </w:rPr>
  </w:style>
  <w:style w:type="character" w:customStyle="1" w:styleId="167">
    <w:name w:val="ca-15"/>
    <w:basedOn w:val="55"/>
    <w:qFormat/>
    <w:uiPriority w:val="0"/>
  </w:style>
  <w:style w:type="character" w:customStyle="1" w:styleId="168">
    <w:name w:val="Char Char28"/>
    <w:qFormat/>
    <w:uiPriority w:val="0"/>
    <w:rPr>
      <w:rFonts w:eastAsia="宋体"/>
      <w:b/>
      <w:bCs/>
      <w:kern w:val="44"/>
      <w:sz w:val="44"/>
      <w:szCs w:val="44"/>
      <w:lang w:val="en-US" w:eastAsia="zh-CN" w:bidi="ar-SA"/>
    </w:rPr>
  </w:style>
  <w:style w:type="character" w:customStyle="1" w:styleId="169">
    <w:name w:val=" Char Char Char Char Char"/>
    <w:qFormat/>
    <w:uiPriority w:val="0"/>
    <w:rPr>
      <w:rFonts w:eastAsia="宋体"/>
      <w:b/>
      <w:bCs/>
      <w:kern w:val="44"/>
      <w:sz w:val="44"/>
      <w:szCs w:val="44"/>
      <w:lang w:val="en-US" w:eastAsia="zh-CN" w:bidi="ar-SA"/>
    </w:rPr>
  </w:style>
  <w:style w:type="character" w:customStyle="1" w:styleId="170">
    <w:name w:val="正文2 Char Char"/>
    <w:link w:val="171"/>
    <w:qFormat/>
    <w:uiPriority w:val="0"/>
    <w:rPr>
      <w:kern w:val="2"/>
      <w:sz w:val="28"/>
      <w:szCs w:val="22"/>
      <w:lang w:bidi="ar-SA"/>
    </w:rPr>
  </w:style>
  <w:style w:type="paragraph" w:customStyle="1" w:styleId="171">
    <w:name w:val="正文2"/>
    <w:basedOn w:val="1"/>
    <w:link w:val="170"/>
    <w:qFormat/>
    <w:uiPriority w:val="0"/>
    <w:pPr>
      <w:spacing w:line="360" w:lineRule="auto"/>
      <w:ind w:firstLine="200" w:firstLineChars="200"/>
    </w:pPr>
    <w:rPr>
      <w:sz w:val="28"/>
      <w:szCs w:val="22"/>
    </w:rPr>
  </w:style>
  <w:style w:type="character" w:customStyle="1" w:styleId="172">
    <w:name w:val="正文文字首行缩进 Char"/>
    <w:qFormat/>
    <w:uiPriority w:val="0"/>
    <w:rPr>
      <w:rFonts w:ascii="仿宋_GB2312" w:eastAsia="仿宋_GB2312"/>
      <w:kern w:val="2"/>
      <w:sz w:val="32"/>
    </w:rPr>
  </w:style>
  <w:style w:type="character" w:customStyle="1" w:styleId="173">
    <w:name w:val="Char Char"/>
    <w:qFormat/>
    <w:uiPriority w:val="0"/>
    <w:rPr>
      <w:rFonts w:ascii="宋体" w:eastAsia="宋体" w:cs="Courier New"/>
      <w:kern w:val="2"/>
      <w:sz w:val="21"/>
      <w:szCs w:val="21"/>
      <w:lang w:val="en-US" w:eastAsia="zh-CN" w:bidi="ar-SA"/>
    </w:rPr>
  </w:style>
  <w:style w:type="character" w:customStyle="1" w:styleId="174">
    <w:name w:val="H1 Char"/>
    <w:qFormat/>
    <w:uiPriority w:val="0"/>
    <w:rPr>
      <w:rFonts w:eastAsia="宋体"/>
      <w:b/>
      <w:bCs/>
      <w:kern w:val="44"/>
      <w:sz w:val="44"/>
      <w:szCs w:val="44"/>
      <w:lang w:val="en-US" w:eastAsia="zh-CN" w:bidi="ar-SA"/>
    </w:rPr>
  </w:style>
  <w:style w:type="character" w:customStyle="1" w:styleId="175">
    <w:name w:val="Plain Text Char"/>
    <w:link w:val="176"/>
    <w:qFormat/>
    <w:uiPriority w:val="0"/>
    <w:rPr>
      <w:rFonts w:ascii="宋体" w:hAnsi="Courier New" w:eastAsia="宋体"/>
      <w:kern w:val="2"/>
      <w:sz w:val="21"/>
    </w:rPr>
  </w:style>
  <w:style w:type="paragraph" w:customStyle="1" w:styleId="176">
    <w:name w:val="Plain Text_650fd7f2-3a73-4664-b5b0-c7dc0e91397b"/>
    <w:basedOn w:val="1"/>
    <w:link w:val="175"/>
    <w:qFormat/>
    <w:uiPriority w:val="0"/>
    <w:rPr>
      <w:rFonts w:ascii="宋体" w:hAnsi="Courier New"/>
      <w:szCs w:val="20"/>
    </w:rPr>
  </w:style>
  <w:style w:type="character" w:customStyle="1" w:styleId="177">
    <w:name w:val="style31"/>
    <w:qFormat/>
    <w:uiPriority w:val="0"/>
    <w:rPr>
      <w:sz w:val="18"/>
      <w:szCs w:val="18"/>
    </w:rPr>
  </w:style>
  <w:style w:type="character" w:customStyle="1" w:styleId="178">
    <w:name w:val="纯文本 字符"/>
    <w:qFormat/>
    <w:uiPriority w:val="0"/>
    <w:rPr>
      <w:rFonts w:ascii="宋体" w:hAnsi="Courier New" w:eastAsia="宋体" w:cs="Courier New"/>
      <w:kern w:val="2"/>
      <w:sz w:val="21"/>
      <w:szCs w:val="21"/>
      <w:lang w:val="en-US" w:eastAsia="zh-CN" w:bidi="ar-SA"/>
    </w:rPr>
  </w:style>
  <w:style w:type="character" w:customStyle="1" w:styleId="179">
    <w:name w:val="ti"/>
    <w:basedOn w:val="55"/>
    <w:qFormat/>
    <w:uiPriority w:val="0"/>
  </w:style>
  <w:style w:type="character" w:customStyle="1" w:styleId="180">
    <w:name w:val="1ji Char"/>
    <w:link w:val="181"/>
    <w:qFormat/>
    <w:uiPriority w:val="0"/>
    <w:rPr>
      <w:rFonts w:ascii="宋体" w:hAnsi="宋体" w:eastAsia="宋体"/>
      <w:b/>
      <w:bCs/>
      <w:kern w:val="44"/>
      <w:sz w:val="36"/>
      <w:szCs w:val="44"/>
      <w:lang w:val="en-US" w:eastAsia="zh-CN" w:bidi="ar-SA"/>
    </w:rPr>
  </w:style>
  <w:style w:type="paragraph" w:customStyle="1" w:styleId="181">
    <w:name w:val="1ji"/>
    <w:basedOn w:val="2"/>
    <w:link w:val="180"/>
    <w:qFormat/>
    <w:uiPriority w:val="0"/>
    <w:pPr>
      <w:keepLines w:val="0"/>
      <w:widowControl/>
      <w:spacing w:before="0" w:after="0" w:line="240" w:lineRule="auto"/>
      <w:jc w:val="center"/>
    </w:pPr>
    <w:rPr>
      <w:rFonts w:ascii="宋体" w:hAnsi="宋体"/>
      <w:sz w:val="36"/>
    </w:rPr>
  </w:style>
  <w:style w:type="character" w:customStyle="1" w:styleId="182">
    <w:name w:val=" Char Char23"/>
    <w:qFormat/>
    <w:uiPriority w:val="0"/>
    <w:rPr>
      <w:rFonts w:ascii="Times New Roman" w:hAnsi="Times New Roman" w:eastAsia="宋体" w:cs="Times New Roman"/>
      <w:b/>
      <w:bCs/>
      <w:kern w:val="44"/>
      <w:sz w:val="44"/>
      <w:szCs w:val="44"/>
    </w:rPr>
  </w:style>
  <w:style w:type="character" w:customStyle="1" w:styleId="183">
    <w:name w:val="ca-13"/>
    <w:basedOn w:val="55"/>
    <w:qFormat/>
    <w:uiPriority w:val="0"/>
  </w:style>
  <w:style w:type="character" w:customStyle="1" w:styleId="184">
    <w:name w:val="纯文本 Char1"/>
    <w:qFormat/>
    <w:uiPriority w:val="99"/>
    <w:rPr>
      <w:rFonts w:ascii="宋体" w:hAnsi="Courier New" w:eastAsia="宋体" w:cs="Courier New"/>
      <w:kern w:val="2"/>
      <w:sz w:val="21"/>
      <w:szCs w:val="21"/>
      <w:lang w:val="en-US" w:eastAsia="zh-CN" w:bidi="ar-SA"/>
    </w:rPr>
  </w:style>
  <w:style w:type="character" w:customStyle="1" w:styleId="185">
    <w:name w:val="font51"/>
    <w:basedOn w:val="55"/>
    <w:qFormat/>
    <w:uiPriority w:val="0"/>
    <w:rPr>
      <w:rFonts w:hint="eastAsia" w:ascii="宋体" w:hAnsi="宋体" w:eastAsia="宋体" w:cs="宋体"/>
      <w:color w:val="FF0000"/>
      <w:sz w:val="18"/>
      <w:szCs w:val="18"/>
      <w:u w:val="none"/>
      <w:vertAlign w:val="superscript"/>
    </w:rPr>
  </w:style>
  <w:style w:type="character" w:customStyle="1" w:styleId="186">
    <w:name w:val="ca-6"/>
    <w:basedOn w:val="55"/>
    <w:qFormat/>
    <w:uiPriority w:val="0"/>
  </w:style>
  <w:style w:type="character" w:customStyle="1" w:styleId="187">
    <w:name w:val="style161"/>
    <w:qFormat/>
    <w:uiPriority w:val="0"/>
    <w:rPr>
      <w:color w:val="666666"/>
    </w:rPr>
  </w:style>
  <w:style w:type="character" w:customStyle="1" w:styleId="188">
    <w:name w:val=" Char Char15"/>
    <w:qFormat/>
    <w:uiPriority w:val="0"/>
    <w:rPr>
      <w:sz w:val="18"/>
      <w:szCs w:val="18"/>
    </w:rPr>
  </w:style>
  <w:style w:type="character" w:customStyle="1" w:styleId="189">
    <w:name w:val="llyf92"/>
    <w:qFormat/>
    <w:uiPriority w:val="0"/>
    <w:rPr>
      <w:sz w:val="18"/>
      <w:szCs w:val="18"/>
    </w:rPr>
  </w:style>
  <w:style w:type="paragraph" w:customStyle="1" w:styleId="190">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91">
    <w:name w:val="Char Char1 Char Char Char Char1"/>
    <w:basedOn w:val="16"/>
    <w:qFormat/>
    <w:uiPriority w:val="0"/>
    <w:rPr>
      <w:rFonts w:ascii="Tahoma" w:hAnsi="Tahoma"/>
      <w:sz w:val="24"/>
    </w:rPr>
  </w:style>
  <w:style w:type="paragraph" w:customStyle="1" w:styleId="192">
    <w:name w:val="表-正文"/>
    <w:basedOn w:val="1"/>
    <w:qFormat/>
    <w:uiPriority w:val="0"/>
    <w:pPr>
      <w:autoSpaceDE w:val="0"/>
      <w:autoSpaceDN w:val="0"/>
      <w:adjustRightInd w:val="0"/>
      <w:spacing w:line="240" w:lineRule="atLeast"/>
      <w:jc w:val="center"/>
    </w:pPr>
    <w:rPr>
      <w:rFonts w:ascii="方正中等线简体 Regular" w:hAnsi="Calibri" w:eastAsia="方正中等线简体 Regular" w:cs="方正中等线简体 Regular"/>
      <w:color w:val="000000"/>
      <w:kern w:val="0"/>
      <w:sz w:val="18"/>
      <w:szCs w:val="18"/>
      <w:lang w:val="zh-CN"/>
    </w:rPr>
  </w:style>
  <w:style w:type="paragraph" w:customStyle="1" w:styleId="193">
    <w:name w:val="Char Char1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194">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195">
    <w:name w:val="标准文本"/>
    <w:basedOn w:val="1"/>
    <w:qFormat/>
    <w:uiPriority w:val="0"/>
    <w:pPr>
      <w:spacing w:line="360" w:lineRule="auto"/>
      <w:ind w:firstLine="200" w:firstLineChars="200"/>
    </w:pPr>
    <w:rPr>
      <w:kern w:val="0"/>
      <w:sz w:val="24"/>
      <w:szCs w:val="20"/>
    </w:rPr>
  </w:style>
  <w:style w:type="paragraph" w:customStyle="1" w:styleId="196">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197">
    <w:name w:val="font10"/>
    <w:basedOn w:val="1"/>
    <w:qFormat/>
    <w:uiPriority w:val="0"/>
    <w:pPr>
      <w:widowControl/>
      <w:spacing w:before="100" w:beforeAutospacing="1" w:after="100" w:afterAutospacing="1"/>
      <w:jc w:val="left"/>
    </w:pPr>
    <w:rPr>
      <w:color w:val="000000"/>
      <w:kern w:val="0"/>
      <w:sz w:val="24"/>
    </w:rPr>
  </w:style>
  <w:style w:type="paragraph" w:customStyle="1" w:styleId="19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列出段落2"/>
    <w:basedOn w:val="1"/>
    <w:qFormat/>
    <w:uiPriority w:val="0"/>
    <w:pPr>
      <w:ind w:firstLine="420" w:firstLineChars="200"/>
    </w:pPr>
    <w:rPr>
      <w:sz w:val="24"/>
    </w:rPr>
  </w:style>
  <w:style w:type="paragraph" w:customStyle="1" w:styleId="200">
    <w:name w:val="Char Char18"/>
    <w:basedOn w:val="16"/>
    <w:qFormat/>
    <w:uiPriority w:val="0"/>
    <w:pPr>
      <w:widowControl/>
      <w:ind w:firstLine="454"/>
      <w:jc w:val="left"/>
    </w:pPr>
    <w:rPr>
      <w:rFonts w:ascii="Tahoma" w:hAnsi="Tahoma" w:cs="宋体"/>
      <w:kern w:val="0"/>
      <w:sz w:val="24"/>
      <w:szCs w:val="20"/>
    </w:rPr>
  </w:style>
  <w:style w:type="paragraph" w:customStyle="1" w:styleId="201">
    <w:name w:val="Char Char Char Char Char Char Char Char Char"/>
    <w:basedOn w:val="1"/>
    <w:qFormat/>
    <w:uiPriority w:val="0"/>
    <w:pPr>
      <w:widowControl/>
      <w:spacing w:after="160" w:line="240" w:lineRule="exact"/>
      <w:jc w:val="left"/>
    </w:pPr>
    <w:rPr>
      <w:szCs w:val="20"/>
    </w:rPr>
  </w:style>
  <w:style w:type="paragraph" w:customStyle="1" w:styleId="202">
    <w:name w:val="Table Paragraph"/>
    <w:basedOn w:val="1"/>
    <w:qFormat/>
    <w:uiPriority w:val="1"/>
    <w:rPr>
      <w:rFonts w:ascii="宋体" w:hAnsi="宋体" w:cs="宋体"/>
      <w:lang w:val="zh-CN" w:bidi="zh-CN"/>
    </w:rPr>
  </w:style>
  <w:style w:type="paragraph" w:customStyle="1" w:styleId="203">
    <w:name w:val="纯文本1"/>
    <w:basedOn w:val="1"/>
    <w:qFormat/>
    <w:uiPriority w:val="0"/>
    <w:rPr>
      <w:rFonts w:ascii="宋体"/>
      <w:szCs w:val="21"/>
    </w:rPr>
  </w:style>
  <w:style w:type="paragraph" w:customStyle="1" w:styleId="204">
    <w:name w:val="1"/>
    <w:basedOn w:val="1"/>
    <w:next w:val="29"/>
    <w:qFormat/>
    <w:uiPriority w:val="0"/>
    <w:rPr>
      <w:rFonts w:ascii="宋体" w:hAnsi="Courier New"/>
      <w:szCs w:val="20"/>
    </w:rPr>
  </w:style>
  <w:style w:type="paragraph" w:customStyle="1" w:styleId="205">
    <w:name w:val="文章附标题"/>
    <w:basedOn w:val="1"/>
    <w:next w:val="2"/>
    <w:qFormat/>
    <w:uiPriority w:val="0"/>
    <w:pPr>
      <w:widowControl/>
      <w:spacing w:before="187" w:after="175" w:line="374" w:lineRule="atLeast"/>
      <w:jc w:val="center"/>
      <w:textAlignment w:val="baseline"/>
    </w:pPr>
    <w:rPr>
      <w:color w:val="000000"/>
      <w:kern w:val="0"/>
      <w:sz w:val="36"/>
      <w:szCs w:val="20"/>
    </w:rPr>
  </w:style>
  <w:style w:type="paragraph" w:customStyle="1" w:styleId="206">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07">
    <w:name w:val=" Char2"/>
    <w:basedOn w:val="1"/>
    <w:qFormat/>
    <w:uiPriority w:val="0"/>
    <w:rPr>
      <w:szCs w:val="20"/>
    </w:rPr>
  </w:style>
  <w:style w:type="paragraph" w:customStyle="1" w:styleId="208">
    <w:name w:val="_Style 205"/>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09">
    <w:name w:val="正文文本缩进 Char Char Char Char"/>
    <w:basedOn w:val="1"/>
    <w:qFormat/>
    <w:uiPriority w:val="0"/>
    <w:pPr>
      <w:ind w:firstLine="540"/>
    </w:pPr>
    <w:rPr>
      <w:rFonts w:hint="eastAsia" w:ascii="宋体" w:hAnsi="Courier New"/>
      <w:szCs w:val="20"/>
    </w:rPr>
  </w:style>
  <w:style w:type="paragraph" w:customStyle="1" w:styleId="210">
    <w:name w:val="Char Char19 Char Char Char Char"/>
    <w:basedOn w:val="16"/>
    <w:qFormat/>
    <w:uiPriority w:val="0"/>
    <w:pPr>
      <w:widowControl/>
      <w:ind w:firstLine="454"/>
      <w:jc w:val="left"/>
    </w:pPr>
  </w:style>
  <w:style w:type="paragraph" w:customStyle="1" w:styleId="211">
    <w:name w:val="pa-14"/>
    <w:basedOn w:val="1"/>
    <w:qFormat/>
    <w:uiPriority w:val="0"/>
    <w:pPr>
      <w:widowControl/>
      <w:spacing w:before="169" w:after="169"/>
      <w:jc w:val="left"/>
    </w:pPr>
    <w:rPr>
      <w:rFonts w:ascii="宋体" w:hAnsi="宋体" w:cs="宋体"/>
      <w:kern w:val="0"/>
      <w:sz w:val="24"/>
    </w:rPr>
  </w:style>
  <w:style w:type="paragraph" w:customStyle="1" w:styleId="212">
    <w:name w:val="标题3"/>
    <w:basedOn w:val="4"/>
    <w:qFormat/>
    <w:uiPriority w:val="0"/>
    <w:pPr>
      <w:keepLines w:val="0"/>
      <w:widowControl/>
      <w:tabs>
        <w:tab w:val="left" w:pos="1247"/>
      </w:tabs>
      <w:spacing w:before="240" w:after="120" w:line="360" w:lineRule="auto"/>
      <w:ind w:left="1247" w:hanging="1247"/>
      <w:jc w:val="left"/>
    </w:pPr>
    <w:rPr>
      <w:rFonts w:ascii="Arial" w:hAnsi="Arial"/>
      <w:sz w:val="52"/>
      <w:szCs w:val="52"/>
      <w:lang w:val="en-US" w:eastAsia="zh-CN"/>
    </w:rPr>
  </w:style>
  <w:style w:type="paragraph" w:customStyle="1" w:styleId="213">
    <w:name w:val="msolistparagraph"/>
    <w:basedOn w:val="1"/>
    <w:qFormat/>
    <w:uiPriority w:val="0"/>
    <w:pPr>
      <w:ind w:firstLine="420" w:firstLineChars="200"/>
    </w:pPr>
    <w:rPr>
      <w:rFonts w:ascii="Calibri" w:hAnsi="Calibri"/>
      <w:szCs w:val="22"/>
    </w:rPr>
  </w:style>
  <w:style w:type="paragraph" w:customStyle="1" w:styleId="214">
    <w:name w:val="标准正文"/>
    <w:basedOn w:val="1"/>
    <w:qFormat/>
    <w:uiPriority w:val="0"/>
    <w:pPr>
      <w:spacing w:before="60" w:after="60" w:line="360" w:lineRule="auto"/>
      <w:ind w:firstLine="482"/>
    </w:pPr>
    <w:rPr>
      <w:rFonts w:ascii="Arial" w:hAnsi="Arial"/>
      <w:color w:val="000000"/>
      <w:sz w:val="24"/>
      <w:szCs w:val="20"/>
    </w:rPr>
  </w:style>
  <w:style w:type="paragraph" w:customStyle="1" w:styleId="215">
    <w:name w:val="pa-6"/>
    <w:basedOn w:val="1"/>
    <w:qFormat/>
    <w:uiPriority w:val="0"/>
    <w:pPr>
      <w:widowControl/>
      <w:spacing w:before="169" w:after="169"/>
      <w:jc w:val="left"/>
    </w:pPr>
    <w:rPr>
      <w:rFonts w:ascii="宋体" w:hAnsi="宋体" w:cs="宋体"/>
      <w:kern w:val="0"/>
      <w:sz w:val="24"/>
    </w:rPr>
  </w:style>
  <w:style w:type="paragraph" w:customStyle="1" w:styleId="216">
    <w:name w:val="_Style 213"/>
    <w:qFormat/>
    <w:uiPriority w:val="99"/>
    <w:rPr>
      <w:rFonts w:ascii="Times New Roman" w:hAnsi="Times New Roman" w:eastAsia="宋体" w:cs="Times New Roman"/>
      <w:kern w:val="2"/>
      <w:sz w:val="21"/>
      <w:szCs w:val="24"/>
      <w:lang w:val="en-US" w:eastAsia="zh-CN" w:bidi="ar-SA"/>
    </w:rPr>
  </w:style>
  <w:style w:type="paragraph" w:customStyle="1" w:styleId="217">
    <w:name w:val="pa-4"/>
    <w:basedOn w:val="1"/>
    <w:qFormat/>
    <w:uiPriority w:val="0"/>
    <w:pPr>
      <w:widowControl/>
      <w:spacing w:before="169" w:after="169"/>
      <w:jc w:val="left"/>
    </w:pPr>
    <w:rPr>
      <w:rFonts w:ascii="宋体" w:hAnsi="宋体" w:cs="宋体"/>
      <w:kern w:val="0"/>
      <w:sz w:val="24"/>
    </w:rPr>
  </w:style>
  <w:style w:type="paragraph" w:customStyle="1" w:styleId="218">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1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20">
    <w:name w:val="样式 首行缩进:  2 字符"/>
    <w:basedOn w:val="1"/>
    <w:qFormat/>
    <w:uiPriority w:val="0"/>
    <w:pPr>
      <w:spacing w:line="400" w:lineRule="exact"/>
      <w:ind w:firstLine="200" w:firstLineChars="200"/>
    </w:pPr>
    <w:rPr>
      <w:rFonts w:cs="宋体"/>
      <w:sz w:val="24"/>
    </w:rPr>
  </w:style>
  <w:style w:type="paragraph" w:customStyle="1" w:styleId="221">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222">
    <w:name w:val="7"/>
    <w:basedOn w:val="16"/>
    <w:qFormat/>
    <w:uiPriority w:val="0"/>
    <w:pPr>
      <w:widowControl/>
      <w:ind w:firstLine="454"/>
      <w:jc w:val="left"/>
    </w:pPr>
    <w:rPr>
      <w:rFonts w:ascii="Tahoma" w:hAnsi="Tahoma" w:cs="宋体"/>
      <w:kern w:val="0"/>
      <w:sz w:val="24"/>
      <w:szCs w:val="20"/>
    </w:rPr>
  </w:style>
  <w:style w:type="paragraph" w:customStyle="1" w:styleId="223">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224">
    <w:name w:val="pa-10"/>
    <w:basedOn w:val="1"/>
    <w:qFormat/>
    <w:uiPriority w:val="0"/>
    <w:pPr>
      <w:widowControl/>
      <w:spacing w:before="169" w:after="169"/>
      <w:jc w:val="left"/>
    </w:pPr>
    <w:rPr>
      <w:rFonts w:ascii="宋体" w:hAnsi="宋体" w:cs="宋体"/>
      <w:kern w:val="0"/>
      <w:sz w:val="24"/>
    </w:rPr>
  </w:style>
  <w:style w:type="paragraph" w:customStyle="1" w:styleId="225">
    <w:name w:val="表格"/>
    <w:basedOn w:val="1"/>
    <w:qFormat/>
    <w:uiPriority w:val="0"/>
    <w:pPr>
      <w:spacing w:line="400" w:lineRule="exact"/>
    </w:pPr>
    <w:rPr>
      <w:sz w:val="24"/>
    </w:rPr>
  </w:style>
  <w:style w:type="paragraph" w:customStyle="1" w:styleId="226">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227">
    <w:name w:val="p15"/>
    <w:basedOn w:val="1"/>
    <w:qFormat/>
    <w:uiPriority w:val="0"/>
    <w:pPr>
      <w:widowControl/>
    </w:pPr>
    <w:rPr>
      <w:rFonts w:ascii="宋体" w:hAnsi="宋体" w:cs="宋体"/>
      <w:kern w:val="0"/>
      <w:szCs w:val="21"/>
    </w:rPr>
  </w:style>
  <w:style w:type="paragraph" w:customStyle="1" w:styleId="228">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229">
    <w:name w:val="正文段"/>
    <w:basedOn w:val="1"/>
    <w:qFormat/>
    <w:uiPriority w:val="0"/>
    <w:pPr>
      <w:widowControl/>
      <w:snapToGrid w:val="0"/>
      <w:spacing w:after="156" w:afterLines="50"/>
      <w:ind w:firstLine="200" w:firstLineChars="200"/>
    </w:pPr>
    <w:rPr>
      <w:kern w:val="0"/>
      <w:sz w:val="24"/>
      <w:szCs w:val="20"/>
    </w:rPr>
  </w:style>
  <w:style w:type="paragraph" w:customStyle="1" w:styleId="230">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231">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33">
    <w:name w:val="p0"/>
    <w:basedOn w:val="1"/>
    <w:qFormat/>
    <w:uiPriority w:val="0"/>
    <w:pPr>
      <w:widowControl/>
    </w:pPr>
    <w:rPr>
      <w:kern w:val="0"/>
      <w:szCs w:val="21"/>
    </w:rPr>
  </w:style>
  <w:style w:type="paragraph" w:customStyle="1" w:styleId="234">
    <w:name w:val="段"/>
    <w:link w:val="23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5">
    <w:name w:val="段 Char Char"/>
    <w:link w:val="234"/>
    <w:qFormat/>
    <w:uiPriority w:val="0"/>
    <w:rPr>
      <w:rFonts w:ascii="宋体"/>
      <w:sz w:val="21"/>
      <w:lang w:val="en-US" w:eastAsia="zh-CN" w:bidi="ar-SA"/>
    </w:rPr>
  </w:style>
  <w:style w:type="paragraph" w:customStyle="1" w:styleId="236">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237">
    <w:name w:val=" Char Char19 Char Char Char Char"/>
    <w:basedOn w:val="16"/>
    <w:qFormat/>
    <w:uiPriority w:val="0"/>
    <w:pPr>
      <w:widowControl/>
      <w:ind w:firstLine="454"/>
      <w:jc w:val="left"/>
    </w:pPr>
  </w:style>
  <w:style w:type="paragraph" w:customStyle="1" w:styleId="238">
    <w:name w:val="文章总标题"/>
    <w:basedOn w:val="1"/>
    <w:next w:val="205"/>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23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240">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241">
    <w:name w:val="4"/>
    <w:basedOn w:val="1"/>
    <w:next w:val="32"/>
    <w:qFormat/>
    <w:uiPriority w:val="0"/>
    <w:pPr>
      <w:spacing w:line="420" w:lineRule="exact"/>
      <w:ind w:firstLine="409" w:firstLineChars="195"/>
    </w:pPr>
  </w:style>
  <w:style w:type="paragraph" w:customStyle="1" w:styleId="242">
    <w:name w:val="pa-8"/>
    <w:basedOn w:val="1"/>
    <w:qFormat/>
    <w:uiPriority w:val="0"/>
    <w:pPr>
      <w:widowControl/>
      <w:spacing w:before="169" w:after="169"/>
      <w:jc w:val="left"/>
    </w:pPr>
    <w:rPr>
      <w:rFonts w:ascii="宋体" w:hAnsi="宋体" w:cs="宋体"/>
      <w:kern w:val="0"/>
      <w:sz w:val="24"/>
    </w:rPr>
  </w:style>
  <w:style w:type="paragraph" w:customStyle="1" w:styleId="243">
    <w:name w:val="Char Char Char Char"/>
    <w:basedOn w:val="16"/>
    <w:qFormat/>
    <w:uiPriority w:val="0"/>
    <w:pPr>
      <w:adjustRightInd w:val="0"/>
      <w:snapToGrid w:val="0"/>
      <w:spacing w:line="360" w:lineRule="auto"/>
    </w:pPr>
    <w:rPr>
      <w:rFonts w:ascii="Tahoma" w:hAnsi="Tahoma"/>
      <w:sz w:val="24"/>
    </w:rPr>
  </w:style>
  <w:style w:type="paragraph" w:customStyle="1" w:styleId="244">
    <w:name w:val="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5">
    <w:name w:val="表内文字"/>
    <w:basedOn w:val="1"/>
    <w:qFormat/>
    <w:uiPriority w:val="0"/>
    <w:pPr>
      <w:snapToGrid w:val="0"/>
      <w:spacing w:before="50" w:after="50" w:line="360" w:lineRule="exact"/>
    </w:pPr>
    <w:rPr>
      <w:rFonts w:ascii="宋体" w:hAnsi="宋体"/>
      <w:b/>
      <w:color w:val="0000FF"/>
      <w:szCs w:val="21"/>
    </w:rPr>
  </w:style>
  <w:style w:type="paragraph" w:customStyle="1" w:styleId="246">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247">
    <w:name w:val="No Spacing11"/>
    <w:link w:val="248"/>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8">
    <w:name w:val="No Spacing Char"/>
    <w:link w:val="247"/>
    <w:qFormat/>
    <w:uiPriority w:val="0"/>
    <w:rPr>
      <w:kern w:val="2"/>
      <w:sz w:val="21"/>
      <w:szCs w:val="22"/>
      <w:lang w:val="en-US" w:eastAsia="zh-CN" w:bidi="ar-SA"/>
    </w:rPr>
  </w:style>
  <w:style w:type="paragraph" w:customStyle="1" w:styleId="249">
    <w:name w:val="Char21"/>
    <w:basedOn w:val="1"/>
    <w:qFormat/>
    <w:uiPriority w:val="0"/>
    <w:pPr>
      <w:widowControl/>
      <w:spacing w:after="160" w:line="240" w:lineRule="exact"/>
      <w:jc w:val="left"/>
    </w:pPr>
  </w:style>
  <w:style w:type="paragraph" w:customStyle="1" w:styleId="250">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51">
    <w:name w:val="默认段落字体 Para Char"/>
    <w:basedOn w:val="1"/>
    <w:qFormat/>
    <w:uiPriority w:val="0"/>
    <w:pPr>
      <w:adjustRightInd w:val="0"/>
      <w:spacing w:line="360" w:lineRule="auto"/>
    </w:pPr>
    <w:rPr>
      <w:szCs w:val="20"/>
    </w:rPr>
  </w:style>
  <w:style w:type="paragraph" w:customStyle="1" w:styleId="252">
    <w:name w:val="Char11"/>
    <w:basedOn w:val="16"/>
    <w:qFormat/>
    <w:uiPriority w:val="0"/>
    <w:pPr>
      <w:widowControl/>
      <w:ind w:firstLine="454"/>
      <w:jc w:val="left"/>
    </w:pPr>
    <w:rPr>
      <w:rFonts w:ascii="Tahoma" w:hAnsi="Tahoma" w:cs="宋体"/>
      <w:kern w:val="0"/>
      <w:sz w:val="24"/>
      <w:szCs w:val="20"/>
    </w:rPr>
  </w:style>
  <w:style w:type="paragraph" w:customStyle="1" w:styleId="253">
    <w:name w:val="pa-11"/>
    <w:basedOn w:val="1"/>
    <w:qFormat/>
    <w:uiPriority w:val="0"/>
    <w:pPr>
      <w:widowControl/>
      <w:spacing w:before="169" w:after="169"/>
      <w:jc w:val="left"/>
    </w:pPr>
    <w:rPr>
      <w:rFonts w:ascii="宋体" w:hAnsi="宋体" w:cs="宋体"/>
      <w:kern w:val="0"/>
      <w:sz w:val="24"/>
    </w:rPr>
  </w:style>
  <w:style w:type="paragraph" w:customStyle="1" w:styleId="254">
    <w:name w:val=" Char"/>
    <w:basedOn w:val="16"/>
    <w:qFormat/>
    <w:uiPriority w:val="0"/>
    <w:pPr>
      <w:widowControl/>
      <w:ind w:firstLine="454"/>
      <w:jc w:val="left"/>
    </w:pPr>
    <w:rPr>
      <w:rFonts w:ascii="Tahoma" w:hAnsi="Tahoma" w:cs="宋体"/>
      <w:kern w:val="0"/>
      <w:sz w:val="24"/>
      <w:szCs w:val="20"/>
    </w:rPr>
  </w:style>
  <w:style w:type="paragraph" w:customStyle="1" w:styleId="255">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256">
    <w:name w:val=" Char Char1 Char Char Char Char"/>
    <w:basedOn w:val="16"/>
    <w:qFormat/>
    <w:uiPriority w:val="0"/>
    <w:rPr>
      <w:rFonts w:ascii="Tahoma" w:hAnsi="Tahoma"/>
      <w:sz w:val="24"/>
    </w:rPr>
  </w:style>
  <w:style w:type="paragraph" w:customStyle="1" w:styleId="25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258">
    <w:name w:val="pa-12"/>
    <w:basedOn w:val="1"/>
    <w:qFormat/>
    <w:uiPriority w:val="0"/>
    <w:pPr>
      <w:widowControl/>
      <w:spacing w:before="169" w:after="169"/>
      <w:jc w:val="left"/>
    </w:pPr>
    <w:rPr>
      <w:rFonts w:ascii="宋体" w:hAnsi="宋体" w:cs="宋体"/>
      <w:kern w:val="0"/>
      <w:sz w:val="24"/>
    </w:rPr>
  </w:style>
  <w:style w:type="paragraph" w:customStyle="1" w:styleId="259">
    <w:name w:val="标题1"/>
    <w:basedOn w:val="2"/>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260">
    <w:name w:val="2ji"/>
    <w:basedOn w:val="3"/>
    <w:qFormat/>
    <w:uiPriority w:val="0"/>
    <w:pPr>
      <w:adjustRightInd w:val="0"/>
      <w:spacing w:before="0" w:after="0" w:line="360" w:lineRule="auto"/>
      <w:textAlignment w:val="baseline"/>
    </w:pPr>
    <w:rPr>
      <w:rFonts w:ascii="宋体" w:hAnsi="宋体" w:eastAsia="宋体"/>
      <w:sz w:val="21"/>
      <w:szCs w:val="21"/>
    </w:rPr>
  </w:style>
  <w:style w:type="paragraph" w:customStyle="1" w:styleId="261">
    <w:name w:val="pa-9"/>
    <w:basedOn w:val="1"/>
    <w:qFormat/>
    <w:uiPriority w:val="0"/>
    <w:pPr>
      <w:widowControl/>
      <w:spacing w:before="169" w:after="169"/>
      <w:jc w:val="left"/>
    </w:pPr>
    <w:rPr>
      <w:rFonts w:ascii="宋体" w:hAnsi="宋体" w:cs="宋体"/>
      <w:kern w:val="0"/>
      <w:sz w:val="24"/>
    </w:rPr>
  </w:style>
  <w:style w:type="paragraph" w:customStyle="1" w:styleId="262">
    <w:name w:val="正文首行缩进两字符"/>
    <w:basedOn w:val="1"/>
    <w:qFormat/>
    <w:uiPriority w:val="0"/>
    <w:pPr>
      <w:spacing w:line="360" w:lineRule="auto"/>
      <w:ind w:firstLine="200" w:firstLineChars="200"/>
    </w:pPr>
  </w:style>
  <w:style w:type="paragraph" w:customStyle="1" w:styleId="263">
    <w:name w:val="Char Char Char1"/>
    <w:basedOn w:val="1"/>
    <w:qFormat/>
    <w:uiPriority w:val="0"/>
    <w:rPr>
      <w:rFonts w:ascii="Tahoma" w:hAnsi="Tahoma"/>
      <w:sz w:val="24"/>
      <w:szCs w:val="20"/>
    </w:rPr>
  </w:style>
  <w:style w:type="paragraph" w:customStyle="1" w:styleId="264">
    <w:name w:val="节标题"/>
    <w:basedOn w:val="1"/>
    <w:next w:val="226"/>
    <w:qFormat/>
    <w:uiPriority w:val="0"/>
    <w:pPr>
      <w:widowControl/>
      <w:spacing w:line="289" w:lineRule="atLeast"/>
      <w:jc w:val="center"/>
      <w:textAlignment w:val="baseline"/>
    </w:pPr>
    <w:rPr>
      <w:color w:val="000000"/>
      <w:kern w:val="0"/>
      <w:sz w:val="28"/>
      <w:szCs w:val="20"/>
    </w:rPr>
  </w:style>
  <w:style w:type="paragraph" w:customStyle="1" w:styleId="265">
    <w:name w:val="F2"/>
    <w:basedOn w:val="1"/>
    <w:qFormat/>
    <w:uiPriority w:val="0"/>
    <w:pPr>
      <w:autoSpaceDE w:val="0"/>
      <w:autoSpaceDN w:val="0"/>
      <w:adjustRightInd w:val="0"/>
      <w:ind w:firstLine="601"/>
    </w:pPr>
    <w:rPr>
      <w:kern w:val="0"/>
      <w:sz w:val="24"/>
      <w:szCs w:val="20"/>
    </w:rPr>
  </w:style>
  <w:style w:type="paragraph" w:customStyle="1" w:styleId="26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267">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68">
    <w:name w:val=" Char Char9 Char Char Char Char"/>
    <w:basedOn w:val="1"/>
    <w:qFormat/>
    <w:uiPriority w:val="0"/>
    <w:pPr>
      <w:widowControl/>
      <w:spacing w:after="160" w:line="240" w:lineRule="exact"/>
      <w:jc w:val="left"/>
    </w:pPr>
  </w:style>
  <w:style w:type="paragraph" w:customStyle="1" w:styleId="269">
    <w:name w:val="p16"/>
    <w:basedOn w:val="1"/>
    <w:qFormat/>
    <w:uiPriority w:val="0"/>
    <w:pPr>
      <w:widowControl/>
    </w:pPr>
    <w:rPr>
      <w:rFonts w:ascii="宋体" w:cs="宋体"/>
      <w:kern w:val="0"/>
      <w:sz w:val="20"/>
      <w:szCs w:val="20"/>
    </w:rPr>
  </w:style>
  <w:style w:type="paragraph" w:customStyle="1" w:styleId="270">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271">
    <w:name w:val="_Style 35"/>
    <w:basedOn w:val="16"/>
    <w:qFormat/>
    <w:uiPriority w:val="0"/>
    <w:pPr>
      <w:widowControl/>
      <w:ind w:firstLine="454"/>
      <w:jc w:val="left"/>
    </w:pPr>
  </w:style>
  <w:style w:type="paragraph" w:customStyle="1" w:styleId="272">
    <w:name w:val="Body"/>
    <w:basedOn w:val="1"/>
    <w:qFormat/>
    <w:uiPriority w:val="0"/>
    <w:pPr>
      <w:widowControl/>
      <w:tabs>
        <w:tab w:val="left" w:pos="1980"/>
      </w:tabs>
      <w:spacing w:before="80" w:after="80" w:line="360" w:lineRule="auto"/>
      <w:jc w:val="center"/>
    </w:pPr>
    <w:rPr>
      <w:szCs w:val="21"/>
    </w:rPr>
  </w:style>
  <w:style w:type="paragraph" w:customStyle="1" w:styleId="273">
    <w:name w:val="列出段落11"/>
    <w:basedOn w:val="1"/>
    <w:qFormat/>
    <w:uiPriority w:val="0"/>
    <w:pPr>
      <w:ind w:firstLine="200" w:firstLineChars="200"/>
    </w:pPr>
    <w:rPr>
      <w:sz w:val="24"/>
    </w:rPr>
  </w:style>
  <w:style w:type="paragraph" w:customStyle="1" w:styleId="274">
    <w:name w:val="pa-7"/>
    <w:basedOn w:val="1"/>
    <w:qFormat/>
    <w:uiPriority w:val="0"/>
    <w:pPr>
      <w:widowControl/>
      <w:spacing w:before="169" w:after="169"/>
      <w:jc w:val="left"/>
    </w:pPr>
    <w:rPr>
      <w:rFonts w:ascii="宋体" w:hAnsi="宋体" w:cs="宋体"/>
      <w:kern w:val="0"/>
      <w:sz w:val="24"/>
    </w:rPr>
  </w:style>
  <w:style w:type="paragraph" w:customStyle="1" w:styleId="275">
    <w:name w:val="Char"/>
    <w:basedOn w:val="16"/>
    <w:qFormat/>
    <w:uiPriority w:val="0"/>
    <w:pPr>
      <w:widowControl/>
      <w:ind w:firstLine="454"/>
      <w:jc w:val="left"/>
    </w:pPr>
    <w:rPr>
      <w:rFonts w:ascii="Tahoma" w:hAnsi="Tahoma" w:cs="宋体"/>
      <w:kern w:val="0"/>
      <w:sz w:val="24"/>
      <w:szCs w:val="20"/>
    </w:rPr>
  </w:style>
  <w:style w:type="paragraph" w:customStyle="1" w:styleId="276">
    <w:name w:val="pa-15"/>
    <w:basedOn w:val="1"/>
    <w:qFormat/>
    <w:uiPriority w:val="0"/>
    <w:pPr>
      <w:widowControl/>
      <w:spacing w:before="169" w:after="169"/>
      <w:jc w:val="left"/>
    </w:pPr>
    <w:rPr>
      <w:rFonts w:ascii="宋体" w:hAnsi="宋体" w:cs="宋体"/>
      <w:kern w:val="0"/>
      <w:sz w:val="24"/>
    </w:rPr>
  </w:style>
  <w:style w:type="paragraph" w:customStyle="1" w:styleId="277">
    <w:name w:val="表-标题"/>
    <w:basedOn w:val="1"/>
    <w:qFormat/>
    <w:uiPriority w:val="0"/>
    <w:pPr>
      <w:autoSpaceDE w:val="0"/>
      <w:autoSpaceDN w:val="0"/>
      <w:adjustRightInd w:val="0"/>
      <w:spacing w:line="288" w:lineRule="auto"/>
      <w:jc w:val="center"/>
    </w:pPr>
    <w:rPr>
      <w:rFonts w:ascii="汉仪大黑简 regular" w:hAnsi="Calibri" w:eastAsia="汉仪大黑简 regular" w:cs="汉仪大黑简 regular"/>
      <w:color w:val="000000"/>
      <w:kern w:val="0"/>
      <w:sz w:val="16"/>
      <w:szCs w:val="16"/>
      <w:lang w:val="zh-CN"/>
    </w:rPr>
  </w:style>
  <w:style w:type="paragraph" w:customStyle="1" w:styleId="278">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79">
    <w:name w:val="List Paragraph1"/>
    <w:basedOn w:val="1"/>
    <w:qFormat/>
    <w:uiPriority w:val="0"/>
    <w:pPr>
      <w:ind w:firstLine="420" w:firstLineChars="200"/>
    </w:pPr>
  </w:style>
  <w:style w:type="paragraph" w:customStyle="1" w:styleId="280">
    <w:name w:val="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1">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paragraph" w:customStyle="1" w:styleId="282">
    <w:name w:val="Char Char1 Char Char Char Char"/>
    <w:basedOn w:val="16"/>
    <w:qFormat/>
    <w:uiPriority w:val="0"/>
    <w:rPr>
      <w:rFonts w:ascii="Tahoma" w:hAnsi="Tahoma"/>
      <w:sz w:val="24"/>
    </w:rPr>
  </w:style>
  <w:style w:type="paragraph" w:customStyle="1" w:styleId="283">
    <w:name w:val="默认段落字体 Para Char Char Char Char Char Char Char Char Char1 Char Char Char Char"/>
    <w:basedOn w:val="1"/>
    <w:qFormat/>
    <w:uiPriority w:val="0"/>
    <w:rPr>
      <w:rFonts w:ascii="Tahoma" w:hAnsi="Tahoma"/>
      <w:sz w:val="24"/>
      <w:szCs w:val="20"/>
    </w:rPr>
  </w:style>
  <w:style w:type="paragraph" w:customStyle="1" w:styleId="284">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28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6">
    <w:name w:val="我的正文"/>
    <w:basedOn w:val="1"/>
    <w:qFormat/>
    <w:uiPriority w:val="0"/>
    <w:pPr>
      <w:spacing w:line="520" w:lineRule="exact"/>
      <w:ind w:firstLine="192" w:firstLineChars="192"/>
    </w:pPr>
    <w:rPr>
      <w:sz w:val="28"/>
      <w:szCs w:val="28"/>
    </w:rPr>
  </w:style>
  <w:style w:type="paragraph" w:customStyle="1" w:styleId="287">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8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8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1">
    <w:name w:val="Char Char9 Char Char Char Char1"/>
    <w:basedOn w:val="1"/>
    <w:qFormat/>
    <w:uiPriority w:val="0"/>
    <w:pPr>
      <w:widowControl/>
      <w:spacing w:after="160" w:line="240" w:lineRule="exact"/>
      <w:jc w:val="left"/>
    </w:pPr>
  </w:style>
  <w:style w:type="paragraph" w:customStyle="1" w:styleId="292">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293">
    <w:name w:val="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94">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95">
    <w:name w:val="Bullets"/>
    <w:basedOn w:val="1"/>
    <w:qFormat/>
    <w:uiPriority w:val="0"/>
    <w:pPr>
      <w:widowControl/>
      <w:adjustRightInd w:val="0"/>
      <w:snapToGrid w:val="0"/>
      <w:spacing w:before="60" w:after="60"/>
    </w:pPr>
    <w:rPr>
      <w:kern w:val="0"/>
      <w:sz w:val="24"/>
      <w:lang w:val="en-GB"/>
    </w:rPr>
  </w:style>
  <w:style w:type="paragraph" w:customStyle="1" w:styleId="296">
    <w:name w:val="Char1"/>
    <w:basedOn w:val="1"/>
    <w:qFormat/>
    <w:uiPriority w:val="0"/>
    <w:rPr>
      <w:szCs w:val="21"/>
    </w:rPr>
  </w:style>
  <w:style w:type="paragraph" w:customStyle="1" w:styleId="297">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298">
    <w:name w:val="样式1"/>
    <w:basedOn w:val="1"/>
    <w:qFormat/>
    <w:uiPriority w:val="0"/>
    <w:pPr>
      <w:spacing w:before="120" w:after="120" w:line="300" w:lineRule="auto"/>
    </w:pPr>
    <w:rPr>
      <w:rFonts w:ascii="宋体" w:hAnsi="宋体"/>
      <w:b/>
      <w:sz w:val="24"/>
      <w:szCs w:val="20"/>
    </w:rPr>
  </w:style>
  <w:style w:type="paragraph" w:customStyle="1" w:styleId="299">
    <w:name w:val="List Paragraph_a68aeb95-be98-4168-b0f8-d3540b019a08"/>
    <w:basedOn w:val="1"/>
    <w:qFormat/>
    <w:uiPriority w:val="34"/>
    <w:pPr>
      <w:ind w:firstLine="420" w:firstLineChars="200"/>
    </w:pPr>
    <w:rPr>
      <w:rFonts w:ascii="Calibri" w:hAnsi="Calibri"/>
      <w:szCs w:val="22"/>
    </w:rPr>
  </w:style>
  <w:style w:type="paragraph" w:customStyle="1" w:styleId="300">
    <w:name w:val="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01">
    <w:name w:val="444"/>
    <w:basedOn w:val="1"/>
    <w:qFormat/>
    <w:uiPriority w:val="0"/>
    <w:pPr>
      <w:adjustRightInd w:val="0"/>
      <w:spacing w:line="312" w:lineRule="atLeast"/>
      <w:jc w:val="center"/>
      <w:textAlignment w:val="baseline"/>
    </w:pPr>
    <w:rPr>
      <w:b/>
      <w:kern w:val="0"/>
      <w:sz w:val="36"/>
      <w:szCs w:val="36"/>
    </w:rPr>
  </w:style>
  <w:style w:type="paragraph" w:customStyle="1" w:styleId="302">
    <w:name w:val="Char Char9 Char Char Char Char"/>
    <w:basedOn w:val="1"/>
    <w:qFormat/>
    <w:uiPriority w:val="0"/>
    <w:pPr>
      <w:widowControl/>
      <w:spacing w:after="160" w:line="240" w:lineRule="exact"/>
      <w:jc w:val="left"/>
    </w:pPr>
  </w:style>
  <w:style w:type="paragraph" w:customStyle="1" w:styleId="303">
    <w:name w:val="样式 标题 2 + (西文) 宋体 非加粗 居中"/>
    <w:basedOn w:val="3"/>
    <w:qFormat/>
    <w:uiPriority w:val="0"/>
    <w:pPr>
      <w:jc w:val="center"/>
    </w:pPr>
    <w:rPr>
      <w:rFonts w:ascii="宋体" w:hAnsi="宋体" w:cs="宋体"/>
      <w:b w:val="0"/>
      <w:bCs w:val="0"/>
      <w:spacing w:val="2"/>
      <w:sz w:val="28"/>
      <w:szCs w:val="20"/>
    </w:rPr>
  </w:style>
  <w:style w:type="paragraph" w:customStyle="1" w:styleId="304">
    <w:name w:val="2-2ji"/>
    <w:basedOn w:val="3"/>
    <w:qFormat/>
    <w:uiPriority w:val="0"/>
    <w:pPr>
      <w:adjustRightInd w:val="0"/>
      <w:spacing w:before="0" w:after="0" w:line="360" w:lineRule="auto"/>
      <w:jc w:val="center"/>
      <w:textAlignment w:val="baseline"/>
    </w:pPr>
    <w:rPr>
      <w:rFonts w:ascii="宋体" w:hAnsi="宋体" w:eastAsia="宋体"/>
      <w:bCs w:val="0"/>
      <w:sz w:val="36"/>
    </w:rPr>
  </w:style>
  <w:style w:type="table" w:customStyle="1" w:styleId="305">
    <w:name w:val="彩色列表 - 强调文字颜色 1111"/>
    <w:basedOn w:val="53"/>
    <w:qFormat/>
    <w:uiPriority w:val="34"/>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paragraph" w:customStyle="1" w:styleId="306">
    <w:name w:val="_Style 4"/>
    <w:basedOn w:val="1"/>
    <w:next w:val="299"/>
    <w:qFormat/>
    <w:uiPriority w:val="0"/>
    <w:pPr>
      <w:ind w:firstLine="420" w:firstLineChars="200"/>
    </w:pPr>
  </w:style>
  <w:style w:type="table" w:customStyle="1" w:styleId="307">
    <w:name w:val="彩色列表 - 强调文字颜色 11"/>
    <w:basedOn w:val="53"/>
    <w:qFormat/>
    <w:uiPriority w:val="0"/>
    <w:rPr>
      <w:rFonts w:ascii="Calibri" w:hAnsi="Calibri" w:eastAsia="等线"/>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308">
    <w:name w:val="Header Char_f7d9a45f-4ab6-4976-92b9-171bcf974165"/>
    <w:basedOn w:val="55"/>
    <w:qFormat/>
    <w:uiPriority w:val="0"/>
    <w:rPr>
      <w:rFonts w:ascii="Calibri" w:hAnsi="Calibri" w:eastAsia="宋体"/>
      <w:kern w:val="2"/>
      <w:sz w:val="18"/>
      <w:szCs w:val="18"/>
      <w:lang w:val="en-US" w:eastAsia="zh-CN" w:bidi="ar-SA"/>
    </w:rPr>
  </w:style>
  <w:style w:type="character" w:customStyle="1" w:styleId="309">
    <w:name w:val="Footer Char_e32d66a3-f721-44e7-967b-bac85bafe5eb"/>
    <w:basedOn w:val="55"/>
    <w:qFormat/>
    <w:uiPriority w:val="0"/>
    <w:rPr>
      <w:rFonts w:ascii="Calibri" w:hAnsi="Calibri" w:eastAsia="宋体"/>
      <w:kern w:val="2"/>
      <w:sz w:val="18"/>
      <w:szCs w:val="18"/>
      <w:lang w:val="en-US" w:eastAsia="zh-CN" w:bidi="ar-SA"/>
    </w:rPr>
  </w:style>
  <w:style w:type="paragraph" w:customStyle="1" w:styleId="310">
    <w:name w:val="列表段落1"/>
    <w:basedOn w:val="1"/>
    <w:qFormat/>
    <w:uiPriority w:val="0"/>
    <w:pPr>
      <w:ind w:firstLine="420" w:firstLineChars="200"/>
    </w:pPr>
    <w:rPr>
      <w:rFonts w:ascii="Calibri" w:hAnsi="Calibri"/>
      <w:szCs w:val="22"/>
    </w:rPr>
  </w:style>
  <w:style w:type="character" w:customStyle="1" w:styleId="311">
    <w:name w:val="Heading 1 Char_3d2c1c53-d3d6-4428-9382-542346715687"/>
    <w:basedOn w:val="55"/>
    <w:qFormat/>
    <w:uiPriority w:val="0"/>
    <w:rPr>
      <w:rFonts w:ascii="宋体" w:eastAsia="宋体"/>
      <w:b/>
      <w:bCs/>
      <w:kern w:val="44"/>
      <w:sz w:val="44"/>
      <w:szCs w:val="44"/>
      <w:lang w:val="en-US" w:eastAsia="zh-CN" w:bidi="ar-SA"/>
    </w:rPr>
  </w:style>
  <w:style w:type="character" w:customStyle="1" w:styleId="312">
    <w:name w:val="Heading 2 Char_43ff2288-cb02-47b3-b746-7e6543321004"/>
    <w:basedOn w:val="55"/>
    <w:qFormat/>
    <w:uiPriority w:val="0"/>
    <w:rPr>
      <w:rFonts w:ascii="Arial" w:hAnsi="Arial" w:eastAsia="黑体"/>
      <w:b/>
      <w:bCs/>
      <w:kern w:val="21"/>
      <w:sz w:val="32"/>
      <w:szCs w:val="32"/>
      <w:lang w:val="en-US" w:eastAsia="zh-CN" w:bidi="ar-SA"/>
    </w:rPr>
  </w:style>
  <w:style w:type="character" w:customStyle="1" w:styleId="313">
    <w:name w:val="Heading 3 Char_e7f1510f-dc2e-4e08-9353-0ed4e40b83b5"/>
    <w:basedOn w:val="55"/>
    <w:qFormat/>
    <w:uiPriority w:val="0"/>
    <w:rPr>
      <w:rFonts w:ascii="宋体" w:eastAsia="宋体"/>
      <w:b/>
      <w:bCs/>
      <w:kern w:val="21"/>
      <w:sz w:val="32"/>
      <w:szCs w:val="32"/>
      <w:lang w:val="en-US" w:eastAsia="zh-CN" w:bidi="ar-SA"/>
    </w:rPr>
  </w:style>
  <w:style w:type="character" w:customStyle="1" w:styleId="314">
    <w:name w:val="Heading 4 Char_311336b0-b129-4d31-be9e-e5f6e8b17d3c"/>
    <w:basedOn w:val="55"/>
    <w:qFormat/>
    <w:uiPriority w:val="0"/>
    <w:rPr>
      <w:rFonts w:ascii="Arial" w:hAnsi="Arial" w:eastAsia="黑体"/>
      <w:b/>
      <w:bCs/>
      <w:kern w:val="21"/>
      <w:sz w:val="28"/>
      <w:szCs w:val="28"/>
      <w:lang w:val="en-US" w:eastAsia="zh-CN" w:bidi="ar-SA"/>
    </w:rPr>
  </w:style>
  <w:style w:type="character" w:customStyle="1" w:styleId="315">
    <w:name w:val="Heading 5 Char_877ce4ba-68dc-4b08-9441-93af03582403"/>
    <w:basedOn w:val="55"/>
    <w:qFormat/>
    <w:uiPriority w:val="0"/>
    <w:rPr>
      <w:rFonts w:ascii="宋体" w:eastAsia="宋体"/>
      <w:b/>
      <w:bCs/>
      <w:kern w:val="21"/>
      <w:sz w:val="28"/>
      <w:szCs w:val="28"/>
      <w:lang w:val="en-US" w:eastAsia="zh-CN" w:bidi="ar-SA"/>
    </w:rPr>
  </w:style>
  <w:style w:type="character" w:customStyle="1" w:styleId="316">
    <w:name w:val="Heading 6 Char_c053690a-f740-4251-bb7c-8f2206889a6e"/>
    <w:basedOn w:val="55"/>
    <w:qFormat/>
    <w:uiPriority w:val="0"/>
    <w:rPr>
      <w:rFonts w:ascii="Arial" w:hAnsi="Arial" w:eastAsia="黑体"/>
      <w:b/>
      <w:bCs/>
      <w:kern w:val="21"/>
      <w:sz w:val="24"/>
      <w:szCs w:val="21"/>
      <w:lang w:val="en-US" w:eastAsia="zh-CN" w:bidi="ar-SA"/>
    </w:rPr>
  </w:style>
  <w:style w:type="character" w:customStyle="1" w:styleId="317">
    <w:name w:val="Heading 7 Char_b8cde46d-09cd-41b6-9033-70c40055138e"/>
    <w:basedOn w:val="55"/>
    <w:qFormat/>
    <w:uiPriority w:val="0"/>
    <w:rPr>
      <w:rFonts w:ascii="宋体" w:eastAsia="宋体"/>
      <w:b/>
      <w:bCs/>
      <w:kern w:val="21"/>
      <w:sz w:val="24"/>
      <w:szCs w:val="21"/>
      <w:lang w:val="en-US" w:eastAsia="zh-CN" w:bidi="ar-SA"/>
    </w:rPr>
  </w:style>
  <w:style w:type="character" w:customStyle="1" w:styleId="318">
    <w:name w:val="Heading 8 Char_ffbdf400-8609-432d-b9d6-6748ff28a082"/>
    <w:basedOn w:val="55"/>
    <w:qFormat/>
    <w:uiPriority w:val="0"/>
    <w:rPr>
      <w:rFonts w:ascii="Arial" w:hAnsi="Arial" w:eastAsia="黑体"/>
      <w:kern w:val="21"/>
      <w:sz w:val="24"/>
      <w:szCs w:val="21"/>
      <w:lang w:val="en-US" w:eastAsia="zh-CN" w:bidi="ar-SA"/>
    </w:rPr>
  </w:style>
  <w:style w:type="character" w:customStyle="1" w:styleId="319">
    <w:name w:val="Heading 9 Char_c1281a1e-1b47-4206-a1e6-6e96f9594cc1"/>
    <w:basedOn w:val="55"/>
    <w:qFormat/>
    <w:uiPriority w:val="0"/>
    <w:rPr>
      <w:rFonts w:ascii="Arial" w:hAnsi="Arial" w:eastAsia="黑体"/>
      <w:kern w:val="21"/>
      <w:sz w:val="21"/>
      <w:szCs w:val="21"/>
      <w:lang w:val="en-US" w:eastAsia="zh-CN" w:bidi="ar-SA"/>
    </w:rPr>
  </w:style>
  <w:style w:type="character" w:customStyle="1" w:styleId="320">
    <w:name w:val="一级条标题 Char"/>
    <w:basedOn w:val="321"/>
    <w:qFormat/>
    <w:uiPriority w:val="0"/>
    <w:rPr>
      <w:rFonts w:cs="黑体"/>
      <w:szCs w:val="21"/>
      <w:lang w:bidi="ar-SA"/>
    </w:rPr>
  </w:style>
  <w:style w:type="character" w:customStyle="1" w:styleId="321">
    <w:name w:val="章标题 Char"/>
    <w:qFormat/>
    <w:uiPriority w:val="0"/>
    <w:rPr>
      <w:rFonts w:ascii="黑体" w:eastAsia="黑体"/>
      <w:sz w:val="21"/>
      <w:lang w:val="en-US" w:eastAsia="zh-CN"/>
    </w:rPr>
  </w:style>
  <w:style w:type="character" w:customStyle="1" w:styleId="322">
    <w:name w:val="发布"/>
    <w:qFormat/>
    <w:uiPriority w:val="0"/>
    <w:rPr>
      <w:rFonts w:ascii="黑体" w:eastAsia="黑体"/>
      <w:spacing w:val="22"/>
      <w:w w:val="100"/>
      <w:position w:val="3"/>
      <w:sz w:val="28"/>
    </w:rPr>
  </w:style>
  <w:style w:type="character" w:customStyle="1" w:styleId="323">
    <w:name w:val="个人答复风格"/>
    <w:qFormat/>
    <w:uiPriority w:val="0"/>
    <w:rPr>
      <w:rFonts w:ascii="Arial" w:hAnsi="Arial" w:eastAsia="宋体"/>
      <w:color w:val="auto"/>
      <w:sz w:val="20"/>
    </w:rPr>
  </w:style>
  <w:style w:type="character" w:customStyle="1" w:styleId="324">
    <w:name w:val="三级条标题 Char"/>
    <w:basedOn w:val="325"/>
    <w:qFormat/>
    <w:uiPriority w:val="0"/>
  </w:style>
  <w:style w:type="character" w:customStyle="1" w:styleId="325">
    <w:name w:val="二级条标题 Char"/>
    <w:basedOn w:val="320"/>
    <w:qFormat/>
    <w:uiPriority w:val="0"/>
  </w:style>
  <w:style w:type="character" w:customStyle="1" w:styleId="326">
    <w:name w:val="章标题 Char Char"/>
    <w:link w:val="327"/>
    <w:qFormat/>
    <w:uiPriority w:val="0"/>
    <w:rPr>
      <w:rFonts w:ascii="黑体" w:eastAsia="黑体"/>
      <w:kern w:val="2"/>
      <w:sz w:val="22"/>
      <w:lang w:val="en-US" w:eastAsia="zh-CN" w:bidi="ar-SA"/>
    </w:rPr>
  </w:style>
  <w:style w:type="paragraph" w:customStyle="1" w:styleId="327">
    <w:name w:val="章标题"/>
    <w:next w:val="234"/>
    <w:link w:val="326"/>
    <w:qFormat/>
    <w:uiPriority w:val="0"/>
    <w:pPr>
      <w:numPr>
        <w:ilvl w:val="1"/>
        <w:numId w:val="1"/>
      </w:numPr>
      <w:spacing w:beforeLines="50" w:afterLines="50"/>
      <w:jc w:val="both"/>
      <w:outlineLvl w:val="1"/>
    </w:pPr>
    <w:rPr>
      <w:rFonts w:ascii="黑体" w:hAnsi="Times New Roman" w:eastAsia="黑体" w:cs="Times New Roman"/>
      <w:kern w:val="2"/>
      <w:sz w:val="22"/>
      <w:lang w:val="en-US" w:eastAsia="zh-CN" w:bidi="ar-SA"/>
    </w:rPr>
  </w:style>
  <w:style w:type="character" w:customStyle="1" w:styleId="328">
    <w:name w:val="三级条标题 Char Char"/>
    <w:basedOn w:val="329"/>
    <w:link w:val="333"/>
    <w:qFormat/>
    <w:uiPriority w:val="0"/>
  </w:style>
  <w:style w:type="character" w:customStyle="1" w:styleId="329">
    <w:name w:val="二级条标题 Char Char"/>
    <w:basedOn w:val="330"/>
    <w:link w:val="332"/>
    <w:qFormat/>
    <w:uiPriority w:val="0"/>
  </w:style>
  <w:style w:type="character" w:customStyle="1" w:styleId="330">
    <w:name w:val="一级条标题 Char Char"/>
    <w:basedOn w:val="326"/>
    <w:link w:val="331"/>
    <w:qFormat/>
    <w:uiPriority w:val="0"/>
    <w:rPr>
      <w:szCs w:val="22"/>
    </w:rPr>
  </w:style>
  <w:style w:type="paragraph" w:customStyle="1" w:styleId="331">
    <w:name w:val="一级条标题"/>
    <w:basedOn w:val="327"/>
    <w:next w:val="234"/>
    <w:link w:val="330"/>
    <w:qFormat/>
    <w:uiPriority w:val="0"/>
    <w:pPr>
      <w:numPr>
        <w:ilvl w:val="2"/>
        <w:numId w:val="1"/>
      </w:numPr>
      <w:tabs>
        <w:tab w:val="left" w:pos="312"/>
        <w:tab w:val="left" w:pos="360"/>
      </w:tabs>
      <w:ind w:left="0"/>
      <w:outlineLvl w:val="2"/>
    </w:pPr>
    <w:rPr>
      <w:szCs w:val="22"/>
    </w:rPr>
  </w:style>
  <w:style w:type="paragraph" w:customStyle="1" w:styleId="332">
    <w:name w:val="二级条标题"/>
    <w:basedOn w:val="331"/>
    <w:next w:val="234"/>
    <w:link w:val="329"/>
    <w:qFormat/>
    <w:uiPriority w:val="0"/>
    <w:pPr>
      <w:numPr>
        <w:ilvl w:val="3"/>
        <w:numId w:val="2"/>
      </w:numPr>
      <w:outlineLvl w:val="3"/>
    </w:pPr>
  </w:style>
  <w:style w:type="paragraph" w:customStyle="1" w:styleId="333">
    <w:name w:val="三级条标题"/>
    <w:basedOn w:val="332"/>
    <w:next w:val="234"/>
    <w:link w:val="328"/>
    <w:qFormat/>
    <w:uiPriority w:val="0"/>
  </w:style>
  <w:style w:type="character" w:customStyle="1" w:styleId="334">
    <w:name w:val="个人撰写风格"/>
    <w:qFormat/>
    <w:uiPriority w:val="0"/>
    <w:rPr>
      <w:rFonts w:ascii="Arial" w:hAnsi="Arial" w:eastAsia="宋体"/>
      <w:color w:val="auto"/>
      <w:sz w:val="20"/>
    </w:rPr>
  </w:style>
  <w:style w:type="paragraph" w:customStyle="1" w:styleId="335">
    <w:name w:val="其他发布部门"/>
    <w:basedOn w:val="336"/>
    <w:qFormat/>
    <w:uiPriority w:val="0"/>
    <w:pPr>
      <w:spacing w:line="240" w:lineRule="atLeast"/>
    </w:pPr>
    <w:rPr>
      <w:rFonts w:ascii="黑体" w:eastAsia="黑体"/>
      <w:b w:val="0"/>
    </w:rPr>
  </w:style>
  <w:style w:type="paragraph" w:customStyle="1" w:styleId="336">
    <w:name w:val="发布部门"/>
    <w:next w:val="234"/>
    <w:qFormat/>
    <w:uiPriority w:val="0"/>
    <w:pPr>
      <w:jc w:val="center"/>
    </w:pPr>
    <w:rPr>
      <w:rFonts w:ascii="宋体" w:hAnsi="Times New Roman" w:eastAsia="宋体" w:cs="Times New Roman"/>
      <w:b/>
      <w:spacing w:val="20"/>
      <w:w w:val="135"/>
      <w:sz w:val="36"/>
      <w:lang w:val="en-US" w:eastAsia="zh-CN" w:bidi="ar-SA"/>
    </w:rPr>
  </w:style>
  <w:style w:type="paragraph" w:customStyle="1" w:styleId="337">
    <w:name w:val="其他标准称谓"/>
    <w:qFormat/>
    <w:uiPriority w:val="0"/>
    <w:pPr>
      <w:spacing w:line="240" w:lineRule="atLeast"/>
      <w:jc w:val="distribute"/>
    </w:pPr>
    <w:rPr>
      <w:rFonts w:ascii="黑体" w:hAnsi="宋体" w:eastAsia="黑体" w:cs="Times New Roman"/>
      <w:sz w:val="52"/>
      <w:lang w:val="en-US" w:eastAsia="zh-CN" w:bidi="ar-SA"/>
    </w:rPr>
  </w:style>
  <w:style w:type="paragraph" w:customStyle="1" w:styleId="33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39">
    <w:name w:val="文献分类号"/>
    <w:qFormat/>
    <w:uiPriority w:val="0"/>
    <w:pPr>
      <w:widowControl w:val="0"/>
      <w:jc w:val="both"/>
      <w:textAlignment w:val="center"/>
    </w:pPr>
    <w:rPr>
      <w:rFonts w:ascii="Times New Roman" w:hAnsi="Times New Roman" w:eastAsia="黑体" w:cs="Times New Roman"/>
      <w:sz w:val="21"/>
      <w:lang w:val="en-US" w:eastAsia="zh-CN" w:bidi="ar-SA"/>
    </w:rPr>
  </w:style>
  <w:style w:type="paragraph" w:customStyle="1" w:styleId="340">
    <w:name w:val="封面标准代替信息"/>
    <w:basedOn w:val="341"/>
    <w:qFormat/>
    <w:uiPriority w:val="0"/>
    <w:pPr>
      <w:spacing w:before="57"/>
    </w:pPr>
    <w:rPr>
      <w:rFonts w:ascii="宋体"/>
      <w:sz w:val="21"/>
    </w:rPr>
  </w:style>
  <w:style w:type="paragraph" w:customStyle="1" w:styleId="341">
    <w:name w:val="封面标准号2"/>
    <w:basedOn w:val="342"/>
    <w:qFormat/>
    <w:uiPriority w:val="0"/>
    <w:pPr>
      <w:adjustRightInd w:val="0"/>
      <w:spacing w:before="357" w:line="280" w:lineRule="exact"/>
    </w:pPr>
  </w:style>
  <w:style w:type="paragraph" w:customStyle="1" w:styleId="34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43">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4">
    <w:name w:val="正文表标题"/>
    <w:next w:val="234"/>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345">
    <w:name w:val="附录章标题"/>
    <w:next w:val="234"/>
    <w:qFormat/>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46">
    <w:name w:val="五级无标题条"/>
    <w:basedOn w:val="1"/>
    <w:qFormat/>
    <w:uiPriority w:val="0"/>
    <w:pPr>
      <w:numPr>
        <w:ilvl w:val="6"/>
        <w:numId w:val="3"/>
      </w:numPr>
    </w:pPr>
    <w:rPr>
      <w:rFonts w:ascii="宋体"/>
      <w:kern w:val="21"/>
      <w:szCs w:val="21"/>
    </w:rPr>
  </w:style>
  <w:style w:type="paragraph" w:customStyle="1" w:styleId="347">
    <w:name w:val="三级无标题条"/>
    <w:basedOn w:val="1"/>
    <w:qFormat/>
    <w:uiPriority w:val="0"/>
    <w:pPr>
      <w:numPr>
        <w:ilvl w:val="4"/>
        <w:numId w:val="3"/>
      </w:numPr>
    </w:pPr>
    <w:rPr>
      <w:rFonts w:ascii="宋体"/>
      <w:kern w:val="21"/>
      <w:szCs w:val="21"/>
    </w:rPr>
  </w:style>
  <w:style w:type="character" w:customStyle="1" w:styleId="348">
    <w:name w:val="Document Map Char"/>
    <w:basedOn w:val="55"/>
    <w:qFormat/>
    <w:uiPriority w:val="0"/>
    <w:rPr>
      <w:rFonts w:ascii="宋体" w:eastAsia="宋体"/>
      <w:kern w:val="21"/>
      <w:sz w:val="21"/>
      <w:szCs w:val="21"/>
      <w:lang w:val="en-US" w:eastAsia="zh-CN" w:bidi="ar-SA"/>
    </w:rPr>
  </w:style>
  <w:style w:type="paragraph" w:customStyle="1" w:styleId="349">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50">
    <w:name w:val="目次、标准名称标题"/>
    <w:basedOn w:val="343"/>
    <w:next w:val="234"/>
    <w:qFormat/>
    <w:uiPriority w:val="0"/>
    <w:pPr>
      <w:numPr>
        <w:ilvl w:val="0"/>
        <w:numId w:val="0"/>
      </w:numPr>
      <w:spacing w:line="460" w:lineRule="exact"/>
    </w:pPr>
  </w:style>
  <w:style w:type="paragraph" w:customStyle="1" w:styleId="35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52">
    <w:name w:val="二级无标题条"/>
    <w:basedOn w:val="1"/>
    <w:qFormat/>
    <w:uiPriority w:val="0"/>
    <w:pPr>
      <w:numPr>
        <w:ilvl w:val="3"/>
        <w:numId w:val="3"/>
      </w:numPr>
    </w:pPr>
    <w:rPr>
      <w:rFonts w:ascii="宋体"/>
      <w:kern w:val="21"/>
      <w:szCs w:val="21"/>
    </w:rPr>
  </w:style>
  <w:style w:type="paragraph" w:customStyle="1" w:styleId="353">
    <w:name w:val="条文脚注"/>
    <w:basedOn w:val="40"/>
    <w:qFormat/>
    <w:uiPriority w:val="0"/>
    <w:pPr>
      <w:ind w:left="780" w:leftChars="200" w:hanging="360" w:hangingChars="200"/>
      <w:jc w:val="both"/>
    </w:pPr>
  </w:style>
  <w:style w:type="character" w:customStyle="1" w:styleId="354">
    <w:name w:val="HTML Preformatted Char"/>
    <w:basedOn w:val="55"/>
    <w:qFormat/>
    <w:uiPriority w:val="0"/>
    <w:rPr>
      <w:rFonts w:ascii="Courier New" w:hAnsi="Courier New" w:eastAsia="宋体" w:cs="Courier New"/>
      <w:kern w:val="21"/>
      <w:lang w:val="en-US" w:eastAsia="zh-CN" w:bidi="ar-SA"/>
    </w:rPr>
  </w:style>
  <w:style w:type="character" w:customStyle="1" w:styleId="355">
    <w:name w:val="Date Char"/>
    <w:basedOn w:val="55"/>
    <w:qFormat/>
    <w:uiPriority w:val="0"/>
    <w:rPr>
      <w:rFonts w:ascii="宋体" w:eastAsia="宋体"/>
      <w:kern w:val="21"/>
      <w:sz w:val="24"/>
      <w:lang w:val="en-US" w:eastAsia="zh-CN" w:bidi="ar-SA"/>
    </w:rPr>
  </w:style>
  <w:style w:type="paragraph" w:customStyle="1" w:styleId="356">
    <w:name w:val="四级条标题"/>
    <w:basedOn w:val="333"/>
    <w:next w:val="234"/>
    <w:qFormat/>
    <w:uiPriority w:val="0"/>
    <w:pPr>
      <w:numPr>
        <w:ilvl w:val="5"/>
        <w:numId w:val="2"/>
      </w:numPr>
      <w:ind w:left="2316"/>
      <w:outlineLvl w:val="5"/>
    </w:pPr>
  </w:style>
  <w:style w:type="character" w:customStyle="1" w:styleId="357">
    <w:name w:val="Title Char_2e548ad4-a326-40d7-b0ff-08d131014d99"/>
    <w:basedOn w:val="55"/>
    <w:qFormat/>
    <w:uiPriority w:val="0"/>
    <w:rPr>
      <w:rFonts w:ascii="Arial" w:hAnsi="Arial" w:eastAsia="宋体" w:cs="Arial"/>
      <w:b/>
      <w:bCs/>
      <w:kern w:val="21"/>
      <w:sz w:val="32"/>
      <w:szCs w:val="32"/>
      <w:lang w:val="en-US" w:eastAsia="zh-CN" w:bidi="ar-SA"/>
    </w:rPr>
  </w:style>
  <w:style w:type="paragraph" w:customStyle="1" w:styleId="358">
    <w:name w:val="注："/>
    <w:next w:val="234"/>
    <w:qFormat/>
    <w:uiPriority w:val="0"/>
    <w:pPr>
      <w:widowControl w:val="0"/>
      <w:numPr>
        <w:ilvl w:val="0"/>
        <w:numId w:val="4"/>
      </w:numPr>
      <w:autoSpaceDE w:val="0"/>
      <w:autoSpaceDN w:val="0"/>
      <w:jc w:val="both"/>
    </w:pPr>
    <w:rPr>
      <w:rFonts w:ascii="宋体" w:hAnsi="Times New Roman" w:eastAsia="宋体" w:cs="Times New Roman"/>
      <w:sz w:val="18"/>
      <w:lang w:val="en-US" w:eastAsia="zh-CN" w:bidi="ar-SA"/>
    </w:rPr>
  </w:style>
  <w:style w:type="paragraph" w:customStyle="1" w:styleId="359">
    <w:name w:val="五级条标题"/>
    <w:basedOn w:val="356"/>
    <w:next w:val="234"/>
    <w:qFormat/>
    <w:uiPriority w:val="0"/>
    <w:pPr>
      <w:numPr>
        <w:ilvl w:val="6"/>
        <w:numId w:val="2"/>
      </w:numPr>
      <w:outlineLvl w:val="6"/>
    </w:pPr>
  </w:style>
  <w:style w:type="paragraph" w:customStyle="1" w:styleId="360">
    <w:name w:val="附录表标题"/>
    <w:next w:val="234"/>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361">
    <w:name w:val="正文图标题"/>
    <w:next w:val="234"/>
    <w:qFormat/>
    <w:uiPriority w:val="0"/>
    <w:pPr>
      <w:numPr>
        <w:ilvl w:val="0"/>
        <w:numId w:val="5"/>
      </w:numPr>
      <w:jc w:val="center"/>
    </w:pPr>
    <w:rPr>
      <w:rFonts w:ascii="黑体" w:hAnsi="Times New Roman" w:eastAsia="黑体" w:cs="Times New Roman"/>
      <w:sz w:val="21"/>
      <w:lang w:val="en-US" w:eastAsia="zh-CN" w:bidi="ar-SA"/>
    </w:rPr>
  </w:style>
  <w:style w:type="paragraph" w:customStyle="1" w:styleId="362">
    <w:name w:val="附录标识"/>
    <w:basedOn w:val="343"/>
    <w:qFormat/>
    <w:uiPriority w:val="0"/>
    <w:pPr>
      <w:numPr>
        <w:ilvl w:val="0"/>
        <w:numId w:val="6"/>
      </w:numPr>
      <w:tabs>
        <w:tab w:val="left" w:pos="6405"/>
      </w:tabs>
      <w:spacing w:after="200"/>
      <w:ind w:firstLine="0"/>
    </w:pPr>
    <w:rPr>
      <w:sz w:val="21"/>
    </w:rPr>
  </w:style>
  <w:style w:type="paragraph" w:customStyle="1" w:styleId="363">
    <w:name w:val="标准书眉_偶数页"/>
    <w:basedOn w:val="364"/>
    <w:next w:val="1"/>
    <w:qFormat/>
    <w:uiPriority w:val="0"/>
    <w:pPr>
      <w:tabs>
        <w:tab w:val="center" w:pos="4154"/>
        <w:tab w:val="right" w:pos="8306"/>
      </w:tabs>
      <w:jc w:val="left"/>
    </w:pPr>
  </w:style>
  <w:style w:type="paragraph" w:customStyle="1" w:styleId="36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65">
    <w:name w:val="附录三级条标题"/>
    <w:basedOn w:val="366"/>
    <w:next w:val="234"/>
    <w:qFormat/>
    <w:uiPriority w:val="0"/>
    <w:pPr>
      <w:numPr>
        <w:ilvl w:val="4"/>
        <w:numId w:val="6"/>
      </w:numPr>
      <w:tabs>
        <w:tab w:val="left" w:pos="1418"/>
        <w:tab w:val="left" w:pos="1984"/>
      </w:tabs>
      <w:outlineLvl w:val="4"/>
    </w:pPr>
  </w:style>
  <w:style w:type="paragraph" w:customStyle="1" w:styleId="366">
    <w:name w:val="附录二级条标题"/>
    <w:basedOn w:val="367"/>
    <w:next w:val="234"/>
    <w:qFormat/>
    <w:uiPriority w:val="0"/>
    <w:pPr>
      <w:numPr>
        <w:ilvl w:val="3"/>
        <w:numId w:val="6"/>
      </w:numPr>
      <w:tabs>
        <w:tab w:val="left" w:pos="1418"/>
      </w:tabs>
      <w:outlineLvl w:val="3"/>
    </w:pPr>
  </w:style>
  <w:style w:type="paragraph" w:customStyle="1" w:styleId="367">
    <w:name w:val="附录一级条标题"/>
    <w:basedOn w:val="345"/>
    <w:next w:val="234"/>
    <w:qFormat/>
    <w:uiPriority w:val="0"/>
    <w:pPr>
      <w:numPr>
        <w:ilvl w:val="2"/>
        <w:numId w:val="6"/>
      </w:numPr>
      <w:autoSpaceDN w:val="0"/>
      <w:outlineLvl w:val="2"/>
    </w:pPr>
  </w:style>
  <w:style w:type="paragraph" w:customStyle="1" w:styleId="368">
    <w:name w:val="附录图标题"/>
    <w:next w:val="234"/>
    <w:qFormat/>
    <w:uiPriority w:val="0"/>
    <w:pPr>
      <w:jc w:val="center"/>
    </w:pPr>
    <w:rPr>
      <w:rFonts w:ascii="黑体" w:hAnsi="Times New Roman" w:eastAsia="黑体" w:cs="Times New Roman"/>
      <w:sz w:val="21"/>
      <w:lang w:val="en-US" w:eastAsia="zh-CN" w:bidi="ar-SA"/>
    </w:rPr>
  </w:style>
  <w:style w:type="paragraph" w:customStyle="1" w:styleId="369">
    <w:name w:val="四级无标题条"/>
    <w:basedOn w:val="1"/>
    <w:qFormat/>
    <w:uiPriority w:val="0"/>
    <w:pPr>
      <w:numPr>
        <w:ilvl w:val="5"/>
        <w:numId w:val="3"/>
      </w:numPr>
    </w:pPr>
    <w:rPr>
      <w:rFonts w:ascii="宋体"/>
      <w:kern w:val="21"/>
      <w:szCs w:val="21"/>
    </w:rPr>
  </w:style>
  <w:style w:type="paragraph" w:customStyle="1" w:styleId="370">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71">
    <w:name w:val="封面正文"/>
    <w:qFormat/>
    <w:uiPriority w:val="0"/>
    <w:pPr>
      <w:jc w:val="both"/>
    </w:pPr>
    <w:rPr>
      <w:rFonts w:ascii="Times New Roman" w:hAnsi="Times New Roman" w:eastAsia="宋体" w:cs="Times New Roman"/>
      <w:lang w:val="en-US" w:eastAsia="zh-CN" w:bidi="ar-SA"/>
    </w:rPr>
  </w:style>
  <w:style w:type="character" w:customStyle="1" w:styleId="372">
    <w:name w:val="Balloon Text Char"/>
    <w:basedOn w:val="55"/>
    <w:qFormat/>
    <w:uiPriority w:val="0"/>
    <w:rPr>
      <w:rFonts w:ascii="宋体" w:eastAsia="宋体"/>
      <w:kern w:val="21"/>
      <w:sz w:val="18"/>
      <w:szCs w:val="18"/>
      <w:lang w:val="en-US" w:eastAsia="zh-CN" w:bidi="ar-SA"/>
    </w:rPr>
  </w:style>
  <w:style w:type="paragraph" w:customStyle="1" w:styleId="373">
    <w:name w:val="实施日期"/>
    <w:basedOn w:val="374"/>
    <w:qFormat/>
    <w:uiPriority w:val="0"/>
    <w:pPr>
      <w:jc w:val="right"/>
    </w:pPr>
  </w:style>
  <w:style w:type="paragraph" w:customStyle="1" w:styleId="374">
    <w:name w:val="发布日期"/>
    <w:qFormat/>
    <w:uiPriority w:val="0"/>
    <w:pPr>
      <w:jc w:val="both"/>
    </w:pPr>
    <w:rPr>
      <w:rFonts w:ascii="Times New Roman" w:hAnsi="Times New Roman" w:eastAsia="黑体" w:cs="Times New Roman"/>
      <w:sz w:val="28"/>
      <w:lang w:val="en-US" w:eastAsia="zh-CN" w:bidi="ar-SA"/>
    </w:rPr>
  </w:style>
  <w:style w:type="paragraph" w:customStyle="1" w:styleId="375">
    <w:name w:val="列项——"/>
    <w:qFormat/>
    <w:uiPriority w:val="0"/>
    <w:pPr>
      <w:widowControl w:val="0"/>
      <w:numPr>
        <w:ilvl w:val="0"/>
        <w:numId w:val="7"/>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376">
    <w:name w:val="示例"/>
    <w:next w:val="234"/>
    <w:qFormat/>
    <w:uiPriority w:val="0"/>
    <w:pPr>
      <w:numPr>
        <w:ilvl w:val="0"/>
        <w:numId w:val="8"/>
      </w:numPr>
      <w:tabs>
        <w:tab w:val="clear" w:pos="1140"/>
      </w:tabs>
      <w:ind w:firstLine="419" w:firstLineChars="233"/>
      <w:jc w:val="both"/>
    </w:pPr>
    <w:rPr>
      <w:rFonts w:ascii="宋体" w:hAnsi="Times New Roman" w:eastAsia="宋体" w:cs="Times New Roman"/>
      <w:sz w:val="18"/>
      <w:lang w:val="en-US" w:eastAsia="zh-CN" w:bidi="ar-SA"/>
    </w:rPr>
  </w:style>
  <w:style w:type="paragraph" w:customStyle="1" w:styleId="377">
    <w:name w:val="附录四级条标题"/>
    <w:basedOn w:val="365"/>
    <w:next w:val="234"/>
    <w:qFormat/>
    <w:uiPriority w:val="0"/>
    <w:pPr>
      <w:numPr>
        <w:ilvl w:val="5"/>
        <w:numId w:val="6"/>
      </w:numPr>
      <w:outlineLvl w:val="5"/>
    </w:pPr>
  </w:style>
  <w:style w:type="paragraph" w:customStyle="1" w:styleId="378">
    <w:name w:val="列项·"/>
    <w:qFormat/>
    <w:uiPriority w:val="0"/>
    <w:pPr>
      <w:numPr>
        <w:ilvl w:val="0"/>
        <w:numId w:val="9"/>
      </w:numPr>
      <w:tabs>
        <w:tab w:val="clear" w:pos="1120"/>
      </w:tabs>
      <w:ind w:left="840" w:leftChars="200" w:hanging="420" w:hangingChars="200"/>
      <w:jc w:val="both"/>
    </w:pPr>
    <w:rPr>
      <w:rFonts w:ascii="宋体" w:hAnsi="Times New Roman" w:eastAsia="宋体" w:cs="Times New Roman"/>
      <w:sz w:val="21"/>
      <w:lang w:val="en-US" w:eastAsia="zh-CN" w:bidi="ar-SA"/>
    </w:rPr>
  </w:style>
  <w:style w:type="paragraph" w:customStyle="1" w:styleId="379">
    <w:name w:val="图表脚注"/>
    <w:next w:val="234"/>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8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81">
    <w:name w:val="一级无标题条"/>
    <w:basedOn w:val="1"/>
    <w:qFormat/>
    <w:uiPriority w:val="0"/>
    <w:pPr>
      <w:numPr>
        <w:ilvl w:val="2"/>
        <w:numId w:val="3"/>
      </w:numPr>
    </w:pPr>
    <w:rPr>
      <w:rFonts w:ascii="宋体"/>
      <w:kern w:val="21"/>
      <w:szCs w:val="21"/>
    </w:rPr>
  </w:style>
  <w:style w:type="paragraph" w:customStyle="1" w:styleId="38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83">
    <w:name w:val="无标题条"/>
    <w:next w:val="234"/>
    <w:qFormat/>
    <w:uiPriority w:val="0"/>
    <w:pPr>
      <w:jc w:val="both"/>
    </w:pPr>
    <w:rPr>
      <w:rFonts w:ascii="Times New Roman" w:hAnsi="Times New Roman" w:eastAsia="宋体" w:cs="Times New Roman"/>
      <w:sz w:val="21"/>
      <w:lang w:val="en-US" w:eastAsia="zh-CN" w:bidi="ar-SA"/>
    </w:rPr>
  </w:style>
  <w:style w:type="paragraph" w:customStyle="1" w:styleId="384">
    <w:name w:val="标准书眉一"/>
    <w:qFormat/>
    <w:uiPriority w:val="0"/>
    <w:pPr>
      <w:jc w:val="both"/>
    </w:pPr>
    <w:rPr>
      <w:rFonts w:ascii="Times New Roman" w:hAnsi="Times New Roman" w:eastAsia="宋体" w:cs="Times New Roman"/>
      <w:lang w:val="en-US" w:eastAsia="zh-CN" w:bidi="ar-SA"/>
    </w:rPr>
  </w:style>
  <w:style w:type="paragraph" w:customStyle="1" w:styleId="38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86">
    <w:name w:val="标准称谓"/>
    <w:next w:val="1"/>
    <w:qFormat/>
    <w:uiPriority w:val="0"/>
    <w:pPr>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52"/>
      <w:lang w:val="en-US" w:eastAsia="zh-CN" w:bidi="ar-SA"/>
    </w:rPr>
  </w:style>
  <w:style w:type="paragraph" w:customStyle="1" w:styleId="387">
    <w:name w:val="附录五级条标题"/>
    <w:basedOn w:val="377"/>
    <w:next w:val="234"/>
    <w:qFormat/>
    <w:uiPriority w:val="0"/>
    <w:pPr>
      <w:numPr>
        <w:ilvl w:val="6"/>
        <w:numId w:val="6"/>
      </w:numPr>
      <w:outlineLvl w:val="6"/>
    </w:pPr>
  </w:style>
  <w:style w:type="paragraph" w:customStyle="1" w:styleId="388">
    <w:name w:val="注×："/>
    <w:qFormat/>
    <w:uiPriority w:val="0"/>
    <w:pPr>
      <w:widowControl w:val="0"/>
      <w:numPr>
        <w:ilvl w:val="0"/>
        <w:numId w:val="10"/>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38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9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91">
    <w:name w:val="参考文献、索引标题"/>
    <w:basedOn w:val="343"/>
    <w:next w:val="1"/>
    <w:qFormat/>
    <w:uiPriority w:val="0"/>
    <w:pPr>
      <w:numPr>
        <w:ilvl w:val="0"/>
        <w:numId w:val="0"/>
      </w:numPr>
      <w:spacing w:after="200"/>
    </w:pPr>
    <w:rPr>
      <w:sz w:val="21"/>
    </w:rPr>
  </w:style>
  <w:style w:type="paragraph" w:customStyle="1" w:styleId="392">
    <w:name w:val="标准书脚_偶数页"/>
    <w:qFormat/>
    <w:uiPriority w:val="0"/>
    <w:pPr>
      <w:spacing w:before="120"/>
      <w:jc w:val="both"/>
    </w:pPr>
    <w:rPr>
      <w:rFonts w:ascii="Times New Roman" w:hAnsi="Times New Roman" w:eastAsia="宋体" w:cs="Times New Roman"/>
      <w:sz w:val="18"/>
      <w:lang w:val="en-US" w:eastAsia="zh-CN" w:bidi="ar-SA"/>
    </w:rPr>
  </w:style>
  <w:style w:type="paragraph" w:customStyle="1" w:styleId="393">
    <w:name w:val="标准标志"/>
    <w:next w:val="1"/>
    <w:qFormat/>
    <w:uiPriority w:val="0"/>
    <w:pPr>
      <w:shd w:val="solid" w:color="FFFFFF" w:fill="FFFFFF"/>
      <w:spacing w:line="240" w:lineRule="atLeast"/>
      <w:jc w:val="right"/>
    </w:pPr>
    <w:rPr>
      <w:rFonts w:ascii="Times New Roman" w:hAnsi="Times New Roman" w:eastAsia="宋体" w:cs="Times New Roman"/>
      <w:b/>
      <w:w w:val="130"/>
      <w:sz w:val="96"/>
      <w:lang w:val="en-US" w:eastAsia="zh-CN" w:bidi="ar-SA"/>
    </w:rPr>
  </w:style>
  <w:style w:type="paragraph" w:customStyle="1" w:styleId="394">
    <w:name w:val="示例×："/>
    <w:basedOn w:val="1"/>
    <w:next w:val="1"/>
    <w:qFormat/>
    <w:uiPriority w:val="0"/>
    <w:pPr>
      <w:tabs>
        <w:tab w:val="left" w:pos="630"/>
        <w:tab w:val="left" w:pos="760"/>
      </w:tabs>
      <w:autoSpaceDE w:val="0"/>
      <w:autoSpaceDN w:val="0"/>
      <w:ind w:left="20" w:firstLine="380"/>
    </w:pPr>
    <w:rPr>
      <w:rFonts w:ascii="宋体"/>
      <w:kern w:val="0"/>
      <w:sz w:val="18"/>
      <w:szCs w:val="20"/>
    </w:rPr>
  </w:style>
  <w:style w:type="character" w:customStyle="1" w:styleId="395">
    <w:name w:val=" Char Char33"/>
    <w:qFormat/>
    <w:uiPriority w:val="0"/>
    <w:rPr>
      <w:rFonts w:eastAsia="宋体"/>
      <w:b/>
      <w:bCs/>
      <w:kern w:val="44"/>
      <w:sz w:val="44"/>
      <w:szCs w:val="44"/>
      <w:lang w:val="en-US" w:eastAsia="zh-CN" w:bidi="ar-SA"/>
    </w:rPr>
  </w:style>
  <w:style w:type="character" w:customStyle="1" w:styleId="396">
    <w:name w:val=" Char Char32"/>
    <w:qFormat/>
    <w:uiPriority w:val="0"/>
    <w:rPr>
      <w:rFonts w:ascii="Arial" w:hAnsi="Arial" w:eastAsia="黑体"/>
      <w:b/>
      <w:bCs/>
      <w:sz w:val="32"/>
      <w:szCs w:val="32"/>
      <w:lang w:bidi="ar-SA"/>
    </w:rPr>
  </w:style>
  <w:style w:type="character" w:customStyle="1" w:styleId="397">
    <w:name w:val=" Char Char35"/>
    <w:qFormat/>
    <w:uiPriority w:val="0"/>
    <w:rPr>
      <w:rFonts w:eastAsia="宋体"/>
      <w:b/>
      <w:bCs/>
      <w:kern w:val="44"/>
      <w:sz w:val="44"/>
      <w:szCs w:val="44"/>
      <w:lang w:val="en-US" w:eastAsia="zh-CN" w:bidi="ar-SA"/>
    </w:rPr>
  </w:style>
  <w:style w:type="character" w:customStyle="1" w:styleId="398">
    <w:name w:val=" Char Char34"/>
    <w:qFormat/>
    <w:uiPriority w:val="0"/>
    <w:rPr>
      <w:rFonts w:ascii="Arial" w:hAnsi="Arial" w:eastAsia="黑体"/>
      <w:b/>
      <w:bCs/>
      <w:sz w:val="32"/>
      <w:szCs w:val="32"/>
      <w:lang w:bidi="ar-SA"/>
    </w:rPr>
  </w:style>
  <w:style w:type="paragraph" w:customStyle="1" w:styleId="399">
    <w:name w:val="标准正文 S"/>
    <w:basedOn w:val="1"/>
    <w:qFormat/>
    <w:uiPriority w:val="0"/>
    <w:pPr>
      <w:spacing w:beforeLines="50" w:afterLines="50" w:line="360" w:lineRule="auto"/>
      <w:ind w:firstLine="480"/>
      <w:jc w:val="left"/>
    </w:pPr>
    <w:rPr>
      <w:rFonts w:ascii="Calibri" w:hAnsi="Calibri"/>
      <w:sz w:val="24"/>
    </w:rPr>
  </w:style>
  <w:style w:type="paragraph" w:customStyle="1" w:styleId="400">
    <w:name w:val="*正文"/>
    <w:basedOn w:val="1"/>
    <w:qFormat/>
    <w:uiPriority w:val="0"/>
    <w:pPr>
      <w:spacing w:line="360" w:lineRule="auto"/>
      <w:ind w:firstLine="482"/>
      <w:jc w:val="left"/>
    </w:pPr>
    <w:rPr>
      <w:rFonts w:ascii="宋体" w:hAnsi="宋体"/>
      <w:kern w:val="0"/>
      <w:sz w:val="24"/>
      <w:szCs w:val="20"/>
    </w:rPr>
  </w:style>
  <w:style w:type="character" w:customStyle="1" w:styleId="401">
    <w:name w:val="Body text|3_"/>
    <w:basedOn w:val="55"/>
    <w:link w:val="402"/>
    <w:qFormat/>
    <w:uiPriority w:val="0"/>
    <w:rPr>
      <w:rFonts w:ascii="宋体" w:hAnsi="宋体" w:eastAsia="宋体"/>
      <w:sz w:val="34"/>
      <w:szCs w:val="34"/>
      <w:lang w:bidi="ar-SA"/>
    </w:rPr>
  </w:style>
  <w:style w:type="paragraph" w:customStyle="1" w:styleId="402">
    <w:name w:val="Body text|3"/>
    <w:basedOn w:val="1"/>
    <w:link w:val="401"/>
    <w:qFormat/>
    <w:uiPriority w:val="0"/>
    <w:pPr>
      <w:spacing w:after="460"/>
      <w:jc w:val="center"/>
    </w:pPr>
    <w:rPr>
      <w:rFonts w:ascii="宋体" w:hAnsi="宋体" w:eastAsia="宋体"/>
      <w:kern w:val="0"/>
      <w:sz w:val="34"/>
      <w:szCs w:val="34"/>
    </w:rPr>
  </w:style>
  <w:style w:type="character" w:customStyle="1" w:styleId="403">
    <w:name w:val="Body text|1_"/>
    <w:basedOn w:val="55"/>
    <w:link w:val="404"/>
    <w:qFormat/>
    <w:uiPriority w:val="0"/>
    <w:rPr>
      <w:rFonts w:ascii="宋体" w:hAnsi="宋体" w:eastAsia="宋体"/>
      <w:sz w:val="30"/>
      <w:szCs w:val="30"/>
      <w:lang w:bidi="ar-SA"/>
    </w:rPr>
  </w:style>
  <w:style w:type="paragraph" w:customStyle="1" w:styleId="404">
    <w:name w:val="Body text|1"/>
    <w:basedOn w:val="1"/>
    <w:link w:val="403"/>
    <w:qFormat/>
    <w:uiPriority w:val="0"/>
    <w:pPr>
      <w:spacing w:line="353" w:lineRule="auto"/>
      <w:ind w:firstLine="400"/>
      <w:jc w:val="left"/>
    </w:pPr>
    <w:rPr>
      <w:rFonts w:ascii="宋体" w:hAnsi="宋体" w:eastAsia="宋体"/>
      <w:kern w:val="0"/>
      <w:sz w:val="30"/>
      <w:szCs w:val="30"/>
    </w:rPr>
  </w:style>
  <w:style w:type="character" w:customStyle="1" w:styleId="405">
    <w:name w:val=" Char Char37"/>
    <w:qFormat/>
    <w:uiPriority w:val="0"/>
    <w:rPr>
      <w:rFonts w:eastAsia="宋体"/>
      <w:b/>
      <w:bCs/>
      <w:kern w:val="44"/>
      <w:sz w:val="44"/>
      <w:szCs w:val="44"/>
      <w:lang w:val="en-US" w:eastAsia="zh-CN" w:bidi="ar-SA"/>
    </w:rPr>
  </w:style>
  <w:style w:type="character" w:customStyle="1" w:styleId="406">
    <w:name w:val=" Char Char36"/>
    <w:qFormat/>
    <w:uiPriority w:val="0"/>
    <w:rPr>
      <w:rFonts w:ascii="Arial" w:hAnsi="Arial" w:eastAsia="黑体"/>
      <w:b/>
      <w:bCs/>
      <w:sz w:val="32"/>
      <w:szCs w:val="32"/>
      <w:lang w:bidi="ar-SA"/>
    </w:rPr>
  </w:style>
  <w:style w:type="character" w:customStyle="1" w:styleId="407">
    <w:name w:val="无间隔 字符"/>
    <w:qFormat/>
    <w:uiPriority w:val="0"/>
    <w:rPr>
      <w:sz w:val="22"/>
      <w:szCs w:val="22"/>
      <w:lang w:val="en-US" w:eastAsia="zh-CN" w:bidi="ar-SA"/>
    </w:rPr>
  </w:style>
  <w:style w:type="character" w:customStyle="1" w:styleId="408">
    <w:name w:val="正文文本 2 字符"/>
    <w:qFormat/>
    <w:uiPriority w:val="0"/>
    <w:rPr>
      <w:rFonts w:eastAsia="宋体"/>
      <w:kern w:val="2"/>
      <w:sz w:val="21"/>
      <w:szCs w:val="24"/>
      <w:lang w:val="en-US" w:eastAsia="zh-CN" w:bidi="ar-SA"/>
    </w:rPr>
  </w:style>
  <w:style w:type="character" w:customStyle="1" w:styleId="409">
    <w:name w:val="HTML 地址 字符"/>
    <w:qFormat/>
    <w:uiPriority w:val="0"/>
    <w:rPr>
      <w:rFonts w:ascii="宋体" w:eastAsia="宋体"/>
      <w:i/>
      <w:iCs/>
      <w:kern w:val="21"/>
      <w:sz w:val="21"/>
      <w:szCs w:val="21"/>
      <w:lang w:val="en-US" w:eastAsia="zh-CN" w:bidi="ar-SA"/>
    </w:rPr>
  </w:style>
  <w:style w:type="character" w:customStyle="1" w:styleId="410">
    <w:name w:val="标题 6 字符"/>
    <w:qFormat/>
    <w:uiPriority w:val="0"/>
    <w:rPr>
      <w:rFonts w:ascii="Arial" w:hAnsi="Arial" w:eastAsia="黑体"/>
      <w:b/>
      <w:kern w:val="2"/>
      <w:sz w:val="24"/>
      <w:szCs w:val="24"/>
      <w:lang w:val="en-US" w:eastAsia="zh-CN" w:bidi="ar-SA"/>
    </w:rPr>
  </w:style>
  <w:style w:type="character" w:customStyle="1" w:styleId="411">
    <w:name w:val="日期 字符"/>
    <w:qFormat/>
    <w:uiPriority w:val="0"/>
    <w:rPr>
      <w:rFonts w:ascii="宋体" w:hAnsi="Courier New" w:eastAsia="宋体" w:cs="Courier New"/>
      <w:kern w:val="2"/>
      <w:sz w:val="21"/>
      <w:szCs w:val="21"/>
      <w:lang w:val="en-US" w:eastAsia="zh-CN" w:bidi="ar-SA"/>
    </w:rPr>
  </w:style>
  <w:style w:type="character" w:customStyle="1" w:styleId="412">
    <w:name w:val="正文文本缩进 2 字符"/>
    <w:qFormat/>
    <w:uiPriority w:val="0"/>
    <w:rPr>
      <w:rFonts w:eastAsia="宋体"/>
      <w:kern w:val="2"/>
      <w:sz w:val="32"/>
      <w:lang w:val="en-US" w:eastAsia="zh-CN" w:bidi="ar-SA"/>
    </w:rPr>
  </w:style>
  <w:style w:type="character" w:customStyle="1" w:styleId="413">
    <w:name w:val="标题 1 字符"/>
    <w:qFormat/>
    <w:uiPriority w:val="0"/>
    <w:rPr>
      <w:rFonts w:eastAsia="宋体"/>
      <w:b/>
      <w:bCs/>
      <w:kern w:val="44"/>
      <w:sz w:val="44"/>
      <w:szCs w:val="44"/>
      <w:lang w:val="en-US" w:eastAsia="zh-CN" w:bidi="ar-SA"/>
    </w:rPr>
  </w:style>
  <w:style w:type="character" w:customStyle="1" w:styleId="414">
    <w:name w:val="正文文本缩进 3 字符"/>
    <w:qFormat/>
    <w:uiPriority w:val="0"/>
    <w:rPr>
      <w:rFonts w:eastAsia="宋体"/>
      <w:kern w:val="2"/>
      <w:sz w:val="16"/>
      <w:szCs w:val="16"/>
      <w:lang w:val="en-US" w:eastAsia="zh-CN" w:bidi="ar-SA"/>
    </w:rPr>
  </w:style>
  <w:style w:type="character" w:customStyle="1" w:styleId="415">
    <w:name w:val="标题 2 字符"/>
    <w:qFormat/>
    <w:uiPriority w:val="0"/>
    <w:rPr>
      <w:rFonts w:ascii="Arial" w:hAnsi="Arial" w:eastAsia="黑体"/>
      <w:b/>
      <w:bCs/>
      <w:sz w:val="32"/>
      <w:szCs w:val="32"/>
      <w:lang w:bidi="ar-SA"/>
    </w:rPr>
  </w:style>
  <w:style w:type="character" w:customStyle="1" w:styleId="416">
    <w:name w:val="标题 3 字符"/>
    <w:qFormat/>
    <w:uiPriority w:val="0"/>
    <w:rPr>
      <w:rFonts w:eastAsia="宋体"/>
      <w:b/>
      <w:bCs/>
      <w:sz w:val="32"/>
      <w:szCs w:val="32"/>
      <w:lang w:bidi="ar-SA"/>
    </w:rPr>
  </w:style>
  <w:style w:type="character" w:customStyle="1" w:styleId="417">
    <w:name w:val="标题 4 字符"/>
    <w:qFormat/>
    <w:uiPriority w:val="0"/>
    <w:rPr>
      <w:rFonts w:ascii="Arial" w:hAnsi="Arial" w:eastAsia="黑体"/>
      <w:sz w:val="28"/>
      <w:lang w:bidi="ar-SA"/>
    </w:rPr>
  </w:style>
  <w:style w:type="character" w:customStyle="1" w:styleId="418">
    <w:name w:val="标题 5 字符"/>
    <w:qFormat/>
    <w:uiPriority w:val="0"/>
    <w:rPr>
      <w:rFonts w:eastAsia="宋体"/>
      <w:b/>
      <w:kern w:val="2"/>
      <w:sz w:val="28"/>
      <w:szCs w:val="24"/>
      <w:lang w:val="en-US" w:eastAsia="zh-CN" w:bidi="ar-SA"/>
    </w:rPr>
  </w:style>
  <w:style w:type="character" w:customStyle="1" w:styleId="419">
    <w:name w:val="标题 7 字符"/>
    <w:qFormat/>
    <w:uiPriority w:val="0"/>
    <w:rPr>
      <w:rFonts w:eastAsia="宋体"/>
      <w:b/>
      <w:kern w:val="2"/>
      <w:sz w:val="24"/>
      <w:szCs w:val="24"/>
      <w:lang w:val="en-US" w:eastAsia="zh-CN" w:bidi="ar-SA"/>
    </w:rPr>
  </w:style>
  <w:style w:type="character" w:customStyle="1" w:styleId="420">
    <w:name w:val="标题 8 字符"/>
    <w:qFormat/>
    <w:uiPriority w:val="0"/>
    <w:rPr>
      <w:rFonts w:ascii="Arial" w:hAnsi="Arial" w:eastAsia="黑体"/>
      <w:kern w:val="2"/>
      <w:sz w:val="24"/>
      <w:szCs w:val="24"/>
      <w:lang w:val="en-US" w:eastAsia="zh-CN" w:bidi="ar-SA"/>
    </w:rPr>
  </w:style>
  <w:style w:type="character" w:customStyle="1" w:styleId="421">
    <w:name w:val="标题 9 字符"/>
    <w:qFormat/>
    <w:uiPriority w:val="0"/>
    <w:rPr>
      <w:rFonts w:ascii="Arial" w:hAnsi="Arial" w:eastAsia="黑体"/>
      <w:kern w:val="2"/>
      <w:sz w:val="21"/>
      <w:szCs w:val="24"/>
      <w:lang w:val="en-US" w:eastAsia="zh-CN" w:bidi="ar-SA"/>
    </w:rPr>
  </w:style>
  <w:style w:type="character" w:customStyle="1" w:styleId="422">
    <w:name w:val="正文文本 3 字符"/>
    <w:qFormat/>
    <w:uiPriority w:val="0"/>
    <w:rPr>
      <w:rFonts w:eastAsia="宋体"/>
      <w:b/>
      <w:bCs/>
      <w:kern w:val="2"/>
      <w:sz w:val="24"/>
      <w:szCs w:val="24"/>
      <w:lang w:val="en-US" w:eastAsia="zh-CN" w:bidi="ar-SA"/>
    </w:rPr>
  </w:style>
  <w:style w:type="character" w:customStyle="1" w:styleId="423">
    <w:name w:val="页眉 字符"/>
    <w:qFormat/>
    <w:uiPriority w:val="0"/>
    <w:rPr>
      <w:rFonts w:eastAsia="宋体"/>
      <w:kern w:val="2"/>
      <w:sz w:val="18"/>
      <w:szCs w:val="18"/>
      <w:lang w:val="en-US" w:eastAsia="zh-CN" w:bidi="ar-SA"/>
    </w:rPr>
  </w:style>
  <w:style w:type="character" w:customStyle="1" w:styleId="424">
    <w:name w:val="标题 字符"/>
    <w:qFormat/>
    <w:uiPriority w:val="0"/>
    <w:rPr>
      <w:rFonts w:ascii="Arial" w:hAnsi="Arial" w:eastAsia="宋体"/>
      <w:b/>
      <w:bCs/>
      <w:kern w:val="2"/>
      <w:sz w:val="32"/>
      <w:szCs w:val="32"/>
      <w:lang w:bidi="ar-SA"/>
    </w:rPr>
  </w:style>
  <w:style w:type="character" w:customStyle="1" w:styleId="425">
    <w:name w:val="称呼 字符"/>
    <w:qFormat/>
    <w:uiPriority w:val="0"/>
    <w:rPr>
      <w:kern w:val="2"/>
      <w:sz w:val="28"/>
      <w:szCs w:val="24"/>
    </w:rPr>
  </w:style>
  <w:style w:type="character" w:customStyle="1" w:styleId="426">
    <w:name w:val="尾注文本 字符"/>
    <w:qFormat/>
    <w:uiPriority w:val="0"/>
    <w:rPr>
      <w:rFonts w:ascii="Calibri" w:hAnsi="Calibri"/>
      <w:kern w:val="2"/>
      <w:sz w:val="21"/>
      <w:szCs w:val="22"/>
    </w:rPr>
  </w:style>
  <w:style w:type="character" w:customStyle="1" w:styleId="427">
    <w:name w:val="纯文本 字符1"/>
    <w:qFormat/>
    <w:uiPriority w:val="0"/>
    <w:rPr>
      <w:rFonts w:ascii="宋体" w:hAnsi="Courier New" w:eastAsia="宋体" w:cs="Courier New"/>
      <w:kern w:val="2"/>
      <w:sz w:val="21"/>
      <w:szCs w:val="21"/>
      <w:lang w:val="en-US" w:eastAsia="zh-CN" w:bidi="ar-SA"/>
    </w:rPr>
  </w:style>
  <w:style w:type="character" w:customStyle="1" w:styleId="428">
    <w:name w:val="页脚 字符"/>
    <w:qFormat/>
    <w:uiPriority w:val="0"/>
    <w:rPr>
      <w:rFonts w:eastAsia="宋体"/>
      <w:kern w:val="2"/>
      <w:sz w:val="18"/>
      <w:szCs w:val="18"/>
      <w:lang w:val="en-US" w:eastAsia="zh-CN" w:bidi="ar-SA"/>
    </w:rPr>
  </w:style>
  <w:style w:type="character" w:customStyle="1" w:styleId="429">
    <w:name w:val="正文文本 字符"/>
    <w:qFormat/>
    <w:uiPriority w:val="0"/>
    <w:rPr>
      <w:rFonts w:eastAsia="宋体"/>
      <w:kern w:val="2"/>
      <w:sz w:val="24"/>
      <w:szCs w:val="24"/>
      <w:lang w:val="en-US" w:eastAsia="zh-CN" w:bidi="ar-SA"/>
    </w:rPr>
  </w:style>
  <w:style w:type="character" w:customStyle="1" w:styleId="430">
    <w:name w:val="HTML 预设格式 字符"/>
    <w:qFormat/>
    <w:uiPriority w:val="0"/>
    <w:rPr>
      <w:rFonts w:ascii="黑体" w:hAnsi="Courier New" w:eastAsia="黑体" w:cs="Courier New"/>
      <w:lang w:val="en-US" w:eastAsia="zh-CN" w:bidi="ar-SA"/>
    </w:rPr>
  </w:style>
  <w:style w:type="character" w:customStyle="1" w:styleId="431">
    <w:name w:val="批注文字 字符"/>
    <w:qFormat/>
    <w:uiPriority w:val="0"/>
    <w:rPr>
      <w:rFonts w:eastAsia="宋体"/>
      <w:sz w:val="24"/>
      <w:lang w:bidi="ar-SA"/>
    </w:rPr>
  </w:style>
  <w:style w:type="character" w:customStyle="1" w:styleId="432">
    <w:name w:val="正文文本缩进 字符"/>
    <w:qFormat/>
    <w:uiPriority w:val="0"/>
    <w:rPr>
      <w:rFonts w:ascii="仿宋_GB2312" w:eastAsia="仿宋_GB2312"/>
      <w:kern w:val="2"/>
      <w:sz w:val="32"/>
      <w:lang w:val="en-US" w:eastAsia="zh-CN" w:bidi="ar-SA"/>
    </w:rPr>
  </w:style>
  <w:style w:type="character" w:customStyle="1" w:styleId="433">
    <w:name w:val="脚注文本 字符"/>
    <w:qFormat/>
    <w:uiPriority w:val="0"/>
    <w:rPr>
      <w:rFonts w:ascii="宋体" w:eastAsia="宋体"/>
      <w:kern w:val="21"/>
      <w:sz w:val="18"/>
      <w:szCs w:val="18"/>
      <w:lang w:val="en-US" w:eastAsia="zh-CN" w:bidi="ar-SA"/>
    </w:rPr>
  </w:style>
  <w:style w:type="character" w:customStyle="1" w:styleId="434">
    <w:name w:val="文档结构图 字符"/>
    <w:qFormat/>
    <w:uiPriority w:val="0"/>
    <w:rPr>
      <w:rFonts w:eastAsia="宋体"/>
      <w:kern w:val="2"/>
      <w:sz w:val="21"/>
      <w:szCs w:val="24"/>
      <w:lang w:val="en-US" w:eastAsia="zh-CN" w:bidi="ar-SA"/>
    </w:rPr>
  </w:style>
  <w:style w:type="character" w:customStyle="1" w:styleId="435">
    <w:name w:val="标题 3 字符1"/>
    <w:qFormat/>
    <w:uiPriority w:val="0"/>
    <w:rPr>
      <w:rFonts w:eastAsia="宋体"/>
      <w:b/>
      <w:bCs/>
      <w:sz w:val="32"/>
      <w:szCs w:val="32"/>
      <w:lang w:bidi="ar-SA"/>
    </w:rPr>
  </w:style>
  <w:style w:type="character" w:customStyle="1" w:styleId="436">
    <w:name w:val="纯文本 字符2"/>
    <w:qFormat/>
    <w:uiPriority w:val="0"/>
    <w:rPr>
      <w:rFonts w:ascii="宋体" w:hAnsi="Courier New" w:eastAsia="宋体" w:cs="Courier New"/>
      <w:kern w:val="2"/>
      <w:sz w:val="21"/>
      <w:szCs w:val="21"/>
      <w:lang w:val="en-US" w:eastAsia="zh-CN" w:bidi="ar-SA"/>
    </w:rPr>
  </w:style>
  <w:style w:type="character" w:customStyle="1" w:styleId="437">
    <w:name w:val="标题 5 字符1"/>
    <w:qFormat/>
    <w:uiPriority w:val="0"/>
    <w:rPr>
      <w:rFonts w:eastAsia="宋体"/>
      <w:b/>
      <w:kern w:val="2"/>
      <w:sz w:val="28"/>
      <w:szCs w:val="24"/>
      <w:lang w:val="en-US" w:eastAsia="zh-CN" w:bidi="ar-SA"/>
    </w:rPr>
  </w:style>
  <w:style w:type="character" w:customStyle="1" w:styleId="438">
    <w:name w:val="标题 8 字符1"/>
    <w:qFormat/>
    <w:uiPriority w:val="0"/>
    <w:rPr>
      <w:rFonts w:ascii="Arial" w:hAnsi="Arial" w:eastAsia="黑体"/>
      <w:kern w:val="2"/>
      <w:sz w:val="24"/>
      <w:szCs w:val="24"/>
      <w:lang w:val="en-US" w:eastAsia="zh-CN" w:bidi="ar-SA"/>
    </w:rPr>
  </w:style>
  <w:style w:type="character" w:customStyle="1" w:styleId="439">
    <w:name w:val="文档结构图 字符1"/>
    <w:qFormat/>
    <w:uiPriority w:val="0"/>
    <w:rPr>
      <w:rFonts w:eastAsia="宋体"/>
      <w:kern w:val="2"/>
      <w:sz w:val="21"/>
      <w:szCs w:val="24"/>
      <w:lang w:val="en-US" w:eastAsia="zh-CN" w:bidi="ar-SA"/>
    </w:rPr>
  </w:style>
  <w:style w:type="character" w:customStyle="1" w:styleId="440">
    <w:name w:val="标题 1 字符1"/>
    <w:qFormat/>
    <w:uiPriority w:val="0"/>
    <w:rPr>
      <w:rFonts w:eastAsia="宋体"/>
      <w:b/>
      <w:bCs/>
      <w:kern w:val="44"/>
      <w:sz w:val="44"/>
      <w:szCs w:val="44"/>
      <w:lang w:val="en-US" w:eastAsia="zh-CN" w:bidi="ar-SA"/>
    </w:rPr>
  </w:style>
  <w:style w:type="character" w:customStyle="1" w:styleId="441">
    <w:name w:val="页眉 字符1"/>
    <w:qFormat/>
    <w:uiPriority w:val="0"/>
    <w:rPr>
      <w:rFonts w:eastAsia="宋体"/>
      <w:kern w:val="2"/>
      <w:sz w:val="18"/>
      <w:szCs w:val="18"/>
      <w:lang w:val="en-US" w:eastAsia="zh-CN" w:bidi="ar-SA"/>
    </w:rPr>
  </w:style>
  <w:style w:type="character" w:customStyle="1" w:styleId="442">
    <w:name w:val="正文文本缩进 3 字符1"/>
    <w:qFormat/>
    <w:uiPriority w:val="0"/>
    <w:rPr>
      <w:rFonts w:eastAsia="宋体"/>
      <w:kern w:val="2"/>
      <w:sz w:val="16"/>
      <w:szCs w:val="16"/>
      <w:lang w:val="en-US" w:eastAsia="zh-CN" w:bidi="ar-SA"/>
    </w:rPr>
  </w:style>
  <w:style w:type="character" w:customStyle="1" w:styleId="443">
    <w:name w:val="页脚 字符1"/>
    <w:qFormat/>
    <w:uiPriority w:val="0"/>
    <w:rPr>
      <w:rFonts w:eastAsia="宋体"/>
      <w:kern w:val="2"/>
      <w:sz w:val="18"/>
      <w:szCs w:val="18"/>
      <w:lang w:val="en-US" w:eastAsia="zh-CN" w:bidi="ar-SA"/>
    </w:rPr>
  </w:style>
  <w:style w:type="character" w:customStyle="1" w:styleId="444">
    <w:name w:val="正文文本缩进 字符1"/>
    <w:qFormat/>
    <w:uiPriority w:val="0"/>
    <w:rPr>
      <w:rFonts w:ascii="仿宋_GB2312" w:eastAsia="仿宋_GB2312"/>
      <w:kern w:val="2"/>
      <w:sz w:val="32"/>
      <w:lang w:val="en-US" w:eastAsia="zh-CN" w:bidi="ar-SA"/>
    </w:rPr>
  </w:style>
  <w:style w:type="character" w:customStyle="1" w:styleId="445">
    <w:name w:val="标题 9 字符1"/>
    <w:qFormat/>
    <w:uiPriority w:val="0"/>
    <w:rPr>
      <w:rFonts w:ascii="Arial" w:hAnsi="Arial" w:eastAsia="黑体"/>
      <w:kern w:val="2"/>
      <w:sz w:val="21"/>
      <w:szCs w:val="24"/>
      <w:lang w:val="en-US" w:eastAsia="zh-CN" w:bidi="ar-SA"/>
    </w:rPr>
  </w:style>
  <w:style w:type="character" w:customStyle="1" w:styleId="446">
    <w:name w:val="正文文本缩进 2 字符1"/>
    <w:qFormat/>
    <w:uiPriority w:val="0"/>
    <w:rPr>
      <w:rFonts w:eastAsia="宋体"/>
      <w:kern w:val="2"/>
      <w:sz w:val="32"/>
      <w:lang w:val="en-US" w:eastAsia="zh-CN" w:bidi="ar-SA"/>
    </w:rPr>
  </w:style>
  <w:style w:type="character" w:customStyle="1" w:styleId="447">
    <w:name w:val="HTML 预设格式 字符1"/>
    <w:qFormat/>
    <w:uiPriority w:val="0"/>
    <w:rPr>
      <w:rFonts w:ascii="黑体" w:hAnsi="Courier New" w:eastAsia="黑体" w:cs="Courier New"/>
      <w:lang w:val="en-US" w:eastAsia="zh-CN" w:bidi="ar-SA"/>
    </w:rPr>
  </w:style>
  <w:style w:type="character" w:customStyle="1" w:styleId="448">
    <w:name w:val="正文文本 2 字符1"/>
    <w:qFormat/>
    <w:uiPriority w:val="0"/>
    <w:rPr>
      <w:rFonts w:eastAsia="宋体"/>
      <w:kern w:val="2"/>
      <w:sz w:val="21"/>
      <w:szCs w:val="24"/>
      <w:lang w:val="en-US" w:eastAsia="zh-CN" w:bidi="ar-SA"/>
    </w:rPr>
  </w:style>
  <w:style w:type="character" w:customStyle="1" w:styleId="449">
    <w:name w:val="正文文本 字符1"/>
    <w:qFormat/>
    <w:uiPriority w:val="0"/>
    <w:rPr>
      <w:rFonts w:eastAsia="宋体"/>
      <w:kern w:val="2"/>
      <w:sz w:val="24"/>
      <w:szCs w:val="24"/>
      <w:lang w:val="en-US" w:eastAsia="zh-CN" w:bidi="ar-SA"/>
    </w:rPr>
  </w:style>
  <w:style w:type="character" w:customStyle="1" w:styleId="450">
    <w:name w:val="标题 6 字符1"/>
    <w:qFormat/>
    <w:uiPriority w:val="0"/>
    <w:rPr>
      <w:rFonts w:ascii="Arial" w:hAnsi="Arial" w:eastAsia="黑体"/>
      <w:b/>
      <w:kern w:val="2"/>
      <w:sz w:val="24"/>
      <w:szCs w:val="24"/>
      <w:lang w:val="en-US" w:eastAsia="zh-CN" w:bidi="ar-SA"/>
    </w:rPr>
  </w:style>
  <w:style w:type="character" w:customStyle="1" w:styleId="451">
    <w:name w:val="称呼 字符1"/>
    <w:qFormat/>
    <w:uiPriority w:val="0"/>
    <w:rPr>
      <w:kern w:val="2"/>
      <w:sz w:val="28"/>
      <w:szCs w:val="24"/>
    </w:rPr>
  </w:style>
  <w:style w:type="character" w:customStyle="1" w:styleId="452">
    <w:name w:val="标题 4 字符1"/>
    <w:qFormat/>
    <w:uiPriority w:val="0"/>
    <w:rPr>
      <w:rFonts w:ascii="Arial" w:hAnsi="Arial" w:eastAsia="黑体"/>
      <w:sz w:val="28"/>
      <w:lang w:bidi="ar-SA"/>
    </w:rPr>
  </w:style>
  <w:style w:type="character" w:customStyle="1" w:styleId="453">
    <w:name w:val="标题 2 字符1"/>
    <w:qFormat/>
    <w:uiPriority w:val="0"/>
    <w:rPr>
      <w:rFonts w:ascii="Arial" w:hAnsi="Arial" w:eastAsia="黑体"/>
      <w:b/>
      <w:bCs/>
      <w:sz w:val="32"/>
      <w:szCs w:val="32"/>
      <w:lang w:bidi="ar-SA"/>
    </w:rPr>
  </w:style>
  <w:style w:type="character" w:customStyle="1" w:styleId="454">
    <w:name w:val="尾注文本 字符1"/>
    <w:qFormat/>
    <w:uiPriority w:val="0"/>
    <w:rPr>
      <w:rFonts w:ascii="Calibri" w:hAnsi="Calibri"/>
      <w:kern w:val="2"/>
      <w:sz w:val="21"/>
      <w:szCs w:val="22"/>
    </w:rPr>
  </w:style>
  <w:style w:type="character" w:customStyle="1" w:styleId="455">
    <w:name w:val="正文文本 3 字符1"/>
    <w:qFormat/>
    <w:uiPriority w:val="0"/>
    <w:rPr>
      <w:rFonts w:eastAsia="宋体"/>
      <w:b/>
      <w:bCs/>
      <w:kern w:val="2"/>
      <w:sz w:val="24"/>
      <w:szCs w:val="24"/>
      <w:lang w:val="en-US" w:eastAsia="zh-CN" w:bidi="ar-SA"/>
    </w:rPr>
  </w:style>
  <w:style w:type="character" w:customStyle="1" w:styleId="456">
    <w:name w:val="日期 字符1"/>
    <w:qFormat/>
    <w:uiPriority w:val="0"/>
    <w:rPr>
      <w:rFonts w:ascii="宋体" w:hAnsi="Courier New" w:eastAsia="宋体" w:cs="Courier New"/>
      <w:kern w:val="2"/>
      <w:sz w:val="21"/>
      <w:szCs w:val="21"/>
      <w:lang w:val="en-US" w:eastAsia="zh-CN" w:bidi="ar-SA"/>
    </w:rPr>
  </w:style>
  <w:style w:type="character" w:customStyle="1" w:styleId="457">
    <w:name w:val="批注文字 字符1"/>
    <w:qFormat/>
    <w:uiPriority w:val="0"/>
    <w:rPr>
      <w:rFonts w:eastAsia="宋体"/>
      <w:sz w:val="24"/>
      <w:lang w:bidi="ar-SA"/>
    </w:rPr>
  </w:style>
  <w:style w:type="character" w:customStyle="1" w:styleId="458">
    <w:name w:val="标题 字符1"/>
    <w:qFormat/>
    <w:uiPriority w:val="0"/>
    <w:rPr>
      <w:rFonts w:ascii="Arial" w:hAnsi="Arial" w:eastAsia="宋体"/>
      <w:b/>
      <w:bCs/>
      <w:kern w:val="2"/>
      <w:sz w:val="32"/>
      <w:szCs w:val="32"/>
      <w:lang w:bidi="ar-SA"/>
    </w:rPr>
  </w:style>
  <w:style w:type="character" w:customStyle="1" w:styleId="459">
    <w:name w:val="标题 7 字符1"/>
    <w:qFormat/>
    <w:uiPriority w:val="0"/>
    <w:rPr>
      <w:rFonts w:eastAsia="宋体"/>
      <w:b/>
      <w:kern w:val="2"/>
      <w:sz w:val="24"/>
      <w:szCs w:val="24"/>
      <w:lang w:val="en-US" w:eastAsia="zh-CN" w:bidi="ar-SA"/>
    </w:rPr>
  </w:style>
  <w:style w:type="character" w:customStyle="1" w:styleId="460">
    <w:name w:val="HTML 地址 字符1"/>
    <w:qFormat/>
    <w:uiPriority w:val="0"/>
    <w:rPr>
      <w:rFonts w:ascii="宋体" w:eastAsia="宋体"/>
      <w:i/>
      <w:iCs/>
      <w:kern w:val="21"/>
      <w:sz w:val="21"/>
      <w:szCs w:val="21"/>
      <w:lang w:val="en-US" w:eastAsia="zh-CN" w:bidi="ar-SA"/>
    </w:rPr>
  </w:style>
  <w:style w:type="character" w:customStyle="1" w:styleId="461">
    <w:name w:val="无间隔 字符1"/>
    <w:qFormat/>
    <w:uiPriority w:val="0"/>
    <w:rPr>
      <w:sz w:val="22"/>
      <w:szCs w:val="22"/>
      <w:lang w:val="en-US" w:eastAsia="zh-CN" w:bidi="ar-SA"/>
    </w:rPr>
  </w:style>
  <w:style w:type="character" w:customStyle="1" w:styleId="462">
    <w:name w:val="脚注文本 字符1"/>
    <w:qFormat/>
    <w:uiPriority w:val="0"/>
    <w:rPr>
      <w:rFonts w:ascii="宋体" w:eastAsia="宋体"/>
      <w:kern w:val="21"/>
      <w:sz w:val="18"/>
      <w:szCs w:val="18"/>
      <w:lang w:val="en-US" w:eastAsia="zh-CN" w:bidi="ar-SA"/>
    </w:rPr>
  </w:style>
  <w:style w:type="character" w:customStyle="1" w:styleId="463">
    <w:name w:val="批注文字 字符2"/>
    <w:qFormat/>
    <w:uiPriority w:val="0"/>
    <w:rPr>
      <w:rFonts w:eastAsia="宋体"/>
      <w:sz w:val="24"/>
      <w:lang w:bidi="ar-SA"/>
    </w:rPr>
  </w:style>
  <w:style w:type="character" w:customStyle="1" w:styleId="464">
    <w:name w:val="HTML 预设格式 字符2"/>
    <w:qFormat/>
    <w:uiPriority w:val="0"/>
    <w:rPr>
      <w:rFonts w:ascii="黑体" w:hAnsi="Courier New" w:eastAsia="黑体" w:cs="Courier New"/>
      <w:lang w:val="en-US" w:eastAsia="zh-CN" w:bidi="ar-SA"/>
    </w:rPr>
  </w:style>
  <w:style w:type="character" w:customStyle="1" w:styleId="465">
    <w:name w:val="HTML 地址 字符2"/>
    <w:qFormat/>
    <w:uiPriority w:val="0"/>
    <w:rPr>
      <w:rFonts w:ascii="宋体" w:eastAsia="宋体"/>
      <w:i/>
      <w:iCs/>
      <w:kern w:val="21"/>
      <w:sz w:val="21"/>
      <w:szCs w:val="21"/>
      <w:lang w:val="en-US" w:eastAsia="zh-CN" w:bidi="ar-SA"/>
    </w:rPr>
  </w:style>
  <w:style w:type="character" w:customStyle="1" w:styleId="466">
    <w:name w:val="页脚 字符2"/>
    <w:qFormat/>
    <w:uiPriority w:val="0"/>
    <w:rPr>
      <w:rFonts w:eastAsia="宋体"/>
      <w:kern w:val="2"/>
      <w:sz w:val="18"/>
      <w:szCs w:val="18"/>
      <w:lang w:val="en-US" w:eastAsia="zh-CN" w:bidi="ar-SA"/>
    </w:rPr>
  </w:style>
  <w:style w:type="character" w:customStyle="1" w:styleId="467">
    <w:name w:val="标题 5 字符2"/>
    <w:qFormat/>
    <w:uiPriority w:val="0"/>
    <w:rPr>
      <w:rFonts w:eastAsia="宋体"/>
      <w:b/>
      <w:kern w:val="2"/>
      <w:sz w:val="28"/>
      <w:szCs w:val="24"/>
      <w:lang w:val="en-US" w:eastAsia="zh-CN" w:bidi="ar-SA"/>
    </w:rPr>
  </w:style>
  <w:style w:type="character" w:customStyle="1" w:styleId="468">
    <w:name w:val="标题 8 字符2"/>
    <w:qFormat/>
    <w:uiPriority w:val="0"/>
    <w:rPr>
      <w:rFonts w:ascii="Arial" w:hAnsi="Arial" w:eastAsia="黑体"/>
      <w:kern w:val="2"/>
      <w:sz w:val="24"/>
      <w:szCs w:val="24"/>
      <w:lang w:val="en-US" w:eastAsia="zh-CN" w:bidi="ar-SA"/>
    </w:rPr>
  </w:style>
  <w:style w:type="character" w:customStyle="1" w:styleId="469">
    <w:name w:val="尾注文本 字符2"/>
    <w:qFormat/>
    <w:uiPriority w:val="0"/>
    <w:rPr>
      <w:rFonts w:ascii="Calibri" w:hAnsi="Calibri"/>
      <w:kern w:val="2"/>
      <w:sz w:val="21"/>
      <w:szCs w:val="22"/>
    </w:rPr>
  </w:style>
  <w:style w:type="character" w:customStyle="1" w:styleId="470">
    <w:name w:val="正文文本 2 字符2"/>
    <w:qFormat/>
    <w:uiPriority w:val="0"/>
    <w:rPr>
      <w:rFonts w:eastAsia="宋体"/>
      <w:kern w:val="2"/>
      <w:sz w:val="21"/>
      <w:szCs w:val="24"/>
      <w:lang w:val="en-US" w:eastAsia="zh-CN" w:bidi="ar-SA"/>
    </w:rPr>
  </w:style>
  <w:style w:type="character" w:customStyle="1" w:styleId="471">
    <w:name w:val="标题 1 字符2"/>
    <w:qFormat/>
    <w:uiPriority w:val="0"/>
    <w:rPr>
      <w:rFonts w:eastAsia="宋体"/>
      <w:b/>
      <w:bCs/>
      <w:kern w:val="44"/>
      <w:sz w:val="44"/>
      <w:szCs w:val="44"/>
      <w:lang w:val="en-US" w:eastAsia="zh-CN" w:bidi="ar-SA"/>
    </w:rPr>
  </w:style>
  <w:style w:type="character" w:customStyle="1" w:styleId="472">
    <w:name w:val="标题 9 字符2"/>
    <w:qFormat/>
    <w:uiPriority w:val="0"/>
    <w:rPr>
      <w:rFonts w:ascii="Arial" w:hAnsi="Arial" w:eastAsia="黑体"/>
      <w:kern w:val="2"/>
      <w:sz w:val="21"/>
      <w:szCs w:val="24"/>
      <w:lang w:val="en-US" w:eastAsia="zh-CN" w:bidi="ar-SA"/>
    </w:rPr>
  </w:style>
  <w:style w:type="character" w:customStyle="1" w:styleId="473">
    <w:name w:val="标题 6 字符2"/>
    <w:qFormat/>
    <w:uiPriority w:val="0"/>
    <w:rPr>
      <w:rFonts w:ascii="Arial" w:hAnsi="Arial" w:eastAsia="黑体"/>
      <w:b/>
      <w:kern w:val="2"/>
      <w:sz w:val="24"/>
      <w:szCs w:val="24"/>
      <w:lang w:val="en-US" w:eastAsia="zh-CN" w:bidi="ar-SA"/>
    </w:rPr>
  </w:style>
  <w:style w:type="character" w:customStyle="1" w:styleId="474">
    <w:name w:val="正文文本缩进 3 字符2"/>
    <w:qFormat/>
    <w:uiPriority w:val="0"/>
    <w:rPr>
      <w:rFonts w:eastAsia="宋体"/>
      <w:kern w:val="2"/>
      <w:sz w:val="16"/>
      <w:szCs w:val="16"/>
      <w:lang w:val="en-US" w:eastAsia="zh-CN" w:bidi="ar-SA"/>
    </w:rPr>
  </w:style>
  <w:style w:type="character" w:customStyle="1" w:styleId="475">
    <w:name w:val="标题 4 字符2"/>
    <w:qFormat/>
    <w:uiPriority w:val="0"/>
    <w:rPr>
      <w:rFonts w:ascii="Arial" w:hAnsi="Arial" w:eastAsia="黑体"/>
      <w:sz w:val="28"/>
      <w:lang w:bidi="ar-SA"/>
    </w:rPr>
  </w:style>
  <w:style w:type="character" w:customStyle="1" w:styleId="476">
    <w:name w:val="标题 字符2"/>
    <w:qFormat/>
    <w:uiPriority w:val="0"/>
    <w:rPr>
      <w:rFonts w:ascii="Arial" w:hAnsi="Arial" w:eastAsia="宋体"/>
      <w:b/>
      <w:bCs/>
      <w:kern w:val="2"/>
      <w:sz w:val="32"/>
      <w:szCs w:val="32"/>
      <w:lang w:bidi="ar-SA"/>
    </w:rPr>
  </w:style>
  <w:style w:type="character" w:customStyle="1" w:styleId="477">
    <w:name w:val="文档结构图 字符2"/>
    <w:qFormat/>
    <w:uiPriority w:val="0"/>
    <w:rPr>
      <w:rFonts w:eastAsia="宋体"/>
      <w:kern w:val="2"/>
      <w:sz w:val="21"/>
      <w:szCs w:val="24"/>
      <w:lang w:val="en-US" w:eastAsia="zh-CN" w:bidi="ar-SA"/>
    </w:rPr>
  </w:style>
  <w:style w:type="character" w:customStyle="1" w:styleId="478">
    <w:name w:val="正文文本 3 字符2"/>
    <w:qFormat/>
    <w:uiPriority w:val="0"/>
    <w:rPr>
      <w:rFonts w:eastAsia="宋体"/>
      <w:b/>
      <w:bCs/>
      <w:kern w:val="2"/>
      <w:sz w:val="24"/>
      <w:szCs w:val="24"/>
      <w:lang w:val="en-US" w:eastAsia="zh-CN" w:bidi="ar-SA"/>
    </w:rPr>
  </w:style>
  <w:style w:type="character" w:customStyle="1" w:styleId="479">
    <w:name w:val="正文文本 字符2"/>
    <w:qFormat/>
    <w:uiPriority w:val="0"/>
    <w:rPr>
      <w:rFonts w:eastAsia="宋体"/>
      <w:kern w:val="2"/>
      <w:sz w:val="24"/>
      <w:szCs w:val="24"/>
      <w:lang w:val="en-US" w:eastAsia="zh-CN" w:bidi="ar-SA"/>
    </w:rPr>
  </w:style>
  <w:style w:type="character" w:customStyle="1" w:styleId="480">
    <w:name w:val="无间隔 字符2"/>
    <w:qFormat/>
    <w:uiPriority w:val="0"/>
    <w:rPr>
      <w:sz w:val="22"/>
      <w:szCs w:val="22"/>
      <w:lang w:val="en-US" w:eastAsia="zh-CN" w:bidi="ar-SA"/>
    </w:rPr>
  </w:style>
  <w:style w:type="character" w:customStyle="1" w:styleId="481">
    <w:name w:val="正文文本缩进 字符2"/>
    <w:qFormat/>
    <w:uiPriority w:val="0"/>
    <w:rPr>
      <w:rFonts w:ascii="仿宋_GB2312" w:eastAsia="仿宋_GB2312"/>
      <w:kern w:val="2"/>
      <w:sz w:val="32"/>
      <w:lang w:val="en-US" w:eastAsia="zh-CN" w:bidi="ar-SA"/>
    </w:rPr>
  </w:style>
  <w:style w:type="character" w:customStyle="1" w:styleId="482">
    <w:name w:val="标题 2 字符2"/>
    <w:qFormat/>
    <w:uiPriority w:val="0"/>
    <w:rPr>
      <w:rFonts w:ascii="Arial" w:hAnsi="Arial" w:eastAsia="黑体"/>
      <w:b/>
      <w:bCs/>
      <w:sz w:val="32"/>
      <w:szCs w:val="32"/>
      <w:lang w:bidi="ar-SA"/>
    </w:rPr>
  </w:style>
  <w:style w:type="character" w:customStyle="1" w:styleId="483">
    <w:name w:val="标题 3 字符2"/>
    <w:qFormat/>
    <w:uiPriority w:val="0"/>
    <w:rPr>
      <w:rFonts w:eastAsia="宋体"/>
      <w:b/>
      <w:bCs/>
      <w:sz w:val="32"/>
      <w:szCs w:val="32"/>
      <w:lang w:bidi="ar-SA"/>
    </w:rPr>
  </w:style>
  <w:style w:type="character" w:customStyle="1" w:styleId="484">
    <w:name w:val="标题 7 字符2"/>
    <w:qFormat/>
    <w:uiPriority w:val="0"/>
    <w:rPr>
      <w:rFonts w:eastAsia="宋体"/>
      <w:b/>
      <w:kern w:val="2"/>
      <w:sz w:val="24"/>
      <w:szCs w:val="24"/>
      <w:lang w:val="en-US" w:eastAsia="zh-CN" w:bidi="ar-SA"/>
    </w:rPr>
  </w:style>
  <w:style w:type="character" w:customStyle="1" w:styleId="485">
    <w:name w:val="正文文本缩进 2 字符2"/>
    <w:qFormat/>
    <w:uiPriority w:val="0"/>
    <w:rPr>
      <w:rFonts w:eastAsia="宋体"/>
      <w:kern w:val="2"/>
      <w:sz w:val="32"/>
      <w:lang w:val="en-US" w:eastAsia="zh-CN" w:bidi="ar-SA"/>
    </w:rPr>
  </w:style>
  <w:style w:type="character" w:customStyle="1" w:styleId="486">
    <w:name w:val="称呼 字符2"/>
    <w:qFormat/>
    <w:uiPriority w:val="0"/>
    <w:rPr>
      <w:kern w:val="2"/>
      <w:sz w:val="28"/>
      <w:szCs w:val="24"/>
    </w:rPr>
  </w:style>
  <w:style w:type="character" w:customStyle="1" w:styleId="487">
    <w:name w:val="纯文本 字符3"/>
    <w:qFormat/>
    <w:uiPriority w:val="0"/>
    <w:rPr>
      <w:rFonts w:ascii="宋体" w:hAnsi="Courier New" w:eastAsia="宋体" w:cs="Courier New"/>
      <w:kern w:val="2"/>
      <w:sz w:val="21"/>
      <w:szCs w:val="21"/>
      <w:lang w:val="en-US" w:eastAsia="zh-CN" w:bidi="ar-SA"/>
    </w:rPr>
  </w:style>
  <w:style w:type="character" w:customStyle="1" w:styleId="488">
    <w:name w:val="日期 字符2"/>
    <w:qFormat/>
    <w:uiPriority w:val="0"/>
    <w:rPr>
      <w:rFonts w:ascii="宋体" w:hAnsi="Courier New" w:eastAsia="宋体" w:cs="Courier New"/>
      <w:kern w:val="2"/>
      <w:sz w:val="21"/>
      <w:szCs w:val="21"/>
      <w:lang w:val="en-US" w:eastAsia="zh-CN" w:bidi="ar-SA"/>
    </w:rPr>
  </w:style>
  <w:style w:type="character" w:customStyle="1" w:styleId="489">
    <w:name w:val="页眉 字符2"/>
    <w:qFormat/>
    <w:uiPriority w:val="0"/>
    <w:rPr>
      <w:rFonts w:eastAsia="宋体"/>
      <w:kern w:val="2"/>
      <w:sz w:val="18"/>
      <w:szCs w:val="18"/>
      <w:lang w:val="en-US" w:eastAsia="zh-CN" w:bidi="ar-SA"/>
    </w:rPr>
  </w:style>
  <w:style w:type="character" w:customStyle="1" w:styleId="490">
    <w:name w:val="脚注文本 字符2"/>
    <w:qFormat/>
    <w:uiPriority w:val="0"/>
    <w:rPr>
      <w:rFonts w:ascii="宋体" w:eastAsia="宋体"/>
      <w:kern w:val="21"/>
      <w:sz w:val="18"/>
      <w:szCs w:val="18"/>
      <w:lang w:val="en-US" w:eastAsia="zh-CN" w:bidi="ar-SA"/>
    </w:rPr>
  </w:style>
  <w:style w:type="character" w:customStyle="1" w:styleId="491">
    <w:name w:val=" Char Char39"/>
    <w:qFormat/>
    <w:uiPriority w:val="0"/>
    <w:rPr>
      <w:rFonts w:eastAsia="宋体"/>
      <w:b/>
      <w:bCs/>
      <w:kern w:val="44"/>
      <w:sz w:val="44"/>
      <w:szCs w:val="44"/>
      <w:lang w:val="en-US" w:eastAsia="zh-CN" w:bidi="ar-SA"/>
    </w:rPr>
  </w:style>
  <w:style w:type="character" w:customStyle="1" w:styleId="492">
    <w:name w:val=" Char Char38"/>
    <w:qFormat/>
    <w:uiPriority w:val="0"/>
    <w:rPr>
      <w:rFonts w:ascii="Arial" w:hAnsi="Arial" w:eastAsia="黑体"/>
      <w:b/>
      <w:bCs/>
      <w:sz w:val="32"/>
      <w:szCs w:val="32"/>
      <w:lang w:bidi="ar-SA"/>
    </w:rPr>
  </w:style>
  <w:style w:type="character" w:customStyle="1" w:styleId="493">
    <w:name w:val="无间隔 字符3"/>
    <w:qFormat/>
    <w:uiPriority w:val="0"/>
    <w:rPr>
      <w:sz w:val="22"/>
      <w:szCs w:val="22"/>
      <w:lang w:val="en-US" w:eastAsia="zh-CN" w:bidi="ar-SA"/>
    </w:rPr>
  </w:style>
  <w:style w:type="character" w:customStyle="1" w:styleId="494">
    <w:name w:val="普通文字 Char Char6"/>
    <w:qFormat/>
    <w:uiPriority w:val="0"/>
    <w:rPr>
      <w:rFonts w:ascii="宋体" w:hAnsi="Courier New" w:eastAsia="宋体" w:cs="Courier New"/>
      <w:kern w:val="2"/>
      <w:sz w:val="21"/>
      <w:szCs w:val="21"/>
      <w:lang w:val="en-US" w:eastAsia="zh-CN" w:bidi="ar-SA"/>
    </w:rPr>
  </w:style>
  <w:style w:type="character" w:customStyle="1" w:styleId="495">
    <w:name w:val="页脚 Char2"/>
    <w:qFormat/>
    <w:uiPriority w:val="0"/>
    <w:rPr>
      <w:rFonts w:hint="eastAsia" w:ascii="宋体" w:hAnsi="宋体" w:eastAsia="宋体"/>
      <w:kern w:val="2"/>
      <w:sz w:val="18"/>
      <w:szCs w:val="18"/>
    </w:rPr>
  </w:style>
  <w:style w:type="character" w:customStyle="1" w:styleId="496">
    <w:name w:val="font61"/>
    <w:basedOn w:val="55"/>
    <w:qFormat/>
    <w:uiPriority w:val="0"/>
    <w:rPr>
      <w:rFonts w:hint="eastAsia" w:ascii="宋体" w:hAnsi="宋体" w:eastAsia="宋体" w:cs="宋体"/>
      <w:color w:val="000000"/>
      <w:sz w:val="21"/>
      <w:szCs w:val="21"/>
      <w:u w:val="none"/>
    </w:rPr>
  </w:style>
  <w:style w:type="character" w:customStyle="1" w:styleId="497">
    <w:name w:val="font101"/>
    <w:basedOn w:val="55"/>
    <w:qFormat/>
    <w:uiPriority w:val="0"/>
    <w:rPr>
      <w:rFonts w:hint="eastAsia" w:ascii="宋体" w:hAnsi="宋体" w:eastAsia="宋体" w:cs="宋体"/>
      <w:color w:val="000000"/>
      <w:sz w:val="21"/>
      <w:szCs w:val="21"/>
      <w:u w:val="none"/>
    </w:rPr>
  </w:style>
  <w:style w:type="table" w:customStyle="1" w:styleId="498">
    <w:name w:val="Colorful List Accent 1_a6007646-8dc9-400a-9443-839d67a7769f"/>
    <w:qFormat/>
    <w:uiPriority w:val="0"/>
    <w:rPr>
      <w:rFonts w:ascii="Calibri" w:hAnsi="Calibri"/>
      <w:sz w:val="24"/>
      <w:szCs w:val="24"/>
      <w:lang w:val="en-US" w:eastAsia="en-US" w:bidi="ar-SA"/>
    </w:rPr>
    <w:tblPr>
      <w:tblCellMar>
        <w:top w:w="0" w:type="dxa"/>
        <w:left w:w="108" w:type="dxa"/>
        <w:bottom w:w="0" w:type="dxa"/>
        <w:right w:w="108" w:type="dxa"/>
      </w:tblCellMar>
    </w:tblPr>
    <w:tcPr>
      <w:shd w:val="clear" w:color="auto" w:fill="EDF2F8"/>
    </w:tcPr>
  </w:style>
  <w:style w:type="character" w:customStyle="1" w:styleId="499">
    <w:name w:val="Body Text Char1"/>
    <w:qFormat/>
    <w:uiPriority w:val="0"/>
    <w:rPr>
      <w:rFonts w:eastAsia="宋体"/>
      <w:kern w:val="2"/>
      <w:sz w:val="24"/>
      <w:lang w:val="en-US" w:eastAsia="zh-CN"/>
    </w:rPr>
  </w:style>
  <w:style w:type="character" w:customStyle="1" w:styleId="500">
    <w:name w:val="Heading 1 Char1"/>
    <w:qFormat/>
    <w:uiPriority w:val="0"/>
    <w:rPr>
      <w:rFonts w:eastAsia="宋体"/>
      <w:b/>
      <w:kern w:val="44"/>
      <w:sz w:val="44"/>
      <w:lang w:val="en-US" w:eastAsia="zh-CN"/>
    </w:rPr>
  </w:style>
  <w:style w:type="character" w:customStyle="1" w:styleId="501">
    <w:name w:val="Heading 2 Char1"/>
    <w:qFormat/>
    <w:uiPriority w:val="0"/>
    <w:rPr>
      <w:rFonts w:ascii="Arial" w:hAnsi="Arial" w:eastAsia="黑体"/>
      <w:b/>
      <w:sz w:val="32"/>
    </w:rPr>
  </w:style>
  <w:style w:type="character" w:customStyle="1" w:styleId="502">
    <w:name w:val="Heading 3 Char1"/>
    <w:qFormat/>
    <w:uiPriority w:val="0"/>
    <w:rPr>
      <w:rFonts w:eastAsia="宋体"/>
      <w:b/>
      <w:sz w:val="32"/>
    </w:rPr>
  </w:style>
  <w:style w:type="character" w:customStyle="1" w:styleId="503">
    <w:name w:val="Heading 4 Char1"/>
    <w:qFormat/>
    <w:uiPriority w:val="0"/>
    <w:rPr>
      <w:rFonts w:ascii="Arial" w:hAnsi="Arial" w:eastAsia="黑体"/>
      <w:sz w:val="28"/>
    </w:rPr>
  </w:style>
  <w:style w:type="character" w:customStyle="1" w:styleId="504">
    <w:name w:val="Heading 5 Char1"/>
    <w:qFormat/>
    <w:uiPriority w:val="0"/>
    <w:rPr>
      <w:rFonts w:eastAsia="宋体"/>
      <w:b/>
      <w:kern w:val="2"/>
      <w:sz w:val="24"/>
      <w:lang w:val="en-US" w:eastAsia="zh-CN"/>
    </w:rPr>
  </w:style>
  <w:style w:type="character" w:customStyle="1" w:styleId="505">
    <w:name w:val="Heading 6 Char1"/>
    <w:qFormat/>
    <w:uiPriority w:val="0"/>
    <w:rPr>
      <w:rFonts w:ascii="Arial" w:hAnsi="Arial" w:eastAsia="黑体"/>
      <w:b/>
      <w:kern w:val="2"/>
      <w:sz w:val="24"/>
      <w:lang w:val="en-US" w:eastAsia="zh-CN"/>
    </w:rPr>
  </w:style>
  <w:style w:type="character" w:customStyle="1" w:styleId="506">
    <w:name w:val="Heading 7 Char1"/>
    <w:qFormat/>
    <w:uiPriority w:val="0"/>
    <w:rPr>
      <w:rFonts w:eastAsia="宋体"/>
      <w:b/>
      <w:kern w:val="2"/>
      <w:sz w:val="24"/>
      <w:lang w:val="en-US" w:eastAsia="zh-CN"/>
    </w:rPr>
  </w:style>
  <w:style w:type="character" w:customStyle="1" w:styleId="507">
    <w:name w:val="Heading 8 Char1"/>
    <w:qFormat/>
    <w:uiPriority w:val="0"/>
    <w:rPr>
      <w:rFonts w:ascii="Arial" w:hAnsi="Arial" w:eastAsia="黑体"/>
      <w:kern w:val="2"/>
      <w:sz w:val="24"/>
      <w:lang w:val="en-US" w:eastAsia="zh-CN"/>
    </w:rPr>
  </w:style>
  <w:style w:type="character" w:customStyle="1" w:styleId="508">
    <w:name w:val="Heading 9 Char1"/>
    <w:qFormat/>
    <w:uiPriority w:val="0"/>
    <w:rPr>
      <w:rFonts w:ascii="Arial" w:hAnsi="Arial" w:eastAsia="黑体"/>
      <w:kern w:val="2"/>
      <w:sz w:val="24"/>
      <w:lang w:val="en-US" w:eastAsia="zh-CN"/>
    </w:rPr>
  </w:style>
  <w:style w:type="character" w:customStyle="1" w:styleId="509">
    <w:name w:val="Document Map Char1"/>
    <w:qFormat/>
    <w:uiPriority w:val="0"/>
    <w:rPr>
      <w:rFonts w:eastAsia="宋体"/>
      <w:kern w:val="2"/>
      <w:sz w:val="24"/>
      <w:lang w:val="en-US" w:eastAsia="zh-CN"/>
    </w:rPr>
  </w:style>
  <w:style w:type="character" w:customStyle="1" w:styleId="510">
    <w:name w:val="Comment Text Char"/>
    <w:qFormat/>
    <w:uiPriority w:val="0"/>
    <w:rPr>
      <w:rFonts w:eastAsia="宋体"/>
      <w:sz w:val="24"/>
    </w:rPr>
  </w:style>
  <w:style w:type="character" w:customStyle="1" w:styleId="511">
    <w:name w:val="Salutation Char"/>
    <w:qFormat/>
    <w:uiPriority w:val="0"/>
    <w:rPr>
      <w:kern w:val="2"/>
      <w:sz w:val="24"/>
    </w:rPr>
  </w:style>
  <w:style w:type="character" w:customStyle="1" w:styleId="512">
    <w:name w:val="Body Text 3 Char"/>
    <w:qFormat/>
    <w:uiPriority w:val="0"/>
    <w:rPr>
      <w:rFonts w:eastAsia="宋体"/>
      <w:b/>
      <w:kern w:val="2"/>
      <w:sz w:val="24"/>
      <w:lang w:val="en-US" w:eastAsia="zh-CN"/>
    </w:rPr>
  </w:style>
  <w:style w:type="character" w:customStyle="1" w:styleId="513">
    <w:name w:val="Body Text Indent Char"/>
    <w:qFormat/>
    <w:uiPriority w:val="0"/>
    <w:rPr>
      <w:rFonts w:ascii="仿宋_GB2312" w:eastAsia="仿宋_GB2312"/>
      <w:kern w:val="2"/>
      <w:sz w:val="32"/>
      <w:lang w:val="en-US" w:eastAsia="zh-CN"/>
    </w:rPr>
  </w:style>
  <w:style w:type="character" w:customStyle="1" w:styleId="514">
    <w:name w:val="Plain Text Char1"/>
    <w:qFormat/>
    <w:uiPriority w:val="0"/>
    <w:rPr>
      <w:rFonts w:ascii="宋体" w:hAnsi="Courier New" w:eastAsia="宋体"/>
      <w:kern w:val="2"/>
      <w:sz w:val="21"/>
      <w:lang w:val="en-US" w:eastAsia="zh-CN"/>
    </w:rPr>
  </w:style>
  <w:style w:type="character" w:customStyle="1" w:styleId="515">
    <w:name w:val="Date Char1"/>
    <w:qFormat/>
    <w:uiPriority w:val="0"/>
    <w:rPr>
      <w:rFonts w:ascii="宋体" w:hAnsi="Courier New" w:eastAsia="宋体"/>
      <w:kern w:val="2"/>
      <w:sz w:val="21"/>
      <w:lang w:val="en-US" w:eastAsia="zh-CN"/>
    </w:rPr>
  </w:style>
  <w:style w:type="character" w:customStyle="1" w:styleId="516">
    <w:name w:val="Body Text Indent 2 Char"/>
    <w:qFormat/>
    <w:uiPriority w:val="0"/>
    <w:rPr>
      <w:rFonts w:eastAsia="宋体"/>
      <w:kern w:val="2"/>
      <w:sz w:val="32"/>
      <w:lang w:val="en-US" w:eastAsia="zh-CN"/>
    </w:rPr>
  </w:style>
  <w:style w:type="character" w:customStyle="1" w:styleId="517">
    <w:name w:val="Endnote Text Char"/>
    <w:qFormat/>
    <w:uiPriority w:val="0"/>
    <w:rPr>
      <w:rFonts w:ascii="Calibri" w:hAnsi="Calibri"/>
      <w:kern w:val="2"/>
      <w:sz w:val="22"/>
    </w:rPr>
  </w:style>
  <w:style w:type="character" w:customStyle="1" w:styleId="518">
    <w:name w:val="Balloon Text Char1"/>
    <w:qFormat/>
    <w:uiPriority w:val="0"/>
    <w:rPr>
      <w:rFonts w:eastAsia="宋体"/>
      <w:kern w:val="2"/>
      <w:sz w:val="18"/>
      <w:lang w:val="en-US" w:eastAsia="zh-CN"/>
    </w:rPr>
  </w:style>
  <w:style w:type="character" w:customStyle="1" w:styleId="519">
    <w:name w:val="Footer Char1"/>
    <w:qFormat/>
    <w:uiPriority w:val="0"/>
    <w:rPr>
      <w:rFonts w:eastAsia="宋体"/>
      <w:kern w:val="2"/>
      <w:sz w:val="18"/>
      <w:lang w:val="en-US" w:eastAsia="zh-CN"/>
    </w:rPr>
  </w:style>
  <w:style w:type="character" w:customStyle="1" w:styleId="520">
    <w:name w:val="Header Char1"/>
    <w:qFormat/>
    <w:uiPriority w:val="0"/>
    <w:rPr>
      <w:rFonts w:eastAsia="宋体"/>
      <w:kern w:val="2"/>
      <w:sz w:val="18"/>
      <w:lang w:val="en-US" w:eastAsia="zh-CN"/>
    </w:rPr>
  </w:style>
  <w:style w:type="character" w:customStyle="1" w:styleId="521">
    <w:name w:val="Body Text Indent 3 Char"/>
    <w:qFormat/>
    <w:uiPriority w:val="0"/>
    <w:rPr>
      <w:rFonts w:eastAsia="宋体"/>
      <w:kern w:val="2"/>
      <w:sz w:val="16"/>
      <w:lang w:val="en-US" w:eastAsia="zh-CN"/>
    </w:rPr>
  </w:style>
  <w:style w:type="character" w:customStyle="1" w:styleId="522">
    <w:name w:val="Body Text 2 Char"/>
    <w:qFormat/>
    <w:uiPriority w:val="0"/>
    <w:rPr>
      <w:rFonts w:eastAsia="宋体"/>
      <w:kern w:val="2"/>
      <w:sz w:val="24"/>
      <w:lang w:val="en-US" w:eastAsia="zh-CN"/>
    </w:rPr>
  </w:style>
  <w:style w:type="character" w:customStyle="1" w:styleId="523">
    <w:name w:val="HTML Preformatted Char1"/>
    <w:qFormat/>
    <w:uiPriority w:val="0"/>
    <w:rPr>
      <w:rFonts w:ascii="黑体" w:hAnsi="Courier New" w:eastAsia="黑体"/>
      <w:lang w:val="en-US" w:eastAsia="zh-CN"/>
    </w:rPr>
  </w:style>
  <w:style w:type="character" w:customStyle="1" w:styleId="524">
    <w:name w:val="Title Char1"/>
    <w:qFormat/>
    <w:uiPriority w:val="0"/>
    <w:rPr>
      <w:rFonts w:ascii="Arial" w:hAnsi="Arial" w:eastAsia="宋体"/>
      <w:b/>
      <w:kern w:val="2"/>
      <w:sz w:val="32"/>
    </w:rPr>
  </w:style>
  <w:style w:type="character" w:customStyle="1" w:styleId="525">
    <w:name w:val="Comment Subject Char"/>
    <w:qFormat/>
    <w:uiPriority w:val="0"/>
    <w:rPr>
      <w:b/>
      <w:kern w:val="2"/>
      <w:sz w:val="24"/>
    </w:rPr>
  </w:style>
  <w:style w:type="character" w:customStyle="1" w:styleId="526">
    <w:name w:val="Char Char101"/>
    <w:qFormat/>
    <w:uiPriority w:val="0"/>
    <w:rPr>
      <w:rFonts w:eastAsia="宋体"/>
      <w:kern w:val="2"/>
      <w:sz w:val="24"/>
      <w:lang w:val="en-US" w:eastAsia="zh-CN"/>
    </w:rPr>
  </w:style>
  <w:style w:type="character" w:customStyle="1" w:styleId="527">
    <w:name w:val="Char Char141"/>
    <w:qFormat/>
    <w:uiPriority w:val="0"/>
    <w:rPr>
      <w:sz w:val="18"/>
    </w:rPr>
  </w:style>
  <w:style w:type="character" w:customStyle="1" w:styleId="528">
    <w:name w:val="Char Char Char Char Char1"/>
    <w:qFormat/>
    <w:uiPriority w:val="0"/>
    <w:rPr>
      <w:rFonts w:eastAsia="宋体"/>
      <w:b/>
      <w:kern w:val="44"/>
      <w:sz w:val="44"/>
      <w:lang w:val="en-US" w:eastAsia="zh-CN"/>
    </w:rPr>
  </w:style>
  <w:style w:type="character" w:customStyle="1" w:styleId="529">
    <w:name w:val="Char Char231"/>
    <w:qFormat/>
    <w:uiPriority w:val="0"/>
    <w:rPr>
      <w:rFonts w:ascii="Times New Roman" w:hAnsi="Times New Roman" w:eastAsia="宋体"/>
      <w:b/>
      <w:kern w:val="44"/>
      <w:sz w:val="44"/>
    </w:rPr>
  </w:style>
  <w:style w:type="character" w:customStyle="1" w:styleId="530">
    <w:name w:val="Char Char151"/>
    <w:qFormat/>
    <w:uiPriority w:val="0"/>
    <w:rPr>
      <w:sz w:val="18"/>
    </w:rPr>
  </w:style>
  <w:style w:type="paragraph" w:customStyle="1" w:styleId="531">
    <w:name w:val="Char Char112"/>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32">
    <w:name w:val="纯文本11"/>
    <w:basedOn w:val="1"/>
    <w:qFormat/>
    <w:uiPriority w:val="0"/>
    <w:rPr>
      <w:rFonts w:ascii="宋体"/>
      <w:szCs w:val="21"/>
    </w:rPr>
  </w:style>
  <w:style w:type="paragraph" w:customStyle="1" w:styleId="533">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34">
    <w:name w:val="修订1"/>
    <w:qFormat/>
    <w:uiPriority w:val="0"/>
    <w:rPr>
      <w:rFonts w:ascii="Times New Roman" w:hAnsi="Times New Roman" w:eastAsia="宋体" w:cs="Times New Roman"/>
      <w:kern w:val="2"/>
      <w:sz w:val="21"/>
      <w:szCs w:val="24"/>
      <w:lang w:val="en-US" w:eastAsia="zh-CN" w:bidi="ar-SA"/>
    </w:rPr>
  </w:style>
  <w:style w:type="paragraph" w:customStyle="1" w:styleId="535">
    <w:name w:val="Char Char19 Char Char Char Char1"/>
    <w:basedOn w:val="16"/>
    <w:qFormat/>
    <w:uiPriority w:val="0"/>
    <w:pPr>
      <w:widowControl/>
      <w:ind w:firstLine="454"/>
      <w:jc w:val="left"/>
    </w:pPr>
  </w:style>
  <w:style w:type="paragraph" w:customStyle="1" w:styleId="536">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7">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38">
    <w:name w:val="Char3"/>
    <w:basedOn w:val="16"/>
    <w:qFormat/>
    <w:uiPriority w:val="0"/>
    <w:pPr>
      <w:widowControl/>
      <w:ind w:firstLine="454"/>
      <w:jc w:val="left"/>
    </w:pPr>
    <w:rPr>
      <w:rFonts w:ascii="Tahoma" w:hAnsi="Tahoma" w:cs="宋体"/>
      <w:kern w:val="0"/>
      <w:sz w:val="24"/>
      <w:szCs w:val="20"/>
    </w:rPr>
  </w:style>
  <w:style w:type="paragraph" w:customStyle="1" w:styleId="539">
    <w:name w:val="Char Char1 Char Char Char Char2"/>
    <w:basedOn w:val="16"/>
    <w:qFormat/>
    <w:uiPriority w:val="0"/>
    <w:rPr>
      <w:rFonts w:ascii="Tahoma" w:hAnsi="Tahoma"/>
      <w:sz w:val="24"/>
    </w:rPr>
  </w:style>
  <w:style w:type="paragraph" w:customStyle="1" w:styleId="540">
    <w:name w:val="Char Char Char Char Char Char1 Char2"/>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541">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542">
    <w:name w:val="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43">
    <w:name w:val="Char13"/>
    <w:basedOn w:val="1"/>
    <w:qFormat/>
    <w:uiPriority w:val="0"/>
    <w:rPr>
      <w:szCs w:val="21"/>
    </w:rPr>
  </w:style>
  <w:style w:type="paragraph" w:customStyle="1" w:styleId="544">
    <w:name w:val="列出段落4"/>
    <w:basedOn w:val="1"/>
    <w:qFormat/>
    <w:uiPriority w:val="0"/>
    <w:pPr>
      <w:ind w:firstLine="420" w:firstLineChars="200"/>
    </w:pPr>
    <w:rPr>
      <w:rFonts w:ascii="Calibri" w:hAnsi="Calibri"/>
      <w:szCs w:val="22"/>
    </w:rPr>
  </w:style>
  <w:style w:type="paragraph" w:customStyle="1" w:styleId="545">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6">
    <w:name w:val="Char Char9 Char Char Char Char2"/>
    <w:basedOn w:val="1"/>
    <w:qFormat/>
    <w:uiPriority w:val="0"/>
    <w:pPr>
      <w:widowControl/>
      <w:spacing w:after="160" w:line="240" w:lineRule="exact"/>
      <w:jc w:val="left"/>
    </w:pPr>
  </w:style>
  <w:style w:type="character" w:customStyle="1" w:styleId="547">
    <w:name w:val="Char Char33"/>
    <w:qFormat/>
    <w:uiPriority w:val="0"/>
    <w:rPr>
      <w:rFonts w:eastAsia="宋体"/>
      <w:b/>
      <w:kern w:val="44"/>
      <w:sz w:val="44"/>
      <w:lang w:val="en-US" w:eastAsia="zh-CN"/>
    </w:rPr>
  </w:style>
  <w:style w:type="character" w:customStyle="1" w:styleId="548">
    <w:name w:val="Char Char32"/>
    <w:qFormat/>
    <w:uiPriority w:val="0"/>
    <w:rPr>
      <w:rFonts w:ascii="Arial" w:hAnsi="Arial" w:eastAsia="黑体"/>
      <w:b/>
      <w:sz w:val="32"/>
    </w:rPr>
  </w:style>
  <w:style w:type="character" w:customStyle="1" w:styleId="549">
    <w:name w:val="Char Char35"/>
    <w:qFormat/>
    <w:uiPriority w:val="0"/>
    <w:rPr>
      <w:rFonts w:eastAsia="宋体"/>
      <w:b/>
      <w:kern w:val="44"/>
      <w:sz w:val="44"/>
      <w:lang w:val="en-US" w:eastAsia="zh-CN"/>
    </w:rPr>
  </w:style>
  <w:style w:type="character" w:customStyle="1" w:styleId="550">
    <w:name w:val="Char Char34"/>
    <w:qFormat/>
    <w:uiPriority w:val="0"/>
    <w:rPr>
      <w:rFonts w:ascii="Arial" w:hAnsi="Arial" w:eastAsia="黑体"/>
      <w:b/>
      <w:sz w:val="32"/>
    </w:rPr>
  </w:style>
  <w:style w:type="character" w:customStyle="1" w:styleId="551">
    <w:name w:val="Char Char37"/>
    <w:qFormat/>
    <w:uiPriority w:val="0"/>
    <w:rPr>
      <w:rFonts w:eastAsia="宋体"/>
      <w:b/>
      <w:kern w:val="44"/>
      <w:sz w:val="44"/>
      <w:lang w:val="en-US" w:eastAsia="zh-CN"/>
    </w:rPr>
  </w:style>
  <w:style w:type="character" w:customStyle="1" w:styleId="552">
    <w:name w:val="Char Char36"/>
    <w:qFormat/>
    <w:uiPriority w:val="0"/>
    <w:rPr>
      <w:rFonts w:ascii="Arial" w:hAnsi="Arial" w:eastAsia="黑体"/>
      <w:b/>
      <w:sz w:val="32"/>
    </w:rPr>
  </w:style>
  <w:style w:type="character" w:customStyle="1" w:styleId="553">
    <w:name w:val="Char Char39"/>
    <w:qFormat/>
    <w:uiPriority w:val="0"/>
    <w:rPr>
      <w:rFonts w:eastAsia="宋体"/>
      <w:b/>
      <w:kern w:val="44"/>
      <w:sz w:val="44"/>
      <w:lang w:val="en-US" w:eastAsia="zh-CN"/>
    </w:rPr>
  </w:style>
  <w:style w:type="character" w:customStyle="1" w:styleId="554">
    <w:name w:val="Char Char38"/>
    <w:qFormat/>
    <w:uiPriority w:val="0"/>
    <w:rPr>
      <w:rFonts w:ascii="Arial" w:hAnsi="Arial" w:eastAsia="黑体"/>
      <w:b/>
      <w:sz w:val="32"/>
    </w:rPr>
  </w:style>
  <w:style w:type="paragraph" w:customStyle="1" w:styleId="555">
    <w:name w:val="_Style 49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6">
    <w:name w:val=" Char Char42"/>
    <w:qFormat/>
    <w:uiPriority w:val="0"/>
    <w:rPr>
      <w:rFonts w:eastAsia="宋体"/>
      <w:b/>
      <w:bCs/>
      <w:kern w:val="44"/>
      <w:sz w:val="44"/>
      <w:szCs w:val="44"/>
      <w:lang w:val="en-US" w:eastAsia="zh-CN" w:bidi="ar-SA"/>
    </w:rPr>
  </w:style>
  <w:style w:type="character" w:customStyle="1" w:styleId="557">
    <w:name w:val=" Char Char41"/>
    <w:qFormat/>
    <w:uiPriority w:val="0"/>
    <w:rPr>
      <w:rFonts w:ascii="Arial" w:hAnsi="Arial" w:eastAsia="黑体"/>
      <w:b/>
      <w:bCs/>
      <w:sz w:val="32"/>
      <w:szCs w:val="32"/>
      <w:lang w:bidi="ar-SA"/>
    </w:rPr>
  </w:style>
  <w:style w:type="character" w:customStyle="1" w:styleId="558">
    <w:name w:val=" Char Char40"/>
    <w:qFormat/>
    <w:uiPriority w:val="0"/>
    <w:rPr>
      <w:rFonts w:eastAsia="宋体"/>
      <w:b/>
      <w:bCs/>
      <w:sz w:val="32"/>
      <w:szCs w:val="32"/>
      <w:lang w:bidi="ar-SA"/>
    </w:rPr>
  </w:style>
  <w:style w:type="character" w:customStyle="1" w:styleId="559">
    <w:name w:val=" Char Char45"/>
    <w:qFormat/>
    <w:uiPriority w:val="0"/>
    <w:rPr>
      <w:rFonts w:eastAsia="宋体"/>
      <w:b/>
      <w:bCs/>
      <w:kern w:val="44"/>
      <w:sz w:val="44"/>
      <w:szCs w:val="44"/>
      <w:lang w:val="en-US" w:eastAsia="zh-CN" w:bidi="ar-SA"/>
    </w:rPr>
  </w:style>
  <w:style w:type="character" w:customStyle="1" w:styleId="560">
    <w:name w:val=" Char Char44"/>
    <w:qFormat/>
    <w:uiPriority w:val="0"/>
    <w:rPr>
      <w:rFonts w:ascii="Arial" w:hAnsi="Arial" w:eastAsia="黑体"/>
      <w:b/>
      <w:bCs/>
      <w:sz w:val="32"/>
      <w:szCs w:val="32"/>
      <w:lang w:bidi="ar-SA"/>
    </w:rPr>
  </w:style>
  <w:style w:type="character" w:customStyle="1" w:styleId="561">
    <w:name w:val=" Char Char43"/>
    <w:qFormat/>
    <w:uiPriority w:val="0"/>
    <w:rPr>
      <w:rFonts w:eastAsia="宋体"/>
      <w:b/>
      <w:bCs/>
      <w:sz w:val="32"/>
      <w:szCs w:val="32"/>
      <w:lang w:bidi="ar-SA"/>
    </w:rPr>
  </w:style>
  <w:style w:type="table" w:customStyle="1" w:styleId="562">
    <w:name w:val="彩色列表 - 强调文字颜色 111"/>
    <w:basedOn w:val="53"/>
    <w:qFormat/>
    <w:uiPriority w:val="0"/>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563">
    <w:name w:val=" Char Char48"/>
    <w:qFormat/>
    <w:uiPriority w:val="0"/>
    <w:rPr>
      <w:rFonts w:eastAsia="宋体"/>
      <w:b/>
      <w:bCs/>
      <w:kern w:val="44"/>
      <w:sz w:val="44"/>
      <w:szCs w:val="44"/>
      <w:lang w:val="en-US" w:eastAsia="zh-CN" w:bidi="ar-SA"/>
    </w:rPr>
  </w:style>
  <w:style w:type="character" w:customStyle="1" w:styleId="564">
    <w:name w:val=" Char Char47"/>
    <w:qFormat/>
    <w:uiPriority w:val="0"/>
    <w:rPr>
      <w:rFonts w:ascii="Arial" w:hAnsi="Arial" w:eastAsia="黑体"/>
      <w:b/>
      <w:bCs/>
      <w:sz w:val="32"/>
      <w:szCs w:val="32"/>
      <w:lang w:bidi="ar-SA"/>
    </w:rPr>
  </w:style>
  <w:style w:type="character" w:customStyle="1" w:styleId="565">
    <w:name w:val=" Char Char46"/>
    <w:qFormat/>
    <w:uiPriority w:val="0"/>
    <w:rPr>
      <w:rFonts w:eastAsia="宋体"/>
      <w:b/>
      <w:bCs/>
      <w:sz w:val="32"/>
      <w:szCs w:val="32"/>
      <w:lang w:bidi="ar-SA"/>
    </w:rPr>
  </w:style>
  <w:style w:type="character" w:customStyle="1" w:styleId="566">
    <w:name w:val="普通文字 Char Char3"/>
    <w:qFormat/>
    <w:uiPriority w:val="0"/>
    <w:rPr>
      <w:rFonts w:ascii="宋体" w:hAnsi="Courier New" w:eastAsia="宋体" w:cs="Courier New"/>
      <w:kern w:val="2"/>
      <w:sz w:val="21"/>
      <w:szCs w:val="21"/>
      <w:lang w:val="en-US" w:eastAsia="zh-CN" w:bidi="ar-SA"/>
    </w:rPr>
  </w:style>
  <w:style w:type="character" w:customStyle="1" w:styleId="567">
    <w:name w:val="普通文字 Char Char5"/>
    <w:qFormat/>
    <w:uiPriority w:val="0"/>
    <w:rPr>
      <w:rFonts w:ascii="宋体" w:hAnsi="Courier New" w:eastAsia="宋体" w:cs="Courier New"/>
      <w:kern w:val="2"/>
      <w:sz w:val="21"/>
      <w:szCs w:val="21"/>
      <w:lang w:val="en-US" w:eastAsia="zh-CN" w:bidi="ar-SA"/>
    </w:rPr>
  </w:style>
  <w:style w:type="paragraph" w:customStyle="1" w:styleId="568">
    <w:name w:val="首行缩进"/>
    <w:basedOn w:val="1"/>
    <w:qFormat/>
    <w:uiPriority w:val="0"/>
    <w:pPr>
      <w:ind w:firstLine="480" w:firstLineChars="200"/>
    </w:pPr>
    <w:rPr>
      <w:sz w:val="24"/>
    </w:rPr>
  </w:style>
  <w:style w:type="paragraph" w:customStyle="1" w:styleId="569">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70">
    <w:name w:val="称呼 字符3"/>
    <w:qFormat/>
    <w:uiPriority w:val="0"/>
    <w:rPr>
      <w:kern w:val="2"/>
      <w:sz w:val="28"/>
      <w:szCs w:val="24"/>
    </w:rPr>
  </w:style>
  <w:style w:type="character" w:customStyle="1" w:styleId="571">
    <w:name w:val="批注文字 字符3"/>
    <w:qFormat/>
    <w:uiPriority w:val="0"/>
    <w:rPr>
      <w:rFonts w:eastAsia="宋体"/>
      <w:sz w:val="24"/>
      <w:lang w:bidi="ar-SA"/>
    </w:rPr>
  </w:style>
  <w:style w:type="character" w:customStyle="1" w:styleId="572">
    <w:name w:val="正文文本缩进 2 字符3"/>
    <w:qFormat/>
    <w:uiPriority w:val="0"/>
    <w:rPr>
      <w:rFonts w:eastAsia="宋体"/>
      <w:kern w:val="2"/>
      <w:sz w:val="32"/>
      <w:lang w:val="en-US" w:eastAsia="zh-CN" w:bidi="ar-SA"/>
    </w:rPr>
  </w:style>
  <w:style w:type="character" w:customStyle="1" w:styleId="573">
    <w:name w:val="标题 5 字符3"/>
    <w:qFormat/>
    <w:uiPriority w:val="0"/>
    <w:rPr>
      <w:rFonts w:eastAsia="宋体"/>
      <w:b/>
      <w:kern w:val="2"/>
      <w:sz w:val="28"/>
      <w:szCs w:val="24"/>
      <w:lang w:val="en-US" w:eastAsia="zh-CN" w:bidi="ar-SA"/>
    </w:rPr>
  </w:style>
  <w:style w:type="character" w:customStyle="1" w:styleId="574">
    <w:name w:val="正文文本 3 字符3"/>
    <w:qFormat/>
    <w:uiPriority w:val="0"/>
    <w:rPr>
      <w:rFonts w:eastAsia="宋体"/>
      <w:b/>
      <w:bCs/>
      <w:kern w:val="2"/>
      <w:sz w:val="24"/>
      <w:szCs w:val="24"/>
      <w:lang w:val="en-US" w:eastAsia="zh-CN" w:bidi="ar-SA"/>
    </w:rPr>
  </w:style>
  <w:style w:type="character" w:customStyle="1" w:styleId="575">
    <w:name w:val="标题 8 字符3"/>
    <w:qFormat/>
    <w:uiPriority w:val="0"/>
    <w:rPr>
      <w:rFonts w:ascii="Arial" w:hAnsi="Arial" w:eastAsia="黑体"/>
      <w:kern w:val="2"/>
      <w:sz w:val="24"/>
      <w:szCs w:val="24"/>
      <w:lang w:val="en-US" w:eastAsia="zh-CN" w:bidi="ar-SA"/>
    </w:rPr>
  </w:style>
  <w:style w:type="character" w:customStyle="1" w:styleId="576">
    <w:name w:val="正文文本 字符3"/>
    <w:qFormat/>
    <w:uiPriority w:val="0"/>
    <w:rPr>
      <w:rFonts w:eastAsia="宋体"/>
      <w:kern w:val="2"/>
      <w:sz w:val="24"/>
      <w:szCs w:val="24"/>
      <w:lang w:val="en-US" w:eastAsia="zh-CN" w:bidi="ar-SA"/>
    </w:rPr>
  </w:style>
  <w:style w:type="character" w:customStyle="1" w:styleId="577">
    <w:name w:val="标题 1 字符3"/>
    <w:qFormat/>
    <w:uiPriority w:val="0"/>
    <w:rPr>
      <w:rFonts w:eastAsia="宋体"/>
      <w:b/>
      <w:bCs/>
      <w:kern w:val="44"/>
      <w:sz w:val="44"/>
      <w:szCs w:val="44"/>
      <w:lang w:val="en-US" w:eastAsia="zh-CN" w:bidi="ar-SA"/>
    </w:rPr>
  </w:style>
  <w:style w:type="character" w:customStyle="1" w:styleId="578">
    <w:name w:val="文档结构图 字符3"/>
    <w:qFormat/>
    <w:uiPriority w:val="0"/>
    <w:rPr>
      <w:rFonts w:eastAsia="宋体"/>
      <w:kern w:val="2"/>
      <w:sz w:val="21"/>
      <w:szCs w:val="24"/>
      <w:lang w:val="en-US" w:eastAsia="zh-CN" w:bidi="ar-SA"/>
    </w:rPr>
  </w:style>
  <w:style w:type="character" w:customStyle="1" w:styleId="579">
    <w:name w:val="标题 7 字符3"/>
    <w:qFormat/>
    <w:uiPriority w:val="0"/>
    <w:rPr>
      <w:rFonts w:eastAsia="宋体"/>
      <w:b/>
      <w:kern w:val="2"/>
      <w:sz w:val="24"/>
      <w:szCs w:val="24"/>
      <w:lang w:val="en-US" w:eastAsia="zh-CN" w:bidi="ar-SA"/>
    </w:rPr>
  </w:style>
  <w:style w:type="character" w:customStyle="1" w:styleId="580">
    <w:name w:val="标题 6 字符3"/>
    <w:qFormat/>
    <w:uiPriority w:val="0"/>
    <w:rPr>
      <w:rFonts w:ascii="Arial" w:hAnsi="Arial" w:eastAsia="黑体"/>
      <w:b/>
      <w:kern w:val="2"/>
      <w:sz w:val="24"/>
      <w:szCs w:val="24"/>
      <w:lang w:val="en-US" w:eastAsia="zh-CN" w:bidi="ar-SA"/>
    </w:rPr>
  </w:style>
  <w:style w:type="character" w:customStyle="1" w:styleId="581">
    <w:name w:val="标题 3 字符3"/>
    <w:qFormat/>
    <w:uiPriority w:val="0"/>
    <w:rPr>
      <w:rFonts w:eastAsia="宋体"/>
      <w:b/>
      <w:bCs/>
      <w:sz w:val="32"/>
      <w:szCs w:val="32"/>
      <w:lang w:bidi="ar-SA"/>
    </w:rPr>
  </w:style>
  <w:style w:type="character" w:customStyle="1" w:styleId="582">
    <w:name w:val="页脚 字符3"/>
    <w:qFormat/>
    <w:uiPriority w:val="0"/>
    <w:rPr>
      <w:rFonts w:eastAsia="宋体"/>
      <w:kern w:val="2"/>
      <w:sz w:val="18"/>
      <w:szCs w:val="18"/>
      <w:lang w:val="en-US" w:eastAsia="zh-CN" w:bidi="ar-SA"/>
    </w:rPr>
  </w:style>
  <w:style w:type="character" w:customStyle="1" w:styleId="583">
    <w:name w:val="尾注文本 字符3"/>
    <w:qFormat/>
    <w:uiPriority w:val="0"/>
    <w:rPr>
      <w:rFonts w:ascii="Calibri" w:hAnsi="Calibri"/>
      <w:kern w:val="2"/>
      <w:sz w:val="21"/>
      <w:szCs w:val="22"/>
    </w:rPr>
  </w:style>
  <w:style w:type="character" w:customStyle="1" w:styleId="584">
    <w:name w:val="日期 字符3"/>
    <w:qFormat/>
    <w:uiPriority w:val="0"/>
    <w:rPr>
      <w:rFonts w:ascii="宋体" w:hAnsi="Courier New" w:eastAsia="宋体" w:cs="Courier New"/>
      <w:kern w:val="2"/>
      <w:sz w:val="21"/>
      <w:szCs w:val="21"/>
      <w:lang w:val="en-US" w:eastAsia="zh-CN" w:bidi="ar-SA"/>
    </w:rPr>
  </w:style>
  <w:style w:type="character" w:customStyle="1" w:styleId="585">
    <w:name w:val="正文文本缩进 字符3"/>
    <w:qFormat/>
    <w:uiPriority w:val="0"/>
    <w:rPr>
      <w:rFonts w:ascii="仿宋_GB2312" w:eastAsia="仿宋_GB2312"/>
      <w:kern w:val="2"/>
      <w:sz w:val="32"/>
      <w:lang w:val="en-US" w:eastAsia="zh-CN" w:bidi="ar-SA"/>
    </w:rPr>
  </w:style>
  <w:style w:type="character" w:customStyle="1" w:styleId="586">
    <w:name w:val="标题 9 字符3"/>
    <w:qFormat/>
    <w:uiPriority w:val="0"/>
    <w:rPr>
      <w:rFonts w:ascii="Arial" w:hAnsi="Arial" w:eastAsia="黑体"/>
      <w:kern w:val="2"/>
      <w:sz w:val="21"/>
      <w:szCs w:val="24"/>
      <w:lang w:val="en-US" w:eastAsia="zh-CN" w:bidi="ar-SA"/>
    </w:rPr>
  </w:style>
  <w:style w:type="character" w:customStyle="1" w:styleId="587">
    <w:name w:val="正文文本缩进 3 字符3"/>
    <w:qFormat/>
    <w:uiPriority w:val="0"/>
    <w:rPr>
      <w:rFonts w:eastAsia="宋体"/>
      <w:kern w:val="2"/>
      <w:sz w:val="16"/>
      <w:szCs w:val="16"/>
      <w:lang w:val="en-US" w:eastAsia="zh-CN" w:bidi="ar-SA"/>
    </w:rPr>
  </w:style>
  <w:style w:type="character" w:customStyle="1" w:styleId="588">
    <w:name w:val="脚注文本 字符3"/>
    <w:qFormat/>
    <w:uiPriority w:val="0"/>
    <w:rPr>
      <w:rFonts w:ascii="宋体" w:eastAsia="宋体"/>
      <w:kern w:val="21"/>
      <w:sz w:val="18"/>
      <w:szCs w:val="18"/>
      <w:lang w:val="en-US" w:eastAsia="zh-CN" w:bidi="ar-SA"/>
    </w:rPr>
  </w:style>
  <w:style w:type="character" w:customStyle="1" w:styleId="589">
    <w:name w:val="纯文本 字符4"/>
    <w:qFormat/>
    <w:uiPriority w:val="0"/>
    <w:rPr>
      <w:rFonts w:ascii="宋体" w:hAnsi="Courier New" w:eastAsia="宋体" w:cs="Courier New"/>
      <w:kern w:val="2"/>
      <w:sz w:val="21"/>
      <w:szCs w:val="21"/>
      <w:lang w:val="en-US" w:eastAsia="zh-CN" w:bidi="ar-SA"/>
    </w:rPr>
  </w:style>
  <w:style w:type="character" w:customStyle="1" w:styleId="590">
    <w:name w:val="HTML 预设格式 字符3"/>
    <w:qFormat/>
    <w:uiPriority w:val="0"/>
    <w:rPr>
      <w:rFonts w:ascii="黑体" w:hAnsi="Courier New" w:eastAsia="黑体" w:cs="Courier New"/>
      <w:lang w:val="en-US" w:eastAsia="zh-CN" w:bidi="ar-SA"/>
    </w:rPr>
  </w:style>
  <w:style w:type="character" w:customStyle="1" w:styleId="591">
    <w:name w:val="标题 2 字符3"/>
    <w:qFormat/>
    <w:uiPriority w:val="0"/>
    <w:rPr>
      <w:rFonts w:ascii="Arial" w:hAnsi="Arial" w:eastAsia="黑体"/>
      <w:b/>
      <w:bCs/>
      <w:sz w:val="32"/>
      <w:szCs w:val="32"/>
      <w:lang w:bidi="ar-SA"/>
    </w:rPr>
  </w:style>
  <w:style w:type="character" w:customStyle="1" w:styleId="592">
    <w:name w:val="HTML 地址 字符3"/>
    <w:qFormat/>
    <w:uiPriority w:val="0"/>
    <w:rPr>
      <w:rFonts w:ascii="宋体" w:eastAsia="宋体"/>
      <w:i/>
      <w:iCs/>
      <w:kern w:val="21"/>
      <w:sz w:val="21"/>
      <w:szCs w:val="21"/>
      <w:lang w:val="en-US" w:eastAsia="zh-CN" w:bidi="ar-SA"/>
    </w:rPr>
  </w:style>
  <w:style w:type="character" w:customStyle="1" w:styleId="593">
    <w:name w:val="页眉 字符3"/>
    <w:qFormat/>
    <w:uiPriority w:val="0"/>
    <w:rPr>
      <w:rFonts w:eastAsia="宋体"/>
      <w:kern w:val="2"/>
      <w:sz w:val="18"/>
      <w:szCs w:val="18"/>
      <w:lang w:val="en-US" w:eastAsia="zh-CN" w:bidi="ar-SA"/>
    </w:rPr>
  </w:style>
  <w:style w:type="character" w:customStyle="1" w:styleId="594">
    <w:name w:val="无间隔 字符4"/>
    <w:qFormat/>
    <w:uiPriority w:val="0"/>
    <w:rPr>
      <w:sz w:val="22"/>
      <w:szCs w:val="22"/>
      <w:lang w:val="en-US" w:eastAsia="zh-CN" w:bidi="ar-SA"/>
    </w:rPr>
  </w:style>
  <w:style w:type="character" w:customStyle="1" w:styleId="595">
    <w:name w:val="正文文本 2 字符3"/>
    <w:qFormat/>
    <w:uiPriority w:val="0"/>
    <w:rPr>
      <w:rFonts w:eastAsia="宋体"/>
      <w:kern w:val="2"/>
      <w:sz w:val="21"/>
      <w:szCs w:val="24"/>
      <w:lang w:val="en-US" w:eastAsia="zh-CN" w:bidi="ar-SA"/>
    </w:rPr>
  </w:style>
  <w:style w:type="character" w:customStyle="1" w:styleId="596">
    <w:name w:val="标题 字符3"/>
    <w:qFormat/>
    <w:uiPriority w:val="0"/>
    <w:rPr>
      <w:rFonts w:ascii="Arial" w:hAnsi="Arial" w:eastAsia="宋体"/>
      <w:b/>
      <w:bCs/>
      <w:kern w:val="2"/>
      <w:sz w:val="32"/>
      <w:szCs w:val="32"/>
      <w:lang w:bidi="ar-SA"/>
    </w:rPr>
  </w:style>
  <w:style w:type="character" w:customStyle="1" w:styleId="597">
    <w:name w:val="标题 4 字符3"/>
    <w:qFormat/>
    <w:uiPriority w:val="0"/>
    <w:rPr>
      <w:rFonts w:ascii="Arial" w:hAnsi="Arial" w:eastAsia="黑体"/>
      <w:sz w:val="28"/>
      <w:lang w:bidi="ar-SA"/>
    </w:rPr>
  </w:style>
  <w:style w:type="character" w:customStyle="1" w:styleId="598">
    <w:name w:val=" Char Char50"/>
    <w:qFormat/>
    <w:uiPriority w:val="0"/>
    <w:rPr>
      <w:rFonts w:eastAsia="宋体"/>
      <w:b/>
      <w:bCs/>
      <w:kern w:val="44"/>
      <w:sz w:val="44"/>
      <w:szCs w:val="44"/>
      <w:lang w:val="en-US" w:eastAsia="zh-CN" w:bidi="ar-SA"/>
    </w:rPr>
  </w:style>
  <w:style w:type="character" w:customStyle="1" w:styleId="599">
    <w:name w:val=" Char Char49"/>
    <w:qFormat/>
    <w:uiPriority w:val="0"/>
    <w:rPr>
      <w:rFonts w:ascii="Arial" w:hAnsi="Arial" w:eastAsia="黑体"/>
      <w:b/>
      <w:bCs/>
      <w:sz w:val="32"/>
      <w:szCs w:val="32"/>
      <w:lang w:bidi="ar-SA"/>
    </w:rPr>
  </w:style>
  <w:style w:type="character" w:customStyle="1" w:styleId="600">
    <w:name w:val="普通文字 Char Char7"/>
    <w:qFormat/>
    <w:uiPriority w:val="0"/>
    <w:rPr>
      <w:rFonts w:ascii="宋体" w:hAnsi="Courier New" w:eastAsia="宋体" w:cs="Courier New"/>
      <w:kern w:val="2"/>
      <w:sz w:val="21"/>
      <w:szCs w:val="21"/>
      <w:lang w:val="en-US" w:eastAsia="zh-CN" w:bidi="ar-SA"/>
    </w:rPr>
  </w:style>
  <w:style w:type="paragraph" w:customStyle="1" w:styleId="601">
    <w:name w:val="Char Char Char3"/>
    <w:basedOn w:val="1"/>
    <w:qFormat/>
    <w:uiPriority w:val="0"/>
    <w:pPr>
      <w:widowControl/>
      <w:spacing w:after="160" w:line="240" w:lineRule="exact"/>
      <w:jc w:val="left"/>
    </w:pPr>
    <w:rPr>
      <w:rFonts w:ascii="Verdana" w:hAnsi="Verdana"/>
      <w:kern w:val="0"/>
      <w:sz w:val="20"/>
      <w:szCs w:val="20"/>
      <w:lang w:eastAsia="en-US"/>
    </w:rPr>
  </w:style>
  <w:style w:type="character" w:customStyle="1" w:styleId="602">
    <w:name w:val="普通文字 Char Char2 Char"/>
    <w:qFormat/>
    <w:uiPriority w:val="0"/>
    <w:rPr>
      <w:rFonts w:ascii="宋体" w:hAnsi="Courier New" w:eastAsia="宋体"/>
      <w:kern w:val="2"/>
      <w:sz w:val="21"/>
      <w:lang w:val="en-US" w:eastAsia="zh-CN" w:bidi="ar-SA"/>
    </w:rPr>
  </w:style>
  <w:style w:type="character" w:customStyle="1" w:styleId="603">
    <w:name w:val="标题 1 字符4"/>
    <w:qFormat/>
    <w:uiPriority w:val="0"/>
    <w:rPr>
      <w:rFonts w:eastAsia="宋体"/>
      <w:b/>
      <w:bCs/>
      <w:kern w:val="44"/>
      <w:sz w:val="44"/>
      <w:szCs w:val="44"/>
      <w:lang w:val="en-US" w:eastAsia="zh-CN" w:bidi="ar-SA"/>
    </w:rPr>
  </w:style>
  <w:style w:type="character" w:customStyle="1" w:styleId="604">
    <w:name w:val="标题 2 字符4"/>
    <w:qFormat/>
    <w:uiPriority w:val="0"/>
    <w:rPr>
      <w:rFonts w:ascii="Arial" w:hAnsi="Arial" w:eastAsia="黑体"/>
      <w:b/>
      <w:bCs/>
      <w:sz w:val="32"/>
      <w:szCs w:val="32"/>
      <w:lang w:bidi="ar-SA"/>
    </w:rPr>
  </w:style>
  <w:style w:type="character" w:customStyle="1" w:styleId="605">
    <w:name w:val="标题 3 字符4"/>
    <w:qFormat/>
    <w:uiPriority w:val="0"/>
    <w:rPr>
      <w:rFonts w:eastAsia="宋体"/>
      <w:b/>
      <w:bCs/>
      <w:sz w:val="32"/>
      <w:szCs w:val="32"/>
      <w:lang w:bidi="ar-SA"/>
    </w:rPr>
  </w:style>
  <w:style w:type="character" w:customStyle="1" w:styleId="606">
    <w:name w:val="标题 4 字符4"/>
    <w:qFormat/>
    <w:uiPriority w:val="0"/>
    <w:rPr>
      <w:rFonts w:ascii="Arial" w:hAnsi="Arial" w:eastAsia="黑体"/>
      <w:sz w:val="28"/>
      <w:lang w:bidi="ar-SA"/>
    </w:rPr>
  </w:style>
  <w:style w:type="character" w:customStyle="1" w:styleId="607">
    <w:name w:val="标题 5 字符4"/>
    <w:qFormat/>
    <w:uiPriority w:val="0"/>
    <w:rPr>
      <w:rFonts w:eastAsia="宋体"/>
      <w:b/>
      <w:kern w:val="2"/>
      <w:sz w:val="28"/>
      <w:szCs w:val="24"/>
      <w:lang w:val="en-US" w:eastAsia="zh-CN" w:bidi="ar-SA"/>
    </w:rPr>
  </w:style>
  <w:style w:type="character" w:customStyle="1" w:styleId="608">
    <w:name w:val="标题 6 字符4"/>
    <w:qFormat/>
    <w:uiPriority w:val="0"/>
    <w:rPr>
      <w:rFonts w:ascii="Arial" w:hAnsi="Arial" w:eastAsia="黑体"/>
      <w:b/>
      <w:kern w:val="2"/>
      <w:sz w:val="24"/>
      <w:szCs w:val="24"/>
      <w:lang w:val="en-US" w:eastAsia="zh-CN" w:bidi="ar-SA"/>
    </w:rPr>
  </w:style>
  <w:style w:type="character" w:customStyle="1" w:styleId="609">
    <w:name w:val="标题 7 字符4"/>
    <w:qFormat/>
    <w:uiPriority w:val="0"/>
    <w:rPr>
      <w:rFonts w:eastAsia="宋体"/>
      <w:b/>
      <w:kern w:val="2"/>
      <w:sz w:val="24"/>
      <w:szCs w:val="24"/>
      <w:lang w:val="en-US" w:eastAsia="zh-CN" w:bidi="ar-SA"/>
    </w:rPr>
  </w:style>
  <w:style w:type="character" w:customStyle="1" w:styleId="610">
    <w:name w:val="标题 8 字符4"/>
    <w:qFormat/>
    <w:uiPriority w:val="0"/>
    <w:rPr>
      <w:rFonts w:ascii="Arial" w:hAnsi="Arial" w:eastAsia="黑体"/>
      <w:kern w:val="2"/>
      <w:sz w:val="24"/>
      <w:szCs w:val="24"/>
      <w:lang w:val="en-US" w:eastAsia="zh-CN" w:bidi="ar-SA"/>
    </w:rPr>
  </w:style>
  <w:style w:type="character" w:customStyle="1" w:styleId="611">
    <w:name w:val="标题 9 字符4"/>
    <w:qFormat/>
    <w:uiPriority w:val="0"/>
    <w:rPr>
      <w:rFonts w:ascii="Arial" w:hAnsi="Arial" w:eastAsia="黑体"/>
      <w:kern w:val="2"/>
      <w:sz w:val="21"/>
      <w:szCs w:val="24"/>
      <w:lang w:val="en-US" w:eastAsia="zh-CN" w:bidi="ar-SA"/>
    </w:rPr>
  </w:style>
  <w:style w:type="character" w:customStyle="1" w:styleId="612">
    <w:name w:val="文档结构图 字符4"/>
    <w:qFormat/>
    <w:uiPriority w:val="0"/>
    <w:rPr>
      <w:rFonts w:eastAsia="宋体"/>
      <w:kern w:val="2"/>
      <w:sz w:val="21"/>
      <w:szCs w:val="24"/>
      <w:lang w:val="en-US" w:eastAsia="zh-CN" w:bidi="ar-SA"/>
    </w:rPr>
  </w:style>
  <w:style w:type="character" w:customStyle="1" w:styleId="613">
    <w:name w:val="批注文字 字符4"/>
    <w:qFormat/>
    <w:uiPriority w:val="0"/>
    <w:rPr>
      <w:rFonts w:eastAsia="宋体"/>
      <w:sz w:val="24"/>
      <w:lang w:bidi="ar-SA"/>
    </w:rPr>
  </w:style>
  <w:style w:type="character" w:customStyle="1" w:styleId="614">
    <w:name w:val="称呼 字符4"/>
    <w:qFormat/>
    <w:uiPriority w:val="0"/>
    <w:rPr>
      <w:kern w:val="2"/>
      <w:sz w:val="28"/>
      <w:szCs w:val="24"/>
    </w:rPr>
  </w:style>
  <w:style w:type="character" w:customStyle="1" w:styleId="615">
    <w:name w:val="正文文本 3 字符4"/>
    <w:qFormat/>
    <w:uiPriority w:val="0"/>
    <w:rPr>
      <w:rFonts w:eastAsia="宋体"/>
      <w:b/>
      <w:bCs/>
      <w:kern w:val="2"/>
      <w:sz w:val="24"/>
      <w:szCs w:val="24"/>
      <w:lang w:val="en-US" w:eastAsia="zh-CN" w:bidi="ar-SA"/>
    </w:rPr>
  </w:style>
  <w:style w:type="character" w:customStyle="1" w:styleId="616">
    <w:name w:val="正文文本 字符4"/>
    <w:qFormat/>
    <w:uiPriority w:val="0"/>
    <w:rPr>
      <w:rFonts w:eastAsia="宋体"/>
      <w:kern w:val="2"/>
      <w:sz w:val="24"/>
      <w:szCs w:val="24"/>
      <w:lang w:val="en-US" w:eastAsia="zh-CN" w:bidi="ar-SA"/>
    </w:rPr>
  </w:style>
  <w:style w:type="character" w:customStyle="1" w:styleId="617">
    <w:name w:val="正文文本缩进 字符4"/>
    <w:qFormat/>
    <w:uiPriority w:val="0"/>
    <w:rPr>
      <w:rFonts w:ascii="仿宋_GB2312" w:eastAsia="仿宋_GB2312"/>
      <w:kern w:val="2"/>
      <w:sz w:val="32"/>
      <w:lang w:val="en-US" w:eastAsia="zh-CN" w:bidi="ar-SA"/>
    </w:rPr>
  </w:style>
  <w:style w:type="character" w:customStyle="1" w:styleId="618">
    <w:name w:val="HTML 地址 字符4"/>
    <w:qFormat/>
    <w:uiPriority w:val="0"/>
    <w:rPr>
      <w:rFonts w:ascii="宋体" w:eastAsia="宋体"/>
      <w:i/>
      <w:iCs/>
      <w:kern w:val="21"/>
      <w:sz w:val="21"/>
      <w:szCs w:val="21"/>
      <w:lang w:val="en-US" w:eastAsia="zh-CN" w:bidi="ar-SA"/>
    </w:rPr>
  </w:style>
  <w:style w:type="character" w:customStyle="1" w:styleId="619">
    <w:name w:val="TOC 3 字符"/>
    <w:qFormat/>
    <w:uiPriority w:val="0"/>
    <w:rPr>
      <w:rFonts w:eastAsia="宋体"/>
      <w:kern w:val="2"/>
      <w:sz w:val="21"/>
      <w:szCs w:val="24"/>
      <w:lang w:val="en-US" w:eastAsia="zh-CN" w:bidi="ar-SA"/>
    </w:rPr>
  </w:style>
  <w:style w:type="character" w:customStyle="1" w:styleId="620">
    <w:name w:val="纯文本 字符5"/>
    <w:qFormat/>
    <w:uiPriority w:val="0"/>
    <w:rPr>
      <w:rFonts w:ascii="宋体" w:hAnsi="Courier New" w:eastAsia="宋体" w:cs="Courier New"/>
      <w:kern w:val="2"/>
      <w:sz w:val="21"/>
      <w:szCs w:val="21"/>
      <w:lang w:val="en-US" w:eastAsia="zh-CN" w:bidi="ar-SA"/>
    </w:rPr>
  </w:style>
  <w:style w:type="character" w:customStyle="1" w:styleId="621">
    <w:name w:val="日期 字符4"/>
    <w:qFormat/>
    <w:uiPriority w:val="0"/>
    <w:rPr>
      <w:rFonts w:ascii="宋体" w:hAnsi="Courier New" w:eastAsia="宋体" w:cs="Courier New"/>
      <w:kern w:val="2"/>
      <w:sz w:val="21"/>
      <w:szCs w:val="21"/>
      <w:lang w:val="en-US" w:eastAsia="zh-CN" w:bidi="ar-SA"/>
    </w:rPr>
  </w:style>
  <w:style w:type="character" w:customStyle="1" w:styleId="622">
    <w:name w:val="正文文本缩进 2 字符4"/>
    <w:qFormat/>
    <w:uiPriority w:val="0"/>
    <w:rPr>
      <w:rFonts w:eastAsia="宋体"/>
      <w:kern w:val="2"/>
      <w:sz w:val="32"/>
      <w:lang w:val="en-US" w:eastAsia="zh-CN" w:bidi="ar-SA"/>
    </w:rPr>
  </w:style>
  <w:style w:type="character" w:customStyle="1" w:styleId="623">
    <w:name w:val="尾注文本 字符4"/>
    <w:qFormat/>
    <w:uiPriority w:val="0"/>
    <w:rPr>
      <w:rFonts w:ascii="Calibri" w:hAnsi="Calibri"/>
      <w:kern w:val="2"/>
      <w:sz w:val="21"/>
      <w:szCs w:val="22"/>
    </w:rPr>
  </w:style>
  <w:style w:type="character" w:customStyle="1" w:styleId="624">
    <w:name w:val="页脚 字符4"/>
    <w:qFormat/>
    <w:uiPriority w:val="0"/>
    <w:rPr>
      <w:rFonts w:eastAsia="宋体"/>
      <w:kern w:val="2"/>
      <w:sz w:val="18"/>
      <w:szCs w:val="18"/>
      <w:lang w:val="en-US" w:eastAsia="zh-CN" w:bidi="ar-SA"/>
    </w:rPr>
  </w:style>
  <w:style w:type="character" w:customStyle="1" w:styleId="625">
    <w:name w:val="页眉 字符4"/>
    <w:qFormat/>
    <w:uiPriority w:val="0"/>
    <w:rPr>
      <w:rFonts w:eastAsia="宋体"/>
      <w:kern w:val="2"/>
      <w:sz w:val="18"/>
      <w:szCs w:val="18"/>
      <w:lang w:val="en-US" w:eastAsia="zh-CN" w:bidi="ar-SA"/>
    </w:rPr>
  </w:style>
  <w:style w:type="character" w:customStyle="1" w:styleId="626">
    <w:name w:val="脚注文本 字符4"/>
    <w:qFormat/>
    <w:uiPriority w:val="0"/>
    <w:rPr>
      <w:rFonts w:ascii="宋体" w:eastAsia="宋体"/>
      <w:kern w:val="21"/>
      <w:sz w:val="18"/>
      <w:szCs w:val="18"/>
      <w:lang w:val="en-US" w:eastAsia="zh-CN" w:bidi="ar-SA"/>
    </w:rPr>
  </w:style>
  <w:style w:type="character" w:customStyle="1" w:styleId="627">
    <w:name w:val="正文文本缩进 3 字符4"/>
    <w:qFormat/>
    <w:uiPriority w:val="0"/>
    <w:rPr>
      <w:rFonts w:eastAsia="宋体"/>
      <w:kern w:val="2"/>
      <w:sz w:val="16"/>
      <w:szCs w:val="16"/>
      <w:lang w:val="en-US" w:eastAsia="zh-CN" w:bidi="ar-SA"/>
    </w:rPr>
  </w:style>
  <w:style w:type="character" w:customStyle="1" w:styleId="628">
    <w:name w:val="正文文本 2 字符4"/>
    <w:qFormat/>
    <w:uiPriority w:val="0"/>
    <w:rPr>
      <w:rFonts w:eastAsia="宋体"/>
      <w:kern w:val="2"/>
      <w:sz w:val="21"/>
      <w:szCs w:val="24"/>
      <w:lang w:val="en-US" w:eastAsia="zh-CN" w:bidi="ar-SA"/>
    </w:rPr>
  </w:style>
  <w:style w:type="character" w:customStyle="1" w:styleId="629">
    <w:name w:val="HTML 预设格式 字符4"/>
    <w:qFormat/>
    <w:uiPriority w:val="0"/>
    <w:rPr>
      <w:rFonts w:ascii="黑体" w:hAnsi="Courier New" w:eastAsia="黑体" w:cs="Courier New"/>
      <w:lang w:val="en-US" w:eastAsia="zh-CN" w:bidi="ar-SA"/>
    </w:rPr>
  </w:style>
  <w:style w:type="character" w:customStyle="1" w:styleId="630">
    <w:name w:val="标题 字符4"/>
    <w:qFormat/>
    <w:uiPriority w:val="0"/>
    <w:rPr>
      <w:rFonts w:ascii="Arial" w:hAnsi="Arial" w:eastAsia="宋体"/>
      <w:b/>
      <w:bCs/>
      <w:kern w:val="2"/>
      <w:sz w:val="32"/>
      <w:szCs w:val="32"/>
      <w:lang w:bidi="ar-SA"/>
    </w:rPr>
  </w:style>
  <w:style w:type="character" w:customStyle="1" w:styleId="631">
    <w:name w:val="无间隔 字符5"/>
    <w:qFormat/>
    <w:uiPriority w:val="0"/>
    <w:rPr>
      <w:sz w:val="22"/>
      <w:szCs w:val="22"/>
      <w:lang w:val="en-US" w:eastAsia="zh-CN" w:bidi="ar-SA"/>
    </w:rPr>
  </w:style>
  <w:style w:type="character" w:customStyle="1" w:styleId="632">
    <w:name w:val=" Char Char53"/>
    <w:qFormat/>
    <w:uiPriority w:val="0"/>
    <w:rPr>
      <w:rFonts w:eastAsia="宋体"/>
      <w:b/>
      <w:bCs/>
      <w:kern w:val="44"/>
      <w:sz w:val="44"/>
      <w:szCs w:val="44"/>
      <w:lang w:val="en-US" w:eastAsia="zh-CN" w:bidi="ar-SA"/>
    </w:rPr>
  </w:style>
  <w:style w:type="character" w:customStyle="1" w:styleId="633">
    <w:name w:val=" Char Char52"/>
    <w:qFormat/>
    <w:uiPriority w:val="0"/>
    <w:rPr>
      <w:rFonts w:ascii="Arial" w:hAnsi="Arial" w:eastAsia="黑体"/>
      <w:b/>
      <w:bCs/>
      <w:sz w:val="32"/>
      <w:szCs w:val="32"/>
      <w:lang w:bidi="ar-SA"/>
    </w:rPr>
  </w:style>
  <w:style w:type="character" w:customStyle="1" w:styleId="634">
    <w:name w:val=" Char Char51"/>
    <w:qFormat/>
    <w:uiPriority w:val="0"/>
    <w:rPr>
      <w:rFonts w:eastAsia="宋体"/>
      <w:b/>
      <w:bCs/>
      <w:sz w:val="32"/>
      <w:szCs w:val="32"/>
      <w:lang w:bidi="ar-SA"/>
    </w:rPr>
  </w:style>
  <w:style w:type="character" w:customStyle="1" w:styleId="635">
    <w:name w:val="无间隔 字符6"/>
    <w:qFormat/>
    <w:uiPriority w:val="0"/>
    <w:rPr>
      <w:sz w:val="22"/>
      <w:szCs w:val="22"/>
      <w:lang w:val="en-US" w:eastAsia="zh-CN" w:bidi="ar-SA"/>
    </w:rPr>
  </w:style>
  <w:style w:type="character" w:customStyle="1" w:styleId="636">
    <w:name w:val="普通文字 Char Char8"/>
    <w:qFormat/>
    <w:uiPriority w:val="0"/>
    <w:rPr>
      <w:rFonts w:ascii="宋体" w:hAnsi="Courier New" w:eastAsia="宋体" w:cs="Courier New"/>
      <w:kern w:val="2"/>
      <w:sz w:val="21"/>
      <w:szCs w:val="21"/>
      <w:lang w:val="en-US" w:eastAsia="zh-CN" w:bidi="ar-SA"/>
    </w:rPr>
  </w:style>
  <w:style w:type="character" w:customStyle="1" w:styleId="637">
    <w:name w:val="font81"/>
    <w:basedOn w:val="55"/>
    <w:qFormat/>
    <w:uiPriority w:val="0"/>
    <w:rPr>
      <w:rFonts w:ascii="微软雅黑" w:hAnsi="微软雅黑" w:eastAsia="微软雅黑" w:cs="微软雅黑"/>
      <w:color w:val="000000"/>
      <w:sz w:val="18"/>
      <w:szCs w:val="18"/>
      <w:u w:val="none"/>
    </w:rPr>
  </w:style>
  <w:style w:type="character" w:customStyle="1" w:styleId="638">
    <w:name w:val=" Char Char57"/>
    <w:qFormat/>
    <w:uiPriority w:val="0"/>
    <w:rPr>
      <w:rFonts w:eastAsia="宋体"/>
      <w:b/>
      <w:bCs/>
      <w:kern w:val="44"/>
      <w:sz w:val="44"/>
      <w:szCs w:val="44"/>
      <w:lang w:val="en-US" w:eastAsia="zh-CN" w:bidi="ar-SA"/>
    </w:rPr>
  </w:style>
  <w:style w:type="character" w:customStyle="1" w:styleId="639">
    <w:name w:val=" Char Char56"/>
    <w:qFormat/>
    <w:uiPriority w:val="0"/>
    <w:rPr>
      <w:rFonts w:ascii="Arial" w:hAnsi="Arial" w:eastAsia="黑体"/>
      <w:b/>
      <w:bCs/>
      <w:sz w:val="32"/>
      <w:szCs w:val="32"/>
      <w:lang w:bidi="ar-SA"/>
    </w:rPr>
  </w:style>
  <w:style w:type="character" w:customStyle="1" w:styleId="640">
    <w:name w:val=" Char Char55"/>
    <w:qFormat/>
    <w:uiPriority w:val="0"/>
    <w:rPr>
      <w:rFonts w:eastAsia="宋体"/>
      <w:b/>
      <w:bCs/>
      <w:sz w:val="32"/>
      <w:szCs w:val="32"/>
      <w:lang w:bidi="ar-SA"/>
    </w:rPr>
  </w:style>
  <w:style w:type="character" w:customStyle="1" w:styleId="641">
    <w:name w:val=" Char Char54"/>
    <w:qFormat/>
    <w:uiPriority w:val="0"/>
    <w:rPr>
      <w:rFonts w:ascii="Arial" w:hAnsi="Arial" w:eastAsia="黑体"/>
      <w:sz w:val="28"/>
      <w:lang w:bidi="ar-SA"/>
    </w:rPr>
  </w:style>
  <w:style w:type="character" w:customStyle="1" w:styleId="642">
    <w:name w:val="无间隔 字符7"/>
    <w:qFormat/>
    <w:uiPriority w:val="0"/>
    <w:rPr>
      <w:sz w:val="22"/>
      <w:szCs w:val="22"/>
      <w:lang w:val="en-US" w:eastAsia="zh-CN" w:bidi="ar-SA"/>
    </w:rPr>
  </w:style>
  <w:style w:type="paragraph" w:customStyle="1" w:styleId="643">
    <w:name w:val="_Style 637"/>
    <w:basedOn w:val="1"/>
    <w:next w:val="1"/>
    <w:qFormat/>
    <w:uiPriority w:val="0"/>
    <w:pPr>
      <w:tabs>
        <w:tab w:val="right" w:leader="dot" w:pos="9185"/>
      </w:tabs>
      <w:adjustRightInd w:val="0"/>
      <w:spacing w:line="312" w:lineRule="atLeast"/>
      <w:ind w:left="3360"/>
      <w:textAlignment w:val="baseline"/>
    </w:pPr>
    <w:rPr>
      <w:kern w:val="0"/>
      <w:szCs w:val="20"/>
    </w:rPr>
  </w:style>
  <w:style w:type="character" w:customStyle="1" w:styleId="644">
    <w:name w:val=" Char Char61"/>
    <w:qFormat/>
    <w:uiPriority w:val="0"/>
    <w:rPr>
      <w:rFonts w:eastAsia="宋体"/>
      <w:b/>
      <w:bCs/>
      <w:kern w:val="44"/>
      <w:sz w:val="44"/>
      <w:szCs w:val="44"/>
      <w:lang w:val="en-US" w:eastAsia="zh-CN" w:bidi="ar-SA"/>
    </w:rPr>
  </w:style>
  <w:style w:type="character" w:customStyle="1" w:styleId="645">
    <w:name w:val=" Char Char60"/>
    <w:qFormat/>
    <w:uiPriority w:val="0"/>
    <w:rPr>
      <w:rFonts w:ascii="Arial" w:hAnsi="Arial" w:eastAsia="黑体"/>
      <w:b/>
      <w:bCs/>
      <w:sz w:val="32"/>
      <w:szCs w:val="32"/>
      <w:lang w:bidi="ar-SA"/>
    </w:rPr>
  </w:style>
  <w:style w:type="character" w:customStyle="1" w:styleId="646">
    <w:name w:val=" Char Char59"/>
    <w:qFormat/>
    <w:uiPriority w:val="0"/>
    <w:rPr>
      <w:rFonts w:eastAsia="宋体"/>
      <w:b/>
      <w:bCs/>
      <w:sz w:val="32"/>
      <w:szCs w:val="32"/>
      <w:lang w:bidi="ar-SA"/>
    </w:rPr>
  </w:style>
  <w:style w:type="character" w:customStyle="1" w:styleId="647">
    <w:name w:val=" Char Char58"/>
    <w:qFormat/>
    <w:uiPriority w:val="0"/>
    <w:rPr>
      <w:rFonts w:ascii="Arial" w:hAnsi="Arial" w:eastAsia="黑体"/>
      <w:sz w:val="28"/>
      <w:lang w:bidi="ar-SA"/>
    </w:rPr>
  </w:style>
  <w:style w:type="character" w:customStyle="1" w:styleId="648">
    <w:name w:val="无间隔 字符8"/>
    <w:qFormat/>
    <w:uiPriority w:val="0"/>
    <w:rPr>
      <w:sz w:val="22"/>
      <w:szCs w:val="22"/>
      <w:lang w:val="en-US" w:eastAsia="zh-CN" w:bidi="ar-SA"/>
    </w:rPr>
  </w:style>
  <w:style w:type="character" w:customStyle="1" w:styleId="649">
    <w:name w:val="font121"/>
    <w:basedOn w:val="55"/>
    <w:qFormat/>
    <w:uiPriority w:val="0"/>
    <w:rPr>
      <w:rFonts w:hint="eastAsia" w:ascii="宋体" w:hAnsi="宋体" w:eastAsia="宋体" w:cs="宋体"/>
      <w:b/>
      <w:bCs/>
      <w:color w:val="000000"/>
      <w:sz w:val="12"/>
      <w:szCs w:val="12"/>
      <w:u w:val="none"/>
    </w:rPr>
  </w:style>
  <w:style w:type="paragraph" w:customStyle="1" w:styleId="650">
    <w:name w:val="Table Text"/>
    <w:basedOn w:val="1"/>
    <w:qFormat/>
    <w:uiPriority w:val="0"/>
    <w:rPr>
      <w:rFonts w:ascii="宋体" w:hAnsi="宋体" w:eastAsia="宋体" w:cs="宋体"/>
      <w:sz w:val="20"/>
      <w:szCs w:val="20"/>
    </w:rPr>
  </w:style>
  <w:style w:type="paragraph" w:customStyle="1" w:styleId="651">
    <w:name w:val="null3"/>
    <w:basedOn w:val="1"/>
    <w:qFormat/>
    <w:uiPriority w:val="99"/>
    <w:pPr>
      <w:widowControl/>
    </w:pPr>
    <w:rPr>
      <w:rFonts w:hint="eastAsia" w:ascii="Calibri" w:hAnsi="Calibri" w:cs="Calibri"/>
      <w:sz w:val="20"/>
      <w:szCs w:val="20"/>
    </w:rPr>
  </w:style>
  <w:style w:type="paragraph" w:customStyle="1" w:styleId="652">
    <w:name w:val="列表段落11"/>
    <w:basedOn w:val="1"/>
    <w:qFormat/>
    <w:uiPriority w:val="34"/>
    <w:pPr>
      <w:ind w:firstLine="420" w:firstLineChars="200"/>
    </w:pPr>
    <w:rPr>
      <w:rFonts w:ascii="Calibri" w:hAnsi="Calibri"/>
      <w:szCs w:val="22"/>
    </w:rPr>
  </w:style>
  <w:style w:type="paragraph" w:customStyle="1" w:styleId="653">
    <w:name w:val="正文格式"/>
    <w:qFormat/>
    <w:uiPriority w:val="0"/>
    <w:pPr>
      <w:adjustRightInd w:val="0"/>
      <w:snapToGrid w:val="0"/>
      <w:spacing w:line="400" w:lineRule="atLeast"/>
      <w:ind w:firstLine="482"/>
      <w:jc w:val="both"/>
      <w:textAlignment w:val="baseline"/>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83</Pages>
  <Words>15103</Words>
  <Characters>18869</Characters>
  <Paragraphs>2345</Paragraphs>
  <TotalTime>5</TotalTime>
  <ScaleCrop>false</ScaleCrop>
  <LinksUpToDate>false</LinksUpToDate>
  <CharactersWithSpaces>19998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2022-05-23T19:06:00Z</dcterms:created>
  <dc:creator>聂泉源</dc:creator>
  <cp:lastModifiedBy>cgzx-li</cp:lastModifiedBy>
  <cp:lastPrinted>2026-01-31T16:29:00Z</cp:lastPrinted>
  <dcterms:modified xsi:type="dcterms:W3CDTF">2026-05-12T05:39:51Z</dcterms:modified>
  <dc:title>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eyJoZGlkIjoiM2M2YmM5NGM0ZjNiMTdiNGRhNzIzN2RjZTRlYjUxMDciLCJ1c2VySWQiOiI1MzUxNTQxNTMifQ==</vt:lpwstr>
  </property>
  <property fmtid="{D5CDD505-2E9C-101B-9397-08002B2CF9AE}" pid="4" name="ICV">
    <vt:lpwstr>dc5995e6a06a42e4a8c6c79c48ff0601_23</vt:lpwstr>
  </property>
</Properties>
</file>