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jc w:val="center"/>
        <w:rPr>
          <w:rFonts w:ascii="仿宋_GB2312" w:eastAsia="仿宋_GB2312"/>
          <w:b/>
          <w:color w:val="000000" w:themeColor="text1"/>
          <w:sz w:val="72"/>
          <w:szCs w:val="72"/>
          <w14:textFill>
            <w14:solidFill>
              <w14:schemeClr w14:val="tx1"/>
            </w14:solidFill>
          </w14:textFill>
        </w:rPr>
      </w:pPr>
    </w:p>
    <w:p>
      <w:pPr>
        <w:pStyle w:val="51"/>
        <w:ind w:firstLine="240"/>
        <w:rPr>
          <w:color w:val="000000" w:themeColor="text1"/>
          <w14:textFill>
            <w14:solidFill>
              <w14:schemeClr w14:val="tx1"/>
            </w14:solidFill>
          </w14:textFill>
        </w:rPr>
      </w:pPr>
    </w:p>
    <w:p>
      <w:pPr>
        <w:spacing w:before="156" w:beforeLines="50"/>
        <w:jc w:val="center"/>
        <w:rPr>
          <w:rFonts w:hint="eastAsia" w:ascii="宋体" w:hAnsi="宋体" w:cs="宋体"/>
          <w:color w:val="000000" w:themeColor="text1"/>
          <w:sz w:val="72"/>
          <w:szCs w:val="72"/>
          <w14:textFill>
            <w14:solidFill>
              <w14:schemeClr w14:val="tx1"/>
            </w14:solidFill>
          </w14:textFill>
        </w:rPr>
      </w:pPr>
      <w:r>
        <w:rPr>
          <w:rFonts w:hint="eastAsia" w:ascii="宋体" w:hAnsi="宋体" w:cs="宋体"/>
          <w:color w:val="000000" w:themeColor="text1"/>
          <w:sz w:val="72"/>
          <w:szCs w:val="72"/>
          <w14:textFill>
            <w14:solidFill>
              <w14:schemeClr w14:val="tx1"/>
            </w14:solidFill>
          </w14:textFill>
        </w:rPr>
        <w:t>公开招标采购文件</w:t>
      </w:r>
    </w:p>
    <w:p>
      <w:pPr>
        <w:snapToGrid w:val="0"/>
        <w:jc w:val="center"/>
        <w:rPr>
          <w:rFonts w:hint="eastAsia" w:ascii="宋体" w:hAnsi="宋体" w:cs="宋体"/>
          <w:color w:val="000000" w:themeColor="text1"/>
          <w:sz w:val="48"/>
          <w:szCs w:val="48"/>
          <w14:textFill>
            <w14:solidFill>
              <w14:schemeClr w14:val="tx1"/>
            </w14:solidFill>
          </w14:textFill>
        </w:rPr>
      </w:pPr>
    </w:p>
    <w:p>
      <w:pPr>
        <w:snapToGrid w:val="0"/>
        <w:jc w:val="center"/>
        <w:rPr>
          <w:rFonts w:hint="eastAsia" w:ascii="宋体" w:hAnsi="宋体" w:cs="宋体"/>
          <w:color w:val="000000" w:themeColor="text1"/>
          <w:sz w:val="48"/>
          <w:szCs w:val="48"/>
          <w14:textFill>
            <w14:solidFill>
              <w14:schemeClr w14:val="tx1"/>
            </w14:solidFill>
          </w14:textFill>
        </w:rPr>
      </w:pPr>
    </w:p>
    <w:p>
      <w:pPr>
        <w:snapToGrid w:val="0"/>
        <w:jc w:val="center"/>
        <w:rPr>
          <w:rFonts w:hint="eastAsia" w:ascii="宋体" w:hAnsi="宋体" w:cs="宋体"/>
          <w:color w:val="000000" w:themeColor="text1"/>
          <w:sz w:val="48"/>
          <w:szCs w:val="48"/>
          <w14:textFill>
            <w14:solidFill>
              <w14:schemeClr w14:val="tx1"/>
            </w14:solidFill>
          </w14:textFill>
        </w:rPr>
      </w:pPr>
    </w:p>
    <w:p>
      <w:pPr>
        <w:snapToGrid w:val="0"/>
        <w:rPr>
          <w:rFonts w:hint="eastAsia" w:ascii="宋体" w:hAnsi="宋体" w:cs="宋体"/>
          <w:b/>
          <w:bCs/>
          <w:color w:val="000000" w:themeColor="text1"/>
          <w:sz w:val="30"/>
          <w:szCs w:val="30"/>
          <w:lang w:val="en"/>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 xml:space="preserve">             项目编号：</w:t>
      </w:r>
      <w:r>
        <w:rPr>
          <w:rFonts w:ascii="宋体" w:hAnsi="宋体" w:cs="宋体"/>
          <w:b/>
          <w:bCs/>
          <w:color w:val="000000" w:themeColor="text1"/>
          <w:sz w:val="30"/>
          <w:szCs w:val="30"/>
          <w:lang w:val="en"/>
          <w14:textFill>
            <w14:solidFill>
              <w14:schemeClr w14:val="tx1"/>
            </w14:solidFill>
          </w14:textFill>
        </w:rPr>
        <w:t>GXZC2026-G1-</w:t>
      </w:r>
      <w:r>
        <w:rPr>
          <w:rFonts w:hint="eastAsia" w:ascii="宋体" w:hAnsi="宋体" w:cs="宋体"/>
          <w:b/>
          <w:bCs/>
          <w:color w:val="000000" w:themeColor="text1"/>
          <w:sz w:val="30"/>
          <w:szCs w:val="30"/>
          <w:lang w:val="en-US" w:eastAsia="zh-CN"/>
          <w14:textFill>
            <w14:solidFill>
              <w14:schemeClr w14:val="tx1"/>
            </w14:solidFill>
          </w14:textFill>
        </w:rPr>
        <w:t>002530</w:t>
      </w:r>
      <w:r>
        <w:rPr>
          <w:rFonts w:ascii="宋体" w:hAnsi="宋体" w:cs="宋体"/>
          <w:b/>
          <w:bCs/>
          <w:color w:val="000000" w:themeColor="text1"/>
          <w:sz w:val="30"/>
          <w:szCs w:val="30"/>
          <w:lang w:val="en"/>
          <w14:textFill>
            <w14:solidFill>
              <w14:schemeClr w14:val="tx1"/>
            </w14:solidFill>
          </w14:textFill>
        </w:rPr>
        <w:t>-CGZX</w:t>
      </w:r>
    </w:p>
    <w:p>
      <w:pPr>
        <w:snapToGrid w:val="0"/>
        <w:ind w:firstLine="1843"/>
        <w:rPr>
          <w:rFonts w:hint="eastAsia" w:ascii="宋体" w:hAnsi="宋体" w:cs="宋体"/>
          <w:b/>
          <w:bCs/>
          <w:color w:val="000000" w:themeColor="text1"/>
          <w:sz w:val="30"/>
          <w:szCs w:val="30"/>
          <w14:textFill>
            <w14:solidFill>
              <w14:schemeClr w14:val="tx1"/>
            </w14:solidFill>
          </w14:textFill>
        </w:rPr>
      </w:pPr>
    </w:p>
    <w:p>
      <w:pPr>
        <w:snapToGrid w:val="0"/>
        <w:ind w:firstLine="602" w:firstLineChars="200"/>
        <w:jc w:val="left"/>
        <w:rPr>
          <w:rFonts w:hint="eastAsia" w:ascii="宋体" w:hAnsi="宋体" w:cs="宋体"/>
          <w:b/>
          <w:color w:val="000000" w:themeColor="text1"/>
          <w:sz w:val="30"/>
          <w:szCs w:val="72"/>
          <w14:textFill>
            <w14:solidFill>
              <w14:schemeClr w14:val="tx1"/>
            </w14:solidFill>
          </w14:textFill>
        </w:rPr>
      </w:pPr>
      <w:r>
        <w:rPr>
          <w:rFonts w:hint="eastAsia" w:ascii="宋体" w:hAnsi="宋体" w:cs="宋体"/>
          <w:b/>
          <w:color w:val="000000" w:themeColor="text1"/>
          <w:sz w:val="30"/>
          <w:szCs w:val="72"/>
          <w14:textFill>
            <w14:solidFill>
              <w14:schemeClr w14:val="tx1"/>
            </w14:solidFill>
          </w14:textFill>
        </w:rPr>
        <w:t xml:space="preserve">         项目名称：</w:t>
      </w:r>
      <w:r>
        <w:rPr>
          <w:rFonts w:hint="eastAsia" w:ascii="宋体" w:hAnsi="宋体" w:cs="宋体"/>
          <w:b/>
          <w:color w:val="000000" w:themeColor="text1"/>
          <w:sz w:val="30"/>
          <w:szCs w:val="72"/>
          <w:highlight w:val="none"/>
          <w14:textFill>
            <w14:solidFill>
              <w14:schemeClr w14:val="tx1"/>
            </w14:solidFill>
          </w14:textFill>
        </w:rPr>
        <w:t>梧州学院A7A8A9栋学生宿舍家具采购</w:t>
      </w:r>
    </w:p>
    <w:p>
      <w:pPr>
        <w:snapToGrid w:val="0"/>
        <w:ind w:firstLine="1843" w:firstLineChars="612"/>
        <w:rPr>
          <w:rFonts w:hint="eastAsia" w:ascii="宋体" w:hAnsi="宋体" w:cs="宋体"/>
          <w:b/>
          <w:color w:val="000000" w:themeColor="text1"/>
          <w:sz w:val="30"/>
          <w:szCs w:val="72"/>
          <w14:textFill>
            <w14:solidFill>
              <w14:schemeClr w14:val="tx1"/>
            </w14:solidFill>
          </w14:textFill>
        </w:rPr>
      </w:pPr>
    </w:p>
    <w:p>
      <w:pPr>
        <w:snapToGrid w:val="0"/>
        <w:ind w:firstLine="602" w:firstLineChars="200"/>
        <w:rPr>
          <w:rFonts w:hint="default" w:ascii="宋体" w:hAnsi="宋体" w:eastAsia="宋体" w:cs="宋体"/>
          <w:b/>
          <w:color w:val="000000" w:themeColor="text1"/>
          <w:sz w:val="44"/>
          <w:szCs w:val="44"/>
          <w:lang w:val="en-US" w:eastAsia="zh-CN"/>
          <w14:textFill>
            <w14:solidFill>
              <w14:schemeClr w14:val="tx1"/>
            </w14:solidFill>
          </w14:textFill>
        </w:rPr>
      </w:pPr>
      <w:r>
        <w:rPr>
          <w:rFonts w:hint="eastAsia" w:ascii="宋体" w:hAnsi="宋体" w:cs="宋体"/>
          <w:b/>
          <w:color w:val="000000" w:themeColor="text1"/>
          <w:sz w:val="30"/>
          <w:szCs w:val="72"/>
          <w14:textFill>
            <w14:solidFill>
              <w14:schemeClr w14:val="tx1"/>
            </w14:solidFill>
          </w14:textFill>
        </w:rPr>
        <w:t xml:space="preserve">         采购单位：</w:t>
      </w:r>
      <w:r>
        <w:rPr>
          <w:rFonts w:hint="eastAsia" w:ascii="宋体" w:hAnsi="宋体" w:cs="宋体"/>
          <w:b/>
          <w:color w:val="000000" w:themeColor="text1"/>
          <w:sz w:val="30"/>
          <w:szCs w:val="72"/>
          <w:lang w:val="en-US" w:eastAsia="zh-CN"/>
          <w14:textFill>
            <w14:solidFill>
              <w14:schemeClr w14:val="tx1"/>
            </w14:solidFill>
          </w14:textFill>
        </w:rPr>
        <w:t>梧州学院</w:t>
      </w:r>
    </w:p>
    <w:p>
      <w:pPr>
        <w:snapToGrid w:val="0"/>
        <w:ind w:firstLine="2861" w:firstLineChars="950"/>
        <w:rPr>
          <w:rFonts w:hint="eastAsia" w:ascii="宋体" w:hAnsi="宋体" w:cs="宋体"/>
          <w:b/>
          <w:color w:val="000000" w:themeColor="text1"/>
          <w:sz w:val="30"/>
          <w:szCs w:val="72"/>
          <w14:textFill>
            <w14:solidFill>
              <w14:schemeClr w14:val="tx1"/>
            </w14:solidFill>
          </w14:textFill>
        </w:rPr>
      </w:pPr>
    </w:p>
    <w:p>
      <w:pPr>
        <w:pStyle w:val="2"/>
        <w:rPr>
          <w:rFonts w:hint="eastAsia"/>
        </w:rPr>
      </w:pPr>
    </w:p>
    <w:p>
      <w:pPr>
        <w:pStyle w:val="5"/>
        <w:rPr>
          <w:rFonts w:hint="eastAsia" w:ascii="宋体" w:hAnsi="宋体" w:cs="宋体"/>
          <w:color w:val="000000" w:themeColor="text1"/>
          <w14:textFill>
            <w14:solidFill>
              <w14:schemeClr w14:val="tx1"/>
            </w14:solidFill>
          </w14:textFill>
        </w:rPr>
      </w:pPr>
    </w:p>
    <w:p>
      <w:pPr>
        <w:snapToGrid w:val="0"/>
        <w:spacing w:before="156" w:beforeLines="50"/>
        <w:jc w:val="center"/>
        <w:rPr>
          <w:rFonts w:hint="eastAsia" w:ascii="宋体" w:hAnsi="宋体" w:cs="宋体"/>
          <w:b/>
          <w:color w:val="000000" w:themeColor="text1"/>
          <w:sz w:val="30"/>
          <w:szCs w:val="72"/>
          <w14:textFill>
            <w14:solidFill>
              <w14:schemeClr w14:val="tx1"/>
            </w14:solidFill>
          </w14:textFill>
        </w:rPr>
      </w:pPr>
      <w:r>
        <w:rPr>
          <w:rFonts w:hint="eastAsia" w:ascii="宋体" w:hAnsi="宋体" w:cs="宋体"/>
          <w:b/>
          <w:color w:val="000000" w:themeColor="text1"/>
          <w:sz w:val="30"/>
          <w:szCs w:val="72"/>
          <w14:textFill>
            <w14:solidFill>
              <w14:schemeClr w14:val="tx1"/>
            </w14:solidFill>
          </w14:textFill>
        </w:rPr>
        <w:t>采购代理机构：广西壮族自治区政府采购中心</w:t>
      </w:r>
    </w:p>
    <w:p>
      <w:pPr>
        <w:snapToGrid w:val="0"/>
        <w:spacing w:before="156" w:beforeLines="50"/>
        <w:rPr>
          <w:rFonts w:hint="eastAsia" w:ascii="宋体" w:hAnsi="宋体" w:cs="宋体"/>
          <w:b/>
          <w:color w:val="000000" w:themeColor="text1"/>
          <w:szCs w:val="21"/>
          <w14:textFill>
            <w14:solidFill>
              <w14:schemeClr w14:val="tx1"/>
            </w14:solidFill>
          </w14:textFill>
        </w:rPr>
      </w:pPr>
    </w:p>
    <w:p>
      <w:pPr>
        <w:snapToGrid w:val="0"/>
        <w:spacing w:before="156" w:beforeLines="50"/>
        <w:jc w:val="center"/>
        <w:rPr>
          <w:rFonts w:hint="eastAsia" w:ascii="宋体" w:hAnsi="宋体" w:cs="宋体"/>
          <w:b/>
          <w:color w:val="000000" w:themeColor="text1"/>
          <w:sz w:val="30"/>
          <w:szCs w:val="72"/>
          <w:lang w:val="en"/>
          <w14:textFill>
            <w14:solidFill>
              <w14:schemeClr w14:val="tx1"/>
            </w14:solidFill>
          </w14:textFill>
        </w:rPr>
      </w:pPr>
      <w:r>
        <w:rPr>
          <w:rFonts w:hint="eastAsia" w:ascii="宋体" w:hAnsi="宋体" w:cs="宋体"/>
          <w:b/>
          <w:color w:val="000000" w:themeColor="text1"/>
          <w:sz w:val="30"/>
          <w:szCs w:val="72"/>
          <w:lang w:val="en"/>
          <w14:textFill>
            <w14:solidFill>
              <w14:schemeClr w14:val="tx1"/>
            </w14:solidFill>
          </w14:textFill>
        </w:rPr>
        <w:t>20</w:t>
      </w:r>
      <w:r>
        <w:rPr>
          <w:rFonts w:hint="eastAsia" w:ascii="宋体" w:hAnsi="宋体" w:cs="宋体"/>
          <w:b/>
          <w:color w:val="000000" w:themeColor="text1"/>
          <w:sz w:val="30"/>
          <w:szCs w:val="72"/>
          <w14:textFill>
            <w14:solidFill>
              <w14:schemeClr w14:val="tx1"/>
            </w14:solidFill>
          </w14:textFill>
        </w:rPr>
        <w:t>26</w:t>
      </w:r>
      <w:r>
        <w:rPr>
          <w:rFonts w:hint="eastAsia" w:ascii="宋体" w:hAnsi="宋体" w:cs="宋体"/>
          <w:b/>
          <w:color w:val="000000" w:themeColor="text1"/>
          <w:sz w:val="30"/>
          <w:szCs w:val="72"/>
          <w:lang w:val="en"/>
          <w14:textFill>
            <w14:solidFill>
              <w14:schemeClr w14:val="tx1"/>
            </w14:solidFill>
          </w14:textFill>
        </w:rPr>
        <w:t>年</w:t>
      </w:r>
      <w:r>
        <w:rPr>
          <w:rFonts w:hint="default" w:ascii="宋体" w:hAnsi="宋体" w:cs="宋体"/>
          <w:b/>
          <w:color w:val="000000" w:themeColor="text1"/>
          <w:sz w:val="30"/>
          <w:szCs w:val="72"/>
          <w:lang w:val="en"/>
          <w14:textFill>
            <w14:solidFill>
              <w14:schemeClr w14:val="tx1"/>
            </w14:solidFill>
          </w14:textFill>
        </w:rPr>
        <w:t>8</w:t>
      </w:r>
      <w:r>
        <w:rPr>
          <w:rFonts w:hint="eastAsia" w:ascii="宋体" w:hAnsi="宋体" w:cs="宋体"/>
          <w:b/>
          <w:color w:val="000000" w:themeColor="text1"/>
          <w:sz w:val="30"/>
          <w:szCs w:val="72"/>
          <w:lang w:val="en"/>
          <w14:textFill>
            <w14:solidFill>
              <w14:schemeClr w14:val="tx1"/>
            </w14:solidFill>
          </w14:textFill>
        </w:rPr>
        <w:t>月</w:t>
      </w:r>
    </w:p>
    <w:p>
      <w:pPr>
        <w:snapToGrid w:val="0"/>
        <w:spacing w:line="260" w:lineRule="exact"/>
        <w:rPr>
          <w:rFonts w:hint="eastAsia" w:hAnsi="宋体" w:cs="宋体"/>
          <w:b/>
          <w:color w:val="000000" w:themeColor="text1"/>
          <w:sz w:val="44"/>
          <w14:textFill>
            <w14:solidFill>
              <w14:schemeClr w14:val="tx1"/>
            </w14:solidFill>
          </w14:textFill>
        </w:rPr>
      </w:pPr>
    </w:p>
    <w:p>
      <w:pPr>
        <w:snapToGrid w:val="0"/>
        <w:spacing w:line="260" w:lineRule="exact"/>
        <w:rPr>
          <w:rFonts w:hint="eastAsia" w:hAnsi="宋体" w:cs="宋体"/>
          <w:b/>
          <w:color w:val="000000" w:themeColor="text1"/>
          <w:sz w:val="44"/>
          <w14:textFill>
            <w14:solidFill>
              <w14:schemeClr w14:val="tx1"/>
            </w14:solidFill>
          </w14:textFill>
        </w:rPr>
      </w:pPr>
      <w:r>
        <w:rPr>
          <w:rFonts w:hint="eastAsia" w:hAnsi="宋体" w:cs="宋体"/>
          <w:b/>
          <w:color w:val="000000" w:themeColor="text1"/>
          <w:sz w:val="44"/>
          <w14:textFill>
            <w14:solidFill>
              <w14:schemeClr w14:val="tx1"/>
            </w14:solidFill>
          </w14:textFill>
        </w:rPr>
        <w:tab/>
      </w:r>
    </w:p>
    <w:p>
      <w:pPr>
        <w:pStyle w:val="29"/>
        <w:tabs>
          <w:tab w:val="left" w:pos="4204"/>
        </w:tabs>
        <w:jc w:val="left"/>
        <w:rPr>
          <w:rFonts w:hint="eastAsia" w:hAnsi="宋体" w:cs="宋体"/>
          <w:b/>
          <w:color w:val="000000" w:themeColor="text1"/>
          <w:sz w:val="44"/>
          <w14:textFill>
            <w14:solidFill>
              <w14:schemeClr w14:val="tx1"/>
            </w14:solidFill>
          </w14:textFill>
        </w:rPr>
      </w:pPr>
    </w:p>
    <w:sdt>
      <w:sdtPr>
        <w:rPr>
          <w:rFonts w:ascii="宋体" w:hAnsi="宋体"/>
          <w:color w:val="000000" w:themeColor="text1"/>
          <w:kern w:val="0"/>
          <w:sz w:val="20"/>
          <w:szCs w:val="20"/>
          <w14:textFill>
            <w14:solidFill>
              <w14:schemeClr w14:val="tx1"/>
            </w14:solidFill>
          </w14:textFill>
        </w:rPr>
        <w:id w:val="147453139"/>
        <w:docPartObj>
          <w:docPartGallery w:val="Table of Contents"/>
          <w:docPartUnique/>
        </w:docPartObj>
      </w:sdtPr>
      <w:sdtEndPr>
        <w:rPr>
          <w:rFonts w:ascii="宋体" w:hAnsi="宋体"/>
          <w:color w:val="000000" w:themeColor="text1"/>
          <w:kern w:val="0"/>
          <w:sz w:val="20"/>
          <w:szCs w:val="20"/>
          <w14:textFill>
            <w14:solidFill>
              <w14:schemeClr w14:val="tx1"/>
            </w14:solidFill>
          </w14:textFill>
        </w:rPr>
      </w:sdtEndPr>
      <w:sdtContent>
        <w:p>
          <w:pPr>
            <w:jc w:val="center"/>
            <w:rPr>
              <w:rFonts w:hint="eastAsia" w:ascii="宋体" w:hAnsi="宋体" w:cs="宋体"/>
              <w:b/>
              <w:bCs/>
              <w:color w:val="000000" w:themeColor="text1"/>
              <w:sz w:val="28"/>
              <w:szCs w:val="28"/>
              <w14:textFill>
                <w14:solidFill>
                  <w14:schemeClr w14:val="tx1"/>
                </w14:solidFill>
              </w14:textFill>
            </w:rPr>
          </w:pPr>
          <w:bookmarkStart w:id="0" w:name="_Toc2115451214_WPSOffice_Type1"/>
          <w:r>
            <w:rPr>
              <w:rFonts w:hint="eastAsia" w:ascii="宋体" w:hAnsi="宋体" w:cs="宋体"/>
              <w:b/>
              <w:bCs/>
              <w:color w:val="000000" w:themeColor="text1"/>
              <w:sz w:val="28"/>
              <w:szCs w:val="28"/>
              <w14:textFill>
                <w14:solidFill>
                  <w14:schemeClr w14:val="tx1"/>
                </w14:solidFill>
              </w14:textFill>
            </w:rPr>
            <w:t>目录</w:t>
          </w:r>
        </w:p>
        <w:p>
          <w:pPr>
            <w:pStyle w:val="655"/>
            <w:tabs>
              <w:tab w:val="right" w:leader="dot" w:pos="9412"/>
            </w:tabs>
            <w:rPr>
              <w:rFonts w:hint="eastAsia" w:ascii="宋体" w:hAnsi="宋体" w:cs="宋体"/>
              <w:b/>
              <w:bCs/>
              <w:color w:val="000000" w:themeColor="text1"/>
              <w:sz w:val="28"/>
              <w:szCs w:val="28"/>
              <w14:textFill>
                <w14:solidFill>
                  <w14:schemeClr w14:val="tx1"/>
                </w14:solidFill>
              </w14:textFill>
            </w:rPr>
          </w:pPr>
          <w:r>
            <w:fldChar w:fldCharType="begin"/>
          </w:r>
          <w:r>
            <w:instrText xml:space="preserve"> HYPERLINK \l "_Toc487819912_WPSOffice_Level1" </w:instrText>
          </w:r>
          <w:r>
            <w:fldChar w:fldCharType="separate"/>
          </w:r>
          <w:sdt>
            <w:sdtPr>
              <w:rPr>
                <w:rFonts w:hint="eastAsia" w:ascii="宋体" w:hAnsi="宋体" w:cs="宋体"/>
                <w:b/>
                <w:bCs/>
                <w:color w:val="000000" w:themeColor="text1"/>
                <w:sz w:val="28"/>
                <w:szCs w:val="28"/>
                <w14:textFill>
                  <w14:solidFill>
                    <w14:schemeClr w14:val="tx1"/>
                  </w14:solidFill>
                </w14:textFill>
              </w:rPr>
              <w:id w:val="456695304"/>
              <w:placeholder>
                <w:docPart w:val="{490900d3-30dc-446c-80a1-0d70bd9ae101}"/>
              </w:placeholder>
            </w:sdtPr>
            <w:sdtEndPr>
              <w:rPr>
                <w:rFonts w:hint="eastAsia" w:ascii="宋体" w:hAnsi="宋体" w:cs="宋体"/>
                <w:b/>
                <w:bCs/>
                <w:color w:val="000000" w:themeColor="text1"/>
                <w:sz w:val="28"/>
                <w:szCs w:val="28"/>
                <w14:textFill>
                  <w14:solidFill>
                    <w14:schemeClr w14:val="tx1"/>
                  </w14:solidFill>
                </w14:textFill>
              </w:rPr>
            </w:sdtEndPr>
            <w:sdtContent>
              <w:r>
                <w:rPr>
                  <w:rFonts w:hint="eastAsia" w:ascii="宋体" w:hAnsi="宋体" w:cs="宋体"/>
                  <w:b/>
                  <w:bCs/>
                  <w:color w:val="000000" w:themeColor="text1"/>
                  <w:sz w:val="28"/>
                  <w:szCs w:val="28"/>
                  <w14:textFill>
                    <w14:solidFill>
                      <w14:schemeClr w14:val="tx1"/>
                    </w14:solidFill>
                  </w14:textFill>
                </w:rPr>
                <w:t>第一章  公开招标公告</w:t>
              </w:r>
            </w:sdtContent>
          </w:sdt>
          <w:r>
            <w:rPr>
              <w:rFonts w:hint="eastAsia" w:ascii="宋体" w:hAnsi="宋体" w:cs="宋体"/>
              <w:b/>
              <w:bCs/>
              <w:color w:val="000000" w:themeColor="text1"/>
              <w:sz w:val="28"/>
              <w:szCs w:val="28"/>
              <w14:textFill>
                <w14:solidFill>
                  <w14:schemeClr w14:val="tx1"/>
                </w14:solidFill>
              </w14:textFill>
            </w:rPr>
            <w:tab/>
          </w:r>
          <w:bookmarkStart w:id="1" w:name="_Toc487819912_WPSOffice_Level1Page"/>
          <w:r>
            <w:rPr>
              <w:rFonts w:hint="eastAsia" w:ascii="宋体" w:hAnsi="宋体" w:cs="宋体"/>
              <w:b/>
              <w:bCs/>
              <w:color w:val="000000" w:themeColor="text1"/>
              <w:sz w:val="28"/>
              <w:szCs w:val="28"/>
              <w14:textFill>
                <w14:solidFill>
                  <w14:schemeClr w14:val="tx1"/>
                </w14:solidFill>
              </w14:textFill>
            </w:rPr>
            <w:t>3</w:t>
          </w:r>
          <w:bookmarkEnd w:id="1"/>
          <w:r>
            <w:rPr>
              <w:rFonts w:hint="eastAsia" w:ascii="宋体" w:hAnsi="宋体" w:cs="宋体"/>
              <w:b/>
              <w:bCs/>
              <w:color w:val="000000" w:themeColor="text1"/>
              <w:sz w:val="28"/>
              <w:szCs w:val="28"/>
              <w14:textFill>
                <w14:solidFill>
                  <w14:schemeClr w14:val="tx1"/>
                </w14:solidFill>
              </w14:textFill>
            </w:rPr>
            <w:fldChar w:fldCharType="end"/>
          </w:r>
        </w:p>
        <w:p>
          <w:pPr>
            <w:pStyle w:val="655"/>
            <w:tabs>
              <w:tab w:val="right" w:leader="dot" w:pos="9412"/>
            </w:tabs>
            <w:rPr>
              <w:rFonts w:hint="eastAsia" w:ascii="宋体" w:hAnsi="宋体" w:cs="宋体"/>
              <w:b/>
              <w:bCs/>
              <w:color w:val="000000" w:themeColor="text1"/>
              <w:sz w:val="28"/>
              <w:szCs w:val="28"/>
              <w14:textFill>
                <w14:solidFill>
                  <w14:schemeClr w14:val="tx1"/>
                </w14:solidFill>
              </w14:textFill>
            </w:rPr>
          </w:pPr>
          <w:r>
            <w:fldChar w:fldCharType="begin"/>
          </w:r>
          <w:r>
            <w:instrText xml:space="preserve"> HYPERLINK \l "_Toc2115451214_WPSOffice_Level1" </w:instrText>
          </w:r>
          <w:r>
            <w:fldChar w:fldCharType="separate"/>
          </w:r>
          <w:sdt>
            <w:sdtPr>
              <w:rPr>
                <w:rFonts w:hint="eastAsia" w:ascii="宋体" w:hAnsi="宋体" w:cs="宋体"/>
                <w:b/>
                <w:bCs/>
                <w:color w:val="000000" w:themeColor="text1"/>
                <w:sz w:val="28"/>
                <w:szCs w:val="28"/>
                <w14:textFill>
                  <w14:solidFill>
                    <w14:schemeClr w14:val="tx1"/>
                  </w14:solidFill>
                </w14:textFill>
              </w:rPr>
              <w:id w:val="147470740"/>
              <w:placeholder>
                <w:docPart w:val="{b8ea237b-c1ae-4bcb-bc44-5b29a3e0fd30}"/>
              </w:placeholder>
            </w:sdtPr>
            <w:sdtEndPr>
              <w:rPr>
                <w:rFonts w:hint="eastAsia" w:ascii="宋体" w:hAnsi="宋体" w:cs="宋体"/>
                <w:b/>
                <w:bCs/>
                <w:color w:val="000000" w:themeColor="text1"/>
                <w:sz w:val="28"/>
                <w:szCs w:val="28"/>
                <w14:textFill>
                  <w14:solidFill>
                    <w14:schemeClr w14:val="tx1"/>
                  </w14:solidFill>
                </w14:textFill>
              </w:rPr>
            </w:sdtEndPr>
            <w:sdtContent>
              <w:r>
                <w:rPr>
                  <w:rFonts w:hint="eastAsia" w:ascii="宋体" w:hAnsi="宋体" w:cs="宋体"/>
                  <w:b/>
                  <w:bCs/>
                  <w:color w:val="000000" w:themeColor="text1"/>
                  <w:sz w:val="28"/>
                  <w:szCs w:val="28"/>
                  <w14:textFill>
                    <w14:solidFill>
                      <w14:schemeClr w14:val="tx1"/>
                    </w14:solidFill>
                  </w14:textFill>
                </w:rPr>
                <w:t>第二章  招标项目采购需求</w:t>
              </w:r>
            </w:sdtContent>
          </w:sdt>
          <w:r>
            <w:rPr>
              <w:rFonts w:hint="eastAsia" w:ascii="宋体" w:hAnsi="宋体" w:cs="宋体"/>
              <w:b/>
              <w:bCs/>
              <w:color w:val="000000" w:themeColor="text1"/>
              <w:sz w:val="28"/>
              <w:szCs w:val="28"/>
              <w14:textFill>
                <w14:solidFill>
                  <w14:schemeClr w14:val="tx1"/>
                </w14:solidFill>
              </w14:textFill>
            </w:rPr>
            <w:tab/>
          </w:r>
          <w:bookmarkStart w:id="2" w:name="_Toc2115451214_WPSOffice_Level1Page"/>
          <w:r>
            <w:rPr>
              <w:rFonts w:hint="eastAsia" w:ascii="宋体" w:hAnsi="宋体" w:cs="宋体"/>
              <w:b/>
              <w:bCs/>
              <w:color w:val="000000" w:themeColor="text1"/>
              <w:sz w:val="28"/>
              <w:szCs w:val="28"/>
              <w14:textFill>
                <w14:solidFill>
                  <w14:schemeClr w14:val="tx1"/>
                </w14:solidFill>
              </w14:textFill>
            </w:rPr>
            <w:t>7</w:t>
          </w:r>
          <w:bookmarkEnd w:id="2"/>
          <w:r>
            <w:rPr>
              <w:rFonts w:hint="eastAsia" w:ascii="宋体" w:hAnsi="宋体" w:cs="宋体"/>
              <w:b/>
              <w:bCs/>
              <w:color w:val="000000" w:themeColor="text1"/>
              <w:sz w:val="28"/>
              <w:szCs w:val="28"/>
              <w14:textFill>
                <w14:solidFill>
                  <w14:schemeClr w14:val="tx1"/>
                </w14:solidFill>
              </w14:textFill>
            </w:rPr>
            <w:fldChar w:fldCharType="end"/>
          </w:r>
        </w:p>
        <w:p>
          <w:pPr>
            <w:pStyle w:val="655"/>
            <w:tabs>
              <w:tab w:val="right" w:leader="dot" w:pos="9412"/>
            </w:tabs>
            <w:rPr>
              <w:rFonts w:hint="eastAsia" w:ascii="宋体" w:hAnsi="宋体" w:cs="宋体"/>
              <w:b/>
              <w:bCs/>
              <w:color w:val="000000" w:themeColor="text1"/>
              <w:sz w:val="28"/>
              <w:szCs w:val="28"/>
              <w14:textFill>
                <w14:solidFill>
                  <w14:schemeClr w14:val="tx1"/>
                </w14:solidFill>
              </w14:textFill>
            </w:rPr>
          </w:pPr>
          <w:r>
            <w:fldChar w:fldCharType="begin"/>
          </w:r>
          <w:r>
            <w:instrText xml:space="preserve"> HYPERLINK \l "_Toc549323342_WPSOffice_Level1" </w:instrText>
          </w:r>
          <w:r>
            <w:fldChar w:fldCharType="separate"/>
          </w:r>
          <w:sdt>
            <w:sdtPr>
              <w:rPr>
                <w:rFonts w:hint="eastAsia" w:ascii="宋体" w:hAnsi="宋体" w:cs="宋体"/>
                <w:b/>
                <w:bCs/>
                <w:color w:val="000000" w:themeColor="text1"/>
                <w:sz w:val="28"/>
                <w:szCs w:val="28"/>
                <w14:textFill>
                  <w14:solidFill>
                    <w14:schemeClr w14:val="tx1"/>
                  </w14:solidFill>
                </w14:textFill>
              </w:rPr>
              <w:id w:val="147464627"/>
              <w:placeholder>
                <w:docPart w:val="{de75a0df-69e8-419c-b7ec-36ce2e97e090}"/>
              </w:placeholder>
            </w:sdtPr>
            <w:sdtEndPr>
              <w:rPr>
                <w:rFonts w:hint="eastAsia" w:ascii="宋体" w:hAnsi="宋体" w:cs="宋体"/>
                <w:b/>
                <w:bCs/>
                <w:color w:val="000000" w:themeColor="text1"/>
                <w:sz w:val="28"/>
                <w:szCs w:val="28"/>
                <w14:textFill>
                  <w14:solidFill>
                    <w14:schemeClr w14:val="tx1"/>
                  </w14:solidFill>
                </w14:textFill>
              </w:rPr>
            </w:sdtEndPr>
            <w:sdtContent>
              <w:r>
                <w:rPr>
                  <w:rFonts w:hint="eastAsia" w:ascii="宋体" w:hAnsi="宋体" w:cs="宋体"/>
                  <w:b/>
                  <w:bCs/>
                  <w:color w:val="000000" w:themeColor="text1"/>
                  <w:sz w:val="28"/>
                  <w:szCs w:val="28"/>
                  <w14:textFill>
                    <w14:solidFill>
                      <w14:schemeClr w14:val="tx1"/>
                    </w14:solidFill>
                  </w14:textFill>
                </w:rPr>
                <w:t>第三章  投标人须知</w:t>
              </w:r>
            </w:sdtContent>
          </w:sdt>
          <w:r>
            <w:rPr>
              <w:rFonts w:hint="eastAsia" w:ascii="宋体" w:hAnsi="宋体" w:cs="宋体"/>
              <w:b/>
              <w:bCs/>
              <w:color w:val="000000" w:themeColor="text1"/>
              <w:sz w:val="28"/>
              <w:szCs w:val="28"/>
              <w14:textFill>
                <w14:solidFill>
                  <w14:schemeClr w14:val="tx1"/>
                </w14:solidFill>
              </w14:textFill>
            </w:rPr>
            <w:tab/>
          </w:r>
          <w:bookmarkStart w:id="3" w:name="_Toc549323342_WPSOffice_Level1Page"/>
          <w:r>
            <w:rPr>
              <w:rFonts w:hint="eastAsia" w:ascii="宋体" w:hAnsi="宋体" w:cs="宋体"/>
              <w:b/>
              <w:bCs/>
              <w:color w:val="000000" w:themeColor="text1"/>
              <w:sz w:val="28"/>
              <w:szCs w:val="28"/>
              <w14:textFill>
                <w14:solidFill>
                  <w14:schemeClr w14:val="tx1"/>
                </w14:solidFill>
              </w14:textFill>
            </w:rPr>
            <w:t>2</w:t>
          </w:r>
          <w:bookmarkEnd w:id="3"/>
          <w:r>
            <w:rPr>
              <w:rFonts w:hint="eastAsia" w:ascii="宋体" w:hAnsi="宋体" w:cs="宋体"/>
              <w:b/>
              <w:bCs/>
              <w:color w:val="000000" w:themeColor="text1"/>
              <w:sz w:val="28"/>
              <w:szCs w:val="28"/>
              <w:lang w:val="en-US" w:eastAsia="zh-CN"/>
              <w14:textFill>
                <w14:solidFill>
                  <w14:schemeClr w14:val="tx1"/>
                </w14:solidFill>
              </w14:textFill>
            </w:rPr>
            <w:t>8</w:t>
          </w:r>
          <w:r>
            <w:rPr>
              <w:rFonts w:hint="eastAsia" w:ascii="宋体" w:hAnsi="宋体" w:cs="宋体"/>
              <w:b/>
              <w:bCs/>
              <w:color w:val="000000" w:themeColor="text1"/>
              <w:sz w:val="28"/>
              <w:szCs w:val="28"/>
              <w14:textFill>
                <w14:solidFill>
                  <w14:schemeClr w14:val="tx1"/>
                </w14:solidFill>
              </w14:textFill>
            </w:rPr>
            <w:fldChar w:fldCharType="end"/>
          </w:r>
        </w:p>
        <w:p>
          <w:pPr>
            <w:pStyle w:val="655"/>
            <w:tabs>
              <w:tab w:val="right" w:leader="dot" w:pos="9412"/>
            </w:tabs>
            <w:rPr>
              <w:rFonts w:hint="eastAsia" w:ascii="宋体" w:hAnsi="宋体" w:eastAsia="宋体" w:cs="宋体"/>
              <w:b/>
              <w:bCs/>
              <w:color w:val="000000" w:themeColor="text1"/>
              <w:sz w:val="28"/>
              <w:szCs w:val="28"/>
              <w:lang w:val="en-US" w:eastAsia="zh-CN"/>
              <w14:textFill>
                <w14:solidFill>
                  <w14:schemeClr w14:val="tx1"/>
                </w14:solidFill>
              </w14:textFill>
            </w:rPr>
          </w:pPr>
          <w:r>
            <w:fldChar w:fldCharType="begin"/>
          </w:r>
          <w:r>
            <w:instrText xml:space="preserve"> HYPERLINK \l "_Toc1436284484_WPSOffice_Level1" </w:instrText>
          </w:r>
          <w:r>
            <w:fldChar w:fldCharType="separate"/>
          </w:r>
          <w:sdt>
            <w:sdtPr>
              <w:rPr>
                <w:rFonts w:hint="eastAsia" w:ascii="宋体" w:hAnsi="宋体" w:cs="宋体"/>
                <w:b/>
                <w:bCs/>
                <w:color w:val="000000" w:themeColor="text1"/>
                <w:sz w:val="28"/>
                <w:szCs w:val="28"/>
                <w14:textFill>
                  <w14:solidFill>
                    <w14:schemeClr w14:val="tx1"/>
                  </w14:solidFill>
                </w14:textFill>
              </w:rPr>
              <w:id w:val="147481123"/>
              <w:placeholder>
                <w:docPart w:val="{c13b4044-f856-4d7f-af74-3bf0ed24b96e}"/>
              </w:placeholder>
            </w:sdtPr>
            <w:sdtEndPr>
              <w:rPr>
                <w:rFonts w:hint="eastAsia" w:ascii="宋体" w:hAnsi="宋体" w:cs="宋体"/>
                <w:b/>
                <w:bCs/>
                <w:color w:val="000000" w:themeColor="text1"/>
                <w:sz w:val="28"/>
                <w:szCs w:val="28"/>
                <w14:textFill>
                  <w14:solidFill>
                    <w14:schemeClr w14:val="tx1"/>
                  </w14:solidFill>
                </w14:textFill>
              </w:rPr>
            </w:sdtEndPr>
            <w:sdtContent>
              <w:r>
                <w:rPr>
                  <w:rFonts w:hint="eastAsia" w:ascii="宋体" w:hAnsi="宋体" w:cs="宋体"/>
                  <w:b/>
                  <w:bCs/>
                  <w:color w:val="000000" w:themeColor="text1"/>
                  <w:sz w:val="28"/>
                  <w:szCs w:val="28"/>
                  <w14:textFill>
                    <w14:solidFill>
                      <w14:schemeClr w14:val="tx1"/>
                    </w14:solidFill>
                  </w14:textFill>
                </w:rPr>
                <w:t>第四章  评标方法及评分标准</w:t>
              </w:r>
            </w:sdtContent>
          </w:sdt>
          <w:r>
            <w:rPr>
              <w:rFonts w:hint="eastAsia" w:ascii="宋体" w:hAnsi="宋体" w:cs="宋体"/>
              <w:b/>
              <w:bCs/>
              <w:color w:val="000000" w:themeColor="text1"/>
              <w:sz w:val="28"/>
              <w:szCs w:val="28"/>
              <w14:textFill>
                <w14:solidFill>
                  <w14:schemeClr w14:val="tx1"/>
                </w14:solidFill>
              </w14:textFill>
            </w:rPr>
            <w:tab/>
          </w:r>
          <w:bookmarkStart w:id="4" w:name="_Toc1436284484_WPSOffice_Level1Page"/>
          <w:r>
            <w:rPr>
              <w:rFonts w:hint="eastAsia" w:ascii="宋体" w:hAnsi="宋体" w:cs="宋体"/>
              <w:b/>
              <w:bCs/>
              <w:color w:val="000000" w:themeColor="text1"/>
              <w:sz w:val="28"/>
              <w:szCs w:val="28"/>
              <w14:textFill>
                <w14:solidFill>
                  <w14:schemeClr w14:val="tx1"/>
                </w14:solidFill>
              </w14:textFill>
            </w:rPr>
            <w:t>4</w:t>
          </w:r>
          <w:bookmarkEnd w:id="4"/>
          <w:r>
            <w:rPr>
              <w:rFonts w:hint="eastAsia" w:ascii="宋体" w:hAnsi="宋体" w:cs="宋体"/>
              <w:b/>
              <w:bCs/>
              <w:color w:val="000000" w:themeColor="text1"/>
              <w:sz w:val="28"/>
              <w:szCs w:val="28"/>
              <w14:textFill>
                <w14:solidFill>
                  <w14:schemeClr w14:val="tx1"/>
                </w14:solidFill>
              </w14:textFill>
            </w:rPr>
            <w:fldChar w:fldCharType="end"/>
          </w:r>
          <w:r>
            <w:rPr>
              <w:rFonts w:hint="eastAsia" w:ascii="宋体" w:hAnsi="宋体" w:cs="宋体"/>
              <w:b/>
              <w:bCs/>
              <w:color w:val="000000" w:themeColor="text1"/>
              <w:sz w:val="28"/>
              <w:szCs w:val="28"/>
              <w:lang w:val="en-US" w:eastAsia="zh-CN"/>
              <w14:textFill>
                <w14:solidFill>
                  <w14:schemeClr w14:val="tx1"/>
                </w14:solidFill>
              </w14:textFill>
            </w:rPr>
            <w:t>4</w:t>
          </w:r>
        </w:p>
        <w:p>
          <w:pPr>
            <w:pStyle w:val="655"/>
            <w:tabs>
              <w:tab w:val="right" w:leader="dot" w:pos="9412"/>
            </w:tabs>
            <w:rPr>
              <w:rFonts w:hint="eastAsia" w:ascii="宋体" w:hAnsi="宋体" w:cs="宋体"/>
              <w:b/>
              <w:bCs/>
              <w:color w:val="000000" w:themeColor="text1"/>
              <w:sz w:val="28"/>
              <w:szCs w:val="28"/>
              <w14:textFill>
                <w14:solidFill>
                  <w14:schemeClr w14:val="tx1"/>
                </w14:solidFill>
              </w14:textFill>
            </w:rPr>
          </w:pPr>
          <w:r>
            <w:fldChar w:fldCharType="begin"/>
          </w:r>
          <w:r>
            <w:instrText xml:space="preserve"> HYPERLINK \l "_Toc986035467_WPSOffice_Level1" </w:instrText>
          </w:r>
          <w:r>
            <w:fldChar w:fldCharType="separate"/>
          </w:r>
          <w:sdt>
            <w:sdtPr>
              <w:rPr>
                <w:rFonts w:hint="eastAsia" w:ascii="宋体" w:hAnsi="宋体" w:cs="宋体"/>
                <w:b/>
                <w:bCs/>
                <w:color w:val="000000" w:themeColor="text1"/>
                <w:sz w:val="28"/>
                <w:szCs w:val="28"/>
                <w14:textFill>
                  <w14:solidFill>
                    <w14:schemeClr w14:val="tx1"/>
                  </w14:solidFill>
                </w14:textFill>
              </w:rPr>
              <w:id w:val="147457472"/>
              <w:placeholder>
                <w:docPart w:val="{f4b58236-4bc4-4180-bc8d-0a82893c1a87}"/>
              </w:placeholder>
            </w:sdtPr>
            <w:sdtEndPr>
              <w:rPr>
                <w:rFonts w:hint="eastAsia" w:ascii="宋体" w:hAnsi="宋体" w:cs="宋体"/>
                <w:b/>
                <w:bCs/>
                <w:color w:val="000000" w:themeColor="text1"/>
                <w:sz w:val="28"/>
                <w:szCs w:val="28"/>
                <w14:textFill>
                  <w14:solidFill>
                    <w14:schemeClr w14:val="tx1"/>
                  </w14:solidFill>
                </w14:textFill>
              </w:rPr>
            </w:sdtEndPr>
            <w:sdtContent>
              <w:r>
                <w:rPr>
                  <w:rFonts w:hint="eastAsia" w:ascii="宋体" w:hAnsi="宋体" w:cs="宋体"/>
                  <w:b/>
                  <w:bCs/>
                  <w:color w:val="000000" w:themeColor="text1"/>
                  <w:sz w:val="28"/>
                  <w:szCs w:val="28"/>
                  <w14:textFill>
                    <w14:solidFill>
                      <w14:schemeClr w14:val="tx1"/>
                    </w14:solidFill>
                  </w14:textFill>
                </w:rPr>
                <w:t>第五章  政府采购合同主要条款</w:t>
              </w:r>
            </w:sdtContent>
          </w:sdt>
          <w:r>
            <w:rPr>
              <w:rFonts w:hint="eastAsia" w:ascii="宋体" w:hAnsi="宋体" w:cs="宋体"/>
              <w:b/>
              <w:bCs/>
              <w:color w:val="000000" w:themeColor="text1"/>
              <w:sz w:val="28"/>
              <w:szCs w:val="28"/>
              <w14:textFill>
                <w14:solidFill>
                  <w14:schemeClr w14:val="tx1"/>
                </w14:solidFill>
              </w14:textFill>
            </w:rPr>
            <w:tab/>
          </w:r>
          <w:bookmarkStart w:id="5" w:name="_Toc986035467_WPSOffice_Level1Page"/>
          <w:r>
            <w:rPr>
              <w:rFonts w:hint="eastAsia" w:ascii="宋体" w:hAnsi="宋体" w:cs="宋体"/>
              <w:b/>
              <w:bCs/>
              <w:color w:val="000000" w:themeColor="text1"/>
              <w:sz w:val="28"/>
              <w:szCs w:val="28"/>
              <w14:textFill>
                <w14:solidFill>
                  <w14:schemeClr w14:val="tx1"/>
                </w14:solidFill>
              </w14:textFill>
            </w:rPr>
            <w:t>4</w:t>
          </w:r>
          <w:bookmarkEnd w:id="5"/>
          <w:r>
            <w:rPr>
              <w:rFonts w:hint="eastAsia" w:ascii="宋体" w:hAnsi="宋体" w:cs="宋体"/>
              <w:b/>
              <w:bCs/>
              <w:color w:val="000000" w:themeColor="text1"/>
              <w:sz w:val="28"/>
              <w:szCs w:val="28"/>
              <w:lang w:val="en-US" w:eastAsia="zh-CN"/>
              <w14:textFill>
                <w14:solidFill>
                  <w14:schemeClr w14:val="tx1"/>
                </w14:solidFill>
              </w14:textFill>
            </w:rPr>
            <w:t>9</w:t>
          </w:r>
          <w:r>
            <w:rPr>
              <w:rFonts w:hint="eastAsia" w:ascii="宋体" w:hAnsi="宋体" w:cs="宋体"/>
              <w:b/>
              <w:bCs/>
              <w:color w:val="000000" w:themeColor="text1"/>
              <w:sz w:val="28"/>
              <w:szCs w:val="28"/>
              <w14:textFill>
                <w14:solidFill>
                  <w14:schemeClr w14:val="tx1"/>
                </w14:solidFill>
              </w14:textFill>
            </w:rPr>
            <w:fldChar w:fldCharType="end"/>
          </w:r>
        </w:p>
        <w:p>
          <w:pPr>
            <w:pStyle w:val="655"/>
            <w:tabs>
              <w:tab w:val="right" w:leader="dot" w:pos="9412"/>
            </w:tabs>
            <w:rPr>
              <w:color w:val="000000" w:themeColor="text1"/>
              <w14:textFill>
                <w14:solidFill>
                  <w14:schemeClr w14:val="tx1"/>
                </w14:solidFill>
              </w14:textFill>
            </w:rPr>
          </w:pPr>
          <w:r>
            <w:fldChar w:fldCharType="begin"/>
          </w:r>
          <w:r>
            <w:instrText xml:space="preserve"> HYPERLINK \l "_Toc1951924562_WPSOffice_Level1" </w:instrText>
          </w:r>
          <w:r>
            <w:fldChar w:fldCharType="separate"/>
          </w:r>
          <w:sdt>
            <w:sdtPr>
              <w:rPr>
                <w:rFonts w:hint="eastAsia" w:ascii="宋体" w:hAnsi="宋体" w:cs="宋体"/>
                <w:b/>
                <w:bCs/>
                <w:color w:val="000000" w:themeColor="text1"/>
                <w:sz w:val="28"/>
                <w:szCs w:val="28"/>
                <w14:textFill>
                  <w14:solidFill>
                    <w14:schemeClr w14:val="tx1"/>
                  </w14:solidFill>
                </w14:textFill>
              </w:rPr>
              <w:id w:val="147471922"/>
              <w:placeholder>
                <w:docPart w:val="{caddab5e-45f0-4cf0-85a9-be1ddeb20591}"/>
              </w:placeholder>
            </w:sdtPr>
            <w:sdtEndPr>
              <w:rPr>
                <w:rFonts w:hint="eastAsia" w:ascii="宋体" w:hAnsi="宋体" w:cs="宋体"/>
                <w:b/>
                <w:bCs/>
                <w:color w:val="000000" w:themeColor="text1"/>
                <w:sz w:val="28"/>
                <w:szCs w:val="28"/>
                <w14:textFill>
                  <w14:solidFill>
                    <w14:schemeClr w14:val="tx1"/>
                  </w14:solidFill>
                </w14:textFill>
              </w:rPr>
            </w:sdtEndPr>
            <w:sdtContent>
              <w:r>
                <w:rPr>
                  <w:rFonts w:hint="eastAsia" w:ascii="宋体" w:hAnsi="宋体" w:cs="宋体"/>
                  <w:b/>
                  <w:bCs/>
                  <w:color w:val="000000" w:themeColor="text1"/>
                  <w:sz w:val="28"/>
                  <w:szCs w:val="28"/>
                  <w14:textFill>
                    <w14:solidFill>
                      <w14:schemeClr w14:val="tx1"/>
                    </w14:solidFill>
                  </w14:textFill>
                </w:rPr>
                <w:t>第六章　投标文件格式</w:t>
              </w:r>
            </w:sdtContent>
          </w:sdt>
          <w:r>
            <w:rPr>
              <w:rFonts w:hint="eastAsia" w:ascii="宋体" w:hAnsi="宋体" w:cs="宋体"/>
              <w:b/>
              <w:bCs/>
              <w:color w:val="000000" w:themeColor="text1"/>
              <w:sz w:val="28"/>
              <w:szCs w:val="28"/>
              <w14:textFill>
                <w14:solidFill>
                  <w14:schemeClr w14:val="tx1"/>
                </w14:solidFill>
              </w14:textFill>
            </w:rPr>
            <w:tab/>
          </w:r>
          <w:bookmarkStart w:id="6" w:name="_Toc1951924562_WPSOffice_Level1Page"/>
          <w:r>
            <w:rPr>
              <w:rFonts w:hint="eastAsia" w:ascii="宋体" w:hAnsi="宋体" w:cs="宋体"/>
              <w:b/>
              <w:bCs/>
              <w:color w:val="000000" w:themeColor="text1"/>
              <w:sz w:val="28"/>
              <w:szCs w:val="28"/>
              <w14:textFill>
                <w14:solidFill>
                  <w14:schemeClr w14:val="tx1"/>
                </w14:solidFill>
              </w14:textFill>
            </w:rPr>
            <w:t>5</w:t>
          </w:r>
          <w:bookmarkEnd w:id="6"/>
          <w:r>
            <w:rPr>
              <w:rFonts w:hint="eastAsia" w:ascii="宋体" w:hAnsi="宋体" w:cs="宋体"/>
              <w:b/>
              <w:bCs/>
              <w:color w:val="000000" w:themeColor="text1"/>
              <w:sz w:val="28"/>
              <w:szCs w:val="28"/>
              <w:lang w:val="en-US" w:eastAsia="zh-CN"/>
              <w14:textFill>
                <w14:solidFill>
                  <w14:schemeClr w14:val="tx1"/>
                </w14:solidFill>
              </w14:textFill>
            </w:rPr>
            <w:t>7</w:t>
          </w:r>
          <w:r>
            <w:rPr>
              <w:rFonts w:hint="eastAsia" w:ascii="宋体" w:hAnsi="宋体" w:cs="宋体"/>
              <w:b/>
              <w:bCs/>
              <w:color w:val="000000" w:themeColor="text1"/>
              <w:sz w:val="28"/>
              <w:szCs w:val="28"/>
              <w14:textFill>
                <w14:solidFill>
                  <w14:schemeClr w14:val="tx1"/>
                </w14:solidFill>
              </w14:textFill>
            </w:rPr>
            <w:fldChar w:fldCharType="end"/>
          </w:r>
        </w:p>
        <w:p>
          <w:pPr>
            <w:pStyle w:val="655"/>
            <w:tabs>
              <w:tab w:val="right" w:leader="dot" w:pos="9412"/>
            </w:tabs>
            <w:rPr>
              <w:color w:val="000000" w:themeColor="text1"/>
              <w14:textFill>
                <w14:solidFill>
                  <w14:schemeClr w14:val="tx1"/>
                </w14:solidFill>
              </w14:textFill>
            </w:rPr>
          </w:pPr>
        </w:p>
      </w:sdtContent>
    </w:sdt>
    <w:bookmarkEnd w:id="0"/>
    <w:p>
      <w:pPr>
        <w:pStyle w:val="228"/>
        <w:widowControl w:val="0"/>
        <w:spacing w:afterLines="0"/>
        <w:ind w:firstLine="883"/>
        <w:jc w:val="center"/>
        <w:rPr>
          <w:rFonts w:hint="eastAsia" w:ascii="宋体" w:hAnsi="宋体" w:cs="宋体"/>
          <w:b/>
          <w:color w:val="000000" w:themeColor="text1"/>
          <w:sz w:val="44"/>
          <w:szCs w:val="44"/>
          <w14:textFill>
            <w14:solidFill>
              <w14:schemeClr w14:val="tx1"/>
            </w14:solidFill>
          </w14:textFill>
        </w:rPr>
      </w:pPr>
    </w:p>
    <w:p>
      <w:pPr>
        <w:pStyle w:val="228"/>
        <w:widowControl w:val="0"/>
        <w:spacing w:afterLines="0"/>
        <w:ind w:firstLine="883"/>
        <w:jc w:val="center"/>
        <w:rPr>
          <w:rFonts w:hint="eastAsia" w:ascii="宋体" w:hAnsi="宋体" w:cs="宋体"/>
          <w:b/>
          <w:color w:val="000000" w:themeColor="text1"/>
          <w:sz w:val="44"/>
          <w:szCs w:val="44"/>
          <w14:textFill>
            <w14:solidFill>
              <w14:schemeClr w14:val="tx1"/>
            </w14:solidFill>
          </w14:textFill>
        </w:rPr>
      </w:pPr>
    </w:p>
    <w:p>
      <w:pPr>
        <w:pStyle w:val="228"/>
        <w:widowControl w:val="0"/>
        <w:spacing w:afterLines="0"/>
        <w:ind w:firstLine="883"/>
        <w:jc w:val="center"/>
        <w:rPr>
          <w:rFonts w:hint="eastAsia" w:ascii="宋体" w:hAnsi="宋体" w:cs="宋体"/>
          <w:b/>
          <w:color w:val="000000" w:themeColor="text1"/>
          <w:sz w:val="44"/>
          <w:szCs w:val="44"/>
          <w14:textFill>
            <w14:solidFill>
              <w14:schemeClr w14:val="tx1"/>
            </w14:solidFill>
          </w14:textFill>
        </w:rPr>
      </w:pPr>
    </w:p>
    <w:p>
      <w:pPr>
        <w:pStyle w:val="228"/>
        <w:widowControl w:val="0"/>
        <w:spacing w:afterLines="0"/>
        <w:ind w:firstLine="883"/>
        <w:jc w:val="center"/>
        <w:rPr>
          <w:rFonts w:hint="eastAsia" w:ascii="宋体" w:hAnsi="宋体" w:cs="宋体"/>
          <w:b/>
          <w:color w:val="000000" w:themeColor="text1"/>
          <w:sz w:val="44"/>
          <w:szCs w:val="44"/>
          <w14:textFill>
            <w14:solidFill>
              <w14:schemeClr w14:val="tx1"/>
            </w14:solidFill>
          </w14:textFill>
        </w:rPr>
      </w:pPr>
    </w:p>
    <w:p>
      <w:pPr>
        <w:pStyle w:val="228"/>
        <w:widowControl w:val="0"/>
        <w:spacing w:afterLines="0"/>
        <w:ind w:firstLine="883"/>
        <w:jc w:val="center"/>
        <w:rPr>
          <w:rFonts w:hint="eastAsia" w:ascii="宋体" w:hAnsi="宋体" w:cs="宋体"/>
          <w:b/>
          <w:color w:val="000000" w:themeColor="text1"/>
          <w:sz w:val="44"/>
          <w:szCs w:val="44"/>
          <w14:textFill>
            <w14:solidFill>
              <w14:schemeClr w14:val="tx1"/>
            </w14:solidFill>
          </w14:textFill>
        </w:rPr>
      </w:pPr>
    </w:p>
    <w:p>
      <w:pPr>
        <w:pStyle w:val="228"/>
        <w:widowControl w:val="0"/>
        <w:spacing w:afterLines="0"/>
        <w:ind w:firstLine="883"/>
        <w:jc w:val="center"/>
        <w:rPr>
          <w:rFonts w:hint="eastAsia" w:ascii="宋体" w:hAnsi="宋体" w:cs="宋体"/>
          <w:b/>
          <w:color w:val="000000" w:themeColor="text1"/>
          <w:sz w:val="44"/>
          <w:szCs w:val="44"/>
          <w14:textFill>
            <w14:solidFill>
              <w14:schemeClr w14:val="tx1"/>
            </w14:solidFill>
          </w14:textFill>
        </w:rPr>
      </w:pPr>
    </w:p>
    <w:p>
      <w:pPr>
        <w:pStyle w:val="228"/>
        <w:widowControl w:val="0"/>
        <w:spacing w:afterLines="0"/>
        <w:ind w:firstLine="883"/>
        <w:jc w:val="center"/>
        <w:rPr>
          <w:rFonts w:hint="eastAsia" w:ascii="宋体" w:hAnsi="宋体" w:cs="宋体"/>
          <w:b/>
          <w:color w:val="000000" w:themeColor="text1"/>
          <w:sz w:val="44"/>
          <w:szCs w:val="44"/>
          <w14:textFill>
            <w14:solidFill>
              <w14:schemeClr w14:val="tx1"/>
            </w14:solidFill>
          </w14:textFill>
        </w:rPr>
      </w:pPr>
    </w:p>
    <w:p>
      <w:pPr>
        <w:pStyle w:val="228"/>
        <w:widowControl w:val="0"/>
        <w:spacing w:afterLines="0"/>
        <w:ind w:firstLine="883"/>
        <w:jc w:val="center"/>
        <w:rPr>
          <w:rFonts w:hint="eastAsia" w:ascii="宋体" w:hAnsi="宋体" w:cs="宋体"/>
          <w:b/>
          <w:color w:val="000000" w:themeColor="text1"/>
          <w:sz w:val="44"/>
          <w:szCs w:val="44"/>
          <w14:textFill>
            <w14:solidFill>
              <w14:schemeClr w14:val="tx1"/>
            </w14:solidFill>
          </w14:textFill>
        </w:rPr>
      </w:pPr>
    </w:p>
    <w:p>
      <w:pPr>
        <w:pStyle w:val="228"/>
        <w:widowControl w:val="0"/>
        <w:spacing w:afterLines="0"/>
        <w:ind w:firstLine="883"/>
        <w:jc w:val="center"/>
        <w:rPr>
          <w:rFonts w:hint="eastAsia" w:ascii="宋体" w:hAnsi="宋体" w:cs="宋体"/>
          <w:b/>
          <w:color w:val="000000" w:themeColor="text1"/>
          <w:sz w:val="44"/>
          <w:szCs w:val="44"/>
          <w14:textFill>
            <w14:solidFill>
              <w14:schemeClr w14:val="tx1"/>
            </w14:solidFill>
          </w14:textFill>
        </w:rPr>
      </w:pPr>
    </w:p>
    <w:p>
      <w:pPr>
        <w:pStyle w:val="228"/>
        <w:widowControl w:val="0"/>
        <w:spacing w:afterLines="0"/>
        <w:ind w:firstLine="883"/>
        <w:jc w:val="center"/>
        <w:rPr>
          <w:rFonts w:hint="eastAsia" w:ascii="宋体" w:hAnsi="宋体" w:cs="宋体"/>
          <w:b/>
          <w:color w:val="000000" w:themeColor="text1"/>
          <w:sz w:val="44"/>
          <w:szCs w:val="44"/>
          <w14:textFill>
            <w14:solidFill>
              <w14:schemeClr w14:val="tx1"/>
            </w14:solidFill>
          </w14:textFill>
        </w:rPr>
      </w:pPr>
    </w:p>
    <w:p>
      <w:pPr>
        <w:pStyle w:val="228"/>
        <w:widowControl w:val="0"/>
        <w:spacing w:afterLines="0"/>
        <w:ind w:firstLine="883"/>
        <w:jc w:val="center"/>
        <w:rPr>
          <w:rFonts w:hint="eastAsia" w:ascii="宋体" w:hAnsi="宋体" w:cs="宋体"/>
          <w:b/>
          <w:color w:val="000000" w:themeColor="text1"/>
          <w:sz w:val="44"/>
          <w:szCs w:val="44"/>
          <w14:textFill>
            <w14:solidFill>
              <w14:schemeClr w14:val="tx1"/>
            </w14:solidFill>
          </w14:textFill>
        </w:rPr>
      </w:pPr>
    </w:p>
    <w:p>
      <w:pPr>
        <w:pStyle w:val="228"/>
        <w:widowControl w:val="0"/>
        <w:spacing w:afterLines="0"/>
        <w:ind w:firstLine="883"/>
        <w:jc w:val="center"/>
        <w:rPr>
          <w:rFonts w:hint="eastAsia" w:ascii="宋体" w:hAnsi="宋体" w:cs="宋体"/>
          <w:b/>
          <w:color w:val="000000" w:themeColor="text1"/>
          <w:sz w:val="44"/>
          <w:szCs w:val="44"/>
          <w14:textFill>
            <w14:solidFill>
              <w14:schemeClr w14:val="tx1"/>
            </w14:solidFill>
          </w14:textFill>
        </w:rPr>
      </w:pPr>
    </w:p>
    <w:p>
      <w:pPr>
        <w:pStyle w:val="228"/>
        <w:widowControl w:val="0"/>
        <w:spacing w:afterLines="0"/>
        <w:ind w:firstLine="883"/>
        <w:jc w:val="center"/>
        <w:rPr>
          <w:rFonts w:hint="eastAsia" w:ascii="宋体" w:hAnsi="宋体" w:cs="宋体"/>
          <w:b/>
          <w:color w:val="000000" w:themeColor="text1"/>
          <w:sz w:val="44"/>
          <w:szCs w:val="44"/>
          <w14:textFill>
            <w14:solidFill>
              <w14:schemeClr w14:val="tx1"/>
            </w14:solidFill>
          </w14:textFill>
        </w:rPr>
      </w:pPr>
    </w:p>
    <w:p>
      <w:pPr>
        <w:pStyle w:val="228"/>
        <w:widowControl w:val="0"/>
        <w:spacing w:afterLines="0"/>
        <w:ind w:left="0" w:leftChars="0" w:firstLine="0" w:firstLineChars="0"/>
        <w:jc w:val="both"/>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0" w:firstLineChars="0"/>
        <w:jc w:val="center"/>
        <w:rPr>
          <w:rFonts w:hint="eastAsia" w:ascii="宋体" w:hAnsi="宋体" w:cs="宋体"/>
          <w:color w:val="000000" w:themeColor="text1"/>
          <w:sz w:val="32"/>
          <w:szCs w:val="32"/>
          <w14:textFill>
            <w14:solidFill>
              <w14:schemeClr w14:val="tx1"/>
            </w14:solidFill>
          </w14:textFill>
        </w:rPr>
      </w:pPr>
      <w:bookmarkStart w:id="7" w:name="_Toc487819912_WPSOffice_Level1"/>
      <w:r>
        <w:rPr>
          <w:rFonts w:hint="eastAsia" w:ascii="宋体" w:hAnsi="宋体" w:cs="宋体"/>
          <w:b/>
          <w:color w:val="000000" w:themeColor="text1"/>
          <w:sz w:val="44"/>
          <w:szCs w:val="44"/>
          <w14:textFill>
            <w14:solidFill>
              <w14:schemeClr w14:val="tx1"/>
            </w14:solidFill>
          </w14:textFill>
        </w:rPr>
        <w:t>第一章  公开招标公告</w:t>
      </w:r>
      <w:bookmarkEnd w:id="7"/>
    </w:p>
    <w:p>
      <w:pPr>
        <w:pStyle w:val="228"/>
        <w:widowControl w:val="0"/>
        <w:spacing w:afterLines="0" w:line="400" w:lineRule="exact"/>
        <w:ind w:firstLine="0" w:firstLineChars="0"/>
        <w:jc w:val="center"/>
        <w:rPr>
          <w:rFonts w:hint="eastAsia" w:ascii="宋体" w:hAnsi="宋体" w:cs="宋体"/>
          <w:b/>
          <w:color w:val="000000" w:themeColor="text1"/>
          <w:sz w:val="21"/>
          <w:szCs w:val="21"/>
          <w14:textFill>
            <w14:solidFill>
              <w14:schemeClr w14:val="tx1"/>
            </w14:solidFill>
          </w14:textFill>
        </w:rPr>
      </w:pPr>
      <w:r>
        <w:rPr>
          <w:rFonts w:hint="eastAsia" w:ascii="宋体" w:hAnsi="宋体" w:cs="宋体"/>
          <w:color w:val="000000" w:themeColor="text1"/>
          <w:sz w:val="32"/>
          <w:szCs w:val="32"/>
          <w14:textFill>
            <w14:solidFill>
              <w14:schemeClr w14:val="tx1"/>
            </w14:solidFill>
          </w14:textFill>
        </w:rPr>
        <w:br w:type="page"/>
      </w:r>
      <w:bookmarkStart w:id="8" w:name="_Toc28359086"/>
      <w:bookmarkStart w:id="9" w:name="_Toc28359009"/>
      <w:r>
        <w:rPr>
          <w:rFonts w:hint="eastAsia" w:ascii="宋体" w:hAnsi="宋体" w:cs="宋体"/>
          <w:b/>
          <w:color w:val="000000" w:themeColor="text1"/>
          <w:sz w:val="30"/>
          <w:szCs w:val="30"/>
          <w14:textFill>
            <w14:solidFill>
              <w14:schemeClr w14:val="tx1"/>
            </w14:solidFill>
          </w14:textFill>
        </w:rPr>
        <w:t>招标公告</w:t>
      </w:r>
    </w:p>
    <w:p>
      <w:pPr>
        <w:pBdr>
          <w:top w:val="single" w:color="auto" w:sz="4" w:space="1"/>
          <w:left w:val="single" w:color="auto" w:sz="4" w:space="4"/>
          <w:bottom w:val="single" w:color="auto" w:sz="4" w:space="1"/>
          <w:right w:val="single" w:color="auto" w:sz="4" w:space="4"/>
        </w:pBdr>
        <w:adjustRightInd w:val="0"/>
        <w:snapToGrid w:val="0"/>
        <w:spacing w:line="400" w:lineRule="exact"/>
        <w:rPr>
          <w:rFonts w:hint="eastAsia"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项目概况</w:t>
      </w:r>
      <w:r>
        <w:rPr>
          <w:rFonts w:hint="eastAsia" w:ascii="宋体" w:hAnsi="宋体" w:cs="宋体"/>
          <w:color w:val="000000" w:themeColor="text1"/>
          <w:szCs w:val="21"/>
          <w14:textFill>
            <w14:solidFill>
              <w14:schemeClr w14:val="tx1"/>
            </w14:solidFill>
          </w14:textFill>
        </w:rPr>
        <w:t xml:space="preserve">                                                    </w:t>
      </w:r>
    </w:p>
    <w:p>
      <w:pPr>
        <w:pBdr>
          <w:top w:val="single" w:color="auto" w:sz="4" w:space="1"/>
          <w:left w:val="single" w:color="auto" w:sz="4" w:space="4"/>
          <w:bottom w:val="single" w:color="auto" w:sz="4" w:space="1"/>
          <w:right w:val="single" w:color="auto" w:sz="4" w:space="4"/>
        </w:pBdr>
        <w:adjustRightInd w:val="0"/>
        <w:snapToGrid w:val="0"/>
        <w:spacing w:line="400" w:lineRule="exact"/>
        <w:ind w:firstLine="421"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梧州学院A7A8A9栋学生宿舍家具采购</w:t>
      </w:r>
      <w:r>
        <w:rPr>
          <w:rFonts w:hint="eastAsia" w:ascii="宋体" w:hAnsi="宋体" w:cs="宋体"/>
          <w:color w:val="000000" w:themeColor="text1"/>
          <w:szCs w:val="21"/>
          <w14:textFill>
            <w14:solidFill>
              <w14:schemeClr w14:val="tx1"/>
            </w14:solidFill>
          </w14:textFill>
        </w:rPr>
        <w:t xml:space="preserve">招标项目的潜在投标人应在广西政府采购云平台（网址：http://www.gcy.zfcg.gxzf.gov.cn）获取招标文件，并于 </w:t>
      </w:r>
      <w:r>
        <w:rPr>
          <w:rFonts w:hint="eastAsia" w:ascii="宋体" w:hAnsi="宋体" w:cs="宋体"/>
          <w:b/>
          <w:bCs/>
          <w:color w:val="000000" w:themeColor="text1"/>
          <w:szCs w:val="21"/>
          <w14:textFill>
            <w14:solidFill>
              <w14:schemeClr w14:val="tx1"/>
            </w14:solidFill>
          </w14:textFill>
        </w:rPr>
        <w:t>2026年</w:t>
      </w:r>
      <w:r>
        <w:rPr>
          <w:rFonts w:hint="default" w:ascii="宋体" w:hAnsi="宋体" w:cs="宋体"/>
          <w:b/>
          <w:bCs/>
          <w:color w:val="000000" w:themeColor="text1"/>
          <w:szCs w:val="21"/>
          <w:lang w:val="en"/>
          <w14:textFill>
            <w14:solidFill>
              <w14:schemeClr w14:val="tx1"/>
            </w14:solidFill>
          </w14:textFill>
        </w:rPr>
        <w:t>8</w:t>
      </w:r>
      <w:r>
        <w:rPr>
          <w:rFonts w:hint="eastAsia" w:ascii="宋体" w:hAnsi="宋体" w:cs="宋体"/>
          <w:b/>
          <w:bCs/>
          <w:color w:val="000000" w:themeColor="text1"/>
          <w:szCs w:val="21"/>
          <w14:textFill>
            <w14:solidFill>
              <w14:schemeClr w14:val="tx1"/>
            </w14:solidFill>
          </w14:textFill>
        </w:rPr>
        <w:t>月</w:t>
      </w:r>
      <w:r>
        <w:rPr>
          <w:rFonts w:hint="default" w:ascii="宋体" w:hAnsi="宋体" w:cs="宋体"/>
          <w:b/>
          <w:bCs/>
          <w:color w:val="000000" w:themeColor="text1"/>
          <w:szCs w:val="21"/>
          <w:lang w:val="en"/>
          <w14:textFill>
            <w14:solidFill>
              <w14:schemeClr w14:val="tx1"/>
            </w14:solidFill>
          </w14:textFill>
        </w:rPr>
        <w:t>28</w:t>
      </w:r>
      <w:r>
        <w:rPr>
          <w:rFonts w:hint="eastAsia" w:ascii="宋体" w:hAnsi="宋体" w:cs="宋体"/>
          <w:b/>
          <w:bCs/>
          <w:color w:val="000000" w:themeColor="text1"/>
          <w:szCs w:val="21"/>
          <w14:textFill>
            <w14:solidFill>
              <w14:schemeClr w14:val="tx1"/>
            </w14:solidFill>
          </w14:textFill>
        </w:rPr>
        <w:t>日 10:00（北京时间）</w:t>
      </w:r>
      <w:r>
        <w:rPr>
          <w:rFonts w:hint="eastAsia" w:ascii="宋体" w:hAnsi="宋体" w:cs="宋体"/>
          <w:color w:val="000000" w:themeColor="text1"/>
          <w:szCs w:val="21"/>
          <w14:textFill>
            <w14:solidFill>
              <w14:schemeClr w14:val="tx1"/>
            </w14:solidFill>
          </w14:textFill>
        </w:rPr>
        <w:t>前递交投标文件。</w:t>
      </w:r>
    </w:p>
    <w:p>
      <w:pPr>
        <w:pStyle w:val="47"/>
        <w:spacing w:before="255" w:beforeAutospacing="0" w:after="255" w:afterAutospacing="0" w:line="360" w:lineRule="exact"/>
        <w:jc w:val="both"/>
        <w:rPr>
          <w:rFonts w:hint="eastAsia" w:cs="宋体"/>
          <w:color w:val="000000"/>
          <w:sz w:val="21"/>
          <w:szCs w:val="21"/>
        </w:rPr>
      </w:pPr>
      <w:r>
        <w:rPr>
          <w:rStyle w:val="55"/>
          <w:rFonts w:hint="eastAsia" w:cs="宋体"/>
          <w:color w:val="000000"/>
          <w:sz w:val="21"/>
          <w:szCs w:val="21"/>
        </w:rPr>
        <w:t>一、项目基本情况</w:t>
      </w:r>
    </w:p>
    <w:p>
      <w:pPr>
        <w:pStyle w:val="47"/>
        <w:spacing w:before="75" w:beforeAutospacing="0" w:after="75" w:afterAutospacing="0" w:line="360" w:lineRule="exact"/>
        <w:rPr>
          <w:rFonts w:hint="eastAsia" w:cs="宋体"/>
          <w:sz w:val="21"/>
          <w:szCs w:val="21"/>
        </w:rPr>
      </w:pPr>
      <w:r>
        <w:rPr>
          <w:rFonts w:hint="eastAsia" w:cs="宋体"/>
          <w:color w:val="000000"/>
          <w:sz w:val="21"/>
          <w:szCs w:val="21"/>
        </w:rPr>
        <w:t>   项目编号：</w:t>
      </w:r>
      <w:r>
        <w:rPr>
          <w:rFonts w:hint="eastAsia" w:cs="宋体"/>
          <w:color w:val="000000"/>
          <w:sz w:val="21"/>
          <w:szCs w:val="21"/>
          <w:lang w:val="en"/>
        </w:rPr>
        <w:t>GXZC2026-G1-</w:t>
      </w:r>
      <w:r>
        <w:rPr>
          <w:rFonts w:hint="eastAsia" w:cs="宋体"/>
          <w:color w:val="000000"/>
          <w:sz w:val="21"/>
          <w:szCs w:val="21"/>
          <w:lang w:val="en-US" w:eastAsia="zh-CN"/>
        </w:rPr>
        <w:t>002530</w:t>
      </w:r>
      <w:r>
        <w:rPr>
          <w:rFonts w:hint="eastAsia" w:cs="宋体"/>
          <w:color w:val="000000"/>
          <w:sz w:val="21"/>
          <w:szCs w:val="21"/>
          <w:lang w:val="en"/>
        </w:rPr>
        <w:t>-CGZX</w:t>
      </w:r>
    </w:p>
    <w:p>
      <w:pPr>
        <w:pStyle w:val="47"/>
        <w:spacing w:before="75" w:beforeAutospacing="0" w:after="75" w:afterAutospacing="0" w:line="360" w:lineRule="exact"/>
        <w:rPr>
          <w:rFonts w:hint="eastAsia" w:cs="宋体"/>
          <w:sz w:val="21"/>
          <w:szCs w:val="21"/>
        </w:rPr>
      </w:pPr>
      <w:r>
        <w:rPr>
          <w:rFonts w:hint="eastAsia" w:cs="宋体"/>
          <w:color w:val="000000"/>
          <w:sz w:val="21"/>
          <w:szCs w:val="21"/>
        </w:rPr>
        <w:t>   项目名称：梧州学院A7A8A9栋学生宿舍家具采购</w:t>
      </w:r>
    </w:p>
    <w:p>
      <w:pPr>
        <w:pStyle w:val="47"/>
        <w:spacing w:before="75" w:beforeAutospacing="0" w:after="75" w:afterAutospacing="0" w:line="360" w:lineRule="exact"/>
        <w:rPr>
          <w:rFonts w:hint="eastAsia" w:cs="宋体"/>
          <w:sz w:val="21"/>
          <w:szCs w:val="21"/>
          <w:highlight w:val="none"/>
        </w:rPr>
      </w:pPr>
      <w:r>
        <w:rPr>
          <w:rFonts w:hint="eastAsia" w:cs="宋体"/>
          <w:color w:val="000000"/>
          <w:sz w:val="21"/>
          <w:szCs w:val="21"/>
        </w:rPr>
        <w:t>   预算总金额（元）</w:t>
      </w:r>
      <w:r>
        <w:rPr>
          <w:rFonts w:hint="eastAsia" w:cs="宋体"/>
          <w:color w:val="000000"/>
          <w:sz w:val="21"/>
          <w:szCs w:val="21"/>
          <w:highlight w:val="none"/>
        </w:rPr>
        <w:t>：4996080.00</w:t>
      </w:r>
    </w:p>
    <w:p>
      <w:pPr>
        <w:pStyle w:val="47"/>
        <w:spacing w:before="75" w:beforeAutospacing="0" w:after="75" w:afterAutospacing="0" w:line="360" w:lineRule="exact"/>
        <w:rPr>
          <w:rFonts w:hint="eastAsia" w:cs="宋体"/>
          <w:color w:val="000000"/>
          <w:sz w:val="21"/>
          <w:szCs w:val="21"/>
        </w:rPr>
      </w:pPr>
      <w:r>
        <w:rPr>
          <w:rFonts w:hint="eastAsia" w:cs="宋体"/>
          <w:color w:val="000000"/>
          <w:sz w:val="21"/>
          <w:szCs w:val="21"/>
        </w:rPr>
        <w:t>   采购需求：</w:t>
      </w:r>
    </w:p>
    <w:p>
      <w:pPr>
        <w:pStyle w:val="47"/>
        <w:spacing w:before="75" w:beforeAutospacing="0" w:after="75" w:afterAutospacing="0" w:line="360" w:lineRule="exact"/>
        <w:rPr>
          <w:rFonts w:hint="eastAsia" w:cs="宋体"/>
          <w:b/>
          <w:bCs/>
          <w:color w:val="000000"/>
          <w:sz w:val="21"/>
          <w:szCs w:val="21"/>
        </w:rPr>
      </w:pPr>
      <w:r>
        <w:rPr>
          <w:rFonts w:hint="eastAsia" w:cs="宋体"/>
          <w:color w:val="000000"/>
          <w:sz w:val="21"/>
          <w:szCs w:val="21"/>
        </w:rPr>
        <w:t xml:space="preserve">    标项名称:</w:t>
      </w:r>
      <w:r>
        <w:rPr>
          <w:rFonts w:hint="eastAsia" w:cs="宋体"/>
          <w:color w:val="000000"/>
          <w:sz w:val="21"/>
          <w:szCs w:val="21"/>
        </w:rPr>
        <w:br w:type="textWrapping"/>
      </w:r>
      <w:r>
        <w:rPr>
          <w:rFonts w:hint="eastAsia" w:cs="宋体"/>
          <w:color w:val="000000"/>
          <w:sz w:val="21"/>
          <w:szCs w:val="21"/>
        </w:rPr>
        <w:t xml:space="preserve">   </w:t>
      </w:r>
      <w:r>
        <w:rPr>
          <w:rFonts w:hint="eastAsia" w:cs="宋体"/>
          <w:color w:val="000000"/>
          <w:sz w:val="21"/>
          <w:szCs w:val="21"/>
          <w:lang w:val="en-US" w:eastAsia="zh-CN"/>
        </w:rPr>
        <w:t xml:space="preserve"> 数量:1</w:t>
      </w:r>
      <w:r>
        <w:rPr>
          <w:rFonts w:hint="eastAsia" w:cs="宋体"/>
          <w:color w:val="000000"/>
          <w:sz w:val="21"/>
          <w:szCs w:val="21"/>
          <w:lang w:val="en-US" w:eastAsia="zh-CN"/>
        </w:rPr>
        <w:br w:type="textWrapping"/>
      </w:r>
      <w:r>
        <w:rPr>
          <w:rFonts w:hint="eastAsia" w:cs="宋体"/>
          <w:color w:val="000000"/>
          <w:sz w:val="21"/>
          <w:szCs w:val="21"/>
          <w:lang w:val="en-US" w:eastAsia="zh-CN"/>
        </w:rPr>
        <w:t xml:space="preserve">    预算金额（元）:4996080.00</w:t>
      </w:r>
      <w:r>
        <w:rPr>
          <w:rFonts w:hint="eastAsia" w:cs="宋体"/>
          <w:color w:val="000000"/>
          <w:sz w:val="21"/>
          <w:szCs w:val="21"/>
          <w:lang w:val="en-US" w:eastAsia="zh-CN"/>
        </w:rPr>
        <w:br w:type="textWrapping"/>
      </w:r>
      <w:r>
        <w:rPr>
          <w:rFonts w:hint="eastAsia" w:cs="宋体"/>
          <w:color w:val="000000"/>
          <w:sz w:val="21"/>
          <w:szCs w:val="21"/>
        </w:rPr>
        <w:t xml:space="preserve">    简要规格描述或项目基本概况介绍、用途：</w:t>
      </w:r>
      <w:r>
        <w:rPr>
          <w:rFonts w:hint="eastAsia" w:cs="宋体"/>
          <w:b/>
          <w:bCs/>
          <w:color w:val="000000"/>
          <w:sz w:val="21"/>
          <w:szCs w:val="21"/>
        </w:rPr>
        <w:t>三联四位公寓床2272位</w:t>
      </w:r>
      <w:r>
        <w:rPr>
          <w:rFonts w:hint="eastAsia" w:cs="宋体"/>
          <w:b/>
          <w:bCs/>
          <w:color w:val="000000"/>
          <w:sz w:val="21"/>
          <w:szCs w:val="21"/>
          <w:lang w:eastAsia="zh-CN"/>
        </w:rPr>
        <w:t>；</w:t>
      </w:r>
      <w:r>
        <w:rPr>
          <w:rFonts w:hint="eastAsia" w:cs="宋体"/>
          <w:b/>
          <w:bCs/>
          <w:color w:val="000000"/>
          <w:sz w:val="21"/>
          <w:szCs w:val="21"/>
        </w:rPr>
        <w:t>两人学习书桌1136张</w:t>
      </w:r>
      <w:r>
        <w:rPr>
          <w:rFonts w:hint="eastAsia" w:cs="宋体"/>
          <w:b/>
          <w:bCs/>
          <w:color w:val="000000"/>
          <w:sz w:val="21"/>
          <w:szCs w:val="21"/>
          <w:lang w:eastAsia="zh-CN"/>
        </w:rPr>
        <w:t>；</w:t>
      </w:r>
      <w:r>
        <w:rPr>
          <w:rFonts w:hint="eastAsia" w:cs="宋体"/>
          <w:b/>
          <w:bCs/>
          <w:color w:val="000000"/>
          <w:sz w:val="21"/>
          <w:szCs w:val="21"/>
        </w:rPr>
        <w:t>双人衣柜1136个</w:t>
      </w:r>
      <w:r>
        <w:rPr>
          <w:rFonts w:hint="eastAsia" w:cs="宋体"/>
          <w:b/>
          <w:bCs/>
          <w:color w:val="000000"/>
          <w:sz w:val="21"/>
          <w:szCs w:val="21"/>
          <w:lang w:eastAsia="zh-CN"/>
        </w:rPr>
        <w:t>；</w:t>
      </w:r>
      <w:r>
        <w:rPr>
          <w:rFonts w:hint="eastAsia" w:cs="宋体"/>
          <w:b/>
          <w:bCs/>
          <w:color w:val="000000"/>
          <w:sz w:val="21"/>
          <w:szCs w:val="21"/>
        </w:rPr>
        <w:t>三联四位公寓床25</w:t>
      </w:r>
      <w:r>
        <w:rPr>
          <w:rFonts w:hint="eastAsia" w:cs="宋体"/>
          <w:b/>
          <w:bCs/>
          <w:color w:val="000000"/>
          <w:sz w:val="21"/>
          <w:szCs w:val="21"/>
          <w:lang w:val="en-US" w:eastAsia="zh-CN"/>
        </w:rPr>
        <w:t>6</w:t>
      </w:r>
      <w:r>
        <w:rPr>
          <w:rFonts w:hint="eastAsia" w:cs="宋体"/>
          <w:b/>
          <w:bCs/>
          <w:color w:val="000000"/>
          <w:sz w:val="21"/>
          <w:szCs w:val="21"/>
        </w:rPr>
        <w:t>位</w:t>
      </w:r>
      <w:r>
        <w:rPr>
          <w:rFonts w:hint="eastAsia" w:cs="宋体"/>
          <w:b/>
          <w:bCs/>
          <w:color w:val="000000"/>
          <w:sz w:val="21"/>
          <w:szCs w:val="21"/>
          <w:lang w:eastAsia="zh-CN"/>
        </w:rPr>
        <w:t>；</w:t>
      </w:r>
      <w:r>
        <w:rPr>
          <w:rFonts w:hint="eastAsia" w:cs="宋体"/>
          <w:b/>
          <w:bCs/>
          <w:color w:val="000000"/>
          <w:sz w:val="21"/>
          <w:szCs w:val="21"/>
        </w:rPr>
        <w:t>两人学习书桌128张</w:t>
      </w:r>
      <w:r>
        <w:rPr>
          <w:rFonts w:hint="eastAsia" w:cs="宋体"/>
          <w:b/>
          <w:bCs/>
          <w:color w:val="000000"/>
          <w:sz w:val="21"/>
          <w:szCs w:val="21"/>
          <w:lang w:eastAsia="zh-CN"/>
        </w:rPr>
        <w:t>；</w:t>
      </w:r>
      <w:r>
        <w:rPr>
          <w:rFonts w:hint="eastAsia" w:cs="宋体"/>
          <w:b/>
          <w:bCs/>
          <w:color w:val="000000"/>
          <w:sz w:val="21"/>
          <w:szCs w:val="21"/>
        </w:rPr>
        <w:t>双人衣柜128个</w:t>
      </w:r>
      <w:r>
        <w:rPr>
          <w:rFonts w:hint="eastAsia" w:cs="宋体"/>
          <w:b/>
          <w:bCs/>
          <w:color w:val="000000"/>
          <w:sz w:val="21"/>
          <w:szCs w:val="21"/>
          <w:lang w:eastAsia="zh-CN"/>
        </w:rPr>
        <w:t>；</w:t>
      </w:r>
      <w:r>
        <w:rPr>
          <w:rFonts w:hint="eastAsia" w:cs="宋体"/>
          <w:b/>
          <w:bCs/>
          <w:color w:val="000000"/>
          <w:sz w:val="21"/>
          <w:szCs w:val="21"/>
        </w:rPr>
        <w:t>公寓椅2528把</w:t>
      </w:r>
      <w:r>
        <w:rPr>
          <w:rFonts w:hint="eastAsia" w:cs="宋体"/>
          <w:b/>
          <w:bCs/>
          <w:color w:val="000000"/>
          <w:sz w:val="21"/>
          <w:szCs w:val="21"/>
          <w:lang w:eastAsia="zh-CN"/>
        </w:rPr>
        <w:t>；</w:t>
      </w:r>
      <w:r>
        <w:rPr>
          <w:rFonts w:hint="eastAsia" w:cs="宋体"/>
          <w:b/>
          <w:bCs/>
          <w:color w:val="000000"/>
          <w:sz w:val="21"/>
          <w:szCs w:val="21"/>
        </w:rPr>
        <w:t>洗漱架632个</w:t>
      </w:r>
      <w:r>
        <w:rPr>
          <w:rFonts w:hint="eastAsia" w:cs="宋体"/>
          <w:b/>
          <w:bCs/>
          <w:color w:val="000000"/>
          <w:sz w:val="21"/>
          <w:szCs w:val="21"/>
          <w:lang w:eastAsia="zh-CN"/>
        </w:rPr>
        <w:t>。</w:t>
      </w:r>
      <w:r>
        <w:rPr>
          <w:rFonts w:hint="eastAsia" w:cs="宋体"/>
          <w:b/>
          <w:bCs/>
          <w:color w:val="000000"/>
          <w:sz w:val="21"/>
          <w:szCs w:val="21"/>
        </w:rPr>
        <w:t>如需进一步了解详细内容，详见采购文件。</w:t>
      </w:r>
    </w:p>
    <w:p>
      <w:pPr>
        <w:pStyle w:val="47"/>
        <w:spacing w:before="75" w:beforeAutospacing="0" w:after="75" w:afterAutospacing="0" w:line="360" w:lineRule="exact"/>
        <w:rPr>
          <w:rFonts w:hint="eastAsia" w:cs="宋体"/>
          <w:sz w:val="21"/>
          <w:szCs w:val="21"/>
          <w:highlight w:val="none"/>
        </w:rPr>
      </w:pPr>
      <w:r>
        <w:rPr>
          <w:rFonts w:hint="eastAsia" w:cs="宋体"/>
          <w:color w:val="000000"/>
          <w:sz w:val="21"/>
          <w:szCs w:val="21"/>
          <w:highlight w:val="none"/>
          <w:shd w:val="clear" w:color="auto" w:fill="F7F7F7"/>
        </w:rPr>
        <w:t xml:space="preserve">    最高限价（元）：</w:t>
      </w:r>
      <w:r>
        <w:rPr>
          <w:rStyle w:val="68"/>
          <w:rFonts w:hint="eastAsia" w:ascii="宋体" w:hAnsi="宋体" w:cs="宋体"/>
          <w:color w:val="000000"/>
          <w:sz w:val="21"/>
          <w:szCs w:val="21"/>
          <w:highlight w:val="none"/>
          <w:shd w:val="clear" w:color="auto" w:fill="F7F7F7"/>
        </w:rPr>
        <w:t>/</w:t>
      </w:r>
      <w:r>
        <w:rPr>
          <w:rFonts w:hint="eastAsia" w:cs="宋体"/>
          <w:color w:val="000000"/>
          <w:sz w:val="21"/>
          <w:szCs w:val="21"/>
          <w:highlight w:val="none"/>
          <w:shd w:val="clear" w:color="auto" w:fill="F7F7F7"/>
        </w:rPr>
        <w:t>  </w:t>
      </w:r>
    </w:p>
    <w:p>
      <w:pPr>
        <w:pStyle w:val="47"/>
        <w:spacing w:before="75" w:beforeAutospacing="0" w:after="75" w:afterAutospacing="0" w:line="360" w:lineRule="exact"/>
        <w:rPr>
          <w:rFonts w:hint="eastAsia" w:cs="宋体"/>
          <w:sz w:val="21"/>
          <w:szCs w:val="21"/>
        </w:rPr>
      </w:pPr>
      <w:r>
        <w:rPr>
          <w:rFonts w:hint="eastAsia" w:cs="宋体"/>
          <w:color w:val="000000"/>
          <w:sz w:val="21"/>
          <w:szCs w:val="21"/>
          <w:shd w:val="clear" w:color="auto" w:fill="F7F7F7"/>
        </w:rPr>
        <w:t xml:space="preserve">    合同履约期限：</w:t>
      </w:r>
      <w:r>
        <w:rPr>
          <w:rStyle w:val="68"/>
          <w:rFonts w:hint="eastAsia" w:ascii="宋体" w:hAnsi="宋体" w:cs="宋体"/>
          <w:color w:val="000000"/>
          <w:sz w:val="21"/>
          <w:szCs w:val="21"/>
          <w:shd w:val="clear" w:color="auto" w:fill="F7F7F7"/>
        </w:rPr>
        <w:t>自合同签订之日起至项目履约完毕</w:t>
      </w:r>
    </w:p>
    <w:p>
      <w:pPr>
        <w:pStyle w:val="47"/>
        <w:spacing w:before="75" w:beforeAutospacing="0" w:after="75" w:afterAutospacing="0" w:line="360" w:lineRule="exact"/>
        <w:rPr>
          <w:rFonts w:hint="eastAsia" w:cs="宋体"/>
          <w:sz w:val="21"/>
          <w:szCs w:val="21"/>
        </w:rPr>
      </w:pPr>
      <w:r>
        <w:rPr>
          <w:rFonts w:hint="eastAsia" w:cs="宋体"/>
          <w:color w:val="000000"/>
          <w:sz w:val="21"/>
          <w:szCs w:val="21"/>
          <w:shd w:val="clear" w:color="auto" w:fill="F7F7F7"/>
        </w:rPr>
        <w:t xml:space="preserve">    本标项（</w:t>
      </w:r>
      <w:r>
        <w:rPr>
          <w:rStyle w:val="68"/>
          <w:rFonts w:hint="eastAsia" w:ascii="宋体" w:hAnsi="宋体" w:cs="宋体"/>
          <w:color w:val="000000"/>
          <w:sz w:val="21"/>
          <w:szCs w:val="21"/>
          <w:shd w:val="clear" w:color="auto" w:fill="F7F7F7"/>
        </w:rPr>
        <w:t>否</w:t>
      </w:r>
      <w:r>
        <w:rPr>
          <w:rFonts w:hint="eastAsia" w:cs="宋体"/>
          <w:color w:val="000000"/>
          <w:sz w:val="21"/>
          <w:szCs w:val="21"/>
          <w:shd w:val="clear" w:color="auto" w:fill="F7F7F7"/>
        </w:rPr>
        <w:t>）接受联合体投标</w:t>
      </w:r>
      <w:r>
        <w:rPr>
          <w:rFonts w:hint="eastAsia" w:cs="宋体"/>
          <w:color w:val="000000"/>
          <w:sz w:val="21"/>
          <w:szCs w:val="21"/>
          <w:shd w:val="clear" w:color="auto" w:fill="F7F7F7"/>
        </w:rPr>
        <w:br w:type="textWrapping"/>
      </w:r>
      <w:r>
        <w:rPr>
          <w:rFonts w:hint="eastAsia" w:cs="宋体"/>
          <w:color w:val="000000"/>
          <w:sz w:val="21"/>
          <w:szCs w:val="21"/>
          <w:shd w:val="clear" w:color="auto" w:fill="F7F7F7"/>
        </w:rPr>
        <w:t xml:space="preserve">    备注：本项目各分标为线上电子招标项目，有意向参与本项目的供应商应当做好参与全流程电子招投标交易的充分准备。</w:t>
      </w:r>
    </w:p>
    <w:p>
      <w:pPr>
        <w:pStyle w:val="47"/>
        <w:spacing w:before="75" w:beforeAutospacing="0" w:after="75" w:afterAutospacing="0" w:line="360" w:lineRule="exact"/>
        <w:rPr>
          <w:rFonts w:hint="eastAsia" w:cs="宋体"/>
          <w:sz w:val="21"/>
          <w:szCs w:val="21"/>
        </w:rPr>
      </w:pPr>
    </w:p>
    <w:p>
      <w:pPr>
        <w:pStyle w:val="47"/>
        <w:spacing w:before="75" w:beforeAutospacing="0" w:after="75" w:afterAutospacing="0" w:line="360" w:lineRule="exact"/>
        <w:rPr>
          <w:rFonts w:hint="eastAsia" w:cs="宋体"/>
          <w:sz w:val="21"/>
          <w:szCs w:val="21"/>
        </w:rPr>
      </w:pPr>
      <w:r>
        <w:rPr>
          <w:rStyle w:val="55"/>
          <w:rFonts w:hint="eastAsia" w:cs="宋体"/>
          <w:color w:val="000000"/>
          <w:sz w:val="21"/>
          <w:szCs w:val="21"/>
        </w:rPr>
        <w:t>二、申请人的资格要求：</w:t>
      </w:r>
    </w:p>
    <w:p>
      <w:pPr>
        <w:pStyle w:val="47"/>
        <w:spacing w:before="75" w:beforeAutospacing="0" w:after="75" w:afterAutospacing="0" w:line="360" w:lineRule="exact"/>
        <w:rPr>
          <w:rFonts w:hint="eastAsia" w:cs="宋体"/>
          <w:color w:val="000000"/>
          <w:sz w:val="21"/>
          <w:szCs w:val="21"/>
        </w:rPr>
      </w:pPr>
      <w:r>
        <w:rPr>
          <w:rFonts w:hint="eastAsia" w:cs="宋体"/>
          <w:color w:val="000000"/>
          <w:sz w:val="21"/>
          <w:szCs w:val="21"/>
        </w:rPr>
        <w:t>   1.满足《中华人民共和国政府采购法》第二十二条规定；</w:t>
      </w:r>
    </w:p>
    <w:p>
      <w:pPr>
        <w:pStyle w:val="47"/>
        <w:spacing w:before="75" w:beforeAutospacing="0" w:after="75" w:afterAutospacing="0" w:line="360" w:lineRule="exact"/>
        <w:rPr>
          <w:rFonts w:hint="eastAsia" w:cs="宋体"/>
          <w:sz w:val="21"/>
          <w:szCs w:val="21"/>
        </w:rPr>
      </w:pPr>
      <w:r>
        <w:rPr>
          <w:rFonts w:hint="eastAsia" w:cs="宋体"/>
          <w:color w:val="000000"/>
          <w:sz w:val="21"/>
          <w:szCs w:val="21"/>
        </w:rPr>
        <w:t>   2.落实政府采购政策需满足的资格要求</w:t>
      </w:r>
      <w:r>
        <w:rPr>
          <w:rFonts w:hint="eastAsia" w:cs="宋体"/>
          <w:color w:val="000000"/>
          <w:sz w:val="21"/>
          <w:szCs w:val="21"/>
          <w:highlight w:val="none"/>
        </w:rPr>
        <w:t>：</w:t>
      </w:r>
      <w:r>
        <w:rPr>
          <w:rFonts w:hint="eastAsia" w:cs="宋体"/>
          <w:b/>
          <w:bCs/>
          <w:color w:val="000000"/>
          <w:sz w:val="21"/>
          <w:szCs w:val="21"/>
          <w:highlight w:val="none"/>
        </w:rPr>
        <w:t>分标1：专门面向中小企业；</w:t>
      </w:r>
    </w:p>
    <w:p>
      <w:pPr>
        <w:pStyle w:val="47"/>
        <w:spacing w:before="75" w:beforeAutospacing="0" w:after="75" w:afterAutospacing="0" w:line="360" w:lineRule="exact"/>
        <w:rPr>
          <w:rFonts w:hint="eastAsia" w:eastAsia="宋体" w:cs="宋体"/>
          <w:sz w:val="21"/>
          <w:szCs w:val="21"/>
          <w:lang w:eastAsia="zh-CN"/>
        </w:rPr>
      </w:pPr>
      <w:r>
        <w:rPr>
          <w:rFonts w:hint="eastAsia" w:cs="宋体"/>
          <w:color w:val="000000"/>
          <w:sz w:val="21"/>
          <w:szCs w:val="21"/>
        </w:rPr>
        <w:t>   3.本项目的特定资格要求：分标1：无</w:t>
      </w:r>
      <w:r>
        <w:rPr>
          <w:rFonts w:hint="eastAsia" w:cs="宋体"/>
          <w:color w:val="000000"/>
          <w:sz w:val="21"/>
          <w:szCs w:val="21"/>
          <w:lang w:eastAsia="zh-CN"/>
        </w:rPr>
        <w:t>。</w:t>
      </w:r>
    </w:p>
    <w:p>
      <w:pPr>
        <w:pStyle w:val="47"/>
        <w:spacing w:before="255" w:beforeAutospacing="0" w:after="255" w:afterAutospacing="0" w:line="360" w:lineRule="exact"/>
        <w:jc w:val="both"/>
        <w:rPr>
          <w:rFonts w:hint="eastAsia" w:cs="宋体"/>
          <w:color w:val="000000"/>
          <w:sz w:val="21"/>
          <w:szCs w:val="21"/>
        </w:rPr>
      </w:pPr>
      <w:r>
        <w:rPr>
          <w:rStyle w:val="55"/>
          <w:rFonts w:hint="eastAsia" w:cs="宋体"/>
          <w:color w:val="000000"/>
          <w:sz w:val="21"/>
          <w:szCs w:val="21"/>
        </w:rPr>
        <w:t>三、获取招标文件</w:t>
      </w:r>
      <w:r>
        <w:rPr>
          <w:rFonts w:hint="eastAsia" w:cs="宋体"/>
          <w:color w:val="000000"/>
          <w:sz w:val="21"/>
          <w:szCs w:val="21"/>
        </w:rPr>
        <w:t> </w:t>
      </w:r>
    </w:p>
    <w:p>
      <w:pPr>
        <w:pStyle w:val="47"/>
        <w:spacing w:before="75" w:beforeAutospacing="0" w:after="75" w:afterAutospacing="0" w:line="360" w:lineRule="exact"/>
        <w:rPr>
          <w:rFonts w:hint="eastAsia" w:cs="宋体"/>
          <w:sz w:val="21"/>
          <w:szCs w:val="21"/>
        </w:rPr>
      </w:pPr>
      <w:r>
        <w:rPr>
          <w:rFonts w:hint="eastAsia" w:cs="宋体"/>
          <w:color w:val="000000"/>
          <w:sz w:val="21"/>
          <w:szCs w:val="21"/>
        </w:rPr>
        <w:t>   时间：2026年</w:t>
      </w:r>
      <w:r>
        <w:rPr>
          <w:rFonts w:hint="default" w:cs="宋体"/>
          <w:color w:val="000000"/>
          <w:sz w:val="21"/>
          <w:szCs w:val="21"/>
          <w:lang w:val="en"/>
        </w:rPr>
        <w:t>8</w:t>
      </w:r>
      <w:r>
        <w:rPr>
          <w:rFonts w:hint="eastAsia" w:cs="宋体"/>
          <w:color w:val="000000"/>
          <w:sz w:val="21"/>
          <w:szCs w:val="21"/>
        </w:rPr>
        <w:t>月</w:t>
      </w:r>
      <w:r>
        <w:rPr>
          <w:rFonts w:hint="default" w:cs="宋体"/>
          <w:color w:val="000000"/>
          <w:sz w:val="21"/>
          <w:szCs w:val="21"/>
          <w:lang w:val="en"/>
        </w:rPr>
        <w:t>7</w:t>
      </w:r>
      <w:r>
        <w:rPr>
          <w:rFonts w:hint="eastAsia" w:cs="宋体"/>
          <w:color w:val="000000"/>
          <w:sz w:val="21"/>
          <w:szCs w:val="21"/>
        </w:rPr>
        <w:t>日至2026年</w:t>
      </w:r>
      <w:r>
        <w:rPr>
          <w:rFonts w:hint="default" w:cs="宋体"/>
          <w:color w:val="000000"/>
          <w:sz w:val="21"/>
          <w:szCs w:val="21"/>
          <w:lang w:val="en"/>
        </w:rPr>
        <w:t>8</w:t>
      </w:r>
      <w:r>
        <w:rPr>
          <w:rFonts w:hint="eastAsia" w:cs="宋体"/>
          <w:color w:val="000000"/>
          <w:sz w:val="21"/>
          <w:szCs w:val="21"/>
        </w:rPr>
        <w:t>月</w:t>
      </w:r>
      <w:r>
        <w:rPr>
          <w:rFonts w:hint="default" w:cs="宋体"/>
          <w:color w:val="000000"/>
          <w:sz w:val="21"/>
          <w:szCs w:val="21"/>
          <w:lang w:val="en"/>
        </w:rPr>
        <w:t>14</w:t>
      </w:r>
      <w:r>
        <w:rPr>
          <w:rFonts w:hint="eastAsia" w:cs="宋体"/>
          <w:color w:val="000000"/>
          <w:sz w:val="21"/>
          <w:szCs w:val="21"/>
        </w:rPr>
        <w:t>日，每天上午00:00:00至12:00:00，下午12:00:00至23:59:59（北京时间，法定节假日除外）</w:t>
      </w:r>
    </w:p>
    <w:p>
      <w:pPr>
        <w:pStyle w:val="47"/>
        <w:spacing w:before="75" w:beforeAutospacing="0" w:after="75" w:afterAutospacing="0" w:line="360" w:lineRule="exact"/>
        <w:rPr>
          <w:rFonts w:hint="eastAsia" w:cs="宋体"/>
          <w:sz w:val="21"/>
          <w:szCs w:val="21"/>
        </w:rPr>
      </w:pPr>
      <w:r>
        <w:rPr>
          <w:rFonts w:hint="eastAsia" w:cs="宋体"/>
          <w:color w:val="000000"/>
          <w:sz w:val="21"/>
          <w:szCs w:val="21"/>
        </w:rPr>
        <w:t>   地点（网址）：广西政府采购云平台（网址：http://www.gcy.zfcg.gxzf.gov.cn） </w:t>
      </w:r>
    </w:p>
    <w:p>
      <w:pPr>
        <w:pStyle w:val="47"/>
        <w:spacing w:before="75" w:beforeAutospacing="0" w:after="75" w:afterAutospacing="0" w:line="360" w:lineRule="exact"/>
        <w:rPr>
          <w:rFonts w:hint="eastAsia" w:cs="宋体"/>
          <w:sz w:val="21"/>
          <w:szCs w:val="21"/>
        </w:rPr>
      </w:pPr>
      <w:r>
        <w:rPr>
          <w:rFonts w:hint="eastAsia" w:cs="宋体"/>
          <w:color w:val="000000"/>
          <w:sz w:val="21"/>
          <w:szCs w:val="21"/>
        </w:rPr>
        <w:t>   方式：请登录广西政府采购云平台（网址：http://www.gcy.zfcg.gxzf.gov.cn）进行报名并获取采购文件；未注册的供应商可在广西政府采购云平台完成注册后再行报名。如在操作过程中遇到问题或需技术支持，请致电广西政府采购云客服热线：95763。提示：公开招标公告附件内的招标文件仅供阅览使用；供应商只有在“广西政府采购云平台”完成获取招标文件申请并下载了招标文件后才视作依法获取招标文件（法律法规所指的供应商获取招标文件时间以供应商完成获取招标文件申请后下载招标文件的时间为准）。 </w:t>
      </w:r>
    </w:p>
    <w:p>
      <w:pPr>
        <w:pStyle w:val="47"/>
        <w:spacing w:before="75" w:beforeAutospacing="0" w:after="75" w:afterAutospacing="0" w:line="360" w:lineRule="exact"/>
        <w:rPr>
          <w:rFonts w:hint="eastAsia" w:cs="宋体"/>
          <w:sz w:val="21"/>
          <w:szCs w:val="21"/>
        </w:rPr>
      </w:pPr>
      <w:r>
        <w:rPr>
          <w:rFonts w:hint="eastAsia" w:cs="宋体"/>
          <w:color w:val="000000"/>
          <w:sz w:val="21"/>
          <w:szCs w:val="21"/>
        </w:rPr>
        <w:t>   售价（元）：0 </w:t>
      </w:r>
    </w:p>
    <w:p>
      <w:pPr>
        <w:pStyle w:val="47"/>
        <w:spacing w:before="255" w:beforeAutospacing="0" w:after="255" w:afterAutospacing="0" w:line="360" w:lineRule="exact"/>
        <w:jc w:val="both"/>
        <w:rPr>
          <w:rFonts w:hint="eastAsia" w:cs="宋体"/>
          <w:color w:val="000000"/>
          <w:sz w:val="21"/>
          <w:szCs w:val="21"/>
        </w:rPr>
      </w:pPr>
      <w:r>
        <w:rPr>
          <w:rStyle w:val="55"/>
          <w:rFonts w:hint="eastAsia" w:cs="宋体"/>
          <w:color w:val="000000"/>
          <w:sz w:val="21"/>
          <w:szCs w:val="21"/>
        </w:rPr>
        <w:t>四、提交投标文件截止时间、开标时间和地点</w:t>
      </w:r>
    </w:p>
    <w:p>
      <w:pPr>
        <w:pStyle w:val="47"/>
        <w:spacing w:before="75" w:beforeAutospacing="0" w:after="75" w:afterAutospacing="0" w:line="360" w:lineRule="exact"/>
        <w:rPr>
          <w:rFonts w:hint="eastAsia" w:cs="宋体"/>
          <w:sz w:val="21"/>
          <w:szCs w:val="21"/>
        </w:rPr>
      </w:pPr>
      <w:r>
        <w:rPr>
          <w:rFonts w:hint="eastAsia" w:cs="宋体"/>
          <w:color w:val="000000"/>
          <w:sz w:val="21"/>
          <w:szCs w:val="21"/>
        </w:rPr>
        <w:t>   提交投标文件截止时间：2026年</w:t>
      </w:r>
      <w:r>
        <w:rPr>
          <w:rFonts w:hint="default" w:cs="宋体"/>
          <w:color w:val="000000"/>
          <w:sz w:val="21"/>
          <w:szCs w:val="21"/>
          <w:lang w:val="en"/>
        </w:rPr>
        <w:t>8</w:t>
      </w:r>
      <w:r>
        <w:rPr>
          <w:rFonts w:hint="eastAsia" w:cs="宋体"/>
          <w:color w:val="000000"/>
          <w:sz w:val="21"/>
          <w:szCs w:val="21"/>
        </w:rPr>
        <w:t>月</w:t>
      </w:r>
      <w:r>
        <w:rPr>
          <w:rFonts w:hint="default" w:cs="宋体"/>
          <w:color w:val="000000"/>
          <w:sz w:val="21"/>
          <w:szCs w:val="21"/>
          <w:lang w:val="en"/>
        </w:rPr>
        <w:t>28</w:t>
      </w:r>
      <w:r>
        <w:rPr>
          <w:rFonts w:hint="eastAsia" w:cs="宋体"/>
          <w:color w:val="000000"/>
          <w:sz w:val="21"/>
          <w:szCs w:val="21"/>
        </w:rPr>
        <w:t>日 10:00（北京时间）</w:t>
      </w:r>
    </w:p>
    <w:p>
      <w:pPr>
        <w:pStyle w:val="47"/>
        <w:spacing w:before="75" w:beforeAutospacing="0" w:after="75" w:afterAutospacing="0" w:line="360" w:lineRule="exact"/>
        <w:rPr>
          <w:rFonts w:hint="eastAsia" w:cs="宋体"/>
          <w:sz w:val="21"/>
          <w:szCs w:val="21"/>
        </w:rPr>
      </w:pPr>
      <w:r>
        <w:rPr>
          <w:rFonts w:hint="eastAsia" w:cs="宋体"/>
          <w:color w:val="000000"/>
          <w:sz w:val="21"/>
          <w:szCs w:val="21"/>
        </w:rPr>
        <w:t>   投标地点（网址）：http://www.gcy.zfcg.gxzf.gov.cn（本项目不要求投标供应商到达开标现场，但供应商应派法定代表人或委托代理人准时在线出席电子开评标会议，随时关注开评标进度，如在开评标过程中有电子询标，应在规定的时间内对电子询标函进行澄清回复。） </w:t>
      </w:r>
    </w:p>
    <w:p>
      <w:pPr>
        <w:pStyle w:val="47"/>
        <w:spacing w:before="75" w:beforeAutospacing="0" w:after="75" w:afterAutospacing="0" w:line="360" w:lineRule="exact"/>
        <w:rPr>
          <w:rFonts w:hint="eastAsia" w:cs="宋体"/>
          <w:sz w:val="21"/>
          <w:szCs w:val="21"/>
        </w:rPr>
      </w:pPr>
      <w:r>
        <w:rPr>
          <w:rFonts w:hint="eastAsia" w:cs="宋体"/>
          <w:color w:val="000000"/>
          <w:sz w:val="21"/>
          <w:szCs w:val="21"/>
        </w:rPr>
        <w:t>   开标时间：2026年</w:t>
      </w:r>
      <w:r>
        <w:rPr>
          <w:rFonts w:hint="default" w:cs="宋体"/>
          <w:color w:val="000000"/>
          <w:sz w:val="21"/>
          <w:szCs w:val="21"/>
          <w:lang w:val="en"/>
        </w:rPr>
        <w:t>8</w:t>
      </w:r>
      <w:r>
        <w:rPr>
          <w:rFonts w:hint="eastAsia" w:cs="宋体"/>
          <w:color w:val="000000"/>
          <w:sz w:val="21"/>
          <w:szCs w:val="21"/>
        </w:rPr>
        <w:t>月</w:t>
      </w:r>
      <w:r>
        <w:rPr>
          <w:rFonts w:hint="default" w:cs="宋体"/>
          <w:color w:val="000000"/>
          <w:sz w:val="21"/>
          <w:szCs w:val="21"/>
          <w:lang w:val="en"/>
        </w:rPr>
        <w:t>28</w:t>
      </w:r>
      <w:r>
        <w:rPr>
          <w:rFonts w:hint="eastAsia" w:cs="宋体"/>
          <w:color w:val="000000"/>
          <w:sz w:val="21"/>
          <w:szCs w:val="21"/>
        </w:rPr>
        <w:t>日 10:00 </w:t>
      </w:r>
    </w:p>
    <w:p>
      <w:pPr>
        <w:pStyle w:val="47"/>
        <w:spacing w:before="75" w:beforeAutospacing="0" w:after="75" w:afterAutospacing="0" w:line="360" w:lineRule="exact"/>
        <w:rPr>
          <w:rFonts w:hint="eastAsia" w:cs="宋体"/>
          <w:color w:val="000000"/>
          <w:sz w:val="21"/>
          <w:szCs w:val="21"/>
        </w:rPr>
      </w:pPr>
      <w:r>
        <w:rPr>
          <w:rFonts w:hint="eastAsia" w:cs="宋体"/>
          <w:color w:val="000000"/>
          <w:sz w:val="21"/>
          <w:szCs w:val="21"/>
        </w:rPr>
        <w:t>   开标地点：南宁市青秀区广西政府采购云平台开标大厅  </w:t>
      </w:r>
    </w:p>
    <w:p>
      <w:pPr>
        <w:pStyle w:val="47"/>
        <w:spacing w:before="255" w:beforeAutospacing="0" w:after="255" w:afterAutospacing="0" w:line="360" w:lineRule="exact"/>
        <w:jc w:val="both"/>
        <w:rPr>
          <w:rFonts w:hint="eastAsia" w:cs="宋体"/>
          <w:color w:val="000000"/>
          <w:sz w:val="21"/>
          <w:szCs w:val="21"/>
        </w:rPr>
      </w:pPr>
      <w:r>
        <w:rPr>
          <w:rStyle w:val="55"/>
          <w:rFonts w:hint="eastAsia" w:cs="宋体"/>
          <w:color w:val="000000"/>
          <w:sz w:val="21"/>
          <w:szCs w:val="21"/>
        </w:rPr>
        <w:t>五、公告期限</w:t>
      </w:r>
      <w:r>
        <w:rPr>
          <w:rFonts w:hint="eastAsia" w:cs="宋体"/>
          <w:color w:val="000000"/>
          <w:sz w:val="21"/>
          <w:szCs w:val="21"/>
        </w:rPr>
        <w:t> </w:t>
      </w:r>
    </w:p>
    <w:p>
      <w:pPr>
        <w:pStyle w:val="47"/>
        <w:spacing w:before="75" w:beforeAutospacing="0" w:after="75" w:afterAutospacing="0" w:line="360" w:lineRule="exact"/>
        <w:rPr>
          <w:rFonts w:hint="eastAsia" w:cs="宋体"/>
          <w:color w:val="000000"/>
          <w:sz w:val="21"/>
          <w:szCs w:val="21"/>
        </w:rPr>
      </w:pPr>
      <w:r>
        <w:rPr>
          <w:rFonts w:hint="eastAsia" w:cs="宋体"/>
          <w:color w:val="000000"/>
          <w:sz w:val="21"/>
          <w:szCs w:val="21"/>
        </w:rPr>
        <w:t>   自本公告发布之日起5个工作日。</w:t>
      </w:r>
    </w:p>
    <w:p>
      <w:pPr>
        <w:pStyle w:val="47"/>
        <w:spacing w:before="255" w:beforeAutospacing="0" w:after="255" w:afterAutospacing="0" w:line="360" w:lineRule="exact"/>
        <w:jc w:val="both"/>
        <w:rPr>
          <w:rFonts w:hint="eastAsia" w:cs="宋体"/>
          <w:color w:val="000000"/>
          <w:sz w:val="21"/>
          <w:szCs w:val="21"/>
        </w:rPr>
      </w:pPr>
      <w:r>
        <w:rPr>
          <w:rStyle w:val="55"/>
          <w:rFonts w:hint="eastAsia" w:cs="宋体"/>
          <w:color w:val="000000"/>
          <w:sz w:val="21"/>
          <w:szCs w:val="21"/>
        </w:rPr>
        <w:t>六、其他补充事宜</w:t>
      </w:r>
    </w:p>
    <w:p>
      <w:pPr>
        <w:pStyle w:val="47"/>
        <w:spacing w:before="75" w:beforeAutospacing="0" w:after="75" w:afterAutospacing="0" w:line="360" w:lineRule="exact"/>
        <w:rPr>
          <w:rFonts w:hint="eastAsia" w:cs="宋体"/>
          <w:color w:val="000000"/>
          <w:sz w:val="21"/>
          <w:szCs w:val="21"/>
        </w:rPr>
      </w:pPr>
      <w:r>
        <w:rPr>
          <w:rFonts w:hint="eastAsia" w:cs="宋体"/>
          <w:color w:val="000000"/>
          <w:sz w:val="21"/>
          <w:szCs w:val="21"/>
        </w:rPr>
        <w:t>1.投标保证金（人民币）：</w:t>
      </w:r>
      <w:r>
        <w:rPr>
          <w:rFonts w:hint="eastAsia" w:cs="宋体"/>
          <w:b/>
          <w:bCs/>
          <w:color w:val="000000"/>
          <w:sz w:val="21"/>
          <w:szCs w:val="21"/>
          <w:u w:val="single"/>
        </w:rPr>
        <w:t xml:space="preserve"> </w:t>
      </w:r>
      <w:r>
        <w:rPr>
          <w:rFonts w:hint="eastAsia" w:cs="宋体"/>
          <w:b/>
          <w:bCs/>
          <w:color w:val="000000"/>
          <w:sz w:val="21"/>
          <w:szCs w:val="21"/>
          <w:u w:val="single"/>
          <w:lang w:val="en-US" w:eastAsia="zh-CN"/>
        </w:rPr>
        <w:t xml:space="preserve"> 4  </w:t>
      </w:r>
      <w:r>
        <w:rPr>
          <w:rFonts w:hint="eastAsia" w:cs="宋体"/>
          <w:b/>
          <w:bCs/>
          <w:color w:val="000000"/>
          <w:sz w:val="21"/>
          <w:szCs w:val="21"/>
          <w:u w:val="single"/>
        </w:rPr>
        <w:t>万元。</w:t>
      </w:r>
      <w:r>
        <w:rPr>
          <w:rFonts w:hint="eastAsia" w:cs="宋体"/>
          <w:b/>
          <w:bCs/>
          <w:color w:val="000000"/>
          <w:sz w:val="21"/>
          <w:szCs w:val="21"/>
        </w:rPr>
        <w:t>(必须足额交纳)</w:t>
      </w:r>
      <w:r>
        <w:rPr>
          <w:rFonts w:hint="eastAsia" w:cs="宋体"/>
          <w:color w:val="000000"/>
          <w:sz w:val="21"/>
          <w:szCs w:val="21"/>
        </w:rPr>
        <w:br w:type="textWrapping"/>
      </w:r>
      <w:r>
        <w:rPr>
          <w:rFonts w:hint="eastAsia" w:cs="宋体"/>
          <w:color w:val="000000"/>
          <w:sz w:val="21"/>
          <w:szCs w:val="21"/>
        </w:rPr>
        <w:t>（1）投标保证金交纳形式：支票、汇票、本票、金融机构、担保机构出具的保函等非现金形式。</w:t>
      </w:r>
      <w:r>
        <w:rPr>
          <w:rFonts w:hint="eastAsia" w:cs="宋体"/>
          <w:color w:val="000000"/>
          <w:sz w:val="21"/>
          <w:szCs w:val="21"/>
        </w:rPr>
        <w:br w:type="textWrapping"/>
      </w:r>
      <w:r>
        <w:rPr>
          <w:rFonts w:hint="eastAsia" w:cs="宋体"/>
          <w:color w:val="000000"/>
          <w:sz w:val="21"/>
          <w:szCs w:val="21"/>
        </w:rPr>
        <w:t>（2）采用网上银行转账形式的，投标人应于提交投标文件截止时间前将投标保证金交至以下账户。</w:t>
      </w:r>
      <w:r>
        <w:rPr>
          <w:rFonts w:hint="eastAsia" w:cs="宋体"/>
          <w:color w:val="000000"/>
          <w:sz w:val="21"/>
          <w:szCs w:val="21"/>
        </w:rPr>
        <w:br w:type="textWrapping"/>
      </w:r>
      <w:r>
        <w:rPr>
          <w:rFonts w:hint="eastAsia" w:cs="宋体"/>
          <w:b/>
          <w:bCs/>
          <w:color w:val="000000"/>
          <w:sz w:val="21"/>
          <w:szCs w:val="21"/>
        </w:rPr>
        <w:t>开户名称：广西壮族自治区政府采购中心</w:t>
      </w:r>
      <w:r>
        <w:rPr>
          <w:rFonts w:hint="eastAsia" w:cs="宋体"/>
          <w:b/>
          <w:bCs/>
          <w:color w:val="000000"/>
          <w:sz w:val="21"/>
          <w:szCs w:val="21"/>
        </w:rPr>
        <w:br w:type="textWrapping"/>
      </w:r>
      <w:r>
        <w:rPr>
          <w:rFonts w:hint="eastAsia" w:cs="宋体"/>
          <w:b/>
          <w:bCs/>
          <w:color w:val="000000"/>
          <w:sz w:val="21"/>
          <w:szCs w:val="21"/>
        </w:rPr>
        <w:t>开户银行：中国农业银行股份有限公司南宁市古城支行</w:t>
      </w:r>
      <w:r>
        <w:rPr>
          <w:rFonts w:hint="eastAsia" w:cs="宋体"/>
          <w:b/>
          <w:bCs/>
          <w:color w:val="000000"/>
          <w:sz w:val="21"/>
          <w:szCs w:val="21"/>
        </w:rPr>
        <w:br w:type="textWrapping"/>
      </w:r>
      <w:r>
        <w:rPr>
          <w:rFonts w:hint="eastAsia" w:cs="宋体"/>
          <w:b/>
          <w:bCs/>
          <w:color w:val="000000"/>
          <w:sz w:val="21"/>
          <w:szCs w:val="21"/>
        </w:rPr>
        <w:t>银行账号：20009101040051648</w:t>
      </w:r>
      <w:r>
        <w:rPr>
          <w:rFonts w:hint="eastAsia" w:cs="宋体"/>
          <w:b/>
          <w:bCs/>
          <w:color w:val="000000"/>
          <w:sz w:val="21"/>
          <w:szCs w:val="21"/>
        </w:rPr>
        <w:br w:type="textWrapping"/>
      </w:r>
      <w:r>
        <w:rPr>
          <w:rFonts w:hint="eastAsia" w:cs="宋体"/>
          <w:color w:val="000000"/>
          <w:sz w:val="21"/>
          <w:szCs w:val="21"/>
        </w:rPr>
        <w:t>（3）采用支票、汇票、本票或者保函等形式的，投标人应于提交投标文件截止时间前递交单独密封的支票、汇票、本票或者保函原件至我中心财务处。</w:t>
      </w:r>
      <w:r>
        <w:rPr>
          <w:rFonts w:hint="eastAsia" w:cs="宋体"/>
          <w:color w:val="000000"/>
          <w:sz w:val="21"/>
          <w:szCs w:val="21"/>
        </w:rPr>
        <w:br w:type="textWrapping"/>
      </w:r>
      <w:r>
        <w:rPr>
          <w:rFonts w:hint="eastAsia" w:cs="宋体"/>
          <w:color w:val="000000"/>
          <w:sz w:val="21"/>
          <w:szCs w:val="21"/>
        </w:rPr>
        <w:t>（4）本中心财务处联系方式：</w:t>
      </w:r>
      <w:r>
        <w:rPr>
          <w:rFonts w:hint="eastAsia" w:cs="宋体"/>
          <w:color w:val="000000"/>
          <w:sz w:val="21"/>
          <w:szCs w:val="21"/>
        </w:rPr>
        <w:br w:type="textWrapping"/>
      </w:r>
      <w:r>
        <w:rPr>
          <w:rFonts w:hint="eastAsia" w:cs="宋体"/>
          <w:color w:val="000000"/>
          <w:sz w:val="21"/>
          <w:szCs w:val="21"/>
        </w:rPr>
        <w:t>地址：广西南宁市星湖路22号广西壮族自治区政府采购中心综合楼3楼306室； 电话：0771-8600309。</w:t>
      </w:r>
      <w:r>
        <w:rPr>
          <w:rFonts w:hint="eastAsia" w:cs="宋体"/>
          <w:color w:val="000000"/>
          <w:sz w:val="21"/>
          <w:szCs w:val="21"/>
        </w:rPr>
        <w:br w:type="textWrapping"/>
      </w:r>
      <w:r>
        <w:rPr>
          <w:rFonts w:hint="eastAsia" w:cs="宋体"/>
          <w:color w:val="000000"/>
          <w:sz w:val="21"/>
          <w:szCs w:val="21"/>
        </w:rPr>
        <w:t>2.本项目需要落实的政府采购政策</w:t>
      </w:r>
      <w:r>
        <w:rPr>
          <w:rFonts w:hint="eastAsia" w:cs="宋体"/>
          <w:color w:val="000000"/>
          <w:sz w:val="21"/>
          <w:szCs w:val="21"/>
        </w:rPr>
        <w:br w:type="textWrapping"/>
      </w:r>
      <w:r>
        <w:rPr>
          <w:rFonts w:hint="eastAsia" w:cs="宋体"/>
          <w:color w:val="000000"/>
          <w:sz w:val="21"/>
          <w:szCs w:val="21"/>
        </w:rPr>
        <w:t>政府采购促进中小企业发展；政府采购支持采用本国产品的政策；政府采购支持采用本国产品的政策；强制采购节能产品；优先采购节能产品、环境标志产品；政府采购促进残疾人就业政策；政府采购支持监狱企业发展；政府采购扶持不发达地区和少数民族地区等。</w:t>
      </w:r>
      <w:r>
        <w:rPr>
          <w:rFonts w:hint="eastAsia" w:cs="宋体"/>
          <w:color w:val="000000"/>
          <w:sz w:val="21"/>
          <w:szCs w:val="21"/>
        </w:rPr>
        <w:br w:type="textWrapping"/>
      </w:r>
      <w:r>
        <w:rPr>
          <w:rFonts w:hint="eastAsia" w:cs="宋体"/>
          <w:color w:val="000000"/>
          <w:sz w:val="21"/>
          <w:szCs w:val="21"/>
        </w:rPr>
        <w:t>3.网上公告媒体查询</w:t>
      </w:r>
      <w:r>
        <w:rPr>
          <w:rFonts w:hint="eastAsia" w:cs="宋体"/>
          <w:color w:val="000000"/>
          <w:sz w:val="21"/>
          <w:szCs w:val="21"/>
        </w:rPr>
        <w:br w:type="textWrapping"/>
      </w:r>
      <w:r>
        <w:rPr>
          <w:rFonts w:hint="eastAsia" w:cs="宋体"/>
          <w:color w:val="000000"/>
          <w:sz w:val="21"/>
          <w:szCs w:val="21"/>
        </w:rPr>
        <w:t>中国政府采购网（www.ccgp.gov.cn）、广西壮族自治区政府采购网（zfcg.gxzf.gov.cn）、广西壮族自治区政府采购中心网站（gxggzy.gxzf.gov.cn）。</w:t>
      </w:r>
      <w:r>
        <w:rPr>
          <w:rFonts w:hint="eastAsia" w:cs="宋体"/>
          <w:color w:val="000000"/>
          <w:sz w:val="21"/>
          <w:szCs w:val="21"/>
        </w:rPr>
        <w:br w:type="textWrapping"/>
      </w:r>
      <w:r>
        <w:rPr>
          <w:rFonts w:hint="eastAsia" w:cs="宋体"/>
          <w:color w:val="000000"/>
          <w:sz w:val="21"/>
          <w:szCs w:val="21"/>
        </w:rPr>
        <w:t>4.其他注意事项</w:t>
      </w:r>
      <w:r>
        <w:rPr>
          <w:rFonts w:hint="eastAsia" w:cs="宋体"/>
          <w:color w:val="000000"/>
          <w:sz w:val="21"/>
          <w:szCs w:val="21"/>
        </w:rPr>
        <w:br w:type="textWrapping"/>
      </w:r>
      <w:r>
        <w:rPr>
          <w:rFonts w:hint="eastAsia" w:cs="宋体"/>
          <w:color w:val="000000"/>
          <w:sz w:val="21"/>
          <w:szCs w:val="21"/>
        </w:rPr>
        <w:t>（1）本项目实行电子投标，供应商应按照本项目招标文件和广西政府采购云平台的要求编制、加密并提交投标文件。供应商在使用系统参与投标过程中遇到涉及平台使用的任何问题，可致电广西政府采购云平台技术支持热线咨询，联系方式：95763。 </w:t>
      </w:r>
      <w:r>
        <w:rPr>
          <w:rFonts w:hint="eastAsia" w:cs="宋体"/>
          <w:color w:val="000000"/>
          <w:sz w:val="21"/>
          <w:szCs w:val="21"/>
        </w:rPr>
        <w:br w:type="textWrapping"/>
      </w:r>
      <w:r>
        <w:rPr>
          <w:rFonts w:hint="eastAsia" w:cs="宋体"/>
          <w:color w:val="000000"/>
          <w:sz w:val="21"/>
          <w:szCs w:val="21"/>
        </w:rPr>
        <w:t>（2）供应商应及时熟悉掌握电子标系统操作指南（见广西政府采购云电子卖场首页右上角—服务中心—帮助文档—项目采购）：https://service.zcygov.cn/#/knowledges/tree?tag=AG1DtGwBFdiHxlNdhY0r。</w:t>
      </w:r>
      <w:r>
        <w:rPr>
          <w:rFonts w:hint="eastAsia" w:cs="宋体"/>
          <w:color w:val="000000"/>
          <w:sz w:val="21"/>
          <w:szCs w:val="21"/>
        </w:rPr>
        <w:br w:type="textWrapping"/>
      </w:r>
      <w:r>
        <w:rPr>
          <w:rFonts w:hint="eastAsia" w:cs="宋体"/>
          <w:color w:val="000000"/>
          <w:sz w:val="21"/>
          <w:szCs w:val="21"/>
        </w:rPr>
        <w:t>（3）供应商应及时完成CA申领和绑定（见广西壮族自治区政府采购网—办事服务—下载专区-政采云CA证书办理操作指南）。</w:t>
      </w:r>
      <w:r>
        <w:rPr>
          <w:rFonts w:hint="eastAsia" w:cs="宋体"/>
          <w:color w:val="000000"/>
          <w:sz w:val="21"/>
          <w:szCs w:val="21"/>
        </w:rPr>
        <w:br w:type="textWrapping"/>
      </w:r>
      <w:r>
        <w:rPr>
          <w:rFonts w:hint="eastAsia" w:cs="宋体"/>
          <w:color w:val="000000"/>
          <w:sz w:val="21"/>
          <w:szCs w:val="21"/>
        </w:rPr>
        <w:t>（4）供应商通过广西政府采购云投标客户端软件制作投标文件，广西政府采购云投标客户端软件请供应商自行前往下载并安装（见广西壮族自治区政府采购网—办事服务—下载专区-广西壮族自治区全流程电子招投标项目管理系统--供应商客户端）。 </w:t>
      </w:r>
      <w:r>
        <w:rPr>
          <w:rFonts w:hint="eastAsia" w:cs="宋体"/>
          <w:color w:val="000000"/>
          <w:sz w:val="21"/>
          <w:szCs w:val="21"/>
        </w:rPr>
        <w:br w:type="textWrapping"/>
      </w:r>
      <w:r>
        <w:rPr>
          <w:rFonts w:hint="eastAsia" w:cs="宋体"/>
          <w:color w:val="000000"/>
          <w:sz w:val="21"/>
          <w:szCs w:val="21"/>
        </w:rPr>
        <w:t>（5）因未注册入库、未办理CA数字证书、CA证书故障、操作不当等原因造成无法投标或投标失败等后果由供应商自行承担。</w:t>
      </w:r>
      <w:r>
        <w:rPr>
          <w:rFonts w:hint="eastAsia" w:cs="宋体"/>
          <w:color w:val="000000"/>
          <w:sz w:val="21"/>
          <w:szCs w:val="21"/>
        </w:rPr>
        <w:br w:type="textWrapping"/>
      </w:r>
      <w:r>
        <w:rPr>
          <w:rFonts w:hint="eastAsia" w:cs="宋体"/>
          <w:color w:val="000000"/>
          <w:sz w:val="21"/>
          <w:szCs w:val="21"/>
        </w:rPr>
        <w:t>（6）投标文件网上提交截止后，广西政府采购云（电子标系统）自动提取所有投标文件，各供应商须在开标开始后30分钟内对上传广西政府采购云的投标文件进行解密，所有供应商在规定的解密时限内解密完成或解密时限结束后，我中心开启投标文件；供应商超过解密时限的，系统默认自动放弃。  </w:t>
      </w:r>
    </w:p>
    <w:p>
      <w:pPr>
        <w:pStyle w:val="47"/>
        <w:spacing w:before="255" w:beforeAutospacing="0" w:after="255" w:afterAutospacing="0" w:line="360" w:lineRule="exact"/>
        <w:jc w:val="both"/>
        <w:rPr>
          <w:rFonts w:hint="eastAsia" w:cs="宋体"/>
          <w:color w:val="000000"/>
          <w:sz w:val="21"/>
          <w:szCs w:val="21"/>
        </w:rPr>
      </w:pPr>
      <w:r>
        <w:rPr>
          <w:rStyle w:val="55"/>
          <w:rFonts w:hint="eastAsia" w:cs="宋体"/>
          <w:color w:val="000000"/>
          <w:sz w:val="21"/>
          <w:szCs w:val="21"/>
        </w:rPr>
        <w:t>七、对本次采购提出询问，请按以下方式联系</w:t>
      </w:r>
    </w:p>
    <w:p>
      <w:pPr>
        <w:pStyle w:val="47"/>
        <w:spacing w:before="75" w:beforeAutospacing="0" w:after="75" w:afterAutospacing="0" w:line="360" w:lineRule="exact"/>
        <w:rPr>
          <w:rFonts w:hint="eastAsia" w:cs="宋体"/>
          <w:sz w:val="21"/>
          <w:szCs w:val="21"/>
          <w:highlight w:val="none"/>
        </w:rPr>
      </w:pPr>
      <w:r>
        <w:rPr>
          <w:rFonts w:hint="eastAsia" w:cs="宋体"/>
          <w:color w:val="000000"/>
          <w:sz w:val="21"/>
          <w:szCs w:val="21"/>
        </w:rPr>
        <w:t>   </w:t>
      </w:r>
      <w:r>
        <w:rPr>
          <w:rFonts w:hint="eastAsia" w:cs="宋体"/>
          <w:color w:val="000000"/>
          <w:sz w:val="21"/>
          <w:szCs w:val="21"/>
          <w:highlight w:val="none"/>
        </w:rPr>
        <w:t xml:space="preserve"> 1.采购人信息</w:t>
      </w:r>
    </w:p>
    <w:p>
      <w:pPr>
        <w:pStyle w:val="47"/>
        <w:spacing w:before="75" w:beforeAutospacing="0" w:after="75" w:afterAutospacing="0" w:line="360" w:lineRule="exact"/>
        <w:rPr>
          <w:rFonts w:hint="eastAsia" w:eastAsia="宋体" w:cs="宋体"/>
          <w:sz w:val="21"/>
          <w:szCs w:val="21"/>
          <w:highlight w:val="none"/>
          <w:lang w:val="en-US" w:eastAsia="zh-CN"/>
        </w:rPr>
      </w:pPr>
      <w:r>
        <w:rPr>
          <w:rFonts w:hint="eastAsia" w:cs="宋体"/>
          <w:color w:val="000000"/>
          <w:sz w:val="21"/>
          <w:szCs w:val="21"/>
          <w:highlight w:val="none"/>
        </w:rPr>
        <w:t>    名    称：</w:t>
      </w:r>
      <w:r>
        <w:rPr>
          <w:rFonts w:hint="eastAsia" w:cs="宋体"/>
          <w:color w:val="000000"/>
          <w:sz w:val="21"/>
          <w:szCs w:val="21"/>
          <w:highlight w:val="none"/>
          <w:lang w:val="en-US" w:eastAsia="zh-CN"/>
        </w:rPr>
        <w:t>梧州学院</w:t>
      </w:r>
    </w:p>
    <w:p>
      <w:pPr>
        <w:pStyle w:val="47"/>
        <w:spacing w:before="75" w:beforeAutospacing="0" w:after="75" w:afterAutospacing="0" w:line="360" w:lineRule="exact"/>
        <w:rPr>
          <w:rFonts w:hint="default" w:eastAsia="宋体" w:cs="宋体"/>
          <w:sz w:val="21"/>
          <w:szCs w:val="21"/>
          <w:highlight w:val="none"/>
          <w:lang w:val="en-US" w:eastAsia="zh-CN"/>
        </w:rPr>
      </w:pPr>
      <w:r>
        <w:rPr>
          <w:rFonts w:hint="eastAsia" w:cs="宋体"/>
          <w:color w:val="000000"/>
          <w:sz w:val="21"/>
          <w:szCs w:val="21"/>
          <w:highlight w:val="none"/>
        </w:rPr>
        <w:t>    地    址：</w:t>
      </w:r>
      <w:r>
        <w:rPr>
          <w:rFonts w:hint="eastAsia" w:cs="宋体"/>
          <w:color w:val="000000"/>
          <w:sz w:val="21"/>
          <w:szCs w:val="21"/>
          <w:highlight w:val="none"/>
          <w:lang w:val="en-US" w:eastAsia="zh-CN"/>
        </w:rPr>
        <w:t>梧州市万秀区富民三路82号</w:t>
      </w:r>
    </w:p>
    <w:p>
      <w:pPr>
        <w:pStyle w:val="47"/>
        <w:spacing w:before="75" w:beforeAutospacing="0" w:after="75" w:afterAutospacing="0" w:line="360" w:lineRule="exact"/>
        <w:rPr>
          <w:rFonts w:hint="eastAsia" w:eastAsia="宋体" w:cs="宋体"/>
          <w:sz w:val="21"/>
          <w:szCs w:val="21"/>
          <w:highlight w:val="none"/>
          <w:lang w:val="en-US" w:eastAsia="zh-CN"/>
        </w:rPr>
      </w:pPr>
      <w:r>
        <w:rPr>
          <w:rFonts w:hint="eastAsia" w:cs="宋体"/>
          <w:color w:val="000000"/>
          <w:sz w:val="21"/>
          <w:szCs w:val="21"/>
          <w:highlight w:val="none"/>
        </w:rPr>
        <w:t>    项目联系人：</w:t>
      </w:r>
      <w:r>
        <w:rPr>
          <w:rFonts w:hint="eastAsia" w:cs="宋体"/>
          <w:color w:val="000000"/>
          <w:sz w:val="21"/>
          <w:szCs w:val="21"/>
          <w:highlight w:val="none"/>
          <w:lang w:val="en-US" w:eastAsia="zh-CN"/>
        </w:rPr>
        <w:t>吴老师</w:t>
      </w:r>
    </w:p>
    <w:p>
      <w:pPr>
        <w:pStyle w:val="47"/>
        <w:spacing w:before="75" w:beforeAutospacing="0" w:after="75" w:afterAutospacing="0" w:line="360" w:lineRule="exact"/>
        <w:rPr>
          <w:rFonts w:hint="default" w:eastAsia="宋体" w:cs="宋体"/>
          <w:sz w:val="21"/>
          <w:szCs w:val="21"/>
          <w:highlight w:val="none"/>
          <w:lang w:val="en-US" w:eastAsia="zh-CN"/>
        </w:rPr>
      </w:pPr>
      <w:r>
        <w:rPr>
          <w:rFonts w:hint="eastAsia" w:cs="宋体"/>
          <w:color w:val="000000"/>
          <w:sz w:val="21"/>
          <w:szCs w:val="21"/>
          <w:highlight w:val="none"/>
        </w:rPr>
        <w:t>    项目联系方式：</w:t>
      </w:r>
      <w:r>
        <w:rPr>
          <w:rFonts w:hint="eastAsia" w:cs="宋体"/>
          <w:color w:val="000000"/>
          <w:sz w:val="21"/>
          <w:szCs w:val="21"/>
          <w:highlight w:val="none"/>
          <w:lang w:val="en-US" w:eastAsia="zh-CN"/>
        </w:rPr>
        <w:t>0774-5835633</w:t>
      </w:r>
    </w:p>
    <w:p>
      <w:pPr>
        <w:pStyle w:val="47"/>
        <w:spacing w:before="75" w:beforeAutospacing="0" w:after="75" w:afterAutospacing="0" w:line="360" w:lineRule="exact"/>
        <w:rPr>
          <w:rFonts w:hint="eastAsia" w:cs="宋体"/>
          <w:sz w:val="21"/>
          <w:szCs w:val="21"/>
          <w:highlight w:val="none"/>
        </w:rPr>
      </w:pPr>
      <w:r>
        <w:rPr>
          <w:rFonts w:hint="eastAsia" w:cs="宋体"/>
          <w:color w:val="000000"/>
          <w:sz w:val="21"/>
          <w:szCs w:val="21"/>
          <w:highlight w:val="none"/>
        </w:rPr>
        <w:t>    </w:t>
      </w:r>
      <w:r>
        <w:rPr>
          <w:rFonts w:hint="eastAsia" w:cs="宋体"/>
          <w:color w:val="000000"/>
          <w:sz w:val="21"/>
          <w:szCs w:val="21"/>
          <w:highlight w:val="none"/>
        </w:rPr>
        <w:br w:type="textWrapping"/>
      </w:r>
      <w:r>
        <w:rPr>
          <w:rFonts w:hint="eastAsia" w:cs="宋体"/>
          <w:color w:val="000000"/>
          <w:sz w:val="21"/>
          <w:szCs w:val="21"/>
          <w:highlight w:val="none"/>
        </w:rPr>
        <w:t>    2.采购代理机构信息            </w:t>
      </w:r>
    </w:p>
    <w:p>
      <w:pPr>
        <w:pStyle w:val="47"/>
        <w:spacing w:before="75" w:beforeAutospacing="0" w:after="75" w:afterAutospacing="0" w:line="360" w:lineRule="exact"/>
        <w:rPr>
          <w:rFonts w:hint="eastAsia" w:cs="宋体"/>
          <w:sz w:val="21"/>
          <w:szCs w:val="21"/>
        </w:rPr>
      </w:pPr>
      <w:r>
        <w:rPr>
          <w:rFonts w:hint="eastAsia" w:cs="宋体"/>
          <w:color w:val="000000"/>
          <w:sz w:val="21"/>
          <w:szCs w:val="21"/>
        </w:rPr>
        <w:t>    名    称：广西壮族自治区政府采购中心             </w:t>
      </w:r>
    </w:p>
    <w:p>
      <w:pPr>
        <w:pStyle w:val="47"/>
        <w:spacing w:before="75" w:beforeAutospacing="0" w:after="75" w:afterAutospacing="0" w:line="360" w:lineRule="exact"/>
        <w:rPr>
          <w:rFonts w:hint="eastAsia" w:cs="宋体"/>
          <w:sz w:val="21"/>
          <w:szCs w:val="21"/>
        </w:rPr>
      </w:pPr>
      <w:r>
        <w:rPr>
          <w:rFonts w:hint="eastAsia" w:cs="宋体"/>
          <w:color w:val="000000"/>
          <w:sz w:val="21"/>
          <w:szCs w:val="21"/>
        </w:rPr>
        <w:t>    地    址：广西南宁市星湖路22号              </w:t>
      </w:r>
    </w:p>
    <w:p>
      <w:pPr>
        <w:pStyle w:val="47"/>
        <w:spacing w:before="75" w:beforeAutospacing="0" w:after="75" w:afterAutospacing="0" w:line="360" w:lineRule="exact"/>
        <w:rPr>
          <w:rFonts w:hint="eastAsia" w:cs="宋体"/>
          <w:sz w:val="21"/>
          <w:szCs w:val="21"/>
        </w:rPr>
      </w:pPr>
      <w:r>
        <w:rPr>
          <w:rFonts w:hint="eastAsia" w:cs="宋体"/>
          <w:color w:val="000000"/>
          <w:sz w:val="21"/>
          <w:szCs w:val="21"/>
        </w:rPr>
        <w:t>    项目联系人：廖婕              </w:t>
      </w:r>
    </w:p>
    <w:p>
      <w:pPr>
        <w:pStyle w:val="47"/>
        <w:spacing w:before="75" w:beforeAutospacing="0" w:after="75" w:afterAutospacing="0" w:line="360" w:lineRule="exact"/>
        <w:rPr>
          <w:rFonts w:hint="eastAsia" w:cs="宋体"/>
          <w:sz w:val="21"/>
          <w:szCs w:val="21"/>
        </w:rPr>
      </w:pPr>
      <w:r>
        <w:rPr>
          <w:rFonts w:hint="eastAsia" w:cs="宋体"/>
          <w:color w:val="000000"/>
          <w:sz w:val="21"/>
          <w:szCs w:val="21"/>
        </w:rPr>
        <w:t>    项目联系方式：0771-8600349</w:t>
      </w:r>
    </w:p>
    <w:p>
      <w:pPr>
        <w:adjustRightInd w:val="0"/>
        <w:snapToGrid w:val="0"/>
        <w:spacing w:line="360" w:lineRule="exact"/>
        <w:rPr>
          <w:rFonts w:hint="eastAsia" w:ascii="宋体" w:hAnsi="宋体" w:cs="宋体"/>
          <w:color w:val="000000" w:themeColor="text1"/>
          <w:szCs w:val="21"/>
          <w14:textFill>
            <w14:solidFill>
              <w14:schemeClr w14:val="tx1"/>
            </w14:solidFill>
          </w14:textFill>
        </w:rPr>
      </w:pPr>
    </w:p>
    <w:bookmarkEnd w:id="8"/>
    <w:bookmarkEnd w:id="9"/>
    <w:p>
      <w:pPr>
        <w:snapToGrid w:val="0"/>
        <w:spacing w:line="360" w:lineRule="exact"/>
        <w:ind w:left="238" w:firstLine="420" w:firstLineChars="200"/>
        <w:jc w:val="righ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广西壮族自治区政府采购中心</w:t>
      </w:r>
    </w:p>
    <w:p>
      <w:pPr>
        <w:snapToGrid w:val="0"/>
        <w:spacing w:line="360" w:lineRule="exact"/>
        <w:ind w:left="238" w:firstLine="420" w:firstLineChars="200"/>
        <w:jc w:val="center"/>
        <w:rPr>
          <w:rFonts w:hint="eastAsia" w:ascii="宋体" w:hAnsi="宋体" w:cs="宋体"/>
          <w:color w:val="000000" w:themeColor="text1"/>
          <w:szCs w:val="21"/>
          <w:lang w:val="en"/>
          <w14:textFill>
            <w14:solidFill>
              <w14:schemeClr w14:val="tx1"/>
            </w14:solidFill>
          </w14:textFill>
        </w:rPr>
      </w:pPr>
      <w:r>
        <w:rPr>
          <w:rFonts w:hint="default" w:ascii="宋体" w:hAnsi="宋体" w:cs="宋体"/>
          <w:color w:val="000000" w:themeColor="text1"/>
          <w:szCs w:val="21"/>
          <w:lang w:val="en"/>
          <w14:textFill>
            <w14:solidFill>
              <w14:schemeClr w14:val="tx1"/>
            </w14:solidFill>
          </w14:textFill>
        </w:rPr>
        <w:t xml:space="preserve">                                                        </w:t>
      </w:r>
      <w:r>
        <w:rPr>
          <w:rFonts w:hint="eastAsia" w:ascii="宋体" w:hAnsi="宋体" w:cs="宋体"/>
          <w:color w:val="000000" w:themeColor="text1"/>
          <w:szCs w:val="21"/>
          <w:lang w:val="en"/>
          <w14:textFill>
            <w14:solidFill>
              <w14:schemeClr w14:val="tx1"/>
            </w14:solidFill>
          </w14:textFill>
        </w:rPr>
        <w:t>202</w:t>
      </w:r>
      <w:r>
        <w:rPr>
          <w:rFonts w:hint="eastAsia"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lang w:val="en"/>
          <w14:textFill>
            <w14:solidFill>
              <w14:schemeClr w14:val="tx1"/>
            </w14:solidFill>
          </w14:textFill>
        </w:rPr>
        <w:t>年月日</w:t>
      </w:r>
    </w:p>
    <w:p>
      <w:pPr>
        <w:snapToGrid w:val="0"/>
        <w:spacing w:before="156" w:beforeLines="50" w:after="156" w:afterLines="50" w:line="340" w:lineRule="exact"/>
        <w:ind w:left="238" w:firstLine="640" w:firstLineChars="200"/>
        <w:jc w:val="center"/>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br w:type="page"/>
      </w:r>
    </w:p>
    <w:p>
      <w:pPr>
        <w:pStyle w:val="228"/>
        <w:widowControl w:val="0"/>
        <w:spacing w:afterLines="0"/>
        <w:ind w:firstLine="883"/>
        <w:jc w:val="center"/>
        <w:rPr>
          <w:rFonts w:hint="eastAsia" w:ascii="宋体" w:hAnsi="宋体" w:cs="宋体"/>
          <w:b/>
          <w:color w:val="000000" w:themeColor="text1"/>
          <w:sz w:val="44"/>
          <w:szCs w:val="44"/>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snapToGrid w:val="0"/>
        <w:spacing w:before="156" w:beforeLines="50" w:after="156" w:afterLines="50"/>
        <w:jc w:val="center"/>
        <w:rPr>
          <w:rFonts w:ascii="黑体" w:eastAsia="黑体"/>
          <w:color w:val="000000" w:themeColor="text1"/>
          <w:sz w:val="36"/>
          <w:szCs w:val="36"/>
          <w14:textFill>
            <w14:solidFill>
              <w14:schemeClr w14:val="tx1"/>
            </w14:solidFill>
          </w14:textFill>
        </w:rPr>
      </w:pPr>
      <w:bookmarkStart w:id="10" w:name="_Toc2115451214_WPSOffice_Level1"/>
      <w:r>
        <w:rPr>
          <w:rFonts w:hint="eastAsia" w:ascii="宋体" w:hAnsi="宋体" w:cs="宋体"/>
          <w:b/>
          <w:color w:val="000000" w:themeColor="text1"/>
          <w:sz w:val="44"/>
          <w:szCs w:val="44"/>
          <w14:textFill>
            <w14:solidFill>
              <w14:schemeClr w14:val="tx1"/>
            </w14:solidFill>
          </w14:textFill>
        </w:rPr>
        <w:t xml:space="preserve">第二章  </w:t>
      </w:r>
      <w:r>
        <w:rPr>
          <w:rFonts w:hint="eastAsia" w:ascii="宋体" w:hAnsi="宋体" w:cs="宋体"/>
          <w:b/>
          <w:bCs/>
          <w:color w:val="000000" w:themeColor="text1"/>
          <w:sz w:val="44"/>
          <w:szCs w:val="44"/>
          <w14:textFill>
            <w14:solidFill>
              <w14:schemeClr w14:val="tx1"/>
            </w14:solidFill>
          </w14:textFill>
        </w:rPr>
        <w:t>招</w:t>
      </w:r>
      <w:r>
        <w:rPr>
          <w:rFonts w:hint="eastAsia" w:ascii="宋体" w:hAnsi="宋体" w:cs="宋体"/>
          <w:b/>
          <w:color w:val="000000" w:themeColor="text1"/>
          <w:sz w:val="44"/>
          <w:szCs w:val="44"/>
          <w14:textFill>
            <w14:solidFill>
              <w14:schemeClr w14:val="tx1"/>
            </w14:solidFill>
          </w14:textFill>
        </w:rPr>
        <w:t>标项目采购需求</w:t>
      </w:r>
      <w:bookmarkEnd w:id="10"/>
    </w:p>
    <w:p>
      <w:pPr>
        <w:ind w:firstLine="420" w:firstLineChars="200"/>
        <w:jc w:val="center"/>
        <w:rPr>
          <w:rFonts w:hint="eastAsia" w:ascii="宋体" w:hAnsi="宋体"/>
          <w:b/>
          <w:bCs/>
          <w:color w:val="000000" w:themeColor="text1"/>
          <w:sz w:val="36"/>
          <w:szCs w:val="36"/>
          <w14:textFill>
            <w14:solidFill>
              <w14:schemeClr w14:val="tx1"/>
            </w14:solidFill>
          </w14:textFill>
        </w:rPr>
      </w:pPr>
      <w:r>
        <w:rPr>
          <w:color w:val="000000" w:themeColor="text1"/>
          <w14:textFill>
            <w14:solidFill>
              <w14:schemeClr w14:val="tx1"/>
            </w14:solidFill>
          </w14:textFill>
        </w:rPr>
        <w:br w:type="page"/>
      </w:r>
      <w:r>
        <w:rPr>
          <w:rFonts w:hint="eastAsia" w:ascii="宋体" w:hAnsi="宋体"/>
          <w:b/>
          <w:bCs/>
          <w:color w:val="000000" w:themeColor="text1"/>
          <w:sz w:val="36"/>
          <w:szCs w:val="36"/>
          <w14:textFill>
            <w14:solidFill>
              <w14:schemeClr w14:val="tx1"/>
            </w14:solidFill>
          </w14:textFill>
        </w:rPr>
        <w:t>招标项目采购需求</w:t>
      </w:r>
    </w:p>
    <w:p>
      <w:pPr>
        <w:keepNext w:val="0"/>
        <w:keepLines w:val="0"/>
        <w:pageBreakBefore w:val="0"/>
        <w:widowControl w:val="0"/>
        <w:kinsoku/>
        <w:wordWrap/>
        <w:overflowPunct/>
        <w:topLinePunct w:val="0"/>
        <w:autoSpaceDE/>
        <w:autoSpaceDN/>
        <w:bidi w:val="0"/>
        <w:adjustRightInd/>
        <w:snapToGrid w:val="0"/>
        <w:spacing w:line="360" w:lineRule="exact"/>
        <w:ind w:firstLine="421" w:firstLineChars="200"/>
        <w:jc w:val="left"/>
        <w:textAlignment w:val="auto"/>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说明：</w:t>
      </w:r>
    </w:p>
    <w:p>
      <w:pPr>
        <w:keepNext w:val="0"/>
        <w:keepLines w:val="0"/>
        <w:pageBreakBefore w:val="0"/>
        <w:widowControl w:val="0"/>
        <w:numPr>
          <w:ilvl w:val="0"/>
          <w:numId w:val="11"/>
        </w:numPr>
        <w:kinsoku/>
        <w:wordWrap/>
        <w:overflowPunct/>
        <w:topLinePunct w:val="0"/>
        <w:autoSpaceDE/>
        <w:autoSpaceDN/>
        <w:bidi w:val="0"/>
        <w:adjustRightInd/>
        <w:snapToGrid w:val="0"/>
        <w:spacing w:line="360" w:lineRule="exact"/>
        <w:ind w:firstLine="421" w:firstLineChars="200"/>
        <w:jc w:val="left"/>
        <w:textAlignment w:val="auto"/>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本需求中有参考品牌时，货物品牌型号、技术参数及其性能（配置）仅起参考作用，投标人可选用其他品牌型号替代，但这些替代的产品要实质上相当于或优于参考品牌型号及其技术参数性能（配置）要求。</w:t>
      </w:r>
    </w:p>
    <w:p>
      <w:pPr>
        <w:keepNext w:val="0"/>
        <w:keepLines w:val="0"/>
        <w:pageBreakBefore w:val="0"/>
        <w:widowControl w:val="0"/>
        <w:numPr>
          <w:ilvl w:val="0"/>
          <w:numId w:val="11"/>
        </w:numPr>
        <w:kinsoku/>
        <w:wordWrap/>
        <w:overflowPunct/>
        <w:topLinePunct w:val="0"/>
        <w:autoSpaceDE/>
        <w:autoSpaceDN/>
        <w:bidi w:val="0"/>
        <w:adjustRightInd/>
        <w:snapToGrid w:val="0"/>
        <w:spacing w:line="360" w:lineRule="exact"/>
        <w:ind w:firstLine="421" w:firstLineChars="200"/>
        <w:jc w:val="left"/>
        <w:textAlignment w:val="auto"/>
        <w:rPr>
          <w:rFonts w:hint="eastAsia" w:ascii="宋体" w:hAnsi="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p>
      <w:pPr>
        <w:keepNext w:val="0"/>
        <w:keepLines w:val="0"/>
        <w:pageBreakBefore w:val="0"/>
        <w:widowControl w:val="0"/>
        <w:numPr>
          <w:ilvl w:val="0"/>
          <w:numId w:val="11"/>
        </w:numPr>
        <w:kinsoku/>
        <w:wordWrap/>
        <w:overflowPunct/>
        <w:topLinePunct w:val="0"/>
        <w:autoSpaceDE/>
        <w:autoSpaceDN/>
        <w:bidi w:val="0"/>
        <w:adjustRightInd/>
        <w:snapToGrid w:val="0"/>
        <w:spacing w:line="360" w:lineRule="exact"/>
        <w:ind w:firstLine="421" w:firstLineChars="200"/>
        <w:jc w:val="left"/>
        <w:textAlignment w:val="auto"/>
        <w:rPr>
          <w:rFonts w:hint="eastAsia" w:ascii="宋体" w:hAnsi="宋体"/>
          <w:b/>
          <w:bCs/>
          <w:color w:val="000000" w:themeColor="text1"/>
          <w:szCs w:val="21"/>
          <w14:textFill>
            <w14:solidFill>
              <w14:schemeClr w14:val="tx1"/>
            </w14:solidFill>
          </w14:textFill>
        </w:rPr>
      </w:pPr>
      <w:r>
        <w:rPr>
          <w:rFonts w:hint="eastAsia" w:ascii="宋体" w:hAnsi="宋体" w:cs="宋体"/>
          <w:b/>
          <w:bCs/>
          <w:color w:val="000000" w:themeColor="text1"/>
          <w14:textFill>
            <w14:solidFill>
              <w14:schemeClr w14:val="tx1"/>
            </w14:solidFill>
          </w14:textFill>
        </w:rPr>
        <w:t>“技术参数及性能（配置）要求”中</w:t>
      </w:r>
      <w:r>
        <w:rPr>
          <w:rFonts w:hint="eastAsia" w:ascii="宋体" w:hAnsi="宋体"/>
          <w:b/>
          <w:bCs/>
          <w:color w:val="000000" w:themeColor="text1"/>
          <w:szCs w:val="21"/>
          <w14:textFill>
            <w14:solidFill>
              <w14:schemeClr w14:val="tx1"/>
            </w14:solidFill>
          </w14:textFill>
        </w:rPr>
        <w:t>的“≥”和“≤”偏离情况说明如下：</w:t>
      </w:r>
    </w:p>
    <w:p>
      <w:pPr>
        <w:keepNext w:val="0"/>
        <w:keepLines w:val="0"/>
        <w:pageBreakBefore w:val="0"/>
        <w:widowControl w:val="0"/>
        <w:kinsoku/>
        <w:wordWrap/>
        <w:overflowPunct/>
        <w:topLinePunct w:val="0"/>
        <w:autoSpaceDE/>
        <w:autoSpaceDN/>
        <w:bidi w:val="0"/>
        <w:adjustRightInd/>
        <w:snapToGrid w:val="0"/>
        <w:spacing w:line="360" w:lineRule="exact"/>
        <w:ind w:firstLine="421" w:firstLineChars="200"/>
        <w:jc w:val="left"/>
        <w:textAlignment w:val="auto"/>
        <w:rPr>
          <w:rFonts w:hint="eastAsia" w:ascii="宋体" w:hAnsi="宋体" w:cs="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“≥”：“=”为无偏离，“＞”为正偏离；“＜”为负偏离；“≤”：“=”为无偏离，“＜”为正偏离，“＞”为负偏离。投标人响应时必须明确</w:t>
      </w:r>
      <w:r>
        <w:rPr>
          <w:rStyle w:val="654"/>
          <w:rFonts w:hint="eastAsia" w:ascii="宋体" w:hAnsi="宋体" w:cs="宋体"/>
          <w:b/>
          <w:bCs/>
          <w:color w:val="000000" w:themeColor="text1"/>
          <w:u w:val="none"/>
          <w14:textFill>
            <w14:solidFill>
              <w14:schemeClr w14:val="tx1"/>
            </w14:solidFill>
          </w14:textFill>
        </w:rPr>
        <w:t>具体响应数值</w:t>
      </w:r>
      <w:r>
        <w:rPr>
          <w:rFonts w:hint="eastAsia" w:ascii="宋体" w:hAnsi="宋体" w:cs="宋体"/>
          <w:b/>
          <w:bCs/>
          <w:color w:val="000000" w:themeColor="text1"/>
          <w:szCs w:val="21"/>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val="0"/>
        <w:spacing w:line="360" w:lineRule="exact"/>
        <w:ind w:firstLine="421" w:firstLineChars="200"/>
        <w:jc w:val="left"/>
        <w:textAlignment w:val="auto"/>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4、凡在“技术参数及性能（配置）要求”中表述为“标配”或“标准配置”的设备，投标人应在投标报价明细表中将其标配参数详细列明。</w:t>
      </w:r>
    </w:p>
    <w:p>
      <w:pPr>
        <w:keepNext w:val="0"/>
        <w:keepLines w:val="0"/>
        <w:pageBreakBefore w:val="0"/>
        <w:widowControl w:val="0"/>
        <w:kinsoku/>
        <w:wordWrap/>
        <w:overflowPunct/>
        <w:topLinePunct w:val="0"/>
        <w:autoSpaceDE/>
        <w:autoSpaceDN/>
        <w:bidi w:val="0"/>
        <w:adjustRightInd/>
        <w:snapToGrid w:val="0"/>
        <w:spacing w:line="360" w:lineRule="exact"/>
        <w:ind w:firstLine="421" w:firstLineChars="200"/>
        <w:jc w:val="left"/>
        <w:textAlignment w:val="auto"/>
        <w:rPr>
          <w:rStyle w:val="654"/>
          <w:rFonts w:hint="eastAsia" w:ascii="宋体" w:hAnsi="宋体"/>
          <w:b/>
          <w:bCs/>
          <w:color w:val="auto"/>
          <w:szCs w:val="21"/>
          <w:highlight w:val="none"/>
          <w:u w:val="none"/>
        </w:rPr>
      </w:pPr>
      <w:r>
        <w:rPr>
          <w:rFonts w:hint="eastAsia" w:ascii="宋体" w:hAnsi="宋体" w:cs="宋体"/>
          <w:b/>
          <w:bCs/>
          <w:color w:val="auto"/>
          <w:szCs w:val="21"/>
          <w:highlight w:val="none"/>
        </w:rPr>
        <w:t>5、招标文件中带“▲”的条款为本次采购的实质性(关键性)的商务、技术或服务要求，投标人须满足或优于，否则，将会被认定为无效投标</w:t>
      </w:r>
      <w:r>
        <w:rPr>
          <w:rStyle w:val="654"/>
          <w:rFonts w:hint="eastAsia" w:ascii="宋体" w:hAnsi="宋体"/>
          <w:b/>
          <w:bCs/>
          <w:color w:val="auto"/>
          <w:szCs w:val="21"/>
          <w:highlight w:val="none"/>
          <w:u w:val="none"/>
        </w:rPr>
        <w:t>。</w:t>
      </w:r>
    </w:p>
    <w:p>
      <w:pPr>
        <w:keepNext w:val="0"/>
        <w:keepLines w:val="0"/>
        <w:pageBreakBefore w:val="0"/>
        <w:widowControl w:val="0"/>
        <w:kinsoku/>
        <w:wordWrap/>
        <w:overflowPunct/>
        <w:topLinePunct w:val="0"/>
        <w:autoSpaceDE/>
        <w:autoSpaceDN/>
        <w:bidi w:val="0"/>
        <w:adjustRightInd/>
        <w:snapToGrid w:val="0"/>
        <w:spacing w:line="360" w:lineRule="exact"/>
        <w:ind w:firstLine="421" w:firstLineChars="200"/>
        <w:jc w:val="left"/>
        <w:textAlignment w:val="auto"/>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6、本项目为</w:t>
      </w:r>
      <w:r>
        <w:rPr>
          <w:rFonts w:hint="eastAsia" w:ascii="宋体" w:hAnsi="宋体" w:cs="宋体"/>
          <w:b/>
          <w:bCs/>
          <w:color w:val="000000" w:themeColor="text1"/>
          <w:szCs w:val="21"/>
          <w:u w:val="single"/>
          <w14:textFill>
            <w14:solidFill>
              <w14:schemeClr w14:val="tx1"/>
            </w14:solidFill>
          </w14:textFill>
        </w:rPr>
        <w:t xml:space="preserve"> 货物类 </w:t>
      </w:r>
      <w:r>
        <w:rPr>
          <w:rFonts w:hint="eastAsia" w:ascii="宋体" w:hAnsi="宋体" w:cs="宋体"/>
          <w:b/>
          <w:bCs/>
          <w:color w:val="000000" w:themeColor="text1"/>
          <w:szCs w:val="21"/>
          <w14:textFill>
            <w14:solidFill>
              <w14:schemeClr w14:val="tx1"/>
            </w14:solidFill>
          </w14:textFill>
        </w:rPr>
        <w:t>项目；本项目标的所属行业均为：</w:t>
      </w:r>
      <w:r>
        <w:rPr>
          <w:rFonts w:hint="eastAsia" w:ascii="宋体" w:hAnsi="宋体" w:cs="宋体"/>
          <w:b/>
          <w:bCs/>
          <w:color w:val="000000" w:themeColor="text1"/>
          <w:szCs w:val="21"/>
          <w:u w:val="single"/>
          <w14:textFill>
            <w14:solidFill>
              <w14:schemeClr w14:val="tx1"/>
            </w14:solidFill>
          </w14:textFill>
        </w:rPr>
        <w:t xml:space="preserve"> 工业 </w:t>
      </w:r>
      <w:r>
        <w:rPr>
          <w:rFonts w:hint="eastAsia" w:ascii="宋体" w:hAnsi="宋体" w:cs="宋体"/>
          <w:b/>
          <w:bCs/>
          <w:color w:val="000000" w:themeColor="text1"/>
          <w:szCs w:val="21"/>
          <w14:textFill>
            <w14:solidFill>
              <w14:schemeClr w14:val="tx1"/>
            </w14:solidFill>
          </w14:textFill>
        </w:rPr>
        <w:t>；划分依据：《关于印发中小企业划型标准规定的通知》（工信部联企业[2011]300号）。</w:t>
      </w:r>
    </w:p>
    <w:p>
      <w:pPr>
        <w:keepNext w:val="0"/>
        <w:keepLines w:val="0"/>
        <w:pageBreakBefore w:val="0"/>
        <w:widowControl w:val="0"/>
        <w:kinsoku/>
        <w:wordWrap/>
        <w:overflowPunct/>
        <w:topLinePunct w:val="0"/>
        <w:autoSpaceDE/>
        <w:autoSpaceDN/>
        <w:bidi w:val="0"/>
        <w:adjustRightInd/>
        <w:snapToGrid w:val="0"/>
        <w:spacing w:line="360" w:lineRule="exact"/>
        <w:ind w:firstLine="421" w:firstLineChars="200"/>
        <w:jc w:val="left"/>
        <w:textAlignment w:val="auto"/>
        <w:rPr>
          <w:u w:val="single"/>
        </w:rPr>
      </w:pPr>
      <w:r>
        <w:rPr>
          <w:rFonts w:hint="eastAsia" w:ascii="宋体" w:hAnsi="宋体" w:cs="宋体"/>
          <w:b/>
          <w:bCs/>
          <w:color w:val="000000" w:themeColor="text1"/>
          <w:szCs w:val="21"/>
          <w14:textFill>
            <w14:solidFill>
              <w14:schemeClr w14:val="tx1"/>
            </w14:solidFill>
          </w14:textFill>
        </w:rPr>
        <w:t>7、本项目采购总预算：</w:t>
      </w:r>
      <w:r>
        <w:rPr>
          <w:rFonts w:hint="eastAsia" w:ascii="宋体" w:hAnsi="宋体" w:cs="宋体"/>
          <w:b/>
          <w:bCs/>
          <w:color w:val="000000" w:themeColor="text1"/>
          <w:szCs w:val="21"/>
          <w:u w:val="single"/>
          <w14:textFill>
            <w14:solidFill>
              <w14:schemeClr w14:val="tx1"/>
            </w14:solidFill>
          </w14:textFill>
        </w:rPr>
        <w:t>4996080.00元。</w:t>
      </w:r>
    </w:p>
    <w:tbl>
      <w:tblPr>
        <w:tblStyle w:val="52"/>
        <w:tblW w:w="9723" w:type="dxa"/>
        <w:tblInd w:w="-2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808"/>
        <w:gridCol w:w="664"/>
        <w:gridCol w:w="20"/>
        <w:gridCol w:w="547"/>
        <w:gridCol w:w="800"/>
        <w:gridCol w:w="6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
                <w:iCs/>
                <w:color w:val="000000" w:themeColor="text1"/>
                <w:szCs w:val="21"/>
                <w14:textFill>
                  <w14:solidFill>
                    <w14:schemeClr w14:val="tx1"/>
                  </w14:solidFill>
                </w14:textFill>
              </w:rPr>
            </w:pPr>
            <w:bookmarkStart w:id="11" w:name="OLE_LINK15"/>
            <w:r>
              <w:rPr>
                <w:rFonts w:hint="eastAsia" w:ascii="宋体" w:hAnsi="宋体" w:cs="宋体"/>
                <w:b/>
                <w:iCs/>
                <w:color w:val="000000" w:themeColor="text1"/>
                <w:szCs w:val="21"/>
                <w14:textFill>
                  <w14:solidFill>
                    <w14:schemeClr w14:val="tx1"/>
                  </w14:solidFill>
                </w14:textFill>
              </w:rPr>
              <w:t>项号</w:t>
            </w:r>
          </w:p>
        </w:tc>
        <w:tc>
          <w:tcPr>
            <w:tcW w:w="80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
                <w:iCs/>
                <w:color w:val="000000" w:themeColor="text1"/>
                <w:szCs w:val="21"/>
                <w14:textFill>
                  <w14:solidFill>
                    <w14:schemeClr w14:val="tx1"/>
                  </w14:solidFill>
                </w14:textFill>
              </w:rPr>
            </w:pPr>
            <w:r>
              <w:rPr>
                <w:rFonts w:hint="eastAsia" w:ascii="宋体" w:hAnsi="宋体" w:cs="宋体"/>
                <w:b/>
                <w:iCs/>
                <w:color w:val="000000" w:themeColor="text1"/>
                <w:szCs w:val="21"/>
                <w14:textFill>
                  <w14:solidFill>
                    <w14:schemeClr w14:val="tx1"/>
                  </w14:solidFill>
                </w14:textFill>
              </w:rPr>
              <w:t>采购标的</w:t>
            </w:r>
          </w:p>
        </w:tc>
        <w:tc>
          <w:tcPr>
            <w:tcW w:w="684"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b/>
                <w:iCs/>
                <w:color w:val="000000" w:themeColor="text1"/>
                <w:szCs w:val="21"/>
                <w14:textFill>
                  <w14:solidFill>
                    <w14:schemeClr w14:val="tx1"/>
                  </w14:solidFill>
                </w14:textFill>
              </w:rPr>
            </w:pPr>
            <w:r>
              <w:rPr>
                <w:rFonts w:hint="eastAsia" w:ascii="宋体" w:hAnsi="宋体" w:cs="宋体"/>
                <w:b/>
                <w:iCs/>
                <w:color w:val="000000" w:themeColor="text1"/>
                <w:szCs w:val="21"/>
                <w14:textFill>
                  <w14:solidFill>
                    <w14:schemeClr w14:val="tx1"/>
                  </w14:solidFill>
                </w14:textFill>
              </w:rPr>
              <w:t>数量</w:t>
            </w:r>
          </w:p>
        </w:tc>
        <w:tc>
          <w:tcPr>
            <w:tcW w:w="54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b/>
                <w:iCs/>
                <w:color w:val="000000" w:themeColor="text1"/>
                <w:szCs w:val="21"/>
                <w14:textFill>
                  <w14:solidFill>
                    <w14:schemeClr w14:val="tx1"/>
                  </w14:solidFill>
                </w14:textFill>
              </w:rPr>
            </w:pPr>
            <w:r>
              <w:rPr>
                <w:rFonts w:hint="eastAsia" w:ascii="宋体" w:hAnsi="宋体" w:cs="宋体"/>
                <w:b/>
                <w:iCs/>
                <w:color w:val="000000" w:themeColor="text1"/>
                <w:szCs w:val="21"/>
                <w14:textFill>
                  <w14:solidFill>
                    <w14:schemeClr w14:val="tx1"/>
                  </w14:solidFill>
                </w14:textFill>
              </w:rPr>
              <w:t>单位</w:t>
            </w:r>
          </w:p>
        </w:tc>
        <w:tc>
          <w:tcPr>
            <w:tcW w:w="80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
                <w:bCs/>
                <w:iCs/>
                <w:color w:val="000000" w:themeColor="text1"/>
                <w:szCs w:val="21"/>
                <w14:textFill>
                  <w14:solidFill>
                    <w14:schemeClr w14:val="tx1"/>
                  </w14:solidFill>
                </w14:textFill>
              </w:rPr>
            </w:pPr>
            <w:r>
              <w:rPr>
                <w:rFonts w:hint="eastAsia" w:ascii="宋体" w:hAnsi="宋体" w:cs="宋体"/>
                <w:b/>
                <w:bCs/>
                <w:iCs/>
                <w:color w:val="000000" w:themeColor="text1"/>
                <w:szCs w:val="21"/>
                <w14:textFill>
                  <w14:solidFill>
                    <w14:schemeClr w14:val="tx1"/>
                  </w14:solidFill>
                </w14:textFill>
              </w:rPr>
              <w:t>推荐品牌及型号</w:t>
            </w:r>
          </w:p>
        </w:tc>
        <w:tc>
          <w:tcPr>
            <w:tcW w:w="62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
                <w:bCs/>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技术参数及性能（配置）要求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1</w:t>
            </w:r>
          </w:p>
        </w:tc>
        <w:tc>
          <w:tcPr>
            <w:tcW w:w="808" w:type="dxa"/>
            <w:tcBorders>
              <w:top w:val="single" w:color="auto" w:sz="4" w:space="0"/>
              <w:left w:val="single" w:color="auto" w:sz="4" w:space="0"/>
              <w:bottom w:val="single" w:color="auto" w:sz="4" w:space="0"/>
              <w:right w:val="single" w:color="auto" w:sz="4" w:space="0"/>
            </w:tcBorders>
            <w:vAlign w:val="center"/>
          </w:tcPr>
          <w:p>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三联四位公寓床</w:t>
            </w:r>
          </w:p>
        </w:tc>
        <w:tc>
          <w:tcPr>
            <w:tcW w:w="684" w:type="dxa"/>
            <w:gridSpan w:val="2"/>
            <w:tcBorders>
              <w:top w:val="single" w:color="auto" w:sz="4" w:space="0"/>
              <w:left w:val="single" w:color="auto" w:sz="4" w:space="0"/>
              <w:bottom w:val="single" w:color="auto" w:sz="4" w:space="0"/>
              <w:right w:val="single" w:color="auto" w:sz="4" w:space="0"/>
            </w:tcBorders>
            <w:vAlign w:val="center"/>
          </w:tcPr>
          <w:p>
            <w:pPr>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2272</w:t>
            </w:r>
          </w:p>
        </w:tc>
        <w:tc>
          <w:tcPr>
            <w:tcW w:w="547" w:type="dxa"/>
            <w:tcBorders>
              <w:top w:val="single" w:color="auto" w:sz="4" w:space="0"/>
              <w:left w:val="single" w:color="auto" w:sz="4" w:space="0"/>
              <w:bottom w:val="single" w:color="auto" w:sz="4" w:space="0"/>
              <w:right w:val="single" w:color="auto" w:sz="4" w:space="0"/>
            </w:tcBorders>
            <w:vAlign w:val="center"/>
          </w:tcPr>
          <w:p>
            <w:pPr>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位</w:t>
            </w:r>
          </w:p>
        </w:tc>
        <w:tc>
          <w:tcPr>
            <w:tcW w:w="800" w:type="dxa"/>
            <w:tcBorders>
              <w:top w:val="single" w:color="auto" w:sz="4" w:space="0"/>
              <w:left w:val="single" w:color="auto" w:sz="4" w:space="0"/>
              <w:bottom w:val="single" w:color="auto" w:sz="4" w:space="0"/>
              <w:right w:val="single" w:color="auto" w:sz="4" w:space="0"/>
            </w:tcBorders>
            <w:vAlign w:val="center"/>
          </w:tcPr>
          <w:p>
            <w:pPr>
              <w:pStyle w:val="45"/>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定制</w:t>
            </w:r>
          </w:p>
        </w:tc>
        <w:tc>
          <w:tcPr>
            <w:tcW w:w="6238" w:type="dxa"/>
            <w:tcBorders>
              <w:top w:val="single" w:color="auto" w:sz="4" w:space="0"/>
              <w:left w:val="single" w:color="auto" w:sz="4" w:space="0"/>
              <w:bottom w:val="single" w:color="auto" w:sz="4" w:space="0"/>
              <w:right w:val="single" w:color="auto" w:sz="4" w:space="0"/>
            </w:tcBorders>
            <w:vAlign w:val="center"/>
          </w:tcPr>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bCs/>
                <w:color w:val="000000"/>
                <w:sz w:val="21"/>
                <w:szCs w:val="21"/>
              </w:rPr>
              <w:t>▲</w:t>
            </w:r>
            <w:r>
              <w:rPr>
                <w:rFonts w:hint="eastAsia" w:ascii="宋体" w:hAnsi="宋体" w:eastAsia="宋体" w:cs="宋体"/>
                <w:sz w:val="21"/>
                <w:szCs w:val="21"/>
              </w:rPr>
              <w:t>一、</w:t>
            </w:r>
            <w:r>
              <w:rPr>
                <w:rFonts w:hint="eastAsia" w:ascii="宋体" w:hAnsi="宋体" w:eastAsia="宋体" w:cs="宋体"/>
                <w:color w:val="auto"/>
                <w:sz w:val="21"/>
                <w:szCs w:val="21"/>
              </w:rPr>
              <w:t>规格及总体要求</w:t>
            </w:r>
          </w:p>
          <w:p>
            <w:pPr>
              <w:keepNext/>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 w:val="21"/>
                <w:szCs w:val="21"/>
              </w:rPr>
              <w:t>规格尺寸：约为 L6000mm×W900mm×H2100mm（长×宽×高），具体尺寸以宿舍现场复核及采购人确认的深化设计为准。因A7、A8、A9栋部分宿舍层高、空间布局存在差异，最终尺寸可根据现场实际适当调整，但不得影响床体结构安全、层间净高、护栏高度、通行空间及学生正常使用。</w:t>
            </w:r>
          </w:p>
          <w:p>
            <w:pPr>
              <w:keepNext/>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2.整体技术标准要求：公寓床整体外观质量、结构安全、理化性能、力学性能、有害物质限量、安装要求等技术指标应符合QB/T 2741-2013《学生公寓多功能家具》、GB 28008-2024《家具结构安全技术规范》、GB/T 3328-2016《家具床类主要尺寸》、GB/T 3325-2024《金属家具通用技术条件》、GB 18584-2024《家具中有害物质限量》</w:t>
            </w:r>
            <w:r>
              <w:rPr>
                <w:rFonts w:hint="eastAsia" w:ascii="宋体" w:hAnsi="宋体" w:eastAsia="宋体" w:cs="宋体"/>
                <w:color w:val="auto"/>
                <w:sz w:val="21"/>
                <w:szCs w:val="21"/>
                <w:lang w:val="en-US" w:eastAsia="zh-CN"/>
              </w:rPr>
              <w:t>要求</w:t>
            </w:r>
            <w:r>
              <w:rPr>
                <w:rFonts w:hint="eastAsia" w:ascii="宋体" w:hAnsi="宋体" w:eastAsia="宋体" w:cs="宋体"/>
                <w:color w:val="auto"/>
                <w:sz w:val="21"/>
                <w:szCs w:val="21"/>
              </w:rPr>
              <w:t>。</w:t>
            </w:r>
            <w:r>
              <w:rPr>
                <w:rFonts w:hint="eastAsia"/>
                <w:b/>
                <w:bCs/>
                <w:color w:val="auto"/>
              </w:rPr>
              <w:t>供货时，须提供上述检测标准的检测报告原件。</w:t>
            </w:r>
          </w:p>
          <w:p>
            <w:pPr>
              <w:pStyle w:val="21"/>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▲二、主材及表面处理</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rPr>
              <w:t>1.钢材材质及厚度要求：床边</w:t>
            </w:r>
            <w:r>
              <w:rPr>
                <w:rFonts w:hint="eastAsia" w:ascii="宋体" w:hAnsi="宋体" w:eastAsia="宋体" w:cs="宋体"/>
                <w:color w:val="auto"/>
                <w:sz w:val="21"/>
                <w:szCs w:val="21"/>
                <w:highlight w:val="none"/>
              </w:rPr>
              <w:t>立柱、床中立柱、前床厅（前横梁）、后床厅（后横梁）、</w:t>
            </w:r>
            <w:r>
              <w:rPr>
                <w:rFonts w:hint="eastAsia" w:ascii="宋体" w:hAnsi="宋体" w:cs="宋体"/>
                <w:color w:val="auto"/>
                <w:sz w:val="21"/>
                <w:szCs w:val="21"/>
                <w:highlight w:val="none"/>
                <w:lang w:val="en-US" w:eastAsia="zh-CN"/>
              </w:rPr>
              <w:t>拉杆、护栏、</w:t>
            </w:r>
            <w:r>
              <w:rPr>
                <w:rFonts w:hint="eastAsia" w:ascii="宋体" w:hAnsi="宋体" w:eastAsia="宋体" w:cs="宋体"/>
                <w:color w:val="auto"/>
                <w:sz w:val="21"/>
                <w:szCs w:val="21"/>
                <w:highlight w:val="none"/>
              </w:rPr>
              <w:t>爬梯梯架采用优质钢管，钢管壁厚</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1.5mm；床撑、蚊帐杆、辅助支撑部件均采用优质钢管。</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2.金属表面处理要求：金属件表面应经有效防锈预处理后进行静电喷塑处理，符合 HG/T 2006-2022《热固性和热塑性粉末涂料》要求。喷塑层应均匀牢固，色泽一致，无漏喷、起泡、剥落、锈蚀、流挂、疙瘩、皱皮、划伤等缺陷。</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三、床架主要部件要求</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1.床边立柱：</w:t>
            </w:r>
            <w:r>
              <w:rPr>
                <w:rFonts w:hint="eastAsia" w:ascii="宋体" w:hAnsi="宋体" w:cs="宋体"/>
                <w:color w:val="auto"/>
                <w:sz w:val="21"/>
                <w:szCs w:val="21"/>
                <w:highlight w:val="none"/>
                <w:lang w:val="en-US" w:eastAsia="zh-CN"/>
              </w:rPr>
              <w:t>裸管</w:t>
            </w:r>
            <w:r>
              <w:rPr>
                <w:rFonts w:hint="eastAsia" w:ascii="宋体" w:hAnsi="宋体" w:eastAsia="宋体" w:cs="宋体"/>
                <w:color w:val="auto"/>
                <w:sz w:val="21"/>
                <w:szCs w:val="21"/>
                <w:highlight w:val="none"/>
              </w:rPr>
              <w:t>规格</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8</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mm×8</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mm，根据需要合理设置加强筋。立柱结构须满足床体承重、稳定、抗弯、抗扭和长期高频使用要求。外露部位须进行圆角或防磕碰处理，无锐边、锐角、毛刺、刃口、明显焊渣等安全隐患；钢管端部应封闭或采取安全防护措施。</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2.床中立柱：</w:t>
            </w:r>
            <w:r>
              <w:rPr>
                <w:rFonts w:hint="eastAsia" w:ascii="宋体" w:hAnsi="宋体" w:cs="宋体"/>
                <w:color w:val="auto"/>
                <w:sz w:val="21"/>
                <w:szCs w:val="21"/>
                <w:highlight w:val="none"/>
                <w:lang w:val="en-US" w:eastAsia="zh-CN"/>
              </w:rPr>
              <w:t>裸管</w:t>
            </w:r>
            <w:r>
              <w:rPr>
                <w:rFonts w:hint="eastAsia" w:ascii="宋体" w:hAnsi="宋体" w:eastAsia="宋体" w:cs="宋体"/>
                <w:color w:val="auto"/>
                <w:sz w:val="21"/>
                <w:szCs w:val="21"/>
                <w:highlight w:val="none"/>
              </w:rPr>
              <w:t>规格</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75mm×5</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mm，根据需要合理设置加强筋。床中立柱须满足多床位连接、整体承重、稳定和抗变形要求，正常使用条件下无晃动、松动、变形或异响。外露部位须进行安全防护处理，无锐边、锐角、毛刺、刃口等安全隐患。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none"/>
              </w:rPr>
              <w:t>3.前床厅（前横梁）：</w:t>
            </w:r>
            <w:r>
              <w:rPr>
                <w:rFonts w:hint="eastAsia" w:ascii="宋体" w:hAnsi="宋体" w:cs="宋体"/>
                <w:color w:val="auto"/>
                <w:sz w:val="21"/>
                <w:szCs w:val="21"/>
                <w:highlight w:val="none"/>
                <w:lang w:val="en-US" w:eastAsia="zh-CN"/>
              </w:rPr>
              <w:t>裸管</w:t>
            </w:r>
            <w:r>
              <w:rPr>
                <w:rFonts w:hint="eastAsia" w:ascii="宋体" w:hAnsi="宋体" w:eastAsia="宋体" w:cs="宋体"/>
                <w:color w:val="auto"/>
                <w:sz w:val="21"/>
                <w:szCs w:val="21"/>
                <w:highlight w:val="none"/>
              </w:rPr>
              <w:t>规格</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100mm×50mm，根据需要合理设置加强筋。</w:t>
            </w:r>
            <w:r>
              <w:rPr>
                <w:rFonts w:hint="eastAsia" w:ascii="宋体" w:hAnsi="宋体" w:eastAsia="宋体" w:cs="宋体"/>
                <w:color w:val="auto"/>
                <w:sz w:val="21"/>
                <w:szCs w:val="21"/>
              </w:rPr>
              <w:t>前床厅应与立柱、床撑、连接件等部位连接牢固，满足床铺面支撑、承重、防变形和长期使用要求。其结构不影响床板安装和床体整体稳定性。</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rPr>
              <w:t>4.后床</w:t>
            </w:r>
            <w:r>
              <w:rPr>
                <w:rFonts w:hint="eastAsia" w:ascii="宋体" w:hAnsi="宋体" w:eastAsia="宋体" w:cs="宋体"/>
                <w:color w:val="auto"/>
                <w:sz w:val="21"/>
                <w:szCs w:val="21"/>
                <w:highlight w:val="none"/>
              </w:rPr>
              <w:t>厅（后横梁）：</w:t>
            </w:r>
            <w:r>
              <w:rPr>
                <w:rFonts w:hint="eastAsia" w:ascii="宋体" w:hAnsi="宋体" w:cs="宋体"/>
                <w:color w:val="auto"/>
                <w:sz w:val="21"/>
                <w:szCs w:val="21"/>
                <w:highlight w:val="none"/>
                <w:lang w:val="en-US" w:eastAsia="zh-CN"/>
              </w:rPr>
              <w:t>裸管</w:t>
            </w:r>
            <w:r>
              <w:rPr>
                <w:rFonts w:hint="eastAsia" w:ascii="宋体" w:hAnsi="宋体" w:eastAsia="宋体" w:cs="宋体"/>
                <w:color w:val="auto"/>
                <w:sz w:val="21"/>
                <w:szCs w:val="21"/>
                <w:highlight w:val="none"/>
              </w:rPr>
              <w:t>规格</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75mm×40mm。后床厅应与床体结构牢固连接，满足床铺面支撑、整体稳定、防变形和长期使用要求。正常使用条件下无松动、脱开、晃动、变形或异响。</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color w:val="auto"/>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5.拉杆:床边立柱下拉杆裸管</w:t>
            </w:r>
            <w:r>
              <w:rPr>
                <w:rFonts w:hint="eastAsia" w:ascii="宋体" w:hAnsi="宋体" w:eastAsia="宋体" w:cs="宋体"/>
                <w:color w:val="auto"/>
                <w:sz w:val="21"/>
                <w:szCs w:val="21"/>
                <w:highlight w:val="none"/>
              </w:rPr>
              <w:t>规格</w:t>
            </w:r>
            <w:r>
              <w:rPr>
                <w:rFonts w:hint="eastAsia" w:ascii="宋体" w:hAnsi="宋体" w:eastAsia="宋体" w:cs="宋体"/>
                <w:b/>
                <w:bCs/>
                <w:color w:val="auto"/>
                <w:sz w:val="21"/>
                <w:szCs w:val="21"/>
                <w:highlight w:val="none"/>
              </w:rPr>
              <w:t>≥</w:t>
            </w:r>
            <w:r>
              <w:rPr>
                <w:rFonts w:hint="eastAsia" w:ascii="宋体" w:hAnsi="宋体" w:cs="宋体"/>
                <w:color w:val="auto"/>
                <w:sz w:val="21"/>
                <w:szCs w:val="21"/>
                <w:highlight w:val="none"/>
                <w:lang w:val="en-US" w:eastAsia="zh-CN"/>
              </w:rPr>
              <w:t>55</w:t>
            </w:r>
            <w:r>
              <w:rPr>
                <w:rFonts w:hint="eastAsia" w:ascii="宋体" w:hAnsi="宋体" w:eastAsia="宋体" w:cs="宋体"/>
                <w:color w:val="auto"/>
                <w:sz w:val="21"/>
                <w:szCs w:val="21"/>
                <w:highlight w:val="none"/>
              </w:rPr>
              <w:t>mm×50mm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床中立柱下拉杆裸管</w:t>
            </w:r>
            <w:r>
              <w:rPr>
                <w:rFonts w:hint="eastAsia" w:ascii="宋体" w:hAnsi="宋体" w:eastAsia="宋体" w:cs="宋体"/>
                <w:color w:val="auto"/>
                <w:sz w:val="21"/>
                <w:szCs w:val="21"/>
                <w:highlight w:val="none"/>
              </w:rPr>
              <w:t>规格</w:t>
            </w:r>
            <w:r>
              <w:rPr>
                <w:rFonts w:hint="eastAsia" w:ascii="宋体" w:hAnsi="宋体" w:eastAsia="宋体" w:cs="宋体"/>
                <w:b/>
                <w:bCs/>
                <w:color w:val="auto"/>
                <w:sz w:val="21"/>
                <w:szCs w:val="21"/>
                <w:highlight w:val="none"/>
              </w:rPr>
              <w:t>≥</w:t>
            </w:r>
            <w:r>
              <w:rPr>
                <w:rFonts w:hint="eastAsia" w:ascii="宋体" w:hAnsi="宋体" w:cs="宋体"/>
                <w:color w:val="auto"/>
                <w:sz w:val="21"/>
                <w:szCs w:val="21"/>
                <w:highlight w:val="none"/>
                <w:lang w:val="en-US" w:eastAsia="zh-CN"/>
              </w:rPr>
              <w:t>55</w:t>
            </w:r>
            <w:r>
              <w:rPr>
                <w:rFonts w:hint="eastAsia" w:ascii="宋体" w:hAnsi="宋体" w:eastAsia="宋体" w:cs="宋体"/>
                <w:color w:val="auto"/>
                <w:sz w:val="21"/>
                <w:szCs w:val="21"/>
                <w:highlight w:val="none"/>
              </w:rPr>
              <w:t>mm×50mm</w:t>
            </w:r>
            <w:r>
              <w:rPr>
                <w:rFonts w:hint="eastAsia" w:ascii="宋体" w:hAnsi="宋体" w:cs="宋体"/>
                <w:color w:val="auto"/>
                <w:sz w:val="21"/>
                <w:szCs w:val="21"/>
                <w:highlight w:val="none"/>
                <w:lang w:eastAsia="zh-CN"/>
              </w:rPr>
              <w:t>，床后下拉杆</w:t>
            </w:r>
            <w:r>
              <w:rPr>
                <w:rFonts w:hint="eastAsia" w:ascii="宋体" w:hAnsi="宋体" w:cs="宋体"/>
                <w:color w:val="auto"/>
                <w:sz w:val="21"/>
                <w:szCs w:val="21"/>
                <w:highlight w:val="none"/>
                <w:lang w:val="en-US" w:eastAsia="zh-CN"/>
              </w:rPr>
              <w:t>裸管</w:t>
            </w:r>
            <w:r>
              <w:rPr>
                <w:rFonts w:hint="eastAsia" w:ascii="宋体" w:hAnsi="宋体" w:eastAsia="宋体" w:cs="宋体"/>
                <w:color w:val="auto"/>
                <w:sz w:val="21"/>
                <w:szCs w:val="21"/>
                <w:highlight w:val="none"/>
              </w:rPr>
              <w:t>规格≥40mm×20mm</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须满足多床位连接、整体承重、稳定和抗变形要求，正常使用条件下无晃动、松动、变形或异响。外露部位须进行安全防护处理，无锐边、锐角、毛刺、刃口等安全隐患。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.床体连接结构：床厅、横梁、立柱等部件连接应</w:t>
            </w:r>
            <w:r>
              <w:rPr>
                <w:rFonts w:hint="eastAsia" w:ascii="宋体" w:hAnsi="宋体" w:eastAsia="宋体" w:cs="宋体"/>
                <w:color w:val="auto"/>
                <w:sz w:val="21"/>
                <w:szCs w:val="21"/>
              </w:rPr>
              <w:t>牢固可靠。连接方式采用卡扣式连接方式，连接扣点采用不少于3个位置连接并在中间位置设置防退措施，满足结构安全、安装稳定和后期维护要求。正常使用条件下，连接部位无松动、脱开或产生影</w:t>
            </w:r>
            <w:r>
              <w:rPr>
                <w:rFonts w:hint="eastAsia" w:ascii="宋体" w:hAnsi="宋体" w:eastAsia="宋体" w:cs="宋体"/>
                <w:sz w:val="21"/>
                <w:szCs w:val="21"/>
              </w:rPr>
              <w:t>响安全使用的变形。</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底部</w:t>
            </w:r>
            <w:r>
              <w:rPr>
                <w:rFonts w:hint="eastAsia" w:ascii="宋体" w:hAnsi="宋体" w:eastAsia="宋体" w:cs="宋体"/>
                <w:color w:val="auto"/>
                <w:sz w:val="21"/>
                <w:szCs w:val="21"/>
                <w:highlight w:val="none"/>
              </w:rPr>
              <w:t>脚套要求：立柱底部应设置防潮、防滑、静音、保护地面的脚套，安装牢固，不易脱落。脚套采用ABS工程塑料制作，耐磨、耐压、无异味，正常使用条件下无开裂、变形或脱落。</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四、护栏及床头护栏要求</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1.床厅护栏：床厅护栏应安装于上铺外侧，护栏整体牢固可靠，无松动，结构满足强度、安全性和长期使用要求；床厅护栏整体规格</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1300mm×300mm×30mm（长×高×整体结构厚度）。护栏外露部位圆滑处理，无锐边、锐角、毛刺、刃口等安全隐患。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2.边立柱床头护栏：结构满足强度、安全性和长期使用要求，设置安全扶手或等效结构，连接牢固，边角圆滑，无锐边、锐角、毛刺、刃口等安全隐患。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3.中立柱区域床头护栏：结构满足强度、安全性和长期使用要求，护栏与床体连接牢固，满足上下床抓握、防护和长期使用要求，正常使用条件下无松动、变形或脱落。</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rPr>
              <w:t>4.护栏挡板：护栏挡板采用厚度</w:t>
            </w:r>
            <w:r>
              <w:rPr>
                <w:rFonts w:hint="eastAsia" w:ascii="宋体" w:hAnsi="宋体" w:eastAsia="宋体" w:cs="宋体"/>
                <w:b/>
                <w:bCs/>
                <w:color w:val="000000" w:themeColor="text1"/>
                <w:sz w:val="21"/>
                <w:szCs w:val="21"/>
                <w14:textFill>
                  <w14:solidFill>
                    <w14:schemeClr w14:val="tx1"/>
                  </w14:solidFill>
                </w14:textFill>
              </w:rPr>
              <w:t>≥</w:t>
            </w:r>
            <w:r>
              <w:rPr>
                <w:rFonts w:hint="eastAsia" w:ascii="宋体" w:hAnsi="宋体" w:eastAsia="宋体" w:cs="宋体"/>
                <w:sz w:val="21"/>
                <w:szCs w:val="21"/>
              </w:rPr>
              <w:t>15mm 的E0级环保多层实木板。挡板安</w:t>
            </w:r>
            <w:r>
              <w:rPr>
                <w:rFonts w:hint="eastAsia" w:ascii="宋体" w:hAnsi="宋体" w:eastAsia="宋体" w:cs="宋体"/>
                <w:sz w:val="21"/>
                <w:szCs w:val="21"/>
                <w:highlight w:val="none"/>
              </w:rPr>
              <w:t>装牢固，表面平整，边角安全，无异味、开裂、分层、翘曲等缺陷。板材采用整体成型结构，四周无拼接缝、锐边、毛刺或刃口。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五、爬梯要求：</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1.爬梯梯架：爬梯应与床体连接牢固，整体稳定。</w:t>
            </w:r>
            <w:r>
              <w:rPr>
                <w:rFonts w:hint="eastAsia" w:ascii="宋体" w:hAnsi="宋体" w:eastAsia="宋体" w:cs="宋体"/>
                <w:color w:val="auto"/>
                <w:sz w:val="21"/>
                <w:szCs w:val="21"/>
                <w:highlight w:val="none"/>
              </w:rPr>
              <w:t>爬梯钢架边管</w:t>
            </w:r>
            <w:r>
              <w:rPr>
                <w:rFonts w:hint="eastAsia" w:ascii="宋体" w:hAnsi="宋体" w:cs="宋体"/>
                <w:color w:val="auto"/>
                <w:sz w:val="21"/>
                <w:szCs w:val="21"/>
                <w:highlight w:val="none"/>
                <w:lang w:val="en-US" w:eastAsia="zh-CN"/>
              </w:rPr>
              <w:t>裸管</w:t>
            </w:r>
            <w:r>
              <w:rPr>
                <w:rFonts w:hint="eastAsia" w:ascii="宋体" w:hAnsi="宋体" w:eastAsia="宋体" w:cs="宋体"/>
                <w:color w:val="auto"/>
                <w:sz w:val="21"/>
                <w:szCs w:val="21"/>
                <w:highlight w:val="none"/>
              </w:rPr>
              <w:t>规格≥25mm×3</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mm</w:t>
            </w:r>
            <w:r>
              <w:rPr>
                <w:rFonts w:hint="eastAsia" w:ascii="宋体" w:hAnsi="宋体" w:eastAsia="宋体" w:cs="宋体"/>
                <w:color w:val="auto"/>
                <w:sz w:val="21"/>
                <w:szCs w:val="21"/>
              </w:rPr>
              <w:t>。爬梯与床体连接部位牢固可靠，正常使用条件下无松动、脱落、晃动、变形</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异响。梯架外露部位无锐边、锐角、毛刺、刃口等安全隐患。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2.爬梯踏板：爬梯踏板</w:t>
            </w:r>
            <w:r>
              <w:rPr>
                <w:rFonts w:hint="eastAsia" w:ascii="宋体" w:hAnsi="宋体" w:cs="宋体"/>
                <w:color w:val="auto"/>
                <w:sz w:val="21"/>
                <w:szCs w:val="21"/>
                <w:lang w:val="en-US" w:eastAsia="zh-CN"/>
              </w:rPr>
              <w:t>采用优质钢材，厚度≥1.5mm，</w:t>
            </w:r>
            <w:r>
              <w:rPr>
                <w:rFonts w:hint="eastAsia" w:ascii="宋体" w:hAnsi="宋体" w:eastAsia="宋体" w:cs="宋体"/>
                <w:color w:val="auto"/>
                <w:sz w:val="21"/>
                <w:szCs w:val="21"/>
                <w:highlight w:val="none"/>
              </w:rPr>
              <w:t>规格</w:t>
            </w:r>
            <w:r>
              <w:rPr>
                <w:rFonts w:hint="eastAsia" w:ascii="宋体" w:hAnsi="宋体" w:eastAsia="宋体" w:cs="宋体"/>
                <w:color w:val="auto"/>
                <w:sz w:val="21"/>
                <w:szCs w:val="21"/>
              </w:rPr>
              <w:t>≥420mm×100mm×18mm</w:t>
            </w:r>
            <w:r>
              <w:rPr>
                <w:rFonts w:hint="eastAsia" w:ascii="宋体" w:hAnsi="宋体" w:cs="宋体"/>
                <w:color w:val="auto"/>
                <w:sz w:val="21"/>
                <w:szCs w:val="21"/>
                <w:lang w:val="en-US" w:eastAsia="zh-CN"/>
              </w:rPr>
              <w:t>。</w:t>
            </w:r>
            <w:r>
              <w:rPr>
                <w:rFonts w:hint="eastAsia" w:ascii="宋体" w:hAnsi="宋体" w:eastAsia="宋体" w:cs="宋体"/>
                <w:color w:val="auto"/>
                <w:sz w:val="21"/>
                <w:szCs w:val="21"/>
              </w:rPr>
              <w:t>踏板表面</w:t>
            </w:r>
            <w:r>
              <w:rPr>
                <w:rFonts w:hint="eastAsia" w:ascii="宋体" w:hAnsi="宋体" w:cs="宋体"/>
                <w:color w:val="auto"/>
                <w:sz w:val="21"/>
                <w:szCs w:val="21"/>
                <w:lang w:val="en-US" w:eastAsia="zh-CN"/>
              </w:rPr>
              <w:t>安装</w:t>
            </w:r>
            <w:r>
              <w:rPr>
                <w:rFonts w:hint="eastAsia" w:ascii="宋体" w:hAnsi="宋体" w:eastAsia="宋体" w:cs="宋体"/>
                <w:color w:val="auto"/>
                <w:sz w:val="21"/>
                <w:szCs w:val="21"/>
              </w:rPr>
              <w:t>防滑材料，踏板间距≤30mm，外露部位须进行圆角或防磕碰处理，安装后无松动、脱落、开裂、变形</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异响。</w:t>
            </w:r>
          </w:p>
          <w:p>
            <w:pPr>
              <w:pStyle w:val="2"/>
              <w:keepLines w:val="0"/>
              <w:pageBreakBefore w:val="0"/>
              <w:widowControl w:val="0"/>
              <w:kinsoku/>
              <w:wordWrap/>
              <w:overflowPunct/>
              <w:topLinePunct w:val="0"/>
              <w:autoSpaceDE/>
              <w:autoSpaceDN/>
              <w:bidi w:val="0"/>
              <w:spacing w:line="240" w:lineRule="auto"/>
              <w:ind w:firstLine="0" w:firstLineChars="0"/>
              <w:textAlignment w:val="auto"/>
              <w:rPr>
                <w:rFonts w:hint="eastAsia" w:ascii="宋体" w:hAnsi="宋体" w:eastAsia="宋体" w:cs="宋体"/>
                <w:bCs w:val="0"/>
                <w:caps w:val="0"/>
                <w:sz w:val="21"/>
                <w:szCs w:val="21"/>
              </w:rPr>
            </w:pPr>
            <w:r>
              <w:rPr>
                <w:rFonts w:hint="eastAsia" w:ascii="宋体" w:hAnsi="宋体" w:eastAsia="宋体" w:cs="宋体"/>
                <w:bCs w:val="0"/>
                <w:caps w:val="0"/>
                <w:color w:val="auto"/>
                <w:sz w:val="21"/>
                <w:szCs w:val="21"/>
              </w:rPr>
              <w:t>3.爬梯底部脚套要求：采用ABS工程塑料制作，底</w:t>
            </w:r>
            <w:r>
              <w:rPr>
                <w:rFonts w:hint="eastAsia" w:ascii="宋体" w:hAnsi="宋体" w:eastAsia="宋体" w:cs="宋体"/>
                <w:bCs w:val="0"/>
                <w:caps w:val="0"/>
                <w:sz w:val="21"/>
                <w:szCs w:val="21"/>
              </w:rPr>
              <w:t>部设置防潮、防滑、静音、保护地面的脚套，安装牢固，不易脱落。</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▲六、床撑及床板要求</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1.床撑及床铺面支撑结构:</w:t>
            </w:r>
            <w:r>
              <w:rPr>
                <w:rFonts w:hint="eastAsia" w:ascii="宋体" w:hAnsi="宋体" w:cs="宋体"/>
                <w:color w:val="auto"/>
                <w:sz w:val="21"/>
                <w:szCs w:val="21"/>
                <w:highlight w:val="none"/>
                <w:lang w:val="en-US" w:eastAsia="zh-CN"/>
              </w:rPr>
              <w:t>裸管</w:t>
            </w:r>
            <w:r>
              <w:rPr>
                <w:rFonts w:hint="eastAsia" w:ascii="宋体" w:hAnsi="宋体" w:eastAsia="宋体" w:cs="宋体"/>
                <w:color w:val="auto"/>
                <w:sz w:val="21"/>
                <w:szCs w:val="21"/>
                <w:highlight w:val="none"/>
              </w:rPr>
              <w:t>规格</w:t>
            </w:r>
            <w:r>
              <w:rPr>
                <w:rFonts w:hint="eastAsia" w:ascii="宋体" w:hAnsi="宋体" w:eastAsia="宋体" w:cs="宋体"/>
                <w:b/>
                <w:bCs/>
                <w:color w:val="auto"/>
                <w:sz w:val="21"/>
                <w:szCs w:val="21"/>
              </w:rPr>
              <w:t>≥</w:t>
            </w:r>
            <w:r>
              <w:rPr>
                <w:rFonts w:hint="eastAsia" w:ascii="宋体" w:hAnsi="宋体" w:eastAsia="宋体" w:cs="宋体"/>
                <w:color w:val="auto"/>
                <w:sz w:val="21"/>
                <w:szCs w:val="21"/>
              </w:rPr>
              <w:t>25mm×30mm，壁厚</w:t>
            </w:r>
            <w:r>
              <w:rPr>
                <w:rFonts w:hint="eastAsia" w:ascii="宋体" w:hAnsi="宋体" w:eastAsia="宋体" w:cs="宋体"/>
                <w:b/>
                <w:bCs/>
                <w:color w:val="auto"/>
                <w:sz w:val="21"/>
                <w:szCs w:val="21"/>
              </w:rPr>
              <w:t>≥</w:t>
            </w:r>
            <w:r>
              <w:rPr>
                <w:rFonts w:hint="eastAsia" w:ascii="宋体" w:hAnsi="宋体" w:eastAsia="宋体" w:cs="宋体"/>
                <w:color w:val="auto"/>
                <w:sz w:val="21"/>
                <w:szCs w:val="21"/>
              </w:rPr>
              <w:t>1.</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mm。每个床位床撑数量不少于5根，满足床铺面承重、防落、防异响和长期高频使用要求。床撑与床架连接处应配置静音胶塞，牢固可靠，无松动、脱落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异响。</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color w:val="auto"/>
                <w:sz w:val="21"/>
                <w:szCs w:val="21"/>
              </w:rPr>
              <w:t>2.床板要求:床板采用厚度</w:t>
            </w:r>
            <w:r>
              <w:rPr>
                <w:rFonts w:hint="eastAsia" w:ascii="宋体" w:hAnsi="宋体" w:eastAsia="宋体" w:cs="宋体"/>
                <w:b/>
                <w:bCs/>
                <w:color w:val="auto"/>
                <w:sz w:val="21"/>
                <w:szCs w:val="21"/>
              </w:rPr>
              <w:t>≥</w:t>
            </w:r>
            <w:r>
              <w:rPr>
                <w:rFonts w:hint="eastAsia" w:ascii="宋体" w:hAnsi="宋体" w:eastAsia="宋体" w:cs="宋体"/>
                <w:color w:val="auto"/>
                <w:sz w:val="21"/>
                <w:szCs w:val="21"/>
              </w:rPr>
              <w:t>18mm 的杉木板，双面平整，经干燥、防腐、防蛀处理；床板由多块杉木板拼接而成，无散边，板块数量</w:t>
            </w:r>
            <w:r>
              <w:rPr>
                <w:rFonts w:hint="eastAsia" w:ascii="宋体" w:hAnsi="宋体" w:eastAsia="宋体" w:cs="宋体"/>
                <w:sz w:val="21"/>
                <w:szCs w:val="21"/>
              </w:rPr>
              <w:t>不得多于7块，板间缝隙≤3mm，板底应设置不少于4根加固杉木条加强支撑，制作应牢固可靠。床板双面刨光、无贯通裂缝、无虫蛀、无腐朽、无翘曲、无毛刺，安装后与床架紧密嵌合，正常使用条件下无断裂、变形、松动</w:t>
            </w:r>
            <w:r>
              <w:rPr>
                <w:rFonts w:hint="eastAsia" w:ascii="宋体" w:hAnsi="宋体" w:eastAsia="宋体" w:cs="宋体"/>
                <w:sz w:val="21"/>
                <w:szCs w:val="21"/>
                <w:lang w:eastAsia="zh-CN"/>
              </w:rPr>
              <w:t>、</w:t>
            </w:r>
            <w:r>
              <w:rPr>
                <w:rFonts w:hint="eastAsia" w:ascii="宋体" w:hAnsi="宋体" w:eastAsia="宋体" w:cs="宋体"/>
                <w:sz w:val="21"/>
                <w:szCs w:val="21"/>
              </w:rPr>
              <w:t>异响。</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▲七、蚊帐杆</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1.蚊帐杆：每个床位配置蚊帐杆或等效悬挂结构，蚊帐杆管材外形规格</w:t>
            </w:r>
            <w:r>
              <w:rPr>
                <w:rFonts w:hint="eastAsia" w:ascii="宋体" w:hAnsi="宋体" w:eastAsia="宋体" w:cs="宋体"/>
                <w:b/>
                <w:bCs/>
                <w:color w:val="000000" w:themeColor="text1"/>
                <w:sz w:val="21"/>
                <w:szCs w:val="21"/>
                <w14:textFill>
                  <w14:solidFill>
                    <w14:schemeClr w14:val="tx1"/>
                  </w14:solidFill>
                </w14:textFill>
              </w:rPr>
              <w:t>≥</w:t>
            </w:r>
            <w:r>
              <w:rPr>
                <w:rFonts w:hint="eastAsia" w:ascii="宋体" w:hAnsi="宋体" w:eastAsia="宋体" w:cs="宋体"/>
                <w:sz w:val="21"/>
                <w:szCs w:val="21"/>
              </w:rPr>
              <w:t>Φ16mm，壁厚</w:t>
            </w:r>
            <w:r>
              <w:rPr>
                <w:rFonts w:hint="eastAsia" w:ascii="宋体" w:hAnsi="宋体" w:eastAsia="宋体" w:cs="宋体"/>
                <w:b/>
                <w:bCs/>
                <w:color w:val="000000" w:themeColor="text1"/>
                <w:sz w:val="21"/>
                <w:szCs w:val="21"/>
                <w14:textFill>
                  <w14:solidFill>
                    <w14:schemeClr w14:val="tx1"/>
                  </w14:solidFill>
                </w14:textFill>
              </w:rPr>
              <w:t>≥</w:t>
            </w:r>
            <w:r>
              <w:rPr>
                <w:rFonts w:hint="eastAsia" w:ascii="宋体" w:hAnsi="宋体" w:eastAsia="宋体" w:cs="宋体"/>
                <w:sz w:val="21"/>
                <w:szCs w:val="21"/>
              </w:rPr>
              <w:t>1.0mm，顶部加装Φ40mm的铁圈，方便支撑、悬挂蚊帐，安装牢固，使用方便。蚊帐杆及连接件无锐角、毛刺、刃口等安全隐患。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▲八、环保及有害物质要求</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1.板材环保要求：床体涉及的护栏板、挡板、配套板件等板材应采用 E0级环保多层实木板，甲醛释放量应符合GB 18580-20</w:t>
            </w:r>
            <w:r>
              <w:rPr>
                <w:rFonts w:hint="eastAsia" w:ascii="宋体" w:hAnsi="宋体" w:eastAsia="宋体" w:cs="宋体"/>
                <w:sz w:val="21"/>
                <w:szCs w:val="21"/>
                <w:lang w:val="en-US" w:eastAsia="zh-CN"/>
              </w:rPr>
              <w:t>25</w:t>
            </w:r>
            <w:r>
              <w:rPr>
                <w:rFonts w:hint="eastAsia" w:ascii="宋体" w:hAnsi="宋体" w:eastAsia="宋体" w:cs="宋体"/>
                <w:sz w:val="21"/>
                <w:szCs w:val="21"/>
              </w:rPr>
              <w:t>《室内装饰装修材料 人造板及其制品中甲醛释放限量》</w:t>
            </w:r>
            <w:r>
              <w:rPr>
                <w:rFonts w:hint="eastAsia" w:ascii="宋体" w:hAnsi="宋体" w:eastAsia="宋体" w:cs="宋体"/>
                <w:sz w:val="21"/>
                <w:szCs w:val="21"/>
                <w:lang w:val="en-US" w:eastAsia="zh-CN"/>
              </w:rPr>
              <w:t>要求</w:t>
            </w:r>
            <w:r>
              <w:rPr>
                <w:rFonts w:hint="eastAsia" w:ascii="宋体" w:hAnsi="宋体" w:eastAsia="宋体" w:cs="宋体"/>
                <w:sz w:val="21"/>
                <w:szCs w:val="21"/>
              </w:rPr>
              <w:t>。板材表面平整、结构稳定，正常使用条件下无异味、开裂、鼓泡、分层、翘曲、霉变等缺陷；外露边角进行圆角或封边处理，无锐边、锐角、毛刺、刃口等安全隐患。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2.家具成品环保要求:家具成品中甲醛、苯、甲苯、二甲苯、TVOC及其他有害物质限量应符合GB18584-2024《家具中有害物质限量》</w:t>
            </w:r>
            <w:r>
              <w:rPr>
                <w:rFonts w:hint="eastAsia" w:ascii="宋体" w:hAnsi="宋体" w:eastAsia="宋体" w:cs="宋体"/>
                <w:sz w:val="21"/>
                <w:szCs w:val="21"/>
                <w:lang w:val="en-US" w:eastAsia="zh-CN"/>
              </w:rPr>
              <w:t>要求</w:t>
            </w:r>
            <w:r>
              <w:rPr>
                <w:rFonts w:hint="eastAsia" w:ascii="宋体" w:hAnsi="宋体" w:eastAsia="宋体" w:cs="宋体"/>
                <w:sz w:val="21"/>
                <w:szCs w:val="21"/>
              </w:rPr>
              <w:t>。</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九、供货、安装及验收要求</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1．床架样式、颜色及标识内容由采购人确认后供货。</w:t>
            </w:r>
          </w:p>
          <w:p>
            <w:pPr>
              <w:pStyle w:val="51"/>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2.安装、样板确认、检测与验收要求：按本项目“安装、检测与验收要求”统一执行</w:t>
            </w:r>
            <w:r>
              <w:rPr>
                <w:rFonts w:hint="eastAsia" w:ascii="宋体" w:hAnsi="宋体" w:eastAsia="宋体" w:cs="宋体"/>
                <w:sz w:val="21"/>
                <w:szCs w:val="21"/>
                <w:lang w:eastAsia="zh-CN"/>
              </w:rPr>
              <w:t>。</w:t>
            </w:r>
          </w:p>
          <w:p>
            <w:pPr>
              <w:pStyle w:val="51"/>
              <w:keepLines w:val="0"/>
              <w:pageBreakBefore w:val="0"/>
              <w:widowControl w:val="0"/>
              <w:kinsoku/>
              <w:wordWrap/>
              <w:overflowPunct/>
              <w:topLinePunct w:val="0"/>
              <w:autoSpaceDE/>
              <w:autoSpaceDN/>
              <w:bidi w:val="0"/>
              <w:spacing w:line="240" w:lineRule="auto"/>
              <w:ind w:left="0" w:leftChars="0" w:firstLine="0" w:firstLineChars="0"/>
              <w:jc w:val="left"/>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参考图（仅作参考）：</w:t>
            </w:r>
          </w:p>
          <w:p>
            <w:pPr>
              <w:pStyle w:val="51"/>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drawing>
                <wp:inline distT="0" distB="0" distL="0" distR="0">
                  <wp:extent cx="3374390" cy="2309495"/>
                  <wp:effectExtent l="0" t="0" r="3810" b="1905"/>
                  <wp:docPr id="29257434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574343" name="图片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374390" cy="2309495"/>
                          </a:xfrm>
                          <a:prstGeom prst="rect">
                            <a:avLst/>
                          </a:prstGeom>
                          <a:noFill/>
                          <a:ln>
                            <a:noFill/>
                          </a:ln>
                        </pic:spPr>
                      </pic:pic>
                    </a:graphicData>
                  </a:graphic>
                </wp:inline>
              </w:drawing>
            </w:r>
          </w:p>
          <w:p>
            <w:pPr>
              <w:pStyle w:val="51"/>
              <w:keepLines w:val="0"/>
              <w:pageBreakBefore w:val="0"/>
              <w:widowControl w:val="0"/>
              <w:kinsoku/>
              <w:wordWrap/>
              <w:overflowPunct/>
              <w:topLinePunct w:val="0"/>
              <w:autoSpaceDE/>
              <w:autoSpaceDN/>
              <w:bidi w:val="0"/>
              <w:spacing w:line="240" w:lineRule="auto"/>
              <w:ind w:left="0" w:leftChars="0" w:firstLine="0" w:firstLineChars="0"/>
              <w:jc w:val="both"/>
              <w:textAlignment w:val="auto"/>
              <w:rPr>
                <w:rFonts w:hint="default" w:ascii="宋体" w:hAnsi="宋体" w:eastAsia="宋体" w:cs="宋体"/>
                <w:sz w:val="21"/>
                <w:szCs w:val="21"/>
                <w:lang w:val="en-US" w:eastAsia="zh-CN"/>
              </w:rPr>
            </w:pPr>
            <w:r>
              <w:rPr>
                <w:rFonts w:hint="eastAsia" w:ascii="宋体" w:hAnsi="宋体" w:cs="宋体"/>
                <w:sz w:val="21"/>
                <w:szCs w:val="21"/>
                <w:highlight w:val="none"/>
                <w:lang w:eastAsia="zh-CN"/>
              </w:rPr>
              <w:t>十、安装位置：</w:t>
            </w:r>
            <w:r>
              <w:rPr>
                <w:rFonts w:hint="eastAsia" w:ascii="宋体" w:hAnsi="宋体" w:eastAsia="宋体" w:cs="宋体"/>
                <w:sz w:val="21"/>
                <w:szCs w:val="21"/>
                <w:highlight w:val="none"/>
              </w:rPr>
              <w:t>（A7、A8栋2—7层，A9栋2—9层）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2</w:t>
            </w:r>
          </w:p>
        </w:tc>
        <w:tc>
          <w:tcPr>
            <w:tcW w:w="8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sz w:val="21"/>
                <w:szCs w:val="21"/>
              </w:rPr>
              <w:t>两人学习书桌</w:t>
            </w:r>
          </w:p>
        </w:tc>
        <w:tc>
          <w:tcPr>
            <w:tcW w:w="6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1136</w:t>
            </w:r>
          </w:p>
        </w:tc>
        <w:tc>
          <w:tcPr>
            <w:tcW w:w="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张</w:t>
            </w:r>
          </w:p>
        </w:tc>
        <w:tc>
          <w:tcPr>
            <w:tcW w:w="800" w:type="dxa"/>
            <w:tcBorders>
              <w:top w:val="single" w:color="auto" w:sz="4" w:space="0"/>
              <w:left w:val="single" w:color="auto" w:sz="4" w:space="0"/>
              <w:bottom w:val="single" w:color="auto" w:sz="4" w:space="0"/>
              <w:right w:val="single" w:color="auto" w:sz="4" w:space="0"/>
            </w:tcBorders>
            <w:vAlign w:val="center"/>
          </w:tcPr>
          <w:p>
            <w:pPr>
              <w:pStyle w:val="45"/>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定制</w:t>
            </w:r>
          </w:p>
        </w:tc>
        <w:tc>
          <w:tcPr>
            <w:tcW w:w="6238" w:type="dxa"/>
            <w:tcBorders>
              <w:top w:val="single" w:color="auto" w:sz="4" w:space="0"/>
              <w:left w:val="single" w:color="auto" w:sz="4" w:space="0"/>
              <w:bottom w:val="single" w:color="auto" w:sz="4" w:space="0"/>
              <w:right w:val="single" w:color="auto" w:sz="4" w:space="0"/>
            </w:tcBorders>
            <w:vAlign w:val="top"/>
          </w:tcPr>
          <w:p>
            <w:pPr>
              <w:keepNext/>
              <w:adjustRightInd w:val="0"/>
              <w:snapToGrid w:val="0"/>
              <w:spacing w:line="240" w:lineRule="auto"/>
              <w:rPr>
                <w:rFonts w:hint="eastAsia"/>
              </w:rPr>
            </w:pPr>
            <w:r>
              <w:rPr>
                <w:rFonts w:hint="eastAsia"/>
              </w:rPr>
              <w:t>▲一、规格及总体要求</w:t>
            </w:r>
          </w:p>
          <w:p>
            <w:pPr>
              <w:keepNext/>
              <w:adjustRightInd w:val="0"/>
              <w:snapToGrid w:val="0"/>
              <w:spacing w:line="240" w:lineRule="auto"/>
              <w:rPr>
                <w:rFonts w:hint="eastAsia"/>
              </w:rPr>
            </w:pPr>
            <w:r>
              <w:rPr>
                <w:rFonts w:hint="eastAsia"/>
              </w:rPr>
              <w:t>1.规格尺寸：两人学习书桌规格尺寸约为W1140mm×D600mm×H1900mm（宽×深×高），具体尺寸以宿舍现场复核及采购人确认的深化设计为准。书桌应满足两名学生同时学习、书写、放置电脑及日常学习用品的使用需要；如因宿舍空间、床体布局、墙体、插座、空调管线等现场条件需要调整尺寸的，最终尺寸可根据现场实际适当调整，但不得影响学生正常使用、宿舍通行和家具整体稳定性。</w:t>
            </w:r>
          </w:p>
          <w:p>
            <w:pPr>
              <w:keepNext/>
              <w:adjustRightInd w:val="0"/>
              <w:snapToGrid w:val="0"/>
              <w:spacing w:line="240" w:lineRule="auto"/>
              <w:rPr>
                <w:rFonts w:hint="eastAsia"/>
                <w:b/>
                <w:bCs/>
                <w:color w:val="auto"/>
              </w:rPr>
            </w:pPr>
            <w:r>
              <w:rPr>
                <w:rFonts w:hint="eastAsia"/>
              </w:rPr>
              <w:t>2.整体技术标准要求：学习书桌整体外观质量、结构安全、理化性能、力学性能、有害物质限量、安装要求等技术指标应符合GB/T 3324-2024《木家具通用技术条件》、QB/T 2741-2013《学生公寓多功能家具》、GB 28008-2024《家具结构安全技术规范》</w:t>
            </w:r>
            <w:r>
              <w:rPr>
                <w:rFonts w:hint="eastAsia"/>
                <w:lang w:val="en-US" w:eastAsia="zh-CN"/>
              </w:rPr>
              <w:t>要求</w:t>
            </w:r>
            <w:r>
              <w:rPr>
                <w:rFonts w:hint="eastAsia"/>
                <w:color w:val="auto"/>
              </w:rPr>
              <w:t>。</w:t>
            </w:r>
            <w:r>
              <w:rPr>
                <w:rFonts w:hint="eastAsia"/>
                <w:b/>
                <w:bCs/>
                <w:color w:val="auto"/>
              </w:rPr>
              <w:t>供货时，须提供上述检测标准的检测报告原件。</w:t>
            </w:r>
          </w:p>
          <w:p>
            <w:pPr>
              <w:keepNext/>
              <w:adjustRightInd w:val="0"/>
              <w:snapToGrid w:val="0"/>
              <w:spacing w:line="240" w:lineRule="auto"/>
              <w:rPr>
                <w:rFonts w:hint="eastAsia"/>
              </w:rPr>
            </w:pPr>
            <w:r>
              <w:rPr>
                <w:rFonts w:hint="eastAsia"/>
              </w:rPr>
              <w:t>▲二、板材及环保要求</w:t>
            </w:r>
          </w:p>
          <w:p>
            <w:pPr>
              <w:keepNext/>
              <w:adjustRightInd w:val="0"/>
              <w:snapToGrid w:val="0"/>
              <w:spacing w:line="240" w:lineRule="auto"/>
              <w:rPr>
                <w:rFonts w:hint="eastAsia"/>
                <w:lang w:eastAsia="zh-CN"/>
              </w:rPr>
            </w:pPr>
            <w:r>
              <w:rPr>
                <w:rFonts w:hint="eastAsia"/>
              </w:rPr>
              <w:t>1.板材要求：书桌桌面、侧板、背板、书架底板、书架层板等主要板式部件应采用E0级环保多层实木板。桌面、书架底板板材厚度≥25mm，其余主要板件厚度≥15mm，背板厚度≥9mm。板材应结构稳定、表面平整，具有良好的防潮、防霉和尺寸稳定性能，不得</w:t>
            </w:r>
            <w:r>
              <w:rPr>
                <w:rFonts w:hint="eastAsia"/>
                <w:lang w:val="en-US" w:eastAsia="zh-CN"/>
              </w:rPr>
              <w:t>出现</w:t>
            </w:r>
            <w:r>
              <w:rPr>
                <w:rFonts w:hint="eastAsia"/>
              </w:rPr>
              <w:t>开裂、鼓泡、分层、翘曲、变形等问题。</w:t>
            </w:r>
          </w:p>
          <w:p>
            <w:pPr>
              <w:keepNext/>
              <w:adjustRightInd w:val="0"/>
              <w:snapToGrid w:val="0"/>
              <w:spacing w:line="240" w:lineRule="auto"/>
              <w:rPr>
                <w:rFonts w:hint="eastAsia"/>
              </w:rPr>
            </w:pPr>
            <w:r>
              <w:rPr>
                <w:rFonts w:hint="eastAsia"/>
              </w:rPr>
              <w:t>2.板材环保及理化性能要求：板材甲醛释放量应符合GB 18580-20</w:t>
            </w:r>
            <w:r>
              <w:rPr>
                <w:rFonts w:hint="eastAsia"/>
                <w:lang w:val="en-US" w:eastAsia="zh-CN"/>
              </w:rPr>
              <w:t>25</w:t>
            </w:r>
            <w:r>
              <w:rPr>
                <w:rFonts w:hint="eastAsia"/>
              </w:rPr>
              <w:t>《室内装饰装修材料 人造板及其制品中甲醛释放限量》要求；多层实木板基材的含水率、胶合强度、静曲强度、弹性模量等理化性能检测应符合GB/T 17657-2022《人造板及饰面人造板理化性能试验方法》相关要求。</w:t>
            </w:r>
          </w:p>
          <w:p>
            <w:pPr>
              <w:keepNext/>
              <w:adjustRightInd w:val="0"/>
              <w:snapToGrid w:val="0"/>
              <w:spacing w:line="240" w:lineRule="auto"/>
              <w:rPr>
                <w:rFonts w:hint="eastAsia"/>
              </w:rPr>
            </w:pPr>
            <w:r>
              <w:rPr>
                <w:rFonts w:hint="eastAsia"/>
              </w:rPr>
              <w:t>3.家具成品环保要求：学习书桌成品中甲醛、苯、甲苯、二甲苯、TVOC及其他有害物质限量应符合GB 18584-2024《家具中有害物质限量》要求；检测与不合格处理按本项目“安装、检测与验收要求”统一执行。</w:t>
            </w:r>
          </w:p>
          <w:p>
            <w:pPr>
              <w:keepNext/>
              <w:adjustRightInd w:val="0"/>
              <w:snapToGrid w:val="0"/>
              <w:spacing w:line="240" w:lineRule="auto"/>
              <w:rPr>
                <w:rFonts w:hint="eastAsia"/>
              </w:rPr>
            </w:pPr>
            <w:r>
              <w:rPr>
                <w:rFonts w:hint="eastAsia"/>
              </w:rPr>
              <w:t>▲三、桌面及封边要求</w:t>
            </w:r>
          </w:p>
          <w:p>
            <w:pPr>
              <w:keepNext/>
              <w:adjustRightInd w:val="0"/>
              <w:snapToGrid w:val="0"/>
              <w:spacing w:line="240" w:lineRule="auto"/>
              <w:rPr>
                <w:rFonts w:hint="eastAsia"/>
              </w:rPr>
            </w:pPr>
            <w:r>
              <w:rPr>
                <w:rFonts w:hint="eastAsia"/>
              </w:rPr>
              <w:t>1.桌面要求：桌面应平整、牢固、耐磨、耐污、防潮，正常学习、书写和放置电脑等使用条件下无变形、开裂、塌陷、松动等问题。桌面前沿及学生可接触部位应进行圆角或防磕碰处理，无锐边、锐角、毛刺、刃口等安全隐患。</w:t>
            </w:r>
          </w:p>
          <w:p>
            <w:pPr>
              <w:keepNext/>
              <w:adjustRightInd w:val="0"/>
              <w:snapToGrid w:val="0"/>
              <w:spacing w:line="240" w:lineRule="auto"/>
              <w:rPr>
                <w:rFonts w:hint="eastAsia"/>
              </w:rPr>
            </w:pPr>
            <w:r>
              <w:rPr>
                <w:rFonts w:hint="eastAsia"/>
              </w:rPr>
              <w:t>2.桌面封边要求：桌面四周采用无接头一次性注塑成型封边工艺。封边应严密、平整、牢固，具有良好的防潮、耐磨、防开裂性能，无脱胶、鼓泡、翘边、透胶、锐角、毛刺等缺陷。封边条材料应符合QB/T 4463-2025《家具用封边条》的要求。</w:t>
            </w:r>
          </w:p>
          <w:p>
            <w:pPr>
              <w:keepNext/>
              <w:adjustRightInd w:val="0"/>
              <w:snapToGrid w:val="0"/>
              <w:spacing w:line="240" w:lineRule="auto"/>
              <w:rPr>
                <w:rFonts w:hint="eastAsia"/>
              </w:rPr>
            </w:pPr>
            <w:r>
              <w:rPr>
                <w:rFonts w:hint="eastAsia"/>
              </w:rPr>
              <w:t>3.挡水边及防掉落设计：桌面靠墙侧或边缘设置挡水边、挡物边或等效防掉落结构，防止学习用品、书本、水杯等滑落。相关结构与桌面连接牢固，不影响正常书写和清洁维护。</w:t>
            </w:r>
          </w:p>
          <w:p>
            <w:pPr>
              <w:keepNext/>
              <w:adjustRightInd w:val="0"/>
              <w:snapToGrid w:val="0"/>
              <w:spacing w:line="240" w:lineRule="auto"/>
              <w:rPr>
                <w:rFonts w:hint="eastAsia"/>
              </w:rPr>
            </w:pPr>
            <w:r>
              <w:rPr>
                <w:rFonts w:hint="eastAsia"/>
              </w:rPr>
              <w:t>▲四、结构及功能要求</w:t>
            </w:r>
          </w:p>
          <w:p>
            <w:pPr>
              <w:keepNext/>
              <w:adjustRightInd w:val="0"/>
              <w:snapToGrid w:val="0"/>
              <w:spacing w:line="240" w:lineRule="auto"/>
              <w:rPr>
                <w:rFonts w:hint="eastAsia"/>
              </w:rPr>
            </w:pPr>
            <w:r>
              <w:rPr>
                <w:rFonts w:hint="eastAsia"/>
              </w:rPr>
              <w:t>1.整体结构要求：书桌结构牢固、重心稳定，满足两名学生长期同时使用要求。桌体安装后应平稳，无晃动；各连接部位应紧密牢固，正常使用条件下无松动、开裂、脱落</w:t>
            </w:r>
            <w:r>
              <w:rPr>
                <w:rFonts w:hint="eastAsia"/>
                <w:lang w:eastAsia="zh-CN"/>
              </w:rPr>
              <w:t>、</w:t>
            </w:r>
            <w:r>
              <w:rPr>
                <w:rFonts w:hint="eastAsia"/>
              </w:rPr>
              <w:t>异响。固定零部件结合应牢固无松动，符合GB28008-2024《家具结构安全技术规范》。</w:t>
            </w:r>
          </w:p>
          <w:p>
            <w:pPr>
              <w:keepNext/>
              <w:adjustRightInd w:val="0"/>
              <w:snapToGrid w:val="0"/>
              <w:spacing w:line="240" w:lineRule="auto"/>
              <w:rPr>
                <w:rFonts w:hint="eastAsia"/>
              </w:rPr>
            </w:pPr>
            <w:r>
              <w:rPr>
                <w:rFonts w:hint="eastAsia"/>
              </w:rPr>
              <w:t>2.书架及储物功能：书桌配置上部书架、开放格、层板，桌面以上三层</w:t>
            </w:r>
            <w:r>
              <w:rPr>
                <w:rFonts w:hint="eastAsia"/>
                <w:lang w:eastAsia="zh-CN"/>
              </w:rPr>
              <w:t>，</w:t>
            </w:r>
            <w:r>
              <w:rPr>
                <w:rFonts w:hint="eastAsia"/>
              </w:rPr>
              <w:t>满足学生放置书籍、文具及日常学习用品的需要。书架层板安装牢固，承重能力满足正常使用要求，层板无下弯、松动或脱落。</w:t>
            </w:r>
          </w:p>
          <w:p>
            <w:pPr>
              <w:keepNext/>
              <w:adjustRightInd w:val="0"/>
              <w:snapToGrid w:val="0"/>
              <w:spacing w:line="240" w:lineRule="auto"/>
              <w:rPr>
                <w:rFonts w:hint="eastAsia"/>
              </w:rPr>
            </w:pPr>
            <w:r>
              <w:rPr>
                <w:rFonts w:hint="eastAsia"/>
              </w:rPr>
              <w:t>▲五、脚套要求</w:t>
            </w:r>
          </w:p>
          <w:p>
            <w:pPr>
              <w:keepNext/>
              <w:adjustRightInd w:val="0"/>
              <w:snapToGrid w:val="0"/>
              <w:spacing w:line="240" w:lineRule="auto"/>
              <w:rPr>
                <w:rFonts w:hint="eastAsia"/>
              </w:rPr>
            </w:pPr>
            <w:r>
              <w:rPr>
                <w:rFonts w:hint="eastAsia"/>
              </w:rPr>
              <w:t>1.脚套要求：书桌底部设置防潮、防滑、静音、保护地面的脚套，安装牢固，不易脱落。脚套采用ABS工程塑料制作，耐磨、耐压、无异味，正常使用条件下无开裂、变形或脱落。</w:t>
            </w:r>
          </w:p>
          <w:p>
            <w:pPr>
              <w:keepNext/>
              <w:adjustRightInd w:val="0"/>
              <w:snapToGrid w:val="0"/>
              <w:spacing w:line="240" w:lineRule="auto"/>
              <w:rPr>
                <w:rFonts w:hint="eastAsia"/>
              </w:rPr>
            </w:pPr>
            <w:r>
              <w:rPr>
                <w:rFonts w:hint="eastAsia"/>
              </w:rPr>
              <w:t>六、供货、安装及验收要求</w:t>
            </w:r>
          </w:p>
          <w:p>
            <w:pPr>
              <w:keepNext/>
              <w:adjustRightInd w:val="0"/>
              <w:snapToGrid w:val="0"/>
              <w:spacing w:line="240" w:lineRule="auto"/>
              <w:rPr>
                <w:rFonts w:hint="eastAsia"/>
              </w:rPr>
            </w:pPr>
            <w:r>
              <w:rPr>
                <w:rFonts w:hint="eastAsia"/>
              </w:rPr>
              <w:t>1．书桌样式、颜色及标识内容由采购人确认后供货。</w:t>
            </w:r>
          </w:p>
          <w:p>
            <w:pPr>
              <w:keepNext/>
              <w:adjustRightInd w:val="0"/>
              <w:snapToGrid w:val="0"/>
              <w:spacing w:line="240" w:lineRule="auto"/>
              <w:rPr>
                <w:rFonts w:hint="eastAsia"/>
                <w:highlight w:val="none"/>
              </w:rPr>
            </w:pPr>
            <w:r>
              <w:rPr>
                <w:rFonts w:hint="eastAsia"/>
                <w:highlight w:val="none"/>
              </w:rPr>
              <w:t>2.安装、样板确认、检测与验收要求：按本项目“安装、检测与验收要求”统一执行。</w:t>
            </w:r>
          </w:p>
          <w:p>
            <w:pPr>
              <w:pStyle w:val="69"/>
              <w:rPr>
                <w:rFonts w:hint="eastAsia" w:eastAsia="宋体"/>
                <w:lang w:val="en" w:eastAsia="zh-CN"/>
              </w:rPr>
            </w:pPr>
            <w:r>
              <w:rPr>
                <w:rFonts w:hint="eastAsia" w:hAnsi="宋体" w:cs="宋体"/>
                <w:sz w:val="21"/>
                <w:szCs w:val="21"/>
                <w:highlight w:val="none"/>
                <w:lang w:eastAsia="zh-CN"/>
              </w:rPr>
              <w:t>七、</w:t>
            </w:r>
            <w:r>
              <w:rPr>
                <w:rFonts w:hint="eastAsia" w:ascii="宋体" w:hAnsi="宋体" w:cs="宋体"/>
                <w:sz w:val="21"/>
                <w:szCs w:val="21"/>
                <w:highlight w:val="none"/>
                <w:lang w:eastAsia="zh-CN"/>
              </w:rPr>
              <w:t>安装位置：</w:t>
            </w:r>
            <w:r>
              <w:rPr>
                <w:rFonts w:hint="eastAsia" w:ascii="宋体" w:hAnsi="宋体" w:eastAsia="宋体" w:cs="宋体"/>
                <w:sz w:val="21"/>
                <w:szCs w:val="21"/>
                <w:highlight w:val="none"/>
              </w:rPr>
              <w:t>（A7、A8栋2—7层，A9栋2—9层）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3</w:t>
            </w:r>
          </w:p>
        </w:tc>
        <w:tc>
          <w:tcPr>
            <w:tcW w:w="8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sz w:val="21"/>
                <w:szCs w:val="21"/>
              </w:rPr>
              <w:t>双人衣柜</w:t>
            </w:r>
          </w:p>
        </w:tc>
        <w:tc>
          <w:tcPr>
            <w:tcW w:w="6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1136</w:t>
            </w:r>
          </w:p>
        </w:tc>
        <w:tc>
          <w:tcPr>
            <w:tcW w:w="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个</w:t>
            </w:r>
          </w:p>
        </w:tc>
        <w:tc>
          <w:tcPr>
            <w:tcW w:w="800" w:type="dxa"/>
            <w:tcBorders>
              <w:top w:val="single" w:color="auto" w:sz="4" w:space="0"/>
              <w:left w:val="single" w:color="auto" w:sz="4" w:space="0"/>
              <w:bottom w:val="single" w:color="auto" w:sz="4" w:space="0"/>
              <w:right w:val="single" w:color="auto" w:sz="4" w:space="0"/>
            </w:tcBorders>
            <w:vAlign w:val="center"/>
          </w:tcPr>
          <w:p>
            <w:pPr>
              <w:pStyle w:val="45"/>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定制</w:t>
            </w:r>
          </w:p>
        </w:tc>
        <w:tc>
          <w:tcPr>
            <w:tcW w:w="6238" w:type="dxa"/>
            <w:tcBorders>
              <w:top w:val="single" w:color="auto" w:sz="4" w:space="0"/>
              <w:left w:val="single" w:color="auto" w:sz="4" w:space="0"/>
              <w:bottom w:val="single" w:color="auto" w:sz="4" w:space="0"/>
              <w:right w:val="single" w:color="auto" w:sz="4" w:space="0"/>
            </w:tcBorders>
            <w:vAlign w:val="top"/>
          </w:tcPr>
          <w:p>
            <w:pPr>
              <w:keepNext/>
              <w:adjustRightInd w:val="0"/>
              <w:snapToGrid w:val="0"/>
              <w:spacing w:line="240" w:lineRule="auto"/>
              <w:rPr>
                <w:rFonts w:hint="eastAsia"/>
              </w:rPr>
            </w:pPr>
            <w:r>
              <w:rPr>
                <w:rFonts w:hint="eastAsia"/>
              </w:rPr>
              <w:t>▲一、规格及总体要求</w:t>
            </w:r>
          </w:p>
          <w:p>
            <w:pPr>
              <w:keepNext/>
              <w:adjustRightInd w:val="0"/>
              <w:snapToGrid w:val="0"/>
              <w:spacing w:line="240" w:lineRule="auto"/>
              <w:rPr>
                <w:rFonts w:hint="eastAsia"/>
              </w:rPr>
            </w:pPr>
            <w:r>
              <w:rPr>
                <w:rFonts w:hint="eastAsia"/>
              </w:rPr>
              <w:t>1.规格尺寸：双人衣柜规格尺寸约为W800mm×D600mm×H1900mm（宽×深×高），具体尺寸以宿舍现场复核及采购人确认的深化设计为准。衣柜应满足两名学生日常衣物、书包、被褥及个人物品分类收纳需要。如因宿舍空间、床体布局、墙体、插座、门窗等现场条件需要调整尺寸的，最终尺寸可根据现场实际适当调整，但不得影响宿舍通行、家具稳定性和学生正常使用。</w:t>
            </w:r>
          </w:p>
          <w:p>
            <w:pPr>
              <w:keepNext/>
              <w:adjustRightInd w:val="0"/>
              <w:snapToGrid w:val="0"/>
              <w:spacing w:line="240" w:lineRule="auto"/>
              <w:rPr>
                <w:rFonts w:hint="eastAsia"/>
                <w:b/>
                <w:bCs/>
                <w:color w:val="auto"/>
              </w:rPr>
            </w:pPr>
            <w:r>
              <w:rPr>
                <w:rFonts w:hint="eastAsia"/>
              </w:rPr>
              <w:t>2.整体技术标准要求：衣柜整体外观质量、结构安全、理化性能、力学性能、柜类强度和耐久性、安装要求等技术指标应符合GB/T 3324-2024《木家具通用技术条件》、GB 28008-2024《家具结构安全技术规范》、GB/T 10357.5-2023《家具力学性能试验第5部分：柜类强度和耐久性》要求。</w:t>
            </w:r>
            <w:r>
              <w:rPr>
                <w:rFonts w:hint="eastAsia"/>
                <w:b/>
                <w:bCs/>
                <w:color w:val="auto"/>
              </w:rPr>
              <w:t>供货时，须提供上述检测标准的检测报告原件。</w:t>
            </w:r>
          </w:p>
          <w:p>
            <w:pPr>
              <w:keepNext/>
              <w:adjustRightInd w:val="0"/>
              <w:snapToGrid w:val="0"/>
              <w:spacing w:line="240" w:lineRule="auto"/>
              <w:rPr>
                <w:rFonts w:hint="eastAsia"/>
              </w:rPr>
            </w:pPr>
            <w:r>
              <w:rPr>
                <w:rFonts w:hint="eastAsia"/>
              </w:rPr>
              <w:t>▲二、板材及环保要求</w:t>
            </w:r>
          </w:p>
          <w:p>
            <w:pPr>
              <w:keepNext/>
              <w:adjustRightInd w:val="0"/>
              <w:snapToGrid w:val="0"/>
              <w:spacing w:line="240" w:lineRule="auto"/>
              <w:rPr>
                <w:rFonts w:hint="eastAsia"/>
              </w:rPr>
            </w:pPr>
            <w:r>
              <w:rPr>
                <w:rFonts w:hint="eastAsia"/>
              </w:rPr>
              <w:t>1.板材要求：衣柜门板、底板、侧板、顶板、层板、背板等主要板式部件应采用E0级环保多层实木板。背板厚度≥9mm，其余主要板件厚度≥15mm。板材应结构稳定、表面平整，具有良好的防潮、防霉、尺寸稳定性和握钉性能，不得出现开裂、鼓泡、分层、翘曲、变形等影响正常使用的缺陷。</w:t>
            </w:r>
          </w:p>
          <w:p>
            <w:pPr>
              <w:keepNext/>
              <w:adjustRightInd w:val="0"/>
              <w:snapToGrid w:val="0"/>
              <w:spacing w:line="240" w:lineRule="auto"/>
              <w:rPr>
                <w:rFonts w:hint="eastAsia"/>
              </w:rPr>
            </w:pPr>
            <w:r>
              <w:rPr>
                <w:rFonts w:hint="eastAsia"/>
              </w:rPr>
              <w:t>2.板材环保及理化性能要求：多层实木板的甲醛释放限量应符合GB 18580-2025《室内装饰装修材料 人造板及其制品中甲醛释放限量》的要求；含水率、胶合强度、静曲强度、弹性模量等理化性能应符合GB/T 9846-2015《普通胶合板》的要求，并按GB/T 17657-2022《人造板及饰面人造板理化性能试验方法》进行检测。</w:t>
            </w:r>
          </w:p>
          <w:p>
            <w:pPr>
              <w:keepNext/>
              <w:adjustRightInd w:val="0"/>
              <w:snapToGrid w:val="0"/>
              <w:spacing w:line="240" w:lineRule="auto"/>
              <w:rPr>
                <w:rFonts w:hint="eastAsia"/>
              </w:rPr>
            </w:pPr>
            <w:r>
              <w:rPr>
                <w:rFonts w:hint="eastAsia"/>
              </w:rPr>
              <w:t>3.衣柜成品环保要求：衣柜成品中甲醛、苯、甲苯、二甲苯、TVOC及其他有害物质限量应符合 GB 18584-2024《家具中有害物质限量》；检测与不合格处理按本项目“安装、检测与验收要求”统一执行。</w:t>
            </w:r>
          </w:p>
          <w:p>
            <w:pPr>
              <w:keepNext/>
              <w:adjustRightInd w:val="0"/>
              <w:snapToGrid w:val="0"/>
              <w:spacing w:line="240" w:lineRule="auto"/>
              <w:rPr>
                <w:rFonts w:hint="eastAsia"/>
              </w:rPr>
            </w:pPr>
            <w:r>
              <w:rPr>
                <w:rFonts w:hint="eastAsia"/>
              </w:rPr>
              <w:t>三、柜体结构及功能要求</w:t>
            </w:r>
          </w:p>
          <w:p>
            <w:pPr>
              <w:keepNext/>
              <w:adjustRightInd w:val="0"/>
              <w:snapToGrid w:val="0"/>
              <w:spacing w:line="240" w:lineRule="auto"/>
              <w:rPr>
                <w:rFonts w:hint="eastAsia"/>
              </w:rPr>
            </w:pPr>
            <w:r>
              <w:rPr>
                <w:rFonts w:hint="eastAsia"/>
              </w:rPr>
              <w:t>1.柜体结构要求：衣柜采用双人分区结构，内部空间满足两名学生分别收纳衣物、书包及个人物品需要。柜体结构牢固稳定，安装后平整稳固，不得晃动、倾斜或变形。柜体各连接部位应紧密牢固，正常使用条件下无松动、开裂、脱落或产生异响。</w:t>
            </w:r>
          </w:p>
          <w:p>
            <w:pPr>
              <w:keepNext/>
              <w:adjustRightInd w:val="0"/>
              <w:snapToGrid w:val="0"/>
              <w:spacing w:line="240" w:lineRule="auto"/>
              <w:rPr>
                <w:rFonts w:hint="eastAsia"/>
              </w:rPr>
            </w:pPr>
            <w:r>
              <w:rPr>
                <w:rFonts w:hint="eastAsia"/>
              </w:rPr>
              <w:t>2.内部功能分区：衣柜内部设置挂衣区、储物区等功能空间，挂衣杆、层板应安装牢固，承重能力满足日常使用要求。层板正常使用条件下无下弯、松动或脱落。</w:t>
            </w:r>
          </w:p>
          <w:p>
            <w:pPr>
              <w:keepNext/>
              <w:adjustRightInd w:val="0"/>
              <w:snapToGrid w:val="0"/>
              <w:spacing w:line="240" w:lineRule="auto"/>
              <w:rPr>
                <w:rFonts w:hint="eastAsia"/>
              </w:rPr>
            </w:pPr>
            <w:r>
              <w:rPr>
                <w:rFonts w:hint="eastAsia"/>
              </w:rPr>
              <w:t>3.挂衣杆要求：挂衣杆应采用金属管材，安装牢固，表面光滑，无毛刺、锐边、锈蚀等缺陷。正常使用条件下无弯曲、松动或脱落。</w:t>
            </w:r>
          </w:p>
          <w:p>
            <w:pPr>
              <w:keepNext/>
              <w:adjustRightInd w:val="0"/>
              <w:snapToGrid w:val="0"/>
              <w:spacing w:line="240" w:lineRule="auto"/>
              <w:rPr>
                <w:rFonts w:hint="eastAsia"/>
              </w:rPr>
            </w:pPr>
            <w:r>
              <w:rPr>
                <w:rFonts w:hint="eastAsia"/>
              </w:rPr>
              <w:t>▲四、柜门、封边及五金要求</w:t>
            </w:r>
          </w:p>
          <w:p>
            <w:pPr>
              <w:keepNext/>
              <w:adjustRightInd w:val="0"/>
              <w:snapToGrid w:val="0"/>
              <w:spacing w:line="240" w:lineRule="auto"/>
              <w:rPr>
                <w:rFonts w:hint="eastAsia"/>
              </w:rPr>
            </w:pPr>
            <w:r>
              <w:rPr>
                <w:rFonts w:hint="eastAsia"/>
              </w:rPr>
              <w:t>1.柜门要求：柜门</w:t>
            </w:r>
            <w:r>
              <w:rPr>
                <w:rFonts w:hint="eastAsia"/>
                <w:lang w:val="en-US" w:eastAsia="zh-CN"/>
              </w:rPr>
              <w:t>设置四门，</w:t>
            </w:r>
            <w:r>
              <w:rPr>
                <w:rFonts w:hint="eastAsia"/>
              </w:rPr>
              <w:t>结构稳定、启闭顺畅，长期使用不易变形、松动或脱落。柜门外露边角圆滑处理，无锐边、锐角、毛刺、刃口等安全隐患。满足强度、防潮、耐磨、环保和长期使用要求。</w:t>
            </w:r>
          </w:p>
          <w:p>
            <w:pPr>
              <w:keepNext/>
              <w:adjustRightInd w:val="0"/>
              <w:snapToGrid w:val="0"/>
              <w:spacing w:line="240" w:lineRule="auto"/>
              <w:rPr>
                <w:rFonts w:hint="eastAsia"/>
              </w:rPr>
            </w:pPr>
            <w:r>
              <w:rPr>
                <w:rFonts w:hint="eastAsia"/>
              </w:rPr>
              <w:t>2.封边要求：衣柜板材外露边及非交接面应进行封边或涂饰处理，封边应严密、平整、牢固，具有良好的防潮、耐磨、防开裂性能，无脱胶、鼓泡、翘边、透胶、锐角、毛刺等缺陷。封边条材料应符合QB/T 4463-2025《家具用封边条》的要求。</w:t>
            </w:r>
          </w:p>
          <w:p>
            <w:pPr>
              <w:keepNext/>
              <w:adjustRightInd w:val="0"/>
              <w:snapToGrid w:val="0"/>
              <w:spacing w:line="240" w:lineRule="auto"/>
              <w:rPr>
                <w:rFonts w:hint="eastAsia"/>
              </w:rPr>
            </w:pPr>
            <w:r>
              <w:rPr>
                <w:rFonts w:hint="eastAsia"/>
              </w:rPr>
              <w:t>3.五金件要求：</w:t>
            </w:r>
            <w:r>
              <w:rPr>
                <w:rFonts w:hint="eastAsia"/>
                <w:lang w:val="en-US" w:eastAsia="zh-CN"/>
              </w:rPr>
              <w:t>采用不锈钢304材质，</w:t>
            </w:r>
            <w:r>
              <w:rPr>
                <w:rFonts w:hint="eastAsia"/>
              </w:rPr>
              <w:t>柜门拉手、铰链、锁扣、连接件安装牢固，启闭灵活，开合顺畅，长期使用无松动、脱落，采用耐磨、耐腐蚀材料制作，表面光滑，无毛刺、锐棱、锈蚀等缺陷</w:t>
            </w:r>
            <w:r>
              <w:rPr>
                <w:rFonts w:hint="eastAsia"/>
                <w:lang w:eastAsia="zh-CN"/>
              </w:rPr>
              <w:t>。铰链应符合QB/T 2189-2013《家具五金 杯状暗铰链》的要求；连接件应符合GB/T 28203-2011《家具用连接件技术要求及试验方法》的要求</w:t>
            </w:r>
            <w:r>
              <w:rPr>
                <w:rFonts w:hint="eastAsia"/>
              </w:rPr>
              <w:t>。</w:t>
            </w:r>
          </w:p>
          <w:p>
            <w:pPr>
              <w:keepNext/>
              <w:adjustRightInd w:val="0"/>
              <w:snapToGrid w:val="0"/>
              <w:spacing w:line="240" w:lineRule="auto"/>
              <w:rPr>
                <w:rFonts w:hint="eastAsia"/>
              </w:rPr>
            </w:pPr>
            <w:r>
              <w:rPr>
                <w:rFonts w:hint="eastAsia"/>
              </w:rPr>
              <w:t>五、供货、安装及验收要求</w:t>
            </w:r>
          </w:p>
          <w:p>
            <w:pPr>
              <w:keepNext/>
              <w:adjustRightInd w:val="0"/>
              <w:snapToGrid w:val="0"/>
              <w:spacing w:line="240" w:lineRule="auto"/>
              <w:rPr>
                <w:rFonts w:hint="eastAsia"/>
              </w:rPr>
            </w:pPr>
            <w:r>
              <w:rPr>
                <w:rFonts w:hint="eastAsia"/>
              </w:rPr>
              <w:t>1.衣柜样式、颜色及标识内容由采购人确认后供货。</w:t>
            </w:r>
          </w:p>
          <w:p>
            <w:pPr>
              <w:keepNext/>
              <w:adjustRightInd w:val="0"/>
              <w:snapToGrid w:val="0"/>
              <w:spacing w:line="240" w:lineRule="auto"/>
              <w:rPr>
                <w:rFonts w:hint="eastAsia"/>
              </w:rPr>
            </w:pPr>
            <w:r>
              <w:rPr>
                <w:rFonts w:hint="eastAsia"/>
                <w:highlight w:val="none"/>
              </w:rPr>
              <w:t>2.安装、样板确认、检测与验收要求：按本项目“安装、检测与验</w:t>
            </w:r>
            <w:r>
              <w:rPr>
                <w:rFonts w:hint="eastAsia"/>
              </w:rPr>
              <w:t>收要求”统一执行。</w:t>
            </w:r>
          </w:p>
          <w:p>
            <w:pPr>
              <w:keepNext/>
              <w:adjustRightInd w:val="0"/>
              <w:snapToGrid w:val="0"/>
              <w:spacing w:line="240" w:lineRule="auto"/>
              <w:rPr>
                <w:rFonts w:hint="eastAsia" w:eastAsia="宋体"/>
                <w:lang w:val="en" w:eastAsia="zh-CN"/>
              </w:rPr>
            </w:pPr>
            <w:r>
              <w:rPr>
                <w:rFonts w:hint="eastAsia"/>
                <w:lang w:val="en" w:eastAsia="zh-CN"/>
              </w:rPr>
              <w:t>六、</w:t>
            </w:r>
            <w:r>
              <w:rPr>
                <w:rFonts w:hint="eastAsia"/>
                <w:lang w:eastAsia="zh-CN"/>
              </w:rPr>
              <w:t>安装位置：</w:t>
            </w:r>
            <w:r>
              <w:rPr>
                <w:rFonts w:hint="eastAsia"/>
              </w:rPr>
              <w:t>（A7、A8栋2—7层，A9栋2—9层）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4</w:t>
            </w:r>
          </w:p>
        </w:tc>
        <w:tc>
          <w:tcPr>
            <w:tcW w:w="8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sz w:val="21"/>
                <w:szCs w:val="21"/>
              </w:rPr>
              <w:t>三联四位公寓床</w:t>
            </w:r>
          </w:p>
        </w:tc>
        <w:tc>
          <w:tcPr>
            <w:tcW w:w="6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256</w:t>
            </w:r>
          </w:p>
        </w:tc>
        <w:tc>
          <w:tcPr>
            <w:tcW w:w="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位</w:t>
            </w:r>
          </w:p>
        </w:tc>
        <w:tc>
          <w:tcPr>
            <w:tcW w:w="80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定制</w:t>
            </w:r>
          </w:p>
        </w:tc>
        <w:tc>
          <w:tcPr>
            <w:tcW w:w="6238" w:type="dxa"/>
            <w:tcBorders>
              <w:top w:val="single" w:color="auto" w:sz="4" w:space="0"/>
              <w:left w:val="single" w:color="auto" w:sz="4" w:space="0"/>
              <w:bottom w:val="single" w:color="auto" w:sz="4" w:space="0"/>
              <w:right w:val="single" w:color="auto" w:sz="4" w:space="0"/>
            </w:tcBorders>
            <w:vAlign w:val="top"/>
          </w:tcPr>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bCs/>
                <w:color w:val="000000"/>
                <w:sz w:val="21"/>
                <w:szCs w:val="21"/>
              </w:rPr>
              <w:t>▲</w:t>
            </w:r>
            <w:r>
              <w:rPr>
                <w:rFonts w:hint="eastAsia" w:ascii="宋体" w:hAnsi="宋体" w:eastAsia="宋体" w:cs="宋体"/>
                <w:sz w:val="21"/>
                <w:szCs w:val="21"/>
              </w:rPr>
              <w:t>一、规格及总体要求</w:t>
            </w:r>
          </w:p>
          <w:p>
            <w:pPr>
              <w:keepNext/>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1.</w:t>
            </w:r>
            <w:r>
              <w:rPr>
                <w:rFonts w:hint="eastAsia" w:ascii="宋体" w:hAnsi="宋体" w:eastAsia="宋体" w:cs="宋体"/>
                <w:color w:val="auto"/>
                <w:sz w:val="21"/>
                <w:szCs w:val="21"/>
              </w:rPr>
              <w:t>规格尺寸：约为 L6000mm×W900mm×H</w:t>
            </w:r>
            <w:r>
              <w:rPr>
                <w:rFonts w:hint="eastAsia" w:ascii="宋体" w:hAnsi="宋体" w:cs="宋体"/>
                <w:color w:val="auto"/>
                <w:sz w:val="21"/>
                <w:szCs w:val="21"/>
                <w:lang w:val="en-US" w:eastAsia="zh-CN"/>
              </w:rPr>
              <w:t>18</w:t>
            </w:r>
            <w:r>
              <w:rPr>
                <w:rFonts w:hint="eastAsia" w:ascii="宋体" w:hAnsi="宋体" w:eastAsia="宋体" w:cs="宋体"/>
                <w:color w:val="auto"/>
                <w:sz w:val="21"/>
                <w:szCs w:val="21"/>
              </w:rPr>
              <w:t>00mm（长×宽×高），具体尺寸以宿舍现场复核及采购人确认的深化设计为准。因A7、A8、A9栋部分宿舍层高、空间布局存在差异，最终尺寸可根据现场实际适当调整，但不得影响床体结构安全、层间净高、护栏高</w:t>
            </w:r>
            <w:r>
              <w:rPr>
                <w:rFonts w:hint="eastAsia" w:ascii="宋体" w:hAnsi="宋体" w:eastAsia="宋体" w:cs="宋体"/>
                <w:sz w:val="21"/>
                <w:szCs w:val="21"/>
              </w:rPr>
              <w:t>度、通行空间及学生正常使用。</w:t>
            </w:r>
          </w:p>
          <w:p>
            <w:pPr>
              <w:keepNext/>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2.整体技术标准要求：公寓床整体外观质量、结构安全、理化性能、力学性能、有害物质限量、安装要求等技术指标应符合QB/T 2741-2013《学生公寓多功能家具》、GB 28008-2024《家具结构安全技术规范》、GB/T 3328-2016《家具床类主要尺寸》、GB/T 3325-2024《金属家具通用技术条件》、GB 18584-2024《家具中有害物质限量》</w:t>
            </w:r>
            <w:r>
              <w:rPr>
                <w:rFonts w:hint="eastAsia" w:ascii="宋体" w:hAnsi="宋体" w:eastAsia="宋体" w:cs="宋体"/>
                <w:color w:val="auto"/>
                <w:sz w:val="21"/>
                <w:szCs w:val="21"/>
                <w:lang w:val="en-US" w:eastAsia="zh-CN"/>
              </w:rPr>
              <w:t>要求</w:t>
            </w:r>
            <w:r>
              <w:rPr>
                <w:rFonts w:hint="eastAsia" w:ascii="宋体" w:hAnsi="宋体" w:eastAsia="宋体" w:cs="宋体"/>
                <w:color w:val="auto"/>
                <w:sz w:val="21"/>
                <w:szCs w:val="21"/>
              </w:rPr>
              <w:t>。</w:t>
            </w:r>
            <w:r>
              <w:rPr>
                <w:rFonts w:hint="eastAsia"/>
                <w:b/>
                <w:bCs/>
                <w:color w:val="auto"/>
              </w:rPr>
              <w:t>供货时，须提供上述检测标准的检测报告原件。</w:t>
            </w:r>
          </w:p>
          <w:p>
            <w:pPr>
              <w:pStyle w:val="21"/>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▲二、主材及表面处理</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sz w:val="21"/>
                <w:szCs w:val="21"/>
              </w:rPr>
              <w:t>1.钢材材质</w:t>
            </w:r>
            <w:r>
              <w:rPr>
                <w:rFonts w:hint="eastAsia" w:ascii="宋体" w:hAnsi="宋体" w:eastAsia="宋体" w:cs="宋体"/>
                <w:color w:val="auto"/>
                <w:sz w:val="21"/>
                <w:szCs w:val="21"/>
              </w:rPr>
              <w:t>及厚度要求：床边</w:t>
            </w:r>
            <w:r>
              <w:rPr>
                <w:rFonts w:hint="eastAsia" w:ascii="宋体" w:hAnsi="宋体" w:eastAsia="宋体" w:cs="宋体"/>
                <w:color w:val="auto"/>
                <w:sz w:val="21"/>
                <w:szCs w:val="21"/>
                <w:highlight w:val="none"/>
              </w:rPr>
              <w:t>立柱、床中立柱、前床厅（前横梁）、后床厅（后横梁）、</w:t>
            </w:r>
            <w:r>
              <w:rPr>
                <w:rFonts w:hint="eastAsia" w:ascii="宋体" w:hAnsi="宋体" w:cs="宋体"/>
                <w:color w:val="auto"/>
                <w:sz w:val="21"/>
                <w:szCs w:val="21"/>
                <w:highlight w:val="none"/>
                <w:lang w:val="en-US" w:eastAsia="zh-CN"/>
              </w:rPr>
              <w:t>拉杆、护栏、</w:t>
            </w:r>
            <w:r>
              <w:rPr>
                <w:rFonts w:hint="eastAsia" w:ascii="宋体" w:hAnsi="宋体" w:eastAsia="宋体" w:cs="宋体"/>
                <w:color w:val="auto"/>
                <w:sz w:val="21"/>
                <w:szCs w:val="21"/>
                <w:highlight w:val="none"/>
              </w:rPr>
              <w:t>爬梯梯架采用优质钢管，钢管壁厚</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1.5mm；床撑、蚊帐杆、辅助支撑部件均采用优质钢管。</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2.金属表面处理要求：金属件表面应经有效防锈预处理后进行静电喷塑处理，符合 HG/T 2006-2022《热固性和热塑性粉末涂料》要求。喷塑层应均匀牢固，色泽一致，无漏喷、起泡、剥落、锈蚀、流挂、疙瘩、皱皮、划伤等缺陷。</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三、床架主要部件要求</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1.床边立柱：</w:t>
            </w:r>
            <w:r>
              <w:rPr>
                <w:rFonts w:hint="eastAsia" w:ascii="宋体" w:hAnsi="宋体" w:cs="宋体"/>
                <w:color w:val="auto"/>
                <w:sz w:val="21"/>
                <w:szCs w:val="21"/>
                <w:highlight w:val="none"/>
                <w:lang w:val="en-US" w:eastAsia="zh-CN"/>
              </w:rPr>
              <w:t>裸管</w:t>
            </w:r>
            <w:r>
              <w:rPr>
                <w:rFonts w:hint="eastAsia" w:ascii="宋体" w:hAnsi="宋体" w:eastAsia="宋体" w:cs="宋体"/>
                <w:color w:val="auto"/>
                <w:sz w:val="21"/>
                <w:szCs w:val="21"/>
                <w:highlight w:val="none"/>
              </w:rPr>
              <w:t>规格</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8</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mm×8</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mm，根据需要合理设置加强筋。立柱结构须满足床体承重、稳定、抗弯、抗扭和长期高频使用要求。外露部位须进行圆角或防磕碰处理，无锐边、锐角、毛刺、刃口、明显焊渣等安全隐患；钢管端部应封闭或采取安全防护措施。</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2.床中立柱：</w:t>
            </w:r>
            <w:r>
              <w:rPr>
                <w:rFonts w:hint="eastAsia" w:ascii="宋体" w:hAnsi="宋体" w:cs="宋体"/>
                <w:color w:val="auto"/>
                <w:sz w:val="21"/>
                <w:szCs w:val="21"/>
                <w:highlight w:val="none"/>
                <w:lang w:val="en-US" w:eastAsia="zh-CN"/>
              </w:rPr>
              <w:t>裸管</w:t>
            </w:r>
            <w:r>
              <w:rPr>
                <w:rFonts w:hint="eastAsia" w:ascii="宋体" w:hAnsi="宋体" w:eastAsia="宋体" w:cs="宋体"/>
                <w:color w:val="auto"/>
                <w:sz w:val="21"/>
                <w:szCs w:val="21"/>
                <w:highlight w:val="none"/>
              </w:rPr>
              <w:t>规格</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75mm×5</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mm，根据需要合理设置加强筋。床中立柱须满足多床位连接、整体承重、稳定和抗变形要求，正常使用条件下无晃动、松动、变形或异响。外露部位须进行安全防护处理，无锐边、锐角、毛刺、刃口等安全隐患。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none"/>
              </w:rPr>
              <w:t>3.前床厅（前横梁）：</w:t>
            </w:r>
            <w:r>
              <w:rPr>
                <w:rFonts w:hint="eastAsia" w:ascii="宋体" w:hAnsi="宋体" w:cs="宋体"/>
                <w:color w:val="auto"/>
                <w:sz w:val="21"/>
                <w:szCs w:val="21"/>
                <w:highlight w:val="none"/>
                <w:lang w:val="en-US" w:eastAsia="zh-CN"/>
              </w:rPr>
              <w:t>裸管</w:t>
            </w:r>
            <w:r>
              <w:rPr>
                <w:rFonts w:hint="eastAsia" w:ascii="宋体" w:hAnsi="宋体" w:eastAsia="宋体" w:cs="宋体"/>
                <w:color w:val="auto"/>
                <w:sz w:val="21"/>
                <w:szCs w:val="21"/>
                <w:highlight w:val="none"/>
              </w:rPr>
              <w:t>规格</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100mm×50mm，根据需要合理设置加强筋。</w:t>
            </w:r>
            <w:r>
              <w:rPr>
                <w:rFonts w:hint="eastAsia" w:ascii="宋体" w:hAnsi="宋体" w:eastAsia="宋体" w:cs="宋体"/>
                <w:color w:val="auto"/>
                <w:sz w:val="21"/>
                <w:szCs w:val="21"/>
              </w:rPr>
              <w:t>前床厅应与立柱、床撑、连接件等部位连接牢固，满足床铺面支撑、承重、防变形和长期使用要求。其结构不影响床板安装和床体整体稳定性。</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rPr>
              <w:t>4.后床</w:t>
            </w:r>
            <w:r>
              <w:rPr>
                <w:rFonts w:hint="eastAsia" w:ascii="宋体" w:hAnsi="宋体" w:eastAsia="宋体" w:cs="宋体"/>
                <w:color w:val="auto"/>
                <w:sz w:val="21"/>
                <w:szCs w:val="21"/>
                <w:highlight w:val="none"/>
              </w:rPr>
              <w:t>厅（后横梁）：</w:t>
            </w:r>
            <w:r>
              <w:rPr>
                <w:rFonts w:hint="eastAsia" w:ascii="宋体" w:hAnsi="宋体" w:cs="宋体"/>
                <w:color w:val="auto"/>
                <w:sz w:val="21"/>
                <w:szCs w:val="21"/>
                <w:highlight w:val="none"/>
                <w:lang w:val="en-US" w:eastAsia="zh-CN"/>
              </w:rPr>
              <w:t>裸管</w:t>
            </w:r>
            <w:r>
              <w:rPr>
                <w:rFonts w:hint="eastAsia" w:ascii="宋体" w:hAnsi="宋体" w:eastAsia="宋体" w:cs="宋体"/>
                <w:color w:val="auto"/>
                <w:sz w:val="21"/>
                <w:szCs w:val="21"/>
                <w:highlight w:val="none"/>
              </w:rPr>
              <w:t>规格</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75mm×40mm。后床厅应与床体结构牢固连接，满足床铺面支撑、整体稳定、防变形和长期使用要求。正常使用条件下无松动、脱开、晃动、变形或异响。</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color w:val="auto"/>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5.拉杆:床边立柱下拉杆裸管</w:t>
            </w:r>
            <w:r>
              <w:rPr>
                <w:rFonts w:hint="eastAsia" w:ascii="宋体" w:hAnsi="宋体" w:eastAsia="宋体" w:cs="宋体"/>
                <w:color w:val="auto"/>
                <w:sz w:val="21"/>
                <w:szCs w:val="21"/>
                <w:highlight w:val="none"/>
              </w:rPr>
              <w:t>规格</w:t>
            </w:r>
            <w:r>
              <w:rPr>
                <w:rFonts w:hint="eastAsia" w:ascii="宋体" w:hAnsi="宋体" w:eastAsia="宋体" w:cs="宋体"/>
                <w:b/>
                <w:bCs/>
                <w:color w:val="auto"/>
                <w:sz w:val="21"/>
                <w:szCs w:val="21"/>
                <w:highlight w:val="none"/>
              </w:rPr>
              <w:t>≥</w:t>
            </w:r>
            <w:r>
              <w:rPr>
                <w:rFonts w:hint="eastAsia" w:ascii="宋体" w:hAnsi="宋体" w:cs="宋体"/>
                <w:color w:val="auto"/>
                <w:sz w:val="21"/>
                <w:szCs w:val="21"/>
                <w:highlight w:val="none"/>
                <w:lang w:val="en-US" w:eastAsia="zh-CN"/>
              </w:rPr>
              <w:t>55</w:t>
            </w:r>
            <w:r>
              <w:rPr>
                <w:rFonts w:hint="eastAsia" w:ascii="宋体" w:hAnsi="宋体" w:eastAsia="宋体" w:cs="宋体"/>
                <w:color w:val="auto"/>
                <w:sz w:val="21"/>
                <w:szCs w:val="21"/>
                <w:highlight w:val="none"/>
              </w:rPr>
              <w:t>mm×50mm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床中立柱下拉杆裸管</w:t>
            </w:r>
            <w:r>
              <w:rPr>
                <w:rFonts w:hint="eastAsia" w:ascii="宋体" w:hAnsi="宋体" w:eastAsia="宋体" w:cs="宋体"/>
                <w:color w:val="auto"/>
                <w:sz w:val="21"/>
                <w:szCs w:val="21"/>
                <w:highlight w:val="none"/>
              </w:rPr>
              <w:t>规格</w:t>
            </w:r>
            <w:r>
              <w:rPr>
                <w:rFonts w:hint="eastAsia" w:ascii="宋体" w:hAnsi="宋体" w:eastAsia="宋体" w:cs="宋体"/>
                <w:b/>
                <w:bCs/>
                <w:color w:val="auto"/>
                <w:sz w:val="21"/>
                <w:szCs w:val="21"/>
                <w:highlight w:val="none"/>
              </w:rPr>
              <w:t>≥</w:t>
            </w:r>
            <w:r>
              <w:rPr>
                <w:rFonts w:hint="eastAsia" w:ascii="宋体" w:hAnsi="宋体" w:cs="宋体"/>
                <w:color w:val="auto"/>
                <w:sz w:val="21"/>
                <w:szCs w:val="21"/>
                <w:highlight w:val="none"/>
                <w:lang w:val="en-US" w:eastAsia="zh-CN"/>
              </w:rPr>
              <w:t>55</w:t>
            </w:r>
            <w:r>
              <w:rPr>
                <w:rFonts w:hint="eastAsia" w:ascii="宋体" w:hAnsi="宋体" w:eastAsia="宋体" w:cs="宋体"/>
                <w:color w:val="auto"/>
                <w:sz w:val="21"/>
                <w:szCs w:val="21"/>
                <w:highlight w:val="none"/>
              </w:rPr>
              <w:t>mm×50mm</w:t>
            </w:r>
            <w:r>
              <w:rPr>
                <w:rFonts w:hint="eastAsia" w:ascii="宋体" w:hAnsi="宋体" w:cs="宋体"/>
                <w:color w:val="auto"/>
                <w:sz w:val="21"/>
                <w:szCs w:val="21"/>
                <w:highlight w:val="none"/>
                <w:lang w:eastAsia="zh-CN"/>
              </w:rPr>
              <w:t>，床后下拉杆</w:t>
            </w:r>
            <w:r>
              <w:rPr>
                <w:rFonts w:hint="eastAsia" w:ascii="宋体" w:hAnsi="宋体" w:cs="宋体"/>
                <w:color w:val="auto"/>
                <w:sz w:val="21"/>
                <w:szCs w:val="21"/>
                <w:highlight w:val="none"/>
                <w:lang w:val="en-US" w:eastAsia="zh-CN"/>
              </w:rPr>
              <w:t>裸管</w:t>
            </w:r>
            <w:r>
              <w:rPr>
                <w:rFonts w:hint="eastAsia" w:ascii="宋体" w:hAnsi="宋体" w:eastAsia="宋体" w:cs="宋体"/>
                <w:color w:val="auto"/>
                <w:sz w:val="21"/>
                <w:szCs w:val="21"/>
                <w:highlight w:val="none"/>
              </w:rPr>
              <w:t>规格≥40mm×20mm</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须满足多床位连接、整体承重、稳定和抗变形要求，正常使用条件下无晃动、松动、变形或异响。外露部位须进行安全防护处理，无锐边、锐角、毛刺、刃口等安全隐患。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.床体连接结构：床厅、横梁、立柱等部件连接应</w:t>
            </w:r>
            <w:r>
              <w:rPr>
                <w:rFonts w:hint="eastAsia" w:ascii="宋体" w:hAnsi="宋体" w:eastAsia="宋体" w:cs="宋体"/>
                <w:color w:val="auto"/>
                <w:sz w:val="21"/>
                <w:szCs w:val="21"/>
              </w:rPr>
              <w:t>牢固可靠。连接方式采用卡扣式连接方式，连接扣点采用不</w:t>
            </w:r>
            <w:r>
              <w:rPr>
                <w:rFonts w:hint="eastAsia" w:ascii="宋体" w:hAnsi="宋体" w:eastAsia="宋体" w:cs="宋体"/>
                <w:sz w:val="21"/>
                <w:szCs w:val="21"/>
              </w:rPr>
              <w:t>少于3个位置连接并在中间位置设置防退措施，满足结构安全、安装稳定和后期维护要求。正常使用条件下，连接部位无松动、脱开或产生影响安全使用的</w:t>
            </w:r>
            <w:r>
              <w:rPr>
                <w:rFonts w:hint="eastAsia" w:ascii="宋体" w:hAnsi="宋体" w:eastAsia="宋体" w:cs="宋体"/>
                <w:color w:val="auto"/>
                <w:sz w:val="21"/>
                <w:szCs w:val="21"/>
              </w:rPr>
              <w:t>变形。</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底部</w:t>
            </w:r>
            <w:r>
              <w:rPr>
                <w:rFonts w:hint="eastAsia" w:ascii="宋体" w:hAnsi="宋体" w:eastAsia="宋体" w:cs="宋体"/>
                <w:color w:val="auto"/>
                <w:sz w:val="21"/>
                <w:szCs w:val="21"/>
                <w:highlight w:val="none"/>
              </w:rPr>
              <w:t>脚套要求：立柱底部应设置防潮、防滑、静音、保护地面的脚套，安装牢固，不易脱落。脚套采用ABS工程塑料制作，耐磨、耐压、无异味，正常使用条件下无开裂、变形或脱落。</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四、护栏及床头护栏要求</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1.床厅护栏：床厅护栏应安装于上铺外侧，护栏整体牢固可靠，无松动，结构满足强度、安全性和长期使用要求；床厅护栏整体规格</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1300mm×300mm×30mm（长×高×整体结构厚度）。护栏外露部位圆滑处理，无锐边、锐角、毛刺、刃口等安全隐患。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2.边立柱床头护栏：结构满足强度、安全性和长期使用要求，设置安全扶手或等效结构，连接牢固，边角圆滑，无锐边、锐角、毛刺、刃口等安全隐患。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3.中立柱区域床头护栏：结构满足强度、安全性和长期使用要求，护栏与床体连接牢固，满足上下床抓握、防护和长期使用要求，正常使用条件下无松动、变形或脱落。</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rPr>
              <w:t>4.护栏挡板：护栏挡板采用厚度</w:t>
            </w:r>
            <w:r>
              <w:rPr>
                <w:rFonts w:hint="eastAsia" w:ascii="宋体" w:hAnsi="宋体" w:eastAsia="宋体" w:cs="宋体"/>
                <w:b/>
                <w:bCs/>
                <w:color w:val="000000" w:themeColor="text1"/>
                <w:sz w:val="21"/>
                <w:szCs w:val="21"/>
                <w14:textFill>
                  <w14:solidFill>
                    <w14:schemeClr w14:val="tx1"/>
                  </w14:solidFill>
                </w14:textFill>
              </w:rPr>
              <w:t>≥</w:t>
            </w:r>
            <w:r>
              <w:rPr>
                <w:rFonts w:hint="eastAsia" w:ascii="宋体" w:hAnsi="宋体" w:eastAsia="宋体" w:cs="宋体"/>
                <w:sz w:val="21"/>
                <w:szCs w:val="21"/>
              </w:rPr>
              <w:t>15mm 的E0级环保多层实木板。挡板安</w:t>
            </w:r>
            <w:r>
              <w:rPr>
                <w:rFonts w:hint="eastAsia" w:ascii="宋体" w:hAnsi="宋体" w:eastAsia="宋体" w:cs="宋体"/>
                <w:sz w:val="21"/>
                <w:szCs w:val="21"/>
                <w:highlight w:val="none"/>
              </w:rPr>
              <w:t>装牢固，表面平整，边角安全，无异味、开裂、分层、翘曲等缺陷。板材采用整体成型结构，四周无拼接缝、锐边、毛刺或刃口。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sz w:val="21"/>
                <w:szCs w:val="21"/>
                <w:highlight w:val="none"/>
              </w:rPr>
              <w:t>五、爬梯要求：</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1.爬梯梯架：爬梯应与床体连接牢固，整体稳定。</w:t>
            </w:r>
            <w:r>
              <w:rPr>
                <w:rFonts w:hint="eastAsia" w:ascii="宋体" w:hAnsi="宋体" w:eastAsia="宋体" w:cs="宋体"/>
                <w:color w:val="auto"/>
                <w:sz w:val="21"/>
                <w:szCs w:val="21"/>
                <w:highlight w:val="none"/>
              </w:rPr>
              <w:t>爬梯钢架边管</w:t>
            </w:r>
            <w:r>
              <w:rPr>
                <w:rFonts w:hint="eastAsia" w:ascii="宋体" w:hAnsi="宋体" w:cs="宋体"/>
                <w:color w:val="auto"/>
                <w:sz w:val="21"/>
                <w:szCs w:val="21"/>
                <w:highlight w:val="none"/>
                <w:lang w:val="en-US" w:eastAsia="zh-CN"/>
              </w:rPr>
              <w:t>裸管</w:t>
            </w:r>
            <w:r>
              <w:rPr>
                <w:rFonts w:hint="eastAsia" w:ascii="宋体" w:hAnsi="宋体" w:eastAsia="宋体" w:cs="宋体"/>
                <w:color w:val="auto"/>
                <w:sz w:val="21"/>
                <w:szCs w:val="21"/>
                <w:highlight w:val="none"/>
              </w:rPr>
              <w:t>规格≥25mm×3</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mm</w:t>
            </w:r>
            <w:r>
              <w:rPr>
                <w:rFonts w:hint="eastAsia" w:ascii="宋体" w:hAnsi="宋体" w:eastAsia="宋体" w:cs="宋体"/>
                <w:color w:val="auto"/>
                <w:sz w:val="21"/>
                <w:szCs w:val="21"/>
              </w:rPr>
              <w:t>。爬梯与床体连接部位牢固可靠，正常使用条件下无松动、脱落、晃动、变形</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异响。梯架外露部位无锐边</w:t>
            </w:r>
            <w:r>
              <w:rPr>
                <w:rFonts w:hint="eastAsia" w:ascii="宋体" w:hAnsi="宋体" w:eastAsia="宋体" w:cs="宋体"/>
                <w:sz w:val="21"/>
                <w:szCs w:val="21"/>
              </w:rPr>
              <w:t>、锐角</w:t>
            </w:r>
            <w:r>
              <w:rPr>
                <w:rFonts w:hint="eastAsia" w:ascii="宋体" w:hAnsi="宋体" w:eastAsia="宋体" w:cs="宋体"/>
                <w:color w:val="auto"/>
                <w:sz w:val="21"/>
                <w:szCs w:val="21"/>
              </w:rPr>
              <w:t>、毛刺、刃口等安全隐患。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2.爬梯踏板：爬梯踏板</w:t>
            </w:r>
            <w:r>
              <w:rPr>
                <w:rFonts w:hint="eastAsia" w:ascii="宋体" w:hAnsi="宋体" w:cs="宋体"/>
                <w:color w:val="auto"/>
                <w:sz w:val="21"/>
                <w:szCs w:val="21"/>
                <w:lang w:val="en-US" w:eastAsia="zh-CN"/>
              </w:rPr>
              <w:t>采用优质钢材，厚度≥1.5mm，</w:t>
            </w:r>
            <w:r>
              <w:rPr>
                <w:rFonts w:hint="eastAsia" w:ascii="宋体" w:hAnsi="宋体" w:eastAsia="宋体" w:cs="宋体"/>
                <w:color w:val="auto"/>
                <w:sz w:val="21"/>
                <w:szCs w:val="21"/>
                <w:highlight w:val="none"/>
              </w:rPr>
              <w:t>规格</w:t>
            </w:r>
            <w:r>
              <w:rPr>
                <w:rFonts w:hint="eastAsia" w:ascii="宋体" w:hAnsi="宋体" w:eastAsia="宋体" w:cs="宋体"/>
                <w:color w:val="auto"/>
                <w:sz w:val="21"/>
                <w:szCs w:val="21"/>
              </w:rPr>
              <w:t>≥420mm×100mm×18mm</w:t>
            </w:r>
            <w:r>
              <w:rPr>
                <w:rFonts w:hint="eastAsia" w:ascii="宋体" w:hAnsi="宋体" w:cs="宋体"/>
                <w:color w:val="auto"/>
                <w:sz w:val="21"/>
                <w:szCs w:val="21"/>
                <w:lang w:val="en-US" w:eastAsia="zh-CN"/>
              </w:rPr>
              <w:t>。</w:t>
            </w:r>
            <w:r>
              <w:rPr>
                <w:rFonts w:hint="eastAsia" w:ascii="宋体" w:hAnsi="宋体" w:eastAsia="宋体" w:cs="宋体"/>
                <w:color w:val="auto"/>
                <w:sz w:val="21"/>
                <w:szCs w:val="21"/>
              </w:rPr>
              <w:t>踏板表面</w:t>
            </w:r>
            <w:r>
              <w:rPr>
                <w:rFonts w:hint="eastAsia" w:ascii="宋体" w:hAnsi="宋体" w:cs="宋体"/>
                <w:color w:val="auto"/>
                <w:sz w:val="21"/>
                <w:szCs w:val="21"/>
                <w:lang w:val="en-US" w:eastAsia="zh-CN"/>
              </w:rPr>
              <w:t>安装</w:t>
            </w:r>
            <w:r>
              <w:rPr>
                <w:rFonts w:hint="eastAsia" w:ascii="宋体" w:hAnsi="宋体" w:eastAsia="宋体" w:cs="宋体"/>
                <w:color w:val="auto"/>
                <w:sz w:val="21"/>
                <w:szCs w:val="21"/>
              </w:rPr>
              <w:t>防滑材料，踏板间距≤30mm，外露部位须进行圆角或防磕碰处理，安装后无松动、脱落、开裂、变形</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异响。</w:t>
            </w:r>
          </w:p>
          <w:p>
            <w:pPr>
              <w:pStyle w:val="2"/>
              <w:keepLines w:val="0"/>
              <w:pageBreakBefore w:val="0"/>
              <w:widowControl w:val="0"/>
              <w:kinsoku/>
              <w:wordWrap/>
              <w:overflowPunct/>
              <w:topLinePunct w:val="0"/>
              <w:autoSpaceDE/>
              <w:autoSpaceDN/>
              <w:bidi w:val="0"/>
              <w:spacing w:line="240" w:lineRule="auto"/>
              <w:ind w:firstLine="0" w:firstLineChars="0"/>
              <w:textAlignment w:val="auto"/>
              <w:rPr>
                <w:rFonts w:hint="eastAsia" w:ascii="宋体" w:hAnsi="宋体" w:eastAsia="宋体" w:cs="宋体"/>
                <w:bCs w:val="0"/>
                <w:caps w:val="0"/>
                <w:color w:val="auto"/>
                <w:sz w:val="21"/>
                <w:szCs w:val="21"/>
              </w:rPr>
            </w:pPr>
            <w:r>
              <w:rPr>
                <w:rFonts w:hint="eastAsia" w:ascii="宋体" w:hAnsi="宋体" w:eastAsia="宋体" w:cs="宋体"/>
                <w:bCs w:val="0"/>
                <w:caps w:val="0"/>
                <w:color w:val="auto"/>
                <w:sz w:val="21"/>
                <w:szCs w:val="21"/>
              </w:rPr>
              <w:t>3.爬梯底部脚套要求：采用ABS工程塑料制作，底部设置防潮、防滑、静音、保护地面的脚套，安装牢固，不易脱落。</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▲六、床撑及床板要求</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1.床撑及床铺面支撑结构:</w:t>
            </w:r>
            <w:r>
              <w:rPr>
                <w:rFonts w:hint="eastAsia" w:ascii="宋体" w:hAnsi="宋体" w:cs="宋体"/>
                <w:color w:val="auto"/>
                <w:sz w:val="21"/>
                <w:szCs w:val="21"/>
                <w:highlight w:val="none"/>
                <w:lang w:val="en-US" w:eastAsia="zh-CN"/>
              </w:rPr>
              <w:t>裸管</w:t>
            </w:r>
            <w:r>
              <w:rPr>
                <w:rFonts w:hint="eastAsia" w:ascii="宋体" w:hAnsi="宋体" w:eastAsia="宋体" w:cs="宋体"/>
                <w:color w:val="auto"/>
                <w:sz w:val="21"/>
                <w:szCs w:val="21"/>
                <w:highlight w:val="none"/>
              </w:rPr>
              <w:t>规格</w:t>
            </w:r>
            <w:r>
              <w:rPr>
                <w:rFonts w:hint="eastAsia" w:ascii="宋体" w:hAnsi="宋体" w:eastAsia="宋体" w:cs="宋体"/>
                <w:b/>
                <w:bCs/>
                <w:color w:val="auto"/>
                <w:sz w:val="21"/>
                <w:szCs w:val="21"/>
              </w:rPr>
              <w:t>≥</w:t>
            </w:r>
            <w:r>
              <w:rPr>
                <w:rFonts w:hint="eastAsia" w:ascii="宋体" w:hAnsi="宋体" w:eastAsia="宋体" w:cs="宋体"/>
                <w:color w:val="auto"/>
                <w:sz w:val="21"/>
                <w:szCs w:val="21"/>
              </w:rPr>
              <w:t>25mm×30mm，壁厚</w:t>
            </w:r>
            <w:r>
              <w:rPr>
                <w:rFonts w:hint="eastAsia" w:ascii="宋体" w:hAnsi="宋体" w:eastAsia="宋体" w:cs="宋体"/>
                <w:b/>
                <w:bCs/>
                <w:color w:val="auto"/>
                <w:sz w:val="21"/>
                <w:szCs w:val="21"/>
              </w:rPr>
              <w:t>≥</w:t>
            </w:r>
            <w:r>
              <w:rPr>
                <w:rFonts w:hint="eastAsia" w:ascii="宋体" w:hAnsi="宋体" w:eastAsia="宋体" w:cs="宋体"/>
                <w:color w:val="auto"/>
                <w:sz w:val="21"/>
                <w:szCs w:val="21"/>
              </w:rPr>
              <w:t>1.</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mm。每个床位床撑数量不少于5根，满足床铺面承重、防落、防异响和长期高频使用要求。床撑与床架连接处应配置静音胶塞，牢固可靠，无松动、脱落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异响。</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2.床板要求:床板采用厚度</w:t>
            </w:r>
            <w:r>
              <w:rPr>
                <w:rFonts w:hint="eastAsia" w:ascii="宋体" w:hAnsi="宋体" w:eastAsia="宋体" w:cs="宋体"/>
                <w:b/>
                <w:bCs/>
                <w:color w:val="000000" w:themeColor="text1"/>
                <w:sz w:val="21"/>
                <w:szCs w:val="21"/>
                <w14:textFill>
                  <w14:solidFill>
                    <w14:schemeClr w14:val="tx1"/>
                  </w14:solidFill>
                </w14:textFill>
              </w:rPr>
              <w:t>≥</w:t>
            </w:r>
            <w:r>
              <w:rPr>
                <w:rFonts w:hint="eastAsia" w:ascii="宋体" w:hAnsi="宋体" w:eastAsia="宋体" w:cs="宋体"/>
                <w:sz w:val="21"/>
                <w:szCs w:val="21"/>
              </w:rPr>
              <w:t>18mm 的杉木板，双面平整，经干燥、防腐、防蛀处理；床板由多块杉木板拼接而成，无散边，板块数量不得多于7块，板间缝隙≤3mm，板底应设置不少于4根加固杉木条加强支撑，制作应牢固可靠。床板双面刨光、无贯通裂缝、无虫蛀、无腐朽、无翘曲、无毛刺，安装后与床架紧密嵌合，正常使用条件下无断裂、变形、松动</w:t>
            </w:r>
            <w:r>
              <w:rPr>
                <w:rFonts w:hint="eastAsia" w:ascii="宋体" w:hAnsi="宋体" w:eastAsia="宋体" w:cs="宋体"/>
                <w:sz w:val="21"/>
                <w:szCs w:val="21"/>
                <w:lang w:eastAsia="zh-CN"/>
              </w:rPr>
              <w:t>、</w:t>
            </w:r>
            <w:r>
              <w:rPr>
                <w:rFonts w:hint="eastAsia" w:ascii="宋体" w:hAnsi="宋体" w:eastAsia="宋体" w:cs="宋体"/>
                <w:sz w:val="21"/>
                <w:szCs w:val="21"/>
              </w:rPr>
              <w:t>异响。</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▲七、蚊帐杆</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1.蚊帐杆：每个床位配置蚊帐杆或等效悬挂结构，蚊帐杆管材外形规格</w:t>
            </w:r>
            <w:r>
              <w:rPr>
                <w:rFonts w:hint="eastAsia" w:ascii="宋体" w:hAnsi="宋体" w:eastAsia="宋体" w:cs="宋体"/>
                <w:b/>
                <w:bCs/>
                <w:color w:val="000000" w:themeColor="text1"/>
                <w:sz w:val="21"/>
                <w:szCs w:val="21"/>
                <w14:textFill>
                  <w14:solidFill>
                    <w14:schemeClr w14:val="tx1"/>
                  </w14:solidFill>
                </w14:textFill>
              </w:rPr>
              <w:t>≥</w:t>
            </w:r>
            <w:r>
              <w:rPr>
                <w:rFonts w:hint="eastAsia" w:ascii="宋体" w:hAnsi="宋体" w:eastAsia="宋体" w:cs="宋体"/>
                <w:sz w:val="21"/>
                <w:szCs w:val="21"/>
              </w:rPr>
              <w:t>Φ16mm，壁厚</w:t>
            </w:r>
            <w:r>
              <w:rPr>
                <w:rFonts w:hint="eastAsia" w:ascii="宋体" w:hAnsi="宋体" w:eastAsia="宋体" w:cs="宋体"/>
                <w:b/>
                <w:bCs/>
                <w:color w:val="000000" w:themeColor="text1"/>
                <w:sz w:val="21"/>
                <w:szCs w:val="21"/>
                <w14:textFill>
                  <w14:solidFill>
                    <w14:schemeClr w14:val="tx1"/>
                  </w14:solidFill>
                </w14:textFill>
              </w:rPr>
              <w:t>≥</w:t>
            </w:r>
            <w:r>
              <w:rPr>
                <w:rFonts w:hint="eastAsia" w:ascii="宋体" w:hAnsi="宋体" w:eastAsia="宋体" w:cs="宋体"/>
                <w:sz w:val="21"/>
                <w:szCs w:val="21"/>
              </w:rPr>
              <w:t>1.0mm，顶部加装Φ40mm的铁圈，方便支撑、悬挂蚊帐，安装牢固，使用方便。蚊帐杆及连接件无锐角、毛刺、刃口等安全隐患。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▲八、环保及有害物质要求</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1.板材环保要求：床体涉及的护栏板、挡板、配套板件等板材应采用 E0级环保多层实木板，甲醛释放量应符合GB 18580-20</w:t>
            </w:r>
            <w:r>
              <w:rPr>
                <w:rFonts w:hint="eastAsia" w:ascii="宋体" w:hAnsi="宋体" w:eastAsia="宋体" w:cs="宋体"/>
                <w:sz w:val="21"/>
                <w:szCs w:val="21"/>
                <w:lang w:val="en-US" w:eastAsia="zh-CN"/>
              </w:rPr>
              <w:t>25</w:t>
            </w:r>
            <w:r>
              <w:rPr>
                <w:rFonts w:hint="eastAsia" w:ascii="宋体" w:hAnsi="宋体" w:eastAsia="宋体" w:cs="宋体"/>
                <w:sz w:val="21"/>
                <w:szCs w:val="21"/>
              </w:rPr>
              <w:t>《室内装饰装修材料 人造板及其制品中甲醛释放限量》</w:t>
            </w:r>
            <w:r>
              <w:rPr>
                <w:rFonts w:hint="eastAsia" w:ascii="宋体" w:hAnsi="宋体" w:eastAsia="宋体" w:cs="宋体"/>
                <w:sz w:val="21"/>
                <w:szCs w:val="21"/>
                <w:lang w:val="en-US" w:eastAsia="zh-CN"/>
              </w:rPr>
              <w:t>要求</w:t>
            </w:r>
            <w:r>
              <w:rPr>
                <w:rFonts w:hint="eastAsia" w:ascii="宋体" w:hAnsi="宋体" w:eastAsia="宋体" w:cs="宋体"/>
                <w:sz w:val="21"/>
                <w:szCs w:val="21"/>
              </w:rPr>
              <w:t>。板材表面平整、结构稳定，正常使用条件下无异味、开裂、鼓泡、分层、翘曲、霉变等缺陷；外露边角进行圆角或封边处理，无锐边、锐角、毛刺、刃口等安全隐患。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2.家具成品环保要求:家具成品中甲醛、苯、甲苯、二甲苯、TVOC及其他有害物质限量应符合GB18584-2024《家具中有害物质限量》</w:t>
            </w:r>
            <w:r>
              <w:rPr>
                <w:rFonts w:hint="eastAsia" w:ascii="宋体" w:hAnsi="宋体" w:eastAsia="宋体" w:cs="宋体"/>
                <w:sz w:val="21"/>
                <w:szCs w:val="21"/>
                <w:lang w:val="en-US" w:eastAsia="zh-CN"/>
              </w:rPr>
              <w:t>要求</w:t>
            </w:r>
            <w:r>
              <w:rPr>
                <w:rFonts w:hint="eastAsia" w:ascii="宋体" w:hAnsi="宋体" w:eastAsia="宋体" w:cs="宋体"/>
                <w:sz w:val="21"/>
                <w:szCs w:val="21"/>
              </w:rPr>
              <w:t>。</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九、供货、安装及验收要求</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1．床架样式、颜色及标识内容由采购人确认后供货。</w:t>
            </w:r>
          </w:p>
          <w:p>
            <w:pPr>
              <w:pStyle w:val="45"/>
              <w:spacing w:line="240" w:lineRule="auto"/>
              <w:rPr>
                <w:rFonts w:hint="eastAsia" w:ascii="宋体" w:hAnsi="宋体" w:eastAsia="宋体" w:cs="宋体"/>
                <w:sz w:val="21"/>
                <w:szCs w:val="21"/>
              </w:rPr>
            </w:pPr>
            <w:r>
              <w:rPr>
                <w:rFonts w:hint="eastAsia" w:ascii="宋体" w:hAnsi="宋体" w:eastAsia="宋体" w:cs="宋体"/>
                <w:sz w:val="21"/>
                <w:szCs w:val="21"/>
              </w:rPr>
              <w:t>2.安装、样板确认、检测与验收要求：按本项目“安装、检测与验收要求”统一执行。</w:t>
            </w:r>
          </w:p>
          <w:p>
            <w:pPr>
              <w:pStyle w:val="45"/>
              <w:spacing w:line="240" w:lineRule="auto"/>
              <w:rPr>
                <w:rFonts w:hint="default" w:ascii="宋体" w:hAnsi="宋体" w:eastAsia="宋体" w:cs="宋体"/>
                <w:sz w:val="21"/>
                <w:szCs w:val="21"/>
                <w:lang w:val="en-US" w:eastAsia="zh-CN"/>
              </w:rPr>
            </w:pPr>
            <w:r>
              <w:rPr>
                <w:rFonts w:hint="eastAsia" w:ascii="宋体" w:hAnsi="宋体" w:cs="宋体"/>
                <w:sz w:val="21"/>
                <w:szCs w:val="21"/>
                <w:lang w:val="en-US" w:eastAsia="zh-CN"/>
              </w:rPr>
              <w:t>参考图：（仅作参考）</w:t>
            </w:r>
          </w:p>
          <w:p>
            <w:pPr>
              <w:pStyle w:val="45"/>
              <w:spacing w:line="240" w:lineRule="auto"/>
              <w:rPr>
                <w:rFonts w:hint="eastAsia" w:ascii="宋体" w:hAnsi="宋体" w:eastAsia="宋体" w:cs="宋体"/>
                <w:sz w:val="21"/>
                <w:szCs w:val="21"/>
              </w:rPr>
            </w:pPr>
            <w:r>
              <w:rPr>
                <w:rFonts w:hint="eastAsia" w:ascii="宋体" w:hAnsi="宋体" w:eastAsia="宋体" w:cs="宋体"/>
                <w:sz w:val="21"/>
                <w:szCs w:val="21"/>
              </w:rPr>
              <w:drawing>
                <wp:inline distT="0" distB="0" distL="0" distR="0">
                  <wp:extent cx="3374390" cy="2309495"/>
                  <wp:effectExtent l="0" t="0" r="3810" b="1905"/>
                  <wp:docPr id="9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374390" cy="2309495"/>
                          </a:xfrm>
                          <a:prstGeom prst="rect">
                            <a:avLst/>
                          </a:prstGeom>
                          <a:noFill/>
                          <a:ln>
                            <a:noFill/>
                          </a:ln>
                        </pic:spPr>
                      </pic:pic>
                    </a:graphicData>
                  </a:graphic>
                </wp:inline>
              </w:drawing>
            </w:r>
          </w:p>
          <w:p>
            <w:pPr>
              <w:pStyle w:val="45"/>
              <w:spacing w:line="240" w:lineRule="auto"/>
              <w:rPr>
                <w:rFonts w:hint="eastAsia" w:ascii="宋体" w:hAnsi="宋体" w:eastAsia="宋体" w:cs="宋体"/>
                <w:sz w:val="21"/>
                <w:szCs w:val="21"/>
                <w:lang w:val="en"/>
              </w:rPr>
            </w:pPr>
            <w:r>
              <w:rPr>
                <w:rFonts w:hint="eastAsia" w:ascii="宋体" w:hAnsi="宋体" w:cs="宋体"/>
                <w:sz w:val="21"/>
                <w:szCs w:val="21"/>
                <w:highlight w:val="none"/>
                <w:lang w:eastAsia="zh-CN"/>
              </w:rPr>
              <w:t>十、安装位置：</w:t>
            </w:r>
            <w:r>
              <w:rPr>
                <w:rFonts w:hint="eastAsia" w:ascii="宋体" w:hAnsi="宋体" w:eastAsia="宋体" w:cs="宋体"/>
                <w:sz w:val="21"/>
                <w:szCs w:val="21"/>
                <w:highlight w:val="none"/>
              </w:rPr>
              <w:t>（A7、A8</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A9</w:t>
            </w:r>
            <w:r>
              <w:rPr>
                <w:rFonts w:hint="eastAsia" w:ascii="宋体" w:hAnsi="宋体" w:cs="宋体"/>
                <w:sz w:val="21"/>
                <w:szCs w:val="21"/>
                <w:highlight w:val="none"/>
                <w:lang w:val="en-US" w:eastAsia="zh-CN"/>
              </w:rPr>
              <w:t>栋1</w:t>
            </w:r>
            <w:r>
              <w:rPr>
                <w:rFonts w:hint="eastAsia" w:ascii="宋体" w:hAnsi="宋体" w:eastAsia="宋体" w:cs="宋体"/>
                <w:sz w:val="21"/>
                <w:szCs w:val="21"/>
                <w:highlight w:val="none"/>
              </w:rPr>
              <w:t>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5</w:t>
            </w:r>
          </w:p>
        </w:tc>
        <w:tc>
          <w:tcPr>
            <w:tcW w:w="8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sz w:val="21"/>
                <w:szCs w:val="21"/>
              </w:rPr>
              <w:t>两人学习书桌</w:t>
            </w:r>
          </w:p>
        </w:tc>
        <w:tc>
          <w:tcPr>
            <w:tcW w:w="6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128</w:t>
            </w:r>
          </w:p>
        </w:tc>
        <w:tc>
          <w:tcPr>
            <w:tcW w:w="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张</w:t>
            </w:r>
          </w:p>
        </w:tc>
        <w:tc>
          <w:tcPr>
            <w:tcW w:w="80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定制</w:t>
            </w:r>
          </w:p>
        </w:tc>
        <w:tc>
          <w:tcPr>
            <w:tcW w:w="6238" w:type="dxa"/>
            <w:tcBorders>
              <w:top w:val="single" w:color="auto" w:sz="4" w:space="0"/>
              <w:left w:val="single" w:color="auto" w:sz="4" w:space="0"/>
              <w:bottom w:val="single" w:color="auto" w:sz="4" w:space="0"/>
              <w:right w:val="single" w:color="auto" w:sz="4" w:space="0"/>
            </w:tcBorders>
            <w:vAlign w:val="top"/>
          </w:tcPr>
          <w:p>
            <w:pPr>
              <w:keepNext/>
              <w:adjustRightInd w:val="0"/>
              <w:snapToGrid w:val="0"/>
              <w:spacing w:line="240" w:lineRule="auto"/>
              <w:rPr>
                <w:rFonts w:hint="eastAsia"/>
              </w:rPr>
            </w:pPr>
            <w:r>
              <w:rPr>
                <w:rFonts w:hint="eastAsia"/>
              </w:rPr>
              <w:t>▲一、规格及总体要求</w:t>
            </w:r>
          </w:p>
          <w:p>
            <w:pPr>
              <w:keepNext/>
              <w:adjustRightInd w:val="0"/>
              <w:snapToGrid w:val="0"/>
              <w:spacing w:line="240" w:lineRule="auto"/>
              <w:rPr>
                <w:rFonts w:hint="eastAsia"/>
              </w:rPr>
            </w:pPr>
            <w:r>
              <w:rPr>
                <w:rFonts w:hint="eastAsia"/>
              </w:rPr>
              <w:t>1.规格尺寸：两人学习书桌规格尺寸约为W1140mm×D600mm×H1</w:t>
            </w:r>
            <w:r>
              <w:rPr>
                <w:rFonts w:hint="eastAsia"/>
                <w:lang w:val="en-US" w:eastAsia="zh-CN"/>
              </w:rPr>
              <w:t>6</w:t>
            </w:r>
            <w:r>
              <w:rPr>
                <w:rFonts w:hint="eastAsia"/>
              </w:rPr>
              <w:t>00mm（宽×深×高），具体尺寸以宿舍现场复核及采购人确认的深化设计为准。书桌应满足两名学生同时学习、书写、放置电脑及日常学习用品的使用需要；如因宿舍空间、床体布局、墙体、插座、空调管线等现场条件需要调整尺寸的，最终尺寸可根据现场实际适当调整，但不得影响学生正常使用、宿舍通行和家具整体稳定性。</w:t>
            </w:r>
          </w:p>
          <w:p>
            <w:pPr>
              <w:keepNext/>
              <w:adjustRightInd w:val="0"/>
              <w:snapToGrid w:val="0"/>
              <w:spacing w:line="240" w:lineRule="auto"/>
              <w:rPr>
                <w:rFonts w:hint="eastAsia"/>
                <w:b/>
                <w:bCs/>
                <w:color w:val="auto"/>
              </w:rPr>
            </w:pPr>
            <w:r>
              <w:rPr>
                <w:rFonts w:hint="eastAsia"/>
              </w:rPr>
              <w:t>2.整体技术标准要求：学习书桌整体外观质量、结构安全、理化性能、力学性能、有害物质限量、安装要求等技术指标应符合GB/T 3324-2024《木家具通用技术条件》、QB/T 2741-2013《学生公寓多功能家具》、GB 28008-2024《家具结构安全技术规范》</w:t>
            </w:r>
            <w:r>
              <w:rPr>
                <w:rFonts w:hint="eastAsia"/>
                <w:lang w:val="en-US" w:eastAsia="zh-CN"/>
              </w:rPr>
              <w:t>要求</w:t>
            </w:r>
            <w:r>
              <w:rPr>
                <w:rFonts w:hint="eastAsia"/>
              </w:rPr>
              <w:t>。</w:t>
            </w:r>
            <w:r>
              <w:rPr>
                <w:rFonts w:hint="eastAsia"/>
                <w:b/>
                <w:bCs/>
                <w:color w:val="auto"/>
              </w:rPr>
              <w:t>供货时，须提供上述检测标准的检测报告原件。</w:t>
            </w:r>
          </w:p>
          <w:p>
            <w:pPr>
              <w:keepNext/>
              <w:adjustRightInd w:val="0"/>
              <w:snapToGrid w:val="0"/>
              <w:spacing w:line="240" w:lineRule="auto"/>
              <w:rPr>
                <w:rFonts w:hint="eastAsia"/>
              </w:rPr>
            </w:pPr>
            <w:r>
              <w:rPr>
                <w:rFonts w:hint="eastAsia"/>
              </w:rPr>
              <w:t>▲二、板材及环保要求</w:t>
            </w:r>
          </w:p>
          <w:p>
            <w:pPr>
              <w:keepNext/>
              <w:adjustRightInd w:val="0"/>
              <w:snapToGrid w:val="0"/>
              <w:spacing w:line="240" w:lineRule="auto"/>
              <w:rPr>
                <w:rFonts w:hint="eastAsia"/>
                <w:lang w:eastAsia="zh-CN"/>
              </w:rPr>
            </w:pPr>
            <w:r>
              <w:rPr>
                <w:rFonts w:hint="eastAsia"/>
              </w:rPr>
              <w:t>1.板材要求：书桌桌面、侧板、背板、书架底板、书架层板等主要板式部件应采用E0级环保多层实木板。桌面、书架底板板材厚度≥25mm，其余主要板件厚度≥15mm，背板厚度≥9mm。板材应结构稳定、表面平整，具有良好的防潮、防霉和尺寸稳定性能，不得</w:t>
            </w:r>
            <w:r>
              <w:rPr>
                <w:rFonts w:hint="eastAsia"/>
                <w:lang w:val="en-US" w:eastAsia="zh-CN"/>
              </w:rPr>
              <w:t>出现</w:t>
            </w:r>
            <w:r>
              <w:rPr>
                <w:rFonts w:hint="eastAsia"/>
              </w:rPr>
              <w:t>开裂、鼓泡、分层、翘曲、变形等问题。</w:t>
            </w:r>
          </w:p>
          <w:p>
            <w:pPr>
              <w:keepNext/>
              <w:adjustRightInd w:val="0"/>
              <w:snapToGrid w:val="0"/>
              <w:spacing w:line="240" w:lineRule="auto"/>
              <w:rPr>
                <w:rFonts w:hint="eastAsia"/>
              </w:rPr>
            </w:pPr>
            <w:r>
              <w:rPr>
                <w:rFonts w:hint="eastAsia"/>
              </w:rPr>
              <w:t>2.板材环保及理化性能要求：板材甲醛释放量应符合GB 18580-20</w:t>
            </w:r>
            <w:r>
              <w:rPr>
                <w:rFonts w:hint="eastAsia"/>
                <w:lang w:val="en-US" w:eastAsia="zh-CN"/>
              </w:rPr>
              <w:t>25</w:t>
            </w:r>
            <w:r>
              <w:rPr>
                <w:rFonts w:hint="eastAsia"/>
              </w:rPr>
              <w:t>《室内装饰装修材料 人造板及其制品中甲醛释放限量》要求；多层实木板基材的含水率、胶合强度、静曲强度、弹性模量等理化性能检测应符合GB/T 17657-2022《人造板及饰面人造板理化性能试验方法》相关要求。</w:t>
            </w:r>
          </w:p>
          <w:p>
            <w:pPr>
              <w:keepNext/>
              <w:adjustRightInd w:val="0"/>
              <w:snapToGrid w:val="0"/>
              <w:spacing w:line="240" w:lineRule="auto"/>
              <w:rPr>
                <w:rFonts w:hint="eastAsia"/>
              </w:rPr>
            </w:pPr>
            <w:r>
              <w:rPr>
                <w:rFonts w:hint="eastAsia"/>
              </w:rPr>
              <w:t>3.家具成品环保要求：学习书桌成品中甲醛、苯、甲苯、二甲苯、TVOC及其他有害物质限量应符合GB 18584-2024《家具中有害物质限量》要求；检测与不合格处理按本项目“安装、检测与验收要求”统一执行。</w:t>
            </w:r>
          </w:p>
          <w:p>
            <w:pPr>
              <w:keepNext/>
              <w:adjustRightInd w:val="0"/>
              <w:snapToGrid w:val="0"/>
              <w:spacing w:line="240" w:lineRule="auto"/>
              <w:rPr>
                <w:rFonts w:hint="eastAsia"/>
              </w:rPr>
            </w:pPr>
            <w:r>
              <w:rPr>
                <w:rFonts w:hint="eastAsia"/>
              </w:rPr>
              <w:t>▲三、桌面及封边要求</w:t>
            </w:r>
          </w:p>
          <w:p>
            <w:pPr>
              <w:keepNext/>
              <w:adjustRightInd w:val="0"/>
              <w:snapToGrid w:val="0"/>
              <w:spacing w:line="240" w:lineRule="auto"/>
              <w:rPr>
                <w:rFonts w:hint="eastAsia"/>
              </w:rPr>
            </w:pPr>
            <w:r>
              <w:rPr>
                <w:rFonts w:hint="eastAsia"/>
              </w:rPr>
              <w:t>1.桌面要求：桌面应平整、牢固、耐磨、耐污、防潮，正常学习、书写和放置电脑等使用条件下无变形、开裂、塌陷、松动等问题。桌面前沿及学生可接触部位应进行圆角或防磕碰处理，无锐边、锐角、毛刺、刃口等安全隐患。</w:t>
            </w:r>
          </w:p>
          <w:p>
            <w:pPr>
              <w:keepNext/>
              <w:adjustRightInd w:val="0"/>
              <w:snapToGrid w:val="0"/>
              <w:spacing w:line="240" w:lineRule="auto"/>
              <w:rPr>
                <w:rFonts w:hint="eastAsia"/>
              </w:rPr>
            </w:pPr>
            <w:r>
              <w:rPr>
                <w:rFonts w:hint="eastAsia"/>
              </w:rPr>
              <w:t>2.桌面封边要求：桌面四周采用无接头一次性注塑成型封边工艺。封边应严密、平整、牢固，具有良好的防潮、耐磨、防开裂性能，无脱胶、鼓泡、翘边、透胶、锐角、毛刺等缺陷。封边条材料应符合QB/T 4463-2025《家具用封边条》的要求。</w:t>
            </w:r>
          </w:p>
          <w:p>
            <w:pPr>
              <w:keepNext/>
              <w:adjustRightInd w:val="0"/>
              <w:snapToGrid w:val="0"/>
              <w:spacing w:line="240" w:lineRule="auto"/>
              <w:rPr>
                <w:rFonts w:hint="eastAsia"/>
              </w:rPr>
            </w:pPr>
            <w:r>
              <w:rPr>
                <w:rFonts w:hint="eastAsia"/>
              </w:rPr>
              <w:t>3.挡水边及防掉落设计：桌面靠墙侧或边缘设置挡水边、挡物边或等效防掉落结构，防止学习用品、书本、水杯等滑落。相关结构与桌面连接牢固，不影响正常书写和清洁维护。</w:t>
            </w:r>
          </w:p>
          <w:p>
            <w:pPr>
              <w:keepNext/>
              <w:adjustRightInd w:val="0"/>
              <w:snapToGrid w:val="0"/>
              <w:spacing w:line="240" w:lineRule="auto"/>
              <w:rPr>
                <w:rFonts w:hint="eastAsia"/>
              </w:rPr>
            </w:pPr>
            <w:r>
              <w:rPr>
                <w:rFonts w:hint="eastAsia"/>
              </w:rPr>
              <w:t>▲四、结构及功能要求</w:t>
            </w:r>
          </w:p>
          <w:p>
            <w:pPr>
              <w:keepNext/>
              <w:adjustRightInd w:val="0"/>
              <w:snapToGrid w:val="0"/>
              <w:spacing w:line="240" w:lineRule="auto"/>
              <w:rPr>
                <w:rFonts w:hint="eastAsia"/>
              </w:rPr>
            </w:pPr>
            <w:r>
              <w:rPr>
                <w:rFonts w:hint="eastAsia"/>
              </w:rPr>
              <w:t>1.整体结构要求：书桌结构牢固、重心稳定，满足两名学生长期同时使用要求。桌体安装后应平稳，无晃动；各连接部位应紧密牢固，正常使用条件下无松动、开裂、脱落</w:t>
            </w:r>
            <w:r>
              <w:rPr>
                <w:rFonts w:hint="eastAsia"/>
                <w:lang w:eastAsia="zh-CN"/>
              </w:rPr>
              <w:t>、</w:t>
            </w:r>
            <w:r>
              <w:rPr>
                <w:rFonts w:hint="eastAsia"/>
              </w:rPr>
              <w:t>异响。固定零部件结合应牢固无松动，符合GB28008-2024《家具结构安全技术规范》。</w:t>
            </w:r>
          </w:p>
          <w:p>
            <w:pPr>
              <w:keepNext/>
              <w:adjustRightInd w:val="0"/>
              <w:snapToGrid w:val="0"/>
              <w:spacing w:line="240" w:lineRule="auto"/>
              <w:rPr>
                <w:rFonts w:hint="eastAsia"/>
              </w:rPr>
            </w:pPr>
            <w:r>
              <w:rPr>
                <w:rFonts w:hint="eastAsia"/>
              </w:rPr>
              <w:t>2.书架及储物功能：书桌配置上部书架、开放格、层板，桌面以上三层</w:t>
            </w:r>
            <w:r>
              <w:rPr>
                <w:rFonts w:hint="eastAsia"/>
                <w:lang w:eastAsia="zh-CN"/>
              </w:rPr>
              <w:t>，</w:t>
            </w:r>
            <w:r>
              <w:rPr>
                <w:rFonts w:hint="eastAsia"/>
              </w:rPr>
              <w:t>满足学生放置书籍、文具及日常学习用品的需要。书架层板安装牢固，承重能力满足正常使用要求，层板无下弯、松动或脱落。</w:t>
            </w:r>
          </w:p>
          <w:p>
            <w:pPr>
              <w:keepNext/>
              <w:adjustRightInd w:val="0"/>
              <w:snapToGrid w:val="0"/>
              <w:spacing w:line="240" w:lineRule="auto"/>
              <w:rPr>
                <w:rFonts w:hint="eastAsia"/>
              </w:rPr>
            </w:pPr>
            <w:r>
              <w:rPr>
                <w:rFonts w:hint="eastAsia"/>
              </w:rPr>
              <w:t>▲五、脚套要求</w:t>
            </w:r>
          </w:p>
          <w:p>
            <w:pPr>
              <w:keepNext/>
              <w:adjustRightInd w:val="0"/>
              <w:snapToGrid w:val="0"/>
              <w:spacing w:line="240" w:lineRule="auto"/>
              <w:rPr>
                <w:rFonts w:hint="eastAsia"/>
              </w:rPr>
            </w:pPr>
            <w:r>
              <w:rPr>
                <w:rFonts w:hint="eastAsia"/>
              </w:rPr>
              <w:t>1.脚套要求：书桌底部设置防潮、防滑、静音、保护地面的脚套，安装牢固，不易脱落。脚套采用ABS工程塑料制作，耐磨、耐压、无异味，正常使用条件下无开裂、变形或脱落。</w:t>
            </w:r>
          </w:p>
          <w:p>
            <w:pPr>
              <w:keepNext/>
              <w:adjustRightInd w:val="0"/>
              <w:snapToGrid w:val="0"/>
              <w:spacing w:line="240" w:lineRule="auto"/>
              <w:rPr>
                <w:rFonts w:hint="eastAsia"/>
              </w:rPr>
            </w:pPr>
            <w:r>
              <w:rPr>
                <w:rFonts w:hint="eastAsia"/>
              </w:rPr>
              <w:t>六、供货、安装及验收要求</w:t>
            </w:r>
          </w:p>
          <w:p>
            <w:pPr>
              <w:keepNext/>
              <w:adjustRightInd w:val="0"/>
              <w:snapToGrid w:val="0"/>
              <w:spacing w:line="240" w:lineRule="auto"/>
              <w:rPr>
                <w:rFonts w:hint="eastAsia"/>
              </w:rPr>
            </w:pPr>
            <w:r>
              <w:rPr>
                <w:rFonts w:hint="eastAsia"/>
              </w:rPr>
              <w:t>1．书桌样式、颜色及标识内容由采购人确认后供货。</w:t>
            </w:r>
          </w:p>
          <w:p>
            <w:pPr>
              <w:keepNext/>
              <w:adjustRightInd w:val="0"/>
              <w:snapToGrid w:val="0"/>
              <w:spacing w:line="240" w:lineRule="auto"/>
              <w:rPr>
                <w:rFonts w:hint="eastAsia" w:ascii="宋体" w:hAnsi="宋体" w:eastAsia="宋体" w:cs="宋体"/>
                <w:color w:val="auto"/>
                <w:sz w:val="21"/>
                <w:szCs w:val="21"/>
                <w:highlight w:val="none"/>
              </w:rPr>
            </w:pPr>
            <w:r>
              <w:rPr>
                <w:rFonts w:hint="eastAsia"/>
                <w:highlight w:val="none"/>
              </w:rPr>
              <w:t>2.安装、样板确认、检测与验收要求：按本项目“安装、检测与验收要求”统一执行。</w:t>
            </w:r>
          </w:p>
          <w:p>
            <w:pPr>
              <w:pStyle w:val="45"/>
              <w:spacing w:line="240" w:lineRule="auto"/>
              <w:rPr>
                <w:rFonts w:hint="eastAsia" w:ascii="宋体" w:hAnsi="宋体" w:eastAsia="宋体" w:cs="宋体"/>
                <w:color w:val="auto"/>
                <w:sz w:val="21"/>
                <w:szCs w:val="21"/>
                <w:highlight w:val="none"/>
                <w:lang w:val="en" w:eastAsia="zh-CN"/>
              </w:rPr>
            </w:pPr>
            <w:r>
              <w:rPr>
                <w:rFonts w:hint="eastAsia" w:ascii="宋体" w:hAnsi="宋体" w:cs="宋体"/>
                <w:color w:val="auto"/>
                <w:sz w:val="21"/>
                <w:szCs w:val="21"/>
                <w:highlight w:val="none"/>
                <w:lang w:eastAsia="zh-CN"/>
              </w:rPr>
              <w:t>七、安装位置：</w:t>
            </w:r>
            <w:r>
              <w:rPr>
                <w:rFonts w:hint="eastAsia" w:ascii="宋体" w:hAnsi="宋体" w:eastAsia="宋体" w:cs="宋体"/>
                <w:color w:val="auto"/>
                <w:sz w:val="21"/>
                <w:szCs w:val="21"/>
                <w:highlight w:val="none"/>
              </w:rPr>
              <w:t>A7、A8、A9栋1层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6</w:t>
            </w:r>
          </w:p>
        </w:tc>
        <w:tc>
          <w:tcPr>
            <w:tcW w:w="8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sz w:val="21"/>
                <w:szCs w:val="21"/>
              </w:rPr>
              <w:t>双人衣柜</w:t>
            </w:r>
          </w:p>
        </w:tc>
        <w:tc>
          <w:tcPr>
            <w:tcW w:w="6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128</w:t>
            </w:r>
          </w:p>
        </w:tc>
        <w:tc>
          <w:tcPr>
            <w:tcW w:w="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个</w:t>
            </w:r>
          </w:p>
        </w:tc>
        <w:tc>
          <w:tcPr>
            <w:tcW w:w="800" w:type="dxa"/>
            <w:tcBorders>
              <w:top w:val="single" w:color="auto" w:sz="4" w:space="0"/>
              <w:left w:val="single" w:color="auto" w:sz="4" w:space="0"/>
              <w:bottom w:val="single" w:color="auto" w:sz="4" w:space="0"/>
              <w:right w:val="single" w:color="auto" w:sz="4" w:space="0"/>
            </w:tcBorders>
            <w:vAlign w:val="center"/>
          </w:tcPr>
          <w:p>
            <w:pPr>
              <w:pStyle w:val="45"/>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定制</w:t>
            </w:r>
          </w:p>
        </w:tc>
        <w:tc>
          <w:tcPr>
            <w:tcW w:w="6238" w:type="dxa"/>
            <w:tcBorders>
              <w:top w:val="single" w:color="auto" w:sz="4" w:space="0"/>
              <w:left w:val="single" w:color="auto" w:sz="4" w:space="0"/>
              <w:bottom w:val="single" w:color="auto" w:sz="4" w:space="0"/>
              <w:right w:val="single" w:color="auto" w:sz="4" w:space="0"/>
            </w:tcBorders>
            <w:vAlign w:val="top"/>
          </w:tcPr>
          <w:p>
            <w:pPr>
              <w:keepNext/>
              <w:adjustRightInd w:val="0"/>
              <w:snapToGrid w:val="0"/>
              <w:spacing w:line="240" w:lineRule="auto"/>
              <w:rPr>
                <w:rFonts w:hint="eastAsia"/>
              </w:rPr>
            </w:pPr>
            <w:r>
              <w:rPr>
                <w:rFonts w:hint="eastAsia"/>
              </w:rPr>
              <w:t>▲一、规格及总体要求</w:t>
            </w:r>
          </w:p>
          <w:p>
            <w:pPr>
              <w:keepNext/>
              <w:adjustRightInd w:val="0"/>
              <w:snapToGrid w:val="0"/>
              <w:spacing w:line="240" w:lineRule="auto"/>
              <w:rPr>
                <w:rFonts w:hint="eastAsia"/>
              </w:rPr>
            </w:pPr>
            <w:r>
              <w:rPr>
                <w:rFonts w:hint="eastAsia"/>
              </w:rPr>
              <w:t>1.规格尺寸：双人衣柜规格尺寸约为W800mm×D600mm×H1</w:t>
            </w:r>
            <w:r>
              <w:rPr>
                <w:rFonts w:hint="eastAsia"/>
                <w:lang w:val="en-US" w:eastAsia="zh-CN"/>
              </w:rPr>
              <w:t>6</w:t>
            </w:r>
            <w:r>
              <w:rPr>
                <w:rFonts w:hint="eastAsia"/>
              </w:rPr>
              <w:t>00mm（宽×深×高），具体尺寸以宿舍现场复核及采购人确认的深化设计为准。衣柜应满足两名学生日常衣物、书包、被褥及个人物品分类收纳需要。如因宿舍空间、床体布局、墙体、插座、门窗等现场条件需要调整尺寸的，最终尺寸可根据现场实际适当调整，但不得影响宿舍通行、家具稳定性和学生正常使用。</w:t>
            </w:r>
          </w:p>
          <w:p>
            <w:pPr>
              <w:keepNext/>
              <w:adjustRightInd w:val="0"/>
              <w:snapToGrid w:val="0"/>
              <w:spacing w:line="240" w:lineRule="auto"/>
              <w:rPr>
                <w:rFonts w:hint="eastAsia"/>
                <w:b/>
                <w:bCs/>
                <w:color w:val="auto"/>
              </w:rPr>
            </w:pPr>
            <w:r>
              <w:rPr>
                <w:rFonts w:hint="eastAsia"/>
              </w:rPr>
              <w:t>2.整体技术标准要求：衣柜整体外观质量、结构安全、理化性能、力学性能、柜类强度和耐久性、安装要求等技术指标应符合GB/T 3324-2024《木家具通用技术条件》、GB 28008-2024《家具结构安全技术规范》、GB/T 10357.5-2023《家具力学性能试验第5部分：柜类强度和耐久性》要求。</w:t>
            </w:r>
            <w:r>
              <w:rPr>
                <w:rFonts w:hint="eastAsia"/>
                <w:b/>
                <w:bCs/>
                <w:color w:val="auto"/>
              </w:rPr>
              <w:t>供货时，须提供上述检测标准的检测报告原件。</w:t>
            </w:r>
          </w:p>
          <w:p>
            <w:pPr>
              <w:keepNext/>
              <w:adjustRightInd w:val="0"/>
              <w:snapToGrid w:val="0"/>
              <w:spacing w:line="240" w:lineRule="auto"/>
              <w:rPr>
                <w:rFonts w:hint="eastAsia"/>
              </w:rPr>
            </w:pPr>
            <w:r>
              <w:rPr>
                <w:rFonts w:hint="eastAsia"/>
              </w:rPr>
              <w:t>▲二、板材及环保要求</w:t>
            </w:r>
          </w:p>
          <w:p>
            <w:pPr>
              <w:keepNext/>
              <w:adjustRightInd w:val="0"/>
              <w:snapToGrid w:val="0"/>
              <w:spacing w:line="240" w:lineRule="auto"/>
              <w:rPr>
                <w:rFonts w:hint="eastAsia"/>
              </w:rPr>
            </w:pPr>
            <w:r>
              <w:rPr>
                <w:rFonts w:hint="eastAsia"/>
              </w:rPr>
              <w:t>1.板材要求：衣柜门板、底板、侧板、顶板、层板、背板等主要板式部件应采用E0级环保多层实木板。背板厚度≥9mm，其余主要板件厚度≥15mm。板材应结构稳定、表面平整，具有良好的防潮、防霉、尺寸稳定性和握钉性能，不得出现开裂、鼓泡、分层、翘曲、变形等影响正常使用的缺陷。</w:t>
            </w:r>
          </w:p>
          <w:p>
            <w:pPr>
              <w:keepNext/>
              <w:adjustRightInd w:val="0"/>
              <w:snapToGrid w:val="0"/>
              <w:spacing w:line="240" w:lineRule="auto"/>
              <w:rPr>
                <w:rFonts w:hint="eastAsia"/>
              </w:rPr>
            </w:pPr>
            <w:r>
              <w:rPr>
                <w:rFonts w:hint="eastAsia"/>
              </w:rPr>
              <w:t>2.板材环保及理化性能要求：多层实木板的甲醛释放限量应符合GB 18580-2025《室内装饰装修材料 人造板及其制品中甲醛释放限量》的要求；含水率、胶合强度、静曲强度、弹性模量等理化性能应符合GB/T 9846-2015《普通胶合板》的要求，并按GB/T 17657-2022《人造板及饰面人造板理化性能试验方法》进行检测。</w:t>
            </w:r>
          </w:p>
          <w:p>
            <w:pPr>
              <w:keepNext/>
              <w:adjustRightInd w:val="0"/>
              <w:snapToGrid w:val="0"/>
              <w:spacing w:line="240" w:lineRule="auto"/>
              <w:rPr>
                <w:rFonts w:hint="eastAsia"/>
              </w:rPr>
            </w:pPr>
            <w:r>
              <w:rPr>
                <w:rFonts w:hint="eastAsia"/>
              </w:rPr>
              <w:t>3.衣柜成品环保要求：衣柜成品中甲醛、苯、甲苯、二甲苯、TVOC及其他有害物质限量应符合 GB 18584-2024《家具中有害物质限量》；检测与不合格处理按本项目“安装、检测与验收要求”统一执行。</w:t>
            </w:r>
          </w:p>
          <w:p>
            <w:pPr>
              <w:keepNext/>
              <w:adjustRightInd w:val="0"/>
              <w:snapToGrid w:val="0"/>
              <w:spacing w:line="240" w:lineRule="auto"/>
              <w:rPr>
                <w:rFonts w:hint="eastAsia"/>
              </w:rPr>
            </w:pPr>
            <w:r>
              <w:rPr>
                <w:rFonts w:hint="eastAsia"/>
              </w:rPr>
              <w:t>三、柜体结构及功能要求</w:t>
            </w:r>
          </w:p>
          <w:p>
            <w:pPr>
              <w:keepNext/>
              <w:adjustRightInd w:val="0"/>
              <w:snapToGrid w:val="0"/>
              <w:spacing w:line="240" w:lineRule="auto"/>
              <w:rPr>
                <w:rFonts w:hint="eastAsia"/>
              </w:rPr>
            </w:pPr>
            <w:r>
              <w:rPr>
                <w:rFonts w:hint="eastAsia"/>
              </w:rPr>
              <w:t>1.柜体结构要求：衣柜采用双人分区结构，内部空间满足两名学生分别收纳衣物、书包及个人物品需要。柜体结构牢固稳定，安装后平整稳固，不得晃动、倾斜或变形。柜体各连接部位应紧密牢固，正常使用条件下无松动、开裂、脱落或产生异响。</w:t>
            </w:r>
          </w:p>
          <w:p>
            <w:pPr>
              <w:keepNext/>
              <w:adjustRightInd w:val="0"/>
              <w:snapToGrid w:val="0"/>
              <w:spacing w:line="240" w:lineRule="auto"/>
              <w:rPr>
                <w:rFonts w:hint="eastAsia"/>
              </w:rPr>
            </w:pPr>
            <w:r>
              <w:rPr>
                <w:rFonts w:hint="eastAsia"/>
              </w:rPr>
              <w:t>2.内部功能分区：衣柜内部设置挂衣区、储物区等功能空间，挂衣杆、层板应安装牢固，承重能力满足日常使用要求。层板正常使用条件下无下弯、松动或脱落。</w:t>
            </w:r>
          </w:p>
          <w:p>
            <w:pPr>
              <w:keepNext/>
              <w:adjustRightInd w:val="0"/>
              <w:snapToGrid w:val="0"/>
              <w:spacing w:line="240" w:lineRule="auto"/>
              <w:rPr>
                <w:rFonts w:hint="eastAsia"/>
              </w:rPr>
            </w:pPr>
            <w:r>
              <w:rPr>
                <w:rFonts w:hint="eastAsia"/>
              </w:rPr>
              <w:t>3.挂衣杆要求：挂衣杆应采用金属管材，安装牢固，表面光滑，无毛刺、锐边、锈蚀等缺陷。正常使用条件下无弯曲、松动或脱落。</w:t>
            </w:r>
          </w:p>
          <w:p>
            <w:pPr>
              <w:keepNext/>
              <w:adjustRightInd w:val="0"/>
              <w:snapToGrid w:val="0"/>
              <w:spacing w:line="240" w:lineRule="auto"/>
              <w:rPr>
                <w:rFonts w:hint="eastAsia"/>
              </w:rPr>
            </w:pPr>
            <w:r>
              <w:rPr>
                <w:rFonts w:hint="eastAsia"/>
              </w:rPr>
              <w:t>▲四、柜门、封边及五金要求</w:t>
            </w:r>
          </w:p>
          <w:p>
            <w:pPr>
              <w:keepNext/>
              <w:adjustRightInd w:val="0"/>
              <w:snapToGrid w:val="0"/>
              <w:spacing w:line="240" w:lineRule="auto"/>
              <w:rPr>
                <w:rFonts w:hint="eastAsia"/>
              </w:rPr>
            </w:pPr>
            <w:r>
              <w:rPr>
                <w:rFonts w:hint="eastAsia"/>
              </w:rPr>
              <w:t>1.柜门要求：柜门</w:t>
            </w:r>
            <w:r>
              <w:rPr>
                <w:rFonts w:hint="eastAsia"/>
                <w:lang w:val="en-US" w:eastAsia="zh-CN"/>
              </w:rPr>
              <w:t>设置四门，</w:t>
            </w:r>
            <w:r>
              <w:rPr>
                <w:rFonts w:hint="eastAsia"/>
              </w:rPr>
              <w:t>结构稳定、启闭顺畅，长期使用不易变形、松动或脱落。柜门外露边角圆滑处理，无锐边、锐角、毛刺、刃口等安全隐患。满足强度、防潮、耐磨、环保和长期使用要求。</w:t>
            </w:r>
          </w:p>
          <w:p>
            <w:pPr>
              <w:keepNext/>
              <w:adjustRightInd w:val="0"/>
              <w:snapToGrid w:val="0"/>
              <w:spacing w:line="240" w:lineRule="auto"/>
              <w:rPr>
                <w:rFonts w:hint="eastAsia"/>
              </w:rPr>
            </w:pPr>
            <w:r>
              <w:rPr>
                <w:rFonts w:hint="eastAsia"/>
              </w:rPr>
              <w:t>2.封边要求：衣柜板材外露边及非交接面应进行封边或涂饰处理，封边应严密、平整、牢固，具有良好的防潮、耐磨、防开裂性能，无脱胶、鼓泡、翘边、透胶、锐角、毛刺等缺陷。封边条材料应符合QB/T 4463-2025《家具用封边条》的要求。</w:t>
            </w:r>
          </w:p>
          <w:p>
            <w:pPr>
              <w:keepNext/>
              <w:adjustRightInd w:val="0"/>
              <w:snapToGrid w:val="0"/>
              <w:spacing w:line="240" w:lineRule="auto"/>
              <w:rPr>
                <w:rFonts w:hint="eastAsia"/>
              </w:rPr>
            </w:pPr>
            <w:r>
              <w:rPr>
                <w:rFonts w:hint="eastAsia"/>
              </w:rPr>
              <w:t>3.五金件要求：</w:t>
            </w:r>
            <w:r>
              <w:rPr>
                <w:rFonts w:hint="eastAsia"/>
                <w:lang w:val="en-US" w:eastAsia="zh-CN"/>
              </w:rPr>
              <w:t>采用不锈钢304材质，</w:t>
            </w:r>
            <w:r>
              <w:rPr>
                <w:rFonts w:hint="eastAsia"/>
              </w:rPr>
              <w:t>柜门拉手、铰链、锁扣、连接件安装牢固，启闭灵活，开合顺畅，长期使用无松动、脱落，采用耐磨、耐腐蚀材料制作，表面光滑，无毛刺、锐棱、锈蚀等缺陷</w:t>
            </w:r>
            <w:r>
              <w:rPr>
                <w:rFonts w:hint="eastAsia"/>
                <w:lang w:eastAsia="zh-CN"/>
              </w:rPr>
              <w:t>。铰链应符合QB/T 2189-2013《家具五金 杯状暗铰链》的要求；连接件应符合GB/T 28203-2011《家具用连接件技术要求及试验方法》的要求</w:t>
            </w:r>
            <w:r>
              <w:rPr>
                <w:rFonts w:hint="eastAsia"/>
              </w:rPr>
              <w:t>。</w:t>
            </w:r>
          </w:p>
          <w:p>
            <w:pPr>
              <w:keepNext/>
              <w:adjustRightInd w:val="0"/>
              <w:snapToGrid w:val="0"/>
              <w:spacing w:line="240" w:lineRule="auto"/>
              <w:rPr>
                <w:rFonts w:hint="eastAsia"/>
              </w:rPr>
            </w:pPr>
            <w:r>
              <w:rPr>
                <w:rFonts w:hint="eastAsia"/>
              </w:rPr>
              <w:t>五、供货、安装及验收要求</w:t>
            </w:r>
          </w:p>
          <w:p>
            <w:pPr>
              <w:keepNext/>
              <w:adjustRightInd w:val="0"/>
              <w:snapToGrid w:val="0"/>
              <w:spacing w:line="240" w:lineRule="auto"/>
              <w:rPr>
                <w:rFonts w:hint="eastAsia"/>
              </w:rPr>
            </w:pPr>
            <w:r>
              <w:rPr>
                <w:rFonts w:hint="eastAsia"/>
              </w:rPr>
              <w:t>1.衣柜样式、颜色及标识内容由采购人确认后供货。</w:t>
            </w:r>
          </w:p>
          <w:p>
            <w:pPr>
              <w:keepNext/>
              <w:adjustRightInd w:val="0"/>
              <w:snapToGrid w:val="0"/>
              <w:spacing w:line="240" w:lineRule="auto"/>
              <w:rPr>
                <w:rFonts w:hint="eastAsia" w:ascii="宋体" w:hAnsi="宋体" w:eastAsia="宋体" w:cs="宋体"/>
                <w:color w:val="auto"/>
                <w:sz w:val="21"/>
                <w:szCs w:val="21"/>
                <w:highlight w:val="none"/>
              </w:rPr>
            </w:pPr>
            <w:r>
              <w:rPr>
                <w:rFonts w:hint="eastAsia"/>
                <w:highlight w:val="none"/>
              </w:rPr>
              <w:t>2.安装、样板确认、检测与验收要求：按本项目“安装、检测与验</w:t>
            </w:r>
            <w:r>
              <w:rPr>
                <w:rFonts w:hint="eastAsia"/>
              </w:rPr>
              <w:t>收要求”统一执行。</w:t>
            </w:r>
          </w:p>
          <w:p>
            <w:pPr>
              <w:pStyle w:val="45"/>
              <w:spacing w:line="240" w:lineRule="auto"/>
              <w:rPr>
                <w:rFonts w:hint="eastAsia" w:ascii="宋体" w:hAnsi="宋体" w:eastAsia="宋体" w:cs="宋体"/>
                <w:color w:val="auto"/>
                <w:sz w:val="21"/>
                <w:szCs w:val="21"/>
                <w:highlight w:val="none"/>
                <w:lang w:val="en"/>
              </w:rPr>
            </w:pPr>
            <w:r>
              <w:rPr>
                <w:rFonts w:hint="eastAsia" w:ascii="宋体" w:hAnsi="宋体" w:cs="宋体"/>
                <w:color w:val="auto"/>
                <w:sz w:val="21"/>
                <w:szCs w:val="21"/>
                <w:highlight w:val="none"/>
                <w:lang w:eastAsia="zh-CN"/>
              </w:rPr>
              <w:t>六、安装位置：</w:t>
            </w:r>
            <w:r>
              <w:rPr>
                <w:rFonts w:hint="eastAsia" w:ascii="宋体" w:hAnsi="宋体" w:eastAsia="宋体" w:cs="宋体"/>
                <w:color w:val="auto"/>
                <w:sz w:val="21"/>
                <w:szCs w:val="21"/>
                <w:highlight w:val="none"/>
              </w:rPr>
              <w:t>A7、A8、A9栋1层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7</w:t>
            </w:r>
          </w:p>
        </w:tc>
        <w:tc>
          <w:tcPr>
            <w:tcW w:w="8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sz w:val="21"/>
                <w:szCs w:val="21"/>
                <w:lang w:val="en-US" w:eastAsia="zh-CN"/>
              </w:rPr>
              <w:t>公寓</w:t>
            </w:r>
            <w:r>
              <w:rPr>
                <w:rFonts w:hint="eastAsia" w:ascii="宋体" w:hAnsi="宋体" w:eastAsia="宋体" w:cs="宋体"/>
                <w:sz w:val="21"/>
                <w:szCs w:val="21"/>
              </w:rPr>
              <w:t>椅</w:t>
            </w:r>
          </w:p>
        </w:tc>
        <w:tc>
          <w:tcPr>
            <w:tcW w:w="6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2528</w:t>
            </w:r>
          </w:p>
        </w:tc>
        <w:tc>
          <w:tcPr>
            <w:tcW w:w="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把</w:t>
            </w:r>
          </w:p>
        </w:tc>
        <w:tc>
          <w:tcPr>
            <w:tcW w:w="800" w:type="dxa"/>
            <w:tcBorders>
              <w:top w:val="single" w:color="auto" w:sz="4" w:space="0"/>
              <w:left w:val="single" w:color="auto" w:sz="4" w:space="0"/>
              <w:bottom w:val="single" w:color="auto" w:sz="4" w:space="0"/>
              <w:right w:val="single" w:color="auto" w:sz="4" w:space="0"/>
            </w:tcBorders>
            <w:vAlign w:val="center"/>
          </w:tcPr>
          <w:p>
            <w:pPr>
              <w:pStyle w:val="45"/>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定制</w:t>
            </w:r>
          </w:p>
        </w:tc>
        <w:tc>
          <w:tcPr>
            <w:tcW w:w="6238" w:type="dxa"/>
            <w:tcBorders>
              <w:top w:val="single" w:color="auto" w:sz="4" w:space="0"/>
              <w:left w:val="single" w:color="auto" w:sz="4" w:space="0"/>
              <w:bottom w:val="single" w:color="auto" w:sz="4" w:space="0"/>
              <w:right w:val="single" w:color="auto" w:sz="4" w:space="0"/>
            </w:tcBorders>
            <w:vAlign w:val="top"/>
          </w:tcPr>
          <w:p>
            <w:pPr>
              <w:pStyle w:val="21"/>
              <w:rPr>
                <w:rFonts w:hint="eastAsia" w:ascii="宋体" w:hAnsi="宋体" w:eastAsia="宋体" w:cs="宋体"/>
                <w:sz w:val="21"/>
                <w:szCs w:val="21"/>
              </w:rPr>
            </w:pPr>
            <w:r>
              <w:rPr>
                <w:rFonts w:hint="eastAsia" w:ascii="宋体" w:hAnsi="宋体" w:eastAsia="宋体" w:cs="宋体"/>
                <w:color w:val="auto"/>
                <w:sz w:val="21"/>
                <w:szCs w:val="21"/>
              </w:rPr>
              <w:t>▲</w:t>
            </w:r>
            <w:r>
              <w:rPr>
                <w:rFonts w:hint="eastAsia" w:ascii="宋体" w:hAnsi="宋体" w:eastAsia="宋体" w:cs="宋体"/>
                <w:sz w:val="21"/>
                <w:szCs w:val="21"/>
              </w:rPr>
              <w:t>一、规格及总体要求</w:t>
            </w:r>
          </w:p>
          <w:p>
            <w:pPr>
              <w:pStyle w:val="21"/>
              <w:rPr>
                <w:rFonts w:hint="eastAsia" w:ascii="宋体" w:hAnsi="宋体" w:eastAsia="宋体" w:cs="宋体"/>
                <w:color w:val="auto"/>
                <w:sz w:val="21"/>
                <w:szCs w:val="21"/>
              </w:rPr>
            </w:pPr>
            <w:r>
              <w:rPr>
                <w:rFonts w:hint="eastAsia" w:ascii="宋体" w:hAnsi="宋体" w:eastAsia="宋体" w:cs="宋体"/>
                <w:color w:val="auto"/>
                <w:sz w:val="21"/>
                <w:szCs w:val="21"/>
              </w:rPr>
              <w:t>1.规格尺寸：学习椅规格约430mm×420mm×850mm，具体尺寸、颜色及样式以采购人确认的样品或深化设计为准。</w:t>
            </w:r>
          </w:p>
          <w:p>
            <w:pPr>
              <w:pStyle w:val="21"/>
              <w:rPr>
                <w:rFonts w:hint="eastAsia" w:ascii="宋体" w:hAnsi="宋体" w:eastAsia="宋体" w:cs="宋体"/>
                <w:color w:val="auto"/>
                <w:sz w:val="21"/>
                <w:szCs w:val="21"/>
              </w:rPr>
            </w:pPr>
            <w:r>
              <w:rPr>
                <w:rFonts w:hint="eastAsia" w:ascii="宋体" w:hAnsi="宋体" w:eastAsia="宋体" w:cs="宋体"/>
                <w:color w:val="auto"/>
                <w:sz w:val="21"/>
                <w:szCs w:val="21"/>
              </w:rPr>
              <w:t>2.整体技术标准要求：学习椅整体外观质量、结构安全、尺寸要求、力学性能、安装要求等技术指标应符合GB/T 3325-2024《金属家具通用技术条件》、GB/T 3326-2016《家具 桌、椅、凳类主要尺寸》、GB 28008-2024《家具结构安全技术规范》要求。</w:t>
            </w:r>
          </w:p>
          <w:p>
            <w:pPr>
              <w:pStyle w:val="21"/>
              <w:rPr>
                <w:rFonts w:hint="eastAsia" w:ascii="宋体" w:hAnsi="宋体" w:eastAsia="宋体" w:cs="宋体"/>
                <w:color w:val="auto"/>
                <w:sz w:val="21"/>
                <w:szCs w:val="21"/>
              </w:rPr>
            </w:pPr>
            <w:r>
              <w:rPr>
                <w:rFonts w:hint="eastAsia" w:ascii="宋体" w:hAnsi="宋体" w:eastAsia="宋体" w:cs="宋体"/>
                <w:color w:val="auto"/>
                <w:sz w:val="21"/>
                <w:szCs w:val="21"/>
              </w:rPr>
              <w:t>▲二、椅架及金属件要求</w:t>
            </w:r>
          </w:p>
          <w:p>
            <w:pPr>
              <w:pStyle w:val="21"/>
              <w:rPr>
                <w:rFonts w:hint="eastAsia" w:ascii="宋体" w:hAnsi="宋体" w:eastAsia="宋体" w:cs="宋体"/>
                <w:sz w:val="21"/>
                <w:szCs w:val="21"/>
              </w:rPr>
            </w:pPr>
            <w:r>
              <w:rPr>
                <w:rFonts w:hint="eastAsia" w:ascii="宋体" w:hAnsi="宋体" w:eastAsia="宋体" w:cs="宋体"/>
                <w:color w:val="auto"/>
                <w:sz w:val="21"/>
                <w:szCs w:val="21"/>
              </w:rPr>
              <w:t>1.椅架材质及规格要求：椅架采用优质钢材制作，主要受力部位</w:t>
            </w:r>
            <w:r>
              <w:rPr>
                <w:rFonts w:hint="eastAsia" w:ascii="宋体" w:hAnsi="宋体" w:eastAsia="宋体" w:cs="宋体"/>
                <w:sz w:val="21"/>
                <w:szCs w:val="21"/>
              </w:rPr>
              <w:t>钢管壁厚≥1.2mm。椅架结构应牢固稳定，满足学生长期高频使用要求，正常使用条件下不得出现晃动、变形、断裂、开焊、松动或异响。</w:t>
            </w:r>
          </w:p>
          <w:p>
            <w:pPr>
              <w:pStyle w:val="21"/>
              <w:rPr>
                <w:rFonts w:hint="eastAsia" w:ascii="宋体" w:hAnsi="宋体" w:eastAsia="宋体" w:cs="宋体"/>
                <w:sz w:val="21"/>
                <w:szCs w:val="21"/>
              </w:rPr>
            </w:pPr>
            <w:r>
              <w:rPr>
                <w:rFonts w:hint="eastAsia" w:ascii="宋体" w:hAnsi="宋体" w:eastAsia="宋体" w:cs="宋体"/>
                <w:sz w:val="21"/>
                <w:szCs w:val="21"/>
              </w:rPr>
              <w:t>2.金属表面处理要求：金属件表面应进行防锈处理后采用静电喷塑工艺处理，喷涂层应均匀牢固，色泽一致，不得出现漏喷、起泡、剥落、锈蚀、流挂、皱皮、划伤等缺陷。</w:t>
            </w:r>
          </w:p>
          <w:p>
            <w:pPr>
              <w:pStyle w:val="21"/>
              <w:rPr>
                <w:rFonts w:hint="eastAsia" w:ascii="宋体" w:hAnsi="宋体" w:eastAsia="宋体" w:cs="宋体"/>
                <w:sz w:val="21"/>
                <w:szCs w:val="21"/>
              </w:rPr>
            </w:pPr>
            <w:r>
              <w:rPr>
                <w:rFonts w:hint="eastAsia" w:ascii="宋体" w:hAnsi="宋体" w:eastAsia="宋体" w:cs="宋体"/>
                <w:sz w:val="21"/>
                <w:szCs w:val="21"/>
              </w:rPr>
              <w:t>3.焊接及连接要求：椅架焊接部位应牢固平整，不得出现虚焊、漏焊、脱焊、裂纹、锐利焊渣等缺陷；椅面、椅背与椅架连接应牢固可靠，正常使用条件下不得松动、脱落。</w:t>
            </w:r>
          </w:p>
          <w:p>
            <w:pPr>
              <w:pStyle w:val="21"/>
              <w:rPr>
                <w:rFonts w:hint="eastAsia" w:ascii="宋体" w:hAnsi="宋体" w:eastAsia="宋体" w:cs="宋体"/>
                <w:sz w:val="21"/>
                <w:szCs w:val="21"/>
              </w:rPr>
            </w:pPr>
            <w:r>
              <w:rPr>
                <w:rFonts w:hint="eastAsia" w:ascii="宋体" w:hAnsi="宋体" w:eastAsia="宋体" w:cs="宋体"/>
                <w:sz w:val="21"/>
                <w:szCs w:val="21"/>
              </w:rPr>
              <w:t>▲三、椅面、椅背要求</w:t>
            </w:r>
          </w:p>
          <w:p>
            <w:pPr>
              <w:pStyle w:val="21"/>
              <w:rPr>
                <w:rFonts w:hint="eastAsia" w:ascii="宋体" w:hAnsi="宋体" w:eastAsia="宋体" w:cs="宋体"/>
                <w:sz w:val="21"/>
                <w:szCs w:val="21"/>
              </w:rPr>
            </w:pPr>
            <w:r>
              <w:rPr>
                <w:rFonts w:hint="eastAsia" w:ascii="宋体" w:hAnsi="宋体" w:eastAsia="宋体" w:cs="宋体"/>
                <w:sz w:val="21"/>
                <w:szCs w:val="21"/>
              </w:rPr>
              <w:t>1.椅面椅背材质要求：椅面、椅背应采用E0级环保多层实木板。材料应结构稳定、表面平整，具有良好的强度、耐磨性和抗冲击性能，正常使用条件下不得出现开裂、断裂、变形、脱落等问题。</w:t>
            </w:r>
          </w:p>
          <w:p>
            <w:pPr>
              <w:pStyle w:val="21"/>
              <w:rPr>
                <w:rFonts w:hint="eastAsia" w:ascii="宋体" w:hAnsi="宋体" w:eastAsia="宋体" w:cs="宋体"/>
                <w:color w:val="auto"/>
                <w:sz w:val="21"/>
                <w:szCs w:val="21"/>
              </w:rPr>
            </w:pPr>
            <w:r>
              <w:rPr>
                <w:rFonts w:hint="eastAsia" w:ascii="宋体" w:hAnsi="宋体" w:eastAsia="宋体" w:cs="宋体"/>
                <w:sz w:val="21"/>
                <w:szCs w:val="21"/>
              </w:rPr>
              <w:t>2</w:t>
            </w:r>
            <w:r>
              <w:rPr>
                <w:rFonts w:hint="eastAsia" w:ascii="宋体" w:hAnsi="宋体" w:eastAsia="宋体" w:cs="宋体"/>
                <w:color w:val="auto"/>
                <w:sz w:val="21"/>
                <w:szCs w:val="21"/>
              </w:rPr>
              <w:t>.椅面椅背结构要求：椅面、椅背应符合人体工学设计要求，满足学生日常学习使用需求。椅面、椅背边角及学生可接触部位应进行圆角、倒角或防磕碰处理，不得存在锐边、锐角、毛刺、刃口等安全隐患。</w:t>
            </w:r>
          </w:p>
          <w:p>
            <w:pP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3.封边要求：椅面、椅背板材外露边应进行封边处理，封边应平整牢固，不得出现脱胶、翘边、毛刺等缺陷。</w:t>
            </w:r>
          </w:p>
          <w:p>
            <w:pPr>
              <w:pStyle w:val="21"/>
              <w:rPr>
                <w:rFonts w:hint="eastAsia" w:ascii="宋体" w:hAnsi="宋体" w:eastAsia="宋体" w:cs="宋体"/>
                <w:color w:val="auto"/>
                <w:sz w:val="21"/>
                <w:szCs w:val="21"/>
              </w:rPr>
            </w:pPr>
            <w:r>
              <w:rPr>
                <w:rFonts w:hint="eastAsia" w:ascii="宋体" w:hAnsi="宋体" w:eastAsia="宋体" w:cs="宋体"/>
                <w:color w:val="auto"/>
                <w:sz w:val="21"/>
                <w:szCs w:val="21"/>
              </w:rPr>
              <w:t>▲四、防滑、防潮及底部保护要求</w:t>
            </w:r>
          </w:p>
          <w:p>
            <w:pPr>
              <w:pStyle w:val="21"/>
              <w:rPr>
                <w:rFonts w:hint="eastAsia" w:ascii="宋体" w:hAnsi="宋体" w:eastAsia="宋体" w:cs="宋体"/>
                <w:color w:val="auto"/>
                <w:sz w:val="21"/>
                <w:szCs w:val="21"/>
              </w:rPr>
            </w:pPr>
            <w:r>
              <w:rPr>
                <w:rFonts w:hint="eastAsia" w:ascii="宋体" w:hAnsi="宋体" w:eastAsia="宋体" w:cs="宋体"/>
                <w:color w:val="auto"/>
                <w:sz w:val="21"/>
                <w:szCs w:val="21"/>
              </w:rPr>
              <w:t>1.脚套及底部保护：学习椅底部应设置防滑、静音、保护地面的脚套，安装牢固，不易脱落。脚套应采用ABS工程塑料制作，具有良好的耐磨、耐压、防潮、防滑和抗冲击性能，正常使用条件下不得开裂、变形或脱落</w:t>
            </w:r>
            <w:r>
              <w:rPr>
                <w:rFonts w:hint="eastAsia" w:ascii="宋体" w:hAnsi="宋体" w:eastAsia="宋体" w:cs="宋体"/>
                <w:color w:val="auto"/>
                <w:sz w:val="21"/>
                <w:szCs w:val="21"/>
                <w:highlight w:val="none"/>
              </w:rPr>
              <w:t>。</w:t>
            </w:r>
          </w:p>
          <w:p>
            <w:pPr>
              <w:pStyle w:val="21"/>
              <w:rPr>
                <w:rFonts w:hint="eastAsia" w:ascii="宋体" w:hAnsi="宋体" w:eastAsia="宋体" w:cs="宋体"/>
                <w:sz w:val="21"/>
                <w:szCs w:val="21"/>
              </w:rPr>
            </w:pPr>
            <w:r>
              <w:rPr>
                <w:rFonts w:hint="eastAsia" w:ascii="宋体" w:hAnsi="宋体" w:eastAsia="宋体" w:cs="宋体"/>
                <w:sz w:val="21"/>
                <w:szCs w:val="21"/>
              </w:rPr>
              <w:t>2.防锈防潮要求：学习椅应适用于学生宿舍长期使用环境，金属件应具备良好的防锈、防腐性能，板式部件应具备一定防潮、防霉、防变形能力。</w:t>
            </w:r>
          </w:p>
          <w:p>
            <w:pPr>
              <w:pStyle w:val="2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▲五、环保及有害物质要求</w:t>
            </w:r>
          </w:p>
          <w:p>
            <w:pPr>
              <w:pStyle w:val="2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1.材料环保要求：椅面、椅背采用的人造板材料甲醛释放量应符合GB 18580-20</w:t>
            </w: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rPr>
              <w:t>《室内装饰装修材料 人造板及其制品中甲醛释放限量》要求。</w:t>
            </w:r>
          </w:p>
          <w:p>
            <w:pPr>
              <w:pStyle w:val="2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2.家具成品环保要求：学习椅成品中甲醛、苯、甲苯、二甲苯、TVOC及其他有害物质限量应符合GB 18584-2024《家具中有害物质限量》要求。</w:t>
            </w:r>
          </w:p>
          <w:p>
            <w:pPr>
              <w:keepNext/>
              <w:adjustRightInd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六、供货、安装及验收要求</w:t>
            </w:r>
          </w:p>
          <w:p>
            <w:pPr>
              <w:keepNext/>
              <w:adjustRightInd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1.学习椅样式、颜色及标识内容由采购人确认后供货。</w:t>
            </w:r>
          </w:p>
          <w:p>
            <w:pPr>
              <w:pStyle w:val="45"/>
              <w:spacing w:line="240" w:lineRule="auto"/>
              <w:rPr>
                <w:rFonts w:hint="eastAsia" w:ascii="宋体" w:hAnsi="宋体" w:eastAsia="宋体" w:cs="宋体"/>
                <w:sz w:val="21"/>
                <w:szCs w:val="21"/>
              </w:rPr>
            </w:pPr>
            <w:r>
              <w:rPr>
                <w:rFonts w:hint="eastAsia" w:ascii="宋体" w:hAnsi="宋体" w:eastAsia="宋体" w:cs="宋体"/>
                <w:color w:val="auto"/>
                <w:sz w:val="21"/>
                <w:szCs w:val="21"/>
                <w:highlight w:val="none"/>
              </w:rPr>
              <w:t>2.安装、样板确认、检测与验收要求：按本项目“安装、检测与验收要求”</w:t>
            </w:r>
            <w:r>
              <w:rPr>
                <w:rFonts w:hint="eastAsia" w:ascii="宋体" w:hAnsi="宋体" w:eastAsia="宋体" w:cs="宋体"/>
                <w:sz w:val="21"/>
                <w:szCs w:val="21"/>
              </w:rPr>
              <w:t>统一执行。</w:t>
            </w:r>
          </w:p>
          <w:p>
            <w:pPr>
              <w:pStyle w:val="45"/>
              <w:spacing w:line="240" w:lineRule="auto"/>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参考图（仅作参考）：</w:t>
            </w:r>
          </w:p>
          <w:p>
            <w:pPr>
              <w:pStyle w:val="45"/>
              <w:spacing w:line="240" w:lineRule="auto"/>
              <w:rPr>
                <w:rFonts w:hint="eastAsia" w:ascii="宋体" w:hAnsi="宋体" w:cs="宋体"/>
                <w:color w:val="000000" w:themeColor="text1"/>
                <w:sz w:val="21"/>
                <w:szCs w:val="21"/>
                <w:lang w:val="en-US" w:eastAsia="zh-CN"/>
                <w14:textFill>
                  <w14:solidFill>
                    <w14:schemeClr w14:val="tx1"/>
                  </w14:solidFill>
                </w14:textFill>
              </w:rPr>
            </w:pPr>
            <w:r>
              <w:rPr>
                <w:snapToGrid/>
                <w:color w:val="auto"/>
                <w:lang w:eastAsia="zh-CN"/>
              </w:rPr>
              <w:drawing>
                <wp:anchor distT="0" distB="0" distL="114300" distR="114300" simplePos="0" relativeHeight="251660288" behindDoc="1" locked="0" layoutInCell="1" allowOverlap="1">
                  <wp:simplePos x="0" y="0"/>
                  <wp:positionH relativeFrom="column">
                    <wp:posOffset>925195</wp:posOffset>
                  </wp:positionH>
                  <wp:positionV relativeFrom="paragraph">
                    <wp:posOffset>160655</wp:posOffset>
                  </wp:positionV>
                  <wp:extent cx="1269365" cy="1211580"/>
                  <wp:effectExtent l="0" t="0" r="635" b="7620"/>
                  <wp:wrapTight wrapText="bothSides">
                    <wp:wrapPolygon>
                      <wp:start x="0" y="0"/>
                      <wp:lineTo x="0" y="21283"/>
                      <wp:lineTo x="21395" y="21283"/>
                      <wp:lineTo x="21395" y="0"/>
                      <wp:lineTo x="0" y="0"/>
                    </wp:wrapPolygon>
                  </wp:wrapTight>
                  <wp:docPr id="2" name="图片 1" descr="fc62d8c1c6846b6250fbd64e17a33f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fc62d8c1c6846b6250fbd64e17a33fad"/>
                          <pic:cNvPicPr>
                            <a:picLocks noChangeAspect="1"/>
                          </pic:cNvPicPr>
                        </pic:nvPicPr>
                        <pic:blipFill>
                          <a:blip r:embed="rId9"/>
                          <a:stretch>
                            <a:fillRect/>
                          </a:stretch>
                        </pic:blipFill>
                        <pic:spPr>
                          <a:xfrm>
                            <a:off x="0" y="0"/>
                            <a:ext cx="1269365" cy="1211580"/>
                          </a:xfrm>
                          <a:prstGeom prst="rect">
                            <a:avLst/>
                          </a:prstGeom>
                          <a:noFill/>
                          <a:ln>
                            <a:noFill/>
                          </a:ln>
                        </pic:spPr>
                      </pic:pic>
                    </a:graphicData>
                  </a:graphic>
                </wp:anchor>
              </w:drawing>
            </w:r>
          </w:p>
          <w:p>
            <w:pPr>
              <w:pStyle w:val="45"/>
              <w:spacing w:line="240" w:lineRule="auto"/>
              <w:rPr>
                <w:rFonts w:hint="eastAsia" w:ascii="宋体" w:hAnsi="宋体" w:cs="宋体"/>
                <w:color w:val="000000" w:themeColor="text1"/>
                <w:sz w:val="21"/>
                <w:szCs w:val="21"/>
                <w:lang w:val="en-US" w:eastAsia="zh-CN"/>
                <w14:textFill>
                  <w14:solidFill>
                    <w14:schemeClr w14:val="tx1"/>
                  </w14:solidFill>
                </w14:textFill>
              </w:rPr>
            </w:pPr>
          </w:p>
          <w:p>
            <w:pPr>
              <w:pStyle w:val="45"/>
              <w:spacing w:line="240" w:lineRule="auto"/>
              <w:rPr>
                <w:rFonts w:hint="eastAsia" w:ascii="宋体" w:hAnsi="宋体" w:cs="宋体"/>
                <w:color w:val="000000" w:themeColor="text1"/>
                <w:sz w:val="21"/>
                <w:szCs w:val="21"/>
                <w:lang w:val="en-US" w:eastAsia="zh-CN"/>
                <w14:textFill>
                  <w14:solidFill>
                    <w14:schemeClr w14:val="tx1"/>
                  </w14:solidFill>
                </w14:textFill>
              </w:rPr>
            </w:pPr>
          </w:p>
          <w:p>
            <w:pPr>
              <w:pStyle w:val="45"/>
              <w:spacing w:line="240" w:lineRule="auto"/>
              <w:rPr>
                <w:rFonts w:hint="default" w:ascii="宋体" w:hAnsi="宋体" w:cs="宋体"/>
                <w:color w:val="000000" w:themeColor="text1"/>
                <w:sz w:val="21"/>
                <w:szCs w:val="21"/>
                <w:lang w:val="en-US" w:eastAsia="zh-CN"/>
                <w14:textFill>
                  <w14:solidFill>
                    <w14:schemeClr w14:val="tx1"/>
                  </w14:solidFill>
                </w14:textFill>
              </w:rPr>
            </w:pPr>
          </w:p>
          <w:p>
            <w:pPr>
              <w:pStyle w:val="45"/>
              <w:spacing w:line="240" w:lineRule="auto"/>
              <w:rPr>
                <w:rFonts w:hint="default" w:ascii="宋体" w:hAnsi="宋体" w:cs="宋体"/>
                <w:color w:val="000000" w:themeColor="text1"/>
                <w:sz w:val="21"/>
                <w:szCs w:val="21"/>
                <w:lang w:val="en-US" w:eastAsia="zh-CN"/>
                <w14:textFill>
                  <w14:solidFill>
                    <w14:schemeClr w14:val="tx1"/>
                  </w14:solidFill>
                </w14:textFill>
              </w:rPr>
            </w:pPr>
          </w:p>
          <w:p>
            <w:pPr>
              <w:pStyle w:val="45"/>
              <w:spacing w:line="240" w:lineRule="auto"/>
              <w:rPr>
                <w:rFonts w:hint="default" w:ascii="宋体" w:hAnsi="宋体" w:cs="宋体"/>
                <w:color w:val="000000" w:themeColor="text1"/>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9"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8</w:t>
            </w:r>
          </w:p>
        </w:tc>
        <w:tc>
          <w:tcPr>
            <w:tcW w:w="8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sz w:val="21"/>
                <w:szCs w:val="21"/>
              </w:rPr>
              <w:t>洗漱架</w:t>
            </w:r>
          </w:p>
        </w:tc>
        <w:tc>
          <w:tcPr>
            <w:tcW w:w="6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632</w:t>
            </w:r>
          </w:p>
        </w:tc>
        <w:tc>
          <w:tcPr>
            <w:tcW w:w="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个</w:t>
            </w:r>
          </w:p>
        </w:tc>
        <w:tc>
          <w:tcPr>
            <w:tcW w:w="80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定制</w:t>
            </w:r>
          </w:p>
        </w:tc>
        <w:tc>
          <w:tcPr>
            <w:tcW w:w="6238" w:type="dxa"/>
            <w:tcBorders>
              <w:top w:val="single" w:color="auto" w:sz="4" w:space="0"/>
              <w:left w:val="single" w:color="auto" w:sz="4" w:space="0"/>
              <w:bottom w:val="single" w:color="auto" w:sz="4" w:space="0"/>
              <w:right w:val="single" w:color="auto" w:sz="4" w:space="0"/>
            </w:tcBorders>
            <w:vAlign w:val="top"/>
          </w:tcPr>
          <w:p>
            <w:pPr>
              <w:jc w:val="left"/>
              <w:rPr>
                <w:rFonts w:hint="eastAsia" w:ascii="宋体" w:hAnsi="宋体" w:eastAsia="宋体" w:cs="宋体"/>
                <w:sz w:val="21"/>
                <w:szCs w:val="21"/>
              </w:rPr>
            </w:pPr>
            <w:r>
              <w:rPr>
                <w:rFonts w:hint="eastAsia" w:ascii="宋体" w:hAnsi="宋体" w:eastAsia="宋体" w:cs="宋体"/>
                <w:sz w:val="21"/>
                <w:szCs w:val="21"/>
              </w:rPr>
              <w:t>一、规格及总体要求</w:t>
            </w:r>
          </w:p>
          <w:p>
            <w:pPr>
              <w:jc w:val="left"/>
              <w:rPr>
                <w:rFonts w:hint="eastAsia" w:ascii="宋体" w:hAnsi="宋体" w:eastAsia="宋体" w:cs="宋体"/>
                <w:color w:val="auto"/>
                <w:sz w:val="21"/>
                <w:szCs w:val="21"/>
                <w:highlight w:val="none"/>
              </w:rPr>
            </w:pPr>
            <w:r>
              <w:rPr>
                <w:rFonts w:hint="eastAsia" w:ascii="宋体" w:hAnsi="宋体" w:eastAsia="宋体" w:cs="宋体"/>
                <w:sz w:val="21"/>
                <w:szCs w:val="21"/>
              </w:rPr>
              <w:t>1.规格尺寸：浴室置物架规格约为W400mm×D135mm×H57mm，具体尺寸、样式及安装位置以宿舍现场复核及采购人确认的深化设计为准</w:t>
            </w:r>
            <w:r>
              <w:rPr>
                <w:rFonts w:hint="eastAsia" w:ascii="宋体" w:hAnsi="宋体" w:eastAsia="宋体" w:cs="宋体"/>
                <w:color w:val="auto"/>
                <w:sz w:val="21"/>
                <w:szCs w:val="21"/>
                <w:highlight w:val="none"/>
              </w:rPr>
              <w:t>。</w:t>
            </w:r>
          </w:p>
          <w:p>
            <w:pPr>
              <w:pStyle w:val="2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▲二、材质及表面处理要求</w:t>
            </w:r>
          </w:p>
          <w:p>
            <w:pPr>
              <w:pStyle w:val="2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1.材质要求：置物架主体应采用铝合金材质，材料厚度≥1.0mm，配备毛巾挂钩等辅助悬挂结构。产品应适用于学生宿舍浴室、洗漱区等潮湿环境，正常使用条件下不得出现锈蚀、腐蚀、开裂、变形等问题。</w:t>
            </w:r>
          </w:p>
          <w:p>
            <w:pPr>
              <w:pStyle w:val="2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2.表面处理要求：产品表面应进行防锈、防腐处理，表面平整光滑，无明显划伤、毛刺、锐角、脱落、锈斑等缺陷。</w:t>
            </w:r>
          </w:p>
          <w:p>
            <w:pPr>
              <w:pStyle w:val="2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▲三、结构及功能要求</w:t>
            </w:r>
          </w:p>
          <w:p>
            <w:pPr>
              <w:pStyle w:val="2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1.结构要求：置物架整体结构应牢固稳定，边角应进行安全处理，不得存在锐边、锐角、毛刺等安全隐患。</w:t>
            </w:r>
          </w:p>
          <w:p>
            <w:pPr>
              <w:pStyle w:val="2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2.承重及使用要求：置物架应满足学生放置洗发水、沐浴用品、洗漱用品等日常使用需求，安装后应牢固可靠，正常使用条件下不得松动、变形或脱落。</w:t>
            </w:r>
          </w:p>
          <w:p>
            <w:pPr>
              <w:pStyle w:val="2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3.安装要求：置物架应采用适合浴室墙面条件的固定方式安装，安装配件应具备防锈、防腐性能，安装完成后应牢固、美观、安全。</w:t>
            </w:r>
          </w:p>
          <w:p>
            <w:pPr>
              <w:pStyle w:val="21"/>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四、</w:t>
            </w:r>
            <w:r>
              <w:rPr>
                <w:rFonts w:hint="eastAsia" w:ascii="宋体" w:hAnsi="宋体" w:eastAsia="宋体" w:cs="宋体"/>
                <w:color w:val="auto"/>
                <w:sz w:val="21"/>
                <w:szCs w:val="21"/>
                <w:highlight w:val="none"/>
                <w:lang w:val="en-US" w:eastAsia="zh-CN"/>
              </w:rPr>
              <w:t>环保要求</w:t>
            </w:r>
          </w:p>
          <w:p>
            <w:pPr>
              <w:pStyle w:val="2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1.产品使用的金属涂层、塑料件及其他辅助材料应符合国家现行相关环保要求。</w:t>
            </w:r>
          </w:p>
          <w:p>
            <w:pPr>
              <w:pStyle w:val="2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w:t>
            </w:r>
            <w:r>
              <w:rPr>
                <w:rFonts w:hint="eastAsia" w:ascii="宋体" w:hAnsi="宋体" w:eastAsia="宋体" w:cs="宋体"/>
                <w:color w:val="auto"/>
                <w:sz w:val="21"/>
                <w:szCs w:val="21"/>
                <w:highlight w:val="none"/>
                <w:lang w:val="en-US" w:eastAsia="zh-CN"/>
              </w:rPr>
              <w:t>验收</w:t>
            </w:r>
            <w:r>
              <w:rPr>
                <w:rFonts w:hint="eastAsia" w:ascii="宋体" w:hAnsi="宋体" w:eastAsia="宋体" w:cs="宋体"/>
                <w:color w:val="auto"/>
                <w:sz w:val="21"/>
                <w:szCs w:val="21"/>
                <w:highlight w:val="none"/>
              </w:rPr>
              <w:t>要求</w:t>
            </w:r>
          </w:p>
          <w:p>
            <w:pPr>
              <w:pStyle w:val="2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1.安装、样板确认、检测与验收要求按本项目“安装、检测与验收要求”统一执行。</w:t>
            </w:r>
          </w:p>
          <w:p>
            <w:pPr>
              <w:rPr>
                <w:rFonts w:hint="eastAsia" w:ascii="宋体" w:hAnsi="宋体" w:cs="宋体"/>
                <w:color w:val="auto"/>
                <w:sz w:val="21"/>
                <w:szCs w:val="21"/>
                <w:highlight w:val="none"/>
                <w:lang w:val="en-US" w:eastAsia="zh-CN"/>
              </w:rPr>
            </w:pPr>
            <w:r>
              <w:rPr>
                <w:rFonts w:hint="eastAsia" w:ascii="宋体" w:hAnsi="宋体" w:eastAsia="宋体" w:cs="宋体"/>
                <w:color w:val="auto"/>
                <w:sz w:val="24"/>
                <w:szCs w:val="24"/>
                <w:highlight w:val="none"/>
                <w:lang w:val="en-US" w:eastAsia="zh-CN"/>
              </w:rPr>
              <w:drawing>
                <wp:anchor distT="0" distB="0" distL="114300" distR="114300" simplePos="0" relativeHeight="251659264" behindDoc="1" locked="0" layoutInCell="1" allowOverlap="1">
                  <wp:simplePos x="0" y="0"/>
                  <wp:positionH relativeFrom="column">
                    <wp:posOffset>1085850</wp:posOffset>
                  </wp:positionH>
                  <wp:positionV relativeFrom="paragraph">
                    <wp:posOffset>320675</wp:posOffset>
                  </wp:positionV>
                  <wp:extent cx="1640205" cy="888365"/>
                  <wp:effectExtent l="0" t="0" r="10795" b="635"/>
                  <wp:wrapTight wrapText="bothSides">
                    <wp:wrapPolygon>
                      <wp:start x="0" y="0"/>
                      <wp:lineTo x="0" y="21307"/>
                      <wp:lineTo x="21408" y="21307"/>
                      <wp:lineTo x="21408" y="0"/>
                      <wp:lineTo x="0" y="0"/>
                    </wp:wrapPolygon>
                  </wp:wrapTight>
                  <wp:docPr id="1" name="图片 2" descr="7e22f8badb8d47fa95b6772fc85cd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7e22f8badb8d47fa95b6772fc85cd9b"/>
                          <pic:cNvPicPr>
                            <a:picLocks noChangeAspect="1"/>
                          </pic:cNvPicPr>
                        </pic:nvPicPr>
                        <pic:blipFill>
                          <a:blip r:embed="rId10"/>
                          <a:srcRect t="21797" b="24104"/>
                          <a:stretch>
                            <a:fillRect/>
                          </a:stretch>
                        </pic:blipFill>
                        <pic:spPr>
                          <a:xfrm>
                            <a:off x="0" y="0"/>
                            <a:ext cx="1640205" cy="888365"/>
                          </a:xfrm>
                          <a:prstGeom prst="rect">
                            <a:avLst/>
                          </a:prstGeom>
                          <a:noFill/>
                          <a:ln>
                            <a:noFill/>
                          </a:ln>
                        </pic:spPr>
                      </pic:pic>
                    </a:graphicData>
                  </a:graphic>
                </wp:anchor>
              </w:drawing>
            </w:r>
            <w:r>
              <w:rPr>
                <w:rFonts w:hint="eastAsia" w:ascii="宋体" w:hAnsi="宋体" w:cs="宋体"/>
                <w:color w:val="auto"/>
                <w:sz w:val="21"/>
                <w:szCs w:val="21"/>
                <w:highlight w:val="none"/>
                <w:lang w:val="en-US" w:eastAsia="zh-CN"/>
              </w:rPr>
              <w:t>参考图片（仅作参考）：</w:t>
            </w:r>
          </w:p>
          <w:p>
            <w:pPr>
              <w:pStyle w:val="2"/>
              <w:rPr>
                <w:rFonts w:hint="eastAsia" w:ascii="宋体" w:hAnsi="宋体" w:cs="宋体"/>
                <w:color w:val="auto"/>
                <w:sz w:val="21"/>
                <w:szCs w:val="21"/>
                <w:highlight w:val="none"/>
                <w:lang w:val="en-US" w:eastAsia="zh-CN"/>
              </w:rPr>
            </w:pPr>
          </w:p>
          <w:p>
            <w:pPr>
              <w:rPr>
                <w:rFonts w:hint="eastAsia" w:ascii="宋体" w:hAnsi="宋体" w:cs="宋体"/>
                <w:color w:val="auto"/>
                <w:sz w:val="21"/>
                <w:szCs w:val="21"/>
                <w:highlight w:val="none"/>
                <w:lang w:val="en-US" w:eastAsia="zh-CN"/>
              </w:rPr>
            </w:pPr>
          </w:p>
          <w:p>
            <w:pPr>
              <w:pStyle w:val="2"/>
              <w:rPr>
                <w:rFonts w:hint="eastAsia" w:ascii="宋体" w:hAnsi="宋体" w:cs="宋体"/>
                <w:color w:val="auto"/>
                <w:sz w:val="21"/>
                <w:szCs w:val="21"/>
                <w:highlight w:val="none"/>
                <w:lang w:val="en-US" w:eastAsia="zh-CN"/>
              </w:rPr>
            </w:pPr>
          </w:p>
          <w:p>
            <w:pPr>
              <w:pStyle w:val="2"/>
              <w:ind w:left="0" w:leftChars="0" w:firstLine="0" w:firstLineChars="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3"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hint="eastAsia" w:ascii="宋体" w:hAnsi="宋体" w:cs="宋体"/>
                <w:b/>
                <w:bCs/>
                <w:color w:val="000000"/>
                <w:szCs w:val="21"/>
              </w:rPr>
            </w:pPr>
            <w:r>
              <w:rPr>
                <w:rFonts w:hint="eastAsia" w:ascii="宋体" w:hAnsi="宋体" w:cs="宋体"/>
                <w:b/>
                <w:bCs/>
                <w:color w:val="000000"/>
                <w:szCs w:val="21"/>
              </w:rPr>
              <w:t>备注：</w:t>
            </w:r>
          </w:p>
          <w:p>
            <w:pPr>
              <w:widowControl/>
              <w:spacing w:line="240" w:lineRule="auto"/>
              <w:jc w:val="left"/>
              <w:rPr>
                <w:rFonts w:hint="eastAsia" w:ascii="宋体" w:hAnsi="宋体" w:cs="宋体"/>
                <w:b/>
                <w:bCs/>
                <w:color w:val="000000"/>
                <w:szCs w:val="21"/>
              </w:rPr>
            </w:pPr>
            <w:r>
              <w:rPr>
                <w:rFonts w:hint="eastAsia" w:ascii="宋体" w:hAnsi="宋体" w:cs="宋体"/>
                <w:b/>
                <w:bCs/>
                <w:color w:val="000000"/>
                <w:szCs w:val="21"/>
                <w:lang w:val="en-US" w:eastAsia="zh-CN"/>
              </w:rPr>
              <w:t>1</w:t>
            </w:r>
            <w:r>
              <w:rPr>
                <w:rFonts w:hint="eastAsia" w:ascii="宋体" w:hAnsi="宋体" w:cs="宋体"/>
                <w:b/>
                <w:bCs/>
                <w:color w:val="000000"/>
                <w:szCs w:val="21"/>
              </w:rPr>
              <w:t>、材质的要求及材质的厚度须满足或优于；产品性能须满足或优于用户要求；</w:t>
            </w:r>
          </w:p>
          <w:p>
            <w:pPr>
              <w:spacing w:line="240" w:lineRule="auto"/>
              <w:rPr>
                <w:rFonts w:hint="eastAsia" w:ascii="宋体" w:hAnsi="宋体" w:cs="宋体"/>
                <w:color w:val="000000" w:themeColor="text1"/>
                <w:szCs w:val="21"/>
                <w14:textFill>
                  <w14:solidFill>
                    <w14:schemeClr w14:val="tx1"/>
                  </w14:solidFill>
                </w14:textFill>
              </w:rPr>
            </w:pPr>
            <w:r>
              <w:rPr>
                <w:rFonts w:hint="eastAsia" w:ascii="宋体" w:hAnsi="宋体" w:cs="宋体"/>
                <w:b/>
                <w:bCs/>
                <w:color w:val="000000"/>
                <w:szCs w:val="21"/>
                <w:lang w:val="en-US" w:eastAsia="zh-CN"/>
              </w:rPr>
              <w:t>2</w:t>
            </w:r>
            <w:r>
              <w:rPr>
                <w:rFonts w:hint="eastAsia" w:ascii="宋体" w:hAnsi="宋体" w:cs="宋体"/>
                <w:b/>
                <w:bCs/>
                <w:color w:val="000000"/>
                <w:szCs w:val="21"/>
              </w:rPr>
              <w:t>、引用的所有标准，如有更新或替换时，应执行最新标准。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3" w:type="dxa"/>
            <w:gridSpan w:val="7"/>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hint="eastAsia" w:ascii="宋体" w:hAnsi="宋体" w:cs="宋体"/>
                <w:b/>
                <w:bCs/>
                <w:color w:val="000000" w:themeColor="text1"/>
                <w:sz w:val="24"/>
                <w14:textFill>
                  <w14:solidFill>
                    <w14:schemeClr w14:val="tx1"/>
                  </w14:solidFill>
                </w14:textFill>
              </w:rPr>
              <w:t>商务及其他要求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1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ordWrap/>
              <w:overflowPunct/>
              <w:topLinePunct w:val="0"/>
              <w:bidi w:val="0"/>
              <w:spacing w:line="360" w:lineRule="exact"/>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售后服务及其他要求</w:t>
            </w:r>
          </w:p>
        </w:tc>
        <w:tc>
          <w:tcPr>
            <w:tcW w:w="760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numPr>
                <w:ilvl w:val="0"/>
                <w:numId w:val="12"/>
              </w:numPr>
              <w:wordWrap/>
              <w:overflowPunct/>
              <w:topLinePunct w:val="0"/>
              <w:bidi w:val="0"/>
              <w:adjustRightInd w:val="0"/>
              <w:snapToGrid w:val="0"/>
              <w:spacing w:line="240" w:lineRule="auto"/>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合同签订期：自中标通知书发出之日起15日历日内。</w:t>
            </w:r>
          </w:p>
          <w:p>
            <w:pPr>
              <w:keepNext w:val="0"/>
              <w:keepLines w:val="0"/>
              <w:pageBreakBefore w:val="0"/>
              <w:numPr>
                <w:ilvl w:val="0"/>
                <w:numId w:val="0"/>
              </w:numPr>
              <w:wordWrap/>
              <w:overflowPunct/>
              <w:topLinePunct w:val="0"/>
              <w:bidi w:val="0"/>
              <w:adjustRightInd w:val="0"/>
              <w:snapToGrid w:val="0"/>
              <w:spacing w:line="240" w:lineRule="auto"/>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lang w:val="en-US" w:eastAsia="zh-CN"/>
                <w14:textFill>
                  <w14:solidFill>
                    <w14:schemeClr w14:val="tx1"/>
                  </w14:solidFill>
                </w14:textFill>
              </w:rPr>
              <w:t xml:space="preserve">    </w:t>
            </w:r>
            <w:r>
              <w:rPr>
                <w:rFonts w:hint="eastAsia" w:ascii="宋体" w:hAnsi="宋体" w:cs="宋体"/>
                <w:bCs/>
                <w:color w:val="000000" w:themeColor="text1"/>
                <w:szCs w:val="21"/>
                <w14:textFill>
                  <w14:solidFill>
                    <w14:schemeClr w14:val="tx1"/>
                  </w14:solidFill>
                </w14:textFill>
              </w:rPr>
              <w:t>2.交付使用时间：自合同签订之日起</w:t>
            </w:r>
            <w:r>
              <w:rPr>
                <w:rFonts w:hint="eastAsia" w:ascii="宋体" w:hAnsi="宋体" w:cs="宋体"/>
                <w:bCs/>
                <w:color w:val="000000" w:themeColor="text1"/>
                <w:szCs w:val="21"/>
                <w:lang w:val="en-US" w:eastAsia="zh-CN"/>
                <w14:textFill>
                  <w14:solidFill>
                    <w14:schemeClr w14:val="tx1"/>
                  </w14:solidFill>
                </w14:textFill>
              </w:rPr>
              <w:t>27</w:t>
            </w:r>
            <w:r>
              <w:rPr>
                <w:rFonts w:hint="eastAsia" w:ascii="宋体" w:hAnsi="宋体" w:cs="宋体"/>
                <w:bCs/>
                <w:color w:val="000000" w:themeColor="text1"/>
                <w:szCs w:val="21"/>
                <w14:textFill>
                  <w14:solidFill>
                    <w14:schemeClr w14:val="tx1"/>
                  </w14:solidFill>
                </w14:textFill>
              </w:rPr>
              <w:t xml:space="preserve">日历日内交付并安装验收完毕。 </w:t>
            </w:r>
          </w:p>
          <w:p>
            <w:pPr>
              <w:keepNext w:val="0"/>
              <w:keepLines w:val="0"/>
              <w:pageBreakBefore w:val="0"/>
              <w:wordWrap/>
              <w:overflowPunct/>
              <w:topLinePunct w:val="0"/>
              <w:bidi w:val="0"/>
              <w:adjustRightInd w:val="0"/>
              <w:snapToGrid w:val="0"/>
              <w:spacing w:line="240" w:lineRule="auto"/>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3.交货地点：广西梧州市（采购人指定地点）。</w:t>
            </w:r>
          </w:p>
          <w:p>
            <w:pPr>
              <w:keepNext w:val="0"/>
              <w:keepLines w:val="0"/>
              <w:pageBreakBefore w:val="0"/>
              <w:wordWrap/>
              <w:overflowPunct/>
              <w:topLinePunct w:val="0"/>
              <w:bidi w:val="0"/>
              <w:adjustRightInd w:val="0"/>
              <w:snapToGrid w:val="0"/>
              <w:spacing w:line="24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4.交货方式：现场交货。</w:t>
            </w:r>
          </w:p>
          <w:p>
            <w:pPr>
              <w:keepNext w:val="0"/>
              <w:keepLines w:val="0"/>
              <w:pageBreakBefore w:val="0"/>
              <w:wordWrap/>
              <w:overflowPunct/>
              <w:topLinePunct w:val="0"/>
              <w:bidi w:val="0"/>
              <w:adjustRightInd w:val="0"/>
              <w:snapToGrid w:val="0"/>
              <w:spacing w:line="240" w:lineRule="auto"/>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eastAsia="宋体" w:cs="宋体"/>
                <w:caps w:val="0"/>
                <w:color w:val="000000" w:themeColor="text1"/>
                <w:highlight w:val="none"/>
                <w14:textFill>
                  <w14:solidFill>
                    <w14:schemeClr w14:val="tx1"/>
                  </w14:solidFill>
                </w14:textFill>
              </w:rPr>
              <w:t>5.</w:t>
            </w:r>
            <w:r>
              <w:rPr>
                <w:rFonts w:hint="eastAsia"/>
                <w:highlight w:val="none"/>
              </w:rPr>
              <w:t xml:space="preserve"> </w:t>
            </w:r>
            <w:r>
              <w:rPr>
                <w:rFonts w:ascii="宋体" w:eastAsia="宋体" w:cs="宋体"/>
                <w:caps w:val="0"/>
                <w:color w:val="000000" w:themeColor="text1"/>
                <w:highlight w:val="none"/>
                <w14:textFill>
                  <w14:solidFill>
                    <w14:schemeClr w14:val="tx1"/>
                  </w14:solidFill>
                </w14:textFill>
              </w:rPr>
              <w:t>中标</w:t>
            </w:r>
            <w:r>
              <w:rPr>
                <w:rFonts w:hint="eastAsia" w:ascii="宋体" w:eastAsia="宋体" w:cs="宋体"/>
                <w:caps w:val="0"/>
                <w:color w:val="000000" w:themeColor="text1"/>
                <w:highlight w:val="none"/>
                <w14:textFill>
                  <w14:solidFill>
                    <w14:schemeClr w14:val="tx1"/>
                  </w14:solidFill>
                </w14:textFill>
              </w:rPr>
              <w:t>供应商</w:t>
            </w:r>
            <w:r>
              <w:rPr>
                <w:rFonts w:ascii="宋体" w:eastAsia="宋体" w:cs="宋体"/>
                <w:caps w:val="0"/>
                <w:color w:val="000000" w:themeColor="text1"/>
                <w:highlight w:val="none"/>
                <w14:textFill>
                  <w14:solidFill>
                    <w14:schemeClr w14:val="tx1"/>
                  </w14:solidFill>
                </w14:textFill>
              </w:rPr>
              <w:t>在大批量生产供货前需提供本次采购的一全套家具样品供</w:t>
            </w:r>
            <w:r>
              <w:rPr>
                <w:rFonts w:hint="eastAsia" w:ascii="宋体" w:eastAsia="宋体" w:cs="宋体"/>
                <w:caps w:val="0"/>
                <w:color w:val="000000" w:themeColor="text1"/>
                <w:highlight w:val="none"/>
                <w14:textFill>
                  <w14:solidFill>
                    <w14:schemeClr w14:val="tx1"/>
                  </w14:solidFill>
                </w14:textFill>
              </w:rPr>
              <w:t>采购人</w:t>
            </w:r>
            <w:r>
              <w:rPr>
                <w:rFonts w:ascii="宋体" w:eastAsia="宋体" w:cs="宋体"/>
                <w:caps w:val="0"/>
                <w:color w:val="000000" w:themeColor="text1"/>
                <w:highlight w:val="none"/>
                <w14:textFill>
                  <w14:solidFill>
                    <w14:schemeClr w14:val="tx1"/>
                  </w14:solidFill>
                </w14:textFill>
              </w:rPr>
              <w:t>检验，</w:t>
            </w:r>
            <w:r>
              <w:rPr>
                <w:rFonts w:hint="eastAsia" w:ascii="宋体" w:eastAsia="宋体" w:cs="宋体"/>
                <w:caps w:val="0"/>
                <w:color w:val="000000" w:themeColor="text1"/>
                <w:highlight w:val="none"/>
                <w14:textFill>
                  <w14:solidFill>
                    <w14:schemeClr w14:val="tx1"/>
                  </w14:solidFill>
                </w14:textFill>
              </w:rPr>
              <w:t>采购人</w:t>
            </w:r>
            <w:r>
              <w:rPr>
                <w:rFonts w:ascii="宋体" w:eastAsia="宋体" w:cs="宋体"/>
                <w:caps w:val="0"/>
                <w:color w:val="000000" w:themeColor="text1"/>
                <w:highlight w:val="none"/>
                <w14:textFill>
                  <w14:solidFill>
                    <w14:schemeClr w14:val="tx1"/>
                  </w14:solidFill>
                </w14:textFill>
              </w:rPr>
              <w:t>检验无问题后方可大批量生产供货。中标</w:t>
            </w:r>
            <w:r>
              <w:rPr>
                <w:rFonts w:hint="eastAsia" w:ascii="宋体" w:eastAsia="宋体" w:cs="宋体"/>
                <w:caps w:val="0"/>
                <w:color w:val="000000" w:themeColor="text1"/>
                <w:highlight w:val="none"/>
                <w14:textFill>
                  <w14:solidFill>
                    <w14:schemeClr w14:val="tx1"/>
                  </w14:solidFill>
                </w14:textFill>
              </w:rPr>
              <w:t>供应商</w:t>
            </w:r>
            <w:r>
              <w:rPr>
                <w:rFonts w:ascii="宋体" w:eastAsia="宋体" w:cs="宋体"/>
                <w:caps w:val="0"/>
                <w:color w:val="000000" w:themeColor="text1"/>
                <w:highlight w:val="none"/>
                <w14:textFill>
                  <w14:solidFill>
                    <w14:schemeClr w14:val="tx1"/>
                  </w14:solidFill>
                </w14:textFill>
              </w:rPr>
              <w:t>提供不符合响应文件和本合同规定的家具，</w:t>
            </w:r>
            <w:r>
              <w:rPr>
                <w:rFonts w:hint="eastAsia" w:ascii="宋体" w:eastAsia="宋体" w:cs="宋体"/>
                <w:caps w:val="0"/>
                <w:color w:val="000000" w:themeColor="text1"/>
                <w:highlight w:val="none"/>
                <w14:textFill>
                  <w14:solidFill>
                    <w14:schemeClr w14:val="tx1"/>
                  </w14:solidFill>
                </w14:textFill>
              </w:rPr>
              <w:t>采购人</w:t>
            </w:r>
            <w:r>
              <w:rPr>
                <w:rFonts w:ascii="宋体" w:eastAsia="宋体" w:cs="宋体"/>
                <w:caps w:val="0"/>
                <w:color w:val="000000" w:themeColor="text1"/>
                <w:highlight w:val="none"/>
                <w14:textFill>
                  <w14:solidFill>
                    <w14:schemeClr w14:val="tx1"/>
                  </w14:solidFill>
                </w14:textFill>
              </w:rPr>
              <w:t>有权拒绝接受。</w:t>
            </w:r>
            <w:r>
              <w:rPr>
                <w:rFonts w:hint="eastAsia" w:ascii="宋体" w:eastAsia="宋体" w:cs="宋体"/>
                <w:caps w:val="0"/>
                <w:color w:val="000000" w:themeColor="text1"/>
                <w:highlight w:val="none"/>
                <w14:textFill>
                  <w14:solidFill>
                    <w14:schemeClr w14:val="tx1"/>
                  </w14:solidFill>
                </w14:textFill>
              </w:rPr>
              <w:t>以上所产生费用均由</w:t>
            </w:r>
            <w:r>
              <w:rPr>
                <w:rFonts w:ascii="宋体" w:eastAsia="宋体" w:cs="宋体"/>
                <w:caps w:val="0"/>
                <w:color w:val="000000" w:themeColor="text1"/>
                <w:highlight w:val="none"/>
                <w14:textFill>
                  <w14:solidFill>
                    <w14:schemeClr w14:val="tx1"/>
                  </w14:solidFill>
                </w14:textFill>
              </w:rPr>
              <w:t>中标</w:t>
            </w:r>
            <w:r>
              <w:rPr>
                <w:rFonts w:hint="eastAsia" w:ascii="宋体" w:eastAsia="宋体" w:cs="宋体"/>
                <w:caps w:val="0"/>
                <w:color w:val="000000" w:themeColor="text1"/>
                <w:highlight w:val="none"/>
                <w14:textFill>
                  <w14:solidFill>
                    <w14:schemeClr w14:val="tx1"/>
                  </w14:solidFill>
                </w14:textFill>
              </w:rPr>
              <w:t>供应</w:t>
            </w:r>
            <w:r>
              <w:rPr>
                <w:rFonts w:hint="eastAsia" w:ascii="宋体" w:hAnsi="宋体" w:cs="宋体"/>
                <w:bCs/>
                <w:color w:val="000000" w:themeColor="text1"/>
                <w:szCs w:val="21"/>
                <w14:textFill>
                  <w14:solidFill>
                    <w14:schemeClr w14:val="tx1"/>
                  </w14:solidFill>
                </w14:textFill>
              </w:rPr>
              <w:t>商承担。</w:t>
            </w:r>
          </w:p>
          <w:p>
            <w:pPr>
              <w:keepNext w:val="0"/>
              <w:keepLines w:val="0"/>
              <w:pageBreakBefore w:val="0"/>
              <w:wordWrap/>
              <w:overflowPunct/>
              <w:topLinePunct w:val="0"/>
              <w:bidi w:val="0"/>
              <w:adjustRightInd w:val="0"/>
              <w:snapToGrid w:val="0"/>
              <w:spacing w:line="240" w:lineRule="auto"/>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6.售后服务要求：</w:t>
            </w:r>
          </w:p>
          <w:p>
            <w:pPr>
              <w:keepNext w:val="0"/>
              <w:keepLines w:val="0"/>
              <w:pageBreakBefore w:val="0"/>
              <w:wordWrap/>
              <w:overflowPunct/>
              <w:topLinePunct w:val="0"/>
              <w:bidi w:val="0"/>
              <w:adjustRightInd w:val="0"/>
              <w:snapToGrid w:val="0"/>
              <w:spacing w:line="240" w:lineRule="auto"/>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（1）免费送货上门，按现场条件全程免费安装调试，直至最终验收前产生的所有费用由中标供应商承担；</w:t>
            </w:r>
          </w:p>
          <w:p>
            <w:pPr>
              <w:keepNext w:val="0"/>
              <w:keepLines w:val="0"/>
              <w:pageBreakBefore w:val="0"/>
              <w:wordWrap/>
              <w:overflowPunct/>
              <w:topLinePunct w:val="0"/>
              <w:bidi w:val="0"/>
              <w:adjustRightInd w:val="0"/>
              <w:snapToGrid w:val="0"/>
              <w:spacing w:line="240" w:lineRule="auto"/>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售后服务承诺基本要求：至少应包括质保期、免费保修期限、到达故障现场时间（维护电话保证7×24小时响应，自接到故障通知起24小时内到达故障现场）、故障出现解决方案、定期维护（注明时间）、质保期内提供专人负责维保（售后服务承诺书内应有维保人员名单及联系方式），故障处理时限（不能超过12小时，对不能修复的保证在24小时内提供替代品或直接更换），质保期满前一个月及质保期内每年进行一次全面检修与保养，保修期外维修方案、其他优惠措施、安装要求及方案；</w:t>
            </w:r>
          </w:p>
          <w:p>
            <w:pPr>
              <w:keepNext w:val="0"/>
              <w:keepLines w:val="0"/>
              <w:pageBreakBefore w:val="0"/>
              <w:wordWrap/>
              <w:overflowPunct/>
              <w:topLinePunct w:val="0"/>
              <w:bidi w:val="0"/>
              <w:adjustRightInd w:val="0"/>
              <w:snapToGrid w:val="0"/>
              <w:spacing w:line="240" w:lineRule="auto"/>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（3）验收所需工具、器材由中标供应商自理；各项性能指标达到技术要求的，由供需双方共同签字认可，现场验收；</w:t>
            </w:r>
          </w:p>
          <w:p>
            <w:pPr>
              <w:keepNext w:val="0"/>
              <w:keepLines w:val="0"/>
              <w:pageBreakBefore w:val="0"/>
              <w:wordWrap/>
              <w:overflowPunct/>
              <w:topLinePunct w:val="0"/>
              <w:bidi w:val="0"/>
              <w:adjustRightInd w:val="0"/>
              <w:snapToGrid w:val="0"/>
              <w:spacing w:line="240" w:lineRule="auto"/>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中标供应商负责处理解决货物出现的质量及安全问题并承担一切费用，所有非故意性损坏以及正常使用范围内造成的损坏均要免费维修，因人为因素出现的故障不在免费保修范围内，但中标供应商也要积极帮助采购人修理，并提供优惠价格的配件和服务；</w:t>
            </w:r>
          </w:p>
          <w:p>
            <w:pPr>
              <w:keepNext w:val="0"/>
              <w:keepLines w:val="0"/>
              <w:pageBreakBefore w:val="0"/>
              <w:wordWrap/>
              <w:overflowPunct/>
              <w:topLinePunct w:val="0"/>
              <w:bidi w:val="0"/>
              <w:adjustRightInd w:val="0"/>
              <w:snapToGrid w:val="0"/>
              <w:spacing w:line="240" w:lineRule="auto"/>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7.质量保证期：不少于6年（自最终验收合格之日算），分项货物有要求按分项要求。</w:t>
            </w:r>
          </w:p>
          <w:p>
            <w:pPr>
              <w:keepNext w:val="0"/>
              <w:keepLines w:val="0"/>
              <w:pageBreakBefore w:val="0"/>
              <w:wordWrap/>
              <w:overflowPunct/>
              <w:topLinePunct w:val="0"/>
              <w:bidi w:val="0"/>
              <w:snapToGrid w:val="0"/>
              <w:spacing w:line="240" w:lineRule="auto"/>
              <w:ind w:firstLine="420" w:firstLineChars="200"/>
              <w:rPr>
                <w:rFonts w:hint="eastAsia" w:ascii="宋体" w:hAnsi="宋体" w:cs="宋体"/>
                <w:bCs/>
                <w:color w:val="000000" w:themeColor="text1"/>
                <w:szCs w:val="21"/>
                <w14:textFill>
                  <w14:solidFill>
                    <w14:schemeClr w14:val="tx1"/>
                  </w14:solidFill>
                </w14:textFill>
              </w:rPr>
            </w:pPr>
            <w:bookmarkStart w:id="12" w:name="OLE_LINK5"/>
            <w:r>
              <w:rPr>
                <w:rFonts w:hint="eastAsia" w:ascii="宋体" w:hAnsi="宋体" w:cs="宋体"/>
                <w:bCs/>
                <w:color w:val="000000" w:themeColor="text1"/>
                <w:szCs w:val="21"/>
                <w14:textFill>
                  <w14:solidFill>
                    <w14:schemeClr w14:val="tx1"/>
                  </w14:solidFill>
                </w14:textFill>
              </w:rPr>
              <w:t>8.因乙方逾期交货致使甲方（校方）无法按原计划安排学生入住相应宿舍，从而导致甲方必须安排学生入住校外酒店或临时住宿点并产生实际住宿费用的，乙方在承担约定的逾期违约金之外，还应另行承担下述费用：</w:t>
            </w:r>
          </w:p>
          <w:p>
            <w:pPr>
              <w:keepNext w:val="0"/>
              <w:keepLines w:val="0"/>
              <w:pageBreakBefore w:val="0"/>
              <w:wordWrap/>
              <w:overflowPunct/>
              <w:topLinePunct w:val="0"/>
              <w:bidi w:val="0"/>
              <w:snapToGrid w:val="0"/>
              <w:spacing w:line="240" w:lineRule="auto"/>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（1）学生在此期间产生的全部住宿费用，以酒店或住宿点开具的正式发票金额为准；</w:t>
            </w:r>
          </w:p>
          <w:p>
            <w:pPr>
              <w:keepNext w:val="0"/>
              <w:keepLines w:val="0"/>
              <w:pageBreakBefore w:val="0"/>
              <w:wordWrap/>
              <w:overflowPunct/>
              <w:topLinePunct w:val="0"/>
              <w:bidi w:val="0"/>
              <w:spacing w:line="240" w:lineRule="auto"/>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（2）学生往返于住宿点与校园之间的必要交通费用。</w:t>
            </w:r>
            <w:bookmarkEnd w:id="1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1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ordWrap/>
              <w:overflowPunct/>
              <w:topLinePunct w:val="0"/>
              <w:bidi w:val="0"/>
              <w:spacing w:line="360" w:lineRule="exact"/>
              <w:ind w:firstLine="421" w:firstLineChars="200"/>
              <w:rPr>
                <w:rFonts w:hint="eastAsia" w:ascii="宋体" w:hAnsi="宋体" w:cs="宋体"/>
                <w:b/>
                <w:bCs/>
                <w:color w:val="000000" w:themeColor="text1"/>
                <w:szCs w:val="21"/>
                <w14:textFill>
                  <w14:solidFill>
                    <w14:schemeClr w14:val="tx1"/>
                  </w14:solidFill>
                </w14:textFill>
              </w:rPr>
            </w:pPr>
          </w:p>
          <w:p>
            <w:pPr>
              <w:keepNext w:val="0"/>
              <w:keepLines w:val="0"/>
              <w:pageBreakBefore w:val="0"/>
              <w:wordWrap/>
              <w:overflowPunct/>
              <w:topLinePunct w:val="0"/>
              <w:bidi w:val="0"/>
              <w:spacing w:line="360" w:lineRule="exact"/>
              <w:ind w:firstLine="421" w:firstLineChars="200"/>
              <w:rPr>
                <w:rFonts w:hint="eastAsia" w:ascii="宋体" w:hAnsi="宋体" w:cs="宋体"/>
                <w:b/>
                <w:bCs/>
                <w:color w:val="000000" w:themeColor="text1"/>
                <w:szCs w:val="21"/>
                <w14:textFill>
                  <w14:solidFill>
                    <w14:schemeClr w14:val="tx1"/>
                  </w14:solidFill>
                </w14:textFill>
              </w:rPr>
            </w:pPr>
          </w:p>
          <w:p>
            <w:pPr>
              <w:keepNext w:val="0"/>
              <w:keepLines w:val="0"/>
              <w:pageBreakBefore w:val="0"/>
              <w:wordWrap/>
              <w:overflowPunct/>
              <w:topLinePunct w:val="0"/>
              <w:bidi w:val="0"/>
              <w:spacing w:line="360" w:lineRule="exact"/>
              <w:ind w:firstLine="421" w:firstLineChars="200"/>
              <w:rPr>
                <w:rFonts w:hint="eastAsia" w:ascii="宋体" w:hAnsi="宋体" w:cs="宋体"/>
                <w:b/>
                <w:bCs/>
                <w:color w:val="000000" w:themeColor="text1"/>
                <w:szCs w:val="21"/>
                <w14:textFill>
                  <w14:solidFill>
                    <w14:schemeClr w14:val="tx1"/>
                  </w14:solidFill>
                </w14:textFill>
              </w:rPr>
            </w:pPr>
          </w:p>
          <w:p>
            <w:pPr>
              <w:keepNext w:val="0"/>
              <w:keepLines w:val="0"/>
              <w:pageBreakBefore w:val="0"/>
              <w:wordWrap/>
              <w:overflowPunct/>
              <w:topLinePunct w:val="0"/>
              <w:bidi w:val="0"/>
              <w:spacing w:line="360" w:lineRule="exact"/>
              <w:ind w:firstLine="421" w:firstLineChars="200"/>
              <w:rPr>
                <w:rFonts w:hint="eastAsia" w:ascii="宋体" w:hAnsi="宋体" w:cs="宋体"/>
                <w:b/>
                <w:bCs/>
                <w:color w:val="000000" w:themeColor="text1"/>
                <w:szCs w:val="21"/>
                <w14:textFill>
                  <w14:solidFill>
                    <w14:schemeClr w14:val="tx1"/>
                  </w14:solidFill>
                </w14:textFill>
              </w:rPr>
            </w:pPr>
          </w:p>
          <w:p>
            <w:pPr>
              <w:keepNext w:val="0"/>
              <w:keepLines w:val="0"/>
              <w:pageBreakBefore w:val="0"/>
              <w:wordWrap/>
              <w:overflowPunct/>
              <w:topLinePunct w:val="0"/>
              <w:bidi w:val="0"/>
              <w:spacing w:line="360" w:lineRule="exact"/>
              <w:ind w:firstLine="421" w:firstLineChars="200"/>
              <w:rPr>
                <w:rFonts w:hint="eastAsia" w:ascii="宋体" w:hAnsi="宋体" w:cs="宋体"/>
                <w:b/>
                <w:bCs/>
                <w:color w:val="000000" w:themeColor="text1"/>
                <w:szCs w:val="21"/>
                <w14:textFill>
                  <w14:solidFill>
                    <w14:schemeClr w14:val="tx1"/>
                  </w14:solidFill>
                </w14:textFill>
              </w:rPr>
            </w:pPr>
          </w:p>
          <w:p>
            <w:pPr>
              <w:keepNext w:val="0"/>
              <w:keepLines w:val="0"/>
              <w:pageBreakBefore w:val="0"/>
              <w:wordWrap/>
              <w:overflowPunct/>
              <w:topLinePunct w:val="0"/>
              <w:bidi w:val="0"/>
              <w:spacing w:line="360" w:lineRule="exact"/>
              <w:ind w:firstLine="421" w:firstLineChars="200"/>
              <w:rPr>
                <w:rFonts w:hint="eastAsia" w:ascii="宋体" w:hAnsi="宋体" w:cs="宋体"/>
                <w:b/>
                <w:bCs/>
                <w:color w:val="000000" w:themeColor="text1"/>
                <w:szCs w:val="21"/>
                <w14:textFill>
                  <w14:solidFill>
                    <w14:schemeClr w14:val="tx1"/>
                  </w14:solidFill>
                </w14:textFill>
              </w:rPr>
            </w:pPr>
          </w:p>
          <w:p>
            <w:pPr>
              <w:keepNext w:val="0"/>
              <w:keepLines w:val="0"/>
              <w:pageBreakBefore w:val="0"/>
              <w:wordWrap/>
              <w:overflowPunct/>
              <w:topLinePunct w:val="0"/>
              <w:bidi w:val="0"/>
              <w:spacing w:line="360" w:lineRule="exact"/>
              <w:ind w:firstLine="421" w:firstLineChars="200"/>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验收标准</w:t>
            </w:r>
          </w:p>
        </w:tc>
        <w:tc>
          <w:tcPr>
            <w:tcW w:w="760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ordWrap/>
              <w:overflowPunct/>
              <w:topLinePunct w:val="0"/>
              <w:bidi w:val="0"/>
              <w:adjustRightInd w:val="0"/>
              <w:snapToGrid w:val="0"/>
              <w:spacing w:line="360" w:lineRule="exact"/>
              <w:ind w:firstLine="420" w:firstLineChars="200"/>
              <w:rPr>
                <w:rFonts w:hint="eastAsia" w:ascii="宋体" w:hAnsi="宋体"/>
                <w:szCs w:val="21"/>
              </w:rPr>
            </w:pPr>
            <w:r>
              <w:rPr>
                <w:rFonts w:hint="eastAsia" w:ascii="宋体" w:hAnsi="宋体"/>
                <w:szCs w:val="21"/>
              </w:rPr>
              <w:t>1.中标供应商所供投产品必须是符合国家有关质量标准及该行业标准制造并满足本项目需求的产品。按国家现行有关质量检验评定标准和施工技术验收规范执行并验收合格。</w:t>
            </w:r>
          </w:p>
          <w:p>
            <w:pPr>
              <w:keepNext w:val="0"/>
              <w:keepLines w:val="0"/>
              <w:pageBreakBefore w:val="0"/>
              <w:wordWrap/>
              <w:overflowPunct/>
              <w:topLinePunct w:val="0"/>
              <w:bidi w:val="0"/>
              <w:adjustRightInd w:val="0"/>
              <w:snapToGrid w:val="0"/>
              <w:spacing w:line="360" w:lineRule="exact"/>
              <w:ind w:firstLine="420" w:firstLineChars="200"/>
              <w:rPr>
                <w:rFonts w:hint="eastAsia" w:ascii="宋体" w:hAnsi="宋体"/>
                <w:szCs w:val="21"/>
              </w:rPr>
            </w:pPr>
            <w:r>
              <w:rPr>
                <w:rFonts w:hint="eastAsia" w:ascii="宋体" w:hAnsi="宋体"/>
                <w:szCs w:val="21"/>
              </w:rPr>
              <w:t>2.中标供应商于投标文件中对所投本项目产品的技术参数要求作出真实、有效的响应和承诺。所提供的产品（含零部件、配件等）必须为制造商原装出厂的、全新、无损伤、无变形、油漆喷涂均匀、表面无划伤、无脱落等质量问题或缺陷的产品，投标货物用材、制作工艺、配件等各项技术指标应完全符合国家和相关行业有关质量标准、检测标准、环保标准及产品出厂标准，家具必须符合国家《家具中有害物质限量》的环保标准以及其他有关质量标准；产品到货安装前，采购人现场根据招标文件要求及投标文件承诺逐条对应进行核验，核验不合格的，</w:t>
            </w:r>
            <w:r>
              <w:rPr>
                <w:rFonts w:hint="eastAsia"/>
              </w:rPr>
              <w:t>采购人有权要求中标供应商整改并更换，</w:t>
            </w:r>
            <w:r>
              <w:rPr>
                <w:rFonts w:hint="eastAsia" w:ascii="宋体" w:hAnsi="宋体"/>
                <w:szCs w:val="21"/>
              </w:rPr>
              <w:t>同时报相关监督管理部门处理，由此造成采购人经济损失的由中标供应商负责承担全部赔偿责任。</w:t>
            </w:r>
          </w:p>
          <w:p>
            <w:pPr>
              <w:keepNext w:val="0"/>
              <w:keepLines w:val="0"/>
              <w:pageBreakBefore w:val="0"/>
              <w:wordWrap/>
              <w:overflowPunct/>
              <w:topLinePunct w:val="0"/>
              <w:bidi w:val="0"/>
              <w:adjustRightInd w:val="0"/>
              <w:snapToGrid w:val="0"/>
              <w:spacing w:line="360" w:lineRule="exact"/>
              <w:ind w:firstLine="420" w:firstLineChars="200"/>
              <w:rPr>
                <w:rFonts w:hint="eastAsia" w:ascii="宋体" w:hAnsi="宋体"/>
                <w:szCs w:val="21"/>
              </w:rPr>
            </w:pPr>
            <w:r>
              <w:rPr>
                <w:rFonts w:hint="eastAsia" w:ascii="宋体" w:hAnsi="宋体"/>
                <w:szCs w:val="21"/>
              </w:rPr>
              <w:t>3.中标供应商必须于货物验收时提供所投本项目所有产品主材（包括钢材、木制板材等）的货物合法来源证明复印件及由省级及以上（含：自治区、直辖市）相关质量监督检验部门检测出具的合格有效的质量检验报告复印件。同时，中标供应商需对所安装家具的宿舍进行空气质量检测，有相关质量监督检验部门检测出具的合格有效的质量检测报告复印件。否则，不予验收。</w:t>
            </w:r>
          </w:p>
          <w:p>
            <w:pPr>
              <w:keepNext w:val="0"/>
              <w:keepLines w:val="0"/>
              <w:pageBreakBefore w:val="0"/>
              <w:wordWrap/>
              <w:overflowPunct/>
              <w:topLinePunct w:val="0"/>
              <w:bidi w:val="0"/>
              <w:adjustRightInd w:val="0"/>
              <w:snapToGrid w:val="0"/>
              <w:spacing w:line="360" w:lineRule="exact"/>
              <w:ind w:firstLine="420" w:firstLineChars="200"/>
              <w:rPr>
                <w:rFonts w:hint="eastAsia" w:ascii="宋体" w:hAnsi="宋体"/>
                <w:szCs w:val="21"/>
              </w:rPr>
            </w:pPr>
            <w:r>
              <w:rPr>
                <w:rFonts w:hint="eastAsia" w:ascii="宋体" w:hAnsi="宋体"/>
                <w:szCs w:val="21"/>
              </w:rPr>
              <w:t>4.本次采购货物在完成所有安装调试并经采购人验收前由采购人抽样送省级及以上（含：自治区、直辖市）相关质量监督检验部门检测，</w:t>
            </w:r>
            <w:r>
              <w:rPr>
                <w:rFonts w:hint="eastAsia" w:ascii="宋体" w:hAnsi="宋体"/>
                <w:spacing w:val="4"/>
                <w:szCs w:val="21"/>
              </w:rPr>
              <w:t>抽样检验费用由中标供应商承担。</w:t>
            </w:r>
            <w:r>
              <w:rPr>
                <w:rFonts w:hint="eastAsia" w:ascii="宋体" w:hAnsi="宋体"/>
                <w:szCs w:val="21"/>
              </w:rPr>
              <w:t>若检验不合格或检验所得结果（标准）与投标承诺不一致的，</w:t>
            </w:r>
            <w:r>
              <w:rPr>
                <w:rFonts w:hint="eastAsia" w:ascii="宋体" w:hAnsi="宋体"/>
                <w:spacing w:val="4"/>
                <w:szCs w:val="21"/>
              </w:rPr>
              <w:t>采购人将予以退货并限期要求中标供应商更换成合格的货物</w:t>
            </w:r>
            <w:r>
              <w:rPr>
                <w:rFonts w:hint="eastAsia" w:ascii="宋体" w:hAnsi="宋体"/>
                <w:szCs w:val="21"/>
              </w:rPr>
              <w:t>。</w:t>
            </w:r>
          </w:p>
          <w:p>
            <w:pPr>
              <w:keepNext w:val="0"/>
              <w:keepLines w:val="0"/>
              <w:pageBreakBefore w:val="0"/>
              <w:wordWrap/>
              <w:overflowPunct/>
              <w:topLinePunct w:val="0"/>
              <w:bidi w:val="0"/>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szCs w:val="21"/>
              </w:rPr>
              <w:t>5.货物在完成所有安装工序并经采购人验收前，商品的丢失、损害或毁坏等风险由中标供应商承担。中标供应商组织安装施工期间应做到安全施工，不损坏采购人的设备设施，否则应承担由于自身安全措施不力所造成的事故责任和造成的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1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ordWrap/>
              <w:overflowPunct/>
              <w:topLinePunct w:val="0"/>
              <w:bidi w:val="0"/>
              <w:spacing w:line="360" w:lineRule="exact"/>
              <w:ind w:firstLine="421" w:firstLineChars="200"/>
              <w:rPr>
                <w:rFonts w:hint="eastAsia" w:ascii="宋体" w:hAnsi="宋体" w:cs="宋体"/>
                <w:b/>
                <w:bCs/>
                <w:color w:val="000000" w:themeColor="text1"/>
                <w:szCs w:val="21"/>
                <w:lang w:bidi="ar"/>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投标报价</w:t>
            </w:r>
          </w:p>
        </w:tc>
        <w:tc>
          <w:tcPr>
            <w:tcW w:w="760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ordWrap/>
              <w:overflowPunct/>
              <w:topLinePunct w:val="0"/>
              <w:bidi w:val="0"/>
              <w:adjustRightInd w:val="0"/>
              <w:snapToGrid w:val="0"/>
              <w:spacing w:line="240" w:lineRule="auto"/>
              <w:ind w:firstLine="420" w:firstLineChars="200"/>
              <w:rPr>
                <w:rFonts w:hint="eastAsia" w:ascii="宋体" w:hAnsi="宋体"/>
                <w:szCs w:val="21"/>
              </w:rPr>
            </w:pPr>
            <w:r>
              <w:rPr>
                <w:rFonts w:hint="eastAsia" w:ascii="宋体" w:hAnsi="宋体"/>
                <w:szCs w:val="21"/>
              </w:rPr>
              <w:t>投标报价为采购人指定地点的现场交货价，包括：</w:t>
            </w:r>
          </w:p>
          <w:p>
            <w:pPr>
              <w:keepNext w:val="0"/>
              <w:keepLines w:val="0"/>
              <w:pageBreakBefore w:val="0"/>
              <w:wordWrap/>
              <w:overflowPunct/>
              <w:topLinePunct w:val="0"/>
              <w:bidi w:val="0"/>
              <w:adjustRightInd w:val="0"/>
              <w:snapToGrid w:val="0"/>
              <w:spacing w:line="240" w:lineRule="auto"/>
              <w:ind w:firstLine="420" w:firstLineChars="200"/>
              <w:rPr>
                <w:rFonts w:hint="eastAsia" w:ascii="宋体" w:hAnsi="宋体"/>
                <w:szCs w:val="21"/>
              </w:rPr>
            </w:pPr>
            <w:r>
              <w:rPr>
                <w:rFonts w:hint="eastAsia" w:ascii="宋体" w:hAnsi="宋体"/>
                <w:szCs w:val="21"/>
              </w:rPr>
              <w:t>（1）货款、相关税费、零配件、安装调试费、验收费；</w:t>
            </w:r>
          </w:p>
          <w:p>
            <w:pPr>
              <w:keepNext w:val="0"/>
              <w:keepLines w:val="0"/>
              <w:pageBreakBefore w:val="0"/>
              <w:wordWrap/>
              <w:overflowPunct/>
              <w:topLinePunct w:val="0"/>
              <w:bidi w:val="0"/>
              <w:adjustRightInd w:val="0"/>
              <w:snapToGrid w:val="0"/>
              <w:spacing w:line="240" w:lineRule="auto"/>
              <w:ind w:firstLine="420" w:firstLineChars="200"/>
              <w:rPr>
                <w:rFonts w:hint="eastAsia" w:ascii="宋体" w:hAnsi="宋体"/>
                <w:szCs w:val="21"/>
              </w:rPr>
            </w:pPr>
            <w:r>
              <w:rPr>
                <w:rFonts w:hint="eastAsia" w:ascii="宋体" w:hAnsi="宋体"/>
                <w:szCs w:val="21"/>
              </w:rPr>
              <w:t>（2）货物的标准附件、备品备件、专用工具的价格；</w:t>
            </w:r>
          </w:p>
          <w:p>
            <w:pPr>
              <w:keepNext w:val="0"/>
              <w:keepLines w:val="0"/>
              <w:pageBreakBefore w:val="0"/>
              <w:wordWrap/>
              <w:overflowPunct/>
              <w:topLinePunct w:val="0"/>
              <w:bidi w:val="0"/>
              <w:adjustRightInd w:val="0"/>
              <w:snapToGrid w:val="0"/>
              <w:spacing w:line="240" w:lineRule="auto"/>
              <w:ind w:firstLine="420" w:firstLineChars="200"/>
              <w:rPr>
                <w:rFonts w:hint="eastAsia" w:ascii="宋体" w:hAnsi="宋体"/>
                <w:szCs w:val="21"/>
              </w:rPr>
            </w:pPr>
            <w:r>
              <w:rPr>
                <w:rFonts w:hint="eastAsia" w:ascii="宋体" w:hAnsi="宋体"/>
                <w:szCs w:val="21"/>
              </w:rPr>
              <w:t>（3）运输、装卸、调试、培训、技术支持、售后服务费；</w:t>
            </w:r>
          </w:p>
          <w:p>
            <w:pPr>
              <w:keepNext w:val="0"/>
              <w:keepLines w:val="0"/>
              <w:pageBreakBefore w:val="0"/>
              <w:wordWrap/>
              <w:overflowPunct/>
              <w:topLinePunct w:val="0"/>
              <w:bidi w:val="0"/>
              <w:adjustRightInd w:val="0"/>
              <w:snapToGrid w:val="0"/>
              <w:spacing w:line="240" w:lineRule="auto"/>
              <w:ind w:firstLine="420" w:firstLineChars="200"/>
              <w:rPr>
                <w:rFonts w:hint="eastAsia" w:ascii="宋体" w:hAnsi="宋体"/>
                <w:szCs w:val="21"/>
              </w:rPr>
            </w:pPr>
            <w:r>
              <w:rPr>
                <w:rFonts w:hint="eastAsia" w:ascii="宋体" w:hAnsi="宋体"/>
                <w:szCs w:val="21"/>
              </w:rPr>
              <w:t>（4）按采购人要求进行摆放的费用。</w:t>
            </w:r>
          </w:p>
          <w:p>
            <w:pPr>
              <w:keepNext w:val="0"/>
              <w:keepLines w:val="0"/>
              <w:pageBreakBefore w:val="0"/>
              <w:wordWrap/>
              <w:overflowPunct/>
              <w:topLinePunct w:val="0"/>
              <w:bidi w:val="0"/>
              <w:adjustRightInd w:val="0"/>
              <w:snapToGrid w:val="0"/>
              <w:spacing w:line="24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szCs w:val="21"/>
              </w:rPr>
              <w:t>注：投标人自行考虑完成项目所需的辅材、零配件等数量，投标报价中应包含全部内容，中标后采购人不再另行支付额外费用。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1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ordWrap/>
              <w:overflowPunct/>
              <w:topLinePunct w:val="0"/>
              <w:bidi w:val="0"/>
              <w:spacing w:line="360" w:lineRule="exact"/>
              <w:ind w:firstLine="421" w:firstLineChars="200"/>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付款方式</w:t>
            </w:r>
          </w:p>
        </w:tc>
        <w:tc>
          <w:tcPr>
            <w:tcW w:w="760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ordWrap/>
              <w:overflowPunct/>
              <w:topLinePunct w:val="0"/>
              <w:bidi w:val="0"/>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合同签订且采购人收到中标人缴纳的履约保证金后，采购人凭中标人提供的等额发票按合同金额的30%支付预付款，剩余货款在中标人交货安装调试完并经采购人验收合格无异议后，中标人书面提出付款申请并提供等额发票，采购人在收到中标人书面申请后10个工作日内按财务管理相关规定</w:t>
            </w:r>
            <w:r>
              <w:rPr>
                <w:rFonts w:hint="eastAsia" w:ascii="宋体" w:hAnsi="宋体" w:cs="宋体"/>
                <w:color w:val="000000" w:themeColor="text1"/>
                <w:szCs w:val="21"/>
                <w14:textFill>
                  <w14:solidFill>
                    <w14:schemeClr w14:val="tx1"/>
                  </w14:solidFill>
                </w14:textFill>
              </w:rPr>
              <w:t>一次性付清。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1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ordWrap/>
              <w:overflowPunct/>
              <w:topLinePunct w:val="0"/>
              <w:bidi w:val="0"/>
              <w:spacing w:line="360" w:lineRule="exact"/>
              <w:ind w:firstLine="421" w:firstLineChars="200"/>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履约保证金</w:t>
            </w:r>
          </w:p>
        </w:tc>
        <w:tc>
          <w:tcPr>
            <w:tcW w:w="760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525" w:firstLineChars="250"/>
              <w:textAlignment w:val="auto"/>
              <w:rPr>
                <w:rFonts w:hint="eastAsia" w:ascii="宋体" w:hAnsi="宋体" w:cs="宋体"/>
                <w:szCs w:val="21"/>
              </w:rPr>
            </w:pPr>
            <w:r>
              <w:rPr>
                <w:rFonts w:hint="default" w:ascii="宋体" w:hAnsi="宋体" w:cs="宋体"/>
                <w:szCs w:val="21"/>
                <w:lang w:val="en"/>
              </w:rPr>
              <w:t>1.</w:t>
            </w:r>
            <w:r>
              <w:rPr>
                <w:rFonts w:hint="eastAsia" w:ascii="宋体" w:hAnsi="宋体" w:cs="宋体"/>
                <w:szCs w:val="21"/>
              </w:rPr>
              <w:t>合同签订之前，中标供应商按合同金额的2%向采购人提交履约保证金，</w:t>
            </w:r>
            <w:r>
              <w:rPr>
                <w:rFonts w:hint="eastAsia" w:ascii="宋体" w:hAnsi="宋体" w:cs="宋体"/>
              </w:rPr>
              <w:t>项目验收合格后采购人于5个工作日内退还履约保证金。</w:t>
            </w:r>
            <w:r>
              <w:rPr>
                <w:rFonts w:hint="eastAsia" w:ascii="宋体" w:hAnsi="宋体" w:cs="宋体"/>
                <w:szCs w:val="21"/>
              </w:rPr>
              <w:t>（注：中标供应商采用转账方式提交履约保证金的，须从中标供应商基本账户汇出到达指定账户，并持银行转账凭证到采购人财务处开具收据。）</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525" w:firstLineChars="250"/>
              <w:textAlignment w:val="auto"/>
              <w:rPr>
                <w:rFonts w:hint="eastAsia" w:ascii="宋体" w:hAnsi="宋体" w:cs="宋体"/>
                <w:szCs w:val="21"/>
              </w:rPr>
            </w:pPr>
            <w:r>
              <w:rPr>
                <w:rFonts w:hint="default" w:ascii="宋体" w:hAnsi="宋体" w:cs="宋体"/>
                <w:szCs w:val="21"/>
                <w:lang w:val="en"/>
              </w:rPr>
              <w:t>2.</w:t>
            </w:r>
            <w:r>
              <w:rPr>
                <w:rFonts w:hint="eastAsia" w:ascii="宋体" w:hAnsi="宋体" w:cs="宋体"/>
                <w:szCs w:val="21"/>
              </w:rPr>
              <w:t>备注：</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cs="宋体"/>
                <w:szCs w:val="21"/>
              </w:rPr>
            </w:pPr>
            <w:r>
              <w:rPr>
                <w:rFonts w:hint="eastAsia" w:ascii="宋体" w:hAnsi="宋体" w:cs="宋体"/>
                <w:szCs w:val="21"/>
              </w:rPr>
              <w:t>（1）采用银行出具的保函的，必须为无条件的银行保函，否则不予签订合同。</w:t>
            </w:r>
          </w:p>
          <w:p>
            <w:pPr>
              <w:keepNext w:val="0"/>
              <w:keepLines w:val="0"/>
              <w:pageBreakBefore w:val="0"/>
              <w:widowControl w:val="0"/>
              <w:kinsoku/>
              <w:wordWrap/>
              <w:overflowPunct/>
              <w:topLinePunct w:val="0"/>
              <w:autoSpaceDE/>
              <w:autoSpaceDN/>
              <w:bidi w:val="0"/>
              <w:spacing w:line="360" w:lineRule="exact"/>
              <w:ind w:firstLine="42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szCs w:val="21"/>
              </w:rPr>
              <w:t>（2）交纳时请写明项目名称及项目编号，如未写明清楚或有误的，由此产生的后果由中标供应商自行负责。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1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ordWrap/>
              <w:overflowPunct/>
              <w:topLinePunct w:val="0"/>
              <w:bidi w:val="0"/>
              <w:spacing w:line="360" w:lineRule="exact"/>
              <w:ind w:firstLine="210" w:firstLineChars="100"/>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本项目核心产品</w:t>
            </w:r>
          </w:p>
        </w:tc>
        <w:tc>
          <w:tcPr>
            <w:tcW w:w="7605" w:type="dxa"/>
            <w:gridSpan w:val="4"/>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ordWrap/>
              <w:overflowPunct/>
              <w:topLinePunct w:val="0"/>
              <w:bidi w:val="0"/>
              <w:spacing w:line="360" w:lineRule="exact"/>
              <w:ind w:firstLine="0" w:firstLineChars="0"/>
              <w:rPr>
                <w:rFonts w:hint="eastAsia" w:hAnsi="宋体" w:cs="宋体"/>
                <w:b/>
                <w:bCs w:val="0"/>
                <w:color w:val="000000" w:themeColor="text1"/>
                <w:szCs w:val="21"/>
                <w:highlight w:val="none"/>
                <w14:textFill>
                  <w14:solidFill>
                    <w14:schemeClr w14:val="tx1"/>
                  </w14:solidFill>
                </w14:textFill>
              </w:rPr>
            </w:pPr>
            <w:r>
              <w:rPr>
                <w:rFonts w:hint="eastAsia" w:hAnsi="宋体"/>
                <w:b/>
                <w:bCs w:val="0"/>
                <w:szCs w:val="21"/>
                <w:highlight w:val="none"/>
              </w:rPr>
              <w:t>投标产品项号1</w:t>
            </w:r>
            <w:r>
              <w:rPr>
                <w:rFonts w:hint="eastAsia" w:hAnsi="宋体"/>
                <w:b/>
                <w:bCs w:val="0"/>
                <w:szCs w:val="21"/>
                <w:highlight w:val="none"/>
                <w:lang w:eastAsia="zh-CN"/>
              </w:rPr>
              <w:t>、</w:t>
            </w:r>
            <w:r>
              <w:rPr>
                <w:rFonts w:hint="eastAsia" w:hAnsi="宋体"/>
                <w:b/>
                <w:bCs w:val="0"/>
                <w:szCs w:val="21"/>
                <w:highlight w:val="none"/>
                <w:lang w:val="en-US" w:eastAsia="zh-CN"/>
              </w:rPr>
              <w:t>4</w:t>
            </w:r>
            <w:r>
              <w:rPr>
                <w:rFonts w:hint="eastAsia" w:hAnsi="宋体"/>
                <w:b/>
                <w:bCs w:val="0"/>
                <w:szCs w:val="21"/>
                <w:highlight w:val="none"/>
              </w:rPr>
              <w:t>“</w:t>
            </w:r>
            <w:r>
              <w:rPr>
                <w:rFonts w:hint="eastAsia" w:hAnsi="宋体" w:cs="宋体"/>
                <w:b/>
                <w:bCs w:val="0"/>
                <w:snapToGrid w:val="0"/>
                <w:kern w:val="0"/>
                <w:szCs w:val="21"/>
                <w:highlight w:val="none"/>
              </w:rPr>
              <w:t>三联四位公寓床”</w:t>
            </w:r>
            <w:r>
              <w:rPr>
                <w:rFonts w:hint="eastAsia" w:hAnsi="宋体"/>
                <w:b/>
                <w:bCs w:val="0"/>
                <w:szCs w:val="21"/>
                <w:highlight w:val="none"/>
              </w:rPr>
              <w:t>（核心产品品牌相同的，视为提供同品牌产品）</w:t>
            </w:r>
          </w:p>
          <w:p>
            <w:pPr>
              <w:keepNext w:val="0"/>
              <w:keepLines w:val="0"/>
              <w:pageBreakBefore w:val="0"/>
              <w:wordWrap/>
              <w:overflowPunct/>
              <w:topLinePunct w:val="0"/>
              <w:bidi w:val="0"/>
              <w:spacing w:line="360" w:lineRule="exact"/>
              <w:ind w:firstLine="420" w:firstLineChars="200"/>
              <w:rPr>
                <w:color w:val="000000" w:themeColor="text1"/>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注：使用综合评分法的采购项目，提供相同品牌产品且通过资格审查、符合性审查的不同投</w:t>
            </w:r>
            <w:r>
              <w:rPr>
                <w:rFonts w:hint="eastAsia" w:ascii="宋体" w:hAnsi="宋体" w:cs="宋体"/>
                <w:color w:val="000000" w:themeColor="text1"/>
                <w:szCs w:val="21"/>
                <w14:textFill>
                  <w14:solidFill>
                    <w14:schemeClr w14:val="tx1"/>
                  </w14:solidFill>
                </w14:textFill>
              </w:rPr>
              <w:t>标人参加同一合同项下投标的，按一家投标人计算，评审后得分最高的同品牌投标人获得中标人推荐资格；评审得分相同的，由采购人或者采购人委托评标委员会按照《评标方法及评分标准》中的推荐原则确定一个投标人获得中标人推荐资格，其他同品牌投标人不作为中标候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1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ordWrap/>
              <w:overflowPunct/>
              <w:topLinePunct w:val="0"/>
              <w:bidi w:val="0"/>
              <w:spacing w:line="360" w:lineRule="exact"/>
              <w:ind w:firstLine="527" w:firstLineChars="250"/>
              <w:rPr>
                <w:rFonts w:hint="eastAsia" w:ascii="宋体" w:hAnsi="宋体" w:cs="宋体"/>
                <w:b/>
                <w:bCs/>
                <w:color w:val="000000" w:themeColor="text1"/>
                <w:szCs w:val="21"/>
                <w14:textFill>
                  <w14:solidFill>
                    <w14:schemeClr w14:val="tx1"/>
                  </w14:solidFill>
                </w14:textFill>
              </w:rPr>
            </w:pPr>
            <w:r>
              <w:rPr>
                <w:rFonts w:hint="eastAsia" w:ascii="宋体" w:hAnsi="宋体" w:cs="宋体"/>
                <w:b/>
                <w:bCs/>
                <w:szCs w:val="21"/>
                <w:lang w:bidi="ar"/>
              </w:rPr>
              <w:t>违约责任</w:t>
            </w:r>
          </w:p>
        </w:tc>
        <w:tc>
          <w:tcPr>
            <w:tcW w:w="760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ordWrap/>
              <w:overflowPunct/>
              <w:topLinePunct w:val="0"/>
              <w:bidi w:val="0"/>
              <w:adjustRightInd w:val="0"/>
              <w:snapToGrid w:val="0"/>
              <w:spacing w:line="360" w:lineRule="exact"/>
              <w:rPr>
                <w:rFonts w:hint="eastAsia" w:ascii="宋体" w:hAnsi="宋体"/>
                <w:szCs w:val="21"/>
              </w:rPr>
            </w:pPr>
            <w:r>
              <w:rPr>
                <w:rFonts w:hint="eastAsia" w:ascii="宋体" w:hAnsi="宋体"/>
                <w:szCs w:val="21"/>
              </w:rPr>
              <w:t>1.中标供应商所提供的家具规格、技术标准、材料等质量不符合约定的，应无条件及时更换，更换不及时的按逾期交货行为处理；因出现质量等问题时，采购人不同意接收的或特殊情况采购人同意接收的，中标供应商还应向采购人支付违约货款额3%违约金并中标供应商应赔偿采购人经济损失。</w:t>
            </w:r>
          </w:p>
          <w:p>
            <w:pPr>
              <w:keepNext w:val="0"/>
              <w:keepLines w:val="0"/>
              <w:pageBreakBefore w:val="0"/>
              <w:wordWrap/>
              <w:overflowPunct/>
              <w:topLinePunct w:val="0"/>
              <w:bidi w:val="0"/>
              <w:adjustRightInd w:val="0"/>
              <w:snapToGrid w:val="0"/>
              <w:spacing w:line="360" w:lineRule="exact"/>
              <w:rPr>
                <w:rFonts w:hint="eastAsia" w:ascii="宋体" w:hAnsi="宋体"/>
                <w:szCs w:val="21"/>
              </w:rPr>
            </w:pPr>
            <w:r>
              <w:rPr>
                <w:rFonts w:hint="eastAsia" w:ascii="宋体" w:hAnsi="宋体"/>
                <w:szCs w:val="21"/>
              </w:rPr>
              <w:t>2.中标供应商提供的货物如侵犯第三方合法权益而引发的任何纠纷或诉讼，均由中标供应商负责交涉并承担全部责任。</w:t>
            </w:r>
          </w:p>
          <w:p>
            <w:pPr>
              <w:keepNext w:val="0"/>
              <w:keepLines w:val="0"/>
              <w:pageBreakBefore w:val="0"/>
              <w:wordWrap/>
              <w:overflowPunct/>
              <w:topLinePunct w:val="0"/>
              <w:bidi w:val="0"/>
              <w:adjustRightInd w:val="0"/>
              <w:snapToGrid w:val="0"/>
              <w:spacing w:line="360" w:lineRule="exact"/>
              <w:rPr>
                <w:rFonts w:hint="eastAsia" w:ascii="宋体" w:hAnsi="宋体"/>
                <w:szCs w:val="21"/>
              </w:rPr>
            </w:pPr>
            <w:r>
              <w:rPr>
                <w:rFonts w:hint="eastAsia" w:ascii="宋体" w:hAnsi="宋体"/>
                <w:szCs w:val="21"/>
              </w:rPr>
              <w:t>3.因包装、运输、安装等非采购人原因引起的货物损坏，均按质量不合格处罚。</w:t>
            </w:r>
          </w:p>
          <w:p>
            <w:pPr>
              <w:keepNext w:val="0"/>
              <w:keepLines w:val="0"/>
              <w:pageBreakBefore w:val="0"/>
              <w:wordWrap/>
              <w:overflowPunct/>
              <w:topLinePunct w:val="0"/>
              <w:bidi w:val="0"/>
              <w:adjustRightInd w:val="0"/>
              <w:snapToGrid w:val="0"/>
              <w:spacing w:line="360" w:lineRule="exact"/>
              <w:rPr>
                <w:rFonts w:hint="eastAsia" w:ascii="宋体" w:hAnsi="宋体"/>
                <w:szCs w:val="21"/>
              </w:rPr>
            </w:pPr>
            <w:r>
              <w:rPr>
                <w:rFonts w:hint="eastAsia" w:ascii="宋体" w:hAnsi="宋体"/>
                <w:szCs w:val="21"/>
              </w:rPr>
              <w:t>4.采购人无故延期接收货物，中标供应商逾期交货的，每天向对方偿付违约货款额</w:t>
            </w:r>
            <w:r>
              <w:rPr>
                <w:rFonts w:ascii="宋体" w:hAnsi="宋体"/>
                <w:szCs w:val="21"/>
                <w:lang w:val="en"/>
              </w:rPr>
              <w:t>0.5</w:t>
            </w:r>
            <w:r>
              <w:rPr>
                <w:rFonts w:hint="eastAsia" w:ascii="宋体" w:hAnsi="宋体"/>
                <w:szCs w:val="21"/>
              </w:rPr>
              <w:t>‰违约金，但违约金累计不得超过违约货款额</w:t>
            </w:r>
            <w:r>
              <w:rPr>
                <w:rFonts w:ascii="宋体" w:hAnsi="宋体"/>
                <w:szCs w:val="21"/>
                <w:lang w:val="en"/>
              </w:rPr>
              <w:t>5</w:t>
            </w:r>
            <w:r>
              <w:rPr>
                <w:rFonts w:hint="eastAsia" w:ascii="宋体" w:hAnsi="宋体"/>
                <w:szCs w:val="21"/>
              </w:rPr>
              <w:t>%，超过</w:t>
            </w:r>
            <w:r>
              <w:rPr>
                <w:rFonts w:ascii="宋体" w:hAnsi="宋体"/>
                <w:szCs w:val="21"/>
                <w:lang w:val="en"/>
              </w:rPr>
              <w:t>15</w:t>
            </w:r>
            <w:r>
              <w:rPr>
                <w:rFonts w:hint="eastAsia" w:ascii="宋体" w:hAnsi="宋体"/>
                <w:szCs w:val="21"/>
              </w:rPr>
              <w:t>天对方有权解除合同，违约方承担因此给对方造成经济损失；采购人延期付货款的，每天向中标供应商偿付延期货款额</w:t>
            </w:r>
            <w:r>
              <w:rPr>
                <w:rFonts w:ascii="宋体" w:hAnsi="宋体"/>
                <w:szCs w:val="21"/>
                <w:lang w:val="en"/>
              </w:rPr>
              <w:t>0.5</w:t>
            </w:r>
            <w:r>
              <w:rPr>
                <w:rFonts w:hint="eastAsia" w:ascii="宋体" w:hAnsi="宋体"/>
                <w:szCs w:val="21"/>
              </w:rPr>
              <w:t>‰违约金，但违约金累计不得超过延期货款额</w:t>
            </w:r>
            <w:r>
              <w:rPr>
                <w:rFonts w:ascii="宋体" w:hAnsi="宋体"/>
                <w:szCs w:val="21"/>
                <w:lang w:val="en"/>
              </w:rPr>
              <w:t>5</w:t>
            </w:r>
            <w:r>
              <w:rPr>
                <w:rFonts w:hint="eastAsia" w:ascii="宋体" w:hAnsi="宋体"/>
                <w:szCs w:val="21"/>
              </w:rPr>
              <w:t>%。</w:t>
            </w:r>
          </w:p>
          <w:p>
            <w:pPr>
              <w:keepNext w:val="0"/>
              <w:keepLines w:val="0"/>
              <w:pageBreakBefore w:val="0"/>
              <w:wordWrap/>
              <w:overflowPunct/>
              <w:topLinePunct w:val="0"/>
              <w:bidi w:val="0"/>
              <w:adjustRightInd w:val="0"/>
              <w:snapToGrid w:val="0"/>
              <w:spacing w:line="360" w:lineRule="exact"/>
              <w:rPr>
                <w:rFonts w:hint="eastAsia" w:ascii="宋体" w:hAnsi="宋体"/>
                <w:szCs w:val="21"/>
              </w:rPr>
            </w:pPr>
            <w:r>
              <w:rPr>
                <w:rFonts w:hint="eastAsia" w:ascii="宋体" w:hAnsi="宋体"/>
                <w:szCs w:val="21"/>
              </w:rPr>
              <w:t>5.中标供应商未按响应文件和合同中规定的服务承诺提供售后服务的，中标供应商应按合同合计金额3%向采购人支付违约金。</w:t>
            </w:r>
          </w:p>
          <w:p>
            <w:pPr>
              <w:keepNext w:val="0"/>
              <w:keepLines w:val="0"/>
              <w:pageBreakBefore w:val="0"/>
              <w:wordWrap/>
              <w:overflowPunct/>
              <w:topLinePunct w:val="0"/>
              <w:bidi w:val="0"/>
              <w:adjustRightInd w:val="0"/>
              <w:snapToGrid w:val="0"/>
              <w:spacing w:line="360" w:lineRule="exact"/>
              <w:rPr>
                <w:rFonts w:hint="eastAsia" w:ascii="宋体" w:hAnsi="宋体"/>
                <w:szCs w:val="21"/>
              </w:rPr>
            </w:pPr>
            <w:r>
              <w:rPr>
                <w:rFonts w:hint="eastAsia" w:ascii="宋体" w:hAnsi="宋体"/>
                <w:szCs w:val="21"/>
              </w:rPr>
              <w:t>6.中标供应商提供的货物在质量保证期内，因设计、工艺或材料的缺陷和其它质量原因造成的问题，由中标供应商负责，费用从履约保证金中扣除，履约保证金不足以支付的，由中标供应商另行支付。</w:t>
            </w:r>
          </w:p>
          <w:p>
            <w:pPr>
              <w:keepNext w:val="0"/>
              <w:keepLines w:val="0"/>
              <w:pageBreakBefore w:val="0"/>
              <w:wordWrap/>
              <w:overflowPunct/>
              <w:topLinePunct w:val="0"/>
              <w:bidi w:val="0"/>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szCs w:val="21"/>
              </w:rPr>
              <w:t>7.其它违约行为按违约货款额</w:t>
            </w:r>
            <w:r>
              <w:rPr>
                <w:rFonts w:ascii="宋体" w:hAnsi="宋体"/>
                <w:szCs w:val="21"/>
                <w:lang w:val="en"/>
              </w:rPr>
              <w:t>30</w:t>
            </w:r>
            <w:r>
              <w:rPr>
                <w:rFonts w:hint="eastAsia" w:ascii="宋体" w:hAnsi="宋体"/>
                <w:szCs w:val="21"/>
              </w:rPr>
              <w:t>%收取违约金并赔偿经济损失。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1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ordWrap/>
              <w:overflowPunct/>
              <w:topLinePunct w:val="0"/>
              <w:bidi w:val="0"/>
              <w:spacing w:line="360" w:lineRule="exact"/>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val="en-US" w:eastAsia="zh-CN"/>
                <w14:textFill>
                  <w14:solidFill>
                    <w14:schemeClr w14:val="tx1"/>
                  </w14:solidFill>
                </w14:textFill>
              </w:rPr>
              <w:t xml:space="preserve"> </w:t>
            </w:r>
            <w:r>
              <w:rPr>
                <w:rFonts w:hint="eastAsia" w:ascii="宋体" w:hAnsi="宋体" w:cs="宋体"/>
                <w:b/>
                <w:bCs/>
                <w:color w:val="000000" w:themeColor="text1"/>
                <w:szCs w:val="21"/>
                <w14:textFill>
                  <w14:solidFill>
                    <w14:schemeClr w14:val="tx1"/>
                  </w14:solidFill>
                </w14:textFill>
              </w:rPr>
              <w:t>投标样品（小样）</w:t>
            </w:r>
          </w:p>
          <w:p>
            <w:pPr>
              <w:keepNext w:val="0"/>
              <w:keepLines w:val="0"/>
              <w:pageBreakBefore w:val="0"/>
              <w:wordWrap/>
              <w:overflowPunct/>
              <w:topLinePunct w:val="0"/>
              <w:bidi w:val="0"/>
              <w:spacing w:line="360" w:lineRule="exact"/>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val="en-US" w:eastAsia="zh-CN"/>
                <w14:textFill>
                  <w14:solidFill>
                    <w14:schemeClr w14:val="tx1"/>
                  </w14:solidFill>
                </w14:textFill>
              </w:rPr>
              <w:t xml:space="preserve">      </w:t>
            </w:r>
            <w:r>
              <w:rPr>
                <w:rFonts w:hint="eastAsia" w:ascii="宋体" w:hAnsi="宋体" w:cs="宋体"/>
                <w:b/>
                <w:bCs/>
                <w:color w:val="000000" w:themeColor="text1"/>
                <w:szCs w:val="21"/>
                <w14:textFill>
                  <w14:solidFill>
                    <w14:schemeClr w14:val="tx1"/>
                  </w14:solidFill>
                </w14:textFill>
              </w:rPr>
              <w:t>要求</w:t>
            </w:r>
          </w:p>
        </w:tc>
        <w:tc>
          <w:tcPr>
            <w:tcW w:w="7605" w:type="dxa"/>
            <w:gridSpan w:val="4"/>
            <w:tcBorders>
              <w:top w:val="single" w:color="auto" w:sz="4" w:space="0"/>
              <w:left w:val="single" w:color="auto" w:sz="4" w:space="0"/>
              <w:bottom w:val="single" w:color="auto" w:sz="4" w:space="0"/>
              <w:right w:val="single" w:color="auto" w:sz="4" w:space="0"/>
            </w:tcBorders>
            <w:vAlign w:val="center"/>
          </w:tcPr>
          <w:tbl>
            <w:tblPr>
              <w:tblStyle w:val="52"/>
              <w:tblW w:w="73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
              <w:gridCol w:w="1920"/>
              <w:gridCol w:w="1340"/>
              <w:gridCol w:w="910"/>
              <w:gridCol w:w="1554"/>
              <w:gridCol w:w="1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70" w:type="dxa"/>
                  <w:vAlign w:val="center"/>
                </w:tcPr>
                <w:p>
                  <w:pPr>
                    <w:keepNext w:val="0"/>
                    <w:keepLines w:val="0"/>
                    <w:pageBreakBefore w:val="0"/>
                    <w:wordWrap/>
                    <w:overflowPunct/>
                    <w:topLinePunct w:val="0"/>
                    <w:bidi w:val="0"/>
                    <w:snapToGrid w:val="0"/>
                    <w:spacing w:line="360" w:lineRule="exact"/>
                    <w:jc w:val="center"/>
                    <w:rPr>
                      <w:rFonts w:hint="eastAsia" w:ascii="宋体" w:hAnsi="宋体"/>
                      <w:b/>
                      <w:bCs/>
                      <w:szCs w:val="21"/>
                    </w:rPr>
                  </w:pPr>
                  <w:r>
                    <w:rPr>
                      <w:rFonts w:hint="eastAsia" w:ascii="宋体" w:hAnsi="宋体"/>
                      <w:b/>
                      <w:bCs/>
                      <w:szCs w:val="21"/>
                    </w:rPr>
                    <w:t>序号</w:t>
                  </w:r>
                </w:p>
              </w:tc>
              <w:tc>
                <w:tcPr>
                  <w:tcW w:w="1920" w:type="dxa"/>
                  <w:vAlign w:val="center"/>
                </w:tcPr>
                <w:p>
                  <w:pPr>
                    <w:keepNext w:val="0"/>
                    <w:keepLines w:val="0"/>
                    <w:pageBreakBefore w:val="0"/>
                    <w:wordWrap/>
                    <w:overflowPunct/>
                    <w:topLinePunct w:val="0"/>
                    <w:bidi w:val="0"/>
                    <w:snapToGrid w:val="0"/>
                    <w:spacing w:line="360" w:lineRule="exact"/>
                    <w:jc w:val="center"/>
                    <w:rPr>
                      <w:rFonts w:hint="eastAsia" w:ascii="宋体" w:hAnsi="宋体"/>
                      <w:b/>
                      <w:bCs/>
                      <w:szCs w:val="21"/>
                    </w:rPr>
                  </w:pPr>
                  <w:r>
                    <w:rPr>
                      <w:rFonts w:hint="eastAsia" w:ascii="宋体" w:hAnsi="宋体"/>
                      <w:b/>
                      <w:bCs/>
                      <w:szCs w:val="21"/>
                    </w:rPr>
                    <w:t>对应</w:t>
                  </w:r>
                </w:p>
                <w:p>
                  <w:pPr>
                    <w:keepNext w:val="0"/>
                    <w:keepLines w:val="0"/>
                    <w:pageBreakBefore w:val="0"/>
                    <w:wordWrap/>
                    <w:overflowPunct/>
                    <w:topLinePunct w:val="0"/>
                    <w:bidi w:val="0"/>
                    <w:snapToGrid w:val="0"/>
                    <w:spacing w:line="360" w:lineRule="exact"/>
                    <w:jc w:val="center"/>
                    <w:rPr>
                      <w:rFonts w:hint="eastAsia" w:ascii="宋体" w:hAnsi="宋体"/>
                      <w:b/>
                      <w:bCs/>
                      <w:szCs w:val="21"/>
                    </w:rPr>
                  </w:pPr>
                  <w:r>
                    <w:rPr>
                      <w:rFonts w:hint="eastAsia" w:ascii="宋体" w:hAnsi="宋体"/>
                      <w:b/>
                      <w:bCs/>
                      <w:szCs w:val="21"/>
                    </w:rPr>
                    <w:t>项号</w:t>
                  </w:r>
                  <w:r>
                    <w:rPr>
                      <w:rFonts w:hint="eastAsia"/>
                      <w:b/>
                      <w:bCs/>
                    </w:rPr>
                    <w:t>货物</w:t>
                  </w:r>
                </w:p>
              </w:tc>
              <w:tc>
                <w:tcPr>
                  <w:tcW w:w="1340" w:type="dxa"/>
                  <w:vAlign w:val="center"/>
                </w:tcPr>
                <w:p>
                  <w:pPr>
                    <w:keepNext w:val="0"/>
                    <w:keepLines w:val="0"/>
                    <w:pageBreakBefore w:val="0"/>
                    <w:wordWrap/>
                    <w:overflowPunct/>
                    <w:topLinePunct w:val="0"/>
                    <w:bidi w:val="0"/>
                    <w:snapToGrid w:val="0"/>
                    <w:spacing w:line="360" w:lineRule="exact"/>
                    <w:jc w:val="center"/>
                    <w:rPr>
                      <w:rFonts w:hint="eastAsia" w:ascii="宋体" w:hAnsi="宋体"/>
                      <w:b/>
                      <w:bCs/>
                      <w:szCs w:val="21"/>
                    </w:rPr>
                  </w:pPr>
                  <w:r>
                    <w:rPr>
                      <w:rFonts w:hint="eastAsia" w:ascii="宋体" w:hAnsi="宋体"/>
                      <w:b/>
                      <w:bCs/>
                      <w:szCs w:val="21"/>
                    </w:rPr>
                    <w:t>小样名称</w:t>
                  </w:r>
                </w:p>
              </w:tc>
              <w:tc>
                <w:tcPr>
                  <w:tcW w:w="910" w:type="dxa"/>
                  <w:vAlign w:val="center"/>
                </w:tcPr>
                <w:p>
                  <w:pPr>
                    <w:keepNext w:val="0"/>
                    <w:keepLines w:val="0"/>
                    <w:pageBreakBefore w:val="0"/>
                    <w:wordWrap/>
                    <w:overflowPunct/>
                    <w:topLinePunct w:val="0"/>
                    <w:bidi w:val="0"/>
                    <w:snapToGrid w:val="0"/>
                    <w:spacing w:line="360" w:lineRule="exact"/>
                    <w:jc w:val="center"/>
                    <w:rPr>
                      <w:rFonts w:hint="eastAsia" w:ascii="宋体" w:hAnsi="宋体"/>
                      <w:b/>
                      <w:bCs/>
                      <w:szCs w:val="21"/>
                    </w:rPr>
                  </w:pPr>
                  <w:r>
                    <w:rPr>
                      <w:rFonts w:hint="eastAsia" w:ascii="宋体" w:hAnsi="宋体"/>
                      <w:b/>
                      <w:bCs/>
                      <w:szCs w:val="21"/>
                    </w:rPr>
                    <w:t>数量</w:t>
                  </w:r>
                </w:p>
              </w:tc>
              <w:tc>
                <w:tcPr>
                  <w:tcW w:w="1554" w:type="dxa"/>
                  <w:vAlign w:val="center"/>
                </w:tcPr>
                <w:p>
                  <w:pPr>
                    <w:keepNext w:val="0"/>
                    <w:keepLines w:val="0"/>
                    <w:pageBreakBefore w:val="0"/>
                    <w:wordWrap/>
                    <w:overflowPunct/>
                    <w:topLinePunct w:val="0"/>
                    <w:bidi w:val="0"/>
                    <w:snapToGrid w:val="0"/>
                    <w:spacing w:line="360" w:lineRule="exact"/>
                    <w:jc w:val="center"/>
                    <w:rPr>
                      <w:rFonts w:hint="eastAsia" w:ascii="宋体" w:hAnsi="宋体"/>
                      <w:b/>
                      <w:bCs/>
                      <w:szCs w:val="21"/>
                    </w:rPr>
                  </w:pPr>
                  <w:r>
                    <w:rPr>
                      <w:rFonts w:hint="eastAsia" w:ascii="宋体" w:hAnsi="宋体"/>
                      <w:b/>
                      <w:bCs/>
                      <w:szCs w:val="21"/>
                    </w:rPr>
                    <w:t>参考尺寸</w:t>
                  </w:r>
                </w:p>
              </w:tc>
              <w:tc>
                <w:tcPr>
                  <w:tcW w:w="1178" w:type="dxa"/>
                  <w:vAlign w:val="center"/>
                </w:tcPr>
                <w:p>
                  <w:pPr>
                    <w:keepNext w:val="0"/>
                    <w:keepLines w:val="0"/>
                    <w:pageBreakBefore w:val="0"/>
                    <w:wordWrap/>
                    <w:overflowPunct/>
                    <w:topLinePunct w:val="0"/>
                    <w:bidi w:val="0"/>
                    <w:snapToGrid w:val="0"/>
                    <w:spacing w:line="360" w:lineRule="exact"/>
                    <w:jc w:val="center"/>
                    <w:rPr>
                      <w:rFonts w:hint="eastAsia" w:ascii="宋体" w:hAnsi="宋体"/>
                      <w:b/>
                      <w:bCs/>
                      <w:szCs w:val="21"/>
                    </w:rPr>
                  </w:pPr>
                  <w:r>
                    <w:rPr>
                      <w:rFonts w:hint="eastAsia" w:ascii="宋体" w:hAnsi="宋体"/>
                      <w:b/>
                      <w:bCs/>
                      <w:szCs w:val="21"/>
                    </w:rPr>
                    <w:t>备注说明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70" w:type="dxa"/>
                  <w:vAlign w:val="center"/>
                </w:tcPr>
                <w:p>
                  <w:pPr>
                    <w:keepNext w:val="0"/>
                    <w:keepLines w:val="0"/>
                    <w:pageBreakBefore w:val="0"/>
                    <w:wordWrap/>
                    <w:overflowPunct/>
                    <w:topLinePunct w:val="0"/>
                    <w:bidi w:val="0"/>
                    <w:adjustRightInd w:val="0"/>
                    <w:snapToGrid w:val="0"/>
                    <w:spacing w:line="360" w:lineRule="exact"/>
                    <w:jc w:val="center"/>
                    <w:rPr>
                      <w:rFonts w:hint="eastAsia" w:ascii="宋体" w:hAnsi="宋体" w:cs="宋体"/>
                      <w:szCs w:val="21"/>
                    </w:rPr>
                  </w:pPr>
                  <w:r>
                    <w:rPr>
                      <w:rFonts w:hint="eastAsia" w:ascii="宋体" w:hAnsi="宋体" w:cs="宋体"/>
                      <w:szCs w:val="21"/>
                    </w:rPr>
                    <w:t>1</w:t>
                  </w:r>
                </w:p>
              </w:tc>
              <w:tc>
                <w:tcPr>
                  <w:tcW w:w="1920" w:type="dxa"/>
                  <w:vAlign w:val="center"/>
                </w:tcPr>
                <w:p>
                  <w:pPr>
                    <w:keepNext w:val="0"/>
                    <w:keepLines w:val="0"/>
                    <w:pageBreakBefore w:val="0"/>
                    <w:wordWrap/>
                    <w:overflowPunct/>
                    <w:topLinePunct w:val="0"/>
                    <w:bidi w:val="0"/>
                    <w:adjustRightInd w:val="0"/>
                    <w:snapToGrid w:val="0"/>
                    <w:spacing w:line="360" w:lineRule="exact"/>
                    <w:jc w:val="center"/>
                    <w:rPr>
                      <w:rFonts w:hint="eastAsia" w:ascii="宋体" w:hAnsi="宋体"/>
                      <w:szCs w:val="21"/>
                    </w:rPr>
                  </w:pPr>
                  <w:r>
                    <w:rPr>
                      <w:rFonts w:hint="eastAsia" w:ascii="宋体" w:hAnsi="宋体" w:cs="宋体"/>
                      <w:szCs w:val="21"/>
                    </w:rPr>
                    <w:t>项号1、项号4</w:t>
                  </w:r>
                </w:p>
              </w:tc>
              <w:tc>
                <w:tcPr>
                  <w:tcW w:w="1340" w:type="dxa"/>
                  <w:vAlign w:val="center"/>
                </w:tcPr>
                <w:p>
                  <w:pPr>
                    <w:keepNext w:val="0"/>
                    <w:keepLines w:val="0"/>
                    <w:pageBreakBefore w:val="0"/>
                    <w:widowControl/>
                    <w:tabs>
                      <w:tab w:val="center" w:pos="4153"/>
                      <w:tab w:val="right" w:pos="8306"/>
                    </w:tabs>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cs="宋体"/>
                      <w:snapToGrid w:val="0"/>
                      <w:color w:val="auto"/>
                      <w:kern w:val="0"/>
                      <w:szCs w:val="21"/>
                    </w:rPr>
                  </w:pPr>
                  <w:r>
                    <w:rPr>
                      <w:rFonts w:hint="eastAsia" w:ascii="宋体" w:hAnsi="宋体" w:cs="宋体"/>
                      <w:snapToGrid w:val="0"/>
                      <w:color w:val="auto"/>
                      <w:kern w:val="0"/>
                      <w:szCs w:val="21"/>
                    </w:rPr>
                    <w:t>边立柱</w:t>
                  </w:r>
                </w:p>
                <w:p>
                  <w:pPr>
                    <w:keepNext w:val="0"/>
                    <w:keepLines w:val="0"/>
                    <w:pageBreakBefore w:val="0"/>
                    <w:widowControl/>
                    <w:tabs>
                      <w:tab w:val="center" w:pos="4153"/>
                      <w:tab w:val="right" w:pos="8306"/>
                    </w:tabs>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color w:val="auto"/>
                      <w:szCs w:val="21"/>
                    </w:rPr>
                  </w:pPr>
                  <w:r>
                    <w:rPr>
                      <w:rFonts w:hint="eastAsia" w:ascii="宋体" w:hAnsi="宋体" w:cs="宋体"/>
                      <w:snapToGrid w:val="0"/>
                      <w:color w:val="auto"/>
                      <w:kern w:val="0"/>
                      <w:szCs w:val="21"/>
                    </w:rPr>
                    <w:t>(含</w:t>
                  </w:r>
                  <w:r>
                    <w:rPr>
                      <w:rFonts w:hint="eastAsia" w:ascii="宋体" w:hAnsi="宋体" w:cs="宋体"/>
                      <w:snapToGrid w:val="0"/>
                      <w:color w:val="auto"/>
                      <w:kern w:val="0"/>
                      <w:szCs w:val="21"/>
                      <w:lang w:val="en-US" w:eastAsia="zh-CN"/>
                    </w:rPr>
                    <w:t>脚套</w:t>
                  </w:r>
                  <w:r>
                    <w:rPr>
                      <w:rFonts w:hint="eastAsia" w:ascii="宋体" w:hAnsi="宋体" w:cs="宋体"/>
                      <w:snapToGrid w:val="0"/>
                      <w:color w:val="auto"/>
                      <w:kern w:val="0"/>
                      <w:szCs w:val="21"/>
                    </w:rPr>
                    <w:t>)</w:t>
                  </w:r>
                </w:p>
              </w:tc>
              <w:tc>
                <w:tcPr>
                  <w:tcW w:w="910"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color w:val="auto"/>
                      <w:szCs w:val="21"/>
                    </w:rPr>
                  </w:pPr>
                  <w:r>
                    <w:rPr>
                      <w:rFonts w:hint="eastAsia" w:ascii="宋体" w:hAnsi="宋体" w:cs="宋体"/>
                      <w:snapToGrid w:val="0"/>
                      <w:color w:val="auto"/>
                      <w:kern w:val="0"/>
                      <w:szCs w:val="21"/>
                    </w:rPr>
                    <w:t>2根</w:t>
                  </w:r>
                </w:p>
              </w:tc>
              <w:tc>
                <w:tcPr>
                  <w:tcW w:w="1554"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szCs w:val="21"/>
                    </w:rPr>
                  </w:pPr>
                  <w:r>
                    <w:rPr>
                      <w:rFonts w:hint="eastAsia" w:ascii="宋体" w:hAnsi="宋体" w:cs="宋体"/>
                      <w:snapToGrid w:val="0"/>
                      <w:kern w:val="0"/>
                      <w:szCs w:val="21"/>
                    </w:rPr>
                    <w:t>长度约200mm</w:t>
                  </w:r>
                </w:p>
              </w:tc>
              <w:tc>
                <w:tcPr>
                  <w:tcW w:w="1178"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cs="宋体"/>
                      <w:snapToGrid w:val="0"/>
                      <w:kern w:val="0"/>
                      <w:szCs w:val="21"/>
                    </w:rPr>
                  </w:pPr>
                  <w:r>
                    <w:rPr>
                      <w:rFonts w:hint="eastAsia" w:ascii="宋体" w:hAnsi="宋体" w:cs="宋体"/>
                      <w:snapToGrid w:val="0"/>
                      <w:kern w:val="0"/>
                      <w:szCs w:val="21"/>
                    </w:rPr>
                    <w:t>一根裸管</w:t>
                  </w:r>
                </w:p>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szCs w:val="21"/>
                    </w:rPr>
                  </w:pPr>
                  <w:r>
                    <w:rPr>
                      <w:rFonts w:hint="eastAsia" w:ascii="宋体" w:hAnsi="宋体" w:cs="宋体"/>
                      <w:snapToGrid w:val="0"/>
                      <w:kern w:val="0"/>
                      <w:szCs w:val="21"/>
                    </w:rPr>
                    <w:t>一根喷涂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70" w:type="dxa"/>
                  <w:vAlign w:val="center"/>
                </w:tcPr>
                <w:p>
                  <w:pPr>
                    <w:keepNext w:val="0"/>
                    <w:keepLines w:val="0"/>
                    <w:pageBreakBefore w:val="0"/>
                    <w:wordWrap/>
                    <w:overflowPunct/>
                    <w:topLinePunct w:val="0"/>
                    <w:bidi w:val="0"/>
                    <w:adjustRightInd w:val="0"/>
                    <w:snapToGrid w:val="0"/>
                    <w:spacing w:line="360" w:lineRule="exact"/>
                    <w:jc w:val="center"/>
                    <w:rPr>
                      <w:rFonts w:hint="eastAsia" w:ascii="宋体" w:hAnsi="宋体" w:cs="宋体"/>
                      <w:szCs w:val="21"/>
                    </w:rPr>
                  </w:pPr>
                  <w:r>
                    <w:rPr>
                      <w:rFonts w:hint="eastAsia" w:ascii="宋体" w:hAnsi="宋体" w:cs="宋体"/>
                      <w:szCs w:val="21"/>
                    </w:rPr>
                    <w:t>2</w:t>
                  </w:r>
                </w:p>
              </w:tc>
              <w:tc>
                <w:tcPr>
                  <w:tcW w:w="1920" w:type="dxa"/>
                  <w:vAlign w:val="center"/>
                </w:tcPr>
                <w:p>
                  <w:pPr>
                    <w:keepNext w:val="0"/>
                    <w:keepLines w:val="0"/>
                    <w:pageBreakBefore w:val="0"/>
                    <w:wordWrap/>
                    <w:overflowPunct/>
                    <w:topLinePunct w:val="0"/>
                    <w:bidi w:val="0"/>
                    <w:adjustRightInd w:val="0"/>
                    <w:snapToGrid w:val="0"/>
                    <w:spacing w:line="360" w:lineRule="exact"/>
                    <w:jc w:val="center"/>
                    <w:rPr>
                      <w:rFonts w:hint="eastAsia" w:ascii="宋体" w:hAnsi="宋体"/>
                      <w:szCs w:val="21"/>
                    </w:rPr>
                  </w:pPr>
                  <w:r>
                    <w:rPr>
                      <w:rFonts w:hint="eastAsia" w:ascii="宋体" w:hAnsi="宋体" w:cs="宋体"/>
                      <w:szCs w:val="21"/>
                    </w:rPr>
                    <w:t>项号1、项号4</w:t>
                  </w:r>
                </w:p>
              </w:tc>
              <w:tc>
                <w:tcPr>
                  <w:tcW w:w="1340" w:type="dxa"/>
                  <w:vAlign w:val="center"/>
                </w:tcPr>
                <w:p>
                  <w:pPr>
                    <w:keepNext w:val="0"/>
                    <w:keepLines w:val="0"/>
                    <w:pageBreakBefore w:val="0"/>
                    <w:widowControl/>
                    <w:tabs>
                      <w:tab w:val="center" w:pos="4153"/>
                      <w:tab w:val="right" w:pos="8306"/>
                    </w:tabs>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cs="宋体"/>
                      <w:snapToGrid w:val="0"/>
                      <w:color w:val="auto"/>
                      <w:kern w:val="0"/>
                      <w:szCs w:val="21"/>
                    </w:rPr>
                  </w:pPr>
                  <w:r>
                    <w:rPr>
                      <w:rFonts w:hint="eastAsia" w:ascii="宋体" w:hAnsi="宋体" w:cs="宋体"/>
                      <w:snapToGrid w:val="0"/>
                      <w:color w:val="auto"/>
                      <w:kern w:val="0"/>
                      <w:szCs w:val="21"/>
                    </w:rPr>
                    <w:t>中立柱</w:t>
                  </w:r>
                </w:p>
                <w:p>
                  <w:pPr>
                    <w:keepNext w:val="0"/>
                    <w:keepLines w:val="0"/>
                    <w:pageBreakBefore w:val="0"/>
                    <w:widowControl/>
                    <w:tabs>
                      <w:tab w:val="center" w:pos="4153"/>
                      <w:tab w:val="right" w:pos="8306"/>
                    </w:tabs>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color w:val="auto"/>
                      <w:szCs w:val="21"/>
                    </w:rPr>
                  </w:pPr>
                  <w:r>
                    <w:rPr>
                      <w:rFonts w:hint="eastAsia" w:ascii="宋体" w:hAnsi="宋体" w:cs="宋体"/>
                      <w:snapToGrid w:val="0"/>
                      <w:color w:val="auto"/>
                      <w:kern w:val="0"/>
                      <w:szCs w:val="21"/>
                    </w:rPr>
                    <w:t>(含</w:t>
                  </w:r>
                  <w:r>
                    <w:rPr>
                      <w:rFonts w:hint="eastAsia" w:ascii="宋体" w:hAnsi="宋体" w:cs="宋体"/>
                      <w:snapToGrid w:val="0"/>
                      <w:color w:val="auto"/>
                      <w:kern w:val="0"/>
                      <w:szCs w:val="21"/>
                      <w:lang w:val="en-US" w:eastAsia="zh-CN"/>
                    </w:rPr>
                    <w:t>脚套</w:t>
                  </w:r>
                  <w:r>
                    <w:rPr>
                      <w:rFonts w:hint="eastAsia" w:ascii="宋体" w:hAnsi="宋体" w:cs="宋体"/>
                      <w:snapToGrid w:val="0"/>
                      <w:color w:val="auto"/>
                      <w:kern w:val="0"/>
                      <w:szCs w:val="21"/>
                    </w:rPr>
                    <w:t>)</w:t>
                  </w:r>
                </w:p>
              </w:tc>
              <w:tc>
                <w:tcPr>
                  <w:tcW w:w="910"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color w:val="auto"/>
                      <w:szCs w:val="21"/>
                    </w:rPr>
                  </w:pPr>
                  <w:r>
                    <w:rPr>
                      <w:rFonts w:hint="eastAsia" w:ascii="宋体" w:hAnsi="宋体" w:cs="宋体"/>
                      <w:snapToGrid w:val="0"/>
                      <w:color w:val="auto"/>
                      <w:kern w:val="0"/>
                      <w:szCs w:val="21"/>
                    </w:rPr>
                    <w:t>2根</w:t>
                  </w:r>
                </w:p>
              </w:tc>
              <w:tc>
                <w:tcPr>
                  <w:tcW w:w="1554"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szCs w:val="21"/>
                    </w:rPr>
                  </w:pPr>
                  <w:r>
                    <w:rPr>
                      <w:rFonts w:hint="eastAsia" w:ascii="宋体" w:hAnsi="宋体" w:cs="宋体"/>
                      <w:snapToGrid w:val="0"/>
                      <w:kern w:val="0"/>
                      <w:szCs w:val="21"/>
                    </w:rPr>
                    <w:t>长度约200mm</w:t>
                  </w:r>
                </w:p>
              </w:tc>
              <w:tc>
                <w:tcPr>
                  <w:tcW w:w="1178"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cs="宋体"/>
                      <w:snapToGrid w:val="0"/>
                      <w:kern w:val="0"/>
                      <w:szCs w:val="21"/>
                    </w:rPr>
                  </w:pPr>
                  <w:r>
                    <w:rPr>
                      <w:rFonts w:hint="eastAsia" w:ascii="宋体" w:hAnsi="宋体" w:cs="宋体"/>
                      <w:snapToGrid w:val="0"/>
                      <w:kern w:val="0"/>
                      <w:szCs w:val="21"/>
                    </w:rPr>
                    <w:t>一根裸管</w:t>
                  </w:r>
                </w:p>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szCs w:val="21"/>
                    </w:rPr>
                  </w:pPr>
                  <w:r>
                    <w:rPr>
                      <w:rFonts w:hint="eastAsia" w:ascii="宋体" w:hAnsi="宋体" w:cs="宋体"/>
                      <w:snapToGrid w:val="0"/>
                      <w:kern w:val="0"/>
                      <w:szCs w:val="21"/>
                    </w:rPr>
                    <w:t>一根喷涂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70" w:type="dxa"/>
                  <w:vAlign w:val="center"/>
                </w:tcPr>
                <w:p>
                  <w:pPr>
                    <w:keepNext w:val="0"/>
                    <w:keepLines w:val="0"/>
                    <w:pageBreakBefore w:val="0"/>
                    <w:wordWrap/>
                    <w:overflowPunct/>
                    <w:topLinePunct w:val="0"/>
                    <w:bidi w:val="0"/>
                    <w:adjustRightInd w:val="0"/>
                    <w:snapToGrid w:val="0"/>
                    <w:spacing w:line="360" w:lineRule="exact"/>
                    <w:jc w:val="center"/>
                    <w:rPr>
                      <w:rFonts w:hint="eastAsia" w:ascii="宋体" w:hAnsi="宋体" w:cs="宋体"/>
                      <w:szCs w:val="21"/>
                    </w:rPr>
                  </w:pPr>
                  <w:r>
                    <w:rPr>
                      <w:rFonts w:hint="eastAsia" w:ascii="宋体" w:hAnsi="宋体" w:cs="宋体"/>
                      <w:szCs w:val="21"/>
                    </w:rPr>
                    <w:t>3</w:t>
                  </w:r>
                </w:p>
              </w:tc>
              <w:tc>
                <w:tcPr>
                  <w:tcW w:w="1920" w:type="dxa"/>
                  <w:vAlign w:val="center"/>
                </w:tcPr>
                <w:p>
                  <w:pPr>
                    <w:keepNext w:val="0"/>
                    <w:keepLines w:val="0"/>
                    <w:pageBreakBefore w:val="0"/>
                    <w:wordWrap/>
                    <w:overflowPunct/>
                    <w:topLinePunct w:val="0"/>
                    <w:bidi w:val="0"/>
                    <w:adjustRightInd w:val="0"/>
                    <w:snapToGrid w:val="0"/>
                    <w:spacing w:line="360" w:lineRule="exact"/>
                    <w:jc w:val="center"/>
                    <w:rPr>
                      <w:rFonts w:hint="eastAsia" w:ascii="宋体" w:hAnsi="宋体"/>
                      <w:szCs w:val="21"/>
                    </w:rPr>
                  </w:pPr>
                  <w:r>
                    <w:rPr>
                      <w:rFonts w:hint="eastAsia" w:ascii="宋体" w:hAnsi="宋体" w:cs="宋体"/>
                      <w:szCs w:val="21"/>
                    </w:rPr>
                    <w:t>项号1、项号4</w:t>
                  </w:r>
                </w:p>
              </w:tc>
              <w:tc>
                <w:tcPr>
                  <w:tcW w:w="1340" w:type="dxa"/>
                  <w:vAlign w:val="center"/>
                </w:tcPr>
                <w:p>
                  <w:pPr>
                    <w:keepNext w:val="0"/>
                    <w:keepLines w:val="0"/>
                    <w:pageBreakBefore w:val="0"/>
                    <w:widowControl/>
                    <w:tabs>
                      <w:tab w:val="center" w:pos="4153"/>
                      <w:tab w:val="right" w:pos="8306"/>
                    </w:tabs>
                    <w:kinsoku w:val="0"/>
                    <w:wordWrap/>
                    <w:overflowPunct/>
                    <w:topLinePunct w:val="0"/>
                    <w:autoSpaceDE w:val="0"/>
                    <w:autoSpaceDN w:val="0"/>
                    <w:bidi w:val="0"/>
                    <w:adjustRightInd w:val="0"/>
                    <w:snapToGrid w:val="0"/>
                    <w:spacing w:line="360" w:lineRule="exact"/>
                    <w:jc w:val="center"/>
                    <w:textAlignment w:val="baseline"/>
                    <w:rPr>
                      <w:rFonts w:hint="eastAsia"/>
                      <w:color w:val="auto"/>
                    </w:rPr>
                  </w:pPr>
                  <w:r>
                    <w:rPr>
                      <w:rFonts w:hint="eastAsia" w:ascii="宋体" w:hAnsi="宋体" w:cs="宋体"/>
                      <w:snapToGrid w:val="0"/>
                      <w:color w:val="auto"/>
                      <w:kern w:val="0"/>
                      <w:szCs w:val="21"/>
                    </w:rPr>
                    <w:t>前床厅</w:t>
                  </w:r>
                </w:p>
              </w:tc>
              <w:tc>
                <w:tcPr>
                  <w:tcW w:w="910"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color w:val="auto"/>
                      <w:szCs w:val="21"/>
                    </w:rPr>
                  </w:pPr>
                  <w:r>
                    <w:rPr>
                      <w:rFonts w:hint="eastAsia" w:ascii="宋体" w:hAnsi="宋体" w:cs="宋体"/>
                      <w:snapToGrid w:val="0"/>
                      <w:color w:val="auto"/>
                      <w:kern w:val="0"/>
                      <w:szCs w:val="21"/>
                    </w:rPr>
                    <w:t>2根</w:t>
                  </w:r>
                </w:p>
              </w:tc>
              <w:tc>
                <w:tcPr>
                  <w:tcW w:w="1554"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szCs w:val="21"/>
                    </w:rPr>
                  </w:pPr>
                  <w:r>
                    <w:rPr>
                      <w:rFonts w:hint="eastAsia" w:ascii="宋体" w:hAnsi="宋体" w:cs="宋体"/>
                      <w:snapToGrid w:val="0"/>
                      <w:kern w:val="0"/>
                      <w:szCs w:val="21"/>
                    </w:rPr>
                    <w:t>长度约200mm</w:t>
                  </w:r>
                </w:p>
              </w:tc>
              <w:tc>
                <w:tcPr>
                  <w:tcW w:w="1178"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cs="宋体"/>
                      <w:snapToGrid w:val="0"/>
                      <w:kern w:val="0"/>
                      <w:szCs w:val="21"/>
                    </w:rPr>
                  </w:pPr>
                  <w:r>
                    <w:rPr>
                      <w:rFonts w:hint="eastAsia" w:ascii="宋体" w:hAnsi="宋体" w:cs="宋体"/>
                      <w:snapToGrid w:val="0"/>
                      <w:kern w:val="0"/>
                      <w:szCs w:val="21"/>
                    </w:rPr>
                    <w:t>一根裸管</w:t>
                  </w:r>
                </w:p>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szCs w:val="21"/>
                    </w:rPr>
                  </w:pPr>
                  <w:r>
                    <w:rPr>
                      <w:rFonts w:hint="eastAsia" w:ascii="宋体" w:hAnsi="宋体" w:cs="宋体"/>
                      <w:snapToGrid w:val="0"/>
                      <w:kern w:val="0"/>
                      <w:szCs w:val="21"/>
                    </w:rPr>
                    <w:t>一根喷涂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70" w:type="dxa"/>
                  <w:vAlign w:val="center"/>
                </w:tcPr>
                <w:p>
                  <w:pPr>
                    <w:keepNext w:val="0"/>
                    <w:keepLines w:val="0"/>
                    <w:pageBreakBefore w:val="0"/>
                    <w:wordWrap/>
                    <w:overflowPunct/>
                    <w:topLinePunct w:val="0"/>
                    <w:bidi w:val="0"/>
                    <w:adjustRightInd w:val="0"/>
                    <w:snapToGrid w:val="0"/>
                    <w:spacing w:line="360" w:lineRule="exact"/>
                    <w:jc w:val="center"/>
                    <w:rPr>
                      <w:rFonts w:hint="eastAsia" w:ascii="宋体" w:hAnsi="宋体" w:cs="宋体"/>
                      <w:szCs w:val="21"/>
                    </w:rPr>
                  </w:pPr>
                  <w:r>
                    <w:rPr>
                      <w:rFonts w:hint="eastAsia" w:ascii="宋体" w:hAnsi="宋体" w:cs="宋体"/>
                      <w:szCs w:val="21"/>
                    </w:rPr>
                    <w:t>4</w:t>
                  </w:r>
                </w:p>
              </w:tc>
              <w:tc>
                <w:tcPr>
                  <w:tcW w:w="1920" w:type="dxa"/>
                  <w:vAlign w:val="center"/>
                </w:tcPr>
                <w:p>
                  <w:pPr>
                    <w:keepNext w:val="0"/>
                    <w:keepLines w:val="0"/>
                    <w:pageBreakBefore w:val="0"/>
                    <w:wordWrap/>
                    <w:overflowPunct/>
                    <w:topLinePunct w:val="0"/>
                    <w:bidi w:val="0"/>
                    <w:adjustRightInd w:val="0"/>
                    <w:snapToGrid w:val="0"/>
                    <w:spacing w:line="360" w:lineRule="exact"/>
                    <w:jc w:val="center"/>
                    <w:rPr>
                      <w:rFonts w:hint="eastAsia" w:ascii="宋体" w:hAnsi="宋体"/>
                      <w:szCs w:val="21"/>
                    </w:rPr>
                  </w:pPr>
                  <w:r>
                    <w:rPr>
                      <w:rFonts w:hint="eastAsia" w:ascii="宋体" w:hAnsi="宋体" w:cs="宋体"/>
                      <w:szCs w:val="21"/>
                    </w:rPr>
                    <w:t>项号1、项号4</w:t>
                  </w:r>
                </w:p>
              </w:tc>
              <w:tc>
                <w:tcPr>
                  <w:tcW w:w="1340" w:type="dxa"/>
                  <w:vAlign w:val="center"/>
                </w:tcPr>
                <w:p>
                  <w:pPr>
                    <w:keepNext w:val="0"/>
                    <w:keepLines w:val="0"/>
                    <w:pageBreakBefore w:val="0"/>
                    <w:widowControl/>
                    <w:kinsoku w:val="0"/>
                    <w:wordWrap/>
                    <w:overflowPunct/>
                    <w:topLinePunct w:val="0"/>
                    <w:autoSpaceDE w:val="0"/>
                    <w:autoSpaceDN w:val="0"/>
                    <w:bidi w:val="0"/>
                    <w:adjustRightInd w:val="0"/>
                    <w:snapToGrid w:val="0"/>
                    <w:spacing w:before="260" w:after="260" w:line="360" w:lineRule="exact"/>
                    <w:jc w:val="center"/>
                    <w:textAlignment w:val="baseline"/>
                    <w:outlineLvl w:val="1"/>
                    <w:rPr>
                      <w:rFonts w:hint="eastAsia" w:ascii="宋体" w:hAnsi="宋体" w:cs="宋体"/>
                      <w:snapToGrid w:val="0"/>
                      <w:szCs w:val="21"/>
                    </w:rPr>
                  </w:pPr>
                  <w:r>
                    <w:rPr>
                      <w:rFonts w:hint="eastAsia" w:ascii="宋体" w:hAnsi="宋体" w:cs="宋体"/>
                      <w:snapToGrid w:val="0"/>
                      <w:szCs w:val="21"/>
                    </w:rPr>
                    <w:t>爬梯</w:t>
                  </w:r>
                </w:p>
                <w:p>
                  <w:pPr>
                    <w:keepNext w:val="0"/>
                    <w:keepLines w:val="0"/>
                    <w:pageBreakBefore w:val="0"/>
                    <w:widowControl/>
                    <w:kinsoku w:val="0"/>
                    <w:wordWrap/>
                    <w:overflowPunct/>
                    <w:topLinePunct w:val="0"/>
                    <w:autoSpaceDE w:val="0"/>
                    <w:autoSpaceDN w:val="0"/>
                    <w:bidi w:val="0"/>
                    <w:adjustRightInd w:val="0"/>
                    <w:snapToGrid w:val="0"/>
                    <w:spacing w:before="260" w:after="260" w:line="360" w:lineRule="exact"/>
                    <w:jc w:val="center"/>
                    <w:textAlignment w:val="baseline"/>
                    <w:outlineLvl w:val="1"/>
                    <w:rPr>
                      <w:rFonts w:hint="eastAsia" w:ascii="宋体" w:hAnsi="宋体"/>
                      <w:szCs w:val="21"/>
                    </w:rPr>
                  </w:pPr>
                  <w:r>
                    <w:rPr>
                      <w:rFonts w:hint="eastAsia" w:ascii="宋体" w:hAnsi="宋体" w:cs="宋体"/>
                      <w:snapToGrid w:val="0"/>
                      <w:szCs w:val="21"/>
                    </w:rPr>
                    <w:t>（含脚套）</w:t>
                  </w:r>
                </w:p>
              </w:tc>
              <w:tc>
                <w:tcPr>
                  <w:tcW w:w="910"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szCs w:val="21"/>
                    </w:rPr>
                  </w:pPr>
                  <w:r>
                    <w:rPr>
                      <w:rFonts w:hint="eastAsia" w:ascii="宋体" w:hAnsi="宋体" w:cs="宋体"/>
                      <w:snapToGrid w:val="0"/>
                      <w:kern w:val="0"/>
                      <w:szCs w:val="21"/>
                    </w:rPr>
                    <w:t>1个</w:t>
                  </w:r>
                </w:p>
              </w:tc>
              <w:tc>
                <w:tcPr>
                  <w:tcW w:w="1554" w:type="dxa"/>
                  <w:vAlign w:val="center"/>
                </w:tcPr>
                <w:p>
                  <w:pPr>
                    <w:keepNext w:val="0"/>
                    <w:keepLines w:val="0"/>
                    <w:pageBreakBefore w:val="0"/>
                    <w:widowControl/>
                    <w:kinsoku w:val="0"/>
                    <w:wordWrap/>
                    <w:overflowPunct/>
                    <w:topLinePunct w:val="0"/>
                    <w:bidi w:val="0"/>
                    <w:snapToGrid w:val="0"/>
                    <w:spacing w:line="360" w:lineRule="exact"/>
                    <w:jc w:val="center"/>
                    <w:textAlignment w:val="center"/>
                    <w:rPr>
                      <w:rFonts w:hint="eastAsia"/>
                    </w:rPr>
                  </w:pPr>
                  <w:r>
                    <w:rPr>
                      <w:rFonts w:hint="eastAsia"/>
                    </w:rPr>
                    <w:t>完整提供</w:t>
                  </w:r>
                </w:p>
              </w:tc>
              <w:tc>
                <w:tcPr>
                  <w:tcW w:w="1178"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strike/>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470" w:type="dxa"/>
                  <w:vAlign w:val="center"/>
                </w:tcPr>
                <w:p>
                  <w:pPr>
                    <w:keepNext w:val="0"/>
                    <w:keepLines w:val="0"/>
                    <w:pageBreakBefore w:val="0"/>
                    <w:wordWrap/>
                    <w:overflowPunct/>
                    <w:topLinePunct w:val="0"/>
                    <w:bidi w:val="0"/>
                    <w:adjustRightInd w:val="0"/>
                    <w:snapToGrid w:val="0"/>
                    <w:spacing w:line="360" w:lineRule="exact"/>
                    <w:jc w:val="center"/>
                    <w:rPr>
                      <w:rFonts w:hint="eastAsia" w:ascii="宋体" w:hAnsi="宋体" w:cs="宋体"/>
                      <w:szCs w:val="21"/>
                    </w:rPr>
                  </w:pPr>
                  <w:r>
                    <w:rPr>
                      <w:rFonts w:hint="eastAsia" w:ascii="宋体" w:hAnsi="宋体" w:cs="宋体"/>
                      <w:szCs w:val="21"/>
                    </w:rPr>
                    <w:t>5</w:t>
                  </w:r>
                </w:p>
              </w:tc>
              <w:tc>
                <w:tcPr>
                  <w:tcW w:w="1920" w:type="dxa"/>
                  <w:vAlign w:val="center"/>
                </w:tcPr>
                <w:p>
                  <w:pPr>
                    <w:keepNext w:val="0"/>
                    <w:keepLines w:val="0"/>
                    <w:pageBreakBefore w:val="0"/>
                    <w:wordWrap/>
                    <w:overflowPunct/>
                    <w:topLinePunct w:val="0"/>
                    <w:bidi w:val="0"/>
                    <w:adjustRightInd w:val="0"/>
                    <w:snapToGrid w:val="0"/>
                    <w:spacing w:line="360" w:lineRule="exact"/>
                    <w:jc w:val="center"/>
                    <w:rPr>
                      <w:rFonts w:hint="eastAsia" w:ascii="宋体" w:hAnsi="宋体" w:cs="宋体"/>
                      <w:szCs w:val="21"/>
                    </w:rPr>
                  </w:pPr>
                  <w:r>
                    <w:rPr>
                      <w:rFonts w:hint="eastAsia" w:ascii="宋体" w:hAnsi="宋体" w:cs="宋体"/>
                      <w:szCs w:val="21"/>
                    </w:rPr>
                    <w:t>项号1、项号4</w:t>
                  </w:r>
                </w:p>
              </w:tc>
              <w:tc>
                <w:tcPr>
                  <w:tcW w:w="1340"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cs="宋体"/>
                      <w:kern w:val="0"/>
                      <w:szCs w:val="21"/>
                      <w:lang w:bidi="zh-CN"/>
                    </w:rPr>
                  </w:pPr>
                  <w:r>
                    <w:rPr>
                      <w:rFonts w:hint="eastAsia" w:ascii="宋体" w:hAnsi="宋体" w:cs="宋体"/>
                      <w:snapToGrid w:val="0"/>
                      <w:kern w:val="0"/>
                      <w:szCs w:val="21"/>
                    </w:rPr>
                    <w:t>床厅护栏</w:t>
                  </w:r>
                </w:p>
              </w:tc>
              <w:tc>
                <w:tcPr>
                  <w:tcW w:w="910"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cs="宋体"/>
                      <w:szCs w:val="21"/>
                    </w:rPr>
                  </w:pPr>
                  <w:r>
                    <w:rPr>
                      <w:rFonts w:hint="eastAsia" w:ascii="宋体" w:hAnsi="宋体" w:cs="宋体"/>
                      <w:bCs/>
                      <w:snapToGrid w:val="0"/>
                      <w:kern w:val="0"/>
                      <w:szCs w:val="21"/>
                    </w:rPr>
                    <w:t>1个</w:t>
                  </w:r>
                </w:p>
              </w:tc>
              <w:tc>
                <w:tcPr>
                  <w:tcW w:w="1554" w:type="dxa"/>
                  <w:vAlign w:val="center"/>
                </w:tcPr>
                <w:p>
                  <w:pPr>
                    <w:keepNext w:val="0"/>
                    <w:keepLines w:val="0"/>
                    <w:pageBreakBefore w:val="0"/>
                    <w:widowControl/>
                    <w:kinsoku w:val="0"/>
                    <w:wordWrap/>
                    <w:overflowPunct/>
                    <w:topLinePunct w:val="0"/>
                    <w:bidi w:val="0"/>
                    <w:adjustRightInd w:val="0"/>
                    <w:snapToGrid w:val="0"/>
                    <w:spacing w:line="360" w:lineRule="exact"/>
                    <w:jc w:val="center"/>
                    <w:textAlignment w:val="center"/>
                    <w:rPr>
                      <w:rFonts w:hint="eastAsia" w:ascii="宋体" w:hAnsi="宋体" w:cs="宋体"/>
                      <w:kern w:val="0"/>
                      <w:szCs w:val="21"/>
                      <w:lang w:bidi="ar"/>
                    </w:rPr>
                  </w:pPr>
                  <w:r>
                    <w:rPr>
                      <w:rFonts w:hint="eastAsia" w:ascii="宋体" w:hAnsi="宋体" w:cs="宋体"/>
                      <w:snapToGrid w:val="0"/>
                      <w:kern w:val="0"/>
                      <w:szCs w:val="21"/>
                    </w:rPr>
                    <w:t>≥600×300×30mm</w:t>
                  </w:r>
                </w:p>
              </w:tc>
              <w:tc>
                <w:tcPr>
                  <w:tcW w:w="1178"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cs="宋体"/>
                      <w:szCs w:val="21"/>
                    </w:rPr>
                  </w:pPr>
                </w:p>
              </w:tc>
            </w:tr>
          </w:tbl>
          <w:p>
            <w:pPr>
              <w:pStyle w:val="51"/>
              <w:keepNext w:val="0"/>
              <w:keepLines w:val="0"/>
              <w:pageBreakBefore w:val="0"/>
              <w:wordWrap/>
              <w:overflowPunct/>
              <w:topLinePunct w:val="0"/>
              <w:bidi w:val="0"/>
              <w:spacing w:line="360" w:lineRule="exact"/>
              <w:ind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注明：</w:t>
            </w:r>
          </w:p>
          <w:p>
            <w:pPr>
              <w:pStyle w:val="51"/>
              <w:keepNext w:val="0"/>
              <w:keepLines w:val="0"/>
              <w:pageBreakBefore w:val="0"/>
              <w:numPr>
                <w:ilvl w:val="0"/>
                <w:numId w:val="13"/>
              </w:numPr>
              <w:wordWrap/>
              <w:overflowPunct/>
              <w:topLinePunct w:val="0"/>
              <w:bidi w:val="0"/>
              <w:spacing w:line="360" w:lineRule="exact"/>
              <w:ind w:firstLineChars="200"/>
              <w:rPr>
                <w:rFonts w:hint="eastAsia" w:ascii="宋体" w:hAnsi="宋体" w:cs="宋体"/>
                <w:color w:val="000000" w:themeColor="text1"/>
                <w:sz w:val="21"/>
                <w:szCs w:val="21"/>
                <w:highlight w:val="none"/>
                <w14:textFill>
                  <w14:solidFill>
                    <w14:schemeClr w14:val="tx1"/>
                  </w14:solidFill>
                </w14:textFill>
              </w:rPr>
            </w:pPr>
            <w:r>
              <w:rPr>
                <w:rFonts w:hint="default" w:ascii="宋体" w:hAnsi="宋体"/>
                <w:color w:val="auto"/>
                <w:sz w:val="21"/>
                <w:szCs w:val="21"/>
                <w:highlight w:val="none"/>
              </w:rPr>
              <w:t>提交</w:t>
            </w:r>
            <w:r>
              <w:rPr>
                <w:rFonts w:hint="eastAsia" w:ascii="宋体" w:hAnsi="宋体"/>
                <w:color w:val="auto"/>
                <w:sz w:val="21"/>
                <w:szCs w:val="21"/>
                <w:highlight w:val="none"/>
              </w:rPr>
              <w:t>小样</w:t>
            </w:r>
            <w:r>
              <w:rPr>
                <w:rFonts w:hint="default" w:ascii="宋体" w:hAnsi="宋体"/>
                <w:color w:val="auto"/>
                <w:sz w:val="21"/>
                <w:szCs w:val="21"/>
                <w:highlight w:val="none"/>
              </w:rPr>
              <w:t>的代表须向采购代理机构工作人员</w:t>
            </w:r>
            <w:r>
              <w:rPr>
                <w:rFonts w:hint="eastAsia" w:ascii="宋体" w:hAnsi="宋体"/>
                <w:color w:val="auto"/>
                <w:sz w:val="21"/>
                <w:szCs w:val="21"/>
                <w:highlight w:val="none"/>
              </w:rPr>
              <w:t>提</w:t>
            </w:r>
            <w:r>
              <w:rPr>
                <w:rFonts w:hint="default" w:ascii="宋体" w:hAnsi="宋体"/>
                <w:color w:val="auto"/>
                <w:sz w:val="21"/>
                <w:szCs w:val="21"/>
                <w:highlight w:val="none"/>
              </w:rPr>
              <w:t>交</w:t>
            </w:r>
            <w:r>
              <w:rPr>
                <w:rFonts w:hint="eastAsia" w:ascii="宋体" w:hAnsi="宋体"/>
                <w:color w:val="auto"/>
                <w:sz w:val="21"/>
                <w:szCs w:val="21"/>
                <w:highlight w:val="none"/>
              </w:rPr>
              <w:t>“小样</w:t>
            </w:r>
            <w:r>
              <w:rPr>
                <w:rFonts w:hint="default" w:ascii="宋体" w:hAnsi="宋体"/>
                <w:color w:val="auto"/>
                <w:sz w:val="21"/>
                <w:szCs w:val="21"/>
                <w:highlight w:val="none"/>
              </w:rPr>
              <w:t>授权委托书</w:t>
            </w:r>
            <w:r>
              <w:rPr>
                <w:rFonts w:hint="eastAsia" w:ascii="宋体" w:hAnsi="宋体"/>
                <w:color w:val="auto"/>
                <w:sz w:val="21"/>
                <w:szCs w:val="21"/>
                <w:highlight w:val="none"/>
              </w:rPr>
              <w:t>”原件</w:t>
            </w:r>
            <w:r>
              <w:rPr>
                <w:rFonts w:hint="eastAsia" w:ascii="宋体" w:hAnsi="宋体" w:cs="宋体"/>
                <w:color w:val="000000" w:themeColor="text1"/>
                <w:sz w:val="21"/>
                <w:szCs w:val="21"/>
                <w:highlight w:val="none"/>
                <w14:textFill>
                  <w14:solidFill>
                    <w14:schemeClr w14:val="tx1"/>
                  </w14:solidFill>
                </w14:textFill>
              </w:rPr>
              <w:t>；</w:t>
            </w:r>
          </w:p>
          <w:p>
            <w:pPr>
              <w:pStyle w:val="51"/>
              <w:keepNext w:val="0"/>
              <w:keepLines w:val="0"/>
              <w:pageBreakBefore w:val="0"/>
              <w:numPr>
                <w:ilvl w:val="0"/>
                <w:numId w:val="13"/>
              </w:numPr>
              <w:wordWrap/>
              <w:overflowPunct/>
              <w:topLinePunct w:val="0"/>
              <w:bidi w:val="0"/>
              <w:spacing w:line="360" w:lineRule="exact"/>
              <w:ind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w:t>
            </w:r>
            <w:r>
              <w:rPr>
                <w:rFonts w:hint="eastAsia" w:ascii="宋体" w:hAnsi="宋体"/>
                <w:color w:val="auto"/>
                <w:sz w:val="21"/>
                <w:szCs w:val="21"/>
                <w:highlight w:val="none"/>
              </w:rPr>
              <w:t>所有小样按以下规定要求密封（包装）：</w:t>
            </w:r>
            <w:r>
              <w:rPr>
                <w:rFonts w:hint="eastAsia" w:ascii="汉仪书宋二S" w:hAnsi="汉仪书宋二S" w:eastAsia="汉仪书宋二S" w:cs="汉仪书宋二S"/>
                <w:color w:val="auto"/>
                <w:sz w:val="21"/>
                <w:szCs w:val="21"/>
                <w:highlight w:val="none"/>
              </w:rPr>
              <w:t>①</w:t>
            </w:r>
            <w:r>
              <w:rPr>
                <w:rFonts w:hint="eastAsia" w:ascii="宋体" w:hAnsi="宋体"/>
                <w:color w:val="auto"/>
                <w:sz w:val="21"/>
                <w:szCs w:val="21"/>
                <w:highlight w:val="none"/>
              </w:rPr>
              <w:t>小样</w:t>
            </w:r>
            <w:r>
              <w:rPr>
                <w:rFonts w:hint="eastAsia" w:ascii="宋体" w:hAnsi="宋体" w:cs="宋体"/>
                <w:color w:val="000000" w:themeColor="text1"/>
                <w:sz w:val="21"/>
                <w:szCs w:val="21"/>
                <w:highlight w:val="none"/>
                <w14:textFill>
                  <w14:solidFill>
                    <w14:schemeClr w14:val="tx1"/>
                  </w14:solidFill>
                </w14:textFill>
              </w:rPr>
              <w:t>箱子(袋子)正面贴上投标人名称、项目名称和项目编号等信息的标签；</w:t>
            </w:r>
            <w:r>
              <w:rPr>
                <w:rFonts w:hint="eastAsia" w:ascii="汉仪书宋二S" w:hAnsi="汉仪书宋二S" w:eastAsia="汉仪书宋二S" w:cs="汉仪书宋二S"/>
                <w:color w:val="000000" w:themeColor="text1"/>
                <w:sz w:val="21"/>
                <w:szCs w:val="21"/>
                <w:highlight w:val="none"/>
                <w14:textFill>
                  <w14:solidFill>
                    <w14:schemeClr w14:val="tx1"/>
                  </w14:solidFill>
                </w14:textFill>
              </w:rPr>
              <w:t>②</w:t>
            </w:r>
            <w:r>
              <w:rPr>
                <w:rFonts w:hint="eastAsia" w:ascii="宋体" w:hAnsi="宋体"/>
                <w:color w:val="auto"/>
                <w:sz w:val="21"/>
                <w:szCs w:val="21"/>
                <w:highlight w:val="none"/>
              </w:rPr>
              <w:t>包装里面的</w:t>
            </w:r>
            <w:r>
              <w:rPr>
                <w:rFonts w:hint="eastAsia" w:ascii="宋体" w:hAnsi="宋体" w:cs="宋体"/>
                <w:color w:val="000000" w:themeColor="text1"/>
                <w:sz w:val="21"/>
                <w:szCs w:val="21"/>
                <w:highlight w:val="none"/>
                <w14:textFill>
                  <w14:solidFill>
                    <w14:schemeClr w14:val="tx1"/>
                  </w14:solidFill>
                </w14:textFill>
              </w:rPr>
              <w:t>各小样不能出现任何厂家（公司）或投标品牌标识，如出现透露信息的标识，小样不得进行评定；</w:t>
            </w:r>
          </w:p>
          <w:p>
            <w:pPr>
              <w:pStyle w:val="51"/>
              <w:keepNext w:val="0"/>
              <w:keepLines w:val="0"/>
              <w:pageBreakBefore w:val="0"/>
              <w:numPr>
                <w:ilvl w:val="0"/>
                <w:numId w:val="13"/>
              </w:numPr>
              <w:wordWrap/>
              <w:overflowPunct/>
              <w:topLinePunct w:val="0"/>
              <w:bidi w:val="0"/>
              <w:spacing w:line="360" w:lineRule="exact"/>
              <w:ind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代理机构工作人员只负责按箱（袋）数接收样品；评标前由采购代理机构工作人员将对投标人的标签进行遮盖，评定小样时由采购代理机构工作人员及评委一起打开，待评定小样完毕后，再统一拆封所有投标人的标签。</w:t>
            </w:r>
          </w:p>
          <w:p>
            <w:pPr>
              <w:pStyle w:val="51"/>
              <w:keepNext w:val="0"/>
              <w:keepLines w:val="0"/>
              <w:pageBreakBefore w:val="0"/>
              <w:numPr>
                <w:ilvl w:val="0"/>
                <w:numId w:val="13"/>
              </w:numPr>
              <w:wordWrap/>
              <w:overflowPunct/>
              <w:topLinePunct w:val="0"/>
              <w:bidi w:val="0"/>
              <w:spacing w:line="360" w:lineRule="exact"/>
              <w:ind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采购结果公告后，</w:t>
            </w:r>
            <w:r>
              <w:rPr>
                <w:rFonts w:hint="eastAsia" w:ascii="宋体" w:hAnsi="宋体" w:cs="宋体"/>
                <w:b/>
                <w:bCs/>
                <w:color w:val="000000" w:themeColor="text1"/>
                <w:sz w:val="21"/>
                <w:szCs w:val="21"/>
                <w:highlight w:val="none"/>
                <w:u w:val="single"/>
                <w14:textFill>
                  <w14:solidFill>
                    <w14:schemeClr w14:val="tx1"/>
                  </w14:solidFill>
                </w14:textFill>
              </w:rPr>
              <w:t>中标人小样不退</w:t>
            </w:r>
            <w:r>
              <w:rPr>
                <w:rFonts w:hint="eastAsia" w:ascii="宋体" w:hAnsi="宋体" w:cs="宋体"/>
                <w:color w:val="000000" w:themeColor="text1"/>
                <w:sz w:val="21"/>
                <w:szCs w:val="21"/>
                <w:highlight w:val="none"/>
                <w14:textFill>
                  <w14:solidFill>
                    <w14:schemeClr w14:val="tx1"/>
                  </w14:solidFill>
                </w14:textFill>
              </w:rPr>
              <w:t>，作为验收依据之一。未中标的，在本项目评审结果（中标公告）发出（或接到广西壮族自治区政府采购中心电</w:t>
            </w:r>
            <w:r>
              <w:rPr>
                <w:rFonts w:hint="eastAsia" w:ascii="宋体" w:hAnsi="宋体" w:cs="宋体"/>
                <w:color w:val="000000" w:themeColor="text1"/>
                <w:sz w:val="21"/>
                <w:szCs w:val="21"/>
                <w14:textFill>
                  <w14:solidFill>
                    <w14:schemeClr w14:val="tx1"/>
                  </w14:solidFill>
                </w14:textFill>
              </w:rPr>
              <w:t>话通知）后五个工作日内，原路径领回样品，逾期未办理样品领取的，样品处置权交由广</w:t>
            </w:r>
            <w:r>
              <w:rPr>
                <w:rFonts w:hint="eastAsia" w:ascii="宋体" w:hAnsi="宋体" w:cs="宋体"/>
                <w:color w:val="000000" w:themeColor="text1"/>
                <w:sz w:val="21"/>
                <w:szCs w:val="21"/>
                <w:highlight w:val="none"/>
                <w14:textFill>
                  <w14:solidFill>
                    <w14:schemeClr w14:val="tx1"/>
                  </w14:solidFill>
                </w14:textFill>
              </w:rPr>
              <w:t>西壮族自治区政府采购中心。所造成的损失，由本公司自行承担。</w:t>
            </w:r>
          </w:p>
          <w:p>
            <w:pPr>
              <w:pStyle w:val="51"/>
              <w:keepNext w:val="0"/>
              <w:keepLines w:val="0"/>
              <w:pageBreakBefore w:val="0"/>
              <w:wordWrap/>
              <w:overflowPunct/>
              <w:topLinePunct w:val="0"/>
              <w:bidi w:val="0"/>
              <w:spacing w:line="360" w:lineRule="exact"/>
              <w:ind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w:t>
            </w:r>
            <w:r>
              <w:rPr>
                <w:rFonts w:hint="eastAsia" w:ascii="宋体" w:hAnsi="宋体" w:cs="宋体"/>
                <w:b/>
                <w:bCs/>
                <w:color w:val="000000" w:themeColor="text1"/>
                <w:sz w:val="21"/>
                <w:szCs w:val="21"/>
                <w:highlight w:val="none"/>
                <w:lang w:val="en-US" w:eastAsia="zh-CN"/>
                <w14:textFill>
                  <w14:solidFill>
                    <w14:schemeClr w14:val="tx1"/>
                  </w14:solidFill>
                </w14:textFill>
              </w:rPr>
              <w:t>5</w:t>
            </w:r>
            <w:r>
              <w:rPr>
                <w:rFonts w:hint="eastAsia" w:ascii="宋体" w:hAnsi="宋体" w:cs="宋体"/>
                <w:b/>
                <w:bCs/>
                <w:color w:val="000000" w:themeColor="text1"/>
                <w:sz w:val="21"/>
                <w:szCs w:val="21"/>
                <w:highlight w:val="none"/>
                <w14:textFill>
                  <w14:solidFill>
                    <w14:schemeClr w14:val="tx1"/>
                  </w14:solidFill>
                </w14:textFill>
              </w:rPr>
              <w:t>）</w:t>
            </w:r>
            <w:r>
              <w:rPr>
                <w:rFonts w:hint="eastAsia" w:ascii="宋体" w:hAnsi="宋体" w:eastAsia="宋体" w:cs="宋体"/>
                <w:b/>
                <w:bCs/>
                <w:color w:val="000000" w:themeColor="text1"/>
                <w:sz w:val="21"/>
                <w:szCs w:val="21"/>
                <w:highlight w:val="none"/>
                <w14:textFill>
                  <w14:solidFill>
                    <w14:schemeClr w14:val="tx1"/>
                  </w14:solidFill>
                </w14:textFill>
              </w:rPr>
              <w:t>小样递交时间：为开标当天提交投标文件截止时间前</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cs="宋体"/>
                <w:b/>
                <w:bCs/>
                <w:color w:val="000000" w:themeColor="text1"/>
                <w:sz w:val="21"/>
                <w:szCs w:val="21"/>
                <w:highlight w:val="none"/>
                <w14:textFill>
                  <w14:solidFill>
                    <w14:schemeClr w14:val="tx1"/>
                  </w14:solidFill>
                </w14:textFill>
              </w:rPr>
              <w:t>样品</w:t>
            </w:r>
            <w:r>
              <w:rPr>
                <w:rFonts w:hint="eastAsia" w:ascii="宋体" w:hAnsi="宋体" w:cs="宋体"/>
                <w:b/>
                <w:bCs/>
                <w:color w:val="000000" w:themeColor="text1"/>
                <w:sz w:val="21"/>
                <w:szCs w:val="21"/>
                <w14:textFill>
                  <w14:solidFill>
                    <w14:schemeClr w14:val="tx1"/>
                  </w14:solidFill>
                </w14:textFill>
              </w:rPr>
              <w:t>提交地址：南宁市星湖路22号广西壮族自治区公共资源交易中心评标楼303室。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1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ordWrap/>
              <w:overflowPunct/>
              <w:topLinePunct w:val="0"/>
              <w:bidi w:val="0"/>
              <w:spacing w:line="360" w:lineRule="exact"/>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val="en-US" w:eastAsia="zh-CN"/>
                <w14:textFill>
                  <w14:solidFill>
                    <w14:schemeClr w14:val="tx1"/>
                  </w14:solidFill>
                </w14:textFill>
              </w:rPr>
              <w:t xml:space="preserve">  </w:t>
            </w:r>
            <w:r>
              <w:rPr>
                <w:rFonts w:hint="eastAsia" w:ascii="宋体" w:hAnsi="宋体" w:cs="宋体"/>
                <w:b/>
                <w:bCs/>
                <w:color w:val="000000" w:themeColor="text1"/>
                <w:szCs w:val="21"/>
                <w14:textFill>
                  <w14:solidFill>
                    <w14:schemeClr w14:val="tx1"/>
                  </w14:solidFill>
                </w14:textFill>
              </w:rPr>
              <w:t>其它要求及说明</w:t>
            </w:r>
          </w:p>
        </w:tc>
        <w:tc>
          <w:tcPr>
            <w:tcW w:w="7605" w:type="dxa"/>
            <w:gridSpan w:val="4"/>
            <w:tcBorders>
              <w:top w:val="single" w:color="auto" w:sz="4" w:space="0"/>
              <w:left w:val="single" w:color="auto" w:sz="4" w:space="0"/>
              <w:bottom w:val="single" w:color="auto" w:sz="4" w:space="0"/>
              <w:right w:val="single" w:color="auto" w:sz="4" w:space="0"/>
            </w:tcBorders>
            <w:vAlign w:val="center"/>
          </w:tcPr>
          <w:p>
            <w:pPr>
              <w:pStyle w:val="51"/>
              <w:keepNext w:val="0"/>
              <w:keepLines w:val="0"/>
              <w:pageBreakBefore w:val="0"/>
              <w:wordWrap/>
              <w:overflowPunct/>
              <w:topLinePunct w:val="0"/>
              <w:bidi w:val="0"/>
              <w:spacing w:line="360" w:lineRule="exact"/>
              <w:ind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1、中标人保证向采购人提供的货物是全新、完整、未使用过的。</w:t>
            </w:r>
          </w:p>
          <w:p>
            <w:pPr>
              <w:pStyle w:val="51"/>
              <w:keepNext w:val="0"/>
              <w:keepLines w:val="0"/>
              <w:pageBreakBefore w:val="0"/>
              <w:wordWrap/>
              <w:overflowPunct/>
              <w:topLinePunct w:val="0"/>
              <w:bidi w:val="0"/>
              <w:spacing w:line="360" w:lineRule="exact"/>
              <w:ind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2、本项目不接受进口产品（即通过中国海关报关验放进入中国境内且产自关境外的产品）参与投标，如有此类产品参与投标的做投标无效处理。</w:t>
            </w:r>
          </w:p>
          <w:p>
            <w:pPr>
              <w:pStyle w:val="51"/>
              <w:keepNext w:val="0"/>
              <w:keepLines w:val="0"/>
              <w:pageBreakBefore w:val="0"/>
              <w:wordWrap/>
              <w:overflowPunct/>
              <w:topLinePunct w:val="0"/>
              <w:bidi w:val="0"/>
              <w:spacing w:line="360" w:lineRule="exact"/>
              <w:ind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3、中标人在中标后必须到设备安装地进行实地勘察，家具的最终外形尺寸须根据房间实际布置进行调整，如需调整，须经采购人确认尺寸并签字同意后再进行调整。对特殊的定制家具及修改的尺寸均包含在投标报价中，投标人在报价时应自行考虑，承诺不因定制或修改家具尺寸的因素而改变投标报价（涉及订做产品投标项目）。</w:t>
            </w:r>
          </w:p>
          <w:p>
            <w:pPr>
              <w:pStyle w:val="51"/>
              <w:keepNext w:val="0"/>
              <w:keepLines w:val="0"/>
              <w:pageBreakBefore w:val="0"/>
              <w:wordWrap/>
              <w:overflowPunct/>
              <w:topLinePunct w:val="0"/>
              <w:bidi w:val="0"/>
              <w:spacing w:line="360" w:lineRule="exact"/>
              <w:ind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4、在验收时，将随机抽取货物，进行破坏性验收，费用由中标方负责。</w:t>
            </w:r>
          </w:p>
          <w:p>
            <w:pPr>
              <w:pStyle w:val="51"/>
              <w:keepNext w:val="0"/>
              <w:keepLines w:val="0"/>
              <w:pageBreakBefore w:val="0"/>
              <w:wordWrap/>
              <w:overflowPunct/>
              <w:topLinePunct w:val="0"/>
              <w:bidi w:val="0"/>
              <w:spacing w:line="360" w:lineRule="exact"/>
              <w:ind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5、供货安装完毕后，必须提供环境检测报告，检测费用由中标人负责。</w:t>
            </w:r>
          </w:p>
          <w:p>
            <w:pPr>
              <w:pStyle w:val="18"/>
              <w:keepNext w:val="0"/>
              <w:keepLines w:val="0"/>
              <w:pageBreakBefore w:val="0"/>
              <w:wordWrap/>
              <w:overflowPunct/>
              <w:topLinePunct w:val="0"/>
              <w:bidi w:val="0"/>
              <w:spacing w:line="3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6、签订合同后供货时提供在投标文件中提到的所有检测报告及证书对应的材料原件给采购人核查，采购人有权向出具报告的检测单位进行查验复核。</w:t>
            </w:r>
          </w:p>
          <w:p>
            <w:pPr>
              <w:pStyle w:val="51"/>
              <w:keepNext w:val="0"/>
              <w:keepLines w:val="0"/>
              <w:pageBreakBefore w:val="0"/>
              <w:wordWrap/>
              <w:overflowPunct/>
              <w:topLinePunct w:val="0"/>
              <w:bidi w:val="0"/>
              <w:spacing w:line="360" w:lineRule="exact"/>
              <w:ind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7、供应商在投标活动中提供任何虚假材料，其投标无效，并报监管部门查处；中标后发现的，中标人须按照《中华人民共和国消费者权益保护法》相关规定赔偿采购人，且民事赔偿并不免除违法投标人的行政与刑事责任。</w:t>
            </w:r>
          </w:p>
          <w:p>
            <w:pPr>
              <w:pStyle w:val="51"/>
              <w:keepNext w:val="0"/>
              <w:keepLines w:val="0"/>
              <w:pageBreakBefore w:val="0"/>
              <w:wordWrap/>
              <w:overflowPunct/>
              <w:topLinePunct w:val="0"/>
              <w:bidi w:val="0"/>
              <w:spacing w:line="360" w:lineRule="exact"/>
              <w:ind w:firstLine="21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 xml:space="preserve">  8、严格执行（财库〔2019〕9号）及（财库〔2019〕19号），本次招标类别如有属于政府强制采购产品类别的，须按照（2019年第16号）要求提供依据国家确定的认证机构出具的、处于有效期之内的节能产品认证证书复印件并加盖投标人公章，否则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1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ordWrap/>
              <w:overflowPunct/>
              <w:topLinePunct w:val="0"/>
              <w:bidi w:val="0"/>
              <w:spacing w:line="360" w:lineRule="exact"/>
              <w:rPr>
                <w:rFonts w:hint="default" w:ascii="宋体" w:hAnsi="宋体" w:cs="宋体"/>
                <w:b/>
                <w:bCs/>
                <w:color w:val="FF0000"/>
                <w:szCs w:val="21"/>
                <w:lang w:val="en-US" w:eastAsia="zh-CN"/>
              </w:rPr>
            </w:pPr>
            <w:r>
              <w:rPr>
                <w:rFonts w:hint="eastAsia" w:ascii="宋体" w:hAnsi="宋体" w:cs="宋体"/>
                <w:b/>
                <w:bCs/>
                <w:color w:val="auto"/>
                <w:szCs w:val="21"/>
                <w:lang w:val="en-US" w:eastAsia="zh-CN"/>
              </w:rPr>
              <w:t xml:space="preserve">   场地平面图</w:t>
            </w:r>
          </w:p>
        </w:tc>
        <w:tc>
          <w:tcPr>
            <w:tcW w:w="7605" w:type="dxa"/>
            <w:gridSpan w:val="4"/>
            <w:tcBorders>
              <w:top w:val="single" w:color="auto" w:sz="4" w:space="0"/>
              <w:left w:val="single" w:color="auto" w:sz="4" w:space="0"/>
              <w:bottom w:val="single" w:color="auto" w:sz="4" w:space="0"/>
              <w:right w:val="single" w:color="auto" w:sz="4" w:space="0"/>
            </w:tcBorders>
            <w:vAlign w:val="center"/>
          </w:tcPr>
          <w:p>
            <w:pPr>
              <w:pStyle w:val="51"/>
              <w:keepNext w:val="0"/>
              <w:keepLines w:val="0"/>
              <w:pageBreakBefore w:val="0"/>
              <w:wordWrap/>
              <w:overflowPunct/>
              <w:topLinePunct w:val="0"/>
              <w:bidi w:val="0"/>
              <w:spacing w:line="360" w:lineRule="exact"/>
              <w:ind w:left="0" w:leftChars="0" w:firstLine="0" w:firstLineChars="0"/>
              <w:rPr>
                <w:rFonts w:hint="default" w:ascii="宋体" w:hAnsi="宋体" w:eastAsia="宋体" w:cs="宋体"/>
                <w:color w:val="FF0000"/>
                <w:sz w:val="21"/>
                <w:szCs w:val="21"/>
                <w:lang w:val="en-US" w:eastAsia="zh-CN"/>
              </w:rPr>
            </w:pPr>
            <w:r>
              <w:rPr>
                <w:rFonts w:hint="eastAsia" w:ascii="宋体" w:hAnsi="宋体" w:cs="宋体"/>
                <w:b/>
                <w:bCs/>
                <w:color w:val="auto"/>
                <w:sz w:val="21"/>
                <w:szCs w:val="21"/>
                <w:lang w:val="en-US" w:eastAsia="zh-CN"/>
              </w:rPr>
              <w:t xml:space="preserve"> 详见附件“梧州学院A7A8A9栋学生宿舍家具采购 场地平面图”</w:t>
            </w:r>
          </w:p>
        </w:tc>
      </w:tr>
      <w:bookmarkEnd w:id="11"/>
    </w:tbl>
    <w:p>
      <w:pPr>
        <w:keepNext w:val="0"/>
        <w:keepLines w:val="0"/>
        <w:pageBreakBefore w:val="0"/>
        <w:wordWrap/>
        <w:overflowPunct/>
        <w:topLinePunct w:val="0"/>
        <w:bidi w:val="0"/>
        <w:spacing w:line="360" w:lineRule="exact"/>
        <w:ind w:left="6" w:firstLine="431"/>
        <w:rPr>
          <w:rFonts w:hint="eastAsia" w:ascii="宋体" w:hAnsi="宋体"/>
          <w:b/>
          <w:bCs/>
          <w:color w:val="000000" w:themeColor="text1"/>
          <w:szCs w:val="21"/>
          <w14:textFill>
            <w14:solidFill>
              <w14:schemeClr w14:val="tx1"/>
            </w14:solidFill>
          </w14:textFill>
        </w:rPr>
      </w:pPr>
    </w:p>
    <w:p>
      <w:pPr>
        <w:jc w:val="left"/>
        <w:rPr>
          <w:rFonts w:hint="eastAsia" w:ascii="宋体" w:hAnsi="宋体" w:cs="Courier New"/>
          <w:b/>
          <w:color w:val="000000" w:themeColor="text1"/>
          <w:sz w:val="44"/>
          <w:szCs w:val="44"/>
          <w14:textFill>
            <w14:solidFill>
              <w14:schemeClr w14:val="tx1"/>
            </w14:solidFill>
          </w14:textFill>
        </w:rPr>
      </w:pPr>
      <w:bookmarkStart w:id="13" w:name="_Toc549323342_WPSOffice_Level1"/>
      <w:r>
        <w:rPr>
          <w:rFonts w:hint="eastAsia" w:ascii="宋体" w:hAnsi="宋体" w:cs="Courier New"/>
          <w:b/>
          <w:color w:val="000000" w:themeColor="text1"/>
          <w:sz w:val="44"/>
          <w:szCs w:val="44"/>
          <w14:textFill>
            <w14:solidFill>
              <w14:schemeClr w14:val="tx1"/>
            </w14:solidFill>
          </w14:textFill>
        </w:rPr>
        <w:br w:type="page"/>
      </w:r>
    </w:p>
    <w:p>
      <w:pPr>
        <w:pStyle w:val="228"/>
        <w:widowControl w:val="0"/>
        <w:spacing w:afterLines="0"/>
        <w:ind w:firstLine="883"/>
        <w:jc w:val="center"/>
        <w:rPr>
          <w:rFonts w:hint="eastAsia" w:ascii="宋体" w:hAnsi="宋体" w:cs="宋体"/>
          <w:b/>
          <w:color w:val="000000" w:themeColor="text1"/>
          <w:sz w:val="44"/>
          <w:szCs w:val="44"/>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spacing w:afterLines="0"/>
        <w:ind w:firstLine="2650" w:firstLineChars="600"/>
        <w:rPr>
          <w:rFonts w:hint="eastAsia" w:ascii="宋体" w:hAnsi="宋体" w:cs="Courier New"/>
          <w:b/>
          <w:color w:val="000000" w:themeColor="text1"/>
          <w:sz w:val="44"/>
          <w:szCs w:val="44"/>
          <w14:textFill>
            <w14:solidFill>
              <w14:schemeClr w14:val="tx1"/>
            </w14:solidFill>
          </w14:textFill>
        </w:rPr>
      </w:pPr>
      <w:r>
        <w:rPr>
          <w:rFonts w:hint="eastAsia" w:ascii="宋体" w:hAnsi="宋体" w:cs="Courier New"/>
          <w:b/>
          <w:color w:val="000000" w:themeColor="text1"/>
          <w:sz w:val="44"/>
          <w:szCs w:val="44"/>
          <w14:textFill>
            <w14:solidFill>
              <w14:schemeClr w14:val="tx1"/>
            </w14:solidFill>
          </w14:textFill>
        </w:rPr>
        <w:t>第三章  投标人须知</w:t>
      </w:r>
      <w:bookmarkEnd w:id="13"/>
    </w:p>
    <w:p>
      <w:pPr>
        <w:spacing w:line="360" w:lineRule="exact"/>
        <w:ind w:firstLine="421" w:firstLineChars="200"/>
        <w:jc w:val="center"/>
        <w:rPr>
          <w:rFonts w:ascii="仿宋_GB2312" w:eastAsia="仿宋_GB2312"/>
          <w:b/>
          <w:color w:val="000000" w:themeColor="text1"/>
          <w:szCs w:val="21"/>
          <w14:textFill>
            <w14:solidFill>
              <w14:schemeClr w14:val="tx1"/>
            </w14:solidFill>
          </w14:textFill>
        </w:rPr>
      </w:pPr>
      <w:r>
        <w:rPr>
          <w:rFonts w:ascii="仿宋_GB2312" w:eastAsia="仿宋_GB2312"/>
          <w:b/>
          <w:color w:val="000000" w:themeColor="text1"/>
          <w:szCs w:val="21"/>
          <w14:textFill>
            <w14:solidFill>
              <w14:schemeClr w14:val="tx1"/>
            </w14:solidFill>
          </w14:textFill>
        </w:rPr>
        <w:br w:type="page"/>
      </w:r>
    </w:p>
    <w:p>
      <w:pPr>
        <w:spacing w:line="36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投标</w:t>
      </w:r>
      <w:bookmarkStart w:id="14" w:name="_Toc254970526"/>
      <w:bookmarkStart w:id="15" w:name="_Toc254970667"/>
      <w:r>
        <w:rPr>
          <w:rFonts w:hint="eastAsia" w:ascii="宋体" w:hAnsi="宋体" w:cs="宋体"/>
          <w:b/>
          <w:color w:val="000000" w:themeColor="text1"/>
          <w:sz w:val="28"/>
          <w:szCs w:val="28"/>
          <w14:textFill>
            <w14:solidFill>
              <w14:schemeClr w14:val="tx1"/>
            </w14:solidFill>
          </w14:textFill>
        </w:rPr>
        <w:t>人须知及前附表</w:t>
      </w:r>
      <w:bookmarkEnd w:id="14"/>
      <w:bookmarkEnd w:id="15"/>
    </w:p>
    <w:tbl>
      <w:tblPr>
        <w:tblStyle w:val="52"/>
        <w:tblW w:w="0" w:type="auto"/>
        <w:tblInd w:w="7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1"/>
        <w:gridCol w:w="861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序号</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hint="eastAsia" w:ascii="宋体" w:hAnsi="宋体" w:cs="宋体"/>
                <w:color w:val="000000" w:themeColor="text1"/>
                <w:szCs w:val="21"/>
                <w:lang w:val="en"/>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w:t>
            </w:r>
            <w:r>
              <w:rPr>
                <w:rFonts w:hint="eastAsia" w:ascii="宋体" w:hAnsi="宋体" w:cs="宋体"/>
                <w:b/>
                <w:bCs/>
                <w:color w:val="000000" w:themeColor="text1"/>
                <w:szCs w:val="21"/>
                <w14:textFill>
                  <w14:solidFill>
                    <w14:schemeClr w14:val="tx1"/>
                  </w14:solidFill>
                </w14:textFill>
              </w:rPr>
              <w:t>梧州学院A7A8A9栋学生宿舍家具采购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投标报价及费用：1.本项目投标应以人民币报价；2.不论投标结果如何，投标人均应自行承担所有与投标有关的全部费用；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保证金：详见公开招标公告；</w:t>
            </w:r>
          </w:p>
          <w:p>
            <w:pPr>
              <w:snapToGrid w:val="0"/>
              <w:spacing w:line="300" w:lineRule="exac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实际交纳的保证金须按要求交纳，否则视为未交纳保证金。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hint="eastAsia" w:ascii="宋体" w:hAnsi="宋体" w:cs="宋体"/>
                <w:b/>
                <w:bCs/>
                <w:color w:val="000000" w:themeColor="text1"/>
                <w:szCs w:val="21"/>
                <w14:textFill>
                  <w14:solidFill>
                    <w14:schemeClr w14:val="tx1"/>
                  </w14:solidFill>
                </w14:textFill>
              </w:rPr>
            </w:pPr>
            <w:bookmarkStart w:id="16" w:name="OLE_LINK6"/>
            <w:r>
              <w:rPr>
                <w:rFonts w:hint="eastAsia" w:ascii="宋体" w:hAnsi="宋体" w:cs="宋体"/>
                <w:b/>
                <w:color w:val="000000" w:themeColor="text1"/>
                <w:szCs w:val="21"/>
                <w14:textFill>
                  <w14:solidFill>
                    <w14:schemeClr w14:val="tx1"/>
                  </w14:solidFill>
                </w14:textFill>
              </w:rPr>
              <w:t>现场勘查</w:t>
            </w:r>
            <w:bookmarkEnd w:id="16"/>
            <w:r>
              <w:rPr>
                <w:rFonts w:hint="eastAsia" w:ascii="宋体" w:hAnsi="宋体" w:cs="宋体"/>
                <w:b/>
                <w:color w:val="000000" w:themeColor="text1"/>
                <w:szCs w:val="21"/>
                <w14:textFill>
                  <w14:solidFill>
                    <w14:schemeClr w14:val="tx1"/>
                  </w14:solidFill>
                </w14:textFill>
              </w:rPr>
              <w:t>：详见采购需求（如有）。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演示时间及地点：无。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（1）答疑、澄清：</w:t>
            </w:r>
            <w:r>
              <w:rPr>
                <w:rFonts w:hint="eastAsia" w:ascii="宋体" w:hAnsi="宋体" w:cs="宋体"/>
                <w:b/>
                <w:color w:val="000000" w:themeColor="text1"/>
                <w:szCs w:val="21"/>
                <w:u w:val="single"/>
                <w14:textFill>
                  <w14:solidFill>
                    <w14:schemeClr w14:val="tx1"/>
                  </w14:solidFill>
                </w14:textFill>
              </w:rPr>
              <w:t>投标人如认为招标文件表述不清晰、</w:t>
            </w:r>
            <w:r>
              <w:rPr>
                <w:rFonts w:hint="eastAsia" w:ascii="宋体" w:hAnsi="宋体" w:cs="宋体"/>
                <w:b/>
                <w:bCs/>
                <w:color w:val="000000" w:themeColor="text1"/>
                <w:szCs w:val="21"/>
                <w:u w:val="single"/>
                <w14:textFill>
                  <w14:solidFill>
                    <w14:schemeClr w14:val="tx1"/>
                  </w14:solidFill>
                </w14:textFill>
              </w:rPr>
              <w:t>有误或有不合理要求的</w:t>
            </w:r>
            <w:r>
              <w:rPr>
                <w:rFonts w:hint="eastAsia" w:ascii="宋体" w:hAnsi="宋体" w:cs="宋体"/>
                <w:color w:val="000000" w:themeColor="text1"/>
                <w:szCs w:val="21"/>
                <w14:textFill>
                  <w14:solidFill>
                    <w14:schemeClr w14:val="tx1"/>
                  </w14:solidFill>
                </w14:textFill>
              </w:rPr>
              <w:t>，应当以书面形式要求采购人或者本中心作出书面答疑、澄清；</w:t>
            </w:r>
          </w:p>
          <w:p>
            <w:pPr>
              <w:snapToGrid w:val="0"/>
              <w:spacing w:line="3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（2）询问、质疑：</w:t>
            </w:r>
            <w:r>
              <w:rPr>
                <w:rFonts w:hint="eastAsia" w:ascii="宋体" w:hAnsi="宋体" w:cs="宋体"/>
                <w:b/>
                <w:color w:val="000000" w:themeColor="text1"/>
                <w:szCs w:val="21"/>
                <w:u w:val="single"/>
                <w14:textFill>
                  <w14:solidFill>
                    <w14:schemeClr w14:val="tx1"/>
                  </w14:solidFill>
                </w14:textFill>
              </w:rPr>
              <w:t>如投标人认为招标文件存在歧视性、排他性或者其他违法内容的</w:t>
            </w:r>
            <w:r>
              <w:rPr>
                <w:rFonts w:hint="eastAsia" w:ascii="宋体" w:hAnsi="宋体" w:cs="宋体"/>
                <w:color w:val="000000" w:themeColor="text1"/>
                <w:szCs w:val="21"/>
                <w14:textFill>
                  <w14:solidFill>
                    <w14:schemeClr w14:val="tx1"/>
                  </w14:solidFill>
                </w14:textFill>
              </w:rPr>
              <w:t>，按投标人须知“一、总则（九）询问、质疑和投诉”中的要求向采购人或者采购代理机构提出书面询问、质疑，并提供必要的证明材料。</w:t>
            </w:r>
          </w:p>
          <w:p>
            <w:pPr>
              <w:snapToGrid w:val="0"/>
              <w:spacing w:line="3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答疑、澄清内容是招标文件的组成部份，本中心将以书面形式送达所有已报名的投标人。本中心可以视采购具体情况，延长招标文件或者资格预审文件提供期限，并在财政部门指定的政府采购信息发布媒体及本中心网站上发布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ascii="宋体" w:hAnsi="宋体" w:cs="宋体"/>
                <w:snapToGrid w:val="0"/>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投标文件形式：</w:t>
            </w:r>
            <w:r>
              <w:rPr>
                <w:rFonts w:hint="eastAsia" w:ascii="宋体" w:hAnsi="宋体" w:cs="宋体"/>
                <w:snapToGrid w:val="0"/>
                <w:color w:val="000000" w:themeColor="text1"/>
                <w:szCs w:val="21"/>
                <w14:textFill>
                  <w14:solidFill>
                    <w14:schemeClr w14:val="tx1"/>
                  </w14:solidFill>
                </w14:textFill>
              </w:rPr>
              <w:t>投标供应商应准备电子投标文件。</w:t>
            </w:r>
          </w:p>
          <w:p>
            <w:pPr>
              <w:autoSpaceDE w:val="0"/>
              <w:autoSpaceDN w:val="0"/>
              <w:snapToGrid w:val="0"/>
              <w:spacing w:line="300" w:lineRule="exact"/>
              <w:ind w:firstLine="420" w:firstLineChars="200"/>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电子投标文件是指通过“</w:t>
            </w:r>
            <w:r>
              <w:rPr>
                <w:rFonts w:hint="eastAsia" w:ascii="宋体" w:hAnsi="宋体" w:cs="宋体"/>
                <w:snapToGrid w:val="0"/>
                <w:color w:val="000000" w:themeColor="text1"/>
                <w:szCs w:val="21"/>
                <w:lang w:val="en"/>
                <w14:textFill>
                  <w14:solidFill>
                    <w14:schemeClr w14:val="tx1"/>
                  </w14:solidFill>
                </w14:textFill>
              </w:rPr>
              <w:t>广西政府采购云</w:t>
            </w:r>
            <w:r>
              <w:rPr>
                <w:rFonts w:hint="eastAsia" w:ascii="宋体" w:hAnsi="宋体" w:cs="宋体"/>
                <w:color w:val="000000" w:themeColor="text1"/>
                <w:szCs w:val="21"/>
                <w14:textFill>
                  <w14:solidFill>
                    <w14:schemeClr w14:val="tx1"/>
                  </w14:solidFill>
                </w14:textFill>
              </w:rPr>
              <w:t>电子投标</w:t>
            </w:r>
            <w:r>
              <w:rPr>
                <w:rFonts w:hint="eastAsia" w:ascii="宋体" w:hAnsi="宋体" w:cs="宋体"/>
                <w:snapToGrid w:val="0"/>
                <w:color w:val="000000" w:themeColor="text1"/>
                <w:szCs w:val="21"/>
                <w14:textFill>
                  <w14:solidFill>
                    <w14:schemeClr w14:val="tx1"/>
                  </w14:solidFill>
                </w14:textFill>
              </w:rPr>
              <w:t>客户端”完成投标文件编制后生成并加密的数据电文形式的电子加密投标文件。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投标文件的编制：供应商应先安装“</w:t>
            </w:r>
            <w:r>
              <w:rPr>
                <w:rFonts w:hint="eastAsia" w:ascii="宋体" w:hAnsi="宋体" w:cs="宋体"/>
                <w:snapToGrid w:val="0"/>
                <w:color w:val="000000" w:themeColor="text1"/>
                <w:szCs w:val="21"/>
                <w:lang w:val="en"/>
                <w14:textFill>
                  <w14:solidFill>
                    <w14:schemeClr w14:val="tx1"/>
                  </w14:solidFill>
                </w14:textFill>
              </w:rPr>
              <w:t>广西政府采购云</w:t>
            </w:r>
            <w:r>
              <w:rPr>
                <w:rFonts w:hint="eastAsia" w:ascii="宋体" w:hAnsi="宋体" w:cs="宋体"/>
                <w:color w:val="000000" w:themeColor="text1"/>
                <w:szCs w:val="21"/>
                <w14:textFill>
                  <w14:solidFill>
                    <w14:schemeClr w14:val="tx1"/>
                  </w14:solidFill>
                </w14:textFill>
              </w:rPr>
              <w:t>电子投标</w:t>
            </w:r>
            <w:r>
              <w:rPr>
                <w:rFonts w:hint="eastAsia" w:ascii="宋体" w:hAnsi="宋体" w:cs="宋体"/>
                <w:snapToGrid w:val="0"/>
                <w:color w:val="000000" w:themeColor="text1"/>
                <w:szCs w:val="21"/>
                <w14:textFill>
                  <w14:solidFill>
                    <w14:schemeClr w14:val="tx1"/>
                  </w14:solidFill>
                </w14:textFill>
              </w:rPr>
              <w:t>客户端”，并按照本招标文件和“</w:t>
            </w:r>
            <w:r>
              <w:rPr>
                <w:rFonts w:hint="eastAsia" w:ascii="宋体" w:hAnsi="宋体" w:cs="宋体"/>
                <w:snapToGrid w:val="0"/>
                <w:color w:val="000000" w:themeColor="text1"/>
                <w:szCs w:val="21"/>
                <w:lang w:val="en"/>
                <w14:textFill>
                  <w14:solidFill>
                    <w14:schemeClr w14:val="tx1"/>
                  </w14:solidFill>
                </w14:textFill>
              </w:rPr>
              <w:t>广西政府采购云平台</w:t>
            </w:r>
            <w:r>
              <w:rPr>
                <w:rFonts w:hint="eastAsia" w:ascii="宋体" w:hAnsi="宋体" w:cs="宋体"/>
                <w:snapToGrid w:val="0"/>
                <w:color w:val="000000" w:themeColor="text1"/>
                <w:szCs w:val="21"/>
                <w14:textFill>
                  <w14:solidFill>
                    <w14:schemeClr w14:val="tx1"/>
                  </w14:solidFill>
                </w14:textFill>
              </w:rPr>
              <w:t>”的要求，通过“</w:t>
            </w:r>
            <w:r>
              <w:rPr>
                <w:rFonts w:hint="eastAsia" w:ascii="宋体" w:hAnsi="宋体" w:cs="宋体"/>
                <w:snapToGrid w:val="0"/>
                <w:color w:val="000000" w:themeColor="text1"/>
                <w:szCs w:val="21"/>
                <w:lang w:val="en"/>
                <w14:textFill>
                  <w14:solidFill>
                    <w14:schemeClr w14:val="tx1"/>
                  </w14:solidFill>
                </w14:textFill>
              </w:rPr>
              <w:t>广西政府采购云</w:t>
            </w:r>
            <w:r>
              <w:rPr>
                <w:rFonts w:hint="eastAsia" w:ascii="宋体" w:hAnsi="宋体" w:cs="宋体"/>
                <w:color w:val="000000" w:themeColor="text1"/>
                <w:szCs w:val="21"/>
                <w14:textFill>
                  <w14:solidFill>
                    <w14:schemeClr w14:val="tx1"/>
                  </w14:solidFill>
                </w14:textFill>
              </w:rPr>
              <w:t>电子投标</w:t>
            </w:r>
            <w:r>
              <w:rPr>
                <w:rFonts w:hint="eastAsia" w:ascii="宋体" w:hAnsi="宋体" w:cs="宋体"/>
                <w:snapToGrid w:val="0"/>
                <w:color w:val="000000" w:themeColor="text1"/>
                <w:szCs w:val="21"/>
                <w14:textFill>
                  <w14:solidFill>
                    <w14:schemeClr w14:val="tx1"/>
                  </w14:solidFill>
                </w14:textFill>
              </w:rPr>
              <w:t>客户端”编制并加密投标文件。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snapToGrid w:val="0"/>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snapToGrid w:val="0"/>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法定代表人或其授权代表签字或签章：本招标文件所涉及的法定代表人或其授权代表签字或签章的内容，如果投标单位没有法定代表人电子签章，涉及到法定代表人或其授权代表签字或签章的内容，投标单位可以线下签字或签章后扫描上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snapToGrid w:val="0"/>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投标文件份数：电子加密投标文件在线上传提交一份。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ascii="宋体" w:hAnsi="宋体" w:cs="宋体"/>
                <w:snapToGrid w:val="0"/>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投标文件的上传和提交：本项目通过“</w:t>
            </w:r>
            <w:r>
              <w:rPr>
                <w:rFonts w:hint="eastAsia" w:ascii="宋体" w:hAnsi="宋体" w:cs="宋体"/>
                <w:snapToGrid w:val="0"/>
                <w:color w:val="000000" w:themeColor="text1"/>
                <w:szCs w:val="21"/>
                <w:lang w:val="en"/>
                <w14:textFill>
                  <w14:solidFill>
                    <w14:schemeClr w14:val="tx1"/>
                  </w14:solidFill>
                </w14:textFill>
              </w:rPr>
              <w:t>广西政府采购云平台（http://www.gcy.zfcg.gxzf.gov.cn）</w:t>
            </w:r>
            <w:r>
              <w:rPr>
                <w:rFonts w:hint="eastAsia" w:ascii="宋体" w:hAnsi="宋体" w:cs="宋体"/>
                <w:snapToGrid w:val="0"/>
                <w:color w:val="000000" w:themeColor="text1"/>
                <w:szCs w:val="21"/>
                <w14:textFill>
                  <w14:solidFill>
                    <w14:schemeClr w14:val="tx1"/>
                  </w14:solidFill>
                </w14:textFill>
              </w:rPr>
              <w:t>”实行在线投标响应（电子投标），投标供应商应当在投标截止时间前，将生成的“电子加密投标文件”上传提交至“广西政府采购云平台”。</w:t>
            </w:r>
          </w:p>
          <w:p>
            <w:pPr>
              <w:spacing w:line="300" w:lineRule="exact"/>
              <w:ind w:firstLine="420" w:firstLineChars="200"/>
              <w:rPr>
                <w:rFonts w:hint="eastAsia" w:ascii="宋体" w:hAnsi="宋体" w:cs="宋体"/>
                <w:snapToGrid w:val="0"/>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“电子加密投标文件”的上传、提交：</w:t>
            </w:r>
          </w:p>
          <w:p>
            <w:pPr>
              <w:spacing w:line="300" w:lineRule="exact"/>
              <w:ind w:firstLine="420" w:firstLineChars="200"/>
              <w:rPr>
                <w:rFonts w:hint="eastAsia" w:ascii="宋体" w:hAnsi="宋体" w:cs="宋体"/>
                <w:snapToGrid w:val="0"/>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a.投标供应商应在投标截止时间前将“电子加密投标文件”成功上传提交至“广西政府采购云平台”，否则投标无效。</w:t>
            </w:r>
          </w:p>
          <w:p>
            <w:pPr>
              <w:spacing w:line="300" w:lineRule="exact"/>
              <w:ind w:firstLine="420" w:firstLineChars="200"/>
              <w:rPr>
                <w:rFonts w:hint="eastAsia" w:ascii="宋体" w:hAnsi="宋体" w:cs="宋体"/>
                <w:snapToGrid w:val="0"/>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b.“电子加密投标文件”成功上传提交后，供应商可自行打印投标文件接收回执。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85"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ascii="宋体" w:hAnsi="宋体" w:cs="宋体"/>
                <w:snapToGrid w:val="0"/>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电子加密投标文件的解密：</w:t>
            </w:r>
          </w:p>
          <w:p>
            <w:pPr>
              <w:spacing w:line="300" w:lineRule="exact"/>
              <w:ind w:firstLine="420" w:firstLineChars="200"/>
              <w:rPr>
                <w:rFonts w:hint="eastAsia" w:ascii="宋体" w:hAnsi="宋体" w:cs="宋体"/>
                <w:snapToGrid w:val="0"/>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投标截止时间及地点：</w:t>
            </w:r>
            <w:r>
              <w:rPr>
                <w:rFonts w:hint="eastAsia" w:ascii="宋体" w:hAnsi="宋体" w:cs="宋体"/>
                <w:b/>
                <w:bCs/>
                <w:color w:val="000000" w:themeColor="text1"/>
                <w:szCs w:val="21"/>
                <w:highlight w:val="none"/>
                <w:lang w:val="en"/>
                <w14:textFill>
                  <w14:solidFill>
                    <w14:schemeClr w14:val="tx1"/>
                  </w14:solidFill>
                </w14:textFill>
              </w:rPr>
              <w:t>20</w:t>
            </w:r>
            <w:r>
              <w:rPr>
                <w:rFonts w:hint="eastAsia" w:ascii="宋体" w:hAnsi="宋体" w:cs="宋体"/>
                <w:b/>
                <w:bCs/>
                <w:color w:val="000000" w:themeColor="text1"/>
                <w:szCs w:val="21"/>
                <w:highlight w:val="none"/>
                <w14:textFill>
                  <w14:solidFill>
                    <w14:schemeClr w14:val="tx1"/>
                  </w14:solidFill>
                </w14:textFill>
              </w:rPr>
              <w:t>26</w:t>
            </w:r>
            <w:r>
              <w:rPr>
                <w:rFonts w:hint="eastAsia" w:ascii="宋体" w:hAnsi="宋体" w:cs="宋体"/>
                <w:b/>
                <w:bCs/>
                <w:color w:val="000000" w:themeColor="text1"/>
                <w:szCs w:val="21"/>
                <w:highlight w:val="none"/>
                <w:lang w:val="en"/>
                <w14:textFill>
                  <w14:solidFill>
                    <w14:schemeClr w14:val="tx1"/>
                  </w14:solidFill>
                </w14:textFill>
              </w:rPr>
              <w:t>年</w:t>
            </w:r>
            <w:r>
              <w:rPr>
                <w:rFonts w:hint="default" w:ascii="宋体" w:hAnsi="宋体" w:cs="宋体"/>
                <w:b/>
                <w:bCs/>
                <w:color w:val="000000" w:themeColor="text1"/>
                <w:szCs w:val="21"/>
                <w:highlight w:val="none"/>
                <w:lang w:val="en"/>
                <w14:textFill>
                  <w14:solidFill>
                    <w14:schemeClr w14:val="tx1"/>
                  </w14:solidFill>
                </w14:textFill>
              </w:rPr>
              <w:t>8</w:t>
            </w:r>
            <w:r>
              <w:rPr>
                <w:rFonts w:hint="eastAsia" w:ascii="宋体" w:hAnsi="宋体" w:cs="宋体"/>
                <w:b/>
                <w:bCs/>
                <w:color w:val="000000" w:themeColor="text1"/>
                <w:szCs w:val="21"/>
                <w:highlight w:val="none"/>
                <w:lang w:val="en"/>
                <w14:textFill>
                  <w14:solidFill>
                    <w14:schemeClr w14:val="tx1"/>
                  </w14:solidFill>
                </w14:textFill>
              </w:rPr>
              <w:t>月</w:t>
            </w:r>
            <w:r>
              <w:rPr>
                <w:rFonts w:hint="default" w:ascii="宋体" w:hAnsi="宋体" w:cs="宋体"/>
                <w:b/>
                <w:bCs/>
                <w:color w:val="000000" w:themeColor="text1"/>
                <w:szCs w:val="21"/>
                <w:highlight w:val="none"/>
                <w:lang w:val="en"/>
                <w14:textFill>
                  <w14:solidFill>
                    <w14:schemeClr w14:val="tx1"/>
                  </w14:solidFill>
                </w14:textFill>
              </w:rPr>
              <w:t>28</w:t>
            </w:r>
            <w:r>
              <w:rPr>
                <w:rFonts w:hint="eastAsia" w:ascii="宋体" w:hAnsi="宋体" w:cs="宋体"/>
                <w:b/>
                <w:bCs/>
                <w:color w:val="000000" w:themeColor="text1"/>
                <w:szCs w:val="21"/>
                <w:highlight w:val="none"/>
                <w:lang w:val="en"/>
                <w14:textFill>
                  <w14:solidFill>
                    <w14:schemeClr w14:val="tx1"/>
                  </w14:solidFill>
                </w14:textFill>
              </w:rPr>
              <w:t>日</w:t>
            </w:r>
            <w:r>
              <w:rPr>
                <w:rFonts w:hint="eastAsia" w:ascii="宋体" w:hAnsi="宋体" w:cs="宋体"/>
                <w:b/>
                <w:color w:val="000000" w:themeColor="text1"/>
                <w:szCs w:val="21"/>
                <w:highlight w:val="none"/>
                <w14:textFill>
                  <w14:solidFill>
                    <w14:schemeClr w14:val="tx1"/>
                  </w14:solidFill>
                </w14:textFill>
              </w:rPr>
              <w:t>上午10时整，</w:t>
            </w:r>
            <w:r>
              <w:rPr>
                <w:rFonts w:hint="eastAsia" w:ascii="宋体" w:hAnsi="宋体" w:cs="宋体"/>
                <w:b/>
                <w:color w:val="000000" w:themeColor="text1"/>
                <w:szCs w:val="21"/>
                <w:highlight w:val="none"/>
                <w:u w:val="single"/>
                <w:lang w:val="en"/>
                <w14:textFill>
                  <w14:solidFill>
                    <w14:schemeClr w14:val="tx1"/>
                  </w14:solidFill>
                </w14:textFill>
              </w:rPr>
              <w:t>南宁市星湖路22号</w:t>
            </w:r>
            <w:r>
              <w:rPr>
                <w:rFonts w:hint="eastAsia" w:ascii="宋体" w:hAnsi="宋体" w:cs="宋体"/>
                <w:b/>
                <w:color w:val="000000" w:themeColor="text1"/>
                <w:szCs w:val="21"/>
                <w:highlight w:val="none"/>
                <w:u w:val="single"/>
                <w14:textFill>
                  <w14:solidFill>
                    <w14:schemeClr w14:val="tx1"/>
                  </w14:solidFill>
                </w14:textFill>
              </w:rPr>
              <w:t>广西壮族自治区政府采购中心开标大厅。</w:t>
            </w:r>
            <w:r>
              <w:rPr>
                <w:rFonts w:hint="eastAsia" w:ascii="宋体" w:hAnsi="宋体" w:cs="宋体"/>
                <w:b/>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本项目采用在线开评标方式，投标供应商无须前往开标现场</w:t>
            </w:r>
            <w:r>
              <w:rPr>
                <w:rFonts w:hint="eastAsia" w:ascii="宋体" w:hAnsi="宋体" w:cs="宋体"/>
                <w:b/>
                <w:color w:val="000000" w:themeColor="text1"/>
                <w:szCs w:val="21"/>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开标时间及地点：</w:t>
            </w:r>
            <w:r>
              <w:rPr>
                <w:rFonts w:hint="eastAsia" w:ascii="宋体" w:hAnsi="宋体" w:cs="宋体"/>
                <w:b/>
                <w:bCs/>
                <w:color w:val="000000" w:themeColor="text1"/>
                <w:szCs w:val="21"/>
                <w:lang w:val="en"/>
                <w14:textFill>
                  <w14:solidFill>
                    <w14:schemeClr w14:val="tx1"/>
                  </w14:solidFill>
                </w14:textFill>
              </w:rPr>
              <w:t>20</w:t>
            </w:r>
            <w:r>
              <w:rPr>
                <w:rFonts w:hint="eastAsia" w:ascii="宋体" w:hAnsi="宋体" w:cs="宋体"/>
                <w:b/>
                <w:bCs/>
                <w:color w:val="000000" w:themeColor="text1"/>
                <w:szCs w:val="21"/>
                <w14:textFill>
                  <w14:solidFill>
                    <w14:schemeClr w14:val="tx1"/>
                  </w14:solidFill>
                </w14:textFill>
              </w:rPr>
              <w:t>26</w:t>
            </w:r>
            <w:r>
              <w:rPr>
                <w:rFonts w:hint="eastAsia" w:ascii="宋体" w:hAnsi="宋体" w:cs="宋体"/>
                <w:b/>
                <w:bCs/>
                <w:color w:val="000000" w:themeColor="text1"/>
                <w:szCs w:val="21"/>
                <w:lang w:val="en"/>
                <w14:textFill>
                  <w14:solidFill>
                    <w14:schemeClr w14:val="tx1"/>
                  </w14:solidFill>
                </w14:textFill>
              </w:rPr>
              <w:t>年</w:t>
            </w:r>
            <w:r>
              <w:rPr>
                <w:rFonts w:hint="default" w:ascii="宋体" w:hAnsi="宋体" w:cs="宋体"/>
                <w:b/>
                <w:bCs/>
                <w:color w:val="000000" w:themeColor="text1"/>
                <w:szCs w:val="21"/>
                <w:lang w:val="en"/>
                <w14:textFill>
                  <w14:solidFill>
                    <w14:schemeClr w14:val="tx1"/>
                  </w14:solidFill>
                </w14:textFill>
              </w:rPr>
              <w:t>8</w:t>
            </w:r>
            <w:r>
              <w:rPr>
                <w:rFonts w:hint="eastAsia" w:ascii="宋体" w:hAnsi="宋体" w:cs="宋体"/>
                <w:b/>
                <w:bCs/>
                <w:color w:val="000000" w:themeColor="text1"/>
                <w:szCs w:val="21"/>
                <w:lang w:val="en"/>
                <w14:textFill>
                  <w14:solidFill>
                    <w14:schemeClr w14:val="tx1"/>
                  </w14:solidFill>
                </w14:textFill>
              </w:rPr>
              <w:t>月</w:t>
            </w:r>
            <w:r>
              <w:rPr>
                <w:rFonts w:hint="default" w:ascii="宋体" w:hAnsi="宋体" w:cs="宋体"/>
                <w:b/>
                <w:bCs/>
                <w:color w:val="000000" w:themeColor="text1"/>
                <w:szCs w:val="21"/>
                <w:lang w:val="en"/>
                <w14:textFill>
                  <w14:solidFill>
                    <w14:schemeClr w14:val="tx1"/>
                  </w14:solidFill>
                </w14:textFill>
              </w:rPr>
              <w:t>28</w:t>
            </w:r>
            <w:r>
              <w:rPr>
                <w:rFonts w:hint="eastAsia" w:ascii="宋体" w:hAnsi="宋体" w:cs="宋体"/>
                <w:b/>
                <w:bCs/>
                <w:color w:val="000000" w:themeColor="text1"/>
                <w:szCs w:val="21"/>
                <w:lang w:val="en"/>
                <w14:textFill>
                  <w14:solidFill>
                    <w14:schemeClr w14:val="tx1"/>
                  </w14:solidFill>
                </w14:textFill>
              </w:rPr>
              <w:t>日</w:t>
            </w:r>
            <w:r>
              <w:rPr>
                <w:rFonts w:hint="eastAsia" w:ascii="宋体" w:hAnsi="宋体" w:cs="宋体"/>
                <w:b/>
                <w:color w:val="000000" w:themeColor="text1"/>
                <w:szCs w:val="21"/>
                <w14:textFill>
                  <w14:solidFill>
                    <w14:schemeClr w14:val="tx1"/>
                  </w14:solidFill>
                </w14:textFill>
              </w:rPr>
              <w:t>上午10时整，</w:t>
            </w:r>
            <w:r>
              <w:rPr>
                <w:rFonts w:hint="eastAsia" w:ascii="宋体" w:hAnsi="宋体" w:cs="宋体"/>
                <w:b/>
                <w:color w:val="000000" w:themeColor="text1"/>
                <w:szCs w:val="21"/>
                <w:u w:val="single"/>
                <w:lang w:val="en"/>
                <w14:textFill>
                  <w14:solidFill>
                    <w14:schemeClr w14:val="tx1"/>
                  </w14:solidFill>
                </w14:textFill>
              </w:rPr>
              <w:t>南宁市星湖路22号</w:t>
            </w:r>
            <w:r>
              <w:rPr>
                <w:rFonts w:hint="eastAsia" w:ascii="宋体" w:hAnsi="宋体" w:cs="宋体"/>
                <w:b/>
                <w:color w:val="000000" w:themeColor="text1"/>
                <w:szCs w:val="21"/>
                <w:u w:val="single"/>
                <w14:textFill>
                  <w14:solidFill>
                    <w14:schemeClr w14:val="tx1"/>
                  </w14:solidFill>
                </w14:textFill>
              </w:rPr>
              <w:t>广西壮族自治区政府采购中心开标大厅。</w:t>
            </w:r>
            <w:r>
              <w:rPr>
                <w:rFonts w:hint="eastAsia" w:ascii="宋体" w:hAnsi="宋体" w:cs="宋体"/>
                <w:b/>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本项目采用在线开评标方式，投标供应商无须前往开标现场</w:t>
            </w:r>
            <w:r>
              <w:rPr>
                <w:rFonts w:hint="eastAsia" w:ascii="宋体" w:hAnsi="宋体" w:cs="宋体"/>
                <w:b/>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w:t>
            </w:r>
          </w:p>
        </w:tc>
        <w:tc>
          <w:tcPr>
            <w:tcW w:w="861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exact"/>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
                <w14:textFill>
                  <w14:solidFill>
                    <w14:schemeClr w14:val="tx1"/>
                  </w14:solidFill>
                </w14:textFill>
              </w:rPr>
              <w:t>评标方法</w:t>
            </w:r>
            <w:r>
              <w:rPr>
                <w:rFonts w:hint="eastAsia" w:ascii="宋体" w:hAnsi="宋体" w:cs="宋体"/>
                <w:color w:val="000000" w:themeColor="text1"/>
                <w:szCs w:val="21"/>
                <w14:textFill>
                  <w14:solidFill>
                    <w14:schemeClr w14:val="tx1"/>
                  </w14:solidFill>
                </w14:textFill>
              </w:rPr>
              <w:t>：综合评分法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w:t>
            </w:r>
          </w:p>
        </w:tc>
        <w:tc>
          <w:tcPr>
            <w:tcW w:w="861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00" w:lineRule="exact"/>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中标公告及中标通知书：本中心在采购人依法确认中标人后二个工作日内发布中标公告和中标通知书，中标公告发布于上述媒体（详细见公告中公布的网站）。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w:t>
            </w:r>
          </w:p>
        </w:tc>
        <w:tc>
          <w:tcPr>
            <w:tcW w:w="861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20" w:lineRule="exact"/>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采购资金来源：财政性资金。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19</w:t>
            </w:r>
          </w:p>
        </w:tc>
        <w:tc>
          <w:tcPr>
            <w:tcW w:w="861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付款方式：</w:t>
            </w:r>
            <w:r>
              <w:rPr>
                <w:rFonts w:hint="eastAsia" w:ascii="宋体" w:hAnsi="宋体" w:cs="宋体"/>
                <w:color w:val="000000" w:themeColor="text1"/>
                <w:kern w:val="0"/>
                <w:szCs w:val="21"/>
                <w14:textFill>
                  <w14:solidFill>
                    <w14:schemeClr w14:val="tx1"/>
                  </w14:solidFill>
                </w14:textFill>
              </w:rPr>
              <w:t>见招标项目采购需求。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投标文件有效期：</w:t>
            </w:r>
            <w:r>
              <w:rPr>
                <w:rFonts w:hint="eastAsia" w:ascii="宋体" w:hAnsi="宋体" w:cs="宋体"/>
                <w:color w:val="000000" w:themeColor="text1"/>
                <w:szCs w:val="21"/>
                <w:u w:val="single"/>
                <w14:textFill>
                  <w14:solidFill>
                    <w14:schemeClr w14:val="tx1"/>
                  </w14:solidFill>
                </w14:textFill>
              </w:rPr>
              <w:t xml:space="preserve"> 六十日。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lang w:val="en"/>
                <w14:textFill>
                  <w14:solidFill>
                    <w14:schemeClr w14:val="tx1"/>
                  </w14:solidFill>
                </w14:textFill>
              </w:rPr>
            </w:pPr>
            <w:r>
              <w:rPr>
                <w:rFonts w:hint="eastAsia" w:ascii="宋体" w:hAnsi="宋体" w:cs="宋体"/>
                <w:color w:val="000000" w:themeColor="text1"/>
                <w:szCs w:val="21"/>
                <w:lang w:val="en"/>
                <w14:textFill>
                  <w14:solidFill>
                    <w14:schemeClr w14:val="tx1"/>
                  </w14:solidFill>
                </w14:textFill>
              </w:rPr>
              <w:t>21</w:t>
            </w:r>
          </w:p>
        </w:tc>
        <w:tc>
          <w:tcPr>
            <w:tcW w:w="8619" w:type="dxa"/>
            <w:tcBorders>
              <w:top w:val="single" w:color="auto" w:sz="4" w:space="0"/>
              <w:left w:val="single" w:color="auto" w:sz="4" w:space="0"/>
              <w:bottom w:val="single" w:color="auto" w:sz="4" w:space="0"/>
              <w:right w:val="single" w:color="auto" w:sz="4" w:space="0"/>
            </w:tcBorders>
            <w:vAlign w:val="center"/>
          </w:tcPr>
          <w:p>
            <w:pPr>
              <w:ind w:firstLine="421" w:firstLineChars="200"/>
              <w:rPr>
                <w:rFonts w:hint="eastAsia" w:ascii="宋体" w:hAnsi="宋体" w:cs="宋体"/>
                <w:b/>
                <w:bCs/>
                <w:snapToGrid w:val="0"/>
                <w:color w:val="000000" w:themeColor="text1"/>
                <w:szCs w:val="21"/>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对招标文件、采购过程或者中标结果的质疑由采购人接收或采购代理机构代为接收，由采购人负责答复。</w:t>
            </w:r>
          </w:p>
          <w:p>
            <w:pPr>
              <w:ind w:firstLine="421" w:firstLineChars="200"/>
              <w:rPr>
                <w:rFonts w:hint="eastAsia" w:ascii="宋体" w:hAnsi="宋体" w:cs="宋体"/>
                <w:b/>
                <w:bCs/>
                <w:snapToGrid w:val="0"/>
                <w:color w:val="000000" w:themeColor="text1"/>
                <w:szCs w:val="21"/>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接收质疑函方式：以书面形式。</w:t>
            </w:r>
          </w:p>
          <w:p>
            <w:pPr>
              <w:ind w:firstLine="421" w:firstLineChars="200"/>
              <w:rPr>
                <w:rFonts w:hint="eastAsia" w:ascii="宋体" w:hAnsi="宋体" w:cs="宋体"/>
                <w:b/>
                <w:bCs/>
                <w:snapToGrid w:val="0"/>
                <w:color w:val="000000" w:themeColor="text1"/>
                <w:szCs w:val="21"/>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质疑联系部门及联系方式：</w:t>
            </w:r>
          </w:p>
          <w:p>
            <w:pPr>
              <w:ind w:firstLine="421" w:firstLineChars="200"/>
              <w:rPr>
                <w:rFonts w:hint="eastAsia" w:ascii="宋体" w:hAnsi="宋体" w:cs="宋体"/>
                <w:b/>
                <w:bCs/>
                <w:snapToGrid w:val="0"/>
                <w:color w:val="000000" w:themeColor="text1"/>
                <w:szCs w:val="21"/>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 xml:space="preserve">（1）广西壮族自治区政府采购中心内审科     </w:t>
            </w:r>
          </w:p>
          <w:p>
            <w:pPr>
              <w:ind w:firstLine="421" w:firstLineChars="200"/>
              <w:rPr>
                <w:rFonts w:hint="eastAsia" w:ascii="宋体" w:hAnsi="宋体" w:cs="宋体"/>
                <w:b/>
                <w:bCs/>
                <w:snapToGrid w:val="0"/>
                <w:color w:val="000000" w:themeColor="text1"/>
                <w:szCs w:val="21"/>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电话：0771-8600453</w:t>
            </w:r>
          </w:p>
          <w:p>
            <w:pPr>
              <w:ind w:firstLine="421" w:firstLineChars="200"/>
              <w:rPr>
                <w:rFonts w:hint="eastAsia" w:ascii="宋体" w:hAnsi="宋体" w:cs="宋体"/>
                <w:b/>
                <w:bCs/>
                <w:snapToGrid w:val="0"/>
                <w:color w:val="000000" w:themeColor="text1"/>
                <w:szCs w:val="21"/>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地址：广西南宁市星湖路22号</w:t>
            </w:r>
          </w:p>
          <w:p>
            <w:pPr>
              <w:ind w:firstLine="421" w:firstLineChars="200"/>
              <w:rPr>
                <w:rFonts w:hint="eastAsia" w:ascii="宋体" w:hAnsi="宋体" w:cs="宋体"/>
                <w:b/>
                <w:bCs/>
                <w:snapToGrid w:val="0"/>
                <w:color w:val="000000" w:themeColor="text1"/>
                <w:szCs w:val="21"/>
                <w:lang w:val="en"/>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（2）梧州学院</w:t>
            </w:r>
          </w:p>
          <w:p>
            <w:pPr>
              <w:ind w:firstLine="421" w:firstLineChars="200"/>
              <w:rPr>
                <w:rFonts w:hint="eastAsia" w:ascii="宋体" w:hAnsi="宋体" w:cs="宋体"/>
                <w:b/>
                <w:bCs/>
                <w:snapToGrid w:val="0"/>
                <w:color w:val="000000" w:themeColor="text1"/>
                <w:szCs w:val="21"/>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电话：</w:t>
            </w:r>
            <w:r>
              <w:rPr>
                <w:rFonts w:hint="eastAsia" w:ascii="宋体" w:hAnsi="宋体" w:cs="宋体"/>
                <w:b/>
                <w:bCs/>
                <w:snapToGrid w:val="0"/>
                <w:color w:val="000000" w:themeColor="text1"/>
                <w:szCs w:val="21"/>
                <w:lang w:eastAsia="zh-CN"/>
                <w14:textFill>
                  <w14:solidFill>
                    <w14:schemeClr w14:val="tx1"/>
                  </w14:solidFill>
                </w14:textFill>
              </w:rPr>
              <w:t>吴老师、</w:t>
            </w:r>
            <w:r>
              <w:rPr>
                <w:rFonts w:hint="eastAsia" w:ascii="宋体" w:hAnsi="宋体" w:cs="宋体"/>
                <w:b/>
                <w:bCs/>
                <w:snapToGrid w:val="0"/>
                <w:color w:val="000000" w:themeColor="text1"/>
                <w:szCs w:val="21"/>
                <w14:textFill>
                  <w14:solidFill>
                    <w14:schemeClr w14:val="tx1"/>
                  </w14:solidFill>
                </w14:textFill>
              </w:rPr>
              <w:t>0774-5835633</w:t>
            </w:r>
          </w:p>
          <w:p>
            <w:pPr>
              <w:ind w:firstLine="421" w:firstLineChars="200"/>
              <w:rPr>
                <w:rFonts w:hint="eastAsia" w:ascii="宋体" w:hAnsi="宋体" w:cs="宋体"/>
                <w:b/>
                <w:bCs/>
                <w:snapToGrid w:val="0"/>
                <w:color w:val="000000" w:themeColor="text1"/>
                <w:szCs w:val="21"/>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地址：广西梧州市富民三路82号</w:t>
            </w:r>
          </w:p>
          <w:p>
            <w:pPr>
              <w:ind w:firstLine="421"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现场提交质疑办理业务时间：质疑期内每个工作日采购人或采购代理机构正常工作时间，其中采购代理机构为9：00到12：00，14：00到17：00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lang w:val="en"/>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lang w:val="en"/>
                <w14:textFill>
                  <w14:solidFill>
                    <w14:schemeClr w14:val="tx1"/>
                  </w14:solidFill>
                </w14:textFill>
              </w:rPr>
              <w:t>2</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本招标文件解释权属广西壮族自治区政府采购中心。</w:t>
            </w:r>
          </w:p>
        </w:tc>
      </w:tr>
    </w:tbl>
    <w:p>
      <w:pPr>
        <w:pStyle w:val="29"/>
        <w:snapToGrid w:val="0"/>
        <w:spacing w:before="120" w:after="120" w:line="400" w:lineRule="exact"/>
        <w:jc w:val="center"/>
        <w:rPr>
          <w:rFonts w:hint="eastAsia" w:hAnsi="宋体" w:cs="宋体"/>
          <w:b/>
          <w:color w:val="000000" w:themeColor="text1"/>
          <w14:textFill>
            <w14:solidFill>
              <w14:schemeClr w14:val="tx1"/>
            </w14:solidFill>
          </w14:textFill>
        </w:rPr>
      </w:pPr>
      <w:r>
        <w:rPr>
          <w:rFonts w:ascii="仿宋_GB2312" w:eastAsia="仿宋_GB2312"/>
          <w:b/>
          <w:color w:val="000000" w:themeColor="text1"/>
          <w:sz w:val="32"/>
          <w:szCs w:val="32"/>
          <w14:textFill>
            <w14:solidFill>
              <w14:schemeClr w14:val="tx1"/>
            </w14:solidFill>
          </w14:textFill>
        </w:rPr>
        <w:br w:type="page"/>
      </w:r>
      <w:r>
        <w:rPr>
          <w:rFonts w:hint="eastAsia" w:hAnsi="宋体" w:cs="宋体"/>
          <w:b/>
          <w:color w:val="000000" w:themeColor="text1"/>
          <w:sz w:val="32"/>
          <w:szCs w:val="32"/>
          <w14:textFill>
            <w14:solidFill>
              <w14:schemeClr w14:val="tx1"/>
            </w14:solidFill>
          </w14:textFill>
        </w:rPr>
        <w:t>投标人须知</w:t>
      </w:r>
    </w:p>
    <w:p>
      <w:pPr>
        <w:pStyle w:val="29"/>
        <w:keepNext w:val="0"/>
        <w:keepLines w:val="0"/>
        <w:pageBreakBefore w:val="0"/>
        <w:kinsoku/>
        <w:wordWrap/>
        <w:overflowPunct/>
        <w:topLinePunct w:val="0"/>
        <w:bidi w:val="0"/>
        <w:snapToGrid w:val="0"/>
        <w:spacing w:line="360" w:lineRule="exact"/>
        <w:ind w:firstLine="421" w:firstLineChars="200"/>
        <w:textAlignment w:val="auto"/>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一、总  则</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（一） 适用范围</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本招标文件适用本项目的招标、投标、评标、定标、验收、合同履约、付款等行为（法律、法规另有规定的，从其规定）。</w:t>
      </w:r>
    </w:p>
    <w:p>
      <w:pPr>
        <w:keepNext w:val="0"/>
        <w:keepLines w:val="0"/>
        <w:pageBreakBefore w:val="0"/>
        <w:kinsoku/>
        <w:wordWrap/>
        <w:overflowPunct/>
        <w:topLinePunct w:val="0"/>
        <w:bidi w:val="0"/>
        <w:snapToGrid w:val="0"/>
        <w:spacing w:line="360" w:lineRule="exact"/>
        <w:ind w:firstLine="421" w:firstLineChars="200"/>
        <w:jc w:val="left"/>
        <w:textAlignment w:val="auto"/>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（二）定义</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1.“采购人”系指组织本次招标的采购单位。</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2.“采购代理机构”系指广西壮族自治区政府采购中心（以下简称“本中心”）。</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3.“投标人”系指响应招标、参加投标竞争的法人、其他组织或者自然人。</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4.“产品”系指供方按招标文件规定，须向采购人提供的一切设备、保险、税金、备品备件、工具、手册及其它有关技术资料和材料。</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5.“服务”系指招标文件规定投标人须承担的安装、调试、技术协助、校准、培训、技术指导以及其他类似的义务。</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6.“项目”系指投标人按招标文件规定向采购人提供的产品和服务。</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7.“书面形式”包括信函、传真、电报等。</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8.“▲”系指在投标人须知中的实质性要求条款。</w:t>
      </w:r>
    </w:p>
    <w:p>
      <w:pPr>
        <w:keepNext w:val="0"/>
        <w:keepLines w:val="0"/>
        <w:pageBreakBefore w:val="0"/>
        <w:kinsoku/>
        <w:wordWrap/>
        <w:overflowPunct/>
        <w:topLinePunct w:val="0"/>
        <w:bidi w:val="0"/>
        <w:snapToGrid w:val="0"/>
        <w:spacing w:line="360" w:lineRule="exact"/>
        <w:ind w:firstLine="421" w:firstLineChars="200"/>
        <w:jc w:val="left"/>
        <w:textAlignment w:val="auto"/>
        <w:outlineLvl w:val="1"/>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（三）招标方式</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公开招标方式。</w:t>
      </w:r>
    </w:p>
    <w:p>
      <w:pPr>
        <w:keepNext w:val="0"/>
        <w:keepLines w:val="0"/>
        <w:pageBreakBefore w:val="0"/>
        <w:kinsoku/>
        <w:wordWrap/>
        <w:overflowPunct/>
        <w:topLinePunct w:val="0"/>
        <w:bidi w:val="0"/>
        <w:snapToGrid w:val="0"/>
        <w:spacing w:line="360" w:lineRule="exact"/>
        <w:ind w:firstLine="421" w:firstLineChars="200"/>
        <w:jc w:val="left"/>
        <w:textAlignment w:val="auto"/>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（四）投标委托</w:t>
      </w:r>
    </w:p>
    <w:p>
      <w:pPr>
        <w:pStyle w:val="22"/>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如投标人代表不是法定代表人(负责人)，须有法定代表人(负责人)出具的授权委托书，格式见第六章《投标文件格式》。</w:t>
      </w:r>
    </w:p>
    <w:p>
      <w:pPr>
        <w:keepNext w:val="0"/>
        <w:keepLines w:val="0"/>
        <w:pageBreakBefore w:val="0"/>
        <w:kinsoku/>
        <w:wordWrap/>
        <w:overflowPunct/>
        <w:topLinePunct w:val="0"/>
        <w:bidi w:val="0"/>
        <w:snapToGrid w:val="0"/>
        <w:spacing w:line="360" w:lineRule="exact"/>
        <w:ind w:firstLine="421" w:firstLineChars="200"/>
        <w:jc w:val="left"/>
        <w:textAlignment w:val="auto"/>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（五）投标费用</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投标人均应自行承担所有与投标有关的全部费用（招标文件有相关的规定除外）。</w:t>
      </w:r>
    </w:p>
    <w:p>
      <w:pPr>
        <w:keepNext w:val="0"/>
        <w:keepLines w:val="0"/>
        <w:pageBreakBefore w:val="0"/>
        <w:kinsoku/>
        <w:wordWrap/>
        <w:overflowPunct/>
        <w:topLinePunct w:val="0"/>
        <w:bidi w:val="0"/>
        <w:snapToGrid w:val="0"/>
        <w:spacing w:line="360" w:lineRule="exact"/>
        <w:ind w:firstLine="421"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（六）本项目不接受联合体投标</w:t>
      </w:r>
    </w:p>
    <w:p>
      <w:pPr>
        <w:keepNext w:val="0"/>
        <w:keepLines w:val="0"/>
        <w:pageBreakBefore w:val="0"/>
        <w:kinsoku/>
        <w:wordWrap/>
        <w:overflowPunct/>
        <w:topLinePunct w:val="0"/>
        <w:bidi w:val="0"/>
        <w:snapToGrid w:val="0"/>
        <w:spacing w:line="360" w:lineRule="exact"/>
        <w:ind w:firstLine="421" w:firstLineChars="200"/>
        <w:textAlignment w:val="auto"/>
        <w:outlineLvl w:val="0"/>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（七）</w:t>
      </w:r>
      <w:r>
        <w:rPr>
          <w:rFonts w:hint="eastAsia" w:ascii="宋体" w:hAnsi="宋体" w:cs="宋体"/>
          <w:b/>
          <w:color w:val="000000" w:themeColor="text1"/>
          <w:kern w:val="0"/>
          <w:szCs w:val="21"/>
          <w14:textFill>
            <w14:solidFill>
              <w14:schemeClr w14:val="tx1"/>
            </w14:solidFill>
          </w14:textFill>
        </w:rPr>
        <w:t>转包与分包</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1.本项目不允许转包。</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2.本项目不可以分包。</w:t>
      </w:r>
    </w:p>
    <w:p>
      <w:pPr>
        <w:keepNext w:val="0"/>
        <w:keepLines w:val="0"/>
        <w:pageBreakBefore w:val="0"/>
        <w:kinsoku/>
        <w:wordWrap/>
        <w:overflowPunct/>
        <w:topLinePunct w:val="0"/>
        <w:bidi w:val="0"/>
        <w:snapToGrid w:val="0"/>
        <w:spacing w:line="360" w:lineRule="exact"/>
        <w:ind w:firstLine="421" w:firstLineChars="200"/>
        <w:jc w:val="left"/>
        <w:textAlignment w:val="auto"/>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（八）特别说明：</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▲1.单位负责人为同一人或者存在直接控股、管理关系的不同供应商，不得参加同一合同项下的政府采购活动。</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w:t>
      </w:r>
      <w:r>
        <w:rPr>
          <w:rFonts w:hint="eastAsia" w:ascii="宋体" w:hAnsi="宋体" w:cs="宋体"/>
          <w:color w:val="000000" w:themeColor="text1"/>
          <w:szCs w:val="21"/>
          <w:lang w:val="en"/>
          <w14:textFill>
            <w14:solidFill>
              <w14:schemeClr w14:val="tx1"/>
            </w14:solidFill>
          </w14:textFill>
        </w:rPr>
        <w:t>评标方法及评分标准</w:t>
      </w:r>
      <w:r>
        <w:rPr>
          <w:rFonts w:hint="eastAsia" w:ascii="宋体" w:hAnsi="宋体" w:cs="宋体"/>
          <w:color w:val="000000" w:themeColor="text1"/>
          <w:szCs w:val="21"/>
          <w14:textFill>
            <w14:solidFill>
              <w14:schemeClr w14:val="tx1"/>
            </w14:solidFill>
          </w14:textFill>
        </w:rPr>
        <w:t>》中的推荐原则确定一个投标人获得中标人推荐资格，其他同品牌投标人不作为中标候选人。</w:t>
      </w:r>
    </w:p>
    <w:p>
      <w:pPr>
        <w:keepNext w:val="0"/>
        <w:keepLines w:val="0"/>
        <w:pageBreakBefore w:val="0"/>
        <w:kinsoku/>
        <w:wordWrap/>
        <w:overflowPunct/>
        <w:topLinePunct w:val="0"/>
        <w:bidi w:val="0"/>
        <w:spacing w:line="360" w:lineRule="exact"/>
        <w:ind w:firstLine="420" w:firstLineChars="200"/>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非单一产品采购项目中，多家投标人提供的招标文件中载明的核心产品品牌相同的，视为提供相同品牌产品。</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▲3.投标人应仔细阅读招标文件的所有内容，按照招标文件的要求提交投标文件，并对所提供的全部资料的真实性承担法律责任。</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▲4.投标人在投标活动中提供任何虚假材料、互相串通投标，其投标无效，并报监管部门查处。</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kern w:val="0"/>
          <w14:textFill>
            <w14:solidFill>
              <w14:schemeClr w14:val="tx1"/>
            </w14:solidFill>
          </w14:textFill>
        </w:rPr>
      </w:pPr>
      <w:r>
        <w:rPr>
          <w:rFonts w:hint="eastAsia" w:hAnsi="宋体" w:cs="宋体"/>
          <w:color w:val="000000" w:themeColor="text1"/>
          <w:kern w:val="0"/>
          <w14:textFill>
            <w14:solidFill>
              <w14:schemeClr w14:val="tx1"/>
            </w14:solidFill>
          </w14:textFill>
        </w:rPr>
        <w:t>▲5.投标截止时间前三天，报名登记的供应商不足三家的，本中心将延迟截标和开标时间不少于十日，并书面通知已报名登记的供应商，并在财政部门指定的政府采购信息发布媒体及本中心网站上发布变更公告。</w:t>
      </w:r>
    </w:p>
    <w:p>
      <w:pPr>
        <w:pStyle w:val="69"/>
        <w:keepNext w:val="0"/>
        <w:keepLines w:val="0"/>
        <w:pageBreakBefore w:val="0"/>
        <w:kinsoku/>
        <w:wordWrap/>
        <w:overflowPunct/>
        <w:topLinePunct w:val="0"/>
        <w:bidi w:val="0"/>
        <w:spacing w:line="360" w:lineRule="exact"/>
        <w:ind w:firstLine="420" w:firstLineChars="200"/>
        <w:textAlignment w:val="auto"/>
        <w:rPr>
          <w:rFonts w:hint="eastAsia" w:hAnsi="宋体"/>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6.中小企业价格评审优惠：根据《政府采购促进中小企业发展管理办法》（财库〔2020〕46号）的规定，本项目为专门面向中小企业采购的项目，投标人（服务项目）/投标人所供产品生产厂家（货物）须为中小企业，并按要求提交《中小企业声明函》。在此情况下，不执行价格扣除优惠，所有合格投标人均按其原报价计算价格分。</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7.本国产品价格扣除：根据《国务院办公厅关于在政府采购中实施本国产品标准及相关政策的通知》（国办发〔2025〕34号），在政府采购活动中既有本国产品又有非本国产品参与竞争的情况下，依法对本国产品给予价格评审优惠。 本项目对本国产品给予价格扣除，扣除比例详见评标方法及评分标准。投标人如申请享受此项价格扣除，必须按本文件“投标文件格式”要求，填写并提交《关于符合本国产品标准的声明函》。未提交或提交不符合要求的，不享受扣除，按其原报价计算价格分。</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8.异常低价投标的风险警示：为维护公平竞争和项目质量，评标委员会将对疑似异常低价的投标进行认定。若投标人的报价被认定为异常低价且无法在合理期限内证明其报价合理性的，其投标将被视为无效投标。具体认定标准和处理程序，详见“评标程序”及“评标方法及评分标准”。</w:t>
      </w:r>
    </w:p>
    <w:p>
      <w:pPr>
        <w:pStyle w:val="29"/>
        <w:keepNext w:val="0"/>
        <w:keepLines w:val="0"/>
        <w:pageBreakBefore w:val="0"/>
        <w:kinsoku/>
        <w:wordWrap/>
        <w:overflowPunct/>
        <w:topLinePunct w:val="0"/>
        <w:bidi w:val="0"/>
        <w:snapToGrid w:val="0"/>
        <w:spacing w:line="360" w:lineRule="exact"/>
        <w:ind w:firstLine="421" w:firstLineChars="200"/>
        <w:textAlignment w:val="auto"/>
        <w:outlineLvl w:val="0"/>
        <w:rPr>
          <w:rFonts w:hint="eastAsia" w:hAnsi="宋体" w:cs="宋体"/>
          <w:b/>
          <w:bCs/>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（九）</w:t>
      </w:r>
      <w:r>
        <w:rPr>
          <w:rFonts w:hint="eastAsia" w:hAnsi="宋体" w:cs="宋体"/>
          <w:b/>
          <w:color w:val="000000" w:themeColor="text1"/>
          <w14:textFill>
            <w14:solidFill>
              <w14:schemeClr w14:val="tx1"/>
            </w14:solidFill>
          </w14:textFill>
        </w:rPr>
        <w:t>询问、质疑和投诉</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1.投标人对政府采购活动事项有疑问的，可以向采购人、采购代理机构提出询问。</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2.投标人认为招标文件、招标过程或中标结果使自己的合法权益受到损害的，应当在知道或者应知其权益受到损害之日起7个工作日内，以书面形式向采购人提出质疑。具体计算时间如下：</w:t>
      </w:r>
    </w:p>
    <w:p>
      <w:pPr>
        <w:pStyle w:val="29"/>
        <w:keepNext w:val="0"/>
        <w:keepLines w:val="0"/>
        <w:pageBreakBefore w:val="0"/>
        <w:kinsoku/>
        <w:wordWrap/>
        <w:overflowPunct/>
        <w:topLinePunct w:val="0"/>
        <w:bidi w:val="0"/>
        <w:snapToGrid w:val="0"/>
        <w:spacing w:line="360" w:lineRule="exact"/>
        <w:ind w:firstLine="421" w:firstLineChars="200"/>
        <w:textAlignment w:val="auto"/>
        <w:rPr>
          <w:rFonts w:hint="eastAsia" w:hAnsi="宋体" w:cs="宋体"/>
          <w:bCs/>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（一）对可以质疑的招标采购文件提出质疑的，为收到采购文件之日；</w:t>
      </w:r>
    </w:p>
    <w:p>
      <w:pPr>
        <w:keepNext w:val="0"/>
        <w:keepLines w:val="0"/>
        <w:pageBreakBefore w:val="0"/>
        <w:widowControl/>
        <w:kinsoku/>
        <w:wordWrap/>
        <w:overflowPunct/>
        <w:topLinePunct w:val="0"/>
        <w:bidi w:val="0"/>
        <w:spacing w:line="360" w:lineRule="exact"/>
        <w:ind w:firstLine="421"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（二）对招标采购过程提出质疑的，为各采购程序环节结束之日；</w:t>
      </w:r>
    </w:p>
    <w:p>
      <w:pPr>
        <w:keepNext w:val="0"/>
        <w:keepLines w:val="0"/>
        <w:pageBreakBefore w:val="0"/>
        <w:widowControl/>
        <w:kinsoku/>
        <w:wordWrap/>
        <w:overflowPunct/>
        <w:topLinePunct w:val="0"/>
        <w:bidi w:val="0"/>
        <w:spacing w:line="360" w:lineRule="exact"/>
        <w:ind w:firstLine="421"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（三）对中标结果提出质疑的，为中标结果公告期限届满之日。投标人对采购单位的质疑答复不满意或者采购人未在规定时间内作出答复的，可以在答复期满后15个工作日内向同级采购监管部门投诉。</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bCs/>
          <w:color w:val="000000" w:themeColor="text1"/>
          <w14:textFill>
            <w14:solidFill>
              <w14:schemeClr w14:val="tx1"/>
            </w14:solidFill>
          </w14:textFill>
        </w:rPr>
      </w:pPr>
      <w:r>
        <w:rPr>
          <w:rFonts w:hint="eastAsia" w:hAnsi="宋体" w:cs="宋体"/>
          <w:bCs/>
          <w:color w:val="000000" w:themeColor="text1"/>
          <w14:textFill>
            <w14:solidFill>
              <w14:schemeClr w14:val="tx1"/>
            </w14:solidFill>
          </w14:textFill>
        </w:rPr>
        <w:t>3.质疑、投诉应当采用书面形式，质疑书、投诉书均应明确阐述招标采购文件、招标采购过程、中标结果中使自己合法权益受到损害的实质性内容，提供相关事实、明确的请求、必要的证明材料，便于有关单位调查、答复和处理。</w:t>
      </w:r>
    </w:p>
    <w:p>
      <w:pPr>
        <w:pStyle w:val="29"/>
        <w:keepNext w:val="0"/>
        <w:keepLines w:val="0"/>
        <w:pageBreakBefore w:val="0"/>
        <w:kinsoku/>
        <w:wordWrap/>
        <w:overflowPunct/>
        <w:topLinePunct w:val="0"/>
        <w:bidi w:val="0"/>
        <w:spacing w:line="360" w:lineRule="exact"/>
        <w:ind w:firstLine="421" w:firstLineChars="200"/>
        <w:textAlignment w:val="auto"/>
        <w:rPr>
          <w:rFonts w:hint="eastAsia" w:hAnsi="宋体" w:cs="宋体"/>
          <w:b/>
          <w:color w:val="000000" w:themeColor="text1"/>
          <w:lang w:val="en"/>
          <w14:textFill>
            <w14:solidFill>
              <w14:schemeClr w14:val="tx1"/>
            </w14:solidFill>
          </w14:textFill>
        </w:rPr>
      </w:pPr>
      <w:r>
        <w:rPr>
          <w:rFonts w:hint="eastAsia" w:hAnsi="宋体" w:cs="宋体"/>
          <w:b/>
          <w:color w:val="000000" w:themeColor="text1"/>
          <w:lang w:val="en"/>
          <w14:textFill>
            <w14:solidFill>
              <w14:schemeClr w14:val="tx1"/>
            </w14:solidFill>
          </w14:textFill>
        </w:rPr>
        <w:t>4.采购人、采购代理机构接收质疑函的方式、联系部门、联系电话和地址等信息详见“投标人须知前附表”。</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bCs/>
          <w:color w:val="000000" w:themeColor="text1"/>
          <w14:textFill>
            <w14:solidFill>
              <w14:schemeClr w14:val="tx1"/>
            </w14:solidFill>
          </w14:textFill>
        </w:rPr>
      </w:pPr>
      <w:r>
        <w:rPr>
          <w:rFonts w:hint="eastAsia" w:hAnsi="宋体" w:cs="宋体"/>
          <w:bCs/>
          <w:color w:val="000000" w:themeColor="text1"/>
          <w14:textFill>
            <w14:solidFill>
              <w14:schemeClr w14:val="tx1"/>
            </w14:solidFill>
          </w14:textFill>
        </w:rPr>
        <w:t>5.质疑供应商提起质疑应当符合下列条件：</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（1）质疑供应商是参与所质疑项目采购活动的供应商（潜在供应商已依法获取可之一的采购文件的，可以对该采购文件质疑）；</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（2）质疑函内容符合本章第3项的规定；</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（3）在质疑有效期限内提起质疑；</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（4）属于所质疑的采购人或采购人委托的采购代理机构组织的采购活动；</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 xml:space="preserve">（5）同一质疑事项未经采购人或采购人委托的采购代理机构质疑处理； </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（6）供应商对同一采购程序环节的质疑应当在质疑有效期内一次性提出；</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（7）供应商提交质疑应当提交必要的证明材料，证明材料应以合法手段取得；</w:t>
      </w:r>
    </w:p>
    <w:p>
      <w:pPr>
        <w:pStyle w:val="29"/>
        <w:keepNext w:val="0"/>
        <w:keepLines w:val="0"/>
        <w:pageBreakBefore w:val="0"/>
        <w:kinsoku/>
        <w:wordWrap/>
        <w:overflowPunct/>
        <w:topLinePunct w:val="0"/>
        <w:bidi w:val="0"/>
        <w:spacing w:line="360" w:lineRule="exact"/>
        <w:ind w:firstLine="420" w:firstLineChars="200"/>
        <w:textAlignment w:val="auto"/>
        <w:rPr>
          <w:rFonts w:hint="eastAsia" w:hAnsi="宋体" w:cs="宋体"/>
          <w:b/>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（8）财政部门规定的其他条件。</w:t>
      </w:r>
    </w:p>
    <w:p>
      <w:pPr>
        <w:pStyle w:val="29"/>
        <w:keepNext w:val="0"/>
        <w:keepLines w:val="0"/>
        <w:pageBreakBefore w:val="0"/>
        <w:kinsoku/>
        <w:wordWrap/>
        <w:overflowPunct/>
        <w:topLinePunct w:val="0"/>
        <w:bidi w:val="0"/>
        <w:snapToGrid w:val="0"/>
        <w:spacing w:line="360" w:lineRule="exact"/>
        <w:ind w:firstLine="421" w:firstLineChars="200"/>
        <w:textAlignment w:val="auto"/>
        <w:outlineLvl w:val="0"/>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二、招标文件</w:t>
      </w:r>
    </w:p>
    <w:p>
      <w:pPr>
        <w:keepNext w:val="0"/>
        <w:keepLines w:val="0"/>
        <w:pageBreakBefore w:val="0"/>
        <w:kinsoku/>
        <w:wordWrap/>
        <w:overflowPunct/>
        <w:topLinePunct w:val="0"/>
        <w:bidi w:val="0"/>
        <w:snapToGrid w:val="0"/>
        <w:spacing w:line="360" w:lineRule="exact"/>
        <w:ind w:firstLine="421" w:firstLineChars="200"/>
        <w:jc w:val="left"/>
        <w:textAlignment w:val="auto"/>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（一）招标文件的构成。</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1.公开招标公告；</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2.招标项目采购需求</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3.投标人须知；</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lang w:val="en"/>
          <w14:textFill>
            <w14:solidFill>
              <w14:schemeClr w14:val="tx1"/>
            </w14:solidFill>
          </w14:textFill>
        </w:rPr>
        <w:t>评标方法及评分标准</w:t>
      </w:r>
      <w:r>
        <w:rPr>
          <w:rFonts w:hint="eastAsia" w:ascii="宋体" w:hAnsi="宋体" w:cs="宋体"/>
          <w:color w:val="000000" w:themeColor="text1"/>
          <w:szCs w:val="21"/>
          <w14:textFill>
            <w14:solidFill>
              <w14:schemeClr w14:val="tx1"/>
            </w14:solidFill>
          </w14:textFill>
        </w:rPr>
        <w:t>；</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5.政府采购合同主要条款；</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6.投标文件格式。</w:t>
      </w:r>
    </w:p>
    <w:p>
      <w:pPr>
        <w:keepNext w:val="0"/>
        <w:keepLines w:val="0"/>
        <w:pageBreakBefore w:val="0"/>
        <w:kinsoku/>
        <w:wordWrap/>
        <w:overflowPunct/>
        <w:topLinePunct w:val="0"/>
        <w:bidi w:val="0"/>
        <w:snapToGrid w:val="0"/>
        <w:spacing w:line="360" w:lineRule="exact"/>
        <w:ind w:firstLine="421" w:firstLineChars="200"/>
        <w:jc w:val="left"/>
        <w:textAlignment w:val="auto"/>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（二）投标人的风险</w:t>
      </w:r>
    </w:p>
    <w:p>
      <w:pPr>
        <w:keepNext w:val="0"/>
        <w:keepLines w:val="0"/>
        <w:pageBreakBefore w:val="0"/>
        <w:tabs>
          <w:tab w:val="left" w:pos="180"/>
          <w:tab w:val="left" w:pos="1620"/>
        </w:tabs>
        <w:kinsoku/>
        <w:wordWrap/>
        <w:overflowPunct/>
        <w:topLinePunct w:val="0"/>
        <w:bidi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p>
    <w:p>
      <w:pPr>
        <w:keepNext w:val="0"/>
        <w:keepLines w:val="0"/>
        <w:pageBreakBefore w:val="0"/>
        <w:tabs>
          <w:tab w:val="left" w:pos="180"/>
          <w:tab w:val="left" w:pos="1620"/>
        </w:tabs>
        <w:kinsoku/>
        <w:wordWrap/>
        <w:overflowPunct/>
        <w:topLinePunct w:val="0"/>
        <w:bidi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对招标文件提出的实质性要求和条件作出明确响应是指投标人必须对招标文件中涉及招标项目的价格、采购货物的主要技术参数和性能配置、数量、交货（或竣工）时间、售后服务及其它要求、合同主要条款等内容作出明确响应。</w:t>
      </w:r>
    </w:p>
    <w:p>
      <w:pPr>
        <w:keepNext w:val="0"/>
        <w:keepLines w:val="0"/>
        <w:pageBreakBefore w:val="0"/>
        <w:tabs>
          <w:tab w:val="left" w:pos="180"/>
          <w:tab w:val="left" w:pos="1620"/>
        </w:tabs>
        <w:kinsoku/>
        <w:wordWrap/>
        <w:overflowPunct/>
        <w:topLinePunct w:val="0"/>
        <w:bidi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3.采购货物的主要技术参数和性能配置由评标委员会在评标前评定，但不能改变实质性内容。</w:t>
      </w:r>
    </w:p>
    <w:p>
      <w:pPr>
        <w:pStyle w:val="14"/>
        <w:keepNext w:val="0"/>
        <w:keepLines w:val="0"/>
        <w:pageBreakBefore w:val="0"/>
        <w:widowControl w:val="0"/>
        <w:tabs>
          <w:tab w:val="clear" w:pos="454"/>
        </w:tabs>
        <w:kinsoku/>
        <w:wordWrap/>
        <w:overflowPunct/>
        <w:topLinePunct w:val="0"/>
        <w:bidi w:val="0"/>
        <w:snapToGrid w:val="0"/>
        <w:spacing w:after="0" w:afterLines="0" w:line="360" w:lineRule="exact"/>
        <w:ind w:left="0" w:firstLine="421" w:firstLineChars="200"/>
        <w:textAlignment w:val="auto"/>
        <w:outlineLvl w:val="0"/>
        <w:rPr>
          <w:rFonts w:hint="eastAsia" w:ascii="宋体" w:hAnsi="宋体" w:cs="宋体"/>
          <w:b/>
          <w:color w:val="000000" w:themeColor="text1"/>
          <w:sz w:val="21"/>
          <w:szCs w:val="21"/>
          <w14:textFill>
            <w14:solidFill>
              <w14:schemeClr w14:val="tx1"/>
            </w14:solidFill>
          </w14:textFill>
        </w:rPr>
      </w:pPr>
      <w:r>
        <w:rPr>
          <w:rFonts w:hint="eastAsia" w:ascii="宋体" w:hAnsi="宋体" w:cs="宋体"/>
          <w:b/>
          <w:color w:val="000000" w:themeColor="text1"/>
          <w:sz w:val="21"/>
          <w:szCs w:val="21"/>
          <w14:textFill>
            <w14:solidFill>
              <w14:schemeClr w14:val="tx1"/>
            </w14:solidFill>
          </w14:textFill>
        </w:rPr>
        <w:t xml:space="preserve">（三）招标文件的澄清与修改 </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w:t>
      </w:r>
      <w:r>
        <w:rPr>
          <w:rFonts w:hint="eastAsia" w:hAnsi="宋体" w:cs="宋体"/>
          <w:bCs/>
          <w:color w:val="000000" w:themeColor="text1"/>
          <w14:textFill>
            <w14:solidFill>
              <w14:schemeClr w14:val="tx1"/>
            </w14:solidFill>
          </w14:textFill>
        </w:rPr>
        <w:t>投标人应认真阅读本招标文件，发现其中有误或有不合理要求的，投标人</w:t>
      </w:r>
      <w:r>
        <w:rPr>
          <w:rFonts w:hint="eastAsia" w:hAnsi="宋体" w:cs="宋体"/>
          <w:b/>
          <w:bCs/>
          <w:color w:val="000000" w:themeColor="text1"/>
          <w14:textFill>
            <w14:solidFill>
              <w14:schemeClr w14:val="tx1"/>
            </w14:solidFill>
          </w14:textFill>
        </w:rPr>
        <w:t>应当</w:t>
      </w:r>
      <w:r>
        <w:rPr>
          <w:rFonts w:hint="eastAsia" w:hAnsi="宋体" w:cs="宋体"/>
          <w:bCs/>
          <w:color w:val="000000" w:themeColor="text1"/>
          <w14:textFill>
            <w14:solidFill>
              <w14:schemeClr w14:val="tx1"/>
            </w14:solidFill>
          </w14:textFill>
        </w:rPr>
        <w:t>在</w:t>
      </w:r>
      <w:r>
        <w:rPr>
          <w:rFonts w:hint="eastAsia" w:hAnsi="宋体" w:cs="宋体"/>
          <w:bCs/>
          <w:color w:val="000000" w:themeColor="text1"/>
          <w:u w:val="single"/>
          <w14:textFill>
            <w14:solidFill>
              <w14:schemeClr w14:val="tx1"/>
            </w14:solidFill>
          </w14:textFill>
        </w:rPr>
        <w:t>“采购文件：第三章 《投标人须知及前附表》序号6”规定的时间</w:t>
      </w:r>
      <w:r>
        <w:rPr>
          <w:rFonts w:hint="eastAsia" w:hAnsi="宋体" w:cs="宋体"/>
          <w:bCs/>
          <w:color w:val="000000" w:themeColor="text1"/>
          <w14:textFill>
            <w14:solidFill>
              <w14:schemeClr w14:val="tx1"/>
            </w14:solidFill>
          </w14:textFill>
        </w:rPr>
        <w:t>前以书面形式要求招标采购单位</w:t>
      </w:r>
      <w:r>
        <w:rPr>
          <w:rFonts w:hint="eastAsia" w:hAnsi="宋体" w:cs="宋体"/>
          <w:color w:val="000000" w:themeColor="text1"/>
          <w14:textFill>
            <w14:solidFill>
              <w14:schemeClr w14:val="tx1"/>
            </w14:solidFill>
          </w14:textFill>
        </w:rPr>
        <w:t>答疑、澄清</w:t>
      </w:r>
      <w:r>
        <w:rPr>
          <w:rFonts w:hint="eastAsia" w:hAnsi="宋体" w:cs="宋体"/>
          <w:bCs/>
          <w:color w:val="000000" w:themeColor="text1"/>
          <w14:textFill>
            <w14:solidFill>
              <w14:schemeClr w14:val="tx1"/>
            </w14:solidFill>
          </w14:textFill>
        </w:rPr>
        <w:t>。本中心对已发出的招标文件进行必要澄清或者修改</w:t>
      </w:r>
      <w:r>
        <w:rPr>
          <w:rFonts w:hint="eastAsia" w:hAnsi="宋体" w:cs="宋体"/>
          <w:b/>
          <w:bCs/>
          <w:color w:val="000000" w:themeColor="text1"/>
          <w14:textFill>
            <w14:solidFill>
              <w14:schemeClr w14:val="tx1"/>
            </w14:solidFill>
          </w14:textFill>
        </w:rPr>
        <w:t>可能影响投标文件编制的</w:t>
      </w:r>
      <w:r>
        <w:rPr>
          <w:rFonts w:hint="eastAsia" w:hAnsi="宋体" w:cs="宋体"/>
          <w:bCs/>
          <w:color w:val="000000" w:themeColor="text1"/>
          <w14:textFill>
            <w14:solidFill>
              <w14:schemeClr w14:val="tx1"/>
            </w14:solidFill>
          </w14:textFill>
        </w:rPr>
        <w:t>，应当在招标文件要求提交投标文件截止时间15日前，在财政部门指定的政府采购信息发布媒体及本中心网站上发布更正公告，并以书面形式通知所有招标文件收受人。该澄清或者修改的内容为招标文件的组成部分</w:t>
      </w:r>
      <w:r>
        <w:rPr>
          <w:rFonts w:hint="eastAsia" w:hAnsi="宋体" w:cs="宋体"/>
          <w:color w:val="000000" w:themeColor="text1"/>
          <w14:textFill>
            <w14:solidFill>
              <w14:schemeClr w14:val="tx1"/>
            </w14:solidFill>
          </w14:textFill>
        </w:rPr>
        <w:t>。</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2.本中心必须以书面形式答复投标人要求澄清的问题，并将不包含问题来源的答复书面通知所有报名登记的投标人；除书面答复以外的其他澄清方式及澄清内容均无效。</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3.招标文件的答疑、澄清、修改、补充的内容为招标文件的组成部分。当招标文件与招标文件的答疑、澄清、修改、补充通知就同一内容的表述不一致时，以最后发出的书面文件为准。</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4.招标文件的答疑、澄清、修改、补充都应该通过本中心以法定形式发布，采购人非通过本机构，不得擅自答疑、澄清、修改、补充招标文件。</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5.本中心可以视采购具体情况，延长招标文件或者资格预审文件提供期限，并在财政部门指定的政府采购信息发布媒体及本中心网站上发布公告。</w:t>
      </w:r>
    </w:p>
    <w:p>
      <w:pPr>
        <w:pStyle w:val="29"/>
        <w:keepNext w:val="0"/>
        <w:keepLines w:val="0"/>
        <w:pageBreakBefore w:val="0"/>
        <w:kinsoku/>
        <w:wordWrap/>
        <w:overflowPunct/>
        <w:topLinePunct w:val="0"/>
        <w:bidi w:val="0"/>
        <w:snapToGrid w:val="0"/>
        <w:spacing w:line="360" w:lineRule="exact"/>
        <w:ind w:firstLine="421" w:firstLineChars="200"/>
        <w:textAlignment w:val="auto"/>
        <w:outlineLvl w:val="1"/>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三、投标文件的编制</w:t>
      </w:r>
    </w:p>
    <w:p>
      <w:pPr>
        <w:keepNext w:val="0"/>
        <w:keepLines w:val="0"/>
        <w:pageBreakBefore w:val="0"/>
        <w:kinsoku/>
        <w:wordWrap/>
        <w:overflowPunct/>
        <w:topLinePunct w:val="0"/>
        <w:bidi w:val="0"/>
        <w:snapToGrid w:val="0"/>
        <w:spacing w:line="360" w:lineRule="exact"/>
        <w:ind w:firstLine="421" w:firstLineChars="200"/>
        <w:jc w:val="left"/>
        <w:textAlignment w:val="auto"/>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（一）投标文件的组成</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投标文件由资格文件、资信及商务文件、技术文件、投标报价文件</w:t>
      </w:r>
      <w:r>
        <w:rPr>
          <w:rFonts w:hint="eastAsia" w:ascii="宋体" w:hAnsi="宋体" w:cs="宋体"/>
          <w:b/>
          <w:color w:val="000000" w:themeColor="text1"/>
          <w:szCs w:val="21"/>
          <w14:textFill>
            <w14:solidFill>
              <w14:schemeClr w14:val="tx1"/>
            </w14:solidFill>
          </w14:textFill>
        </w:rPr>
        <w:t>四部份</w:t>
      </w:r>
      <w:r>
        <w:rPr>
          <w:rFonts w:hint="eastAsia" w:ascii="宋体" w:hAnsi="宋体" w:cs="宋体"/>
          <w:color w:val="000000" w:themeColor="text1"/>
          <w:szCs w:val="21"/>
          <w14:textFill>
            <w14:solidFill>
              <w14:schemeClr w14:val="tx1"/>
            </w14:solidFill>
          </w14:textFill>
        </w:rPr>
        <w:t>组成。</w:t>
      </w:r>
    </w:p>
    <w:p>
      <w:pPr>
        <w:keepNext w:val="0"/>
        <w:keepLines w:val="0"/>
        <w:pageBreakBefore w:val="0"/>
        <w:kinsoku/>
        <w:wordWrap/>
        <w:overflowPunct/>
        <w:topLinePunct w:val="0"/>
        <w:bidi w:val="0"/>
        <w:snapToGrid w:val="0"/>
        <w:spacing w:line="360" w:lineRule="exact"/>
        <w:ind w:firstLine="421"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1.资格文件：</w:t>
      </w:r>
    </w:p>
    <w:p>
      <w:pPr>
        <w:keepNext w:val="0"/>
        <w:keepLines w:val="0"/>
        <w:pageBreakBefore w:val="0"/>
        <w:kinsoku/>
        <w:wordWrap/>
        <w:overflowPunct/>
        <w:topLinePunct w:val="0"/>
        <w:bidi w:val="0"/>
        <w:snapToGrid w:val="0"/>
        <w:spacing w:line="360" w:lineRule="exact"/>
        <w:ind w:firstLine="421"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（1）有效的营业执照等证明文件复印件；</w:t>
      </w:r>
    </w:p>
    <w:p>
      <w:pPr>
        <w:pStyle w:val="29"/>
        <w:keepNext w:val="0"/>
        <w:keepLines w:val="0"/>
        <w:pageBreakBefore w:val="0"/>
        <w:kinsoku/>
        <w:wordWrap/>
        <w:overflowPunct/>
        <w:topLinePunct w:val="0"/>
        <w:bidi w:val="0"/>
        <w:adjustRightInd w:val="0"/>
        <w:snapToGrid w:val="0"/>
        <w:spacing w:line="360" w:lineRule="exact"/>
        <w:ind w:firstLine="420" w:firstLineChars="200"/>
        <w:textAlignment w:val="auto"/>
        <w:rPr>
          <w:rFonts w:hint="eastAsia" w:hAnsi="宋体" w:cs="宋体"/>
          <w:b/>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①投标人有效的营业执照等证明文件扫描件或其他电子文件，同时要加盖单位公章</w:t>
      </w:r>
      <w:r>
        <w:rPr>
          <w:rFonts w:hint="eastAsia" w:hAnsi="宋体" w:cs="宋体"/>
          <w:b/>
          <w:color w:val="000000" w:themeColor="text1"/>
          <w14:textFill>
            <w14:solidFill>
              <w14:schemeClr w14:val="tx1"/>
            </w14:solidFill>
          </w14:textFill>
        </w:rPr>
        <w:t>（必须提供）</w:t>
      </w:r>
      <w:r>
        <w:rPr>
          <w:rFonts w:hint="eastAsia" w:hAnsi="宋体" w:cs="宋体"/>
          <w:color w:val="000000" w:themeColor="text1"/>
          <w14:textFill>
            <w14:solidFill>
              <w14:schemeClr w14:val="tx1"/>
            </w14:solidFill>
          </w14:textFill>
        </w:rPr>
        <w:t>；</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②对于有经营资质要求的，投标人必须提供有效的经营资质证书副本内页扫描件或其他电子文件，同时要加盖单位公章。</w:t>
      </w:r>
    </w:p>
    <w:p>
      <w:pPr>
        <w:keepNext w:val="0"/>
        <w:keepLines w:val="0"/>
        <w:pageBreakBefore w:val="0"/>
        <w:kinsoku/>
        <w:wordWrap/>
        <w:overflowPunct/>
        <w:topLinePunct w:val="0"/>
        <w:bidi w:val="0"/>
        <w:snapToGrid w:val="0"/>
        <w:spacing w:line="360" w:lineRule="exact"/>
        <w:ind w:firstLine="421"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w:t>
      </w:r>
      <w:r>
        <w:rPr>
          <w:rFonts w:hint="eastAsia" w:ascii="宋体" w:hAnsi="宋体" w:cs="宋体"/>
          <w:b/>
          <w:color w:val="000000" w:themeColor="text1"/>
          <w:kern w:val="0"/>
          <w:szCs w:val="21"/>
          <w14:textFill>
            <w14:solidFill>
              <w14:schemeClr w14:val="tx1"/>
            </w14:solidFill>
          </w14:textFill>
        </w:rPr>
        <w:t>参加政府采购活动前三年内在经营活动中没有重大违法记录的书面声明</w:t>
      </w:r>
      <w:r>
        <w:rPr>
          <w:rFonts w:hint="eastAsia" w:ascii="宋体" w:hAnsi="宋体" w:cs="宋体"/>
          <w:b/>
          <w:color w:val="000000" w:themeColor="text1"/>
          <w:szCs w:val="21"/>
          <w14:textFill>
            <w14:solidFill>
              <w14:schemeClr w14:val="tx1"/>
            </w14:solidFill>
          </w14:textFill>
        </w:rPr>
        <w:t>和信用记录查询方法；</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w:t>
      </w:r>
      <w:r>
        <w:rPr>
          <w:rFonts w:hint="eastAsia" w:ascii="宋体" w:hAnsi="宋体" w:cs="宋体"/>
          <w:color w:val="000000" w:themeColor="text1"/>
          <w:kern w:val="0"/>
          <w:szCs w:val="21"/>
          <w14:textFill>
            <w14:solidFill>
              <w14:schemeClr w14:val="tx1"/>
            </w14:solidFill>
          </w14:textFill>
        </w:rPr>
        <w:t>参加政府采购活动前三年内在经营活动中没有</w:t>
      </w:r>
      <w:r>
        <w:rPr>
          <w:rFonts w:hint="eastAsia" w:ascii="宋体" w:hAnsi="宋体" w:cs="宋体"/>
          <w:bCs/>
          <w:color w:val="000000" w:themeColor="text1"/>
          <w:kern w:val="0"/>
          <w:szCs w:val="21"/>
          <w14:textFill>
            <w14:solidFill>
              <w14:schemeClr w14:val="tx1"/>
            </w14:solidFill>
          </w14:textFill>
        </w:rPr>
        <w:t>重大违法记录的书面声明</w:t>
      </w:r>
      <w:r>
        <w:rPr>
          <w:rFonts w:hint="eastAsia" w:ascii="宋体" w:hAnsi="宋体" w:cs="宋体"/>
          <w:color w:val="000000" w:themeColor="text1"/>
          <w:szCs w:val="21"/>
          <w14:textFill>
            <w14:solidFill>
              <w14:schemeClr w14:val="tx1"/>
            </w14:solidFill>
          </w14:textFill>
        </w:rPr>
        <w:t>（格式自拟，必须提供）；</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②供应商可在“信用中国”网站（www.creditchina.gov.cn）、中国政府采购网（www.ccgp.gov.cn）查询相关供应商主体信用记录。</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“信用中国”网站查询方法：投标人在本项目投标截止时间前10日内,进入投标人基本信息页面，点击“下载信用报告”后点击“下载”。</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“中国政府采购网”的查询方法：点击“政府采购严重违法失信行为记录名单”进行查询。截止时间为本项目投标截止时间前10日至投标截止时间中任意一天。</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keepNext w:val="0"/>
        <w:keepLines w:val="0"/>
        <w:pageBreakBefore w:val="0"/>
        <w:kinsoku/>
        <w:wordWrap/>
        <w:overflowPunct/>
        <w:topLinePunct w:val="0"/>
        <w:bidi w:val="0"/>
        <w:adjustRightInd w:val="0"/>
        <w:snapToGrid w:val="0"/>
        <w:spacing w:line="360" w:lineRule="exact"/>
        <w:ind w:firstLine="421"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w:t>
      </w:r>
      <w:bookmarkStart w:id="38" w:name="_GoBack"/>
      <w:bookmarkEnd w:id="38"/>
      <w:r>
        <w:rPr>
          <w:rFonts w:hint="eastAsia" w:ascii="宋体" w:hAnsi="宋体" w:cs="宋体"/>
          <w:b/>
          <w:color w:val="000000" w:themeColor="text1"/>
          <w:szCs w:val="21"/>
          <w14:textFill>
            <w14:solidFill>
              <w14:schemeClr w14:val="tx1"/>
            </w14:solidFill>
          </w14:textFill>
        </w:rPr>
        <w:t>中小企业声明函（按最新政策执行，格式见第六章，必须提供）；</w:t>
      </w:r>
    </w:p>
    <w:p>
      <w:pPr>
        <w:keepNext w:val="0"/>
        <w:keepLines w:val="0"/>
        <w:pageBreakBefore w:val="0"/>
        <w:kinsoku/>
        <w:wordWrap/>
        <w:overflowPunct/>
        <w:topLinePunct w:val="0"/>
        <w:bidi w:val="0"/>
        <w:snapToGrid w:val="0"/>
        <w:spacing w:line="360" w:lineRule="exact"/>
        <w:ind w:firstLine="421"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2.资信及商务文件：</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（1）投标保证金的相关证明扫描件或其他电子文件</w:t>
      </w:r>
      <w:r>
        <w:rPr>
          <w:rFonts w:hint="eastAsia" w:ascii="宋体" w:hAnsi="宋体" w:cs="宋体"/>
          <w:b/>
          <w:color w:val="000000" w:themeColor="text1"/>
          <w:szCs w:val="21"/>
          <w14:textFill>
            <w14:solidFill>
              <w14:schemeClr w14:val="tx1"/>
            </w14:solidFill>
          </w14:textFill>
        </w:rPr>
        <w:t>（必须提供）</w:t>
      </w:r>
      <w:r>
        <w:rPr>
          <w:rFonts w:hint="eastAsia" w:ascii="宋体" w:hAnsi="宋体" w:cs="宋体"/>
          <w:color w:val="000000" w:themeColor="text1"/>
          <w:szCs w:val="21"/>
          <w14:textFill>
            <w14:solidFill>
              <w14:schemeClr w14:val="tx1"/>
            </w14:solidFill>
          </w14:textFill>
        </w:rPr>
        <w:t>；</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（2）投标声明书</w:t>
      </w:r>
      <w:r>
        <w:rPr>
          <w:rFonts w:hint="eastAsia" w:ascii="宋体" w:hAnsi="宋体" w:cs="宋体"/>
          <w:b/>
          <w:color w:val="000000" w:themeColor="text1"/>
          <w:szCs w:val="21"/>
          <w14:textFill>
            <w14:solidFill>
              <w14:schemeClr w14:val="tx1"/>
            </w14:solidFill>
          </w14:textFill>
        </w:rPr>
        <w:t>（格式见第六章，必须提供）</w:t>
      </w:r>
      <w:r>
        <w:rPr>
          <w:rFonts w:hint="eastAsia" w:ascii="宋体" w:hAnsi="宋体" w:cs="宋体"/>
          <w:color w:val="000000" w:themeColor="text1"/>
          <w:szCs w:val="21"/>
          <w14:textFill>
            <w14:solidFill>
              <w14:schemeClr w14:val="tx1"/>
            </w14:solidFill>
          </w14:textFill>
        </w:rPr>
        <w:t>；</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（3）法定代表人授权委托书和委托代理人身份证扫描件或其他电子文件</w:t>
      </w:r>
      <w:r>
        <w:rPr>
          <w:rFonts w:hint="eastAsia" w:ascii="宋体" w:hAnsi="宋体" w:cs="宋体"/>
          <w:b/>
          <w:color w:val="000000" w:themeColor="text1"/>
          <w:szCs w:val="21"/>
          <w14:textFill>
            <w14:solidFill>
              <w14:schemeClr w14:val="tx1"/>
            </w14:solidFill>
          </w14:textFill>
        </w:rPr>
        <w:t>（格式见第六章，必须提供）</w:t>
      </w:r>
      <w:r>
        <w:rPr>
          <w:rFonts w:hint="eastAsia" w:ascii="宋体" w:hAnsi="宋体" w:cs="宋体"/>
          <w:color w:val="000000" w:themeColor="text1"/>
          <w:szCs w:val="21"/>
          <w14:textFill>
            <w14:solidFill>
              <w14:schemeClr w14:val="tx1"/>
            </w14:solidFill>
          </w14:textFill>
        </w:rPr>
        <w:t>；</w:t>
      </w:r>
      <w:r>
        <w:rPr>
          <w:rFonts w:hint="eastAsia" w:ascii="宋体" w:hAnsi="宋体" w:cs="宋体"/>
          <w:bCs/>
          <w:color w:val="000000" w:themeColor="text1"/>
          <w:szCs w:val="21"/>
          <w14:textFill>
            <w14:solidFill>
              <w14:schemeClr w14:val="tx1"/>
            </w14:solidFill>
          </w14:textFill>
        </w:rPr>
        <w:t>当法定代表人参加投标时，必须提供法定代表人身份证扫描件或其他电子文件</w:t>
      </w:r>
      <w:r>
        <w:rPr>
          <w:rFonts w:hint="eastAsia" w:ascii="宋体" w:hAnsi="宋体" w:cs="宋体"/>
          <w:color w:val="000000" w:themeColor="text1"/>
          <w:szCs w:val="21"/>
          <w14:textFill>
            <w14:solidFill>
              <w14:schemeClr w14:val="tx1"/>
            </w14:solidFill>
          </w14:textFill>
        </w:rPr>
        <w:t>；</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（4）投标截止之日前半年内投标人连续三个月的依法缴纳税费或依法免缴税费的证明</w:t>
      </w:r>
      <w:r>
        <w:rPr>
          <w:rFonts w:hint="eastAsia" w:ascii="宋体" w:hAnsi="宋体" w:cs="宋体"/>
          <w:b/>
          <w:color w:val="000000" w:themeColor="text1"/>
          <w:szCs w:val="21"/>
          <w14:textFill>
            <w14:solidFill>
              <w14:schemeClr w14:val="tx1"/>
            </w14:solidFill>
          </w14:textFill>
        </w:rPr>
        <w:t>（扫描件或其他电子文件，格式自拟，必须提供）</w:t>
      </w:r>
      <w:r>
        <w:rPr>
          <w:rFonts w:hint="eastAsia" w:ascii="宋体" w:hAnsi="宋体" w:cs="宋体"/>
          <w:bCs/>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无纳税记录的，应提供由投标人所在地主管国税或地税部门出具的《依法纳税或依法免税证明》</w:t>
      </w:r>
      <w:r>
        <w:rPr>
          <w:rFonts w:hint="eastAsia" w:ascii="宋体" w:hAnsi="宋体" w:cs="宋体"/>
          <w:b/>
          <w:bCs/>
          <w:color w:val="000000" w:themeColor="text1"/>
          <w:szCs w:val="21"/>
          <w14:textFill>
            <w14:solidFill>
              <w14:schemeClr w14:val="tx1"/>
            </w14:solidFill>
          </w14:textFill>
        </w:rPr>
        <w:t>（格式自拟，扫描件或其他电子文件）</w:t>
      </w:r>
      <w:r>
        <w:rPr>
          <w:rFonts w:hint="eastAsia" w:ascii="宋体" w:hAnsi="宋体" w:cs="宋体"/>
          <w:color w:val="000000" w:themeColor="text1"/>
          <w:szCs w:val="21"/>
          <w14:textFill>
            <w14:solidFill>
              <w14:schemeClr w14:val="tx1"/>
            </w14:solidFill>
          </w14:textFill>
        </w:rPr>
        <w:t>。</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（5）投标截止之日前半年内投标人连续三个月的依法缴纳社保费的缴费凭证</w:t>
      </w:r>
      <w:r>
        <w:rPr>
          <w:rFonts w:hint="eastAsia" w:ascii="宋体" w:hAnsi="宋体" w:cs="宋体"/>
          <w:b/>
          <w:bCs/>
          <w:color w:val="000000" w:themeColor="text1"/>
          <w:szCs w:val="21"/>
          <w14:textFill>
            <w14:solidFill>
              <w14:schemeClr w14:val="tx1"/>
            </w14:solidFill>
          </w14:textFill>
        </w:rPr>
        <w:t>（扫</w:t>
      </w:r>
      <w:r>
        <w:rPr>
          <w:rFonts w:hint="eastAsia" w:ascii="宋体" w:hAnsi="宋体" w:cs="宋体"/>
          <w:b/>
          <w:color w:val="000000" w:themeColor="text1"/>
          <w:szCs w:val="21"/>
          <w14:textFill>
            <w14:solidFill>
              <w14:schemeClr w14:val="tx1"/>
            </w14:solidFill>
          </w14:textFill>
        </w:rPr>
        <w:t>描件或其他电子文件，格式自拟，必须提供）；</w:t>
      </w:r>
      <w:r>
        <w:rPr>
          <w:rFonts w:hint="eastAsia" w:ascii="宋体" w:hAnsi="宋体" w:cs="宋体"/>
          <w:color w:val="000000" w:themeColor="text1"/>
          <w:szCs w:val="21"/>
          <w14:textFill>
            <w14:solidFill>
              <w14:schemeClr w14:val="tx1"/>
            </w14:solidFill>
          </w14:textFill>
        </w:rPr>
        <w:t>无缴费记录的，应提供由投标人所在地社保部门出具的《依法缴纳或依法免缴社保费证明》</w:t>
      </w:r>
      <w:r>
        <w:rPr>
          <w:rFonts w:hint="eastAsia" w:ascii="宋体" w:hAnsi="宋体" w:cs="宋体"/>
          <w:b/>
          <w:bCs/>
          <w:color w:val="000000" w:themeColor="text1"/>
          <w:szCs w:val="21"/>
          <w14:textFill>
            <w14:solidFill>
              <w14:schemeClr w14:val="tx1"/>
            </w14:solidFill>
          </w14:textFill>
        </w:rPr>
        <w:t>（格式自拟，扫描件或其他电子文件）</w:t>
      </w:r>
      <w:r>
        <w:rPr>
          <w:rFonts w:hint="eastAsia" w:ascii="宋体" w:hAnsi="宋体" w:cs="宋体"/>
          <w:color w:val="000000" w:themeColor="text1"/>
          <w:szCs w:val="21"/>
          <w14:textFill>
            <w14:solidFill>
              <w14:schemeClr w14:val="tx1"/>
            </w14:solidFill>
          </w14:textFill>
        </w:rPr>
        <w:t>。</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（6）财务状况报告</w:t>
      </w:r>
      <w:r>
        <w:rPr>
          <w:rFonts w:hint="eastAsia" w:ascii="宋体" w:hAnsi="宋体" w:cs="宋体"/>
          <w:b/>
          <w:color w:val="000000" w:themeColor="text1"/>
          <w:szCs w:val="21"/>
          <w14:textFill>
            <w14:solidFill>
              <w14:schemeClr w14:val="tx1"/>
            </w14:solidFill>
          </w14:textFill>
        </w:rPr>
        <w:t>（格式自拟，必须提供）</w:t>
      </w:r>
      <w:r>
        <w:rPr>
          <w:rFonts w:hint="eastAsia" w:ascii="宋体" w:hAnsi="宋体" w:cs="宋体"/>
          <w:bCs/>
          <w:color w:val="000000" w:themeColor="text1"/>
          <w:szCs w:val="21"/>
          <w14:textFill>
            <w14:solidFill>
              <w14:schemeClr w14:val="tx1"/>
            </w14:solidFill>
          </w14:textFill>
        </w:rPr>
        <w:t>；</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（7）</w:t>
      </w:r>
      <w:r>
        <w:rPr>
          <w:rFonts w:hint="eastAsia" w:ascii="宋体" w:hAnsi="宋体" w:cs="宋体"/>
          <w:bCs/>
          <w:color w:val="000000" w:themeColor="text1"/>
          <w:szCs w:val="21"/>
          <w14:textFill>
            <w14:solidFill>
              <w14:schemeClr w14:val="tx1"/>
            </w14:solidFill>
          </w14:textFill>
        </w:rPr>
        <w:t>具备履行合同所必需的设备和专业技术能力的证明材料</w:t>
      </w:r>
      <w:r>
        <w:rPr>
          <w:rFonts w:hint="eastAsia" w:ascii="宋体" w:hAnsi="宋体" w:cs="宋体"/>
          <w:b/>
          <w:color w:val="000000" w:themeColor="text1"/>
          <w:szCs w:val="21"/>
          <w14:textFill>
            <w14:solidFill>
              <w14:schemeClr w14:val="tx1"/>
            </w14:solidFill>
          </w14:textFill>
        </w:rPr>
        <w:t>（内容、格式自拟，必须提供）</w:t>
      </w:r>
      <w:r>
        <w:rPr>
          <w:rFonts w:hint="eastAsia" w:ascii="宋体" w:hAnsi="宋体" w:cs="宋体"/>
          <w:bCs/>
          <w:color w:val="000000" w:themeColor="text1"/>
          <w:kern w:val="0"/>
          <w:szCs w:val="21"/>
          <w14:textFill>
            <w14:solidFill>
              <w14:schemeClr w14:val="tx1"/>
            </w14:solidFill>
          </w14:textFill>
        </w:rPr>
        <w:t>；</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（8）商务响应表（格式见第六章，必须提供）；</w:t>
      </w:r>
    </w:p>
    <w:p>
      <w:pPr>
        <w:keepNext w:val="0"/>
        <w:keepLines w:val="0"/>
        <w:pageBreakBefore w:val="0"/>
        <w:kinsoku/>
        <w:wordWrap/>
        <w:overflowPunct/>
        <w:topLinePunct w:val="0"/>
        <w:bidi w:val="0"/>
        <w:snapToGrid w:val="0"/>
        <w:spacing w:line="360" w:lineRule="exact"/>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w:t>
      </w:r>
      <w:r>
        <w:rPr>
          <w:rFonts w:hint="eastAsia" w:ascii="宋体" w:hAnsi="宋体" w:cs="宋体"/>
          <w:b/>
          <w:bCs/>
          <w:color w:val="000000" w:themeColor="text1"/>
          <w:szCs w:val="21"/>
          <w14:textFill>
            <w14:solidFill>
              <w14:schemeClr w14:val="tx1"/>
            </w14:solidFill>
          </w14:textFill>
        </w:rPr>
        <w:t>（9）招标项目采购需求中要求必须提供的材料等</w:t>
      </w:r>
      <w:r>
        <w:rPr>
          <w:rFonts w:hint="eastAsia" w:ascii="宋体" w:hAnsi="宋体" w:cs="宋体"/>
          <w:b/>
          <w:color w:val="000000" w:themeColor="text1"/>
          <w:szCs w:val="21"/>
          <w14:textFill>
            <w14:solidFill>
              <w14:schemeClr w14:val="tx1"/>
            </w14:solidFill>
          </w14:textFill>
        </w:rPr>
        <w:t>；</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（10）具备法律、行政法规规定的其他条件的证明材料</w:t>
      </w:r>
      <w:r>
        <w:rPr>
          <w:rFonts w:hint="eastAsia" w:ascii="宋体" w:hAnsi="宋体" w:cs="宋体"/>
          <w:b/>
          <w:color w:val="000000" w:themeColor="text1"/>
          <w:szCs w:val="21"/>
          <w14:textFill>
            <w14:solidFill>
              <w14:schemeClr w14:val="tx1"/>
            </w14:solidFill>
          </w14:textFill>
        </w:rPr>
        <w:t>（如有规定,则必须提供）。</w:t>
      </w:r>
    </w:p>
    <w:p>
      <w:pPr>
        <w:keepNext w:val="0"/>
        <w:keepLines w:val="0"/>
        <w:pageBreakBefore w:val="0"/>
        <w:kinsoku/>
        <w:wordWrap/>
        <w:overflowPunct/>
        <w:topLinePunct w:val="0"/>
        <w:bidi w:val="0"/>
        <w:snapToGrid w:val="0"/>
        <w:spacing w:line="360" w:lineRule="exact"/>
        <w:ind w:firstLine="421"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 xml:space="preserve">可作为投标人资信评分的资质证明材料【（11）-（16）可选，如有，可提供】 </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（11）类似案例成功的业绩（投标人同类项目实施情况一览表、合同扫描件）；</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（12）其他特殊资质证书（如本地化服务能力等）；</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（13）节能环保产品或政府强制采购节能产品清单证书；</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（14）投标人质量管理和质量保证体系等方面的认证证书；</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（15）投标人认为可以证明其能力或业绩的其他材料；</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（16）投标人关于产品生产时间、升级或者更新淘汰计划、配件供应以及本单位债务纠纷、违法违规记录等方面的情况（内容见投标声明书）；</w:t>
      </w:r>
    </w:p>
    <w:p>
      <w:pPr>
        <w:keepNext w:val="0"/>
        <w:keepLines w:val="0"/>
        <w:pageBreakBefore w:val="0"/>
        <w:kinsoku/>
        <w:wordWrap/>
        <w:overflowPunct/>
        <w:topLinePunct w:val="0"/>
        <w:bidi w:val="0"/>
        <w:adjustRightInd w:val="0"/>
        <w:snapToGrid w:val="0"/>
        <w:spacing w:line="360" w:lineRule="exact"/>
        <w:ind w:firstLine="421" w:firstLineChars="200"/>
        <w:jc w:val="left"/>
        <w:textAlignment w:val="auto"/>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（17）关于符合本国产品标准的声明函（格式见第六章，如有，请提供）；</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（18）投标人情况介绍。</w:t>
      </w:r>
    </w:p>
    <w:p>
      <w:pPr>
        <w:keepNext w:val="0"/>
        <w:keepLines w:val="0"/>
        <w:pageBreakBefore w:val="0"/>
        <w:kinsoku/>
        <w:wordWrap/>
        <w:overflowPunct/>
        <w:topLinePunct w:val="0"/>
        <w:bidi w:val="0"/>
        <w:snapToGrid w:val="0"/>
        <w:spacing w:line="360" w:lineRule="exact"/>
        <w:ind w:firstLine="421"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3.技术文件</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（1）对本项目系统总体要求的理解（如有，可提供）；</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ascii="宋体" w:hAnsi="宋体" w:cs="宋体"/>
          <w:bCs/>
          <w:color w:val="000000" w:themeColor="text1"/>
          <w:szCs w:val="21"/>
          <w14:textFill>
            <w14:solidFill>
              <w14:schemeClr w14:val="tx1"/>
            </w14:solidFill>
          </w14:textFill>
        </w:rPr>
        <w:t>技术响应表</w:t>
      </w:r>
      <w:r>
        <w:rPr>
          <w:rFonts w:hint="eastAsia" w:ascii="宋体" w:hAnsi="宋体" w:cs="宋体"/>
          <w:b/>
          <w:color w:val="000000" w:themeColor="text1"/>
          <w:szCs w:val="21"/>
          <w14:textFill>
            <w14:solidFill>
              <w14:schemeClr w14:val="tx1"/>
            </w14:solidFill>
          </w14:textFill>
        </w:rPr>
        <w:t>（必须提供）；</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（3）设备配置清单（均不含报价，如有，可提供）；</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ascii="宋体" w:hAnsi="宋体" w:cs="宋体"/>
          <w:b/>
          <w:color w:val="000000" w:themeColor="text1"/>
          <w:szCs w:val="21"/>
          <w14:textFill>
            <w14:solidFill>
              <w14:schemeClr w14:val="tx1"/>
            </w14:solidFill>
          </w14:textFill>
        </w:rPr>
        <w:t>售后服务承诺书</w:t>
      </w:r>
      <w:r>
        <w:rPr>
          <w:rFonts w:hint="eastAsia" w:ascii="宋体" w:hAnsi="宋体" w:cs="宋体"/>
          <w:color w:val="000000" w:themeColor="text1"/>
          <w:szCs w:val="21"/>
          <w14:textFill>
            <w14:solidFill>
              <w14:schemeClr w14:val="tx1"/>
            </w14:solidFill>
          </w14:textFill>
        </w:rPr>
        <w:t>（应据项目实际要求描述如：投标人建议的安装、调试、验收方法或方案；技术服务、技术培训、售后服务的内容和措施等，</w:t>
      </w:r>
      <w:r>
        <w:rPr>
          <w:rFonts w:hint="eastAsia" w:ascii="宋体" w:hAnsi="宋体" w:cs="宋体"/>
          <w:b/>
          <w:color w:val="000000" w:themeColor="text1"/>
          <w:szCs w:val="21"/>
          <w14:textFill>
            <w14:solidFill>
              <w14:schemeClr w14:val="tx1"/>
            </w14:solidFill>
          </w14:textFill>
        </w:rPr>
        <w:t>格式自拟，必须提供）</w:t>
      </w:r>
      <w:r>
        <w:rPr>
          <w:rFonts w:hint="eastAsia" w:ascii="宋体" w:hAnsi="宋体" w:cs="宋体"/>
          <w:color w:val="000000" w:themeColor="text1"/>
          <w:szCs w:val="21"/>
          <w14:textFill>
            <w14:solidFill>
              <w14:schemeClr w14:val="tx1"/>
            </w14:solidFill>
          </w14:textFill>
        </w:rPr>
        <w:t>；</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（5）投标人拥有主要装备和检测设施的情况和现状及项目实施人员一览表（格式自拟，如有，可提供）； </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（6）优惠条件：投标人承诺给予招标人的各种优惠条件，包括备品备件、专用耗材、售后服务等方面的优惠（如有，可提供）；</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（7）投标人对本项目的合理化建议和改进措施（如有，可提供）；</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（8）投标人需要说明的其他文件和说明（格式略，如有，可提供）；</w:t>
      </w:r>
    </w:p>
    <w:p>
      <w:pPr>
        <w:keepNext w:val="0"/>
        <w:keepLines w:val="0"/>
        <w:pageBreakBefore w:val="0"/>
        <w:kinsoku/>
        <w:wordWrap/>
        <w:overflowPunct/>
        <w:topLinePunct w:val="0"/>
        <w:bidi w:val="0"/>
        <w:snapToGrid w:val="0"/>
        <w:spacing w:line="360" w:lineRule="exact"/>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lang w:val="en-US" w:eastAsia="zh-CN"/>
          <w14:textFill>
            <w14:solidFill>
              <w14:schemeClr w14:val="tx1"/>
            </w14:solidFill>
          </w14:textFill>
        </w:rPr>
        <w:t xml:space="preserve">  </w:t>
      </w:r>
      <w:r>
        <w:rPr>
          <w:rFonts w:hint="eastAsia" w:ascii="宋体" w:hAnsi="宋体" w:cs="宋体"/>
          <w:b/>
          <w:bCs/>
          <w:color w:val="000000" w:themeColor="text1"/>
          <w:szCs w:val="21"/>
          <w14:textFill>
            <w14:solidFill>
              <w14:schemeClr w14:val="tx1"/>
            </w14:solidFill>
          </w14:textFill>
        </w:rPr>
        <w:t>▲（9）招标项目采购需求中要求必须提供的材料（如有规定，则必须提供）</w:t>
      </w:r>
      <w:r>
        <w:rPr>
          <w:rFonts w:hint="eastAsia" w:ascii="宋体" w:hAnsi="宋体" w:cs="宋体"/>
          <w:color w:val="000000" w:themeColor="text1"/>
          <w:szCs w:val="21"/>
          <w14:textFill>
            <w14:solidFill>
              <w14:schemeClr w14:val="tx1"/>
            </w14:solidFill>
          </w14:textFill>
        </w:rPr>
        <w:t>。</w:t>
      </w:r>
    </w:p>
    <w:p>
      <w:pPr>
        <w:keepNext w:val="0"/>
        <w:keepLines w:val="0"/>
        <w:pageBreakBefore w:val="0"/>
        <w:kinsoku/>
        <w:wordWrap/>
        <w:overflowPunct/>
        <w:topLinePunct w:val="0"/>
        <w:bidi w:val="0"/>
        <w:snapToGrid w:val="0"/>
        <w:spacing w:line="360" w:lineRule="exact"/>
        <w:ind w:firstLine="421"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4.报价文件：</w:t>
      </w:r>
    </w:p>
    <w:p>
      <w:pPr>
        <w:keepNext w:val="0"/>
        <w:keepLines w:val="0"/>
        <w:pageBreakBefore w:val="0"/>
        <w:tabs>
          <w:tab w:val="left" w:pos="3870"/>
          <w:tab w:val="left" w:pos="4085"/>
        </w:tabs>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（1）投标函</w:t>
      </w:r>
      <w:r>
        <w:rPr>
          <w:rFonts w:hint="eastAsia" w:ascii="宋体" w:hAnsi="宋体" w:cs="宋体"/>
          <w:b/>
          <w:bCs/>
          <w:color w:val="000000" w:themeColor="text1"/>
          <w:szCs w:val="21"/>
          <w14:textFill>
            <w14:solidFill>
              <w14:schemeClr w14:val="tx1"/>
            </w14:solidFill>
          </w14:textFill>
        </w:rPr>
        <w:t>（必须提供，格式见第六章）</w:t>
      </w:r>
      <w:r>
        <w:rPr>
          <w:rFonts w:hint="eastAsia" w:ascii="宋体" w:hAnsi="宋体" w:cs="宋体"/>
          <w:color w:val="000000" w:themeColor="text1"/>
          <w:szCs w:val="21"/>
          <w14:textFill>
            <w14:solidFill>
              <w14:schemeClr w14:val="tx1"/>
            </w14:solidFill>
          </w14:textFill>
        </w:rPr>
        <w:t xml:space="preserve">； </w:t>
      </w:r>
    </w:p>
    <w:p>
      <w:pPr>
        <w:keepNext w:val="0"/>
        <w:keepLines w:val="0"/>
        <w:pageBreakBefore w:val="0"/>
        <w:tabs>
          <w:tab w:val="left" w:pos="3870"/>
          <w:tab w:val="left" w:pos="4085"/>
        </w:tabs>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（2）投标报价明细表</w:t>
      </w:r>
      <w:r>
        <w:rPr>
          <w:rFonts w:hint="eastAsia" w:ascii="宋体" w:hAnsi="宋体" w:cs="宋体"/>
          <w:b/>
          <w:bCs/>
          <w:color w:val="000000" w:themeColor="text1"/>
          <w:szCs w:val="21"/>
          <w14:textFill>
            <w14:solidFill>
              <w14:schemeClr w14:val="tx1"/>
            </w14:solidFill>
          </w14:textFill>
        </w:rPr>
        <w:t>（必须提供，格式见第六章）</w:t>
      </w:r>
      <w:r>
        <w:rPr>
          <w:rFonts w:hint="eastAsia" w:ascii="宋体" w:hAnsi="宋体" w:cs="宋体"/>
          <w:color w:val="000000" w:themeColor="text1"/>
          <w:szCs w:val="21"/>
          <w14:textFill>
            <w14:solidFill>
              <w14:schemeClr w14:val="tx1"/>
            </w14:solidFill>
          </w14:textFill>
        </w:rPr>
        <w:t>；</w:t>
      </w:r>
    </w:p>
    <w:p>
      <w:pPr>
        <w:keepNext w:val="0"/>
        <w:keepLines w:val="0"/>
        <w:pageBreakBefore w:val="0"/>
        <w:tabs>
          <w:tab w:val="left" w:pos="3870"/>
          <w:tab w:val="left" w:pos="4085"/>
        </w:tabs>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（3）投标人针对报价需要说明的其他文件和说明（格式自拟，如有，可提供）；</w:t>
      </w:r>
    </w:p>
    <w:p>
      <w:pPr>
        <w:keepNext w:val="0"/>
        <w:keepLines w:val="0"/>
        <w:pageBreakBefore w:val="0"/>
        <w:tabs>
          <w:tab w:val="left" w:pos="3870"/>
          <w:tab w:val="left" w:pos="4085"/>
        </w:tabs>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（4）开标一览表</w:t>
      </w:r>
      <w:r>
        <w:rPr>
          <w:rFonts w:hint="eastAsia" w:ascii="宋体" w:hAnsi="宋体" w:cs="宋体"/>
          <w:b/>
          <w:bCs/>
          <w:color w:val="000000" w:themeColor="text1"/>
          <w:szCs w:val="21"/>
          <w14:textFill>
            <w14:solidFill>
              <w14:schemeClr w14:val="tx1"/>
            </w14:solidFill>
          </w14:textFill>
        </w:rPr>
        <w:t>（必须提供，格式见第六章）</w:t>
      </w:r>
      <w:r>
        <w:rPr>
          <w:rFonts w:hint="eastAsia" w:ascii="宋体" w:hAnsi="宋体" w:cs="宋体"/>
          <w:color w:val="000000" w:themeColor="text1"/>
          <w:szCs w:val="21"/>
          <w14:textFill>
            <w14:solidFill>
              <w14:schemeClr w14:val="tx1"/>
            </w14:solidFill>
          </w14:textFill>
        </w:rPr>
        <w:t>。</w:t>
      </w:r>
    </w:p>
    <w:p>
      <w:pPr>
        <w:pStyle w:val="45"/>
        <w:keepNext w:val="0"/>
        <w:keepLines w:val="0"/>
        <w:pageBreakBefore w:val="0"/>
        <w:kinsoku/>
        <w:wordWrap/>
        <w:overflowPunct/>
        <w:topLinePunct w:val="0"/>
        <w:bidi w:val="0"/>
        <w:spacing w:after="0"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b/>
          <w:bCs/>
          <w:color w:val="000000" w:themeColor="text1"/>
          <w:szCs w:val="21"/>
          <w14:textFill>
            <w14:solidFill>
              <w14:schemeClr w14:val="tx1"/>
            </w14:solidFill>
          </w14:textFill>
        </w:rPr>
        <w:t>注：法定代表人授权委托书、投标声明书、投标函、开标一览表必须按</w:t>
      </w:r>
      <w:r>
        <w:rPr>
          <w:rFonts w:hint="eastAsia" w:ascii="宋体" w:hAnsi="宋体" w:cs="宋体"/>
          <w:b/>
          <w:color w:val="000000" w:themeColor="text1"/>
          <w:szCs w:val="21"/>
          <w14:textFill>
            <w14:solidFill>
              <w14:schemeClr w14:val="tx1"/>
            </w14:solidFill>
          </w14:textFill>
        </w:rPr>
        <w:t>招标文件格式要求</w:t>
      </w:r>
      <w:r>
        <w:rPr>
          <w:rFonts w:hint="eastAsia" w:ascii="宋体" w:hAnsi="宋体" w:cs="宋体"/>
          <w:b/>
          <w:color w:val="000000" w:themeColor="text1"/>
          <w:szCs w:val="21"/>
          <w:lang w:val="en"/>
          <w14:textFill>
            <w14:solidFill>
              <w14:schemeClr w14:val="tx1"/>
            </w14:solidFill>
          </w14:textFill>
        </w:rPr>
        <w:t>签字或签章</w:t>
      </w:r>
      <w:r>
        <w:rPr>
          <w:rFonts w:hint="eastAsia" w:ascii="宋体" w:hAnsi="宋体" w:cs="宋体"/>
          <w:b/>
          <w:bCs/>
          <w:color w:val="000000" w:themeColor="text1"/>
          <w:szCs w:val="21"/>
          <w14:textFill>
            <w14:solidFill>
              <w14:schemeClr w14:val="tx1"/>
            </w14:solidFill>
          </w14:textFill>
        </w:rPr>
        <w:t>并加盖单位公章。</w:t>
      </w:r>
    </w:p>
    <w:p>
      <w:pPr>
        <w:keepNext w:val="0"/>
        <w:keepLines w:val="0"/>
        <w:pageBreakBefore w:val="0"/>
        <w:kinsoku/>
        <w:wordWrap/>
        <w:overflowPunct/>
        <w:topLinePunct w:val="0"/>
        <w:bidi w:val="0"/>
        <w:snapToGrid w:val="0"/>
        <w:spacing w:line="360" w:lineRule="exact"/>
        <w:ind w:firstLine="421" w:firstLineChars="200"/>
        <w:jc w:val="left"/>
        <w:textAlignment w:val="auto"/>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（二）投标文件的语言及计量</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▲1.投标文件以及投标方与招标方就有关投标事宜的所有来往函电，均应以中文汉语书写。除签名、盖章、专用名称等特殊情形外，以中文汉语以外的文字表述的投标文件视同未提供。</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▲2.投标计量单位，招标文件已有明确规定的，使用招标文件规定的计量单位；招标文件没有规定的，应采用中华人民共和国法定计量单位（货币单位：人民币元），否则视同未响应。</w:t>
      </w:r>
    </w:p>
    <w:p>
      <w:pPr>
        <w:keepNext w:val="0"/>
        <w:keepLines w:val="0"/>
        <w:pageBreakBefore w:val="0"/>
        <w:kinsoku/>
        <w:wordWrap/>
        <w:overflowPunct/>
        <w:topLinePunct w:val="0"/>
        <w:bidi w:val="0"/>
        <w:snapToGrid w:val="0"/>
        <w:spacing w:line="360" w:lineRule="exact"/>
        <w:ind w:firstLine="421" w:firstLineChars="200"/>
        <w:jc w:val="left"/>
        <w:textAlignment w:val="auto"/>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（三）投标报价</w:t>
      </w:r>
    </w:p>
    <w:p>
      <w:pPr>
        <w:pStyle w:val="29"/>
        <w:keepNext w:val="0"/>
        <w:keepLines w:val="0"/>
        <w:pageBreakBefore w:val="0"/>
        <w:kinsoku/>
        <w:wordWrap/>
        <w:overflowPunct/>
        <w:topLinePunct w:val="0"/>
        <w:bidi w:val="0"/>
        <w:snapToGrid w:val="0"/>
        <w:spacing w:line="400" w:lineRule="exact"/>
        <w:ind w:firstLine="420" w:firstLineChars="200"/>
        <w:jc w:val="left"/>
        <w:textAlignment w:val="auto"/>
        <w:rPr>
          <w:rFonts w:hint="eastAsia" w:hAnsi="宋体" w:cs="宋体"/>
          <w:color w:val="000000" w:themeColor="text1"/>
          <w:highlight w:val="cyan"/>
          <w14:textFill>
            <w14:solidFill>
              <w14:schemeClr w14:val="tx1"/>
            </w14:solidFill>
          </w14:textFill>
        </w:rPr>
      </w:pPr>
      <w:r>
        <w:rPr>
          <w:rFonts w:hint="eastAsia" w:hAnsi="宋体" w:cs="宋体"/>
          <w:color w:val="000000" w:themeColor="text1"/>
          <w14:textFill>
            <w14:solidFill>
              <w14:schemeClr w14:val="tx1"/>
            </w14:solidFill>
          </w14:textFill>
        </w:rPr>
        <w:t>1.投标报价应按招标文件中相关附表格式填写。</w:t>
      </w:r>
      <w:r>
        <w:rPr>
          <w:rFonts w:hint="eastAsia" w:ascii="宋体" w:hAnsi="宋体" w:eastAsia="宋体" w:cs="宋体"/>
          <w:b/>
          <w:bCs/>
          <w:color w:val="000000" w:themeColor="text1"/>
          <w:sz w:val="21"/>
          <w:szCs w:val="21"/>
          <w:highlight w:val="none"/>
          <w:shd w:val="clear" w:color="auto" w:fill="auto"/>
          <w14:textFill>
            <w14:solidFill>
              <w14:schemeClr w14:val="tx1"/>
            </w14:solidFill>
          </w14:textFill>
        </w:rPr>
        <w:t>投标人可就《项目采购需求》中所有分标的货物和服务内容按分标分别作完整唯一报价，也可对某个分标或几个分标的货物和服务内容按分标分别作完整唯一报价。</w:t>
      </w:r>
    </w:p>
    <w:p>
      <w:pPr>
        <w:pStyle w:val="29"/>
        <w:keepNext w:val="0"/>
        <w:keepLines w:val="0"/>
        <w:pageBreakBefore w:val="0"/>
        <w:kinsoku/>
        <w:wordWrap/>
        <w:overflowPunct/>
        <w:topLinePunct w:val="0"/>
        <w:bidi w:val="0"/>
        <w:snapToGrid w:val="0"/>
        <w:spacing w:line="360" w:lineRule="exact"/>
        <w:ind w:firstLine="420" w:firstLineChars="200"/>
        <w:jc w:val="left"/>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2.投标报价是履行合同的最终价格，应包括货款、标准附件、备品备件、专用工具、包装、运输、装卸、保险、税金、货到就位以及安装、调试、培训、保修等一切税金和费用。</w:t>
      </w:r>
    </w:p>
    <w:p>
      <w:pPr>
        <w:keepNext w:val="0"/>
        <w:keepLines w:val="0"/>
        <w:pageBreakBefore w:val="0"/>
        <w:tabs>
          <w:tab w:val="left" w:pos="525"/>
        </w:tabs>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3.投标文件只允许有一个报价，有选择的或有条件的报价将不予接受。</w:t>
      </w:r>
    </w:p>
    <w:p>
      <w:pPr>
        <w:pStyle w:val="14"/>
        <w:keepNext w:val="0"/>
        <w:keepLines w:val="0"/>
        <w:pageBreakBefore w:val="0"/>
        <w:widowControl w:val="0"/>
        <w:tabs>
          <w:tab w:val="clear" w:pos="454"/>
        </w:tabs>
        <w:kinsoku/>
        <w:wordWrap/>
        <w:overflowPunct/>
        <w:topLinePunct w:val="0"/>
        <w:bidi w:val="0"/>
        <w:snapToGrid w:val="0"/>
        <w:spacing w:after="0" w:afterLines="0" w:line="360" w:lineRule="exact"/>
        <w:ind w:left="0" w:firstLine="421" w:firstLineChars="200"/>
        <w:textAlignment w:val="auto"/>
        <w:outlineLvl w:val="0"/>
        <w:rPr>
          <w:rFonts w:hint="eastAsia" w:ascii="宋体" w:hAnsi="宋体" w:cs="宋体"/>
          <w:b/>
          <w:color w:val="000000" w:themeColor="text1"/>
          <w:sz w:val="21"/>
          <w:szCs w:val="21"/>
          <w14:textFill>
            <w14:solidFill>
              <w14:schemeClr w14:val="tx1"/>
            </w14:solidFill>
          </w14:textFill>
        </w:rPr>
      </w:pPr>
      <w:r>
        <w:rPr>
          <w:rFonts w:hint="eastAsia" w:ascii="宋体" w:hAnsi="宋体" w:cs="宋体"/>
          <w:b/>
          <w:color w:val="000000" w:themeColor="text1"/>
          <w:sz w:val="21"/>
          <w:szCs w:val="21"/>
          <w14:textFill>
            <w14:solidFill>
              <w14:schemeClr w14:val="tx1"/>
            </w14:solidFill>
          </w14:textFill>
        </w:rPr>
        <w:t>（四）投标文件的有效期</w:t>
      </w:r>
    </w:p>
    <w:p>
      <w:pPr>
        <w:pStyle w:val="14"/>
        <w:keepNext w:val="0"/>
        <w:keepLines w:val="0"/>
        <w:pageBreakBefore w:val="0"/>
        <w:widowControl w:val="0"/>
        <w:tabs>
          <w:tab w:val="clear" w:pos="454"/>
        </w:tabs>
        <w:kinsoku/>
        <w:wordWrap/>
        <w:overflowPunct/>
        <w:topLinePunct w:val="0"/>
        <w:bidi w:val="0"/>
        <w:snapToGrid w:val="0"/>
        <w:spacing w:after="0" w:afterLines="0" w:line="360" w:lineRule="exact"/>
        <w:ind w:left="0" w:firstLine="420" w:firstLineChars="200"/>
        <w:textAlignment w:val="auto"/>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1.自投标截止日起</w:t>
      </w:r>
      <w:r>
        <w:rPr>
          <w:rFonts w:hint="eastAsia" w:ascii="宋体" w:hAnsi="宋体" w:cs="宋体"/>
          <w:b/>
          <w:color w:val="000000" w:themeColor="text1"/>
          <w:sz w:val="21"/>
          <w:szCs w:val="21"/>
          <w:u w:val="single"/>
          <w14:textFill>
            <w14:solidFill>
              <w14:schemeClr w14:val="tx1"/>
            </w14:solidFill>
          </w14:textFill>
        </w:rPr>
        <w:t>六十日</w:t>
      </w:r>
      <w:r>
        <w:rPr>
          <w:rFonts w:hint="eastAsia" w:ascii="宋体" w:hAnsi="宋体" w:cs="宋体"/>
          <w:color w:val="000000" w:themeColor="text1"/>
          <w:sz w:val="21"/>
          <w:szCs w:val="21"/>
          <w14:textFill>
            <w14:solidFill>
              <w14:schemeClr w14:val="tx1"/>
            </w14:solidFill>
          </w14:textFill>
        </w:rPr>
        <w:t>投标文件应保持有效。有效期不足的投标文件将被拒绝。</w:t>
      </w:r>
    </w:p>
    <w:p>
      <w:pPr>
        <w:pStyle w:val="14"/>
        <w:keepNext w:val="0"/>
        <w:keepLines w:val="0"/>
        <w:pageBreakBefore w:val="0"/>
        <w:widowControl w:val="0"/>
        <w:tabs>
          <w:tab w:val="clear" w:pos="454"/>
        </w:tabs>
        <w:kinsoku/>
        <w:wordWrap/>
        <w:overflowPunct/>
        <w:topLinePunct w:val="0"/>
        <w:bidi w:val="0"/>
        <w:snapToGrid w:val="0"/>
        <w:spacing w:after="0" w:afterLines="0" w:line="360" w:lineRule="exact"/>
        <w:ind w:left="0" w:firstLine="420" w:firstLineChars="200"/>
        <w:textAlignment w:val="auto"/>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2.在特殊情况下，招标人可与投标人协商延长投标书的有效期，这种要求和答复均以书面形式进行。</w:t>
      </w:r>
    </w:p>
    <w:p>
      <w:pPr>
        <w:keepNext w:val="0"/>
        <w:keepLines w:val="0"/>
        <w:pageBreakBefore w:val="0"/>
        <w:kinsoku/>
        <w:wordWrap/>
        <w:overflowPunct/>
        <w:topLinePunct w:val="0"/>
        <w:bidi w:val="0"/>
        <w:snapToGrid w:val="0"/>
        <w:spacing w:line="360" w:lineRule="exact"/>
        <w:ind w:firstLine="420" w:firstLineChars="200"/>
        <w:jc w:val="left"/>
        <w:textAlignment w:val="auto"/>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3.投标人可拒绝接受延期要求而不会导致投标保证金被没收。同意延长有效期的投标人需要相应延长投标保证金的有效期，但不能修改投标文件。</w:t>
      </w:r>
      <w:r>
        <w:rPr>
          <w:rFonts w:hint="eastAsia" w:ascii="宋体" w:hAnsi="宋体" w:cs="宋体"/>
          <w:b/>
          <w:color w:val="000000" w:themeColor="text1"/>
          <w:szCs w:val="21"/>
          <w14:textFill>
            <w14:solidFill>
              <w14:schemeClr w14:val="tx1"/>
            </w14:solidFill>
          </w14:textFill>
        </w:rPr>
        <w:t xml:space="preserve"> </w:t>
      </w:r>
    </w:p>
    <w:p>
      <w:pPr>
        <w:keepNext w:val="0"/>
        <w:keepLines w:val="0"/>
        <w:pageBreakBefore w:val="0"/>
        <w:kinsoku/>
        <w:wordWrap/>
        <w:overflowPunct/>
        <w:topLinePunct w:val="0"/>
        <w:bidi w:val="0"/>
        <w:snapToGrid w:val="0"/>
        <w:spacing w:line="360" w:lineRule="exact"/>
        <w:ind w:firstLine="420" w:firstLineChars="200"/>
        <w:jc w:val="left"/>
        <w:textAlignment w:val="auto"/>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4.中标人的投标文件自开标之日起至合同履行完毕止均应保持有效。</w:t>
      </w:r>
    </w:p>
    <w:p>
      <w:pPr>
        <w:keepNext w:val="0"/>
        <w:keepLines w:val="0"/>
        <w:pageBreakBefore w:val="0"/>
        <w:kinsoku/>
        <w:wordWrap/>
        <w:overflowPunct/>
        <w:topLinePunct w:val="0"/>
        <w:bidi w:val="0"/>
        <w:snapToGrid w:val="0"/>
        <w:spacing w:line="360" w:lineRule="exact"/>
        <w:ind w:firstLine="421" w:firstLineChars="200"/>
        <w:jc w:val="left"/>
        <w:textAlignment w:val="auto"/>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（五）投标保证金</w:t>
      </w:r>
    </w:p>
    <w:p>
      <w:pPr>
        <w:pStyle w:val="29"/>
        <w:keepNext w:val="0"/>
        <w:keepLines w:val="0"/>
        <w:pageBreakBefore w:val="0"/>
        <w:kinsoku/>
        <w:wordWrap/>
        <w:overflowPunct/>
        <w:topLinePunct w:val="0"/>
        <w:bidi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1.投标保证金应用人民币，投标人须按规定提交投标保证金。否则，其投标将被拒绝。</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2.保证金交纳形式：支票、汇票、本票、金融机构、担保机构出具的保函等非现金形式。</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3.投标人应按本须知及招标公告中所明确的开户名称、开户银行、账号，于投标截止前交到本中心账户上（投标人交纳投标保证金时应充分考虑保证金到达本中心账户上的清算时间）。</w:t>
      </w:r>
    </w:p>
    <w:p>
      <w:pPr>
        <w:keepNext w:val="0"/>
        <w:keepLines w:val="0"/>
        <w:pageBreakBefore w:val="0"/>
        <w:kinsoku/>
        <w:wordWrap/>
        <w:overflowPunct/>
        <w:topLinePunct w:val="0"/>
        <w:bidi w:val="0"/>
        <w:snapToGrid w:val="0"/>
        <w:spacing w:line="360" w:lineRule="exact"/>
        <w:ind w:firstLine="421"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本中心财务</w:t>
      </w:r>
      <w:r>
        <w:rPr>
          <w:rFonts w:hint="eastAsia" w:ascii="宋体" w:hAnsi="宋体" w:cs="宋体"/>
          <w:b/>
          <w:color w:val="000000" w:themeColor="text1"/>
          <w:szCs w:val="21"/>
          <w:lang w:val="en"/>
          <w14:textFill>
            <w14:solidFill>
              <w14:schemeClr w14:val="tx1"/>
            </w14:solidFill>
          </w14:textFill>
        </w:rPr>
        <w:t>地址：广西南宁市星湖路22号广西壮族自治区政府采购中心综合楼3楼306室； 电话：0771-8600309。</w:t>
      </w:r>
    </w:p>
    <w:p>
      <w:pPr>
        <w:pStyle w:val="29"/>
        <w:keepNext w:val="0"/>
        <w:keepLines w:val="0"/>
        <w:pageBreakBefore w:val="0"/>
        <w:kinsoku/>
        <w:wordWrap/>
        <w:overflowPunct/>
        <w:topLinePunct w:val="0"/>
        <w:bidi w:val="0"/>
        <w:spacing w:line="360" w:lineRule="exact"/>
        <w:ind w:firstLine="361" w:firstLineChars="200"/>
        <w:textAlignment w:val="auto"/>
        <w:rPr>
          <w:rFonts w:hint="eastAsia" w:hAnsi="宋体" w:cs="宋体"/>
          <w:b/>
          <w:color w:val="000000" w:themeColor="text1"/>
          <w:sz w:val="18"/>
          <w:szCs w:val="18"/>
          <w14:textFill>
            <w14:solidFill>
              <w14:schemeClr w14:val="tx1"/>
            </w14:solidFill>
          </w14:textFill>
        </w:rPr>
      </w:pPr>
      <w:r>
        <w:rPr>
          <w:rFonts w:hint="eastAsia" w:hAnsi="宋体" w:cs="宋体"/>
          <w:b/>
          <w:color w:val="000000" w:themeColor="text1"/>
          <w:sz w:val="18"/>
          <w:szCs w:val="18"/>
          <w14:textFill>
            <w14:solidFill>
              <w14:schemeClr w14:val="tx1"/>
            </w14:solidFill>
          </w14:textFill>
        </w:rPr>
        <w:t>注：</w:t>
      </w:r>
    </w:p>
    <w:p>
      <w:pPr>
        <w:pStyle w:val="29"/>
        <w:keepNext w:val="0"/>
        <w:keepLines w:val="0"/>
        <w:pageBreakBefore w:val="0"/>
        <w:kinsoku/>
        <w:wordWrap/>
        <w:overflowPunct/>
        <w:topLinePunct w:val="0"/>
        <w:bidi w:val="0"/>
        <w:spacing w:line="360" w:lineRule="exact"/>
        <w:ind w:firstLine="361" w:firstLineChars="200"/>
        <w:textAlignment w:val="auto"/>
        <w:rPr>
          <w:rFonts w:hint="eastAsia" w:hAnsi="宋体" w:cs="宋体"/>
          <w:b/>
          <w:color w:val="000000" w:themeColor="text1"/>
          <w:sz w:val="18"/>
          <w:szCs w:val="18"/>
          <w14:textFill>
            <w14:solidFill>
              <w14:schemeClr w14:val="tx1"/>
            </w14:solidFill>
          </w14:textFill>
        </w:rPr>
      </w:pPr>
      <w:r>
        <w:rPr>
          <w:rFonts w:hint="eastAsia" w:hAnsi="宋体" w:cs="宋体"/>
          <w:b/>
          <w:color w:val="000000" w:themeColor="text1"/>
          <w:sz w:val="18"/>
          <w:szCs w:val="18"/>
          <w14:textFill>
            <w14:solidFill>
              <w14:schemeClr w14:val="tx1"/>
            </w14:solidFill>
          </w14:textFill>
        </w:rPr>
        <w:t>①办理投标保证金手续时，请务必在保证金凭据上注明或写明项目名称及项目编号，以免耽误投标。</w:t>
      </w:r>
    </w:p>
    <w:p>
      <w:pPr>
        <w:keepNext w:val="0"/>
        <w:keepLines w:val="0"/>
        <w:pageBreakBefore w:val="0"/>
        <w:kinsoku/>
        <w:wordWrap/>
        <w:overflowPunct/>
        <w:topLinePunct w:val="0"/>
        <w:bidi w:val="0"/>
        <w:snapToGrid w:val="0"/>
        <w:spacing w:line="360" w:lineRule="exact"/>
        <w:ind w:firstLine="361" w:firstLineChars="200"/>
        <w:jc w:val="left"/>
        <w:textAlignment w:val="auto"/>
        <w:rPr>
          <w:rFonts w:hint="eastAsia" w:ascii="宋体" w:hAnsi="宋体" w:cs="宋体"/>
          <w:b/>
          <w:color w:val="000000" w:themeColor="text1"/>
          <w:sz w:val="18"/>
          <w:szCs w:val="18"/>
          <w14:textFill>
            <w14:solidFill>
              <w14:schemeClr w14:val="tx1"/>
            </w14:solidFill>
          </w14:textFill>
        </w:rPr>
      </w:pPr>
      <w:r>
        <w:rPr>
          <w:rFonts w:hint="eastAsia" w:ascii="宋体" w:hAnsi="宋体" w:cs="宋体"/>
          <w:b/>
          <w:color w:val="000000" w:themeColor="text1"/>
          <w:sz w:val="18"/>
          <w:szCs w:val="18"/>
          <w14:textFill>
            <w14:solidFill>
              <w14:schemeClr w14:val="tx1"/>
            </w14:solidFill>
          </w14:textFill>
        </w:rPr>
        <w:t>②未中标人的投标保证金在中标通知书发出后4个工作日内退还，不计利息。</w:t>
      </w:r>
    </w:p>
    <w:p>
      <w:pPr>
        <w:keepNext w:val="0"/>
        <w:keepLines w:val="0"/>
        <w:pageBreakBefore w:val="0"/>
        <w:kinsoku/>
        <w:wordWrap/>
        <w:overflowPunct/>
        <w:topLinePunct w:val="0"/>
        <w:bidi w:val="0"/>
        <w:snapToGrid w:val="0"/>
        <w:spacing w:line="360" w:lineRule="exact"/>
        <w:ind w:firstLine="361"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 w:val="18"/>
          <w:szCs w:val="18"/>
          <w14:textFill>
            <w14:solidFill>
              <w14:schemeClr w14:val="tx1"/>
            </w14:solidFill>
          </w14:textFill>
        </w:rPr>
        <w:t>③</w:t>
      </w:r>
      <w:r>
        <w:rPr>
          <w:rFonts w:hint="eastAsia" w:ascii="宋体" w:hAnsi="宋体" w:cs="宋体"/>
          <w:b/>
          <w:color w:val="000000" w:themeColor="text1"/>
          <w:spacing w:val="-4"/>
          <w:sz w:val="18"/>
          <w:szCs w:val="18"/>
          <w14:textFill>
            <w14:solidFill>
              <w14:schemeClr w14:val="tx1"/>
            </w14:solidFill>
          </w14:textFill>
        </w:rPr>
        <w:t>中标人的投标保证金自政府采购合同签订之日起4个工作日内（合同签订后送达本中心)后退还，不计利息。</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ascii="宋体" w:hAnsi="宋体" w:cs="宋体"/>
          <w:color w:val="000000" w:themeColor="text1"/>
          <w:kern w:val="0"/>
          <w:szCs w:val="21"/>
          <w14:textFill>
            <w14:solidFill>
              <w14:schemeClr w14:val="tx1"/>
            </w14:solidFill>
          </w14:textFill>
        </w:rPr>
        <w:t>中标人应在中标通知书发出之日起</w:t>
      </w:r>
      <w:r>
        <w:rPr>
          <w:rFonts w:hint="eastAsia" w:ascii="宋体" w:hAnsi="宋体" w:cs="宋体"/>
          <w:color w:val="000000" w:themeColor="text1"/>
          <w:szCs w:val="21"/>
          <w:u w:val="single"/>
          <w14:textFill>
            <w14:solidFill>
              <w14:schemeClr w14:val="tx1"/>
            </w14:solidFill>
          </w14:textFill>
        </w:rPr>
        <w:t>25</w:t>
      </w:r>
      <w:r>
        <w:rPr>
          <w:rFonts w:hint="eastAsia" w:ascii="宋体" w:hAnsi="宋体" w:cs="宋体"/>
          <w:color w:val="000000" w:themeColor="text1"/>
          <w:szCs w:val="21"/>
          <w14:textFill>
            <w14:solidFill>
              <w14:schemeClr w14:val="tx1"/>
            </w14:solidFill>
          </w14:textFill>
        </w:rPr>
        <w:t>日内与采购人签订合同。</w:t>
      </w:r>
      <w:r>
        <w:rPr>
          <w:rFonts w:hint="eastAsia" w:ascii="宋体" w:hAnsi="宋体" w:cs="宋体"/>
          <w:bCs/>
          <w:color w:val="000000" w:themeColor="text1"/>
          <w:szCs w:val="21"/>
          <w14:textFill>
            <w14:solidFill>
              <w14:schemeClr w14:val="tx1"/>
            </w14:solidFill>
          </w14:textFill>
        </w:rPr>
        <w:t>采购需求另有要求的，按照其要求执行。</w:t>
      </w:r>
    </w:p>
    <w:p>
      <w:pPr>
        <w:pStyle w:val="29"/>
        <w:keepNext w:val="0"/>
        <w:keepLines w:val="0"/>
        <w:pageBreakBefore w:val="0"/>
        <w:kinsoku/>
        <w:wordWrap/>
        <w:overflowPunct/>
        <w:topLinePunct w:val="0"/>
        <w:bidi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5.投标保证金不计息。</w:t>
      </w:r>
    </w:p>
    <w:p>
      <w:pPr>
        <w:keepNext w:val="0"/>
        <w:keepLines w:val="0"/>
        <w:pageBreakBefore w:val="0"/>
        <w:kinsoku/>
        <w:wordWrap/>
        <w:overflowPunct/>
        <w:topLinePunct w:val="0"/>
        <w:bidi w:val="0"/>
        <w:snapToGrid w:val="0"/>
        <w:spacing w:line="360" w:lineRule="exact"/>
        <w:ind w:firstLine="421" w:firstLineChars="200"/>
        <w:jc w:val="left"/>
        <w:textAlignment w:val="auto"/>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6.投标人有下列情形之一的，投标保证金将不予退还：</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（1）投标人在投标有效期内撤回投标文件的；</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（2）投标人在投标过程中弄虚作假，提供虚假材料的；</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（3）中标人无正当理由不与采购人签订合同的；</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ascii="宋体" w:hAnsi="宋体" w:cs="宋体"/>
          <w:bCs/>
          <w:color w:val="000000" w:themeColor="text1"/>
          <w:spacing w:val="-6"/>
          <w:szCs w:val="21"/>
          <w14:textFill>
            <w14:solidFill>
              <w14:schemeClr w14:val="tx1"/>
            </w14:solidFill>
          </w14:textFill>
        </w:rPr>
        <w:t>将中标项目转让给他人或者在投标文件中未说明且未经招标采购人同意，将中标项目分包给他人的；</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（5）拒绝履行合同义务的；</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（6）其他严重扰乱招投标程序的。</w:t>
      </w:r>
    </w:p>
    <w:p>
      <w:pPr>
        <w:keepNext w:val="0"/>
        <w:keepLines w:val="0"/>
        <w:pageBreakBefore w:val="0"/>
        <w:kinsoku/>
        <w:wordWrap/>
        <w:overflowPunct/>
        <w:topLinePunct w:val="0"/>
        <w:bidi w:val="0"/>
        <w:snapToGrid w:val="0"/>
        <w:spacing w:line="360" w:lineRule="exact"/>
        <w:ind w:firstLine="421" w:firstLineChars="200"/>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（六）投标文件的签署和份数</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1.投标人应按本招标文件规定的格式和顺序编制投标文件并标注页码，投标文件内容不完整、编排混乱导致投标文件被误读、漏读或者查找不到相关内容的，是投标人的责任。</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2.投标文件份数：见投标人须知及前附表。</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3.投标文件须由投标人在规定位置盖章并由法定代表人或法定代表人的授权委托人签字或签章，投标人应写全称。</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4.投标文件不得涂改，若有修改错漏处，须加盖单位公章或者法定代表人或授权委托人签字或签章。投标文件扫描不清晰或乱码或表达不清所引起的后果由投标人负责。</w:t>
      </w:r>
    </w:p>
    <w:p>
      <w:pPr>
        <w:keepNext w:val="0"/>
        <w:keepLines w:val="0"/>
        <w:pageBreakBefore w:val="0"/>
        <w:kinsoku/>
        <w:wordWrap/>
        <w:overflowPunct/>
        <w:topLinePunct w:val="0"/>
        <w:bidi w:val="0"/>
        <w:snapToGrid w:val="0"/>
        <w:spacing w:line="360" w:lineRule="exact"/>
        <w:ind w:firstLine="421" w:firstLineChars="200"/>
        <w:jc w:val="left"/>
        <w:textAlignment w:val="auto"/>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（七）投标文件的上传、提交、修改、撤回和解密</w:t>
      </w:r>
    </w:p>
    <w:p>
      <w:pPr>
        <w:keepNext w:val="0"/>
        <w:keepLines w:val="0"/>
        <w:pageBreakBefore w:val="0"/>
        <w:kinsoku/>
        <w:wordWrap/>
        <w:overflowPunct/>
        <w:topLinePunct w:val="0"/>
        <w:bidi w:val="0"/>
        <w:adjustRightInd w:val="0"/>
        <w:snapToGrid w:val="0"/>
        <w:spacing w:line="360" w:lineRule="exact"/>
        <w:ind w:firstLine="421"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▲1.投</w:t>
      </w:r>
      <w:r>
        <w:rPr>
          <w:rFonts w:hint="eastAsia" w:ascii="宋体" w:hAnsi="宋体" w:cs="宋体"/>
          <w:b/>
          <w:color w:val="000000" w:themeColor="text1"/>
          <w:szCs w:val="21"/>
          <w14:textFill>
            <w14:solidFill>
              <w14:schemeClr w14:val="tx1"/>
            </w14:solidFill>
          </w14:textFill>
        </w:rPr>
        <w:t>标文件的上传、提交：见投标人须知及前附表。</w:t>
      </w:r>
    </w:p>
    <w:p>
      <w:pPr>
        <w:keepNext w:val="0"/>
        <w:keepLines w:val="0"/>
        <w:pageBreakBefore w:val="0"/>
        <w:kinsoku/>
        <w:wordWrap/>
        <w:overflowPunct/>
        <w:topLinePunct w:val="0"/>
        <w:bidi w:val="0"/>
        <w:adjustRightInd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ascii="宋体" w:hAnsi="宋体" w:cs="宋体"/>
          <w:color w:val="000000" w:themeColor="text1"/>
          <w:kern w:val="0"/>
          <w:szCs w:val="21"/>
          <w:lang w:val="zh-CN"/>
          <w14:textFill>
            <w14:solidFill>
              <w14:schemeClr w14:val="tx1"/>
            </w14:solidFill>
          </w14:textFill>
        </w:rPr>
        <w:t>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pPr>
        <w:keepNext w:val="0"/>
        <w:keepLines w:val="0"/>
        <w:pageBreakBefore w:val="0"/>
        <w:kinsoku/>
        <w:wordWrap/>
        <w:overflowPunct/>
        <w:topLinePunct w:val="0"/>
        <w:bidi w:val="0"/>
        <w:adjustRightInd w:val="0"/>
        <w:snapToGrid w:val="0"/>
        <w:spacing w:line="360" w:lineRule="exact"/>
        <w:ind w:firstLine="404" w:firstLineChars="200"/>
        <w:textAlignment w:val="auto"/>
        <w:rPr>
          <w:rFonts w:hint="eastAsia" w:ascii="宋体" w:hAnsi="宋体" w:cs="宋体"/>
          <w:color w:val="000000" w:themeColor="text1"/>
          <w:spacing w:val="-4"/>
          <w:szCs w:val="21"/>
          <w14:textFill>
            <w14:solidFill>
              <w14:schemeClr w14:val="tx1"/>
            </w14:solidFill>
          </w14:textFill>
        </w:rPr>
      </w:pPr>
      <w:r>
        <w:rPr>
          <w:rFonts w:hint="eastAsia" w:ascii="宋体" w:hAnsi="宋体" w:cs="宋体"/>
          <w:color w:val="000000" w:themeColor="text1"/>
          <w:spacing w:val="-4"/>
          <w:szCs w:val="21"/>
          <w14:textFill>
            <w14:solidFill>
              <w14:schemeClr w14:val="tx1"/>
            </w14:solidFill>
          </w14:textFill>
        </w:rPr>
        <w:t>3.</w:t>
      </w:r>
      <w:r>
        <w:rPr>
          <w:rFonts w:hint="eastAsia" w:ascii="宋体" w:hAnsi="宋体" w:cs="宋体"/>
          <w:snapToGrid w:val="0"/>
          <w:color w:val="000000" w:themeColor="text1"/>
          <w:szCs w:val="21"/>
          <w14:textFill>
            <w14:solidFill>
              <w14:schemeClr w14:val="tx1"/>
            </w14:solidFill>
          </w14:textFill>
        </w:rPr>
        <w:t>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pPr>
        <w:keepNext w:val="0"/>
        <w:keepLines w:val="0"/>
        <w:pageBreakBefore w:val="0"/>
        <w:kinsoku/>
        <w:wordWrap/>
        <w:overflowPunct/>
        <w:topLinePunct w:val="0"/>
        <w:bidi w:val="0"/>
        <w:snapToGrid w:val="0"/>
        <w:spacing w:line="360" w:lineRule="exact"/>
        <w:ind w:firstLine="404" w:firstLineChars="200"/>
        <w:jc w:val="left"/>
        <w:textAlignment w:val="auto"/>
        <w:rPr>
          <w:rFonts w:hint="eastAsia" w:ascii="宋体" w:hAnsi="宋体" w:cs="宋体"/>
          <w:color w:val="000000" w:themeColor="text1"/>
          <w:spacing w:val="-4"/>
          <w:szCs w:val="21"/>
          <w14:textFill>
            <w14:solidFill>
              <w14:schemeClr w14:val="tx1"/>
            </w14:solidFill>
          </w14:textFill>
        </w:rPr>
      </w:pPr>
      <w:r>
        <w:rPr>
          <w:rFonts w:hint="eastAsia" w:ascii="宋体" w:hAnsi="宋体" w:cs="宋体"/>
          <w:color w:val="000000" w:themeColor="text1"/>
          <w:spacing w:val="-4"/>
          <w:szCs w:val="21"/>
          <w14:textFill>
            <w14:solidFill>
              <w14:schemeClr w14:val="tx1"/>
            </w14:solidFill>
          </w14:textFill>
        </w:rPr>
        <w:t>4.投标人已经被推荐为第一中标候选供应商后撤回投标或放弃中标的，其投标保证金将不予退还，并上缴国库，给采购人造成损失的，还应当赔偿损失，并作为不良行为记录在案。</w:t>
      </w:r>
    </w:p>
    <w:p>
      <w:pPr>
        <w:keepNext w:val="0"/>
        <w:keepLines w:val="0"/>
        <w:pageBreakBefore w:val="0"/>
        <w:kinsoku/>
        <w:wordWrap/>
        <w:overflowPunct/>
        <w:topLinePunct w:val="0"/>
        <w:bidi w:val="0"/>
        <w:snapToGrid w:val="0"/>
        <w:spacing w:line="360" w:lineRule="exact"/>
        <w:ind w:firstLine="421" w:firstLineChars="200"/>
        <w:jc w:val="left"/>
        <w:textAlignment w:val="auto"/>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（八）投标无效的情形</w:t>
      </w:r>
    </w:p>
    <w:p>
      <w:pPr>
        <w:pStyle w:val="22"/>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实质上没有响应招标文件要求的投标将被视为无效投标。投标人不得通过修正或撤销不合要求的偏离或保留从而使其投标成为实质上响应的投标，但经评标委会认定属于投标人疏忽、笔误所造成的差错，应当允许其在评标结束之前进行修改或者补正（可以是复印件、传真件等，原件必须加盖单位公章）。修改或者补正投标文件必须以书面形式进行，并应在中标结果公告之前查核原件。限期内不补正或经补正后仍不符合招标文件要求的，应认定其投标无效。投标人修改、补正投标文件后，不影响评标委员会对其投标文件所作的评价和评分结果。</w:t>
      </w:r>
    </w:p>
    <w:p>
      <w:pPr>
        <w:pStyle w:val="22"/>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1.在符合性审查和资格性审查时，如发现下列情形之一的，投标文件将被视为无效：</w:t>
      </w:r>
    </w:p>
    <w:p>
      <w:pPr>
        <w:pStyle w:val="22"/>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（1）超越了按照法律法规规定必须获得行政许可或者行政审批的经营范围的；</w:t>
      </w:r>
    </w:p>
    <w:p>
      <w:pPr>
        <w:pStyle w:val="22"/>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（2）资格证明文件不全的，或者不符合招标文件标明的资格要求的；</w:t>
      </w:r>
    </w:p>
    <w:p>
      <w:pPr>
        <w:pStyle w:val="22"/>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（3）投标文件无法定代表人（负责人）或其授权委托代理人</w:t>
      </w:r>
      <w:r>
        <w:rPr>
          <w:rFonts w:hint="eastAsia" w:ascii="宋体" w:hAnsi="宋体" w:eastAsia="宋体" w:cs="宋体"/>
          <w:color w:val="000000" w:themeColor="text1"/>
          <w:spacing w:val="-4"/>
          <w:sz w:val="21"/>
          <w:szCs w:val="21"/>
          <w:lang w:val="en"/>
          <w14:textFill>
            <w14:solidFill>
              <w14:schemeClr w14:val="tx1"/>
            </w14:solidFill>
          </w14:textFill>
        </w:rPr>
        <w:t>签字或签章</w:t>
      </w:r>
      <w:r>
        <w:rPr>
          <w:rFonts w:hint="eastAsia" w:ascii="宋体" w:hAnsi="宋体" w:eastAsia="宋体" w:cs="宋体"/>
          <w:color w:val="000000" w:themeColor="text1"/>
          <w:spacing w:val="-4"/>
          <w:sz w:val="21"/>
          <w:szCs w:val="21"/>
          <w14:textFill>
            <w14:solidFill>
              <w14:schemeClr w14:val="tx1"/>
            </w14:solidFill>
          </w14:textFill>
        </w:rPr>
        <w:t>，或未提供法定代表人（负责人）授权委托书、投标声明书或者填写项目不齐全的；</w:t>
      </w:r>
    </w:p>
    <w:p>
      <w:pPr>
        <w:pStyle w:val="22"/>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（4）投标代表人未能出具身份证明或与法定代表人（负责人）授权委托人身份不符的；</w:t>
      </w:r>
    </w:p>
    <w:p>
      <w:pPr>
        <w:pStyle w:val="22"/>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（5）项目不齐全或者内容虚假的；</w:t>
      </w:r>
    </w:p>
    <w:p>
      <w:pPr>
        <w:pStyle w:val="22"/>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（6）投标文件的实质性内容未使用中文表述、意思表述不明确、前后矛盾或者使用计量单位不符合投标文件要求的（经评标委员会认定并允许其当场更正的笔误除外）；</w:t>
      </w:r>
    </w:p>
    <w:p>
      <w:pPr>
        <w:pStyle w:val="22"/>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（7）投标有效期、交付使用时间、质保期等商务条款不能满足招标文件要求的；</w:t>
      </w:r>
    </w:p>
    <w:p>
      <w:pPr>
        <w:pStyle w:val="22"/>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（8）未实质性响应招标文件要求或者投标文件有招标方不能接受的附加条件的；</w:t>
      </w:r>
    </w:p>
    <w:p>
      <w:pPr>
        <w:pStyle w:val="22"/>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（9）未按照招标文件的规定提交投标保证金的（说明：评标时，评标委员会将以本中心财务室编制的《采购文件购买名单及保证金收缴情况表》作为评审依据）。</w:t>
      </w:r>
    </w:p>
    <w:p>
      <w:pPr>
        <w:pStyle w:val="22"/>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2.在技术评审时，如发现下列情形之一的，投标文件将被视为无效：</w:t>
      </w:r>
    </w:p>
    <w:p>
      <w:pPr>
        <w:pStyle w:val="22"/>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（1）未提供或未如实提供投标货物的技术参数，或者投标文件标明的响应或偏离与事实不符或虚假投标的；</w:t>
      </w:r>
    </w:p>
    <w:p>
      <w:pPr>
        <w:pStyle w:val="22"/>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（2）明显不符合招标文件要求的规格型号、质量标准，或者与招标文件中的技术指标、主要功能项目发生实质性偏离的；</w:t>
      </w:r>
    </w:p>
    <w:p>
      <w:pPr>
        <w:pStyle w:val="22"/>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（3）标星号“</w:t>
      </w:r>
      <w:r>
        <w:rPr>
          <w:rFonts w:hint="eastAsia" w:ascii="宋体" w:hAnsi="宋体" w:eastAsia="宋体" w:cs="宋体"/>
          <w:color w:val="000000" w:themeColor="text1"/>
          <w:kern w:val="0"/>
          <w:sz w:val="21"/>
          <w:szCs w:val="21"/>
          <w14:textFill>
            <w14:solidFill>
              <w14:schemeClr w14:val="tx1"/>
            </w14:solidFill>
          </w14:textFill>
        </w:rPr>
        <w:t>▲</w:t>
      </w:r>
      <w:r>
        <w:rPr>
          <w:rFonts w:hint="eastAsia" w:ascii="宋体" w:hAnsi="宋体" w:eastAsia="宋体" w:cs="宋体"/>
          <w:color w:val="000000" w:themeColor="text1"/>
          <w:spacing w:val="-4"/>
          <w:sz w:val="21"/>
          <w:szCs w:val="21"/>
          <w14:textFill>
            <w14:solidFill>
              <w14:schemeClr w14:val="tx1"/>
            </w14:solidFill>
          </w14:textFill>
        </w:rPr>
        <w:t>”的技术、性能指标发生负偏离达</w:t>
      </w:r>
      <w:r>
        <w:rPr>
          <w:rFonts w:hint="eastAsia" w:ascii="宋体" w:hAnsi="宋体" w:eastAsia="宋体" w:cs="宋体"/>
          <w:color w:val="000000" w:themeColor="text1"/>
          <w:spacing w:val="-4"/>
          <w:sz w:val="21"/>
          <w:szCs w:val="21"/>
          <w:u w:val="single"/>
          <w14:textFill>
            <w14:solidFill>
              <w14:schemeClr w14:val="tx1"/>
            </w14:solidFill>
          </w14:textFill>
        </w:rPr>
        <w:t xml:space="preserve">  1  </w:t>
      </w:r>
      <w:r>
        <w:rPr>
          <w:rFonts w:hint="eastAsia" w:ascii="宋体" w:hAnsi="宋体" w:eastAsia="宋体" w:cs="宋体"/>
          <w:color w:val="000000" w:themeColor="text1"/>
          <w:spacing w:val="-4"/>
          <w:sz w:val="21"/>
          <w:szCs w:val="21"/>
          <w14:textFill>
            <w14:solidFill>
              <w14:schemeClr w14:val="tx1"/>
            </w14:solidFill>
          </w14:textFill>
        </w:rPr>
        <w:t>项（含）以上的；</w:t>
      </w:r>
    </w:p>
    <w:p>
      <w:pPr>
        <w:pStyle w:val="22"/>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（4）投标技术方案不明确，存在一个或一个以上备选（替换）投标方案的；</w:t>
      </w:r>
    </w:p>
    <w:p>
      <w:pPr>
        <w:pStyle w:val="22"/>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（5）与其他参加本次投标供应商的投标文件（技术文件）的文字表述内容差错相同二处以上的。</w:t>
      </w:r>
    </w:p>
    <w:p>
      <w:pPr>
        <w:pStyle w:val="22"/>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3.在报价评审时，如发现下列情形之一的，投标文件将被视为无效：</w:t>
      </w:r>
    </w:p>
    <w:p>
      <w:pPr>
        <w:pStyle w:val="22"/>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（1）未采用人民币报价或者未按照招标文件标明的币种报价的；</w:t>
      </w:r>
    </w:p>
    <w:p>
      <w:pPr>
        <w:pStyle w:val="22"/>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（2）报价超出最高限价，或者超出采购预算金额，采购人不能支付的；</w:t>
      </w:r>
    </w:p>
    <w:p>
      <w:pPr>
        <w:pStyle w:val="22"/>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（3）投标报价具有选择性，或者开标价格与投标文件承诺的优惠（折扣）价格不一致的。</w:t>
      </w:r>
      <w:bookmarkStart w:id="17" w:name="_Toc40864676"/>
      <w:bookmarkStart w:id="18" w:name="_Toc40865068"/>
      <w:bookmarkStart w:id="19" w:name="_Toc40864952"/>
    </w:p>
    <w:p>
      <w:pPr>
        <w:pStyle w:val="22"/>
        <w:keepNext w:val="0"/>
        <w:keepLines w:val="0"/>
        <w:pageBreakBefore w:val="0"/>
        <w:kinsoku/>
        <w:wordWrap/>
        <w:overflowPunct/>
        <w:topLinePunct w:val="0"/>
        <w:bidi w:val="0"/>
        <w:snapToGrid w:val="0"/>
        <w:spacing w:line="360" w:lineRule="exact"/>
        <w:ind w:firstLine="420" w:firstLineChars="200"/>
        <w:textAlignment w:val="auto"/>
        <w:outlineLvl w:val="0"/>
        <w:rPr>
          <w:rFonts w:hint="eastAsia" w:ascii="宋体" w:hAnsi="宋体" w:eastAsia="宋体" w:cs="宋体"/>
          <w:color w:val="000000" w:themeColor="text1"/>
          <w:kern w:val="0"/>
          <w:sz w:val="21"/>
          <w:szCs w:val="21"/>
          <w:lang w:val="zh-CN"/>
          <w14:textFill>
            <w14:solidFill>
              <w14:schemeClr w14:val="tx1"/>
            </w14:solidFill>
          </w14:textFill>
        </w:rPr>
      </w:pPr>
      <w:r>
        <w:rPr>
          <w:rFonts w:hint="eastAsia" w:ascii="宋体" w:hAnsi="宋体" w:eastAsia="宋体" w:cs="宋体"/>
          <w:color w:val="000000" w:themeColor="text1"/>
          <w:kern w:val="0"/>
          <w:sz w:val="21"/>
          <w:szCs w:val="21"/>
          <w:lang w:val="zh-CN"/>
          <w14:textFill>
            <w14:solidFill>
              <w14:schemeClr w14:val="tx1"/>
            </w14:solidFill>
          </w14:textFill>
        </w:rPr>
        <w:t>（4）评标委员会在评审中，经启动异常低价审查程序后供应商未能</w:t>
      </w:r>
      <w:r>
        <w:rPr>
          <w:rFonts w:hint="eastAsia" w:ascii="宋体" w:hAnsi="宋体" w:eastAsia="宋体" w:cs="宋体"/>
          <w:bCs/>
          <w:color w:val="000000" w:themeColor="text1"/>
          <w:sz w:val="21"/>
          <w:szCs w:val="21"/>
          <w14:textFill>
            <w14:solidFill>
              <w14:schemeClr w14:val="tx1"/>
            </w14:solidFill>
          </w14:textFill>
        </w:rPr>
        <w:t>证明其报价合理性的</w:t>
      </w:r>
      <w:r>
        <w:rPr>
          <w:rFonts w:hint="eastAsia" w:ascii="宋体" w:hAnsi="宋体" w:eastAsia="宋体" w:cs="宋体"/>
          <w:color w:val="000000" w:themeColor="text1"/>
          <w:kern w:val="0"/>
          <w:sz w:val="21"/>
          <w:szCs w:val="21"/>
          <w:lang w:val="zh-CN"/>
          <w14:textFill>
            <w14:solidFill>
              <w14:schemeClr w14:val="tx1"/>
            </w14:solidFill>
          </w14:textFill>
        </w:rPr>
        <w:t>。</w:t>
      </w:r>
      <w:bookmarkEnd w:id="17"/>
      <w:bookmarkEnd w:id="18"/>
      <w:bookmarkEnd w:id="19"/>
    </w:p>
    <w:p>
      <w:pPr>
        <w:pStyle w:val="22"/>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4.有下列情形之一的视为投标人相互串通投标，投标文件将被视为无效:</w:t>
      </w:r>
    </w:p>
    <w:p>
      <w:pPr>
        <w:pStyle w:val="22"/>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（1）不同投标人的投标文件由同一单位或者个人编制；或不同投标人报名的IP地址一致的；</w:t>
      </w:r>
    </w:p>
    <w:p>
      <w:pPr>
        <w:pStyle w:val="22"/>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（2）不同投标人委托同一单位或者个人办理投标事宜；</w:t>
      </w:r>
    </w:p>
    <w:p>
      <w:pPr>
        <w:pStyle w:val="22"/>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（3）不同投标人的投标文件载明的项目管理成员或者联系人员为同一人；</w:t>
      </w:r>
    </w:p>
    <w:p>
      <w:pPr>
        <w:pStyle w:val="22"/>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（4）不同投标人的投标文件异常一致或投标报价呈规律性差异；</w:t>
      </w:r>
    </w:p>
    <w:p>
      <w:pPr>
        <w:pStyle w:val="22"/>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（5）不同投标人的投标文件相互混装；</w:t>
      </w:r>
    </w:p>
    <w:p>
      <w:pPr>
        <w:pStyle w:val="22"/>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（6）不同投标人的投标保证金从同一个单位或者个人账户转出。</w:t>
      </w:r>
    </w:p>
    <w:p>
      <w:pPr>
        <w:pStyle w:val="22"/>
        <w:keepNext w:val="0"/>
        <w:keepLines w:val="0"/>
        <w:pageBreakBefore w:val="0"/>
        <w:kinsoku/>
        <w:wordWrap/>
        <w:overflowPunct/>
        <w:topLinePunct w:val="0"/>
        <w:bidi w:val="0"/>
        <w:adjustRightInd w:val="0"/>
        <w:snapToGrid w:val="0"/>
        <w:spacing w:line="360" w:lineRule="exact"/>
        <w:ind w:firstLine="404" w:firstLineChars="200"/>
        <w:textAlignment w:val="auto"/>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lang w:val="en"/>
          <w14:textFill>
            <w14:solidFill>
              <w14:schemeClr w14:val="tx1"/>
            </w14:solidFill>
          </w14:textFill>
        </w:rPr>
        <w:t>5</w:t>
      </w:r>
      <w:r>
        <w:rPr>
          <w:rFonts w:hint="eastAsia" w:ascii="宋体" w:hAnsi="宋体" w:eastAsia="宋体" w:cs="宋体"/>
          <w:color w:val="000000" w:themeColor="text1"/>
          <w:spacing w:val="-4"/>
          <w:sz w:val="21"/>
          <w:szCs w:val="21"/>
          <w14:textFill>
            <w14:solidFill>
              <w14:schemeClr w14:val="tx1"/>
            </w14:solidFill>
          </w14:textFill>
        </w:rPr>
        <w:t>.</w:t>
      </w:r>
      <w:r>
        <w:rPr>
          <w:rFonts w:hint="eastAsia" w:ascii="宋体" w:hAnsi="宋体" w:eastAsia="宋体" w:cs="宋体"/>
          <w:bCs/>
          <w:color w:val="000000" w:themeColor="text1"/>
          <w:sz w:val="21"/>
          <w:szCs w:val="21"/>
          <w14:textFill>
            <w14:solidFill>
              <w14:schemeClr w14:val="tx1"/>
            </w14:solidFill>
          </w14:textFill>
        </w:rPr>
        <w:t>其他投标无效的情形：</w:t>
      </w:r>
    </w:p>
    <w:p>
      <w:pPr>
        <w:pStyle w:val="22"/>
        <w:keepNext w:val="0"/>
        <w:keepLines w:val="0"/>
        <w:pageBreakBefore w:val="0"/>
        <w:kinsoku/>
        <w:wordWrap/>
        <w:overflowPunct/>
        <w:topLinePunct w:val="0"/>
        <w:bidi w:val="0"/>
        <w:adjustRightInd w:val="0"/>
        <w:snapToGrid w:val="0"/>
        <w:spacing w:line="360" w:lineRule="exact"/>
        <w:ind w:firstLine="421" w:firstLineChars="200"/>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（1）投标文件未按招标文件要求签署或CA电子签章的；</w:t>
      </w:r>
    </w:p>
    <w:p>
      <w:pPr>
        <w:pStyle w:val="22"/>
        <w:keepNext w:val="0"/>
        <w:keepLines w:val="0"/>
        <w:pageBreakBefore w:val="0"/>
        <w:kinsoku/>
        <w:wordWrap/>
        <w:overflowPunct/>
        <w:topLinePunct w:val="0"/>
        <w:bidi w:val="0"/>
        <w:adjustRightInd w:val="0"/>
        <w:snapToGrid w:val="0"/>
        <w:spacing w:line="360" w:lineRule="exact"/>
        <w:ind w:firstLine="421" w:firstLineChars="200"/>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（2）供应商提交两份或两份以上内容不同的投标文件；</w:t>
      </w:r>
    </w:p>
    <w:p>
      <w:pPr>
        <w:pStyle w:val="29"/>
        <w:keepNext w:val="0"/>
        <w:keepLines w:val="0"/>
        <w:pageBreakBefore w:val="0"/>
        <w:kinsoku/>
        <w:wordWrap/>
        <w:overflowPunct/>
        <w:topLinePunct w:val="0"/>
        <w:bidi w:val="0"/>
        <w:adjustRightInd w:val="0"/>
        <w:snapToGrid w:val="0"/>
        <w:spacing w:line="360" w:lineRule="exact"/>
        <w:ind w:firstLine="421" w:firstLineChars="200"/>
        <w:textAlignment w:val="auto"/>
        <w:rPr>
          <w:rFonts w:hint="eastAsia" w:hAnsi="宋体" w:cs="宋体"/>
          <w:b/>
          <w:bCs/>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（3）投标供应商在线制作投标文件时填写的报价金额与解密后“电子加密投标文件”中《开标一览表》填写的金额不一致并拒绝按招标文件要求接受调整的；</w:t>
      </w:r>
    </w:p>
    <w:p>
      <w:pPr>
        <w:pStyle w:val="22"/>
        <w:keepNext w:val="0"/>
        <w:keepLines w:val="0"/>
        <w:pageBreakBefore w:val="0"/>
        <w:kinsoku/>
        <w:wordWrap/>
        <w:overflowPunct/>
        <w:topLinePunct w:val="0"/>
        <w:bidi w:val="0"/>
        <w:snapToGrid w:val="0"/>
        <w:spacing w:line="360" w:lineRule="exact"/>
        <w:ind w:firstLine="421"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（4）法律、法规和招标文件规定的其他无效情形（或出现重大偏差）。</w:t>
      </w:r>
    </w:p>
    <w:p>
      <w:pPr>
        <w:pStyle w:val="22"/>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lang w:val="en"/>
          <w14:textFill>
            <w14:solidFill>
              <w14:schemeClr w14:val="tx1"/>
            </w14:solidFill>
          </w14:textFill>
        </w:rPr>
        <w:t>6</w:t>
      </w:r>
      <w:r>
        <w:rPr>
          <w:rFonts w:hint="eastAsia" w:ascii="宋体" w:hAnsi="宋体" w:eastAsia="宋体" w:cs="宋体"/>
          <w:color w:val="000000" w:themeColor="text1"/>
          <w:spacing w:val="-4"/>
          <w:sz w:val="21"/>
          <w:szCs w:val="21"/>
          <w14:textFill>
            <w14:solidFill>
              <w14:schemeClr w14:val="tx1"/>
            </w14:solidFill>
          </w14:textFill>
        </w:rPr>
        <w:t>.被拒绝的投标文件为无效。</w:t>
      </w:r>
    </w:p>
    <w:p>
      <w:pPr>
        <w:pStyle w:val="22"/>
        <w:keepNext w:val="0"/>
        <w:keepLines w:val="0"/>
        <w:pageBreakBefore w:val="0"/>
        <w:kinsoku/>
        <w:wordWrap/>
        <w:overflowPunct/>
        <w:topLinePunct w:val="0"/>
        <w:bidi w:val="0"/>
        <w:snapToGrid w:val="0"/>
        <w:spacing w:line="360" w:lineRule="exact"/>
        <w:ind w:firstLine="421" w:firstLineChars="200"/>
        <w:textAlignment w:val="auto"/>
        <w:outlineLvl w:val="0"/>
        <w:rPr>
          <w:rFonts w:hint="eastAsia" w:ascii="宋体" w:hAnsi="宋体" w:eastAsia="宋体" w:cs="宋体"/>
          <w:b/>
          <w:snapToGrid w:val="0"/>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四、开标</w:t>
      </w:r>
    </w:p>
    <w:p>
      <w:pPr>
        <w:pStyle w:val="29"/>
        <w:keepNext w:val="0"/>
        <w:keepLines w:val="0"/>
        <w:pageBreakBefore w:val="0"/>
        <w:kinsoku/>
        <w:wordWrap/>
        <w:overflowPunct/>
        <w:topLinePunct w:val="0"/>
        <w:bidi w:val="0"/>
        <w:snapToGrid w:val="0"/>
        <w:spacing w:line="360" w:lineRule="exact"/>
        <w:ind w:firstLine="421" w:firstLineChars="200"/>
        <w:textAlignment w:val="auto"/>
        <w:outlineLvl w:val="0"/>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（一）开标准备</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bCs/>
          <w:color w:val="000000" w:themeColor="text1"/>
          <w14:textFill>
            <w14:solidFill>
              <w14:schemeClr w14:val="tx1"/>
            </w14:solidFill>
          </w14:textFill>
        </w:rPr>
      </w:pPr>
      <w:r>
        <w:rPr>
          <w:rFonts w:hint="eastAsia" w:hAnsi="宋体" w:cs="宋体"/>
          <w:bCs/>
          <w:color w:val="000000" w:themeColor="text1"/>
          <w14:textFill>
            <w14:solidFill>
              <w14:schemeClr w14:val="tx1"/>
            </w14:solidFill>
          </w14:textFill>
        </w:rPr>
        <w:t>本中心将</w:t>
      </w:r>
      <w:r>
        <w:rPr>
          <w:rFonts w:hint="eastAsia" w:hAnsi="宋体" w:cs="宋体"/>
          <w:color w:val="000000" w:themeColor="text1"/>
          <w14:textFill>
            <w14:solidFill>
              <w14:schemeClr w14:val="tx1"/>
            </w14:solidFill>
          </w14:textFill>
        </w:rPr>
        <w:t>按招标文件规定的时间、地点通过“广西政府采购云平台”组织开标、开启投标文件，所有供应商均应当准时在线参加。投标供应商因未在线参加开标而导致投标文件无法按时解密等一切后果由供应商自行承担。</w:t>
      </w:r>
    </w:p>
    <w:p>
      <w:pPr>
        <w:pStyle w:val="29"/>
        <w:keepNext w:val="0"/>
        <w:keepLines w:val="0"/>
        <w:pageBreakBefore w:val="0"/>
        <w:kinsoku/>
        <w:wordWrap/>
        <w:overflowPunct/>
        <w:topLinePunct w:val="0"/>
        <w:bidi w:val="0"/>
        <w:snapToGrid w:val="0"/>
        <w:spacing w:line="360" w:lineRule="exact"/>
        <w:ind w:firstLine="421" w:firstLineChars="200"/>
        <w:textAlignment w:val="auto"/>
        <w:outlineLvl w:val="0"/>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（二）开标程序：</w:t>
      </w:r>
    </w:p>
    <w:p>
      <w:pPr>
        <w:pStyle w:val="29"/>
        <w:keepNext w:val="0"/>
        <w:keepLines w:val="0"/>
        <w:pageBreakBefore w:val="0"/>
        <w:kinsoku/>
        <w:wordWrap/>
        <w:overflowPunct/>
        <w:topLinePunct w:val="0"/>
        <w:bidi w:val="0"/>
        <w:adjustRightInd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1.电子开标会由本中心主持</w:t>
      </w:r>
    </w:p>
    <w:p>
      <w:pPr>
        <w:pStyle w:val="29"/>
        <w:keepNext w:val="0"/>
        <w:keepLines w:val="0"/>
        <w:pageBreakBefore w:val="0"/>
        <w:kinsoku/>
        <w:wordWrap/>
        <w:overflowPunct/>
        <w:topLinePunct w:val="0"/>
        <w:bidi w:val="0"/>
        <w:adjustRightInd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2.本中心工作人员向各投标供应商发出电子加密投标文件【开始解密】通知，由供应商按招标文件规定的时间内自行进行投标文件解密。</w:t>
      </w:r>
      <w:r>
        <w:rPr>
          <w:rFonts w:hint="eastAsia" w:hAnsi="宋体" w:cs="宋体"/>
          <w:snapToGrid w:val="0"/>
          <w:color w:val="000000" w:themeColor="text1"/>
          <w14:textFill>
            <w14:solidFill>
              <w14:schemeClr w14:val="tx1"/>
            </w14:solidFill>
          </w14:textFill>
        </w:rPr>
        <w:t>投标供应商未在规定时间内完成解密的，系统默认自动放弃。</w:t>
      </w:r>
    </w:p>
    <w:p>
      <w:pPr>
        <w:pStyle w:val="29"/>
        <w:keepNext w:val="0"/>
        <w:keepLines w:val="0"/>
        <w:pageBreakBefore w:val="0"/>
        <w:kinsoku/>
        <w:wordWrap/>
        <w:overflowPunct/>
        <w:topLinePunct w:val="0"/>
        <w:bidi w:val="0"/>
        <w:adjustRightInd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投标文件解密结束，开启报价文件。投标供应商在线制作投标文件时填写的报价金额与解密后“电子加密投标文件”中《开标一览表》填写的金额不一致的，以解密后“电子加密投标文件”中《开标一览表》填写的金额为准，投标供应商拒绝接受此调整的，按无效投标处理。</w:t>
      </w:r>
    </w:p>
    <w:p>
      <w:pPr>
        <w:pStyle w:val="29"/>
        <w:keepNext w:val="0"/>
        <w:keepLines w:val="0"/>
        <w:pageBreakBefore w:val="0"/>
        <w:kinsoku/>
        <w:wordWrap/>
        <w:overflowPunct/>
        <w:topLinePunct w:val="0"/>
        <w:bidi w:val="0"/>
        <w:adjustRightInd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4.进入资格文件审查环节，本中心或者招标采购单位依法对投标供应商的资格进行审查。</w:t>
      </w:r>
    </w:p>
    <w:p>
      <w:pPr>
        <w:pStyle w:val="29"/>
        <w:keepNext w:val="0"/>
        <w:keepLines w:val="0"/>
        <w:pageBreakBefore w:val="0"/>
        <w:kinsoku/>
        <w:wordWrap/>
        <w:overflowPunct/>
        <w:topLinePunct w:val="0"/>
        <w:bidi w:val="0"/>
        <w:adjustRightInd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5.开启资格审查通过的投标供应商的商务技术文件进入符合性审查及商务技术评审。</w:t>
      </w:r>
    </w:p>
    <w:p>
      <w:pPr>
        <w:pStyle w:val="29"/>
        <w:keepNext w:val="0"/>
        <w:keepLines w:val="0"/>
        <w:pageBreakBefore w:val="0"/>
        <w:kinsoku/>
        <w:wordWrap/>
        <w:overflowPunct/>
        <w:topLinePunct w:val="0"/>
        <w:bidi w:val="0"/>
        <w:adjustRightInd w:val="0"/>
        <w:snapToGrid w:val="0"/>
        <w:spacing w:line="360" w:lineRule="exact"/>
        <w:ind w:firstLine="421" w:firstLineChars="200"/>
        <w:textAlignment w:val="auto"/>
        <w:rPr>
          <w:rFonts w:hint="eastAsia" w:hAnsi="宋体" w:cs="宋体"/>
          <w:b/>
          <w:bCs/>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注：①当整个招标项目的投标人不足3家的不开标，本中心将按政府采购管理的有关规定处理。</w:t>
      </w:r>
    </w:p>
    <w:p>
      <w:pPr>
        <w:pStyle w:val="29"/>
        <w:keepNext w:val="0"/>
        <w:keepLines w:val="0"/>
        <w:pageBreakBefore w:val="0"/>
        <w:kinsoku/>
        <w:wordWrap/>
        <w:overflowPunct/>
        <w:topLinePunct w:val="0"/>
        <w:bidi w:val="0"/>
        <w:adjustRightInd w:val="0"/>
        <w:snapToGrid w:val="0"/>
        <w:spacing w:line="360" w:lineRule="exact"/>
        <w:ind w:firstLine="421" w:firstLineChars="200"/>
        <w:textAlignment w:val="auto"/>
        <w:rPr>
          <w:rFonts w:hint="eastAsia" w:hAnsi="宋体" w:cs="宋体"/>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②开标后,某分标投标人不足3家的，本中心将按政府采购管理的有关规定处理。</w:t>
      </w:r>
    </w:p>
    <w:p>
      <w:pPr>
        <w:pStyle w:val="29"/>
        <w:keepNext w:val="0"/>
        <w:keepLines w:val="0"/>
        <w:pageBreakBefore w:val="0"/>
        <w:kinsoku/>
        <w:wordWrap/>
        <w:overflowPunct/>
        <w:topLinePunct w:val="0"/>
        <w:bidi w:val="0"/>
        <w:snapToGrid w:val="0"/>
        <w:spacing w:line="360" w:lineRule="exact"/>
        <w:ind w:firstLine="421" w:firstLineChars="200"/>
        <w:textAlignment w:val="auto"/>
        <w:rPr>
          <w:rFonts w:hint="eastAsia" w:hAnsi="宋体" w:cs="宋体"/>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特别说明：如遇“</w:t>
      </w:r>
      <w:r>
        <w:rPr>
          <w:rFonts w:hint="eastAsia" w:hAnsi="宋体" w:cs="宋体"/>
          <w:b/>
          <w:bCs/>
          <w:color w:val="000000" w:themeColor="text1"/>
          <w:lang w:val="en"/>
          <w14:textFill>
            <w14:solidFill>
              <w14:schemeClr w14:val="tx1"/>
            </w14:solidFill>
          </w14:textFill>
        </w:rPr>
        <w:t>广西政府采购云平台</w:t>
      </w:r>
      <w:r>
        <w:rPr>
          <w:rFonts w:hint="eastAsia" w:hAnsi="宋体" w:cs="宋体"/>
          <w:b/>
          <w:bCs/>
          <w:color w:val="000000" w:themeColor="text1"/>
          <w14:textFill>
            <w14:solidFill>
              <w14:schemeClr w14:val="tx1"/>
            </w14:solidFill>
          </w14:textFill>
        </w:rPr>
        <w:t>”电子化开标或评审程序调整的，按调整后程序执行。</w:t>
      </w:r>
    </w:p>
    <w:p>
      <w:pPr>
        <w:pStyle w:val="29"/>
        <w:keepNext w:val="0"/>
        <w:keepLines w:val="0"/>
        <w:pageBreakBefore w:val="0"/>
        <w:kinsoku/>
        <w:wordWrap/>
        <w:overflowPunct/>
        <w:topLinePunct w:val="0"/>
        <w:bidi w:val="0"/>
        <w:snapToGrid w:val="0"/>
        <w:spacing w:line="360" w:lineRule="exact"/>
        <w:ind w:firstLine="421" w:firstLineChars="200"/>
        <w:textAlignment w:val="auto"/>
        <w:outlineLvl w:val="1"/>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五、</w:t>
      </w:r>
      <w:r>
        <w:rPr>
          <w:rFonts w:hint="eastAsia" w:hAnsi="宋体" w:cs="宋体"/>
          <w:b/>
          <w:bCs/>
          <w:color w:val="000000" w:themeColor="text1"/>
          <w14:textFill>
            <w14:solidFill>
              <w14:schemeClr w14:val="tx1"/>
            </w14:solidFill>
          </w14:textFill>
        </w:rPr>
        <w:t>资格审查</w:t>
      </w:r>
    </w:p>
    <w:p>
      <w:pPr>
        <w:pStyle w:val="29"/>
        <w:keepNext w:val="0"/>
        <w:keepLines w:val="0"/>
        <w:pageBreakBefore w:val="0"/>
        <w:kinsoku/>
        <w:wordWrap/>
        <w:overflowPunct/>
        <w:topLinePunct w:val="0"/>
        <w:bidi w:val="0"/>
        <w:snapToGrid w:val="0"/>
        <w:spacing w:line="360" w:lineRule="exact"/>
        <w:ind w:firstLine="420" w:firstLineChars="200"/>
        <w:textAlignment w:val="auto"/>
        <w:outlineLvl w:val="1"/>
        <w:rPr>
          <w:rFonts w:hint="eastAsia" w:hAnsi="宋体" w:cs="宋体"/>
          <w:b/>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采购人</w:t>
      </w:r>
      <w:r>
        <w:rPr>
          <w:rFonts w:hint="eastAsia" w:hAnsi="宋体" w:cs="宋体"/>
          <w:color w:val="000000" w:themeColor="text1"/>
          <w:spacing w:val="-4"/>
          <w14:textFill>
            <w14:solidFill>
              <w14:schemeClr w14:val="tx1"/>
            </w14:solidFill>
          </w14:textFill>
        </w:rPr>
        <w:t>或本中心工作人员</w:t>
      </w:r>
      <w:r>
        <w:rPr>
          <w:rFonts w:hint="eastAsia" w:hAnsi="宋体" w:cs="宋体"/>
          <w:color w:val="000000" w:themeColor="text1"/>
          <w14:textFill>
            <w14:solidFill>
              <w14:schemeClr w14:val="tx1"/>
            </w14:solidFill>
          </w14:textFill>
        </w:rPr>
        <w:t>依法对投标人的资格进行审查。合格投标人不足3家的，不得评标。</w:t>
      </w:r>
    </w:p>
    <w:p>
      <w:pPr>
        <w:pStyle w:val="29"/>
        <w:keepNext w:val="0"/>
        <w:keepLines w:val="0"/>
        <w:pageBreakBefore w:val="0"/>
        <w:kinsoku/>
        <w:wordWrap/>
        <w:overflowPunct/>
        <w:topLinePunct w:val="0"/>
        <w:bidi w:val="0"/>
        <w:snapToGrid w:val="0"/>
        <w:spacing w:line="360" w:lineRule="exact"/>
        <w:ind w:firstLine="421" w:firstLineChars="200"/>
        <w:textAlignment w:val="auto"/>
        <w:outlineLvl w:val="1"/>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六、评标</w:t>
      </w:r>
    </w:p>
    <w:p>
      <w:pPr>
        <w:pStyle w:val="29"/>
        <w:keepNext w:val="0"/>
        <w:keepLines w:val="0"/>
        <w:pageBreakBefore w:val="0"/>
        <w:kinsoku/>
        <w:wordWrap/>
        <w:overflowPunct/>
        <w:topLinePunct w:val="0"/>
        <w:bidi w:val="0"/>
        <w:snapToGrid w:val="0"/>
        <w:spacing w:line="360" w:lineRule="exact"/>
        <w:ind w:firstLine="421" w:firstLineChars="200"/>
        <w:textAlignment w:val="auto"/>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（一）组建评标委员会</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spacing w:val="-4"/>
          <w14:textFill>
            <w14:solidFill>
              <w14:schemeClr w14:val="tx1"/>
            </w14:solidFill>
          </w14:textFill>
        </w:rPr>
      </w:pPr>
      <w:r>
        <w:rPr>
          <w:rFonts w:hint="eastAsia" w:hAnsi="宋体" w:cs="宋体"/>
          <w:bCs/>
          <w:color w:val="000000" w:themeColor="text1"/>
          <w14:textFill>
            <w14:solidFill>
              <w14:schemeClr w14:val="tx1"/>
            </w14:solidFill>
          </w14:textFill>
        </w:rPr>
        <w:t>本招标采购项目的</w:t>
      </w:r>
      <w:r>
        <w:rPr>
          <w:rFonts w:hint="eastAsia" w:hAnsi="宋体" w:cs="宋体"/>
          <w:color w:val="000000" w:themeColor="text1"/>
          <w:spacing w:val="-4"/>
          <w14:textFill>
            <w14:solidFill>
              <w14:schemeClr w14:val="tx1"/>
            </w14:solidFill>
          </w14:textFill>
        </w:rPr>
        <w:t>评标委员会由采购人代表和评审专家组成，成员人数应当为5人以上单数，其中评审专家不得少于成员总数的三分之二。</w:t>
      </w:r>
    </w:p>
    <w:p>
      <w:pPr>
        <w:pStyle w:val="29"/>
        <w:keepNext w:val="0"/>
        <w:keepLines w:val="0"/>
        <w:pageBreakBefore w:val="0"/>
        <w:kinsoku/>
        <w:wordWrap/>
        <w:overflowPunct/>
        <w:topLinePunct w:val="0"/>
        <w:bidi w:val="0"/>
        <w:snapToGrid w:val="0"/>
        <w:spacing w:line="360" w:lineRule="exact"/>
        <w:ind w:firstLine="421" w:firstLineChars="200"/>
        <w:textAlignment w:val="auto"/>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（二）评标的方式</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本项目采用不公开方式评标，评标的依据为招标文件和投标文件。</w:t>
      </w:r>
    </w:p>
    <w:p>
      <w:pPr>
        <w:pStyle w:val="29"/>
        <w:keepNext w:val="0"/>
        <w:keepLines w:val="0"/>
        <w:pageBreakBefore w:val="0"/>
        <w:kinsoku/>
        <w:wordWrap/>
        <w:overflowPunct/>
        <w:topLinePunct w:val="0"/>
        <w:bidi w:val="0"/>
        <w:snapToGrid w:val="0"/>
        <w:spacing w:line="360" w:lineRule="exact"/>
        <w:ind w:firstLine="421" w:firstLineChars="200"/>
        <w:textAlignment w:val="auto"/>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（三）</w:t>
      </w:r>
      <w:r>
        <w:rPr>
          <w:rFonts w:hint="eastAsia" w:hAnsi="宋体" w:cs="宋体"/>
          <w:b/>
          <w:bCs/>
          <w:color w:val="000000" w:themeColor="text1"/>
          <w14:textFill>
            <w14:solidFill>
              <w14:schemeClr w14:val="tx1"/>
            </w14:solidFill>
          </w14:textFill>
        </w:rPr>
        <w:t>评标程序</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评标委员会仅对通过资格审查的投标文件进行后续评审，程序如下：</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（1）符合性审查：评标委员会审查投标文件是否实质性响应招标文件要求。未通过审查的投标，不进入详细评审。</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询标与澄清：在评标过程中，如评标委员会认为有必要，可通过广西政府采购云平台的电子询标功能，要求投标人对投标文件中的有关事项进行澄清或说明。投标人须在规定时间内，通过系统以加盖电子签章的正式文件进行回复。澄清或说明的内容不得改变投标文件的实质性内容。 投标人代表超过规定时间或者拒绝澄清，或者澄清的内容改变了投标文件实质性内容的，评标委员会有权否决其投标。</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（3）商务与技术评审：评标委员会依据评分标准，对通过符合性审查的投标进行详细评审。</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（4）报价评审</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
          <w14:textFill>
            <w14:solidFill>
              <w14:schemeClr w14:val="tx1"/>
            </w14:solidFill>
          </w14:textFill>
        </w:rPr>
        <w:t>a)</w:t>
      </w:r>
      <w:r>
        <w:rPr>
          <w:rFonts w:hint="eastAsia" w:ascii="宋体" w:hAnsi="宋体" w:cs="宋体"/>
          <w:color w:val="000000" w:themeColor="text1"/>
          <w:szCs w:val="21"/>
          <w14:textFill>
            <w14:solidFill>
              <w14:schemeClr w14:val="tx1"/>
            </w14:solidFill>
          </w14:textFill>
        </w:rPr>
        <w:t>报价符合性审查：评标委员会审查投标报价是否符合招标文件关于报价的格式、币种、范围（如报价是否完全响应并覆盖招标文件“采购需求”及“货物</w:t>
      </w:r>
      <w:r>
        <w:rPr>
          <w:rFonts w:hint="eastAsia" w:ascii="宋体" w:hAnsi="宋体" w:cs="宋体"/>
          <w:color w:val="000000" w:themeColor="text1"/>
          <w:szCs w:val="21"/>
          <w:lang w:val="e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服务</w:t>
      </w:r>
      <w:r>
        <w:rPr>
          <w:rFonts w:hint="eastAsia" w:ascii="宋体" w:hAnsi="宋体" w:cs="宋体"/>
          <w:color w:val="000000" w:themeColor="text1"/>
          <w:szCs w:val="21"/>
          <w:lang w:val="e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清单中所列全部内容、是否超采购预算或最高限价）等基础要求。</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
          <w14:textFill>
            <w14:solidFill>
              <w14:schemeClr w14:val="tx1"/>
            </w14:solidFill>
          </w14:textFill>
        </w:rPr>
        <w:t>b)</w:t>
      </w:r>
      <w:r>
        <w:rPr>
          <w:rFonts w:hint="eastAsia" w:ascii="宋体" w:hAnsi="宋体" w:cs="宋体"/>
          <w:color w:val="000000" w:themeColor="text1"/>
          <w:szCs w:val="21"/>
          <w14:textFill>
            <w14:solidFill>
              <w14:schemeClr w14:val="tx1"/>
            </w14:solidFill>
          </w14:textFill>
        </w:rPr>
        <w:t>异常低价甄别与说明：对通过报价符合性审查的投标，如触发下列情形，评标委员会应当启动异常低价审查程序：</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１）报价低于全部通过符合性审查投标人投标报价平均值50%的；</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２）报价低于通过符合性审查的次低报价投标人投标报价50%的；</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３）报价低于采购项目最高限价45%的；</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４）评标委员会基于专业判断，认为投标人报价过低，有可能影响产品质量或者不能诚信履约的其他情形。</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评标委员会通过电子询标方式，要求相关投标人在规定时间内提供有关书面说明及必要的证明材料。投标人不能提供书面说明、证明材料，或者提供的提供书面说明、证明材料不能证明其报价合理性的，评标委员会应将其作为无效投标处理。</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
          <w14:textFill>
            <w14:solidFill>
              <w14:schemeClr w14:val="tx1"/>
            </w14:solidFill>
          </w14:textFill>
        </w:rPr>
        <w:t>c)</w:t>
      </w:r>
      <w:r>
        <w:rPr>
          <w:rFonts w:hint="eastAsia" w:ascii="宋体" w:hAnsi="宋体" w:cs="宋体"/>
          <w:color w:val="000000" w:themeColor="text1"/>
          <w:szCs w:val="21"/>
          <w14:textFill>
            <w14:solidFill>
              <w14:schemeClr w14:val="tx1"/>
            </w14:solidFill>
          </w14:textFill>
        </w:rPr>
        <w:t>价格评分：对通过上述全部审查的有效报价，由系统按招标文件规定计算价格分。</w:t>
      </w:r>
    </w:p>
    <w:p>
      <w:pPr>
        <w:keepNext w:val="0"/>
        <w:keepLines w:val="0"/>
        <w:pageBreakBefore w:val="0"/>
        <w:kinsoku/>
        <w:wordWrap/>
        <w:overflowPunct/>
        <w:topLinePunct w:val="0"/>
        <w:bidi w:val="0"/>
        <w:snapToGrid w:val="0"/>
        <w:spacing w:line="360" w:lineRule="exact"/>
        <w:ind w:firstLine="420" w:firstLineChars="200"/>
        <w:textAlignment w:val="auto"/>
        <w:outlineLvl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（5）评分汇总与推荐：评标委员会在评审系统内完成评审后，系统将自动计算、汇总得分并生成排序结果。评标委员会据此集体审议推荐中标候选人，并对《评标报告》予以确认。</w:t>
      </w:r>
    </w:p>
    <w:p>
      <w:pPr>
        <w:pStyle w:val="29"/>
        <w:keepNext w:val="0"/>
        <w:keepLines w:val="0"/>
        <w:pageBreakBefore w:val="0"/>
        <w:kinsoku/>
        <w:wordWrap/>
        <w:overflowPunct/>
        <w:topLinePunct w:val="0"/>
        <w:bidi w:val="0"/>
        <w:snapToGrid w:val="0"/>
        <w:spacing w:line="360" w:lineRule="exact"/>
        <w:ind w:firstLine="421" w:firstLineChars="200"/>
        <w:textAlignment w:val="auto"/>
        <w:outlineLvl w:val="0"/>
        <w:rPr>
          <w:rFonts w:hint="eastAsia" w:hAnsi="宋体" w:cs="宋体"/>
          <w:b/>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（四）错</w:t>
      </w:r>
      <w:r>
        <w:rPr>
          <w:rFonts w:hint="eastAsia" w:hAnsi="宋体" w:cs="宋体"/>
          <w:b/>
          <w:color w:val="000000" w:themeColor="text1"/>
          <w14:textFill>
            <w14:solidFill>
              <w14:schemeClr w14:val="tx1"/>
            </w14:solidFill>
          </w14:textFill>
        </w:rPr>
        <w:t>误修正</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投标文件如果出现计算或表达上的错误，修正错误的原则如下：</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1.投标文件中开标一览表（报价表）内容与投标文件中相应内容不一致的，以开标一览表（报价表）为准；</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2.大写金额和小写金额不一致的，以大写金额为准；</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3.单价金额小数点或者百分比有明显错位的，以开标一览表的总价为准，并修改单价；</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4.总价金额与按单价汇总金额不一致的，以单价金额计算结果为准。</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5.对不同文字文本投标文件的解释发生异议的，以中文文本为准。</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同时出现两种以上不一致的，按照前款规定的顺序修正。</w:t>
      </w:r>
    </w:p>
    <w:p>
      <w:pPr>
        <w:pStyle w:val="29"/>
        <w:keepNext w:val="0"/>
        <w:keepLines w:val="0"/>
        <w:pageBreakBefore w:val="0"/>
        <w:kinsoku/>
        <w:wordWrap/>
        <w:overflowPunct/>
        <w:topLinePunct w:val="0"/>
        <w:bidi w:val="0"/>
        <w:snapToGrid w:val="0"/>
        <w:spacing w:line="360" w:lineRule="exact"/>
        <w:ind w:firstLine="421" w:firstLineChars="200"/>
        <w:textAlignment w:val="auto"/>
        <w:rPr>
          <w:rFonts w:hint="eastAsia" w:hAnsi="宋体" w:cs="宋体"/>
          <w:b/>
          <w:bCs/>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按上述修正错误的原则及方法调整或修正投标文件的投标报价，投标人同意并</w:t>
      </w:r>
      <w:r>
        <w:rPr>
          <w:rFonts w:hint="eastAsia" w:hAnsi="宋体" w:cs="宋体"/>
          <w:b/>
          <w:bCs/>
          <w:color w:val="000000" w:themeColor="text1"/>
          <w:lang w:val="en"/>
          <w14:textFill>
            <w14:solidFill>
              <w14:schemeClr w14:val="tx1"/>
            </w14:solidFill>
          </w14:textFill>
        </w:rPr>
        <w:t>签字或签章</w:t>
      </w:r>
      <w:r>
        <w:rPr>
          <w:rFonts w:hint="eastAsia" w:hAnsi="宋体" w:cs="宋体"/>
          <w:b/>
          <w:bCs/>
          <w:color w:val="000000" w:themeColor="text1"/>
          <w14:textFill>
            <w14:solidFill>
              <w14:schemeClr w14:val="tx1"/>
            </w14:solidFill>
          </w14:textFill>
        </w:rPr>
        <w:t>确认后，调整后的投标报价对投标人具有约束作用。如果投标人不接受修正后的报价，则其投标将作为无效投标处理。</w:t>
      </w:r>
    </w:p>
    <w:p>
      <w:pPr>
        <w:pStyle w:val="29"/>
        <w:keepNext w:val="0"/>
        <w:keepLines w:val="0"/>
        <w:pageBreakBefore w:val="0"/>
        <w:tabs>
          <w:tab w:val="left" w:pos="630"/>
        </w:tabs>
        <w:kinsoku/>
        <w:wordWrap/>
        <w:overflowPunct/>
        <w:topLinePunct w:val="0"/>
        <w:bidi w:val="0"/>
        <w:snapToGrid w:val="0"/>
        <w:spacing w:line="360" w:lineRule="exact"/>
        <w:ind w:firstLine="421" w:firstLineChars="200"/>
        <w:textAlignment w:val="auto"/>
        <w:outlineLvl w:val="0"/>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（五）评标原则和评标方法</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2.评标方法。本项目评标方法是</w:t>
      </w:r>
      <w:r>
        <w:rPr>
          <w:rFonts w:hint="eastAsia" w:hAnsi="宋体" w:cs="宋体"/>
          <w:b/>
          <w:color w:val="000000" w:themeColor="text1"/>
          <w:u w:val="single"/>
          <w14:textFill>
            <w14:solidFill>
              <w14:schemeClr w14:val="tx1"/>
            </w14:solidFill>
          </w14:textFill>
        </w:rPr>
        <w:t>综合评分法</w:t>
      </w:r>
      <w:r>
        <w:rPr>
          <w:rFonts w:hint="eastAsia" w:hAnsi="宋体" w:cs="宋体"/>
          <w:color w:val="000000" w:themeColor="text1"/>
          <w14:textFill>
            <w14:solidFill>
              <w14:schemeClr w14:val="tx1"/>
            </w14:solidFill>
          </w14:textFill>
        </w:rPr>
        <w:t>，具体评标内容及评分标准等详见第四章：</w:t>
      </w:r>
      <w:r>
        <w:rPr>
          <w:rFonts w:hint="eastAsia" w:hAnsi="宋体" w:cs="宋体"/>
          <w:color w:val="000000" w:themeColor="text1"/>
          <w:lang w:val="en"/>
          <w14:textFill>
            <w14:solidFill>
              <w14:schemeClr w14:val="tx1"/>
            </w14:solidFill>
          </w14:textFill>
        </w:rPr>
        <w:t>评标方法及评分标准</w:t>
      </w:r>
      <w:r>
        <w:rPr>
          <w:rFonts w:hint="eastAsia" w:hAnsi="宋体" w:cs="宋体"/>
          <w:color w:val="000000" w:themeColor="text1"/>
          <w14:textFill>
            <w14:solidFill>
              <w14:schemeClr w14:val="tx1"/>
            </w14:solidFill>
          </w14:textFill>
        </w:rPr>
        <w:t>。</w:t>
      </w:r>
    </w:p>
    <w:p>
      <w:pPr>
        <w:pStyle w:val="29"/>
        <w:keepNext w:val="0"/>
        <w:keepLines w:val="0"/>
        <w:pageBreakBefore w:val="0"/>
        <w:kinsoku/>
        <w:wordWrap/>
        <w:overflowPunct/>
        <w:topLinePunct w:val="0"/>
        <w:bidi w:val="0"/>
        <w:snapToGrid w:val="0"/>
        <w:spacing w:line="360" w:lineRule="exact"/>
        <w:ind w:firstLine="421" w:firstLineChars="200"/>
        <w:textAlignment w:val="auto"/>
        <w:outlineLvl w:val="0"/>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（六）评标过程的监控</w:t>
      </w:r>
    </w:p>
    <w:p>
      <w:pPr>
        <w:pStyle w:val="29"/>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本项目评标过程实行全程录音、录像监控，投标人在评标过程中所进行的试图影响评标结果的不公正活动，可能导致其投标被拒绝。</w:t>
      </w:r>
    </w:p>
    <w:p>
      <w:pPr>
        <w:pStyle w:val="29"/>
        <w:keepNext w:val="0"/>
        <w:keepLines w:val="0"/>
        <w:pageBreakBefore w:val="0"/>
        <w:kinsoku/>
        <w:wordWrap/>
        <w:overflowPunct/>
        <w:topLinePunct w:val="0"/>
        <w:bidi w:val="0"/>
        <w:snapToGrid w:val="0"/>
        <w:spacing w:line="360" w:lineRule="exact"/>
        <w:ind w:firstLine="421" w:firstLineChars="200"/>
        <w:textAlignment w:val="auto"/>
        <w:outlineLvl w:val="1"/>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七、评标结果</w:t>
      </w:r>
    </w:p>
    <w:p>
      <w:pPr>
        <w:pStyle w:val="29"/>
        <w:keepNext w:val="0"/>
        <w:keepLines w:val="0"/>
        <w:pageBreakBefore w:val="0"/>
        <w:kinsoku/>
        <w:wordWrap/>
        <w:overflowPunct/>
        <w:topLinePunct w:val="0"/>
        <w:bidi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（一）本中心将在评标结束后2个工作日内将评标报告送采购人，采购人在5个工作日内按照评标报告中推荐的中标候选供应商顺序确定中标供应商。</w:t>
      </w:r>
    </w:p>
    <w:p>
      <w:pPr>
        <w:pStyle w:val="29"/>
        <w:keepNext w:val="0"/>
        <w:keepLines w:val="0"/>
        <w:pageBreakBefore w:val="0"/>
        <w:kinsoku/>
        <w:wordWrap/>
        <w:overflowPunct/>
        <w:topLinePunct w:val="0"/>
        <w:bidi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（二）中标供应商确定后，本中心在中国政府采购网、广西财政网、广西壮族自治区政府采购中心网站发布中标结果公告。</w:t>
      </w:r>
    </w:p>
    <w:p>
      <w:pPr>
        <w:pStyle w:val="29"/>
        <w:keepNext w:val="0"/>
        <w:keepLines w:val="0"/>
        <w:pageBreakBefore w:val="0"/>
        <w:kinsoku/>
        <w:wordWrap/>
        <w:overflowPunct/>
        <w:topLinePunct w:val="0"/>
        <w:bidi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（三）在发布中标结果公告的同时，本中心向中标供应商发出中标通知书。</w:t>
      </w:r>
    </w:p>
    <w:p>
      <w:pPr>
        <w:pStyle w:val="29"/>
        <w:keepNext w:val="0"/>
        <w:keepLines w:val="0"/>
        <w:pageBreakBefore w:val="0"/>
        <w:kinsoku/>
        <w:wordWrap/>
        <w:overflowPunct/>
        <w:topLinePunct w:val="0"/>
        <w:bidi w:val="0"/>
        <w:snapToGrid w:val="0"/>
        <w:spacing w:line="360" w:lineRule="exact"/>
        <w:ind w:firstLine="421" w:firstLineChars="200"/>
        <w:textAlignment w:val="auto"/>
        <w:outlineLvl w:val="1"/>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八、签订合同</w:t>
      </w:r>
    </w:p>
    <w:p>
      <w:pPr>
        <w:pStyle w:val="29"/>
        <w:keepNext w:val="0"/>
        <w:keepLines w:val="0"/>
        <w:pageBreakBefore w:val="0"/>
        <w:kinsoku/>
        <w:wordWrap/>
        <w:overflowPunct/>
        <w:topLinePunct w:val="0"/>
        <w:bidi w:val="0"/>
        <w:snapToGrid w:val="0"/>
        <w:spacing w:line="360" w:lineRule="exact"/>
        <w:ind w:firstLine="421" w:firstLineChars="200"/>
        <w:textAlignment w:val="auto"/>
        <w:outlineLvl w:val="1"/>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（一）合同授予标准</w:t>
      </w:r>
    </w:p>
    <w:p>
      <w:pPr>
        <w:pStyle w:val="29"/>
        <w:keepNext w:val="0"/>
        <w:keepLines w:val="0"/>
        <w:pageBreakBefore w:val="0"/>
        <w:kinsoku/>
        <w:wordWrap/>
        <w:overflowPunct/>
        <w:topLinePunct w:val="0"/>
        <w:bidi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合同将授予被确定投标文件满足招标文件全部实质性要求，具备履行合同能力，评审得分最高，综合评分排名第一的供应商。</w:t>
      </w:r>
    </w:p>
    <w:p>
      <w:pPr>
        <w:pStyle w:val="29"/>
        <w:keepNext w:val="0"/>
        <w:keepLines w:val="0"/>
        <w:pageBreakBefore w:val="0"/>
        <w:kinsoku/>
        <w:wordWrap/>
        <w:overflowPunct/>
        <w:topLinePunct w:val="0"/>
        <w:bidi w:val="0"/>
        <w:snapToGrid w:val="0"/>
        <w:spacing w:line="360" w:lineRule="exact"/>
        <w:ind w:firstLine="421" w:firstLineChars="200"/>
        <w:textAlignment w:val="auto"/>
        <w:outlineLvl w:val="1"/>
        <w:rPr>
          <w:rFonts w:hint="eastAsia" w:hAnsi="宋体" w:cs="宋体"/>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（二）签订合同</w:t>
      </w:r>
    </w:p>
    <w:p>
      <w:pPr>
        <w:pStyle w:val="29"/>
        <w:keepNext w:val="0"/>
        <w:keepLines w:val="0"/>
        <w:pageBreakBefore w:val="0"/>
        <w:kinsoku/>
        <w:wordWrap/>
        <w:overflowPunct/>
        <w:topLinePunct w:val="0"/>
        <w:bidi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（1）投标人接到中标通知书后，应按中标通知书规定的时间、地点与采购人签订合同。中标人无正当理由不得放弃中标。</w:t>
      </w:r>
    </w:p>
    <w:p>
      <w:pPr>
        <w:pStyle w:val="29"/>
        <w:keepNext w:val="0"/>
        <w:keepLines w:val="0"/>
        <w:pageBreakBefore w:val="0"/>
        <w:kinsoku/>
        <w:wordWrap/>
        <w:overflowPunct/>
        <w:topLinePunct w:val="0"/>
        <w:bidi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（2）如中标供应商不按中标通知书的规定签订合同，则按中标供应商违约处理，本中心将没收中标供应商投标的全部投标保证金。</w:t>
      </w:r>
    </w:p>
    <w:p>
      <w:pPr>
        <w:pStyle w:val="29"/>
        <w:keepNext w:val="0"/>
        <w:keepLines w:val="0"/>
        <w:pageBreakBefore w:val="0"/>
        <w:kinsoku/>
        <w:wordWrap/>
        <w:overflowPunct/>
        <w:topLinePunct w:val="0"/>
        <w:bidi w:val="0"/>
        <w:spacing w:line="360" w:lineRule="exact"/>
        <w:ind w:firstLine="420" w:firstLineChars="200"/>
        <w:textAlignment w:val="auto"/>
        <w:rPr>
          <w:rFonts w:hint="eastAsia" w:hAnsi="宋体" w:cs="宋体"/>
          <w:b/>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中标供应商拒绝与采购人签订合同或因不可抗力或者自身原因不能履行采购合同的，采购人可以与中标供应商之后排名第一的中标候选供应商签订采购合同，以此类推,也可以重新招标。中标供应商放弃中标项目，拒绝与采购人签订合同的，其投标保证金将不予退还，并上缴国库，给采购人造成损失的，还应当赔偿损失，并作为不良行为记录在案。</w:t>
      </w:r>
    </w:p>
    <w:p>
      <w:pPr>
        <w:pStyle w:val="29"/>
        <w:keepNext w:val="0"/>
        <w:keepLines w:val="0"/>
        <w:pageBreakBefore w:val="0"/>
        <w:kinsoku/>
        <w:wordWrap/>
        <w:overflowPunct/>
        <w:topLinePunct w:val="0"/>
        <w:bidi w:val="0"/>
        <w:spacing w:line="360" w:lineRule="exact"/>
        <w:ind w:firstLine="421" w:firstLineChars="200"/>
        <w:textAlignment w:val="auto"/>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九、其他事项</w:t>
      </w:r>
    </w:p>
    <w:p>
      <w:pPr>
        <w:pStyle w:val="29"/>
        <w:keepNext w:val="0"/>
        <w:keepLines w:val="0"/>
        <w:pageBreakBefore w:val="0"/>
        <w:kinsoku/>
        <w:wordWrap/>
        <w:overflowPunct/>
        <w:topLinePunct w:val="0"/>
        <w:bidi w:val="0"/>
        <w:spacing w:line="360" w:lineRule="exact"/>
        <w:ind w:firstLine="421" w:firstLineChars="200"/>
        <w:textAlignment w:val="auto"/>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（1）解释权：</w:t>
      </w:r>
      <w:r>
        <w:rPr>
          <w:rFonts w:hint="eastAsia" w:hAnsi="宋体" w:cs="宋体"/>
          <w:color w:val="000000" w:themeColor="text1"/>
          <w:spacing w:val="-4"/>
          <w14:textFill>
            <w14:solidFill>
              <w14:schemeClr w14:val="tx1"/>
            </w14:solidFill>
          </w14:textFill>
        </w:rPr>
        <w:t>本招标文件解释权属本中心。</w:t>
      </w:r>
    </w:p>
    <w:p>
      <w:pPr>
        <w:pStyle w:val="29"/>
        <w:keepNext w:val="0"/>
        <w:keepLines w:val="0"/>
        <w:pageBreakBefore w:val="0"/>
        <w:kinsoku/>
        <w:wordWrap/>
        <w:overflowPunct/>
        <w:topLinePunct w:val="0"/>
        <w:bidi w:val="0"/>
        <w:spacing w:line="360" w:lineRule="exact"/>
        <w:ind w:firstLine="421" w:firstLineChars="200"/>
        <w:textAlignment w:val="auto"/>
        <w:rPr>
          <w:rFonts w:hint="eastAsia" w:hAnsi="宋体" w:cs="宋体"/>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（2）有关事宜</w:t>
      </w:r>
    </w:p>
    <w:p>
      <w:pPr>
        <w:pStyle w:val="29"/>
        <w:keepNext w:val="0"/>
        <w:keepLines w:val="0"/>
        <w:pageBreakBefore w:val="0"/>
        <w:kinsoku/>
        <w:wordWrap/>
        <w:overflowPunct/>
        <w:topLinePunct w:val="0"/>
        <w:bidi w:val="0"/>
        <w:spacing w:line="360" w:lineRule="exact"/>
        <w:ind w:firstLine="420" w:firstLineChars="200"/>
        <w:textAlignment w:val="auto"/>
        <w:rPr>
          <w:rFonts w:hint="eastAsia" w:hAnsi="宋体" w:cs="宋体"/>
          <w:color w:val="000000" w:themeColor="text1"/>
          <w14:textFill>
            <w14:solidFill>
              <w14:schemeClr w14:val="tx1"/>
            </w14:solidFill>
          </w14:textFill>
        </w:rPr>
      </w:pPr>
      <w:bookmarkStart w:id="20" w:name="_Toc254970689"/>
      <w:bookmarkStart w:id="21" w:name="_Toc254970548"/>
      <w:r>
        <w:rPr>
          <w:rFonts w:hint="eastAsia" w:hAnsi="宋体" w:cs="宋体"/>
          <w:color w:val="000000" w:themeColor="text1"/>
          <w14:textFill>
            <w14:solidFill>
              <w14:schemeClr w14:val="tx1"/>
            </w14:solidFill>
          </w14:textFill>
        </w:rPr>
        <w:t>所有与本招标文件有关的函件请按下列通讯地址联系：</w:t>
      </w:r>
    </w:p>
    <w:p>
      <w:pPr>
        <w:pStyle w:val="29"/>
        <w:keepNext w:val="0"/>
        <w:keepLines w:val="0"/>
        <w:pageBreakBefore w:val="0"/>
        <w:tabs>
          <w:tab w:val="left" w:pos="1990"/>
        </w:tabs>
        <w:kinsoku/>
        <w:wordWrap/>
        <w:overflowPunct/>
        <w:topLinePunct w:val="0"/>
        <w:bidi w:val="0"/>
        <w:spacing w:line="360" w:lineRule="exact"/>
        <w:ind w:firstLine="420" w:firstLineChars="200"/>
        <w:textAlignment w:val="auto"/>
        <w:rPr>
          <w:rFonts w:hint="eastAsia" w:hAnsi="宋体" w:cs="宋体"/>
          <w:color w:val="000000" w:themeColor="text1"/>
          <w:u w:val="single"/>
          <w14:textFill>
            <w14:solidFill>
              <w14:schemeClr w14:val="tx1"/>
            </w14:solidFill>
          </w14:textFill>
        </w:rPr>
      </w:pPr>
      <w:r>
        <w:rPr>
          <w:rFonts w:hint="eastAsia" w:hAnsi="宋体" w:cs="宋体"/>
          <w:color w:val="000000" w:themeColor="text1"/>
          <w14:textFill>
            <w14:solidFill>
              <w14:schemeClr w14:val="tx1"/>
            </w14:solidFill>
          </w14:textFill>
        </w:rPr>
        <w:t>邮政编码：530022</w:t>
      </w:r>
    </w:p>
    <w:p>
      <w:pPr>
        <w:pStyle w:val="29"/>
        <w:keepNext w:val="0"/>
        <w:keepLines w:val="0"/>
        <w:pageBreakBefore w:val="0"/>
        <w:tabs>
          <w:tab w:val="left" w:pos="1990"/>
        </w:tabs>
        <w:kinsoku/>
        <w:wordWrap/>
        <w:overflowPunct/>
        <w:topLinePunct w:val="0"/>
        <w:bidi w:val="0"/>
        <w:spacing w:line="360" w:lineRule="exact"/>
        <w:ind w:firstLine="420" w:firstLineChars="200"/>
        <w:textAlignment w:val="auto"/>
        <w:rPr>
          <w:rFonts w:hint="eastAsia" w:hAnsi="宋体" w:cs="宋体"/>
          <w:color w:val="000000" w:themeColor="text1"/>
          <w:spacing w:val="-4"/>
          <w:lang w:val="en"/>
          <w14:textFill>
            <w14:solidFill>
              <w14:schemeClr w14:val="tx1"/>
            </w14:solidFill>
          </w14:textFill>
        </w:rPr>
      </w:pPr>
      <w:r>
        <w:rPr>
          <w:rFonts w:hint="eastAsia" w:hAnsi="宋体" w:cs="宋体"/>
          <w:color w:val="000000" w:themeColor="text1"/>
          <w14:textFill>
            <w14:solidFill>
              <w14:schemeClr w14:val="tx1"/>
            </w14:solidFill>
          </w14:textFill>
        </w:rPr>
        <w:t xml:space="preserve">通讯地址：广西南宁市星湖路22号 </w:t>
      </w:r>
    </w:p>
    <w:p>
      <w:pPr>
        <w:pStyle w:val="29"/>
        <w:keepNext w:val="0"/>
        <w:keepLines w:val="0"/>
        <w:pageBreakBefore w:val="0"/>
        <w:kinsoku/>
        <w:wordWrap/>
        <w:overflowPunct/>
        <w:topLinePunct w:val="0"/>
        <w:bidi w:val="0"/>
        <w:spacing w:line="360" w:lineRule="exact"/>
        <w:ind w:firstLine="420" w:firstLineChars="200"/>
        <w:textAlignment w:val="auto"/>
        <w:rPr>
          <w:rFonts w:hint="eastAsia" w:hAnsi="宋体" w:eastAsia="宋体" w:cs="宋体"/>
          <w:color w:val="000000" w:themeColor="text1"/>
          <w:lang w:eastAsia="zh-CN"/>
          <w14:textFill>
            <w14:solidFill>
              <w14:schemeClr w14:val="tx1"/>
            </w14:solidFill>
          </w14:textFill>
        </w:rPr>
      </w:pPr>
      <w:r>
        <w:rPr>
          <w:rFonts w:hint="eastAsia" w:hAnsi="宋体" w:cs="宋体"/>
          <w:color w:val="000000" w:themeColor="text1"/>
          <w14:textFill>
            <w14:solidFill>
              <w14:schemeClr w14:val="tx1"/>
            </w14:solidFill>
          </w14:textFill>
        </w:rPr>
        <w:t>电    话： 0771-860034</w:t>
      </w:r>
      <w:r>
        <w:rPr>
          <w:rFonts w:hint="eastAsia" w:hAnsi="宋体" w:cs="宋体"/>
          <w:color w:val="000000" w:themeColor="text1"/>
          <w:lang w:val="en-US" w:eastAsia="zh-CN"/>
          <w14:textFill>
            <w14:solidFill>
              <w14:schemeClr w14:val="tx1"/>
            </w14:solidFill>
          </w14:textFill>
        </w:rPr>
        <w:t>9</w:t>
      </w:r>
    </w:p>
    <w:p>
      <w:pPr>
        <w:pStyle w:val="29"/>
        <w:spacing w:line="360" w:lineRule="exact"/>
        <w:ind w:firstLine="824"/>
        <w:rPr>
          <w:color w:val="000000" w:themeColor="text1"/>
          <w14:textFill>
            <w14:solidFill>
              <w14:schemeClr w14:val="tx1"/>
            </w14:solidFill>
          </w14:textFill>
        </w:rPr>
      </w:pPr>
    </w:p>
    <w:p>
      <w:pPr>
        <w:pStyle w:val="29"/>
        <w:snapToGrid w:val="0"/>
        <w:spacing w:before="120" w:after="120"/>
        <w:ind w:firstLine="883" w:firstLineChars="200"/>
        <w:jc w:val="center"/>
        <w:outlineLvl w:val="0"/>
        <w:rPr>
          <w:rFonts w:ascii="黑体" w:eastAsia="黑体"/>
          <w:b/>
          <w:color w:val="000000" w:themeColor="text1"/>
          <w:sz w:val="44"/>
          <w:szCs w:val="44"/>
          <w14:textFill>
            <w14:solidFill>
              <w14:schemeClr w14:val="tx1"/>
            </w14:solidFill>
          </w14:textFill>
        </w:rPr>
      </w:pPr>
      <w:r>
        <w:rPr>
          <w:rFonts w:hint="eastAsia" w:ascii="黑体" w:eastAsia="黑体"/>
          <w:b/>
          <w:color w:val="000000" w:themeColor="text1"/>
          <w:sz w:val="44"/>
          <w:szCs w:val="44"/>
          <w14:textFill>
            <w14:solidFill>
              <w14:schemeClr w14:val="tx1"/>
            </w14:solidFill>
          </w14:textFill>
        </w:rPr>
        <w:br w:type="page"/>
      </w:r>
    </w:p>
    <w:p>
      <w:pPr>
        <w:pStyle w:val="29"/>
        <w:snapToGrid w:val="0"/>
        <w:spacing w:before="120" w:after="120"/>
        <w:jc w:val="center"/>
        <w:outlineLvl w:val="0"/>
        <w:rPr>
          <w:rFonts w:ascii="黑体" w:eastAsia="黑体"/>
          <w:b/>
          <w:color w:val="000000" w:themeColor="text1"/>
          <w:sz w:val="32"/>
          <w:szCs w:val="32"/>
          <w14:textFill>
            <w14:solidFill>
              <w14:schemeClr w14:val="tx1"/>
            </w14:solidFill>
          </w14:textFill>
        </w:rPr>
      </w:pPr>
    </w:p>
    <w:p>
      <w:pPr>
        <w:pStyle w:val="29"/>
        <w:snapToGrid w:val="0"/>
        <w:spacing w:before="120" w:after="120"/>
        <w:jc w:val="center"/>
        <w:outlineLvl w:val="0"/>
        <w:rPr>
          <w:rFonts w:ascii="黑体" w:eastAsia="黑体"/>
          <w:b/>
          <w:color w:val="000000" w:themeColor="text1"/>
          <w:sz w:val="44"/>
          <w:szCs w:val="44"/>
          <w14:textFill>
            <w14:solidFill>
              <w14:schemeClr w14:val="tx1"/>
            </w14:solidFill>
          </w14:textFill>
        </w:rPr>
      </w:pPr>
    </w:p>
    <w:p>
      <w:pPr>
        <w:pStyle w:val="29"/>
        <w:snapToGrid w:val="0"/>
        <w:spacing w:before="120" w:after="120"/>
        <w:jc w:val="center"/>
        <w:outlineLvl w:val="0"/>
        <w:rPr>
          <w:rFonts w:ascii="黑体" w:eastAsia="黑体"/>
          <w:b/>
          <w:color w:val="000000" w:themeColor="text1"/>
          <w:sz w:val="44"/>
          <w:szCs w:val="44"/>
          <w14:textFill>
            <w14:solidFill>
              <w14:schemeClr w14:val="tx1"/>
            </w14:solidFill>
          </w14:textFill>
        </w:rPr>
      </w:pPr>
    </w:p>
    <w:p>
      <w:pPr>
        <w:pStyle w:val="29"/>
        <w:snapToGrid w:val="0"/>
        <w:spacing w:before="120" w:after="120"/>
        <w:jc w:val="center"/>
        <w:outlineLvl w:val="0"/>
        <w:rPr>
          <w:rFonts w:ascii="黑体" w:eastAsia="黑体"/>
          <w:b/>
          <w:color w:val="000000" w:themeColor="text1"/>
          <w:sz w:val="44"/>
          <w:szCs w:val="44"/>
          <w14:textFill>
            <w14:solidFill>
              <w14:schemeClr w14:val="tx1"/>
            </w14:solidFill>
          </w14:textFill>
        </w:rPr>
      </w:pPr>
    </w:p>
    <w:p>
      <w:pPr>
        <w:pStyle w:val="29"/>
        <w:snapToGrid w:val="0"/>
        <w:spacing w:before="120" w:after="120"/>
        <w:jc w:val="center"/>
        <w:outlineLvl w:val="0"/>
        <w:rPr>
          <w:rFonts w:ascii="黑体" w:eastAsia="黑体"/>
          <w:b/>
          <w:color w:val="000000" w:themeColor="text1"/>
          <w:sz w:val="44"/>
          <w:szCs w:val="44"/>
          <w14:textFill>
            <w14:solidFill>
              <w14:schemeClr w14:val="tx1"/>
            </w14:solidFill>
          </w14:textFill>
        </w:rPr>
      </w:pPr>
    </w:p>
    <w:p>
      <w:pPr>
        <w:pStyle w:val="29"/>
        <w:snapToGrid w:val="0"/>
        <w:spacing w:before="120" w:after="120"/>
        <w:jc w:val="center"/>
        <w:outlineLvl w:val="0"/>
        <w:rPr>
          <w:rFonts w:ascii="黑体" w:eastAsia="黑体"/>
          <w:b/>
          <w:color w:val="000000" w:themeColor="text1"/>
          <w:sz w:val="44"/>
          <w:szCs w:val="44"/>
          <w14:textFill>
            <w14:solidFill>
              <w14:schemeClr w14:val="tx1"/>
            </w14:solidFill>
          </w14:textFill>
        </w:rPr>
      </w:pPr>
    </w:p>
    <w:p>
      <w:pPr>
        <w:pStyle w:val="29"/>
        <w:snapToGrid w:val="0"/>
        <w:spacing w:before="120" w:after="120"/>
        <w:jc w:val="center"/>
        <w:outlineLvl w:val="0"/>
        <w:rPr>
          <w:rFonts w:ascii="黑体" w:eastAsia="黑体"/>
          <w:b/>
          <w:color w:val="000000" w:themeColor="text1"/>
          <w:sz w:val="44"/>
          <w:szCs w:val="44"/>
          <w14:textFill>
            <w14:solidFill>
              <w14:schemeClr w14:val="tx1"/>
            </w14:solidFill>
          </w14:textFill>
        </w:rPr>
      </w:pPr>
    </w:p>
    <w:p>
      <w:pPr>
        <w:pStyle w:val="6"/>
        <w:rPr>
          <w:color w:val="000000" w:themeColor="text1"/>
          <w14:textFill>
            <w14:solidFill>
              <w14:schemeClr w14:val="tx1"/>
            </w14:solidFill>
          </w14:textFill>
        </w:rPr>
      </w:pPr>
    </w:p>
    <w:bookmarkEnd w:id="20"/>
    <w:bookmarkEnd w:id="21"/>
    <w:p>
      <w:pPr>
        <w:pStyle w:val="29"/>
        <w:snapToGrid w:val="0"/>
        <w:spacing w:before="120" w:after="120"/>
        <w:jc w:val="center"/>
        <w:outlineLvl w:val="0"/>
        <w:rPr>
          <w:rFonts w:ascii="黑体" w:eastAsia="黑体"/>
          <w:b/>
          <w:color w:val="000000" w:themeColor="text1"/>
          <w:sz w:val="44"/>
          <w:szCs w:val="44"/>
          <w14:textFill>
            <w14:solidFill>
              <w14:schemeClr w14:val="tx1"/>
            </w14:solidFill>
          </w14:textFill>
        </w:rPr>
      </w:pPr>
      <w:bookmarkStart w:id="22" w:name="_Toc1436284484_WPSOffice_Level1"/>
      <w:r>
        <w:rPr>
          <w:rFonts w:hint="eastAsia" w:hAnsi="宋体" w:cs="宋体"/>
          <w:b/>
          <w:color w:val="000000" w:themeColor="text1"/>
          <w:sz w:val="44"/>
          <w:szCs w:val="44"/>
          <w14:textFill>
            <w14:solidFill>
              <w14:schemeClr w14:val="tx1"/>
            </w14:solidFill>
          </w14:textFill>
        </w:rPr>
        <w:t>第四章  评标方法及评分标准</w:t>
      </w:r>
      <w:bookmarkEnd w:id="22"/>
    </w:p>
    <w:p>
      <w:pPr>
        <w:spacing w:line="340" w:lineRule="exact"/>
        <w:ind w:firstLine="420" w:firstLineChars="200"/>
        <w:jc w:val="center"/>
        <w:rPr>
          <w:bCs/>
          <w:color w:val="000000" w:themeColor="text1"/>
          <w14:textFill>
            <w14:solidFill>
              <w14:schemeClr w14:val="tx1"/>
            </w14:solidFill>
          </w14:textFill>
        </w:rPr>
      </w:pPr>
      <w:r>
        <w:rPr>
          <w:bCs/>
          <w:color w:val="000000" w:themeColor="text1"/>
          <w14:textFill>
            <w14:solidFill>
              <w14:schemeClr w14:val="tx1"/>
            </w14:solidFill>
          </w14:textFill>
        </w:rPr>
        <w:br w:type="page"/>
      </w:r>
    </w:p>
    <w:p>
      <w:pPr>
        <w:pageBreakBefore w:val="0"/>
        <w:kinsoku/>
        <w:wordWrap/>
        <w:overflowPunct/>
        <w:topLinePunct w:val="0"/>
        <w:autoSpaceDE/>
        <w:autoSpaceDN/>
        <w:bidi w:val="0"/>
        <w:spacing w:line="380" w:lineRule="exact"/>
        <w:jc w:val="center"/>
        <w:textAlignment w:val="auto"/>
        <w:rPr>
          <w:rFonts w:hint="eastAsia" w:ascii="宋体" w:hAnsi="宋体" w:eastAsia="宋体" w:cs="宋体"/>
          <w:b/>
          <w:color w:val="000000" w:themeColor="text1"/>
          <w:sz w:val="21"/>
          <w:szCs w:val="21"/>
          <w:highlight w:val="none"/>
          <w:shd w:val="clear" w:color="auto" w:fill="auto"/>
          <w:lang w:val="en" w:eastAsia="zh-CN"/>
          <w14:textFill>
            <w14:solidFill>
              <w14:schemeClr w14:val="tx1"/>
            </w14:solidFill>
          </w14:textFill>
        </w:rPr>
      </w:pPr>
      <w:bookmarkStart w:id="23" w:name="OLE_LINK4"/>
      <w:r>
        <w:rPr>
          <w:rFonts w:hint="eastAsia" w:ascii="宋体" w:hAnsi="宋体" w:eastAsia="宋体" w:cs="宋体"/>
          <w:b/>
          <w:color w:val="000000" w:themeColor="text1"/>
          <w:sz w:val="28"/>
          <w:szCs w:val="28"/>
          <w:highlight w:val="none"/>
          <w:shd w:val="clear" w:color="auto" w:fill="auto"/>
          <w:lang w:val="en" w:eastAsia="zh-CN"/>
          <w14:textFill>
            <w14:solidFill>
              <w14:schemeClr w14:val="tx1"/>
            </w14:solidFill>
          </w14:textFill>
        </w:rPr>
        <w:t>评标方法</w:t>
      </w:r>
      <w:r>
        <w:rPr>
          <w:rFonts w:hint="eastAsia" w:ascii="宋体" w:hAnsi="宋体" w:eastAsia="宋体" w:cs="宋体"/>
          <w:b/>
          <w:color w:val="000000" w:themeColor="text1"/>
          <w:sz w:val="28"/>
          <w:szCs w:val="28"/>
          <w:highlight w:val="none"/>
          <w:shd w:val="clear" w:color="auto" w:fill="auto"/>
          <w:lang w:val="en"/>
          <w14:textFill>
            <w14:solidFill>
              <w14:schemeClr w14:val="tx1"/>
            </w14:solidFill>
          </w14:textFill>
        </w:rPr>
        <w:t>及评分标准</w:t>
      </w:r>
    </w:p>
    <w:p>
      <w:pPr>
        <w:pStyle w:val="29"/>
        <w:keepNext w:val="0"/>
        <w:keepLines w:val="0"/>
        <w:pageBreakBefore w:val="0"/>
        <w:widowControl w:val="0"/>
        <w:kinsoku/>
        <w:wordWrap/>
        <w:overflowPunct/>
        <w:topLinePunct w:val="0"/>
        <w:autoSpaceDE/>
        <w:autoSpaceDN/>
        <w:bidi w:val="0"/>
        <w:adjustRightInd/>
        <w:snapToGrid/>
        <w:spacing w:line="320" w:lineRule="exact"/>
        <w:ind w:firstLine="421" w:firstLineChars="200"/>
        <w:textAlignment w:val="auto"/>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一、评标原则</w:t>
      </w:r>
    </w:p>
    <w:p>
      <w:pPr>
        <w:pStyle w:val="29"/>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eastAsia="宋体" w:cs="宋体"/>
          <w:bCs/>
          <w:color w:val="auto"/>
          <w:sz w:val="21"/>
          <w:szCs w:val="21"/>
          <w:highlight w:val="none"/>
          <w:shd w:val="clear" w:color="auto" w:fill="auto"/>
        </w:rPr>
      </w:pPr>
      <w:r>
        <w:rPr>
          <w:rFonts w:hint="eastAsia" w:ascii="宋体" w:hAnsi="宋体" w:eastAsia="宋体" w:cs="宋体"/>
          <w:color w:val="auto"/>
          <w:kern w:val="0"/>
          <w:sz w:val="21"/>
          <w:szCs w:val="21"/>
          <w:highlight w:val="none"/>
          <w:lang w:val="en-US" w:eastAsia="zh-CN" w:bidi="ar-SA"/>
        </w:rPr>
        <w:t>（</w:t>
      </w:r>
      <w:r>
        <w:rPr>
          <w:rFonts w:hint="eastAsia" w:hAnsi="宋体" w:cs="宋体"/>
          <w:color w:val="auto"/>
          <w:kern w:val="0"/>
          <w:sz w:val="21"/>
          <w:szCs w:val="21"/>
          <w:highlight w:val="none"/>
          <w:lang w:val="en-US" w:eastAsia="zh-CN" w:bidi="ar-SA"/>
        </w:rPr>
        <w:t>一</w:t>
      </w:r>
      <w:r>
        <w:rPr>
          <w:rFonts w:hint="eastAsia" w:ascii="宋体" w:hAnsi="宋体" w:eastAsia="宋体" w:cs="宋体"/>
          <w:color w:val="auto"/>
          <w:kern w:val="0"/>
          <w:sz w:val="21"/>
          <w:szCs w:val="21"/>
          <w:highlight w:val="none"/>
          <w:lang w:val="en-US" w:eastAsia="zh-CN" w:bidi="ar-SA"/>
        </w:rPr>
        <w:t>）</w:t>
      </w:r>
      <w:r>
        <w:rPr>
          <w:rFonts w:hint="eastAsia" w:ascii="宋体" w:hAnsi="宋体" w:eastAsia="宋体" w:cs="宋体"/>
          <w:bCs/>
          <w:color w:val="auto"/>
          <w:sz w:val="21"/>
          <w:szCs w:val="21"/>
          <w:highlight w:val="none"/>
          <w:shd w:val="clear" w:color="auto" w:fill="auto"/>
        </w:rPr>
        <w:t>评委组成：本招标采购项目的</w:t>
      </w:r>
      <w:r>
        <w:rPr>
          <w:rFonts w:hint="eastAsia" w:ascii="宋体" w:hAnsi="宋体" w:eastAsia="宋体" w:cs="宋体"/>
          <w:color w:val="auto"/>
          <w:spacing w:val="-4"/>
          <w:sz w:val="21"/>
          <w:szCs w:val="21"/>
          <w:highlight w:val="none"/>
          <w:shd w:val="clear" w:color="auto" w:fill="auto"/>
        </w:rPr>
        <w:t>评标委员会由采购人代表和评审专家组成，成员人数应当为5人以上单数，其中评审专家不得少于成员总数的三分之二。</w:t>
      </w:r>
    </w:p>
    <w:p>
      <w:pPr>
        <w:pStyle w:val="29"/>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eastAsia="宋体" w:cs="宋体"/>
          <w:bCs/>
          <w:color w:val="auto"/>
          <w:sz w:val="21"/>
          <w:szCs w:val="21"/>
          <w:highlight w:val="none"/>
          <w:shd w:val="clear" w:color="auto" w:fill="auto"/>
        </w:rPr>
      </w:pPr>
      <w:r>
        <w:rPr>
          <w:rFonts w:hint="eastAsia" w:ascii="宋体" w:hAnsi="宋体" w:eastAsia="宋体" w:cs="宋体"/>
          <w:color w:val="auto"/>
          <w:kern w:val="0"/>
          <w:sz w:val="21"/>
          <w:szCs w:val="21"/>
          <w:highlight w:val="none"/>
          <w:lang w:val="en-US" w:eastAsia="zh-CN" w:bidi="ar-SA"/>
        </w:rPr>
        <w:t>（</w:t>
      </w:r>
      <w:r>
        <w:rPr>
          <w:rFonts w:hint="eastAsia" w:hAnsi="宋体" w:cs="宋体"/>
          <w:color w:val="auto"/>
          <w:kern w:val="0"/>
          <w:sz w:val="21"/>
          <w:szCs w:val="21"/>
          <w:highlight w:val="none"/>
          <w:lang w:val="en-US" w:eastAsia="zh-CN" w:bidi="ar-SA"/>
        </w:rPr>
        <w:t>二</w:t>
      </w:r>
      <w:r>
        <w:rPr>
          <w:rFonts w:hint="eastAsia" w:ascii="宋体" w:hAnsi="宋体" w:eastAsia="宋体" w:cs="宋体"/>
          <w:color w:val="auto"/>
          <w:kern w:val="0"/>
          <w:sz w:val="21"/>
          <w:szCs w:val="21"/>
          <w:highlight w:val="none"/>
          <w:lang w:val="en-US" w:eastAsia="zh-CN" w:bidi="ar-SA"/>
        </w:rPr>
        <w:t>）</w:t>
      </w:r>
      <w:r>
        <w:rPr>
          <w:rFonts w:hint="eastAsia" w:ascii="宋体" w:hAnsi="宋体" w:eastAsia="宋体" w:cs="宋体"/>
          <w:bCs/>
          <w:color w:val="auto"/>
          <w:sz w:val="21"/>
          <w:szCs w:val="21"/>
          <w:highlight w:val="none"/>
          <w:shd w:val="clear" w:color="auto" w:fill="auto"/>
        </w:rPr>
        <w:t>评标依据：评委将以招投标文件为评标依据，对投标人的投标内容按百分制打分。</w:t>
      </w:r>
    </w:p>
    <w:p>
      <w:pPr>
        <w:pStyle w:val="29"/>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eastAsia="宋体" w:cs="宋体"/>
          <w:bCs/>
          <w:color w:val="auto"/>
          <w:sz w:val="21"/>
          <w:szCs w:val="21"/>
          <w:highlight w:val="none"/>
          <w:shd w:val="clear" w:color="auto" w:fill="auto"/>
        </w:rPr>
      </w:pPr>
      <w:r>
        <w:rPr>
          <w:rFonts w:hint="eastAsia" w:ascii="宋体" w:hAnsi="宋体" w:eastAsia="宋体" w:cs="宋体"/>
          <w:color w:val="auto"/>
          <w:kern w:val="0"/>
          <w:sz w:val="21"/>
          <w:szCs w:val="21"/>
          <w:highlight w:val="none"/>
          <w:lang w:val="en-US" w:eastAsia="zh-CN" w:bidi="ar-SA"/>
        </w:rPr>
        <w:t>（</w:t>
      </w:r>
      <w:r>
        <w:rPr>
          <w:rFonts w:hint="eastAsia" w:hAnsi="宋体" w:cs="宋体"/>
          <w:color w:val="auto"/>
          <w:kern w:val="0"/>
          <w:sz w:val="21"/>
          <w:szCs w:val="21"/>
          <w:highlight w:val="none"/>
          <w:lang w:val="en-US" w:eastAsia="zh-CN" w:bidi="ar-SA"/>
        </w:rPr>
        <w:t>三</w:t>
      </w:r>
      <w:r>
        <w:rPr>
          <w:rFonts w:hint="eastAsia" w:ascii="宋体" w:hAnsi="宋体" w:eastAsia="宋体" w:cs="宋体"/>
          <w:color w:val="auto"/>
          <w:kern w:val="0"/>
          <w:sz w:val="21"/>
          <w:szCs w:val="21"/>
          <w:highlight w:val="none"/>
          <w:lang w:val="en-US" w:eastAsia="zh-CN" w:bidi="ar-SA"/>
        </w:rPr>
        <w:t>）</w:t>
      </w:r>
      <w:r>
        <w:rPr>
          <w:rFonts w:hint="eastAsia" w:ascii="宋体" w:hAnsi="宋体" w:eastAsia="宋体" w:cs="宋体"/>
          <w:bCs/>
          <w:color w:val="auto"/>
          <w:sz w:val="21"/>
          <w:szCs w:val="21"/>
          <w:highlight w:val="none"/>
          <w:shd w:val="clear" w:color="auto" w:fill="auto"/>
        </w:rPr>
        <w:t>评标方式：以封闭方式进行。</w:t>
      </w:r>
    </w:p>
    <w:p>
      <w:pPr>
        <w:pStyle w:val="29"/>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color w:val="auto"/>
        </w:rPr>
      </w:pPr>
      <w:r>
        <w:rPr>
          <w:rFonts w:hint="eastAsia" w:ascii="宋体" w:hAnsi="宋体" w:eastAsia="宋体" w:cs="宋体"/>
          <w:color w:val="auto"/>
          <w:kern w:val="0"/>
          <w:sz w:val="21"/>
          <w:szCs w:val="21"/>
          <w:highlight w:val="none"/>
          <w:lang w:val="en-US" w:eastAsia="zh-CN" w:bidi="ar-SA"/>
        </w:rPr>
        <w:t>（四）无效投标处理原则：在评标过程中，包括在异常低价认定程序中被认定为无效的投标，其投标文件不再进入后续评审阶段，也不参与得分计算与汇总排名。</w:t>
      </w:r>
    </w:p>
    <w:p>
      <w:pPr>
        <w:keepNext w:val="0"/>
        <w:keepLines w:val="0"/>
        <w:pageBreakBefore w:val="0"/>
        <w:widowControl w:val="0"/>
        <w:kinsoku/>
        <w:wordWrap/>
        <w:overflowPunct/>
        <w:topLinePunct w:val="0"/>
        <w:autoSpaceDE/>
        <w:autoSpaceDN/>
        <w:bidi w:val="0"/>
        <w:adjustRightInd/>
        <w:snapToGrid/>
        <w:spacing w:line="320" w:lineRule="exact"/>
        <w:ind w:firstLine="421" w:firstLineChars="200"/>
        <w:textAlignment w:val="auto"/>
        <w:rPr>
          <w:rFonts w:ascii="宋体" w:hAnsi="宋体" w:cs="宋体"/>
          <w:b w:val="0"/>
          <w:bCs/>
          <w:color w:val="auto"/>
          <w:szCs w:val="21"/>
        </w:rPr>
      </w:pPr>
      <w:r>
        <w:rPr>
          <w:rFonts w:ascii="宋体" w:hAnsi="宋体" w:cs="宋体"/>
          <w:b/>
          <w:bCs w:val="0"/>
          <w:color w:val="auto"/>
          <w:szCs w:val="21"/>
        </w:rPr>
        <w:t>二、评标方法</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宋体" w:hAnsi="宋体" w:cs="宋体"/>
          <w:b w:val="0"/>
          <w:bCs/>
          <w:color w:val="auto"/>
          <w:szCs w:val="21"/>
        </w:rPr>
      </w:pPr>
      <w:r>
        <w:rPr>
          <w:rFonts w:ascii="宋体" w:hAnsi="宋体" w:cs="宋体"/>
          <w:b w:val="0"/>
          <w:bCs/>
          <w:color w:val="auto"/>
          <w:szCs w:val="21"/>
        </w:rPr>
        <w:t>（一）对进入详评的，采用百分制综合评分法。</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宋体" w:hAnsi="宋体" w:cs="宋体"/>
          <w:b w:val="0"/>
          <w:bCs/>
          <w:color w:val="auto"/>
          <w:szCs w:val="21"/>
        </w:rPr>
      </w:pPr>
      <w:r>
        <w:rPr>
          <w:rFonts w:ascii="宋体" w:hAnsi="宋体" w:cs="宋体"/>
          <w:b w:val="0"/>
          <w:bCs/>
          <w:color w:val="auto"/>
          <w:szCs w:val="21"/>
        </w:rPr>
        <w:t>（二）计分办法（按四舍五入取至百分位）：</w:t>
      </w:r>
    </w:p>
    <w:p>
      <w:pPr>
        <w:keepNext w:val="0"/>
        <w:keepLines w:val="0"/>
        <w:pageBreakBefore w:val="0"/>
        <w:widowControl w:val="0"/>
        <w:kinsoku/>
        <w:wordWrap/>
        <w:overflowPunct/>
        <w:topLinePunct w:val="0"/>
        <w:autoSpaceDE/>
        <w:autoSpaceDN/>
        <w:bidi w:val="0"/>
        <w:adjustRightInd/>
        <w:snapToGrid/>
        <w:spacing w:line="320" w:lineRule="exact"/>
        <w:ind w:firstLine="421" w:firstLineChars="200"/>
        <w:textAlignment w:val="auto"/>
        <w:rPr>
          <w:rFonts w:ascii="宋体" w:hAnsi="宋体" w:cs="宋体"/>
          <w:b/>
          <w:bCs w:val="0"/>
          <w:color w:val="auto"/>
          <w:szCs w:val="21"/>
        </w:rPr>
      </w:pPr>
      <w:r>
        <w:rPr>
          <w:rFonts w:ascii="宋体" w:hAnsi="宋体" w:cs="宋体"/>
          <w:b/>
          <w:bCs w:val="0"/>
          <w:color w:val="auto"/>
          <w:szCs w:val="21"/>
        </w:rPr>
        <w:t>1.价格分……………………………………………………………………………………3</w:t>
      </w:r>
      <w:r>
        <w:rPr>
          <w:rFonts w:hint="eastAsia" w:ascii="宋体" w:hAnsi="宋体" w:cs="宋体"/>
          <w:b/>
          <w:bCs w:val="0"/>
          <w:color w:val="auto"/>
          <w:szCs w:val="21"/>
          <w:lang w:val="en-US" w:eastAsia="zh-CN"/>
        </w:rPr>
        <w:t>5</w:t>
      </w:r>
      <w:r>
        <w:rPr>
          <w:rFonts w:ascii="宋体" w:hAnsi="宋体" w:cs="宋体"/>
          <w:b/>
          <w:bCs w:val="0"/>
          <w:color w:val="auto"/>
          <w:szCs w:val="21"/>
        </w:rPr>
        <w:t>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olor w:val="auto"/>
          <w:highlight w:val="none"/>
        </w:rPr>
      </w:pPr>
      <w:r>
        <w:rPr>
          <w:rFonts w:ascii="宋体" w:hAnsi="宋体" w:cs="宋体"/>
          <w:b w:val="0"/>
          <w:bCs/>
          <w:color w:val="auto"/>
          <w:szCs w:val="21"/>
        </w:rPr>
        <w:t>（1）本项目面向中小企业，评标价=投标价。投标产品的制造企业按《关于政府采购支持监狱企业发展有关问题的通知》(财库[2014]68号)认定为监狱企业的，在政府采购活动中，监狱企业视同小型、微型企业。投标人提供投标产品制造企业属于监狱企业的证明文件，不再提供《中小企业声明函》。</w:t>
      </w:r>
      <w:r>
        <w:rPr>
          <w:rFonts w:hint="eastAsia"/>
          <w:color w:val="auto"/>
          <w:highlight w:val="none"/>
          <w:lang w:eastAsia="zh-CN"/>
        </w:rPr>
        <w:t>符合</w:t>
      </w:r>
      <w:r>
        <w:rPr>
          <w:rFonts w:hint="eastAsia"/>
          <w:color w:val="auto"/>
          <w:highlight w:val="none"/>
          <w:lang w:val="en-US" w:eastAsia="zh-CN"/>
        </w:rPr>
        <w:t>《国务院办公厅关于在政府采购中实施本国产品标准及相关政策的通知》（国办发〔2025〕34号）规定</w:t>
      </w:r>
      <w:r>
        <w:rPr>
          <w:rFonts w:hint="eastAsia" w:ascii="Times New Roman" w:hAnsi="Times New Roman"/>
          <w:bCs/>
          <w:color w:val="auto"/>
          <w:highlight w:val="none"/>
        </w:rPr>
        <w:t>条件且按该</w:t>
      </w:r>
      <w:r>
        <w:rPr>
          <w:rFonts w:hint="eastAsia" w:ascii="Times New Roman" w:hAnsi="Times New Roman"/>
          <w:bCs/>
          <w:color w:val="auto"/>
          <w:highlight w:val="none"/>
          <w:lang w:eastAsia="zh-CN"/>
        </w:rPr>
        <w:t>通知</w:t>
      </w:r>
      <w:r>
        <w:rPr>
          <w:rFonts w:hint="eastAsia" w:ascii="Times New Roman" w:hAnsi="Times New Roman"/>
          <w:bCs/>
          <w:color w:val="auto"/>
          <w:highlight w:val="none"/>
        </w:rPr>
        <w:t>中规定的格式提供了《关于符合本国产品标准的声明函》的</w:t>
      </w:r>
      <w:r>
        <w:rPr>
          <w:rFonts w:hint="eastAsia" w:ascii="Times New Roman" w:hAnsi="Times New Roman"/>
          <w:bCs/>
          <w:color w:val="auto"/>
          <w:highlight w:val="none"/>
          <w:lang w:eastAsia="zh-CN"/>
        </w:rPr>
        <w:t>供应商</w:t>
      </w:r>
      <w:r>
        <w:rPr>
          <w:rFonts w:hint="eastAsia" w:ascii="Times New Roman" w:hAnsi="Times New Roman"/>
          <w:bCs/>
          <w:color w:val="auto"/>
          <w:highlight w:val="none"/>
        </w:rPr>
        <w:t>参与投标，对其</w:t>
      </w:r>
      <w:r>
        <w:rPr>
          <w:rFonts w:hint="eastAsia" w:ascii="Times New Roman" w:hAnsi="Times New Roman"/>
          <w:bCs/>
          <w:color w:val="auto"/>
          <w:highlight w:val="none"/>
          <w:lang w:eastAsia="zh-CN"/>
        </w:rPr>
        <w:t>投标</w:t>
      </w:r>
      <w:r>
        <w:rPr>
          <w:rFonts w:hint="eastAsia" w:ascii="Times New Roman" w:hAnsi="Times New Roman"/>
          <w:bCs/>
          <w:color w:val="auto"/>
          <w:highlight w:val="none"/>
        </w:rPr>
        <w:t>报价给予</w:t>
      </w:r>
      <w:r>
        <w:rPr>
          <w:rFonts w:hint="eastAsia" w:ascii="Times New Roman" w:hAnsi="Times New Roman"/>
          <w:bCs/>
          <w:color w:val="auto"/>
          <w:highlight w:val="none"/>
          <w:lang w:val="en-US" w:eastAsia="zh-CN"/>
        </w:rPr>
        <w:t>2</w:t>
      </w:r>
      <w:r>
        <w:rPr>
          <w:rFonts w:hint="eastAsia" w:ascii="Times New Roman" w:hAnsi="Times New Roman"/>
          <w:bCs/>
          <w:color w:val="auto"/>
          <w:highlight w:val="none"/>
        </w:rPr>
        <w:t>0</w:t>
      </w:r>
      <w:r>
        <w:rPr>
          <w:rFonts w:ascii="Times New Roman" w:hAnsi="Times New Roman"/>
          <w:bCs/>
          <w:color w:val="auto"/>
          <w:highlight w:val="none"/>
        </w:rPr>
        <w:t>%</w:t>
      </w:r>
      <w:r>
        <w:rPr>
          <w:rFonts w:hint="eastAsia" w:ascii="Times New Roman" w:hAnsi="Times New Roman"/>
          <w:bCs/>
          <w:color w:val="auto"/>
          <w:highlight w:val="none"/>
        </w:rPr>
        <w:t>的扣除，</w:t>
      </w:r>
      <w:r>
        <w:rPr>
          <w:rFonts w:hint="eastAsia"/>
          <w:color w:val="auto"/>
          <w:highlight w:val="none"/>
        </w:rPr>
        <w:t>扣除后的价格为评标价，即评标价=投标价×（1-</w:t>
      </w:r>
      <w:r>
        <w:rPr>
          <w:rFonts w:hint="eastAsia"/>
          <w:color w:val="auto"/>
          <w:highlight w:val="none"/>
          <w:lang w:val="en-US" w:eastAsia="zh-CN"/>
        </w:rPr>
        <w:t>2</w:t>
      </w:r>
      <w:r>
        <w:rPr>
          <w:rFonts w:hint="eastAsia"/>
          <w:color w:val="auto"/>
          <w:highlight w:val="none"/>
        </w:rPr>
        <w:t>0%）</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b w:val="0"/>
          <w:bCs/>
          <w:color w:val="auto"/>
          <w:szCs w:val="21"/>
        </w:rPr>
      </w:pPr>
      <w:r>
        <w:rPr>
          <w:rFonts w:ascii="宋体" w:hAnsi="宋体" w:cs="宋体"/>
          <w:b w:val="0"/>
          <w:bCs/>
          <w:color w:val="auto"/>
          <w:szCs w:val="21"/>
        </w:rPr>
        <w:t>投标产品的制造单位按《关于促进残疾人就业政府采购政策的通知》(财库〔2017〕141号)认定为残疾人福利性单位的，在政府采购活动中，残疾人福利性单位视同小型、微型企业。投标人提供投标产品制造单位属于残疾人福利性单位的残疾人福利性单位声明函，不再提供《中小企业声明函》。</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b w:val="0"/>
          <w:bCs/>
          <w:color w:val="auto"/>
          <w:szCs w:val="21"/>
        </w:rPr>
      </w:pPr>
      <w:r>
        <w:rPr>
          <w:rFonts w:ascii="宋体" w:hAnsi="宋体" w:cs="宋体"/>
          <w:b w:val="0"/>
          <w:bCs/>
          <w:color w:val="auto"/>
          <w:szCs w:val="21"/>
        </w:rPr>
        <w:t>（2）以满足招标文件的最低评标价为3</w:t>
      </w:r>
      <w:r>
        <w:rPr>
          <w:rFonts w:hint="eastAsia" w:ascii="宋体" w:hAnsi="宋体" w:cs="宋体"/>
          <w:b w:val="0"/>
          <w:bCs/>
          <w:color w:val="auto"/>
          <w:szCs w:val="21"/>
          <w:lang w:val="en-US" w:eastAsia="zh-CN"/>
        </w:rPr>
        <w:t>5</w:t>
      </w:r>
      <w:r>
        <w:rPr>
          <w:rFonts w:ascii="宋体" w:hAnsi="宋体" w:cs="宋体"/>
          <w:b w:val="0"/>
          <w:bCs/>
          <w:color w:val="auto"/>
          <w:szCs w:val="21"/>
        </w:rPr>
        <w:t>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b w:val="0"/>
          <w:bCs/>
          <w:color w:val="auto"/>
          <w:szCs w:val="21"/>
        </w:rPr>
      </w:pPr>
      <w:r>
        <w:rPr>
          <w:rFonts w:ascii="宋体" w:hAnsi="宋体" w:cs="宋体"/>
          <w:b w:val="0"/>
          <w:bCs/>
          <w:color w:val="auto"/>
          <w:szCs w:val="21"/>
        </w:rPr>
        <w:t>（3）某投标人价格分 = 投标人最低评标价（金额）/某投标人评标价（金额） ×3</w:t>
      </w:r>
      <w:r>
        <w:rPr>
          <w:rFonts w:hint="eastAsia" w:ascii="宋体" w:hAnsi="宋体" w:cs="宋体"/>
          <w:b w:val="0"/>
          <w:bCs/>
          <w:color w:val="auto"/>
          <w:szCs w:val="21"/>
          <w:lang w:val="en-US" w:eastAsia="zh-CN"/>
        </w:rPr>
        <w:t>5</w:t>
      </w:r>
      <w:r>
        <w:rPr>
          <w:rFonts w:ascii="宋体" w:hAnsi="宋体" w:cs="宋体"/>
          <w:b w:val="0"/>
          <w:bCs/>
          <w:color w:val="auto"/>
          <w:szCs w:val="21"/>
        </w:rPr>
        <w:t>分</w:t>
      </w:r>
    </w:p>
    <w:p>
      <w:pPr>
        <w:keepNext w:val="0"/>
        <w:keepLines w:val="0"/>
        <w:pageBreakBefore w:val="0"/>
        <w:widowControl w:val="0"/>
        <w:kinsoku/>
        <w:wordWrap/>
        <w:overflowPunct/>
        <w:topLinePunct w:val="0"/>
        <w:autoSpaceDE/>
        <w:autoSpaceDN/>
        <w:bidi w:val="0"/>
        <w:adjustRightInd/>
        <w:snapToGrid/>
        <w:spacing w:line="320" w:lineRule="exact"/>
        <w:ind w:firstLine="421" w:firstLineChars="200"/>
        <w:textAlignment w:val="auto"/>
        <w:rPr>
          <w:rFonts w:ascii="宋体" w:hAnsi="宋体" w:cs="宋体"/>
          <w:b w:val="0"/>
          <w:bCs/>
          <w:szCs w:val="21"/>
        </w:rPr>
      </w:pPr>
      <w:r>
        <w:rPr>
          <w:rFonts w:ascii="宋体" w:hAnsi="宋体" w:cs="宋体"/>
          <w:b/>
          <w:bCs w:val="0"/>
          <w:szCs w:val="21"/>
        </w:rPr>
        <w:t>2.技术分……………………………………………………………………</w:t>
      </w:r>
      <w:r>
        <w:rPr>
          <w:rFonts w:ascii="宋体" w:hAnsi="宋体" w:cs="宋体"/>
          <w:b/>
          <w:bCs w:val="0"/>
          <w:color w:val="auto"/>
          <w:szCs w:val="21"/>
        </w:rPr>
        <w:t>………………4</w:t>
      </w:r>
      <w:r>
        <w:rPr>
          <w:rFonts w:hint="eastAsia" w:ascii="宋体" w:hAnsi="宋体" w:cs="宋体"/>
          <w:b/>
          <w:bCs w:val="0"/>
          <w:color w:val="auto"/>
          <w:szCs w:val="21"/>
          <w:lang w:val="en-US" w:eastAsia="zh-CN"/>
        </w:rPr>
        <w:t>2</w:t>
      </w:r>
      <w:r>
        <w:rPr>
          <w:rFonts w:ascii="宋体" w:hAnsi="宋体" w:cs="宋体"/>
          <w:b/>
          <w:bCs w:val="0"/>
          <w:color w:val="auto"/>
          <w:szCs w:val="21"/>
        </w:rPr>
        <w:t>分</w:t>
      </w:r>
    </w:p>
    <w:p>
      <w:pPr>
        <w:keepNext w:val="0"/>
        <w:keepLines w:val="0"/>
        <w:pageBreakBefore w:val="0"/>
        <w:widowControl w:val="0"/>
        <w:kinsoku/>
        <w:wordWrap/>
        <w:overflowPunct/>
        <w:topLinePunct w:val="0"/>
        <w:autoSpaceDE/>
        <w:autoSpaceDN/>
        <w:bidi w:val="0"/>
        <w:adjustRightInd/>
        <w:snapToGrid/>
        <w:spacing w:line="320" w:lineRule="exact"/>
        <w:ind w:firstLine="421" w:firstLineChars="200"/>
        <w:textAlignment w:val="auto"/>
        <w:rPr>
          <w:rFonts w:ascii="宋体" w:hAnsi="宋体" w:cs="宋体"/>
          <w:b/>
          <w:bCs w:val="0"/>
          <w:color w:val="auto"/>
          <w:szCs w:val="21"/>
        </w:rPr>
      </w:pPr>
      <w:r>
        <w:rPr>
          <w:rFonts w:ascii="宋体" w:hAnsi="宋体" w:cs="宋体"/>
          <w:b/>
          <w:bCs w:val="0"/>
          <w:color w:val="auto"/>
          <w:szCs w:val="21"/>
        </w:rPr>
        <w:t>（1）主要指标参数分（满分</w:t>
      </w:r>
      <w:r>
        <w:rPr>
          <w:rFonts w:hint="eastAsia" w:ascii="宋体" w:hAnsi="宋体" w:cs="宋体"/>
          <w:b/>
          <w:bCs w:val="0"/>
          <w:color w:val="auto"/>
          <w:szCs w:val="21"/>
          <w:lang w:val="en-US" w:eastAsia="zh-CN"/>
        </w:rPr>
        <w:t>8</w:t>
      </w:r>
      <w:r>
        <w:rPr>
          <w:rFonts w:ascii="宋体" w:hAnsi="宋体" w:cs="宋体"/>
          <w:b/>
          <w:bCs w:val="0"/>
          <w:color w:val="auto"/>
          <w:szCs w:val="21"/>
        </w:rPr>
        <w:t>分）</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cs="宋体"/>
          <w:b w:val="0"/>
          <w:bCs/>
          <w:color w:val="auto"/>
          <w:szCs w:val="21"/>
          <w:highlight w:val="none"/>
          <w:lang w:eastAsia="zh-CN"/>
        </w:rPr>
      </w:pPr>
      <w:r>
        <w:rPr>
          <w:rFonts w:ascii="宋体" w:hAnsi="宋体" w:cs="宋体"/>
          <w:b w:val="0"/>
          <w:bCs/>
          <w:color w:val="auto"/>
          <w:szCs w:val="21"/>
          <w:highlight w:val="none"/>
        </w:rPr>
        <w:t>招标文件中招标项目采购需求</w:t>
      </w:r>
      <w:r>
        <w:rPr>
          <w:rFonts w:ascii="宋体" w:hAnsi="宋体" w:cs="宋体"/>
          <w:b/>
          <w:bCs w:val="0"/>
          <w:color w:val="auto"/>
          <w:szCs w:val="21"/>
          <w:highlight w:val="none"/>
        </w:rPr>
        <w:t>“项号1”</w:t>
      </w:r>
      <w:r>
        <w:rPr>
          <w:rFonts w:ascii="宋体" w:hAnsi="宋体" w:cs="宋体"/>
          <w:b w:val="0"/>
          <w:bCs/>
          <w:color w:val="auto"/>
          <w:szCs w:val="21"/>
          <w:highlight w:val="none"/>
        </w:rPr>
        <w:t>和</w:t>
      </w:r>
      <w:r>
        <w:rPr>
          <w:rFonts w:ascii="宋体" w:hAnsi="宋体" w:cs="宋体"/>
          <w:b/>
          <w:bCs w:val="0"/>
          <w:color w:val="auto"/>
          <w:szCs w:val="21"/>
          <w:highlight w:val="none"/>
        </w:rPr>
        <w:t>“项号4”</w:t>
      </w:r>
      <w:r>
        <w:rPr>
          <w:rFonts w:ascii="宋体" w:hAnsi="宋体" w:cs="宋体"/>
          <w:b w:val="0"/>
          <w:bCs/>
          <w:color w:val="auto"/>
          <w:szCs w:val="21"/>
          <w:highlight w:val="none"/>
        </w:rPr>
        <w:t>中第三点床架主要部件</w:t>
      </w:r>
      <w:r>
        <w:rPr>
          <w:rFonts w:hint="eastAsia" w:ascii="宋体" w:hAnsi="宋体" w:cs="宋体"/>
          <w:b w:val="0"/>
          <w:bCs/>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20" w:lineRule="exact"/>
        <w:ind w:firstLine="421" w:firstLineChars="200"/>
        <w:textAlignment w:val="auto"/>
        <w:rPr>
          <w:rFonts w:hint="eastAsia" w:ascii="宋体" w:hAnsi="宋体" w:eastAsia="宋体" w:cs="宋体"/>
          <w:b/>
          <w:bCs w:val="0"/>
          <w:caps w:val="0"/>
          <w:color w:val="auto"/>
          <w:kern w:val="2"/>
          <w:sz w:val="21"/>
          <w:szCs w:val="21"/>
          <w:highlight w:val="none"/>
          <w:lang w:val="en-US" w:eastAsia="zh-CN" w:bidi="ar-SA"/>
        </w:rPr>
      </w:pPr>
      <w:r>
        <w:rPr>
          <w:rFonts w:hint="eastAsia" w:ascii="宋体" w:hAnsi="宋体" w:eastAsia="宋体" w:cs="宋体"/>
          <w:b/>
          <w:bCs w:val="0"/>
          <w:caps w:val="0"/>
          <w:color w:val="auto"/>
          <w:kern w:val="2"/>
          <w:sz w:val="21"/>
          <w:szCs w:val="21"/>
          <w:highlight w:val="none"/>
          <w:lang w:val="en-US" w:eastAsia="zh-CN" w:bidi="ar-SA"/>
        </w:rPr>
        <w:t>备注：裸管规格长和宽须同时满足，否则该项不得分</w:t>
      </w:r>
      <w:r>
        <w:rPr>
          <w:rFonts w:hint="eastAsia" w:ascii="宋体" w:hAnsi="宋体" w:cs="宋体"/>
          <w:b/>
          <w:bCs w:val="0"/>
          <w:caps w:val="0"/>
          <w:color w:val="auto"/>
          <w:kern w:val="2"/>
          <w:sz w:val="21"/>
          <w:szCs w:val="21"/>
          <w:highlight w:val="none"/>
          <w:lang w:val="en-US" w:eastAsia="zh-CN" w:bidi="ar-SA"/>
        </w:rPr>
        <w:t>，</w:t>
      </w:r>
      <w:r>
        <w:rPr>
          <w:rFonts w:ascii="宋体" w:hAnsi="宋体" w:eastAsia="宋体" w:cs="宋体"/>
          <w:b/>
          <w:bCs w:val="0"/>
          <w:caps w:val="0"/>
          <w:color w:val="auto"/>
          <w:kern w:val="2"/>
          <w:sz w:val="21"/>
          <w:szCs w:val="21"/>
          <w:highlight w:val="none"/>
          <w:lang w:val="en-US" w:eastAsia="zh-CN" w:bidi="ar-SA"/>
        </w:rPr>
        <w:t>以</w:t>
      </w:r>
      <w:r>
        <w:rPr>
          <w:rFonts w:hint="eastAsia" w:ascii="宋体" w:hAnsi="宋体" w:cs="宋体"/>
          <w:b/>
          <w:bCs w:val="0"/>
          <w:caps w:val="0"/>
          <w:color w:val="auto"/>
          <w:kern w:val="2"/>
          <w:sz w:val="21"/>
          <w:szCs w:val="21"/>
          <w:highlight w:val="none"/>
          <w:lang w:val="en-US" w:eastAsia="zh-CN" w:bidi="ar-SA"/>
        </w:rPr>
        <w:t>下</w:t>
      </w:r>
      <w:r>
        <w:rPr>
          <w:rFonts w:ascii="宋体" w:hAnsi="宋体" w:eastAsia="宋体" w:cs="宋体"/>
          <w:b/>
          <w:bCs w:val="0"/>
          <w:caps w:val="0"/>
          <w:color w:val="auto"/>
          <w:kern w:val="2"/>
          <w:sz w:val="21"/>
          <w:szCs w:val="21"/>
          <w:highlight w:val="none"/>
          <w:lang w:val="en-US" w:eastAsia="zh-CN" w:bidi="ar-SA"/>
        </w:rPr>
        <w:t>均须提供经评标委员会认可的有效证明文件或投标人的承诺函</w:t>
      </w:r>
      <w:r>
        <w:rPr>
          <w:rFonts w:hint="eastAsia" w:ascii="宋体" w:hAnsi="宋体" w:cs="宋体"/>
          <w:b/>
          <w:bCs w:val="0"/>
          <w:caps w:val="0"/>
          <w:color w:val="auto"/>
          <w:kern w:val="2"/>
          <w:sz w:val="21"/>
          <w:szCs w:val="21"/>
          <w:highlight w:val="none"/>
          <w:lang w:val="en-US" w:eastAsia="zh-CN" w:bidi="ar-SA"/>
        </w:rPr>
        <w:t>，本</w:t>
      </w:r>
      <w:r>
        <w:rPr>
          <w:rFonts w:ascii="宋体" w:hAnsi="宋体" w:eastAsia="宋体" w:cs="宋体"/>
          <w:b/>
          <w:bCs w:val="0"/>
          <w:caps w:val="0"/>
          <w:color w:val="auto"/>
          <w:kern w:val="2"/>
          <w:sz w:val="21"/>
          <w:szCs w:val="21"/>
          <w:highlight w:val="none"/>
          <w:lang w:val="en-US" w:eastAsia="zh-CN" w:bidi="ar-SA"/>
        </w:rPr>
        <w:t>项满分</w:t>
      </w:r>
      <w:r>
        <w:rPr>
          <w:rFonts w:hint="eastAsia" w:ascii="宋体" w:hAnsi="宋体" w:eastAsia="宋体" w:cs="宋体"/>
          <w:b/>
          <w:bCs w:val="0"/>
          <w:caps w:val="0"/>
          <w:color w:val="auto"/>
          <w:kern w:val="2"/>
          <w:sz w:val="21"/>
          <w:szCs w:val="21"/>
          <w:highlight w:val="none"/>
          <w:lang w:val="en-US" w:eastAsia="zh-CN" w:bidi="ar-SA"/>
        </w:rPr>
        <w:t>8</w:t>
      </w:r>
      <w:r>
        <w:rPr>
          <w:rFonts w:ascii="宋体" w:hAnsi="宋体" w:eastAsia="宋体" w:cs="宋体"/>
          <w:b/>
          <w:bCs w:val="0"/>
          <w:caps w:val="0"/>
          <w:color w:val="auto"/>
          <w:kern w:val="2"/>
          <w:sz w:val="21"/>
          <w:szCs w:val="21"/>
          <w:highlight w:val="none"/>
          <w:lang w:val="en-US" w:eastAsia="zh-CN" w:bidi="ar-SA"/>
        </w:rPr>
        <w:t>分</w:t>
      </w:r>
      <w:r>
        <w:rPr>
          <w:rFonts w:hint="eastAsia" w:ascii="宋体" w:hAnsi="宋体" w:cs="宋体"/>
          <w:b/>
          <w:bCs w:val="0"/>
          <w:caps w:val="0"/>
          <w:color w:val="auto"/>
          <w:kern w:val="2"/>
          <w:sz w:val="21"/>
          <w:szCs w:val="21"/>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宋体" w:hAnsi="宋体" w:cs="宋体"/>
          <w:b w:val="0"/>
          <w:bCs/>
          <w:color w:val="auto"/>
          <w:szCs w:val="21"/>
          <w:highlight w:val="none"/>
        </w:rPr>
      </w:pPr>
      <w:r>
        <w:rPr>
          <w:rFonts w:ascii="宋体" w:hAnsi="宋体" w:cs="宋体"/>
          <w:b w:val="0"/>
          <w:bCs/>
          <w:color w:val="auto"/>
          <w:szCs w:val="21"/>
          <w:highlight w:val="none"/>
        </w:rPr>
        <w:t>①床边立柱</w:t>
      </w:r>
      <w:r>
        <w:rPr>
          <w:rFonts w:hint="eastAsia" w:ascii="宋体" w:hAnsi="宋体" w:cs="宋体"/>
          <w:b w:val="0"/>
          <w:bCs/>
          <w:color w:val="auto"/>
          <w:szCs w:val="21"/>
          <w:highlight w:val="none"/>
          <w:lang w:val="en-US" w:eastAsia="zh-CN"/>
        </w:rPr>
        <w:t>裸管规格</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rPr>
        <w:t>8</w:t>
      </w:r>
      <w:r>
        <w:rPr>
          <w:rFonts w:hint="eastAsia" w:ascii="宋体" w:hAnsi="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mm</w:t>
      </w:r>
      <w:r>
        <w:rPr>
          <w:rFonts w:hint="eastAsia" w:ascii="宋体" w:hAnsi="宋体" w:eastAsia="宋体" w:cs="宋体"/>
          <w:color w:val="auto"/>
          <w:sz w:val="21"/>
          <w:szCs w:val="21"/>
          <w:highlight w:val="none"/>
        </w:rPr>
        <w:t>×8</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mm</w:t>
      </w:r>
      <w:r>
        <w:rPr>
          <w:rFonts w:hint="eastAsia" w:ascii="宋体" w:hAnsi="宋体" w:cs="宋体"/>
          <w:b w:val="0"/>
          <w:bCs/>
          <w:color w:val="auto"/>
          <w:szCs w:val="21"/>
          <w:highlight w:val="none"/>
          <w:lang w:val="en-US" w:eastAsia="zh-CN"/>
        </w:rPr>
        <w:t>的得1分，≥</w:t>
      </w:r>
      <w:r>
        <w:rPr>
          <w:rFonts w:hint="eastAsia" w:ascii="宋体" w:hAnsi="宋体" w:eastAsia="宋体" w:cs="宋体"/>
          <w:color w:val="auto"/>
          <w:sz w:val="21"/>
          <w:szCs w:val="21"/>
          <w:highlight w:val="none"/>
        </w:rPr>
        <w:t>8</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mm×8</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mm</w:t>
      </w:r>
      <w:r>
        <w:rPr>
          <w:rFonts w:ascii="宋体" w:hAnsi="宋体" w:cs="宋体"/>
          <w:b w:val="0"/>
          <w:bCs/>
          <w:color w:val="auto"/>
          <w:szCs w:val="21"/>
          <w:highlight w:val="none"/>
        </w:rPr>
        <w:t>的得</w:t>
      </w:r>
      <w:r>
        <w:rPr>
          <w:rFonts w:hint="eastAsia" w:ascii="宋体" w:hAnsi="宋体" w:cs="宋体"/>
          <w:b w:val="0"/>
          <w:bCs/>
          <w:color w:val="auto"/>
          <w:szCs w:val="21"/>
          <w:highlight w:val="none"/>
          <w:lang w:val="en-US" w:eastAsia="zh-CN"/>
        </w:rPr>
        <w:t>2</w:t>
      </w:r>
      <w:r>
        <w:rPr>
          <w:rFonts w:ascii="宋体" w:hAnsi="宋体" w:cs="宋体"/>
          <w:b w:val="0"/>
          <w:bCs/>
          <w:color w:val="auto"/>
          <w:szCs w:val="21"/>
          <w:highlight w:val="none"/>
        </w:rPr>
        <w:t>分，满分</w:t>
      </w:r>
      <w:r>
        <w:rPr>
          <w:rFonts w:hint="eastAsia" w:ascii="宋体" w:hAnsi="宋体" w:cs="宋体"/>
          <w:b w:val="0"/>
          <w:bCs/>
          <w:color w:val="auto"/>
          <w:szCs w:val="21"/>
          <w:highlight w:val="none"/>
          <w:lang w:val="en-US" w:eastAsia="zh-CN"/>
        </w:rPr>
        <w:t>2</w:t>
      </w:r>
      <w:r>
        <w:rPr>
          <w:rFonts w:ascii="宋体" w:hAnsi="宋体" w:cs="宋体"/>
          <w:b w:val="0"/>
          <w:bCs/>
          <w:color w:val="auto"/>
          <w:szCs w:val="21"/>
          <w:highlight w:val="none"/>
        </w:rPr>
        <w:t>分；</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宋体" w:hAnsi="宋体" w:cs="宋体"/>
          <w:b w:val="0"/>
          <w:bCs/>
          <w:color w:val="auto"/>
          <w:szCs w:val="21"/>
          <w:highlight w:val="none"/>
        </w:rPr>
      </w:pPr>
      <w:r>
        <w:rPr>
          <w:rFonts w:ascii="宋体" w:hAnsi="宋体" w:cs="宋体"/>
          <w:b w:val="0"/>
          <w:bCs/>
          <w:color w:val="auto"/>
          <w:szCs w:val="21"/>
          <w:highlight w:val="none"/>
        </w:rPr>
        <w:t>②床中立柱</w:t>
      </w:r>
      <w:r>
        <w:rPr>
          <w:rFonts w:hint="eastAsia" w:ascii="宋体" w:hAnsi="宋体" w:cs="宋体"/>
          <w:b w:val="0"/>
          <w:bCs/>
          <w:color w:val="auto"/>
          <w:szCs w:val="21"/>
          <w:highlight w:val="none"/>
          <w:lang w:val="en-US" w:eastAsia="zh-CN"/>
        </w:rPr>
        <w:t>裸管规格≥</w:t>
      </w:r>
      <w:r>
        <w:rPr>
          <w:rFonts w:hint="eastAsia" w:ascii="宋体" w:hAnsi="宋体" w:cs="宋体"/>
          <w:color w:val="auto"/>
          <w:sz w:val="21"/>
          <w:szCs w:val="21"/>
          <w:highlight w:val="none"/>
          <w:lang w:val="en-US" w:eastAsia="zh-CN"/>
        </w:rPr>
        <w:t>80</w:t>
      </w:r>
      <w:r>
        <w:rPr>
          <w:rFonts w:hint="eastAsia" w:ascii="宋体" w:hAnsi="宋体" w:eastAsia="宋体" w:cs="宋体"/>
          <w:color w:val="auto"/>
          <w:sz w:val="21"/>
          <w:szCs w:val="21"/>
          <w:highlight w:val="none"/>
        </w:rPr>
        <w:t>mm×5</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mm</w:t>
      </w:r>
      <w:r>
        <w:rPr>
          <w:rFonts w:hint="eastAsia" w:ascii="宋体" w:hAnsi="宋体" w:cs="宋体"/>
          <w:b w:val="0"/>
          <w:bCs/>
          <w:color w:val="auto"/>
          <w:szCs w:val="21"/>
          <w:highlight w:val="none"/>
          <w:lang w:val="en-US" w:eastAsia="zh-CN"/>
        </w:rPr>
        <w:t>的得1分，≥</w:t>
      </w:r>
      <w:r>
        <w:rPr>
          <w:rFonts w:hint="eastAsia" w:ascii="宋体" w:hAnsi="宋体" w:cs="宋体"/>
          <w:color w:val="auto"/>
          <w:sz w:val="21"/>
          <w:szCs w:val="21"/>
          <w:highlight w:val="none"/>
          <w:lang w:val="en-US" w:eastAsia="zh-CN"/>
        </w:rPr>
        <w:t>85</w:t>
      </w:r>
      <w:r>
        <w:rPr>
          <w:rFonts w:hint="eastAsia" w:ascii="宋体" w:hAnsi="宋体" w:eastAsia="宋体" w:cs="宋体"/>
          <w:color w:val="auto"/>
          <w:sz w:val="21"/>
          <w:szCs w:val="21"/>
          <w:highlight w:val="none"/>
        </w:rPr>
        <w:t>mm×5</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mm</w:t>
      </w:r>
      <w:r>
        <w:rPr>
          <w:rFonts w:ascii="宋体" w:hAnsi="宋体" w:cs="宋体"/>
          <w:b w:val="0"/>
          <w:bCs/>
          <w:color w:val="auto"/>
          <w:szCs w:val="21"/>
          <w:highlight w:val="none"/>
        </w:rPr>
        <w:t>的得</w:t>
      </w:r>
      <w:r>
        <w:rPr>
          <w:rFonts w:hint="eastAsia" w:ascii="宋体" w:hAnsi="宋体" w:cs="宋体"/>
          <w:b w:val="0"/>
          <w:bCs/>
          <w:color w:val="auto"/>
          <w:szCs w:val="21"/>
          <w:highlight w:val="none"/>
          <w:lang w:val="en-US" w:eastAsia="zh-CN"/>
        </w:rPr>
        <w:t>2</w:t>
      </w:r>
      <w:r>
        <w:rPr>
          <w:rFonts w:ascii="宋体" w:hAnsi="宋体" w:cs="宋体"/>
          <w:b w:val="0"/>
          <w:bCs/>
          <w:color w:val="auto"/>
          <w:szCs w:val="21"/>
          <w:highlight w:val="none"/>
        </w:rPr>
        <w:t>分，满分</w:t>
      </w:r>
      <w:r>
        <w:rPr>
          <w:rFonts w:hint="eastAsia" w:ascii="宋体" w:hAnsi="宋体" w:cs="宋体"/>
          <w:b w:val="0"/>
          <w:bCs/>
          <w:color w:val="auto"/>
          <w:szCs w:val="21"/>
          <w:highlight w:val="none"/>
          <w:lang w:val="en-US" w:eastAsia="zh-CN"/>
        </w:rPr>
        <w:t>2</w:t>
      </w:r>
      <w:r>
        <w:rPr>
          <w:rFonts w:ascii="宋体" w:hAnsi="宋体" w:cs="宋体"/>
          <w:b w:val="0"/>
          <w:bCs/>
          <w:color w:val="auto"/>
          <w:szCs w:val="21"/>
          <w:highlight w:val="none"/>
        </w:rPr>
        <w:t>分；</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cs="宋体"/>
          <w:b w:val="0"/>
          <w:bCs/>
          <w:color w:val="auto"/>
          <w:szCs w:val="21"/>
          <w:highlight w:val="none"/>
          <w:lang w:val="en-US" w:eastAsia="zh-CN"/>
        </w:rPr>
      </w:pPr>
      <w:r>
        <w:rPr>
          <w:rFonts w:ascii="宋体" w:hAnsi="宋体" w:cs="宋体"/>
          <w:b w:val="0"/>
          <w:bCs/>
          <w:color w:val="auto"/>
          <w:szCs w:val="21"/>
          <w:highlight w:val="none"/>
        </w:rPr>
        <w:t>③前床厅（前横梁）</w:t>
      </w:r>
      <w:r>
        <w:rPr>
          <w:rFonts w:hint="eastAsia" w:ascii="宋体" w:hAnsi="宋体" w:cs="宋体"/>
          <w:b w:val="0"/>
          <w:bCs/>
          <w:color w:val="auto"/>
          <w:szCs w:val="21"/>
          <w:highlight w:val="none"/>
          <w:lang w:val="en-US" w:eastAsia="zh-CN"/>
        </w:rPr>
        <w:t>裸管规格≥</w:t>
      </w:r>
      <w:r>
        <w:rPr>
          <w:rFonts w:hint="eastAsia" w:ascii="宋体" w:hAnsi="宋体" w:eastAsia="宋体" w:cs="宋体"/>
          <w:color w:val="auto"/>
          <w:sz w:val="21"/>
          <w:szCs w:val="21"/>
          <w:highlight w:val="none"/>
        </w:rPr>
        <w:t>10</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mm×5</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mm</w:t>
      </w:r>
      <w:r>
        <w:rPr>
          <w:rFonts w:hint="eastAsia" w:ascii="宋体" w:hAnsi="宋体" w:cs="宋体"/>
          <w:b w:val="0"/>
          <w:bCs/>
          <w:color w:val="auto"/>
          <w:szCs w:val="21"/>
          <w:highlight w:val="none"/>
          <w:lang w:val="en-US" w:eastAsia="zh-CN"/>
        </w:rPr>
        <w:t>的得1分，≥</w:t>
      </w:r>
      <w:r>
        <w:rPr>
          <w:rFonts w:hint="eastAsia" w:ascii="宋体" w:hAnsi="宋体" w:eastAsia="宋体" w:cs="宋体"/>
          <w:color w:val="auto"/>
          <w:sz w:val="21"/>
          <w:szCs w:val="21"/>
          <w:highlight w:val="none"/>
        </w:rPr>
        <w:t>10</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mm×5</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mm</w:t>
      </w:r>
      <w:r>
        <w:rPr>
          <w:rFonts w:ascii="宋体" w:hAnsi="宋体" w:cs="宋体"/>
          <w:b w:val="0"/>
          <w:bCs/>
          <w:color w:val="auto"/>
          <w:szCs w:val="21"/>
          <w:highlight w:val="none"/>
        </w:rPr>
        <w:t>的得</w:t>
      </w:r>
      <w:r>
        <w:rPr>
          <w:rFonts w:hint="eastAsia" w:ascii="宋体" w:hAnsi="宋体" w:cs="宋体"/>
          <w:b w:val="0"/>
          <w:bCs/>
          <w:color w:val="auto"/>
          <w:szCs w:val="21"/>
          <w:highlight w:val="none"/>
          <w:lang w:val="en-US" w:eastAsia="zh-CN"/>
        </w:rPr>
        <w:t>2</w:t>
      </w:r>
      <w:r>
        <w:rPr>
          <w:rFonts w:ascii="宋体" w:hAnsi="宋体" w:cs="宋体"/>
          <w:b w:val="0"/>
          <w:bCs/>
          <w:color w:val="auto"/>
          <w:szCs w:val="21"/>
          <w:highlight w:val="none"/>
        </w:rPr>
        <w:t>分，满分</w:t>
      </w:r>
      <w:r>
        <w:rPr>
          <w:rFonts w:hint="eastAsia" w:ascii="宋体" w:hAnsi="宋体" w:cs="宋体"/>
          <w:b w:val="0"/>
          <w:bCs/>
          <w:color w:val="auto"/>
          <w:szCs w:val="21"/>
          <w:highlight w:val="none"/>
          <w:lang w:val="en-US" w:eastAsia="zh-CN"/>
        </w:rPr>
        <w:t>2</w:t>
      </w:r>
      <w:r>
        <w:rPr>
          <w:rFonts w:ascii="宋体" w:hAnsi="宋体" w:cs="宋体"/>
          <w:b w:val="0"/>
          <w:bCs/>
          <w:color w:val="auto"/>
          <w:szCs w:val="21"/>
          <w:highlight w:val="none"/>
        </w:rPr>
        <w:t>分；</w:t>
      </w:r>
      <w:r>
        <w:rPr>
          <w:rFonts w:hint="eastAsia" w:ascii="宋体" w:hAnsi="宋体" w:cs="宋体"/>
          <w:b w:val="0"/>
          <w:bCs/>
          <w:color w:val="auto"/>
          <w:szCs w:val="21"/>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cs="宋体"/>
          <w:b/>
          <w:bCs w:val="0"/>
          <w:color w:val="auto"/>
          <w:szCs w:val="21"/>
          <w:highlight w:val="none"/>
          <w:lang w:val="en-US" w:eastAsia="zh-CN"/>
        </w:rPr>
      </w:pPr>
      <w:r>
        <w:rPr>
          <w:rFonts w:ascii="宋体" w:hAnsi="宋体" w:cs="宋体"/>
          <w:b w:val="0"/>
          <w:bCs/>
          <w:color w:val="auto"/>
          <w:szCs w:val="21"/>
          <w:highlight w:val="none"/>
        </w:rPr>
        <w:t>④后床厅（后横梁）</w:t>
      </w:r>
      <w:r>
        <w:rPr>
          <w:rFonts w:hint="eastAsia" w:ascii="宋体" w:hAnsi="宋体" w:cs="宋体"/>
          <w:b w:val="0"/>
          <w:bCs/>
          <w:color w:val="auto"/>
          <w:szCs w:val="21"/>
          <w:highlight w:val="none"/>
          <w:lang w:val="en-US" w:eastAsia="zh-CN"/>
        </w:rPr>
        <w:t>裸管规格≥</w:t>
      </w:r>
      <w:r>
        <w:rPr>
          <w:rFonts w:hint="eastAsia" w:ascii="宋体" w:hAnsi="宋体" w:eastAsia="宋体" w:cs="宋体"/>
          <w:color w:val="auto"/>
          <w:sz w:val="21"/>
          <w:szCs w:val="21"/>
          <w:highlight w:val="none"/>
        </w:rPr>
        <w:t>7</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mm×4</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mm</w:t>
      </w:r>
      <w:r>
        <w:rPr>
          <w:rFonts w:hint="eastAsia" w:ascii="宋体" w:hAnsi="宋体" w:cs="宋体"/>
          <w:b w:val="0"/>
          <w:bCs/>
          <w:color w:val="auto"/>
          <w:szCs w:val="21"/>
          <w:highlight w:val="none"/>
          <w:lang w:val="en-US" w:eastAsia="zh-CN"/>
        </w:rPr>
        <w:t>的得1分，≥</w:t>
      </w:r>
      <w:r>
        <w:rPr>
          <w:rFonts w:hint="eastAsia" w:ascii="宋体" w:hAnsi="宋体" w:cs="宋体"/>
          <w:color w:val="auto"/>
          <w:sz w:val="21"/>
          <w:szCs w:val="21"/>
          <w:highlight w:val="none"/>
          <w:lang w:val="en-US" w:eastAsia="zh-CN"/>
        </w:rPr>
        <w:t>80</w:t>
      </w:r>
      <w:r>
        <w:rPr>
          <w:rFonts w:hint="eastAsia" w:ascii="宋体" w:hAnsi="宋体" w:eastAsia="宋体" w:cs="宋体"/>
          <w:color w:val="auto"/>
          <w:sz w:val="21"/>
          <w:szCs w:val="21"/>
          <w:highlight w:val="none"/>
        </w:rPr>
        <w:t>mm×4</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mm</w:t>
      </w:r>
      <w:r>
        <w:rPr>
          <w:rFonts w:hint="eastAsia" w:ascii="宋体" w:hAnsi="宋体" w:cs="宋体"/>
          <w:b w:val="0"/>
          <w:bCs/>
          <w:color w:val="auto"/>
          <w:szCs w:val="21"/>
          <w:highlight w:val="none"/>
          <w:lang w:val="en-US" w:eastAsia="zh-CN"/>
        </w:rPr>
        <w:t>的</w:t>
      </w:r>
      <w:r>
        <w:rPr>
          <w:rFonts w:ascii="宋体" w:hAnsi="宋体" w:cs="宋体"/>
          <w:b w:val="0"/>
          <w:bCs/>
          <w:color w:val="auto"/>
          <w:szCs w:val="21"/>
          <w:highlight w:val="none"/>
        </w:rPr>
        <w:t>得</w:t>
      </w:r>
      <w:r>
        <w:rPr>
          <w:rFonts w:hint="eastAsia" w:ascii="宋体" w:hAnsi="宋体" w:cs="宋体"/>
          <w:b w:val="0"/>
          <w:bCs/>
          <w:color w:val="auto"/>
          <w:szCs w:val="21"/>
          <w:highlight w:val="none"/>
          <w:lang w:val="en-US" w:eastAsia="zh-CN"/>
        </w:rPr>
        <w:t>2</w:t>
      </w:r>
      <w:r>
        <w:rPr>
          <w:rFonts w:ascii="宋体" w:hAnsi="宋体" w:cs="宋体"/>
          <w:b w:val="0"/>
          <w:bCs/>
          <w:color w:val="auto"/>
          <w:szCs w:val="21"/>
          <w:highlight w:val="none"/>
        </w:rPr>
        <w:t>分，满分</w:t>
      </w:r>
      <w:r>
        <w:rPr>
          <w:rFonts w:hint="eastAsia" w:ascii="宋体" w:hAnsi="宋体" w:cs="宋体"/>
          <w:b w:val="0"/>
          <w:bCs/>
          <w:color w:val="auto"/>
          <w:szCs w:val="21"/>
          <w:highlight w:val="none"/>
          <w:lang w:val="en-US" w:eastAsia="zh-CN"/>
        </w:rPr>
        <w:t>2</w:t>
      </w:r>
      <w:r>
        <w:rPr>
          <w:rFonts w:ascii="宋体" w:hAnsi="宋体" w:cs="宋体"/>
          <w:b w:val="0"/>
          <w:bCs/>
          <w:color w:val="auto"/>
          <w:szCs w:val="21"/>
          <w:highlight w:val="none"/>
        </w:rPr>
        <w:t>分。</w:t>
      </w:r>
    </w:p>
    <w:p>
      <w:pPr>
        <w:keepNext w:val="0"/>
        <w:keepLines w:val="0"/>
        <w:pageBreakBefore w:val="0"/>
        <w:widowControl w:val="0"/>
        <w:kinsoku/>
        <w:wordWrap/>
        <w:overflowPunct/>
        <w:topLinePunct w:val="0"/>
        <w:autoSpaceDE/>
        <w:autoSpaceDN/>
        <w:bidi w:val="0"/>
        <w:adjustRightInd/>
        <w:snapToGrid/>
        <w:spacing w:line="320" w:lineRule="exact"/>
        <w:ind w:firstLine="421" w:firstLineChars="200"/>
        <w:textAlignment w:val="auto"/>
        <w:rPr>
          <w:rFonts w:ascii="宋体" w:hAnsi="宋体" w:cs="宋体"/>
          <w:b/>
          <w:bCs w:val="0"/>
          <w:color w:val="auto"/>
          <w:szCs w:val="21"/>
          <w:highlight w:val="none"/>
        </w:rPr>
      </w:pPr>
      <w:r>
        <w:rPr>
          <w:rFonts w:ascii="宋体" w:hAnsi="宋体" w:cs="宋体"/>
          <w:b/>
          <w:bCs w:val="0"/>
          <w:color w:val="auto"/>
          <w:szCs w:val="21"/>
          <w:highlight w:val="none"/>
        </w:rPr>
        <w:t>（2）小样展示分（满分</w:t>
      </w:r>
      <w:r>
        <w:rPr>
          <w:rFonts w:hint="eastAsia" w:ascii="宋体" w:hAnsi="宋体" w:cs="宋体"/>
          <w:b/>
          <w:bCs w:val="0"/>
          <w:color w:val="auto"/>
          <w:szCs w:val="21"/>
          <w:highlight w:val="none"/>
          <w:lang w:val="en-US" w:eastAsia="zh-CN"/>
        </w:rPr>
        <w:t>10</w:t>
      </w:r>
      <w:r>
        <w:rPr>
          <w:rFonts w:ascii="宋体" w:hAnsi="宋体" w:cs="宋体"/>
          <w:b/>
          <w:bCs w:val="0"/>
          <w:color w:val="auto"/>
          <w:szCs w:val="21"/>
          <w:highlight w:val="none"/>
        </w:rPr>
        <w:t>分）</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宋体" w:hAnsi="宋体" w:cs="宋体"/>
          <w:b w:val="0"/>
          <w:bCs/>
          <w:color w:val="auto"/>
          <w:szCs w:val="21"/>
        </w:rPr>
      </w:pPr>
      <w:r>
        <w:rPr>
          <w:rFonts w:ascii="宋体" w:hAnsi="宋体" w:cs="宋体"/>
          <w:b w:val="0"/>
          <w:bCs/>
          <w:color w:val="auto"/>
          <w:szCs w:val="21"/>
          <w:highlight w:val="none"/>
        </w:rPr>
        <w:t>由评标委员会根据采购需求综合评定</w:t>
      </w:r>
      <w:r>
        <w:rPr>
          <w:rFonts w:hint="eastAsia" w:ascii="宋体" w:hAnsi="宋体" w:cs="宋体"/>
          <w:b w:val="0"/>
          <w:bCs/>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宋体" w:hAnsi="宋体" w:cs="宋体"/>
          <w:b w:val="0"/>
          <w:bCs/>
          <w:szCs w:val="21"/>
        </w:rPr>
      </w:pPr>
      <w:r>
        <w:rPr>
          <w:rFonts w:ascii="宋体" w:hAnsi="宋体" w:cs="宋体"/>
          <w:b w:val="0"/>
          <w:bCs/>
          <w:color w:val="auto"/>
          <w:szCs w:val="21"/>
        </w:rPr>
        <w:t>①材质结构、实用性、功能性方面是否满足招标文</w:t>
      </w:r>
      <w:r>
        <w:rPr>
          <w:rFonts w:ascii="宋体" w:hAnsi="宋体" w:cs="宋体"/>
          <w:b w:val="0"/>
          <w:bCs/>
          <w:szCs w:val="21"/>
        </w:rPr>
        <w:t>件的采购需求要求；</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宋体" w:hAnsi="宋体" w:cs="宋体"/>
          <w:b w:val="0"/>
          <w:bCs/>
          <w:szCs w:val="21"/>
        </w:rPr>
      </w:pPr>
      <w:r>
        <w:rPr>
          <w:rFonts w:ascii="宋体" w:hAnsi="宋体" w:cs="宋体"/>
          <w:b w:val="0"/>
          <w:bCs/>
          <w:szCs w:val="21"/>
        </w:rPr>
        <w:t>②制作工艺、安全性方面优劣；</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b w:val="0"/>
          <w:bCs/>
          <w:szCs w:val="21"/>
          <w:lang w:eastAsia="zh-CN"/>
        </w:rPr>
      </w:pPr>
      <w:r>
        <w:rPr>
          <w:rFonts w:ascii="宋体" w:hAnsi="宋体" w:cs="宋体"/>
          <w:b w:val="0"/>
          <w:bCs/>
          <w:szCs w:val="21"/>
        </w:rPr>
        <w:t>③外观方面：金属件表面外观、焊接质量；漆膜的平整性、光滑性以及色泽匀称性，以及其他杂质和缺陷；</w:t>
      </w:r>
      <w:r>
        <w:rPr>
          <w:rFonts w:ascii="宋体" w:hAnsi="宋体" w:cs="宋体"/>
          <w:b/>
          <w:bCs w:val="0"/>
          <w:szCs w:val="21"/>
        </w:rPr>
        <w:t>塑料件</w:t>
      </w:r>
      <w:r>
        <w:rPr>
          <w:rFonts w:ascii="宋体" w:hAnsi="宋体" w:cs="宋体"/>
          <w:b w:val="0"/>
          <w:bCs/>
          <w:szCs w:val="21"/>
        </w:rPr>
        <w:t>是否有裂纹、变形，表面是否光洁、无杂质，有无色差等；</w:t>
      </w:r>
      <w:r>
        <w:rPr>
          <w:rFonts w:ascii="宋体" w:hAnsi="宋体" w:cs="宋体"/>
          <w:b/>
          <w:bCs w:val="0"/>
          <w:szCs w:val="21"/>
        </w:rPr>
        <w:t>人造板</w:t>
      </w:r>
      <w:r>
        <w:rPr>
          <w:rFonts w:ascii="宋体" w:hAnsi="宋体" w:cs="宋体"/>
          <w:b w:val="0"/>
          <w:bCs/>
          <w:szCs w:val="21"/>
        </w:rPr>
        <w:t>有无压痕、划痕、色差等，有无鼓包、龟裂、分层等</w:t>
      </w:r>
      <w:r>
        <w:rPr>
          <w:rFonts w:hint="eastAsia" w:ascii="宋体" w:hAnsi="宋体" w:cs="宋体"/>
          <w:b w:val="0"/>
          <w:bCs/>
          <w:szCs w:val="21"/>
          <w:lang w:eastAsia="zh-CN"/>
        </w:rPr>
        <w:t>。</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hAnsi="宋体" w:cs="宋体"/>
          <w:b w:val="0"/>
          <w:bCs/>
          <w:color w:val="auto"/>
          <w:szCs w:val="21"/>
        </w:rPr>
      </w:pPr>
      <w:r>
        <w:rPr>
          <w:rFonts w:ascii="宋体" w:hAnsi="宋体" w:cs="宋体"/>
          <w:b w:val="0"/>
          <w:bCs/>
          <w:color w:val="auto"/>
          <w:szCs w:val="21"/>
        </w:rPr>
        <w:t>提供符合招标文件采购需求小样中序号1-</w:t>
      </w:r>
      <w:r>
        <w:rPr>
          <w:rFonts w:hint="eastAsia" w:ascii="宋体" w:hAnsi="宋体" w:cs="宋体"/>
          <w:b w:val="0"/>
          <w:bCs/>
          <w:color w:val="auto"/>
          <w:szCs w:val="21"/>
          <w:lang w:val="en-US" w:eastAsia="zh-CN"/>
        </w:rPr>
        <w:t>5</w:t>
      </w:r>
      <w:r>
        <w:rPr>
          <w:rFonts w:ascii="宋体" w:hAnsi="宋体" w:cs="宋体"/>
          <w:b w:val="0"/>
          <w:bCs/>
          <w:color w:val="auto"/>
          <w:szCs w:val="21"/>
        </w:rPr>
        <w:t>号小样，小样材质、结构、实用性、功能性方面，制作工艺、安全性等满足招标文件的采购需求要求，小样无瑕疵，每有一个小样满足得</w:t>
      </w:r>
      <w:r>
        <w:rPr>
          <w:rFonts w:hint="eastAsia" w:ascii="宋体" w:hAnsi="宋体" w:cs="宋体"/>
          <w:b w:val="0"/>
          <w:bCs/>
          <w:color w:val="auto"/>
          <w:szCs w:val="21"/>
          <w:lang w:val="en-US" w:eastAsia="zh-CN"/>
        </w:rPr>
        <w:t>2</w:t>
      </w:r>
      <w:r>
        <w:rPr>
          <w:rFonts w:ascii="宋体" w:hAnsi="宋体" w:cs="宋体"/>
          <w:b w:val="0"/>
          <w:bCs/>
          <w:color w:val="auto"/>
          <w:szCs w:val="21"/>
        </w:rPr>
        <w:t>分；有少量瑕疵（如有明显的焊渣、焊疤、裂缝、毛刺、黑斑、外观损伤等瑕疵的），不影响实际使用的，每有一个小样满足得</w:t>
      </w:r>
      <w:r>
        <w:rPr>
          <w:rFonts w:hint="eastAsia" w:ascii="宋体" w:hAnsi="宋体" w:cs="宋体"/>
          <w:b w:val="0"/>
          <w:bCs/>
          <w:color w:val="auto"/>
          <w:szCs w:val="21"/>
          <w:lang w:val="en-US" w:eastAsia="zh-CN"/>
        </w:rPr>
        <w:t>1</w:t>
      </w:r>
      <w:r>
        <w:rPr>
          <w:rFonts w:ascii="宋体" w:hAnsi="宋体" w:cs="宋体"/>
          <w:b w:val="0"/>
          <w:bCs/>
          <w:color w:val="auto"/>
          <w:szCs w:val="21"/>
        </w:rPr>
        <w:t>分；</w:t>
      </w:r>
      <w:r>
        <w:rPr>
          <w:rFonts w:hint="eastAsia" w:ascii="宋体" w:hAnsi="宋体" w:cs="宋体"/>
          <w:b w:val="0"/>
          <w:bCs/>
          <w:color w:val="auto"/>
          <w:szCs w:val="21"/>
          <w:highlight w:val="none"/>
          <w:lang w:eastAsia="zh-CN"/>
        </w:rPr>
        <w:t>提供</w:t>
      </w:r>
      <w:r>
        <w:rPr>
          <w:rFonts w:ascii="宋体" w:hAnsi="宋体" w:cs="宋体"/>
          <w:b w:val="0"/>
          <w:bCs/>
          <w:color w:val="auto"/>
          <w:szCs w:val="21"/>
          <w:highlight w:val="none"/>
        </w:rPr>
        <w:t>不符合招标文件的采购需求要求小样或未提供小样的或提供小样数量不全的得0分。</w:t>
      </w:r>
    </w:p>
    <w:p>
      <w:pPr>
        <w:keepNext w:val="0"/>
        <w:keepLines w:val="0"/>
        <w:pageBreakBefore w:val="0"/>
        <w:widowControl w:val="0"/>
        <w:kinsoku/>
        <w:wordWrap/>
        <w:overflowPunct/>
        <w:topLinePunct w:val="0"/>
        <w:autoSpaceDE/>
        <w:autoSpaceDN/>
        <w:bidi w:val="0"/>
        <w:adjustRightInd/>
        <w:snapToGrid/>
        <w:spacing w:line="320" w:lineRule="exact"/>
        <w:ind w:firstLine="421" w:firstLineChars="200"/>
        <w:textAlignment w:val="auto"/>
        <w:rPr>
          <w:rFonts w:ascii="宋体" w:hAnsi="宋体" w:cs="宋体"/>
          <w:b w:val="0"/>
          <w:bCs/>
          <w:color w:val="auto"/>
          <w:szCs w:val="21"/>
        </w:rPr>
      </w:pPr>
      <w:r>
        <w:rPr>
          <w:rFonts w:ascii="宋体" w:hAnsi="宋体" w:cs="宋体"/>
          <w:b/>
          <w:bCs w:val="0"/>
          <w:color w:val="auto"/>
          <w:szCs w:val="21"/>
        </w:rPr>
        <w:t>（3）设计方案分（满分12分</w:t>
      </w:r>
      <w:r>
        <w:rPr>
          <w:rFonts w:ascii="宋体" w:hAnsi="宋体" w:cs="宋体"/>
          <w:b w:val="0"/>
          <w:bCs/>
          <w:color w:val="auto"/>
          <w:szCs w:val="21"/>
        </w:rPr>
        <w:t>）</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hAnsi="宋体" w:cs="宋体"/>
          <w:b w:val="0"/>
          <w:bCs/>
          <w:color w:val="auto"/>
          <w:szCs w:val="21"/>
          <w:highlight w:val="none"/>
        </w:rPr>
      </w:pPr>
      <w:r>
        <w:rPr>
          <w:rFonts w:ascii="宋体" w:hAnsi="宋体" w:cs="宋体"/>
          <w:b w:val="0"/>
          <w:bCs/>
          <w:color w:val="auto"/>
          <w:szCs w:val="21"/>
        </w:rPr>
        <w:t>评标委员会根据投标人针对本项目</w:t>
      </w:r>
      <w:r>
        <w:rPr>
          <w:rFonts w:hint="eastAsia" w:ascii="宋体" w:hAnsi="宋体" w:cs="宋体"/>
          <w:b w:val="0"/>
          <w:bCs/>
          <w:color w:val="auto"/>
          <w:szCs w:val="21"/>
          <w:lang w:val="en-US" w:eastAsia="zh-CN"/>
        </w:rPr>
        <w:t>场地平面图</w:t>
      </w:r>
      <w:r>
        <w:rPr>
          <w:rFonts w:ascii="宋体" w:hAnsi="宋体" w:cs="宋体"/>
          <w:b w:val="0"/>
          <w:bCs/>
          <w:color w:val="auto"/>
          <w:szCs w:val="21"/>
        </w:rPr>
        <w:t>自行进行调研后提供的产品设计结构图、产品效果图、</w:t>
      </w:r>
      <w:r>
        <w:rPr>
          <w:rFonts w:ascii="宋体" w:hAnsi="宋体" w:cs="宋体"/>
          <w:b w:val="0"/>
          <w:bCs/>
          <w:color w:val="auto"/>
          <w:szCs w:val="21"/>
          <w:highlight w:val="none"/>
        </w:rPr>
        <w:t>产品系统使用功能描述等内容，考核产品设计的安全实用性</w:t>
      </w:r>
      <w:r>
        <w:rPr>
          <w:rFonts w:ascii="宋体" w:hAnsi="宋体" w:cs="宋体"/>
          <w:b w:val="0"/>
          <w:bCs/>
          <w:szCs w:val="21"/>
          <w:highlight w:val="none"/>
        </w:rPr>
        <w:t>、规范合理性、创新性等。不满足最低进档要求该项得</w:t>
      </w:r>
      <w:r>
        <w:rPr>
          <w:rFonts w:ascii="宋体" w:hAnsi="宋体" w:cs="宋体"/>
          <w:b w:val="0"/>
          <w:bCs/>
          <w:color w:val="auto"/>
          <w:szCs w:val="21"/>
          <w:highlight w:val="none"/>
        </w:rPr>
        <w:t>0分。</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hAnsi="宋体" w:cs="宋体"/>
          <w:b w:val="0"/>
          <w:bCs/>
          <w:szCs w:val="21"/>
          <w:highlight w:val="none"/>
        </w:rPr>
      </w:pPr>
      <w:r>
        <w:rPr>
          <w:rFonts w:ascii="宋体" w:hAnsi="宋体" w:cs="宋体"/>
          <w:b w:val="0"/>
          <w:bCs/>
          <w:szCs w:val="21"/>
          <w:highlight w:val="none"/>
        </w:rPr>
        <w:t>一档（3分)：产品设计安全实用，能提供产品设计结构图、产品效果图，但提供不齐全，或规格尺寸等细节不清晰。</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hAnsi="宋体" w:cs="宋体"/>
          <w:b w:val="0"/>
          <w:bCs/>
          <w:szCs w:val="21"/>
          <w:highlight w:val="none"/>
        </w:rPr>
      </w:pPr>
      <w:r>
        <w:rPr>
          <w:rFonts w:ascii="宋体" w:hAnsi="宋体" w:cs="宋体"/>
          <w:b w:val="0"/>
          <w:bCs/>
          <w:szCs w:val="21"/>
          <w:highlight w:val="none"/>
        </w:rPr>
        <w:t>二档（6分)：能提供产品设计结构图、产品效果图以及部分主要零部件图片图，规格尺寸等细节清晰明确，能够提供产品主要零部件效果图</w:t>
      </w:r>
      <w:r>
        <w:rPr>
          <w:rFonts w:hint="eastAsia" w:ascii="宋体" w:hAnsi="宋体" w:cs="宋体"/>
          <w:b w:val="0"/>
          <w:bCs/>
          <w:szCs w:val="21"/>
          <w:highlight w:val="none"/>
          <w:lang w:eastAsia="zh-CN"/>
        </w:rPr>
        <w:t>【</w:t>
      </w:r>
      <w:r>
        <w:rPr>
          <w:rFonts w:ascii="宋体" w:hAnsi="宋体" w:cs="宋体"/>
          <w:b w:val="0"/>
          <w:bCs/>
          <w:szCs w:val="21"/>
          <w:highlight w:val="none"/>
        </w:rPr>
        <w:t>立柱</w:t>
      </w:r>
      <w:r>
        <w:rPr>
          <w:rFonts w:hint="eastAsia" w:ascii="宋体" w:hAnsi="宋体" w:cs="宋体"/>
          <w:b w:val="0"/>
          <w:bCs/>
          <w:szCs w:val="21"/>
          <w:highlight w:val="none"/>
          <w:lang w:eastAsia="zh-CN"/>
        </w:rPr>
        <w:t>（</w:t>
      </w:r>
      <w:r>
        <w:rPr>
          <w:rFonts w:hint="eastAsia" w:ascii="宋体" w:hAnsi="宋体" w:cs="宋体"/>
          <w:b w:val="0"/>
          <w:bCs/>
          <w:szCs w:val="21"/>
          <w:highlight w:val="none"/>
          <w:lang w:val="en-US" w:eastAsia="zh-CN"/>
        </w:rPr>
        <w:t>含</w:t>
      </w:r>
      <w:r>
        <w:rPr>
          <w:rFonts w:ascii="宋体" w:hAnsi="宋体" w:cs="宋体"/>
          <w:b w:val="0"/>
          <w:bCs/>
          <w:szCs w:val="21"/>
          <w:highlight w:val="none"/>
        </w:rPr>
        <w:t>脚套</w:t>
      </w:r>
      <w:r>
        <w:rPr>
          <w:rFonts w:hint="eastAsia" w:ascii="宋体" w:hAnsi="宋体" w:cs="宋体"/>
          <w:b w:val="0"/>
          <w:bCs/>
          <w:szCs w:val="21"/>
          <w:highlight w:val="none"/>
          <w:lang w:eastAsia="zh-CN"/>
        </w:rPr>
        <w:t>）</w:t>
      </w:r>
      <w:r>
        <w:rPr>
          <w:rFonts w:ascii="宋体" w:hAnsi="宋体" w:cs="宋体"/>
          <w:b w:val="0"/>
          <w:bCs/>
          <w:szCs w:val="21"/>
          <w:highlight w:val="none"/>
        </w:rPr>
        <w:t>、床厅、床厅护栏、公寓椅面板、公寓椅靠背、学习</w:t>
      </w:r>
      <w:r>
        <w:rPr>
          <w:rFonts w:hint="eastAsia" w:ascii="宋体" w:hAnsi="宋体" w:cs="宋体"/>
          <w:b w:val="0"/>
          <w:bCs/>
          <w:szCs w:val="21"/>
          <w:highlight w:val="none"/>
          <w:lang w:val="en-US" w:eastAsia="zh-CN"/>
        </w:rPr>
        <w:t>书桌</w:t>
      </w:r>
      <w:r>
        <w:rPr>
          <w:rFonts w:ascii="宋体" w:hAnsi="宋体" w:cs="宋体"/>
          <w:b w:val="0"/>
          <w:bCs/>
          <w:szCs w:val="21"/>
          <w:highlight w:val="none"/>
        </w:rPr>
        <w:t>桌面、衣柜柜门、爬梯等部件</w:t>
      </w:r>
      <w:r>
        <w:rPr>
          <w:rFonts w:hint="eastAsia" w:ascii="宋体" w:hAnsi="宋体" w:cs="宋体"/>
          <w:b w:val="0"/>
          <w:bCs/>
          <w:szCs w:val="21"/>
          <w:highlight w:val="none"/>
          <w:lang w:eastAsia="zh-CN"/>
        </w:rPr>
        <w:t>】</w:t>
      </w:r>
      <w:r>
        <w:rPr>
          <w:rFonts w:ascii="宋体" w:hAnsi="宋体" w:cs="宋体"/>
          <w:b w:val="0"/>
          <w:bCs/>
          <w:szCs w:val="21"/>
          <w:highlight w:val="none"/>
        </w:rPr>
        <w:t>。</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hAnsi="宋体" w:cs="宋体"/>
          <w:b w:val="0"/>
          <w:bCs/>
          <w:szCs w:val="21"/>
          <w:highlight w:val="none"/>
        </w:rPr>
      </w:pPr>
      <w:r>
        <w:rPr>
          <w:rFonts w:ascii="宋体" w:hAnsi="宋体" w:cs="宋体"/>
          <w:b w:val="0"/>
          <w:bCs/>
          <w:szCs w:val="21"/>
          <w:highlight w:val="none"/>
        </w:rPr>
        <w:t>三档（9分)：在满足二档基础上，有产品使用功能描述、产品设计规范合理，能够提供产品真实可靠的生产工艺流程及产品主要零部件效果图</w:t>
      </w:r>
      <w:r>
        <w:rPr>
          <w:rFonts w:hint="eastAsia" w:ascii="宋体" w:hAnsi="宋体" w:cs="宋体"/>
          <w:b w:val="0"/>
          <w:bCs/>
          <w:szCs w:val="21"/>
          <w:highlight w:val="none"/>
          <w:lang w:eastAsia="zh-CN"/>
        </w:rPr>
        <w:t>【</w:t>
      </w:r>
      <w:r>
        <w:rPr>
          <w:rFonts w:ascii="宋体" w:hAnsi="宋体" w:cs="宋体"/>
          <w:b w:val="0"/>
          <w:bCs/>
          <w:szCs w:val="21"/>
          <w:highlight w:val="none"/>
        </w:rPr>
        <w:t>立柱</w:t>
      </w:r>
      <w:r>
        <w:rPr>
          <w:rFonts w:hint="eastAsia" w:ascii="宋体" w:hAnsi="宋体" w:cs="宋体"/>
          <w:b w:val="0"/>
          <w:bCs/>
          <w:szCs w:val="21"/>
          <w:highlight w:val="none"/>
          <w:lang w:eastAsia="zh-CN"/>
        </w:rPr>
        <w:t>（</w:t>
      </w:r>
      <w:r>
        <w:rPr>
          <w:rFonts w:hint="eastAsia" w:ascii="宋体" w:hAnsi="宋体" w:cs="宋体"/>
          <w:b w:val="0"/>
          <w:bCs/>
          <w:szCs w:val="21"/>
          <w:highlight w:val="none"/>
          <w:lang w:val="en-US" w:eastAsia="zh-CN"/>
        </w:rPr>
        <w:t>含</w:t>
      </w:r>
      <w:r>
        <w:rPr>
          <w:rFonts w:ascii="宋体" w:hAnsi="宋体" w:cs="宋体"/>
          <w:b w:val="0"/>
          <w:bCs/>
          <w:szCs w:val="21"/>
          <w:highlight w:val="none"/>
        </w:rPr>
        <w:t>脚套</w:t>
      </w:r>
      <w:r>
        <w:rPr>
          <w:rFonts w:hint="eastAsia" w:ascii="宋体" w:hAnsi="宋体" w:cs="宋体"/>
          <w:b w:val="0"/>
          <w:bCs/>
          <w:szCs w:val="21"/>
          <w:highlight w:val="none"/>
          <w:lang w:eastAsia="zh-CN"/>
        </w:rPr>
        <w:t>）</w:t>
      </w:r>
      <w:r>
        <w:rPr>
          <w:rFonts w:ascii="宋体" w:hAnsi="宋体" w:cs="宋体"/>
          <w:b w:val="0"/>
          <w:bCs/>
          <w:szCs w:val="21"/>
          <w:highlight w:val="none"/>
        </w:rPr>
        <w:t>、床厅、床厅护栏、公寓椅面板、公寓椅靠背、学习</w:t>
      </w:r>
      <w:r>
        <w:rPr>
          <w:rFonts w:hint="eastAsia" w:ascii="宋体" w:hAnsi="宋体" w:cs="宋体"/>
          <w:b w:val="0"/>
          <w:bCs/>
          <w:szCs w:val="21"/>
          <w:highlight w:val="none"/>
          <w:lang w:val="en-US" w:eastAsia="zh-CN"/>
        </w:rPr>
        <w:t>书桌</w:t>
      </w:r>
      <w:r>
        <w:rPr>
          <w:rFonts w:ascii="宋体" w:hAnsi="宋体" w:cs="宋体"/>
          <w:b w:val="0"/>
          <w:bCs/>
          <w:szCs w:val="21"/>
          <w:highlight w:val="none"/>
        </w:rPr>
        <w:t>桌面、衣柜柜门、爬梯等部件</w:t>
      </w:r>
      <w:r>
        <w:rPr>
          <w:rFonts w:hint="eastAsia" w:ascii="宋体" w:hAnsi="宋体" w:cs="宋体"/>
          <w:b w:val="0"/>
          <w:bCs/>
          <w:szCs w:val="21"/>
          <w:highlight w:val="none"/>
          <w:lang w:eastAsia="zh-CN"/>
        </w:rPr>
        <w:t>】</w:t>
      </w:r>
      <w:r>
        <w:rPr>
          <w:rFonts w:ascii="宋体" w:hAnsi="宋体" w:cs="宋体"/>
          <w:b w:val="0"/>
          <w:bCs/>
          <w:szCs w:val="21"/>
          <w:highlight w:val="none"/>
        </w:rPr>
        <w:t>，且可清晰看见符合技术参数要求的标尺测量规格尺寸。</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eastAsia="宋体"/>
          <w:color w:val="auto"/>
          <w:lang w:eastAsia="zh-CN"/>
        </w:rPr>
      </w:pPr>
      <w:r>
        <w:rPr>
          <w:rFonts w:ascii="宋体" w:hAnsi="宋体" w:cs="宋体"/>
          <w:b w:val="0"/>
          <w:bCs/>
          <w:szCs w:val="21"/>
        </w:rPr>
        <w:t>四档（12分)：在满足三档基础上，外观设计、款式结构、色彩搭配等方面和谐美观，款式新颖，产品设计功能、便利性契合采购人实际需求，有产品深度优化设计且经评标委员会认可的，整体设计布置图（摆放布置，空间利用率等）能够满足采购人现场实际情况，契合采购人实际需</w:t>
      </w:r>
      <w:r>
        <w:rPr>
          <w:rFonts w:ascii="宋体" w:hAnsi="宋体" w:cs="宋体"/>
          <w:b w:val="0"/>
          <w:bCs/>
          <w:color w:val="auto"/>
          <w:szCs w:val="21"/>
        </w:rPr>
        <w:t>求</w:t>
      </w:r>
      <w:r>
        <w:rPr>
          <w:rFonts w:hint="eastAsia" w:ascii="宋体" w:hAnsi="宋体" w:cs="宋体"/>
          <w:b w:val="0"/>
          <w:bCs/>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40" w:lineRule="exact"/>
        <w:ind w:firstLine="421" w:firstLineChars="200"/>
        <w:textAlignment w:val="auto"/>
        <w:rPr>
          <w:rFonts w:ascii="宋体" w:hAnsi="宋体" w:cs="宋体"/>
          <w:b/>
          <w:bCs w:val="0"/>
          <w:szCs w:val="21"/>
        </w:rPr>
      </w:pPr>
      <w:r>
        <w:rPr>
          <w:rFonts w:ascii="宋体" w:hAnsi="宋体" w:cs="宋体"/>
          <w:b/>
          <w:bCs w:val="0"/>
          <w:szCs w:val="21"/>
        </w:rPr>
        <w:t>（4）项目实施方案分（满分12分）</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hAnsi="宋体" w:cs="宋体"/>
          <w:b w:val="0"/>
          <w:bCs/>
          <w:szCs w:val="21"/>
        </w:rPr>
      </w:pPr>
      <w:r>
        <w:rPr>
          <w:rFonts w:ascii="宋体" w:hAnsi="宋体" w:cs="宋体"/>
          <w:b w:val="0"/>
          <w:bCs/>
          <w:szCs w:val="21"/>
        </w:rPr>
        <w:t>由评委对各投标人提供的项目实施方案等内容，按以下标准进行独立评审，并独立打分。不满足最低进档要求得0分。</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hAnsi="宋体" w:cs="宋体"/>
          <w:b w:val="0"/>
          <w:bCs/>
          <w:szCs w:val="21"/>
        </w:rPr>
      </w:pPr>
      <w:r>
        <w:rPr>
          <w:rFonts w:ascii="宋体" w:hAnsi="宋体" w:cs="宋体"/>
          <w:b w:val="0"/>
          <w:bCs/>
          <w:szCs w:val="21"/>
        </w:rPr>
        <w:t>一档（3分）：项目管理实施方案进度安排合理，方案推进保证具体措施到位；配套有货物存放场地、运输工具、承诺项目能按期完成并交付使用、项目实施人员配备合理，有详细供货配送方案、安装调试及培训方案。</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hAnsi="宋体" w:cs="宋体"/>
          <w:b w:val="0"/>
          <w:bCs/>
          <w:szCs w:val="21"/>
        </w:rPr>
      </w:pPr>
      <w:r>
        <w:rPr>
          <w:rFonts w:ascii="宋体" w:hAnsi="宋体" w:cs="宋体"/>
          <w:b w:val="0"/>
          <w:bCs/>
          <w:szCs w:val="21"/>
        </w:rPr>
        <w:t>二档（6分）：在满足一档的基础上，项目实施人员配备充足，交货日期优于采购需求，具有安装质量和安全保证措施，对本项目的风险预见、风险应对措施完备，有完善的项目解决方案。</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hAnsi="宋体" w:cs="宋体"/>
          <w:b w:val="0"/>
          <w:bCs/>
          <w:szCs w:val="21"/>
        </w:rPr>
      </w:pPr>
      <w:r>
        <w:rPr>
          <w:rFonts w:ascii="宋体" w:hAnsi="宋体" w:cs="宋体"/>
          <w:b w:val="0"/>
          <w:bCs/>
          <w:szCs w:val="21"/>
        </w:rPr>
        <w:t>三档（9分）：在满足二档的基础上，具有专业项目实施人员、项目实施组织机构完整，分工与职责明确；提供应急预案，具有对突发计划外供货需求的应对能力，大件家具需要紧急搬运重组需求的应对能力，承诺紧急服务时限。</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hAnsi="宋体" w:cs="宋体"/>
          <w:b w:val="0"/>
          <w:bCs/>
          <w:szCs w:val="21"/>
        </w:rPr>
      </w:pPr>
      <w:r>
        <w:rPr>
          <w:rFonts w:ascii="宋体" w:hAnsi="宋体" w:cs="宋体"/>
          <w:b w:val="0"/>
          <w:bCs/>
          <w:szCs w:val="21"/>
        </w:rPr>
        <w:t>四档（12分）：在满足三档的基础上，经评标委员会综合评定项目实施方案提出具有建设性的优化建议，建议的安装、调试、验收方法或方案契合采购单位场地实际情况；有各类产品生产流程、工艺保障措施、环境保障措施、项目生产进度安排及管控措施、包装方案、产品出厂标准。</w:t>
      </w:r>
    </w:p>
    <w:p>
      <w:pPr>
        <w:keepNext w:val="0"/>
        <w:keepLines w:val="0"/>
        <w:pageBreakBefore w:val="0"/>
        <w:widowControl w:val="0"/>
        <w:kinsoku/>
        <w:wordWrap/>
        <w:overflowPunct/>
        <w:topLinePunct w:val="0"/>
        <w:autoSpaceDE/>
        <w:autoSpaceDN/>
        <w:bidi w:val="0"/>
        <w:adjustRightInd/>
        <w:snapToGrid/>
        <w:spacing w:line="320" w:lineRule="exact"/>
        <w:ind w:firstLine="421" w:firstLineChars="200"/>
        <w:textAlignment w:val="auto"/>
        <w:rPr>
          <w:rFonts w:ascii="宋体" w:hAnsi="宋体" w:cs="宋体"/>
          <w:b/>
          <w:bCs w:val="0"/>
          <w:szCs w:val="21"/>
        </w:rPr>
      </w:pPr>
      <w:r>
        <w:rPr>
          <w:rFonts w:ascii="宋体" w:hAnsi="宋体" w:cs="宋体"/>
          <w:b/>
          <w:bCs w:val="0"/>
          <w:szCs w:val="21"/>
        </w:rPr>
        <w:t>3.</w:t>
      </w:r>
      <w:r>
        <w:rPr>
          <w:rFonts w:ascii="宋体" w:hAnsi="宋体" w:cs="宋体"/>
          <w:b/>
          <w:bCs w:val="0"/>
          <w:szCs w:val="21"/>
          <w:lang w:val="en"/>
        </w:rPr>
        <w:t>商务</w:t>
      </w:r>
      <w:r>
        <w:rPr>
          <w:rFonts w:ascii="宋体" w:hAnsi="宋体" w:cs="宋体"/>
          <w:b/>
          <w:bCs w:val="0"/>
          <w:szCs w:val="21"/>
        </w:rPr>
        <w:t>分…………………………………………………………………</w:t>
      </w:r>
      <w:r>
        <w:rPr>
          <w:rFonts w:ascii="宋体" w:hAnsi="宋体" w:cs="宋体"/>
          <w:b/>
          <w:bCs w:val="0"/>
          <w:color w:val="auto"/>
          <w:szCs w:val="21"/>
        </w:rPr>
        <w:t>……………………</w:t>
      </w:r>
      <w:r>
        <w:rPr>
          <w:rFonts w:ascii="宋体" w:hAnsi="宋体" w:cs="宋体"/>
          <w:b/>
          <w:bCs w:val="0"/>
          <w:szCs w:val="21"/>
        </w:rPr>
        <w:t>2</w:t>
      </w:r>
      <w:r>
        <w:rPr>
          <w:rFonts w:hint="eastAsia" w:ascii="宋体" w:hAnsi="宋体" w:cs="宋体"/>
          <w:b/>
          <w:bCs w:val="0"/>
          <w:szCs w:val="21"/>
          <w:lang w:val="en-US" w:eastAsia="zh-CN"/>
        </w:rPr>
        <w:t>3</w:t>
      </w:r>
      <w:r>
        <w:rPr>
          <w:rFonts w:ascii="宋体" w:hAnsi="宋体" w:cs="宋体"/>
          <w:b/>
          <w:bCs w:val="0"/>
          <w:szCs w:val="21"/>
        </w:rPr>
        <w:t>分</w:t>
      </w:r>
    </w:p>
    <w:p>
      <w:pPr>
        <w:keepNext w:val="0"/>
        <w:keepLines w:val="0"/>
        <w:pageBreakBefore w:val="0"/>
        <w:widowControl w:val="0"/>
        <w:kinsoku/>
        <w:wordWrap/>
        <w:overflowPunct/>
        <w:topLinePunct w:val="0"/>
        <w:autoSpaceDE/>
        <w:autoSpaceDN/>
        <w:bidi w:val="0"/>
        <w:adjustRightInd/>
        <w:snapToGrid/>
        <w:spacing w:line="320" w:lineRule="exact"/>
        <w:ind w:firstLine="421" w:firstLineChars="200"/>
        <w:textAlignment w:val="auto"/>
        <w:rPr>
          <w:rFonts w:ascii="宋体" w:hAnsi="宋体" w:cs="宋体"/>
          <w:b w:val="0"/>
          <w:bCs/>
          <w:szCs w:val="21"/>
        </w:rPr>
      </w:pPr>
      <w:r>
        <w:rPr>
          <w:rFonts w:ascii="宋体" w:hAnsi="宋体" w:cs="宋体"/>
          <w:b/>
          <w:bCs w:val="0"/>
          <w:szCs w:val="21"/>
        </w:rPr>
        <w:t>（1）售后服务保障分（满分9分）</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宋体" w:hAnsi="宋体" w:cs="宋体"/>
          <w:b w:val="0"/>
          <w:bCs/>
          <w:szCs w:val="21"/>
        </w:rPr>
      </w:pPr>
      <w:r>
        <w:rPr>
          <w:rFonts w:ascii="宋体" w:hAnsi="宋体" w:cs="宋体"/>
          <w:b w:val="0"/>
          <w:bCs/>
          <w:szCs w:val="21"/>
        </w:rPr>
        <w:t>由评委对各投标人提供的售后服务方案内容按以下标准进行独立评审，并独立打分。不满足最低进档要求得0分。</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宋体" w:hAnsi="宋体" w:cs="宋体"/>
          <w:b w:val="0"/>
          <w:bCs/>
          <w:szCs w:val="21"/>
        </w:rPr>
      </w:pPr>
      <w:r>
        <w:rPr>
          <w:rFonts w:ascii="宋体" w:hAnsi="宋体" w:cs="宋体"/>
          <w:b w:val="0"/>
          <w:bCs/>
          <w:szCs w:val="21"/>
        </w:rPr>
        <w:t>一档（3分）：售后服务承诺书至少包含质保期、供货时间、接到故障通知后到达时间、处理故障时间、免费培训方案、零配件优惠措施、其他优惠条件等内容的承诺，只进行承诺，缺少可靠的售后服务保障措施。</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宋体" w:hAnsi="宋体" w:cs="宋体"/>
          <w:b w:val="0"/>
          <w:bCs/>
          <w:szCs w:val="21"/>
        </w:rPr>
      </w:pPr>
      <w:r>
        <w:rPr>
          <w:rFonts w:ascii="宋体" w:hAnsi="宋体" w:cs="宋体"/>
          <w:b w:val="0"/>
          <w:bCs/>
          <w:szCs w:val="21"/>
        </w:rPr>
        <w:t>二档（6分）：在满足一档的基础上，能够提供充足的维保人员名单及联系方式，有可靠的售后服务保障措施，能提供售后服务相关设施设备等有效的证明材料。</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宋体" w:hAnsi="宋体" w:cs="宋体"/>
          <w:b w:val="0"/>
          <w:bCs/>
          <w:szCs w:val="21"/>
        </w:rPr>
      </w:pPr>
      <w:r>
        <w:rPr>
          <w:rFonts w:ascii="宋体" w:hAnsi="宋体" w:cs="宋体"/>
          <w:b w:val="0"/>
          <w:bCs/>
          <w:szCs w:val="21"/>
        </w:rPr>
        <w:t>三档（9分）：在满足二档的基础上，提供定期维护服务内容（注明时间）、有售后服务专用车辆，能够承诺质保期满前一个月及质保期内每年进行一次全面检修与保养，有售后服务相关可靠的服务评价及投诉渠道以及针对不同情况的应对措施和应急预案。</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宋体" w:hAnsi="宋体" w:cs="宋体"/>
          <w:b/>
          <w:bCs w:val="0"/>
          <w:szCs w:val="21"/>
        </w:rPr>
      </w:pPr>
      <w:r>
        <w:rPr>
          <w:rFonts w:ascii="宋体" w:hAnsi="宋体" w:cs="宋体"/>
          <w:b w:val="0"/>
          <w:bCs/>
          <w:szCs w:val="21"/>
        </w:rPr>
        <w:t xml:space="preserve"> </w:t>
      </w:r>
      <w:r>
        <w:rPr>
          <w:rFonts w:ascii="宋体" w:hAnsi="宋体" w:cs="宋体"/>
          <w:b/>
          <w:bCs w:val="0"/>
          <w:szCs w:val="21"/>
        </w:rPr>
        <w:t>（2）业绩分（满分</w:t>
      </w:r>
      <w:r>
        <w:rPr>
          <w:rFonts w:hint="eastAsia" w:ascii="宋体" w:hAnsi="宋体" w:cs="宋体"/>
          <w:b/>
          <w:bCs w:val="0"/>
          <w:szCs w:val="21"/>
          <w:lang w:val="en-US" w:eastAsia="zh-CN"/>
        </w:rPr>
        <w:t>7</w:t>
      </w:r>
      <w:r>
        <w:rPr>
          <w:rFonts w:ascii="宋体" w:hAnsi="宋体" w:cs="宋体"/>
          <w:b/>
          <w:bCs w:val="0"/>
          <w:szCs w:val="21"/>
        </w:rPr>
        <w:t>分）</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宋体" w:hAnsi="宋体" w:cs="宋体"/>
          <w:b w:val="0"/>
          <w:bCs/>
          <w:szCs w:val="21"/>
        </w:rPr>
      </w:pPr>
      <w:r>
        <w:rPr>
          <w:rFonts w:ascii="宋体" w:hAnsi="宋体" w:cs="宋体"/>
          <w:b w:val="0"/>
          <w:bCs/>
          <w:szCs w:val="21"/>
        </w:rPr>
        <w:t>投标人2023年7月1日以来有公寓床类或组合家具类的销售业绩，须提供合同复印件、项目验收合格复印件（原件备查），未按此要求提供的不得分，每</w:t>
      </w:r>
      <w:r>
        <w:rPr>
          <w:rFonts w:hint="eastAsia" w:ascii="宋体" w:hAnsi="宋体" w:cs="宋体"/>
          <w:b w:val="0"/>
          <w:bCs/>
          <w:szCs w:val="21"/>
          <w:lang w:eastAsia="zh-CN"/>
        </w:rPr>
        <w:t>有</w:t>
      </w:r>
      <w:r>
        <w:rPr>
          <w:rFonts w:hint="eastAsia" w:ascii="宋体" w:hAnsi="宋体" w:cs="宋体"/>
          <w:b w:val="0"/>
          <w:bCs/>
          <w:szCs w:val="21"/>
          <w:lang w:val="en-US" w:eastAsia="zh-CN"/>
        </w:rPr>
        <w:t>1</w:t>
      </w:r>
      <w:r>
        <w:rPr>
          <w:rFonts w:ascii="宋体" w:hAnsi="宋体" w:cs="宋体"/>
          <w:b w:val="0"/>
          <w:bCs/>
          <w:szCs w:val="21"/>
        </w:rPr>
        <w:t>项得1分，满分</w:t>
      </w:r>
      <w:r>
        <w:rPr>
          <w:rFonts w:hint="eastAsia" w:ascii="宋体" w:hAnsi="宋体" w:cs="宋体"/>
          <w:b w:val="0"/>
          <w:bCs/>
          <w:szCs w:val="21"/>
          <w:lang w:val="en-US" w:eastAsia="zh-CN"/>
        </w:rPr>
        <w:t>7</w:t>
      </w:r>
      <w:r>
        <w:rPr>
          <w:rFonts w:ascii="宋体" w:hAnsi="宋体" w:cs="宋体"/>
          <w:b w:val="0"/>
          <w:bCs/>
          <w:szCs w:val="21"/>
        </w:rPr>
        <w:t>分。</w:t>
      </w:r>
    </w:p>
    <w:p>
      <w:pPr>
        <w:keepNext w:val="0"/>
        <w:keepLines w:val="0"/>
        <w:pageBreakBefore w:val="0"/>
        <w:widowControl w:val="0"/>
        <w:kinsoku/>
        <w:wordWrap/>
        <w:overflowPunct/>
        <w:topLinePunct w:val="0"/>
        <w:autoSpaceDE/>
        <w:autoSpaceDN/>
        <w:bidi w:val="0"/>
        <w:adjustRightInd/>
        <w:snapToGrid/>
        <w:spacing w:line="320" w:lineRule="exact"/>
        <w:ind w:firstLine="421" w:firstLineChars="200"/>
        <w:textAlignment w:val="auto"/>
        <w:rPr>
          <w:rFonts w:ascii="宋体" w:hAnsi="宋体" w:cs="宋体"/>
          <w:b/>
          <w:bCs w:val="0"/>
          <w:szCs w:val="21"/>
        </w:rPr>
      </w:pPr>
      <w:r>
        <w:rPr>
          <w:rFonts w:ascii="宋体" w:hAnsi="宋体" w:cs="宋体"/>
          <w:b/>
          <w:bCs w:val="0"/>
          <w:szCs w:val="21"/>
        </w:rPr>
        <w:t xml:space="preserve"> （3）信誉分（满分3分）</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宋体" w:hAnsi="宋体" w:cs="宋体"/>
          <w:b w:val="0"/>
          <w:bCs/>
          <w:szCs w:val="21"/>
        </w:rPr>
      </w:pPr>
      <w:r>
        <w:rPr>
          <w:rFonts w:ascii="宋体" w:hAnsi="宋体" w:cs="宋体"/>
          <w:b w:val="0"/>
          <w:bCs/>
          <w:szCs w:val="21"/>
        </w:rPr>
        <w:t>①投标人或投标产品生产厂家提供有效的质量体系认证证书，得1分（提供有效扫描件或其他电子文件，加盖投标人公章，原件备查)。</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宋体" w:hAnsi="宋体" w:cs="宋体"/>
          <w:b w:val="0"/>
          <w:bCs/>
          <w:szCs w:val="21"/>
        </w:rPr>
      </w:pPr>
      <w:r>
        <w:rPr>
          <w:rFonts w:ascii="宋体" w:hAnsi="宋体" w:cs="宋体"/>
          <w:b w:val="0"/>
          <w:bCs/>
          <w:szCs w:val="21"/>
        </w:rPr>
        <w:t>②投标人或投标产品生产厂家提供有效的环境管理体系认证证书，得1分（提供有效扫描件或其他电子文件，加盖投标人公章，原件备查)。</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hAnsi="宋体" w:cs="宋体"/>
          <w:b w:val="0"/>
          <w:bCs/>
          <w:szCs w:val="21"/>
        </w:rPr>
      </w:pPr>
      <w:r>
        <w:rPr>
          <w:rFonts w:ascii="宋体" w:hAnsi="宋体" w:cs="宋体"/>
          <w:b w:val="0"/>
          <w:bCs/>
          <w:szCs w:val="21"/>
        </w:rPr>
        <w:t>③投标人或投标产品生产厂家提供有效的职业健康安全管理体系认证证书，得1分（提供有效扫描件或其他电子文件，加盖投标人公章，原件备查)。</w:t>
      </w:r>
    </w:p>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525" w:leftChars="0"/>
        <w:textAlignment w:val="auto"/>
        <w:rPr>
          <w:rFonts w:ascii="宋体" w:hAnsi="宋体" w:cs="宋体"/>
          <w:b w:val="0"/>
          <w:bCs/>
          <w:szCs w:val="21"/>
        </w:rPr>
      </w:pPr>
      <w:r>
        <w:rPr>
          <w:rFonts w:hint="eastAsia" w:ascii="宋体" w:hAnsi="宋体" w:cs="宋体"/>
          <w:b/>
          <w:bCs w:val="0"/>
          <w:szCs w:val="21"/>
          <w:lang w:eastAsia="zh-CN"/>
        </w:rPr>
        <w:t>（</w:t>
      </w:r>
      <w:r>
        <w:rPr>
          <w:rFonts w:hint="eastAsia" w:ascii="宋体" w:hAnsi="宋体" w:cs="宋体"/>
          <w:b/>
          <w:bCs w:val="0"/>
          <w:szCs w:val="21"/>
          <w:lang w:val="en-US" w:eastAsia="zh-CN"/>
        </w:rPr>
        <w:t>4</w:t>
      </w:r>
      <w:r>
        <w:rPr>
          <w:rFonts w:hint="eastAsia" w:ascii="宋体" w:hAnsi="宋体" w:cs="宋体"/>
          <w:b/>
          <w:bCs w:val="0"/>
          <w:szCs w:val="21"/>
          <w:lang w:eastAsia="zh-CN"/>
        </w:rPr>
        <w:t>）</w:t>
      </w:r>
      <w:r>
        <w:rPr>
          <w:rFonts w:ascii="宋体" w:hAnsi="宋体" w:cs="宋体"/>
          <w:b/>
          <w:bCs w:val="0"/>
          <w:szCs w:val="21"/>
        </w:rPr>
        <w:t>政策功能分（满分4分）</w:t>
      </w: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textAlignment w:val="auto"/>
        <w:rPr>
          <w:rFonts w:ascii="宋体" w:hAnsi="宋体" w:cs="宋体"/>
          <w:b w:val="0"/>
          <w:bCs/>
          <w:szCs w:val="21"/>
        </w:rPr>
      </w:pPr>
      <w:r>
        <w:rPr>
          <w:rFonts w:hint="eastAsia" w:ascii="宋体" w:hAnsi="宋体" w:cs="宋体"/>
          <w:b w:val="0"/>
          <w:bCs/>
          <w:szCs w:val="21"/>
          <w:lang w:val="en-US" w:eastAsia="zh-CN"/>
        </w:rPr>
        <w:t xml:space="preserve">    </w:t>
      </w:r>
      <w:r>
        <w:rPr>
          <w:rFonts w:ascii="宋体" w:hAnsi="宋体" w:cs="宋体"/>
          <w:b w:val="0"/>
          <w:bCs/>
          <w:szCs w:val="21"/>
        </w:rPr>
        <w:t>①投标产品纳入（财库[2019]19号）中节能产品政府采购清单的（适用于非强制采购节能产品，</w:t>
      </w: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textAlignment w:val="auto"/>
        <w:rPr>
          <w:rFonts w:ascii="宋体" w:hAnsi="宋体" w:cs="宋体"/>
          <w:b w:val="0"/>
          <w:bCs/>
          <w:szCs w:val="21"/>
        </w:rPr>
      </w:pPr>
      <w:r>
        <w:rPr>
          <w:rFonts w:ascii="宋体" w:hAnsi="宋体" w:cs="宋体"/>
          <w:b w:val="0"/>
          <w:bCs/>
          <w:szCs w:val="21"/>
        </w:rPr>
        <w:t>依据《市场监管总局关于发布参与实施政府采购节能产品、环境标志产品认证机构名录的公告》，提供</w:t>
      </w: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textAlignment w:val="auto"/>
        <w:rPr>
          <w:rFonts w:ascii="宋体" w:hAnsi="宋体" w:cs="宋体"/>
          <w:b w:val="0"/>
          <w:bCs/>
          <w:szCs w:val="21"/>
        </w:rPr>
      </w:pPr>
      <w:r>
        <w:rPr>
          <w:rFonts w:ascii="宋体" w:hAnsi="宋体" w:cs="宋体"/>
          <w:b w:val="0"/>
          <w:bCs/>
          <w:szCs w:val="21"/>
        </w:rPr>
        <w:t>所投相应型号产品有效的认证证书扫描件或其他电子文件），每提供一份得1分，满分2分。</w:t>
      </w:r>
    </w:p>
    <w:p>
      <w:pPr>
        <w:keepNext w:val="0"/>
        <w:keepLines w:val="0"/>
        <w:pageBreakBefore w:val="0"/>
        <w:widowControl w:val="0"/>
        <w:kinsoku/>
        <w:wordWrap/>
        <w:overflowPunct/>
        <w:topLinePunct w:val="0"/>
        <w:autoSpaceDE/>
        <w:autoSpaceDN/>
        <w:bidi w:val="0"/>
        <w:adjustRightInd/>
        <w:snapToGrid/>
        <w:spacing w:line="280" w:lineRule="exact"/>
        <w:ind w:firstLine="420" w:firstLineChars="200"/>
        <w:textAlignment w:val="auto"/>
        <w:rPr>
          <w:rFonts w:ascii="宋体" w:hAnsi="宋体" w:cs="宋体"/>
          <w:b w:val="0"/>
          <w:bCs/>
          <w:szCs w:val="21"/>
        </w:rPr>
      </w:pPr>
      <w:r>
        <w:rPr>
          <w:rFonts w:ascii="宋体" w:hAnsi="宋体" w:cs="宋体"/>
          <w:b w:val="0"/>
          <w:bCs/>
          <w:szCs w:val="21"/>
        </w:rPr>
        <w:t>②投标产品纳入（财库[2019]18号）中环境标志产品政府采购清单的（依据《市场监管总局关于发</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b w:val="0"/>
          <w:bCs/>
          <w:szCs w:val="21"/>
        </w:rPr>
      </w:pPr>
      <w:r>
        <w:rPr>
          <w:rFonts w:ascii="宋体" w:hAnsi="宋体" w:cs="宋体"/>
          <w:b w:val="0"/>
          <w:bCs/>
          <w:szCs w:val="21"/>
        </w:rPr>
        <w:t>布参与实施政府采购节能产品、环境标志产品认证机构名录的公告》，提供所投相应型号产品有效的认</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b w:val="0"/>
          <w:bCs/>
          <w:szCs w:val="21"/>
        </w:rPr>
      </w:pPr>
      <w:r>
        <w:rPr>
          <w:rFonts w:ascii="宋体" w:hAnsi="宋体" w:cs="宋体"/>
          <w:b w:val="0"/>
          <w:bCs/>
          <w:szCs w:val="21"/>
        </w:rPr>
        <w:t>证证书扫描件或其他电子文件），每提供一项得1分，满分2分。</w:t>
      </w:r>
    </w:p>
    <w:p>
      <w:pPr>
        <w:keepNext w:val="0"/>
        <w:keepLines w:val="0"/>
        <w:pageBreakBefore w:val="0"/>
        <w:widowControl w:val="0"/>
        <w:kinsoku/>
        <w:wordWrap/>
        <w:overflowPunct/>
        <w:topLinePunct w:val="0"/>
        <w:autoSpaceDE/>
        <w:autoSpaceDN/>
        <w:bidi w:val="0"/>
        <w:adjustRightInd/>
        <w:snapToGrid/>
        <w:spacing w:line="320" w:lineRule="exact"/>
        <w:ind w:firstLine="421" w:firstLineChars="200"/>
        <w:textAlignment w:val="auto"/>
        <w:rPr>
          <w:rFonts w:ascii="宋体" w:hAnsi="宋体" w:cs="宋体"/>
          <w:b/>
          <w:bCs w:val="0"/>
          <w:szCs w:val="21"/>
        </w:rPr>
      </w:pPr>
    </w:p>
    <w:p>
      <w:pPr>
        <w:keepNext w:val="0"/>
        <w:keepLines w:val="0"/>
        <w:pageBreakBefore w:val="0"/>
        <w:widowControl w:val="0"/>
        <w:kinsoku/>
        <w:wordWrap/>
        <w:overflowPunct/>
        <w:topLinePunct w:val="0"/>
        <w:autoSpaceDE/>
        <w:autoSpaceDN/>
        <w:bidi w:val="0"/>
        <w:adjustRightInd/>
        <w:snapToGrid/>
        <w:spacing w:line="320" w:lineRule="exact"/>
        <w:ind w:firstLine="421" w:firstLineChars="200"/>
        <w:textAlignment w:val="auto"/>
        <w:rPr>
          <w:rFonts w:hint="eastAsia" w:ascii="宋体" w:hAnsi="宋体" w:eastAsia="宋体" w:cs="宋体"/>
          <w:b w:val="0"/>
          <w:bCs/>
          <w:szCs w:val="21"/>
          <w:lang w:eastAsia="zh-CN"/>
        </w:rPr>
      </w:pPr>
      <w:r>
        <w:rPr>
          <w:rFonts w:ascii="宋体" w:hAnsi="宋体" w:cs="宋体"/>
          <w:b/>
          <w:bCs w:val="0"/>
          <w:szCs w:val="21"/>
        </w:rPr>
        <w:t>（三）总得分 = 1 + 2 + 3</w:t>
      </w:r>
      <w:r>
        <w:rPr>
          <w:rFonts w:hint="eastAsia" w:ascii="宋体" w:hAnsi="宋体" w:cs="宋体"/>
          <w:b/>
          <w:bCs w:val="0"/>
          <w:szCs w:val="21"/>
          <w:lang w:eastAsia="zh-CN"/>
        </w:rPr>
        <w:t>。</w:t>
      </w:r>
    </w:p>
    <w:p>
      <w:pPr>
        <w:keepNext w:val="0"/>
        <w:keepLines w:val="0"/>
        <w:pageBreakBefore w:val="0"/>
        <w:widowControl w:val="0"/>
        <w:kinsoku/>
        <w:wordWrap/>
        <w:overflowPunct/>
        <w:topLinePunct w:val="0"/>
        <w:autoSpaceDE/>
        <w:autoSpaceDN/>
        <w:bidi w:val="0"/>
        <w:adjustRightInd/>
        <w:snapToGrid/>
        <w:spacing w:line="320" w:lineRule="exact"/>
        <w:ind w:firstLine="421" w:firstLineChars="200"/>
        <w:textAlignment w:val="auto"/>
        <w:rPr>
          <w:rFonts w:ascii="宋体" w:hAnsi="宋体" w:cs="宋体"/>
          <w:b/>
          <w:bCs w:val="0"/>
          <w:szCs w:val="21"/>
        </w:rPr>
      </w:pPr>
    </w:p>
    <w:p>
      <w:pPr>
        <w:keepNext w:val="0"/>
        <w:keepLines w:val="0"/>
        <w:pageBreakBefore w:val="0"/>
        <w:widowControl w:val="0"/>
        <w:kinsoku/>
        <w:wordWrap/>
        <w:overflowPunct/>
        <w:topLinePunct w:val="0"/>
        <w:autoSpaceDE/>
        <w:autoSpaceDN/>
        <w:bidi w:val="0"/>
        <w:adjustRightInd/>
        <w:snapToGrid/>
        <w:spacing w:line="360" w:lineRule="exact"/>
        <w:ind w:firstLine="421" w:firstLineChars="200"/>
        <w:textAlignment w:val="auto"/>
        <w:rPr>
          <w:rFonts w:ascii="宋体" w:hAnsi="宋体" w:cs="宋体"/>
          <w:b/>
          <w:bCs w:val="0"/>
          <w:szCs w:val="21"/>
        </w:rPr>
      </w:pPr>
      <w:r>
        <w:rPr>
          <w:rFonts w:ascii="宋体" w:hAnsi="宋体" w:cs="宋体"/>
          <w:b/>
          <w:bCs w:val="0"/>
          <w:szCs w:val="21"/>
        </w:rPr>
        <w:t>三、中标候选人推荐原则</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b w:val="0"/>
          <w:bCs/>
          <w:szCs w:val="21"/>
        </w:rPr>
      </w:pPr>
      <w:r>
        <w:rPr>
          <w:rFonts w:ascii="宋体" w:hAnsi="宋体" w:cs="宋体"/>
          <w:b w:val="0"/>
          <w:bCs/>
          <w:szCs w:val="21"/>
        </w:rPr>
        <w:t>（一）评标委员会将根据得分由高到低排列次序（得分相同时，以投标报价由低到高顺序排列；得分相同且投标报价相同的，按技术分的优劣顺序排列）并推荐中标候选供应商。采购人应当确定评审委员会推荐排名第一的中标候选人为中标人。</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b w:val="0"/>
          <w:bCs/>
          <w:szCs w:val="21"/>
        </w:rPr>
      </w:pPr>
      <w:r>
        <w:rPr>
          <w:rFonts w:ascii="宋体" w:hAnsi="宋体" w:cs="宋体"/>
          <w:b w:val="0"/>
          <w:bCs/>
          <w:szCs w:val="21"/>
        </w:rPr>
        <w:t>排名第一的中标候选人放弃中标、因不可抗力提出不能履行合同，或者招标文件规定应当提交履约保证金而在规定的期限内未能提交的，采购人可以确定排名第二的中标候选人为中标人。排名第二的中标候选人因前款规定的同样原因不能签订合同的，采购人可以确定排名第三的中标候选人为中标人，其余以此类推。</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b w:val="0"/>
          <w:bCs/>
          <w:szCs w:val="21"/>
        </w:rPr>
      </w:pPr>
      <w:r>
        <w:rPr>
          <w:rFonts w:hint="eastAsia" w:ascii="宋体" w:hAnsi="宋体" w:cs="宋体"/>
          <w:b w:val="0"/>
          <w:bCs/>
          <w:szCs w:val="21"/>
          <w:lang w:val="en-US" w:eastAsia="zh-CN"/>
        </w:rPr>
        <w:t xml:space="preserve">  </w:t>
      </w:r>
      <w:r>
        <w:rPr>
          <w:rFonts w:ascii="宋体" w:hAnsi="宋体" w:cs="宋体"/>
          <w:b w:val="0"/>
          <w:bCs/>
          <w:szCs w:val="21"/>
        </w:rPr>
        <w:t xml:space="preserve">  （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bookmarkEnd w:id="23"/>
      <w:r>
        <w:rPr>
          <w:rFonts w:hint="eastAsia" w:ascii="宋体" w:hAnsi="宋体" w:cs="Courier New"/>
          <w:b w:val="0"/>
          <w:bCs/>
          <w:kern w:val="1"/>
          <w:szCs w:val="20"/>
        </w:rPr>
        <w:t>。</w:t>
      </w:r>
    </w:p>
    <w:p>
      <w:r>
        <w:br w:type="page"/>
      </w: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jc w:val="center"/>
        <w:rPr>
          <w:rFonts w:hint="eastAsia" w:ascii="宋体" w:hAnsi="宋体" w:cs="宋体"/>
          <w:b/>
          <w:dstrike/>
          <w:color w:val="000000" w:themeColor="text1"/>
          <w:sz w:val="36"/>
          <w:szCs w:val="36"/>
          <w14:textFill>
            <w14:solidFill>
              <w14:schemeClr w14:val="tx1"/>
            </w14:solidFill>
          </w14:textFill>
        </w:rPr>
      </w:pPr>
      <w:bookmarkStart w:id="24" w:name="_Toc986035467_WPSOffice_Level1"/>
      <w:r>
        <w:rPr>
          <w:rFonts w:hint="eastAsia" w:ascii="宋体" w:hAnsi="宋体" w:cs="宋体"/>
          <w:b/>
          <w:color w:val="000000" w:themeColor="text1"/>
          <w:sz w:val="44"/>
          <w:szCs w:val="44"/>
          <w14:textFill>
            <w14:solidFill>
              <w14:schemeClr w14:val="tx1"/>
            </w14:solidFill>
          </w14:textFill>
        </w:rPr>
        <w:t>第五章   政府采购合同主要条款</w:t>
      </w:r>
      <w:bookmarkEnd w:id="24"/>
    </w:p>
    <w:p>
      <w:pPr>
        <w:pStyle w:val="29"/>
        <w:snapToGrid w:val="0"/>
        <w:spacing w:before="120" w:after="120"/>
        <w:jc w:val="center"/>
        <w:outlineLvl w:val="0"/>
        <w:rPr>
          <w:rFonts w:hint="eastAsia" w:hAnsi="宋体" w:cs="宋体"/>
          <w:b/>
          <w:color w:val="000000" w:themeColor="text1"/>
          <w:sz w:val="44"/>
          <w:szCs w:val="44"/>
          <w14:textFill>
            <w14:solidFill>
              <w14:schemeClr w14:val="tx1"/>
            </w14:solidFill>
          </w14:textFill>
        </w:rPr>
      </w:pPr>
    </w:p>
    <w:p>
      <w:pPr>
        <w:pStyle w:val="29"/>
        <w:ind w:firstLine="420" w:firstLineChars="200"/>
        <w:jc w:val="center"/>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br w:type="page"/>
      </w:r>
    </w:p>
    <w:p>
      <w:pPr>
        <w:pStyle w:val="29"/>
        <w:jc w:val="both"/>
        <w:rPr>
          <w:rFonts w:hint="eastAsia" w:hAnsi="宋体" w:cs="宋体"/>
          <w:color w:val="000000" w:themeColor="text1"/>
          <w14:textFill>
            <w14:solidFill>
              <w14:schemeClr w14:val="tx1"/>
            </w14:solidFill>
          </w14:textFill>
        </w:rPr>
      </w:pPr>
    </w:p>
    <w:p>
      <w:pPr>
        <w:spacing w:line="300" w:lineRule="auto"/>
        <w:jc w:val="center"/>
        <w:rPr>
          <w:rFonts w:hint="eastAsia" w:ascii="宋体" w:hAnsi="宋体" w:cs="宋体"/>
          <w:b/>
          <w:bCs/>
          <w:color w:val="000000" w:themeColor="text1"/>
          <w:sz w:val="44"/>
          <w:szCs w:val="44"/>
          <w14:textFill>
            <w14:solidFill>
              <w14:schemeClr w14:val="tx1"/>
            </w14:solidFill>
          </w14:textFill>
        </w:rPr>
      </w:pPr>
      <w:r>
        <w:rPr>
          <w:rFonts w:hint="eastAsia" w:ascii="宋体" w:hAnsi="宋体" w:cs="宋体"/>
          <w:b/>
          <w:color w:val="000000" w:themeColor="text1"/>
          <w:sz w:val="44"/>
          <w:szCs w:val="44"/>
          <w14:textFill>
            <w14:solidFill>
              <w14:schemeClr w14:val="tx1"/>
            </w14:solidFill>
          </w14:textFill>
        </w:rPr>
        <w:t>采购</w:t>
      </w:r>
      <w:r>
        <w:rPr>
          <w:rFonts w:hint="eastAsia" w:ascii="宋体" w:hAnsi="宋体" w:cs="宋体"/>
          <w:b/>
          <w:bCs/>
          <w:color w:val="000000" w:themeColor="text1"/>
          <w:sz w:val="44"/>
          <w:szCs w:val="44"/>
          <w14:textFill>
            <w14:solidFill>
              <w14:schemeClr w14:val="tx1"/>
            </w14:solidFill>
          </w14:textFill>
        </w:rPr>
        <w:t>合同文本（格式）</w:t>
      </w:r>
    </w:p>
    <w:p>
      <w:pPr>
        <w:snapToGrid w:val="0"/>
        <w:spacing w:line="380" w:lineRule="exact"/>
        <w:jc w:val="center"/>
        <w:rPr>
          <w:rFonts w:hint="eastAsia" w:ascii="宋体" w:hAnsi="宋体" w:cs="宋体"/>
          <w:b/>
          <w:bCs/>
          <w:color w:val="000000" w:themeColor="text1"/>
          <w:szCs w:val="21"/>
          <w14:textFill>
            <w14:solidFill>
              <w14:schemeClr w14:val="tx1"/>
            </w14:solidFill>
          </w14:textFill>
        </w:rPr>
      </w:pPr>
    </w:p>
    <w:p>
      <w:pPr>
        <w:snapToGrid w:val="0"/>
        <w:spacing w:line="380" w:lineRule="exact"/>
        <w:ind w:right="480" w:firstLine="420" w:firstLineChars="200"/>
        <w:rPr>
          <w:rFonts w:hint="eastAsia" w:ascii="宋体" w:hAnsi="宋体" w:cs="宋体"/>
          <w:bCs/>
          <w:color w:val="000000" w:themeColor="text1"/>
          <w:szCs w:val="21"/>
          <w:u w:val="single"/>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合同编号：</w:t>
      </w:r>
    </w:p>
    <w:p>
      <w:pPr>
        <w:snapToGrid w:val="0"/>
        <w:spacing w:line="380" w:lineRule="exact"/>
        <w:rPr>
          <w:rFonts w:hint="eastAsia" w:ascii="宋体" w:hAnsi="宋体" w:cs="宋体"/>
          <w:color w:val="000000" w:themeColor="text1"/>
          <w:szCs w:val="21"/>
          <w14:textFill>
            <w14:solidFill>
              <w14:schemeClr w14:val="tx1"/>
            </w14:solidFill>
          </w14:textFill>
        </w:rPr>
      </w:pPr>
    </w:p>
    <w:p>
      <w:pPr>
        <w:snapToGrid w:val="0"/>
        <w:spacing w:line="380" w:lineRule="exact"/>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采购单位（甲方）</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w:t>
      </w:r>
      <w:r>
        <w:rPr>
          <w:rFonts w:hint="eastAsia" w:ascii="宋体" w:hAnsi="宋体" w:cs="宋体"/>
          <w:color w:val="000000" w:themeColor="text1"/>
          <w:spacing w:val="-20"/>
          <w:szCs w:val="21"/>
          <w14:textFill>
            <w14:solidFill>
              <w14:schemeClr w14:val="tx1"/>
            </w14:solidFill>
          </w14:textFill>
        </w:rPr>
        <w:t>采 购 计 划 号</w:t>
      </w:r>
      <w:r>
        <w:rPr>
          <w:rFonts w:hint="eastAsia" w:ascii="宋体" w:hAnsi="宋体" w:cs="宋体"/>
          <w:color w:val="000000" w:themeColor="text1"/>
          <w:szCs w:val="21"/>
          <w:u w:val="single"/>
          <w14:textFill>
            <w14:solidFill>
              <w14:schemeClr w14:val="tx1"/>
            </w14:solidFill>
          </w14:textFill>
        </w:rPr>
        <w:t xml:space="preserve">                              </w:t>
      </w:r>
    </w:p>
    <w:p>
      <w:pPr>
        <w:snapToGrid w:val="0"/>
        <w:spacing w:line="380" w:lineRule="exact"/>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 应 商（乙方）</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项目名称编号</w:t>
      </w:r>
      <w:r>
        <w:rPr>
          <w:rFonts w:hint="eastAsia" w:ascii="宋体" w:hAnsi="宋体" w:cs="宋体"/>
          <w:color w:val="000000" w:themeColor="text1"/>
          <w:szCs w:val="21"/>
          <w:u w:val="single"/>
          <w14:textFill>
            <w14:solidFill>
              <w14:schemeClr w14:val="tx1"/>
            </w14:solidFill>
          </w14:textFill>
        </w:rPr>
        <w:t xml:space="preserve">                             </w:t>
      </w:r>
    </w:p>
    <w:p>
      <w:pPr>
        <w:snapToGrid w:val="0"/>
        <w:spacing w:line="380" w:lineRule="exact"/>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签  订  地  点  </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签 订 时 间</w:t>
      </w:r>
      <w:r>
        <w:rPr>
          <w:rFonts w:hint="eastAsia" w:ascii="宋体" w:hAnsi="宋体" w:cs="宋体"/>
          <w:color w:val="000000" w:themeColor="text1"/>
          <w:szCs w:val="21"/>
          <w:u w:val="single"/>
          <w14:textFill>
            <w14:solidFill>
              <w14:schemeClr w14:val="tx1"/>
            </w14:solidFill>
          </w14:textFill>
        </w:rPr>
        <w:t xml:space="preserve">                              </w:t>
      </w:r>
    </w:p>
    <w:p>
      <w:pPr>
        <w:snapToGrid w:val="0"/>
        <w:spacing w:line="380" w:lineRule="exact"/>
        <w:ind w:firstLine="420" w:firstLineChars="200"/>
        <w:rPr>
          <w:rFonts w:hint="eastAsia" w:ascii="宋体" w:hAnsi="宋体" w:cs="宋体"/>
          <w:color w:val="000000" w:themeColor="text1"/>
          <w:szCs w:val="21"/>
          <w14:textFill>
            <w14:solidFill>
              <w14:schemeClr w14:val="tx1"/>
            </w14:solidFill>
          </w14:textFill>
        </w:rPr>
      </w:pPr>
    </w:p>
    <w:p>
      <w:pPr>
        <w:pStyle w:val="29"/>
        <w:spacing w:line="38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根据《中华人民共和国政府采购法》、《中华人民共和国民法典》等法律、法规规定，按照招标文件规定条款和中标供应商投标文件及其承诺，甲乙双方签订本合同。</w:t>
      </w:r>
    </w:p>
    <w:p>
      <w:pPr>
        <w:snapToGrid w:val="0"/>
        <w:spacing w:line="380" w:lineRule="exact"/>
        <w:ind w:firstLine="421"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第一条　合同标的</w:t>
      </w:r>
    </w:p>
    <w:p>
      <w:pPr>
        <w:snapToGrid w:val="0"/>
        <w:spacing w:line="3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1.供货一览表</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087"/>
        <w:gridCol w:w="1364"/>
        <w:gridCol w:w="1568"/>
        <w:gridCol w:w="1268"/>
        <w:gridCol w:w="668"/>
        <w:gridCol w:w="655"/>
        <w:gridCol w:w="1063"/>
        <w:gridCol w:w="1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82"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序号</w:t>
            </w:r>
          </w:p>
        </w:tc>
        <w:tc>
          <w:tcPr>
            <w:tcW w:w="1087"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产品名称</w:t>
            </w:r>
          </w:p>
        </w:tc>
        <w:tc>
          <w:tcPr>
            <w:tcW w:w="1364"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商标品牌</w:t>
            </w:r>
          </w:p>
        </w:tc>
        <w:tc>
          <w:tcPr>
            <w:tcW w:w="1568"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规格型号</w:t>
            </w:r>
          </w:p>
        </w:tc>
        <w:tc>
          <w:tcPr>
            <w:tcW w:w="1268"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生产厂家</w:t>
            </w:r>
          </w:p>
        </w:tc>
        <w:tc>
          <w:tcPr>
            <w:tcW w:w="668"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数量</w:t>
            </w:r>
          </w:p>
        </w:tc>
        <w:tc>
          <w:tcPr>
            <w:tcW w:w="65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单位</w:t>
            </w:r>
          </w:p>
        </w:tc>
        <w:tc>
          <w:tcPr>
            <w:tcW w:w="1063"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单价（元）</w:t>
            </w:r>
          </w:p>
        </w:tc>
        <w:tc>
          <w:tcPr>
            <w:tcW w:w="1083"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82"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hint="eastAsia" w:ascii="宋体" w:hAnsi="宋体" w:cs="宋体"/>
                <w:color w:val="000000" w:themeColor="text1"/>
                <w:szCs w:val="21"/>
                <w14:textFill>
                  <w14:solidFill>
                    <w14:schemeClr w14:val="tx1"/>
                  </w14:solidFill>
                </w14:textFill>
              </w:rPr>
            </w:pPr>
          </w:p>
        </w:tc>
        <w:tc>
          <w:tcPr>
            <w:tcW w:w="8756" w:type="dxa"/>
            <w:gridSpan w:val="8"/>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详见投标报价明细表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438" w:type="dxa"/>
            <w:gridSpan w:val="9"/>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人民币合计金额（大写）                          （小写）                 </w:t>
            </w:r>
          </w:p>
        </w:tc>
      </w:tr>
    </w:tbl>
    <w:p>
      <w:pPr>
        <w:snapToGrid w:val="0"/>
        <w:spacing w:line="3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合同合计金额包括货物价款，标准附件、备品配件、专用工具、包装、运输、装卸、保险、税金、货物到就位以及安装、调试、检验、技术培训及技术资料、软件费、保修等全部费用。如招投标文件对其另有规定的，从其规定。</w:t>
      </w:r>
    </w:p>
    <w:p>
      <w:pPr>
        <w:snapToGrid w:val="0"/>
        <w:spacing w:line="380" w:lineRule="exact"/>
        <w:ind w:firstLine="421"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第二条　质量保证</w:t>
      </w:r>
    </w:p>
    <w:p>
      <w:pPr>
        <w:snapToGrid w:val="0"/>
        <w:spacing w:line="3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1.乙方所提供的货物型号、技术规格、技术参数等质量必须与招投标文件和承诺相一致。乙方提供的节能和环保产品必须是列入政府采购清单的产品。</w:t>
      </w:r>
    </w:p>
    <w:p>
      <w:pPr>
        <w:snapToGrid w:val="0"/>
        <w:spacing w:line="380" w:lineRule="exact"/>
        <w:ind w:firstLine="420" w:firstLineChars="200"/>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2.乙方所提供的货物必须是全新、未使用的原装产品，且在正常安装、使用和保养条件下，其使用寿命期内各项指标均达到质量要求。</w:t>
      </w:r>
    </w:p>
    <w:p>
      <w:pPr>
        <w:snapToGrid w:val="0"/>
        <w:spacing w:line="380" w:lineRule="exact"/>
        <w:ind w:firstLine="421"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第三条　权利保证</w:t>
      </w:r>
    </w:p>
    <w:p>
      <w:pPr>
        <w:snapToGrid w:val="0"/>
        <w:spacing w:line="3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乙方应保证所提供货物在使用时不会侵犯任何第三方的专利权、商标权、工业设计权或其他权利。</w:t>
      </w:r>
    </w:p>
    <w:p>
      <w:pPr>
        <w:snapToGrid w:val="0"/>
        <w:spacing w:line="3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乙方应按招标文件规定的时间向甲方提供使用货物的有关技术资料。</w:t>
      </w:r>
    </w:p>
    <w:p>
      <w:pPr>
        <w:snapToGrid w:val="0"/>
        <w:spacing w:line="3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napToGrid w:val="0"/>
        <w:spacing w:line="3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乙方保证所交付的货物的所有权完全属于乙方且无任何抵押、质押、查封等产权瑕疵。</w:t>
      </w:r>
    </w:p>
    <w:p>
      <w:pPr>
        <w:snapToGrid w:val="0"/>
        <w:spacing w:line="380" w:lineRule="exact"/>
        <w:ind w:firstLine="421"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第四条　包装和运输</w:t>
      </w:r>
    </w:p>
    <w:p>
      <w:pPr>
        <w:snapToGrid w:val="0"/>
        <w:spacing w:line="3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1.乙方提供的货物均应按招投标文件要求的包装材料、包装标准、包装方式进行包装，每一包装单元内应附详细的装箱单和质量合格证。</w:t>
      </w:r>
    </w:p>
    <w:p>
      <w:pPr>
        <w:snapToGrid w:val="0"/>
        <w:spacing w:line="3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2.货物的运输方式：</w:t>
      </w:r>
      <w:r>
        <w:rPr>
          <w:rFonts w:hint="eastAsia" w:ascii="宋体" w:hAnsi="宋体" w:cs="宋体"/>
          <w:color w:val="000000" w:themeColor="text1"/>
          <w:szCs w:val="21"/>
          <w:u w:val="single"/>
          <w14:textFill>
            <w14:solidFill>
              <w14:schemeClr w14:val="tx1"/>
            </w14:solidFill>
          </w14:textFill>
        </w:rPr>
        <w:t xml:space="preserve">             。</w:t>
      </w:r>
    </w:p>
    <w:p>
      <w:pPr>
        <w:snapToGrid w:val="0"/>
        <w:spacing w:line="380" w:lineRule="exact"/>
        <w:ind w:firstLine="420" w:firstLineChars="200"/>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3.乙方负责货物运输，货物运输合理损耗及计算方法：</w:t>
      </w:r>
      <w:r>
        <w:rPr>
          <w:rFonts w:hint="eastAsia" w:ascii="宋体" w:hAnsi="宋体" w:cs="宋体"/>
          <w:color w:val="000000" w:themeColor="text1"/>
          <w:szCs w:val="21"/>
          <w:u w:val="single"/>
          <w14:textFill>
            <w14:solidFill>
              <w14:schemeClr w14:val="tx1"/>
            </w14:solidFill>
          </w14:textFill>
        </w:rPr>
        <w:t xml:space="preserve">                 。</w:t>
      </w:r>
    </w:p>
    <w:p>
      <w:pPr>
        <w:snapToGrid w:val="0"/>
        <w:spacing w:line="380" w:lineRule="exact"/>
        <w:ind w:firstLine="421"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第五条　交付和验收</w:t>
      </w:r>
    </w:p>
    <w:p>
      <w:pPr>
        <w:snapToGrid w:val="0"/>
        <w:spacing w:after="0" w:line="360" w:lineRule="exact"/>
        <w:ind w:firstLine="436" w:firstLineChars="200"/>
        <w:rPr>
          <w:rFonts w:hint="eastAsia" w:ascii="宋体" w:hAnsi="宋体"/>
          <w:spacing w:val="4"/>
          <w:szCs w:val="21"/>
          <w:highlight w:val="none"/>
        </w:rPr>
      </w:pPr>
      <w:r>
        <w:rPr>
          <w:rFonts w:ascii="宋体" w:hAnsi="宋体"/>
          <w:spacing w:val="4"/>
          <w:szCs w:val="21"/>
          <w:highlight w:val="none"/>
        </w:rPr>
        <w:t>1、交付使用时间：</w:t>
      </w:r>
      <w:r>
        <w:rPr>
          <w:rFonts w:ascii="宋体" w:hAnsi="宋体"/>
          <w:spacing w:val="4"/>
          <w:szCs w:val="21"/>
          <w:highlight w:val="none"/>
          <w:u w:val="single"/>
        </w:rPr>
        <w:t xml:space="preserve">                          </w:t>
      </w:r>
      <w:r>
        <w:rPr>
          <w:rFonts w:ascii="宋体" w:hAnsi="宋体"/>
          <w:spacing w:val="4"/>
          <w:szCs w:val="21"/>
          <w:highlight w:val="none"/>
        </w:rPr>
        <w:t>；地点：</w:t>
      </w:r>
      <w:r>
        <w:rPr>
          <w:rFonts w:ascii="宋体" w:hAnsi="宋体"/>
          <w:spacing w:val="4"/>
          <w:szCs w:val="21"/>
          <w:highlight w:val="none"/>
          <w:u w:val="single"/>
        </w:rPr>
        <w:t xml:space="preserve">                     </w:t>
      </w:r>
      <w:r>
        <w:rPr>
          <w:rFonts w:ascii="宋体" w:hAnsi="宋体"/>
          <w:spacing w:val="4"/>
          <w:szCs w:val="21"/>
          <w:highlight w:val="none"/>
        </w:rPr>
        <w:t>。</w:t>
      </w:r>
    </w:p>
    <w:p>
      <w:pPr>
        <w:snapToGrid w:val="0"/>
        <w:spacing w:after="0" w:line="360" w:lineRule="exact"/>
        <w:ind w:firstLine="436" w:firstLineChars="200"/>
        <w:rPr>
          <w:rFonts w:hint="eastAsia" w:ascii="宋体" w:hAnsi="宋体"/>
          <w:szCs w:val="21"/>
          <w:highlight w:val="none"/>
        </w:rPr>
      </w:pPr>
      <w:r>
        <w:rPr>
          <w:rFonts w:ascii="宋体" w:hAnsi="宋体"/>
          <w:spacing w:val="4"/>
          <w:szCs w:val="21"/>
          <w:highlight w:val="none"/>
        </w:rPr>
        <w:t>2、乙方在大批量生产供货前需提供本次采购的一全套家具样品供</w:t>
      </w:r>
      <w:r>
        <w:rPr>
          <w:rFonts w:hint="eastAsia" w:ascii="宋体" w:hAnsi="宋体"/>
          <w:spacing w:val="4"/>
          <w:szCs w:val="21"/>
          <w:highlight w:val="none"/>
        </w:rPr>
        <w:t>甲</w:t>
      </w:r>
      <w:r>
        <w:rPr>
          <w:rFonts w:ascii="宋体" w:hAnsi="宋体"/>
          <w:spacing w:val="4"/>
          <w:szCs w:val="21"/>
          <w:highlight w:val="none"/>
        </w:rPr>
        <w:t>方检验，</w:t>
      </w:r>
      <w:r>
        <w:rPr>
          <w:rFonts w:hint="eastAsia" w:ascii="宋体" w:hAnsi="宋体"/>
          <w:spacing w:val="4"/>
          <w:szCs w:val="21"/>
          <w:highlight w:val="none"/>
        </w:rPr>
        <w:t>甲方</w:t>
      </w:r>
      <w:r>
        <w:rPr>
          <w:rFonts w:ascii="宋体" w:hAnsi="宋体"/>
          <w:spacing w:val="4"/>
          <w:szCs w:val="21"/>
          <w:highlight w:val="none"/>
        </w:rPr>
        <w:t>检验无问题后</w:t>
      </w:r>
      <w:r>
        <w:rPr>
          <w:rFonts w:hint="eastAsia" w:ascii="宋体" w:hAnsi="宋体"/>
          <w:spacing w:val="4"/>
          <w:szCs w:val="21"/>
          <w:highlight w:val="none"/>
        </w:rPr>
        <w:t>乙方</w:t>
      </w:r>
      <w:r>
        <w:rPr>
          <w:rFonts w:ascii="宋体" w:hAnsi="宋体"/>
          <w:spacing w:val="4"/>
          <w:szCs w:val="21"/>
          <w:highlight w:val="none"/>
        </w:rPr>
        <w:t>方可大批量生产供货。乙</w:t>
      </w:r>
      <w:r>
        <w:rPr>
          <w:rFonts w:ascii="宋体" w:hAnsi="宋体"/>
          <w:szCs w:val="21"/>
          <w:highlight w:val="none"/>
        </w:rPr>
        <w:t>方提供不符合响应文件和本合同规定的家具，甲方有权拒绝接受。</w:t>
      </w:r>
      <w:r>
        <w:rPr>
          <w:rFonts w:hint="eastAsia" w:ascii="宋体" w:hAnsi="宋体"/>
          <w:szCs w:val="21"/>
          <w:highlight w:val="none"/>
        </w:rPr>
        <w:t>以上所产生费用均由乙方承担。</w:t>
      </w:r>
    </w:p>
    <w:p>
      <w:pPr>
        <w:snapToGrid w:val="0"/>
        <w:spacing w:after="0" w:line="360" w:lineRule="exact"/>
        <w:ind w:firstLine="436" w:firstLineChars="200"/>
        <w:rPr>
          <w:rFonts w:hint="eastAsia" w:ascii="宋体" w:hAnsi="宋体"/>
          <w:spacing w:val="4"/>
          <w:szCs w:val="21"/>
          <w:highlight w:val="none"/>
        </w:rPr>
      </w:pPr>
      <w:r>
        <w:rPr>
          <w:rFonts w:ascii="宋体" w:hAnsi="宋体"/>
          <w:spacing w:val="4"/>
          <w:szCs w:val="21"/>
          <w:highlight w:val="none"/>
        </w:rPr>
        <w:t>3、乙方应按照甲方的要求，在</w:t>
      </w:r>
      <w:r>
        <w:rPr>
          <w:rFonts w:ascii="宋体" w:hAnsi="宋体"/>
          <w:spacing w:val="4"/>
          <w:szCs w:val="21"/>
          <w:highlight w:val="none"/>
          <w:u w:val="single"/>
        </w:rPr>
        <w:t xml:space="preserve">          </w:t>
      </w:r>
      <w:r>
        <w:rPr>
          <w:rFonts w:ascii="宋体" w:hAnsi="宋体"/>
          <w:spacing w:val="4"/>
          <w:szCs w:val="21"/>
          <w:highlight w:val="none"/>
        </w:rPr>
        <w:t>年</w:t>
      </w:r>
      <w:r>
        <w:rPr>
          <w:rFonts w:ascii="宋体" w:hAnsi="宋体"/>
          <w:spacing w:val="4"/>
          <w:szCs w:val="21"/>
          <w:highlight w:val="none"/>
          <w:u w:val="single"/>
        </w:rPr>
        <w:t xml:space="preserve">       </w:t>
      </w:r>
      <w:r>
        <w:rPr>
          <w:rFonts w:ascii="宋体" w:hAnsi="宋体"/>
          <w:spacing w:val="4"/>
          <w:szCs w:val="21"/>
          <w:highlight w:val="none"/>
        </w:rPr>
        <w:t>月</w:t>
      </w:r>
      <w:r>
        <w:rPr>
          <w:rFonts w:ascii="宋体" w:hAnsi="宋体"/>
          <w:spacing w:val="4"/>
          <w:szCs w:val="21"/>
          <w:highlight w:val="none"/>
          <w:u w:val="single"/>
        </w:rPr>
        <w:t xml:space="preserve">      </w:t>
      </w:r>
      <w:r>
        <w:rPr>
          <w:rFonts w:ascii="宋体" w:hAnsi="宋体"/>
          <w:spacing w:val="4"/>
          <w:szCs w:val="21"/>
          <w:highlight w:val="none"/>
        </w:rPr>
        <w:t>日前安装完毕并承担安装费用。甲方应提供必要安装条件（如场地、电源等）。</w:t>
      </w:r>
    </w:p>
    <w:p>
      <w:pPr>
        <w:snapToGrid w:val="0"/>
        <w:spacing w:after="0" w:line="360" w:lineRule="exact"/>
        <w:ind w:firstLine="436" w:firstLineChars="200"/>
        <w:rPr>
          <w:rFonts w:hint="eastAsia" w:ascii="宋体" w:hAnsi="宋体"/>
          <w:spacing w:val="4"/>
          <w:szCs w:val="21"/>
          <w:highlight w:val="none"/>
        </w:rPr>
      </w:pPr>
      <w:r>
        <w:rPr>
          <w:rFonts w:ascii="宋体" w:hAnsi="宋体"/>
          <w:spacing w:val="4"/>
          <w:szCs w:val="21"/>
          <w:highlight w:val="none"/>
        </w:rPr>
        <w:t>4、甲方应当在产品安装完毕后</w:t>
      </w:r>
      <w:r>
        <w:rPr>
          <w:rFonts w:ascii="宋体" w:hAnsi="宋体"/>
          <w:spacing w:val="4"/>
          <w:szCs w:val="21"/>
          <w:highlight w:val="none"/>
          <w:u w:val="single"/>
        </w:rPr>
        <w:t xml:space="preserve">       </w:t>
      </w:r>
      <w:r>
        <w:rPr>
          <w:rFonts w:ascii="宋体" w:hAnsi="宋体"/>
          <w:spacing w:val="4"/>
          <w:szCs w:val="21"/>
          <w:highlight w:val="none"/>
        </w:rPr>
        <w:t>个工作日内进行验收，逾期不验收的，乙方可视同验收合格。验收合格后由甲乙双方签署货物验收单并加盖采购单位公章，甲乙双方各执一份。</w:t>
      </w:r>
    </w:p>
    <w:p>
      <w:pPr>
        <w:snapToGrid w:val="0"/>
        <w:spacing w:after="0" w:line="360" w:lineRule="exact"/>
        <w:ind w:firstLine="436" w:firstLineChars="200"/>
        <w:rPr>
          <w:rFonts w:hint="eastAsia" w:ascii="宋体" w:hAnsi="宋体"/>
          <w:spacing w:val="4"/>
          <w:szCs w:val="21"/>
          <w:highlight w:val="none"/>
        </w:rPr>
      </w:pPr>
      <w:r>
        <w:rPr>
          <w:rFonts w:ascii="宋体" w:hAnsi="宋体"/>
          <w:spacing w:val="4"/>
          <w:szCs w:val="21"/>
          <w:highlight w:val="none"/>
        </w:rPr>
        <w:t>5、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snapToGrid w:val="0"/>
        <w:spacing w:after="0" w:line="360" w:lineRule="exact"/>
        <w:ind w:firstLine="436" w:firstLineChars="200"/>
        <w:rPr>
          <w:rFonts w:hint="eastAsia" w:ascii="宋体" w:hAnsi="宋体"/>
          <w:spacing w:val="4"/>
          <w:szCs w:val="21"/>
          <w:highlight w:val="none"/>
        </w:rPr>
      </w:pPr>
      <w:r>
        <w:rPr>
          <w:rFonts w:ascii="宋体" w:hAnsi="宋体"/>
          <w:spacing w:val="4"/>
          <w:szCs w:val="21"/>
          <w:highlight w:val="none"/>
        </w:rPr>
        <w:t>6、甲方对验收有异议的，在验收后</w:t>
      </w:r>
      <w:r>
        <w:rPr>
          <w:rFonts w:ascii="宋体" w:hAnsi="宋体"/>
          <w:spacing w:val="4"/>
          <w:szCs w:val="21"/>
          <w:highlight w:val="none"/>
          <w:u w:val="single"/>
        </w:rPr>
        <w:t xml:space="preserve">       </w:t>
      </w:r>
      <w:r>
        <w:rPr>
          <w:rFonts w:ascii="宋体" w:hAnsi="宋体"/>
          <w:spacing w:val="4"/>
          <w:szCs w:val="21"/>
          <w:highlight w:val="none"/>
        </w:rPr>
        <w:t>个工作日内以书面形式向乙方提出，乙方应自收到甲方书面异议后</w:t>
      </w:r>
      <w:r>
        <w:rPr>
          <w:rFonts w:ascii="宋体" w:hAnsi="宋体"/>
          <w:spacing w:val="4"/>
          <w:szCs w:val="21"/>
          <w:highlight w:val="none"/>
          <w:u w:val="single"/>
        </w:rPr>
        <w:t xml:space="preserve">       </w:t>
      </w:r>
      <w:r>
        <w:rPr>
          <w:rFonts w:ascii="宋体" w:hAnsi="宋体"/>
          <w:spacing w:val="4"/>
          <w:szCs w:val="21"/>
          <w:highlight w:val="none"/>
        </w:rPr>
        <w:t>日内及时予以解决。</w:t>
      </w:r>
    </w:p>
    <w:p>
      <w:pPr>
        <w:snapToGrid w:val="0"/>
        <w:spacing w:after="0" w:line="360" w:lineRule="exact"/>
        <w:ind w:firstLine="436" w:firstLineChars="200"/>
        <w:rPr>
          <w:rFonts w:hint="eastAsia" w:ascii="宋体" w:hAnsi="宋体"/>
          <w:spacing w:val="4"/>
          <w:szCs w:val="21"/>
          <w:highlight w:val="none"/>
        </w:rPr>
      </w:pPr>
      <w:r>
        <w:rPr>
          <w:rFonts w:ascii="宋体" w:hAnsi="宋体"/>
          <w:spacing w:val="4"/>
          <w:szCs w:val="21"/>
          <w:highlight w:val="none"/>
        </w:rPr>
        <w:t>7、本次采购货物在完成所有安装调试并经甲方验收前由采购人抽样送省级及以上（含：自治区、直辖市）相关质量监督检验部门检测，抽样检验费用由乙方承担。若检验不合格或检验所得结果（标准）与投标承诺不一致的，甲方将予以退货并限期要求乙方更换成合格的货物。</w:t>
      </w:r>
    </w:p>
    <w:p>
      <w:pPr>
        <w:snapToGrid w:val="0"/>
        <w:spacing w:after="0" w:line="360" w:lineRule="exact"/>
        <w:ind w:firstLine="436" w:firstLineChars="200"/>
        <w:rPr>
          <w:rFonts w:hint="eastAsia" w:ascii="宋体" w:hAnsi="宋体"/>
          <w:spacing w:val="4"/>
          <w:szCs w:val="21"/>
          <w:highlight w:val="none"/>
        </w:rPr>
      </w:pPr>
      <w:r>
        <w:rPr>
          <w:rFonts w:ascii="宋体" w:hAnsi="宋体"/>
          <w:spacing w:val="4"/>
          <w:szCs w:val="21"/>
          <w:highlight w:val="none"/>
        </w:rPr>
        <w:t>8、若检验不合格或检验所得结果（标准）与投标承诺不一致的并乙方未在甲方规定的期限内更换成合格的货物的，甲方有权终止合同，所产生的损失由乙方承担。</w:t>
      </w:r>
    </w:p>
    <w:p>
      <w:pPr>
        <w:snapToGrid w:val="0"/>
        <w:spacing w:line="380" w:lineRule="exact"/>
        <w:ind w:firstLine="421"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第六条　安装和培训</w:t>
      </w:r>
    </w:p>
    <w:p>
      <w:pPr>
        <w:snapToGrid w:val="0"/>
        <w:spacing w:line="3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1.甲方应提供必要安装条件（如场地、电源、水源等）。</w:t>
      </w:r>
    </w:p>
    <w:p>
      <w:pPr>
        <w:snapToGrid w:val="0"/>
        <w:spacing w:line="380" w:lineRule="exact"/>
        <w:ind w:firstLine="420" w:firstLineChars="200"/>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2.乙方负责甲方有关人员的培训。培训时间、地点：</w:t>
      </w:r>
      <w:r>
        <w:rPr>
          <w:rFonts w:hint="eastAsia" w:ascii="宋体" w:hAnsi="宋体" w:cs="宋体"/>
          <w:b/>
          <w:color w:val="000000" w:themeColor="text1"/>
          <w:szCs w:val="21"/>
          <w:u w:val="single"/>
          <w14:textFill>
            <w14:solidFill>
              <w14:schemeClr w14:val="tx1"/>
            </w14:solidFill>
          </w14:textFill>
        </w:rPr>
        <w:t>按交付使用时间、地点培训</w:t>
      </w:r>
      <w:r>
        <w:rPr>
          <w:rFonts w:hint="eastAsia" w:ascii="宋体" w:hAnsi="宋体" w:cs="宋体"/>
          <w:color w:val="000000" w:themeColor="text1"/>
          <w:szCs w:val="21"/>
          <w14:textFill>
            <w14:solidFill>
              <w14:schemeClr w14:val="tx1"/>
            </w14:solidFill>
          </w14:textFill>
        </w:rPr>
        <w:t>。</w:t>
      </w:r>
    </w:p>
    <w:p>
      <w:pPr>
        <w:snapToGrid w:val="0"/>
        <w:spacing w:line="380" w:lineRule="exact"/>
        <w:ind w:firstLine="421"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第七条  售后服务、保修期</w:t>
      </w:r>
    </w:p>
    <w:p>
      <w:pPr>
        <w:snapToGrid w:val="0"/>
        <w:spacing w:line="3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1.乙方应按照国家有关法律法规和“三包”规定以及招投标文件和本合同所附的《服务承诺》，为甲方提供售后服务。</w:t>
      </w:r>
    </w:p>
    <w:p>
      <w:pPr>
        <w:snapToGrid w:val="0"/>
        <w:spacing w:line="380" w:lineRule="exact"/>
        <w:ind w:firstLine="420" w:firstLineChars="200"/>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2.货物保修期：</w:t>
      </w:r>
      <w:r>
        <w:rPr>
          <w:rFonts w:hint="eastAsia" w:ascii="宋体" w:hAnsi="宋体" w:cs="宋体"/>
          <w:b/>
          <w:color w:val="000000" w:themeColor="text1"/>
          <w:szCs w:val="21"/>
          <w:u w:val="single"/>
          <w14:textFill>
            <w14:solidFill>
              <w14:schemeClr w14:val="tx1"/>
            </w14:solidFill>
          </w14:textFill>
        </w:rPr>
        <w:t>分项有要求的按分项要求，分项无要求的按国家标准实行“三包”</w:t>
      </w:r>
      <w:r>
        <w:rPr>
          <w:rFonts w:hint="eastAsia" w:ascii="宋体" w:hAnsi="宋体" w:cs="宋体"/>
          <w:color w:val="000000" w:themeColor="text1"/>
          <w:szCs w:val="21"/>
          <w14:textFill>
            <w14:solidFill>
              <w14:schemeClr w14:val="tx1"/>
            </w14:solidFill>
          </w14:textFill>
        </w:rPr>
        <w:t>。</w:t>
      </w:r>
    </w:p>
    <w:p>
      <w:pPr>
        <w:snapToGrid w:val="0"/>
        <w:spacing w:line="380" w:lineRule="exact"/>
        <w:ind w:firstLine="420" w:firstLineChars="200"/>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3.乙方提供的服务承诺和售后服务及保修期责任等其它具体约定事项。（见合同附件）</w:t>
      </w:r>
    </w:p>
    <w:p>
      <w:pPr>
        <w:snapToGrid w:val="0"/>
        <w:spacing w:line="380" w:lineRule="exact"/>
        <w:ind w:firstLine="421"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第八条　付款方式和保证金</w:t>
      </w:r>
    </w:p>
    <w:p>
      <w:pPr>
        <w:pStyle w:val="29"/>
        <w:snapToGrid w:val="0"/>
        <w:spacing w:line="380" w:lineRule="exact"/>
        <w:ind w:firstLine="420" w:firstLineChars="200"/>
        <w:rPr>
          <w:rFonts w:hint="eastAsia" w:hAnsi="宋体" w:cs="宋体"/>
          <w:color w:val="000000" w:themeColor="text1"/>
          <w14:textFill>
            <w14:solidFill>
              <w14:schemeClr w14:val="tx1"/>
            </w14:solidFill>
          </w14:textFill>
        </w:rPr>
      </w:pPr>
      <w:r>
        <w:rPr>
          <w:rFonts w:hint="eastAsia" w:hAnsi="宋体" w:cs="宋体"/>
          <w:bCs/>
          <w:color w:val="000000" w:themeColor="text1"/>
          <w14:textFill>
            <w14:solidFill>
              <w14:schemeClr w14:val="tx1"/>
            </w14:solidFill>
          </w14:textFill>
        </w:rPr>
        <w:t>1.</w:t>
      </w:r>
      <w:r>
        <w:rPr>
          <w:rFonts w:hint="eastAsia" w:hAnsi="宋体" w:cs="宋体"/>
          <w:color w:val="000000" w:themeColor="text1"/>
          <w14:textFill>
            <w14:solidFill>
              <w14:schemeClr w14:val="tx1"/>
            </w14:solidFill>
          </w14:textFill>
        </w:rPr>
        <w:t>当采购数量与实际使用数量不一致时，乙方应根据实际使用量供货，合同的最终结算金额按实际使用量乘以成交单价进行计算。</w:t>
      </w:r>
    </w:p>
    <w:p>
      <w:pPr>
        <w:snapToGrid w:val="0"/>
        <w:spacing w:line="380" w:lineRule="exact"/>
        <w:ind w:firstLine="420" w:firstLineChars="200"/>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2.资金性质：</w:t>
      </w:r>
      <w:r>
        <w:rPr>
          <w:rFonts w:hint="eastAsia" w:ascii="宋体" w:hAnsi="宋体" w:cs="宋体"/>
          <w:b/>
          <w:color w:val="000000" w:themeColor="text1"/>
          <w:szCs w:val="21"/>
          <w:u w:val="single"/>
          <w14:textFill>
            <w14:solidFill>
              <w14:schemeClr w14:val="tx1"/>
            </w14:solidFill>
          </w14:textFill>
        </w:rPr>
        <w:t>财政性资金</w:t>
      </w:r>
      <w:r>
        <w:rPr>
          <w:rFonts w:hint="eastAsia" w:ascii="宋体" w:hAnsi="宋体" w:cs="宋体"/>
          <w:b/>
          <w:color w:val="000000" w:themeColor="text1"/>
          <w:szCs w:val="21"/>
          <w14:textFill>
            <w14:solidFill>
              <w14:schemeClr w14:val="tx1"/>
            </w14:solidFill>
          </w14:textFill>
        </w:rPr>
        <w:t>。</w:t>
      </w:r>
    </w:p>
    <w:p>
      <w:pPr>
        <w:pStyle w:val="600"/>
        <w:spacing w:after="0" w:line="380" w:lineRule="exact"/>
        <w:ind w:firstLine="400" w:firstLineChars="200"/>
        <w:rPr>
          <w:rFonts w:hint="eastAsia" w:ascii="宋体" w:hAnsi="宋体" w:cs="宋体"/>
          <w:bCs/>
          <w:color w:val="000000" w:themeColor="text1"/>
          <w:sz w:val="21"/>
          <w:szCs w:val="21"/>
          <w:u w:val="single"/>
          <w:lang w:val="en" w:eastAsia="zh-CN"/>
          <w14:textFill>
            <w14:solidFill>
              <w14:schemeClr w14:val="tx1"/>
            </w14:solidFill>
          </w14:textFill>
        </w:rPr>
      </w:pPr>
      <w:r>
        <w:rPr>
          <w:rFonts w:hint="eastAsia" w:ascii="宋体" w:hAnsi="宋体" w:cs="宋体"/>
          <w:color w:val="000000" w:themeColor="text1"/>
          <w:lang w:eastAsia="zh-CN"/>
          <w14:textFill>
            <w14:solidFill>
              <w14:schemeClr w14:val="tx1"/>
            </w14:solidFill>
          </w14:textFill>
        </w:rPr>
        <w:t>3.付款方式：</w:t>
      </w:r>
      <w:r>
        <w:rPr>
          <w:rFonts w:hint="eastAsia" w:ascii="宋体" w:hAnsi="宋体" w:cs="宋体"/>
          <w:color w:val="000000" w:themeColor="text1"/>
          <w:u w:val="single"/>
          <w:lang w:eastAsia="zh-CN"/>
          <w14:textFill>
            <w14:solidFill>
              <w14:schemeClr w14:val="tx1"/>
            </w14:solidFill>
          </w14:textFill>
        </w:rPr>
        <w:t xml:space="preserve">                         </w:t>
      </w:r>
      <w:r>
        <w:rPr>
          <w:rFonts w:hint="eastAsia" w:ascii="宋体" w:hAnsi="宋体" w:cs="宋体"/>
          <w:color w:val="000000" w:themeColor="text1"/>
          <w:szCs w:val="21"/>
          <w:lang w:eastAsia="zh-CN"/>
          <w14:textFill>
            <w14:solidFill>
              <w14:schemeClr w14:val="tx1"/>
            </w14:solidFill>
          </w14:textFill>
        </w:rPr>
        <w:t>。</w:t>
      </w:r>
    </w:p>
    <w:p>
      <w:pPr>
        <w:snapToGrid w:val="0"/>
        <w:spacing w:line="380" w:lineRule="exact"/>
        <w:ind w:firstLine="421"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第九条　履约保证金</w:t>
      </w:r>
    </w:p>
    <w:p>
      <w:pPr>
        <w:snapToGrid w:val="0"/>
        <w:spacing w:line="3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w:t>
      </w:r>
    </w:p>
    <w:p>
      <w:pPr>
        <w:snapToGrid w:val="0"/>
        <w:spacing w:line="380" w:lineRule="exact"/>
        <w:ind w:firstLine="421"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第十条 税费</w:t>
      </w:r>
    </w:p>
    <w:p>
      <w:pPr>
        <w:snapToGrid w:val="0"/>
        <w:spacing w:line="3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本合同执行中相关的一切税费均由乙方负担。</w:t>
      </w:r>
    </w:p>
    <w:p>
      <w:pPr>
        <w:snapToGrid w:val="0"/>
        <w:spacing w:line="380" w:lineRule="exact"/>
        <w:ind w:firstLine="421"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第十一条  质量保证及售后服务</w:t>
      </w:r>
    </w:p>
    <w:p>
      <w:pPr>
        <w:snapToGrid w:val="0"/>
        <w:spacing w:line="3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1.乙方应按招标文件规定的货物性能、技术要求、质量标准向甲方提供未经使用的全新产品。</w:t>
      </w:r>
      <w:r>
        <w:rPr>
          <w:rFonts w:hint="eastAsia" w:ascii="宋体" w:hAnsi="宋体" w:cs="宋体"/>
          <w:color w:val="000000" w:themeColor="text1"/>
          <w14:textFill>
            <w14:solidFill>
              <w14:schemeClr w14:val="tx1"/>
            </w14:solidFill>
          </w14:textFill>
        </w:rPr>
        <w:t>乙方提供货物的质量保证期按交货验收合格之日起计（期限见《招标项目采购需求》中各分标的要求）。在保证期内因货物本身的质量问题发生故障，乙方应负责免费修理和更换零部件。对达不到技术要求者，根据实际情况，甲方有权按以下办法处理</w:t>
      </w:r>
      <w:r>
        <w:rPr>
          <w:rFonts w:hint="eastAsia" w:ascii="宋体" w:hAnsi="宋体" w:cs="宋体"/>
          <w:color w:val="000000" w:themeColor="text1"/>
          <w:szCs w:val="21"/>
          <w14:textFill>
            <w14:solidFill>
              <w14:schemeClr w14:val="tx1"/>
            </w14:solidFill>
          </w14:textFill>
        </w:rPr>
        <w:t>：</w:t>
      </w:r>
    </w:p>
    <w:p>
      <w:pPr>
        <w:pStyle w:val="29"/>
        <w:snapToGrid w:val="0"/>
        <w:spacing w:line="38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⑴更换：由乙方承担所发生的全部费用。</w:t>
      </w:r>
    </w:p>
    <w:p>
      <w:pPr>
        <w:pStyle w:val="29"/>
        <w:snapToGrid w:val="0"/>
        <w:spacing w:line="38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⑵贬值处理：由甲乙双方合议定价。</w:t>
      </w:r>
    </w:p>
    <w:p>
      <w:pPr>
        <w:pStyle w:val="29"/>
        <w:snapToGrid w:val="0"/>
        <w:spacing w:line="38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⑶退货处理：乙方应退还甲方支付的合同款，同时应承担该货物的直接费用（运输、保险、检验、货款利息及银行手续费等）。</w:t>
      </w:r>
    </w:p>
    <w:p>
      <w:pPr>
        <w:pStyle w:val="29"/>
        <w:snapToGrid w:val="0"/>
        <w:spacing w:line="38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2.如在使用过程中发生质量问题，乙方在接到甲方通知后在</w:t>
      </w:r>
      <w:r>
        <w:rPr>
          <w:rFonts w:hint="eastAsia" w:hAnsi="宋体" w:cs="宋体"/>
          <w:color w:val="000000" w:themeColor="text1"/>
          <w:u w:val="single"/>
          <w14:textFill>
            <w14:solidFill>
              <w14:schemeClr w14:val="tx1"/>
            </w14:solidFill>
          </w14:textFill>
        </w:rPr>
        <w:t xml:space="preserve">    </w:t>
      </w:r>
      <w:r>
        <w:rPr>
          <w:rFonts w:hint="eastAsia" w:hAnsi="宋体" w:cs="宋体"/>
          <w:color w:val="000000" w:themeColor="text1"/>
          <w14:textFill>
            <w14:solidFill>
              <w14:schemeClr w14:val="tx1"/>
            </w14:solidFill>
          </w14:textFill>
        </w:rPr>
        <w:t>小时内到达甲方现场。</w:t>
      </w:r>
    </w:p>
    <w:p>
      <w:pPr>
        <w:pStyle w:val="29"/>
        <w:snapToGrid w:val="0"/>
        <w:spacing w:line="38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3.在质保期内，乙方应对货物出现的质量及安全问题负责处理解决并承担一切费用。</w:t>
      </w:r>
    </w:p>
    <w:p>
      <w:pPr>
        <w:pStyle w:val="29"/>
        <w:snapToGrid w:val="0"/>
        <w:spacing w:line="38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4.上述的货物免费保修期为</w:t>
      </w:r>
      <w:r>
        <w:rPr>
          <w:rFonts w:hint="eastAsia" w:hAnsi="宋体" w:cs="宋体"/>
          <w:color w:val="000000" w:themeColor="text1"/>
          <w:u w:val="single"/>
          <w14:textFill>
            <w14:solidFill>
              <w14:schemeClr w14:val="tx1"/>
            </w14:solidFill>
          </w14:textFill>
        </w:rPr>
        <w:t xml:space="preserve">     </w:t>
      </w:r>
      <w:r>
        <w:rPr>
          <w:rFonts w:hint="eastAsia" w:hAnsi="宋体" w:cs="宋体"/>
          <w:color w:val="000000" w:themeColor="text1"/>
          <w14:textFill>
            <w14:solidFill>
              <w14:schemeClr w14:val="tx1"/>
            </w14:solidFill>
          </w14:textFill>
        </w:rPr>
        <w:t>年，因人为因素出现的故障不在免费保修范围内。超过保修期的机器设备，终生维修，维修时只收部件成本费。</w:t>
      </w:r>
    </w:p>
    <w:p>
      <w:pPr>
        <w:pStyle w:val="29"/>
        <w:snapToGrid w:val="0"/>
        <w:spacing w:line="380" w:lineRule="exact"/>
        <w:ind w:firstLine="421" w:firstLineChars="200"/>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第十二条  调试和验收</w:t>
      </w:r>
    </w:p>
    <w:p>
      <w:pPr>
        <w:pStyle w:val="29"/>
        <w:snapToGrid w:val="0"/>
        <w:spacing w:line="38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1.甲方对乙方提交的货物依据招标文件上的技术规格要求和国家有关质量标准进行现场初步验收，外观、说明书符合招标文件技术要求的，给予签收，初步验收不合格的不予签收。货到后，</w:t>
      </w:r>
      <w:r>
        <w:rPr>
          <w:rFonts w:hint="eastAsia" w:hAnsi="宋体" w:cs="宋体"/>
          <w:bCs/>
          <w:color w:val="000000" w:themeColor="text1"/>
          <w14:textFill>
            <w14:solidFill>
              <w14:schemeClr w14:val="tx1"/>
            </w14:solidFill>
          </w14:textFill>
        </w:rPr>
        <w:t>甲方应当在到货（安装、调试完）后十个工作日内进行初步验收</w:t>
      </w:r>
      <w:r>
        <w:rPr>
          <w:rFonts w:hint="eastAsia" w:hAnsi="宋体" w:cs="宋体"/>
          <w:color w:val="000000" w:themeColor="text1"/>
          <w14:textFill>
            <w14:solidFill>
              <w14:schemeClr w14:val="tx1"/>
            </w14:solidFill>
          </w14:textFill>
        </w:rPr>
        <w:t>。</w:t>
      </w:r>
    </w:p>
    <w:p>
      <w:pPr>
        <w:pStyle w:val="29"/>
        <w:snapToGrid w:val="0"/>
        <w:spacing w:line="38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2.乙方交货前应对产品作出全面检查和对验收文件进行整理，并列出清单，作为甲方收货验收和使用的技术条件依据，检验的结果应随货物交甲方。</w:t>
      </w:r>
    </w:p>
    <w:p>
      <w:pPr>
        <w:pStyle w:val="29"/>
        <w:snapToGrid w:val="0"/>
        <w:spacing w:line="38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3.甲方对乙方提供的货物在使用前进行调试时，乙方需负责安装并培训甲方的使用操作人员，并协助甲方一起调试，直到符合技术要求，甲方才做最终验收。</w:t>
      </w:r>
    </w:p>
    <w:p>
      <w:pPr>
        <w:pStyle w:val="29"/>
        <w:snapToGrid w:val="0"/>
        <w:spacing w:line="38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4.对技术复杂的货物，甲方应请国家认可的专业检测机构参与初步验收及最终验收，并由其出具质量检测报告，检测相关费用由</w:t>
      </w:r>
      <w:r>
        <w:rPr>
          <w:rFonts w:hint="eastAsia" w:hAnsi="宋体" w:cs="宋体"/>
          <w:color w:val="000000" w:themeColor="text1"/>
          <w:u w:val="single"/>
          <w14:textFill>
            <w14:solidFill>
              <w14:schemeClr w14:val="tx1"/>
            </w14:solidFill>
          </w14:textFill>
        </w:rPr>
        <w:t xml:space="preserve">  乙  </w:t>
      </w:r>
      <w:r>
        <w:rPr>
          <w:rFonts w:hint="eastAsia" w:hAnsi="宋体" w:cs="宋体"/>
          <w:color w:val="000000" w:themeColor="text1"/>
          <w14:textFill>
            <w14:solidFill>
              <w14:schemeClr w14:val="tx1"/>
            </w14:solidFill>
          </w14:textFill>
        </w:rPr>
        <w:t>方承担。</w:t>
      </w:r>
    </w:p>
    <w:p>
      <w:pPr>
        <w:pStyle w:val="29"/>
        <w:snapToGrid w:val="0"/>
        <w:spacing w:line="38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5.对技术复杂的货物，甲方应请国家认可的专业检测机构参与初步验收及最终验收，并由其出具质量检测报告。</w:t>
      </w:r>
    </w:p>
    <w:p>
      <w:pPr>
        <w:pStyle w:val="29"/>
        <w:snapToGrid w:val="0"/>
        <w:spacing w:line="38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6.验收时乙方必须在现场，验收完毕后作出验收结果报告；验收费用由乙方负责。</w:t>
      </w:r>
    </w:p>
    <w:p>
      <w:pPr>
        <w:pStyle w:val="29"/>
        <w:snapToGrid w:val="0"/>
        <w:spacing w:line="380" w:lineRule="exact"/>
        <w:ind w:firstLine="421" w:firstLineChars="200"/>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第十三条 货物包装、发运及运输</w:t>
      </w:r>
    </w:p>
    <w:p>
      <w:pPr>
        <w:pStyle w:val="29"/>
        <w:snapToGrid w:val="0"/>
        <w:spacing w:line="38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1.乙方应在货物发运前对其进行满足运输距离、防潮、防震、防锈和防破损装卸等要求包装，以保证货物安全运达甲方指定地点。</w:t>
      </w:r>
    </w:p>
    <w:p>
      <w:pPr>
        <w:pStyle w:val="29"/>
        <w:snapToGrid w:val="0"/>
        <w:spacing w:line="38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2.使用说明书、质量检验证明书、随配附件和工具以及清单一并附于货物内。</w:t>
      </w:r>
    </w:p>
    <w:p>
      <w:pPr>
        <w:pStyle w:val="29"/>
        <w:snapToGrid w:val="0"/>
        <w:spacing w:line="38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3.乙方在货物发运手续办理完毕后二十四小时内或货到甲方四十八小时前通知甲方，以准备接货。</w:t>
      </w:r>
    </w:p>
    <w:p>
      <w:pPr>
        <w:pStyle w:val="29"/>
        <w:snapToGrid w:val="0"/>
        <w:spacing w:line="38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4.货物在交付甲方前发生的风险均由乙方负责。</w:t>
      </w:r>
    </w:p>
    <w:p>
      <w:pPr>
        <w:pStyle w:val="29"/>
        <w:snapToGrid w:val="0"/>
        <w:spacing w:line="380" w:lineRule="exact"/>
        <w:ind w:firstLine="420" w:firstLineChars="200"/>
        <w:rPr>
          <w:rFonts w:hint="eastAsia" w:hAnsi="宋体" w:cs="宋体"/>
          <w:color w:val="000000" w:themeColor="text1"/>
          <w:spacing w:val="-8"/>
          <w14:textFill>
            <w14:solidFill>
              <w14:schemeClr w14:val="tx1"/>
            </w14:solidFill>
          </w14:textFill>
        </w:rPr>
      </w:pPr>
      <w:r>
        <w:rPr>
          <w:rFonts w:hint="eastAsia" w:hAnsi="宋体" w:cs="宋体"/>
          <w:color w:val="000000" w:themeColor="text1"/>
          <w14:textFill>
            <w14:solidFill>
              <w14:schemeClr w14:val="tx1"/>
            </w14:solidFill>
          </w14:textFill>
        </w:rPr>
        <w:t>5.货</w:t>
      </w:r>
      <w:r>
        <w:rPr>
          <w:rFonts w:hint="eastAsia" w:hAnsi="宋体" w:cs="宋体"/>
          <w:color w:val="000000" w:themeColor="text1"/>
          <w:spacing w:val="-8"/>
          <w14:textFill>
            <w14:solidFill>
              <w14:schemeClr w14:val="tx1"/>
            </w14:solidFill>
          </w14:textFill>
        </w:rPr>
        <w:t>物在规定的交付期限内由乙方送达甲方指定的地点视为交付，乙方同时需通知甲方货物已送达。</w:t>
      </w:r>
    </w:p>
    <w:p>
      <w:pPr>
        <w:snapToGrid w:val="0"/>
        <w:spacing w:line="380" w:lineRule="exact"/>
        <w:ind w:firstLine="421"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第十四条　违约责任</w:t>
      </w:r>
    </w:p>
    <w:p>
      <w:pPr>
        <w:pStyle w:val="29"/>
        <w:spacing w:line="380" w:lineRule="exact"/>
        <w:ind w:firstLine="422"/>
        <w:rPr>
          <w:rFonts w:hint="eastAsia" w:hAnsi="宋体" w:cs="宋体"/>
          <w:color w:val="000000" w:themeColor="text1"/>
          <w:highlight w:val="none"/>
          <w14:textFill>
            <w14:solidFill>
              <w14:schemeClr w14:val="tx1"/>
            </w14:solidFill>
          </w14:textFill>
        </w:rPr>
      </w:pPr>
      <w:r>
        <w:rPr>
          <w:rFonts w:hAnsi="宋体" w:cs="宋体"/>
          <w:color w:val="000000" w:themeColor="text1"/>
          <w:highlight w:val="none"/>
          <w14:textFill>
            <w14:solidFill>
              <w14:schemeClr w14:val="tx1"/>
            </w14:solidFill>
          </w14:textFill>
        </w:rPr>
        <w:t>1、乙方所提供的家具规格、技术标准、材料等质量不符合约定的，应无条件及时更换，更换不及时的按逾期交货行为处理；因出现质量等问题时，甲方不同意接收的或特殊情况甲方同意接收的，乙方还应向甲方支付违约货款额</w:t>
      </w:r>
      <w:r>
        <w:rPr>
          <w:rFonts w:hAnsi="宋体" w:cs="宋体"/>
          <w:color w:val="000000" w:themeColor="text1"/>
          <w:highlight w:val="none"/>
          <w:u w:val="single"/>
          <w14:textFill>
            <w14:solidFill>
              <w14:schemeClr w14:val="tx1"/>
            </w14:solidFill>
          </w14:textFill>
        </w:rPr>
        <w:t xml:space="preserve">  3  %</w:t>
      </w:r>
      <w:r>
        <w:rPr>
          <w:rFonts w:hAnsi="宋体" w:cs="宋体"/>
          <w:color w:val="000000" w:themeColor="text1"/>
          <w:highlight w:val="none"/>
          <w14:textFill>
            <w14:solidFill>
              <w14:schemeClr w14:val="tx1"/>
            </w14:solidFill>
          </w14:textFill>
        </w:rPr>
        <w:t>违约金并乙方应赔偿甲方经济损失。</w:t>
      </w:r>
    </w:p>
    <w:p>
      <w:pPr>
        <w:pStyle w:val="29"/>
        <w:spacing w:line="380" w:lineRule="exact"/>
        <w:ind w:firstLine="422"/>
        <w:rPr>
          <w:rFonts w:hint="eastAsia" w:hAnsi="宋体" w:cs="宋体"/>
          <w:color w:val="000000" w:themeColor="text1"/>
          <w:highlight w:val="none"/>
          <w14:textFill>
            <w14:solidFill>
              <w14:schemeClr w14:val="tx1"/>
            </w14:solidFill>
          </w14:textFill>
        </w:rPr>
      </w:pPr>
      <w:r>
        <w:rPr>
          <w:rFonts w:hAnsi="宋体" w:cs="宋体"/>
          <w:color w:val="000000" w:themeColor="text1"/>
          <w:highlight w:val="none"/>
          <w14:textFill>
            <w14:solidFill>
              <w14:schemeClr w14:val="tx1"/>
            </w14:solidFill>
          </w14:textFill>
        </w:rPr>
        <w:t>2、乙方提供的货物如侵犯第三方合法权益而引发的任何纠纷或诉讼，均由乙方负责交涉并承担全部责任。</w:t>
      </w:r>
    </w:p>
    <w:p>
      <w:pPr>
        <w:pStyle w:val="29"/>
        <w:spacing w:line="380" w:lineRule="exact"/>
        <w:ind w:firstLine="422"/>
        <w:rPr>
          <w:rFonts w:hint="eastAsia" w:hAnsi="宋体" w:cs="宋体"/>
          <w:color w:val="000000" w:themeColor="text1"/>
          <w:highlight w:val="none"/>
          <w14:textFill>
            <w14:solidFill>
              <w14:schemeClr w14:val="tx1"/>
            </w14:solidFill>
          </w14:textFill>
        </w:rPr>
      </w:pPr>
      <w:r>
        <w:rPr>
          <w:rFonts w:hAnsi="宋体" w:cs="宋体"/>
          <w:color w:val="000000" w:themeColor="text1"/>
          <w:highlight w:val="none"/>
          <w14:textFill>
            <w14:solidFill>
              <w14:schemeClr w14:val="tx1"/>
            </w14:solidFill>
          </w14:textFill>
        </w:rPr>
        <w:t>3、因包装、运输、安装等非甲方原因引起的货物损坏，均按质量不合格处罚。</w:t>
      </w:r>
    </w:p>
    <w:p>
      <w:pPr>
        <w:pStyle w:val="29"/>
        <w:spacing w:line="380" w:lineRule="exact"/>
        <w:ind w:firstLine="422"/>
        <w:rPr>
          <w:rFonts w:hint="eastAsia" w:hAnsi="宋体" w:cs="宋体"/>
          <w:color w:val="000000" w:themeColor="text1"/>
          <w:highlight w:val="none"/>
          <w14:textFill>
            <w14:solidFill>
              <w14:schemeClr w14:val="tx1"/>
            </w14:solidFill>
          </w14:textFill>
        </w:rPr>
      </w:pPr>
      <w:r>
        <w:rPr>
          <w:rFonts w:hAnsi="宋体" w:cs="宋体"/>
          <w:color w:val="000000" w:themeColor="text1"/>
          <w:highlight w:val="none"/>
          <w14:textFill>
            <w14:solidFill>
              <w14:schemeClr w14:val="tx1"/>
            </w14:solidFill>
          </w14:textFill>
        </w:rPr>
        <w:t>4、甲方无故延期接收货物，乙方逾期交货的，每天向对方偿付违约货款额</w:t>
      </w:r>
      <w:r>
        <w:rPr>
          <w:rFonts w:hAnsi="宋体" w:cs="宋体"/>
          <w:color w:val="000000" w:themeColor="text1"/>
          <w:highlight w:val="none"/>
          <w:u w:val="single"/>
          <w14:textFill>
            <w14:solidFill>
              <w14:schemeClr w14:val="tx1"/>
            </w14:solidFill>
          </w14:textFill>
        </w:rPr>
        <w:t xml:space="preserve">   </w:t>
      </w:r>
      <w:r>
        <w:rPr>
          <w:rFonts w:hAnsi="宋体" w:cs="宋体"/>
          <w:color w:val="000000" w:themeColor="text1"/>
          <w:highlight w:val="none"/>
          <w:u w:val="single"/>
          <w:lang w:val="en"/>
          <w14:textFill>
            <w14:solidFill>
              <w14:schemeClr w14:val="tx1"/>
            </w14:solidFill>
          </w14:textFill>
        </w:rPr>
        <w:t>0.5</w:t>
      </w:r>
      <w:r>
        <w:rPr>
          <w:rFonts w:hAnsi="宋体" w:cs="宋体"/>
          <w:color w:val="000000" w:themeColor="text1"/>
          <w:highlight w:val="none"/>
          <w:u w:val="single"/>
          <w14:textFill>
            <w14:solidFill>
              <w14:schemeClr w14:val="tx1"/>
            </w14:solidFill>
          </w14:textFill>
        </w:rPr>
        <w:t xml:space="preserve">  ‰</w:t>
      </w:r>
      <w:r>
        <w:rPr>
          <w:rFonts w:hAnsi="宋体" w:cs="宋体"/>
          <w:color w:val="000000" w:themeColor="text1"/>
          <w:highlight w:val="none"/>
          <w14:textFill>
            <w14:solidFill>
              <w14:schemeClr w14:val="tx1"/>
            </w14:solidFill>
          </w14:textFill>
        </w:rPr>
        <w:t>违约金，但违约金累计不得超过违约货款额</w:t>
      </w:r>
      <w:r>
        <w:rPr>
          <w:rFonts w:hAnsi="宋体" w:cs="宋体"/>
          <w:color w:val="000000" w:themeColor="text1"/>
          <w:highlight w:val="none"/>
          <w:u w:val="single"/>
          <w14:textFill>
            <w14:solidFill>
              <w14:schemeClr w14:val="tx1"/>
            </w14:solidFill>
          </w14:textFill>
        </w:rPr>
        <w:t xml:space="preserve">  </w:t>
      </w:r>
      <w:r>
        <w:rPr>
          <w:rFonts w:hAnsi="宋体" w:cs="宋体"/>
          <w:color w:val="000000" w:themeColor="text1"/>
          <w:highlight w:val="none"/>
          <w:u w:val="single"/>
          <w:lang w:val="en"/>
          <w14:textFill>
            <w14:solidFill>
              <w14:schemeClr w14:val="tx1"/>
            </w14:solidFill>
          </w14:textFill>
        </w:rPr>
        <w:t xml:space="preserve">5  </w:t>
      </w:r>
      <w:r>
        <w:rPr>
          <w:rFonts w:hAnsi="宋体" w:cs="宋体"/>
          <w:color w:val="000000" w:themeColor="text1"/>
          <w:highlight w:val="none"/>
          <w:u w:val="single"/>
          <w14:textFill>
            <w14:solidFill>
              <w14:schemeClr w14:val="tx1"/>
            </w14:solidFill>
          </w14:textFill>
        </w:rPr>
        <w:t>%</w:t>
      </w:r>
      <w:r>
        <w:rPr>
          <w:rFonts w:hAnsi="宋体" w:cs="宋体"/>
          <w:color w:val="000000" w:themeColor="text1"/>
          <w:highlight w:val="none"/>
          <w14:textFill>
            <w14:solidFill>
              <w14:schemeClr w14:val="tx1"/>
            </w14:solidFill>
          </w14:textFill>
        </w:rPr>
        <w:t>，超过</w:t>
      </w:r>
      <w:r>
        <w:rPr>
          <w:rFonts w:hAnsi="宋体" w:cs="宋体"/>
          <w:color w:val="000000" w:themeColor="text1"/>
          <w:highlight w:val="none"/>
          <w:u w:val="single"/>
          <w14:textFill>
            <w14:solidFill>
              <w14:schemeClr w14:val="tx1"/>
            </w14:solidFill>
          </w14:textFill>
        </w:rPr>
        <w:t xml:space="preserve">  </w:t>
      </w:r>
      <w:r>
        <w:rPr>
          <w:rFonts w:hAnsi="宋体" w:cs="宋体"/>
          <w:color w:val="000000" w:themeColor="text1"/>
          <w:highlight w:val="none"/>
          <w:u w:val="single"/>
          <w:lang w:val="en"/>
          <w14:textFill>
            <w14:solidFill>
              <w14:schemeClr w14:val="tx1"/>
            </w14:solidFill>
          </w14:textFill>
        </w:rPr>
        <w:t xml:space="preserve"> 15</w:t>
      </w:r>
      <w:r>
        <w:rPr>
          <w:rFonts w:hAnsi="宋体" w:cs="宋体"/>
          <w:color w:val="000000" w:themeColor="text1"/>
          <w:highlight w:val="none"/>
          <w:u w:val="single"/>
          <w14:textFill>
            <w14:solidFill>
              <w14:schemeClr w14:val="tx1"/>
            </w14:solidFill>
          </w14:textFill>
        </w:rPr>
        <w:t xml:space="preserve">   </w:t>
      </w:r>
      <w:r>
        <w:rPr>
          <w:rFonts w:hAnsi="宋体" w:cs="宋体"/>
          <w:color w:val="000000" w:themeColor="text1"/>
          <w:highlight w:val="none"/>
          <w14:textFill>
            <w14:solidFill>
              <w14:schemeClr w14:val="tx1"/>
            </w14:solidFill>
          </w14:textFill>
        </w:rPr>
        <w:t>天对方有权解除合同，违约方承担因此给对方造成经济损失；甲方延期付货款的，每天向乙方偿付延期货款额</w:t>
      </w:r>
      <w:r>
        <w:rPr>
          <w:rFonts w:hAnsi="宋体" w:cs="宋体"/>
          <w:color w:val="000000" w:themeColor="text1"/>
          <w:highlight w:val="none"/>
          <w:u w:val="single"/>
          <w14:textFill>
            <w14:solidFill>
              <w14:schemeClr w14:val="tx1"/>
            </w14:solidFill>
          </w14:textFill>
        </w:rPr>
        <w:t xml:space="preserve">   </w:t>
      </w:r>
      <w:r>
        <w:rPr>
          <w:rFonts w:hAnsi="宋体" w:cs="宋体"/>
          <w:color w:val="000000" w:themeColor="text1"/>
          <w:highlight w:val="none"/>
          <w:u w:val="single"/>
          <w:lang w:val="en"/>
          <w14:textFill>
            <w14:solidFill>
              <w14:schemeClr w14:val="tx1"/>
            </w14:solidFill>
          </w14:textFill>
        </w:rPr>
        <w:t>0.5</w:t>
      </w:r>
      <w:r>
        <w:rPr>
          <w:rFonts w:hAnsi="宋体" w:cs="宋体"/>
          <w:color w:val="000000" w:themeColor="text1"/>
          <w:highlight w:val="none"/>
          <w:u w:val="single"/>
          <w14:textFill>
            <w14:solidFill>
              <w14:schemeClr w14:val="tx1"/>
            </w14:solidFill>
          </w14:textFill>
        </w:rPr>
        <w:t xml:space="preserve">‰  </w:t>
      </w:r>
      <w:r>
        <w:rPr>
          <w:rFonts w:hAnsi="宋体" w:cs="宋体"/>
          <w:color w:val="000000" w:themeColor="text1"/>
          <w:highlight w:val="none"/>
          <w14:textFill>
            <w14:solidFill>
              <w14:schemeClr w14:val="tx1"/>
            </w14:solidFill>
          </w14:textFill>
        </w:rPr>
        <w:t>违约金，但违约金累计不得超过延期货款额</w:t>
      </w:r>
      <w:r>
        <w:rPr>
          <w:rFonts w:hAnsi="宋体" w:cs="宋体"/>
          <w:color w:val="000000" w:themeColor="text1"/>
          <w:highlight w:val="none"/>
          <w:u w:val="single"/>
          <w14:textFill>
            <w14:solidFill>
              <w14:schemeClr w14:val="tx1"/>
            </w14:solidFill>
          </w14:textFill>
        </w:rPr>
        <w:t xml:space="preserve">  </w:t>
      </w:r>
      <w:r>
        <w:rPr>
          <w:rFonts w:hAnsi="宋体" w:cs="宋体"/>
          <w:color w:val="000000" w:themeColor="text1"/>
          <w:highlight w:val="none"/>
          <w:u w:val="single"/>
          <w:lang w:val="en"/>
          <w14:textFill>
            <w14:solidFill>
              <w14:schemeClr w14:val="tx1"/>
            </w14:solidFill>
          </w14:textFill>
        </w:rPr>
        <w:t>5</w:t>
      </w:r>
      <w:r>
        <w:rPr>
          <w:rFonts w:hAnsi="宋体" w:cs="宋体"/>
          <w:color w:val="000000" w:themeColor="text1"/>
          <w:highlight w:val="none"/>
          <w:u w:val="single"/>
          <w14:textFill>
            <w14:solidFill>
              <w14:schemeClr w14:val="tx1"/>
            </w14:solidFill>
          </w14:textFill>
        </w:rPr>
        <w:t xml:space="preserve">  %</w:t>
      </w:r>
      <w:r>
        <w:rPr>
          <w:rFonts w:hAnsi="宋体" w:cs="宋体"/>
          <w:color w:val="000000" w:themeColor="text1"/>
          <w:highlight w:val="none"/>
          <w14:textFill>
            <w14:solidFill>
              <w14:schemeClr w14:val="tx1"/>
            </w14:solidFill>
          </w14:textFill>
        </w:rPr>
        <w:t>。</w:t>
      </w:r>
    </w:p>
    <w:p>
      <w:pPr>
        <w:pStyle w:val="29"/>
        <w:spacing w:line="380" w:lineRule="exact"/>
        <w:ind w:firstLine="422"/>
        <w:rPr>
          <w:rFonts w:hint="eastAsia" w:hAnsi="宋体" w:cs="宋体"/>
          <w:color w:val="000000" w:themeColor="text1"/>
          <w:highlight w:val="none"/>
          <w14:textFill>
            <w14:solidFill>
              <w14:schemeClr w14:val="tx1"/>
            </w14:solidFill>
          </w14:textFill>
        </w:rPr>
      </w:pPr>
      <w:r>
        <w:rPr>
          <w:rFonts w:hAnsi="宋体" w:cs="宋体"/>
          <w:color w:val="000000" w:themeColor="text1"/>
          <w:highlight w:val="none"/>
          <w14:textFill>
            <w14:solidFill>
              <w14:schemeClr w14:val="tx1"/>
            </w14:solidFill>
          </w14:textFill>
        </w:rPr>
        <w:t>5、乙方未按本合同和响应文件中规定的服务承诺提供售后服务的，乙方应按本合同合计金额</w:t>
      </w:r>
      <w:r>
        <w:rPr>
          <w:rFonts w:hAnsi="宋体" w:cs="宋体"/>
          <w:color w:val="000000" w:themeColor="text1"/>
          <w:highlight w:val="none"/>
          <w:u w:val="single"/>
          <w14:textFill>
            <w14:solidFill>
              <w14:schemeClr w14:val="tx1"/>
            </w14:solidFill>
          </w14:textFill>
        </w:rPr>
        <w:t xml:space="preserve">  3  </w:t>
      </w:r>
      <w:r>
        <w:rPr>
          <w:rFonts w:hAnsi="宋体" w:cs="宋体"/>
          <w:color w:val="000000" w:themeColor="text1"/>
          <w:highlight w:val="none"/>
          <w14:textFill>
            <w14:solidFill>
              <w14:schemeClr w14:val="tx1"/>
            </w14:solidFill>
          </w14:textFill>
        </w:rPr>
        <w:t>%向甲方支付违约金。</w:t>
      </w:r>
    </w:p>
    <w:p>
      <w:pPr>
        <w:pStyle w:val="29"/>
        <w:spacing w:line="380" w:lineRule="exact"/>
        <w:ind w:firstLine="422"/>
        <w:rPr>
          <w:rFonts w:hint="eastAsia" w:hAnsi="宋体" w:cs="宋体"/>
          <w:color w:val="000000" w:themeColor="text1"/>
          <w:highlight w:val="none"/>
          <w14:textFill>
            <w14:solidFill>
              <w14:schemeClr w14:val="tx1"/>
            </w14:solidFill>
          </w14:textFill>
        </w:rPr>
      </w:pPr>
      <w:r>
        <w:rPr>
          <w:rFonts w:hAnsi="宋体" w:cs="宋体"/>
          <w:color w:val="000000" w:themeColor="text1"/>
          <w:highlight w:val="none"/>
          <w14:textFill>
            <w14:solidFill>
              <w14:schemeClr w14:val="tx1"/>
            </w14:solidFill>
          </w14:textFill>
        </w:rPr>
        <w:t>6、乙方提供的货物在质量保证期内，因设计、工艺或材料的缺陷和其它质量原因造成的问题，由乙方负责，费用从</w:t>
      </w:r>
      <w:r>
        <w:rPr>
          <w:rFonts w:hAnsi="宋体" w:cs="宋体"/>
          <w:b/>
          <w:color w:val="000000" w:themeColor="text1"/>
          <w:highlight w:val="none"/>
          <w14:textFill>
            <w14:solidFill>
              <w14:schemeClr w14:val="tx1"/>
            </w14:solidFill>
          </w14:textFill>
        </w:rPr>
        <w:t>履约保证金</w:t>
      </w:r>
      <w:r>
        <w:rPr>
          <w:rFonts w:hAnsi="宋体" w:cs="宋体"/>
          <w:color w:val="000000" w:themeColor="text1"/>
          <w:highlight w:val="none"/>
          <w14:textFill>
            <w14:solidFill>
              <w14:schemeClr w14:val="tx1"/>
            </w14:solidFill>
          </w14:textFill>
        </w:rPr>
        <w:t>中扣除，</w:t>
      </w:r>
      <w:r>
        <w:rPr>
          <w:rFonts w:hAnsi="宋体" w:cs="宋体"/>
          <w:b/>
          <w:color w:val="000000" w:themeColor="text1"/>
          <w:highlight w:val="none"/>
          <w14:textFill>
            <w14:solidFill>
              <w14:schemeClr w14:val="tx1"/>
            </w14:solidFill>
          </w14:textFill>
        </w:rPr>
        <w:t>履约保证金</w:t>
      </w:r>
      <w:r>
        <w:rPr>
          <w:rFonts w:hAnsi="宋体" w:cs="宋体"/>
          <w:color w:val="000000" w:themeColor="text1"/>
          <w:highlight w:val="none"/>
          <w14:textFill>
            <w14:solidFill>
              <w14:schemeClr w14:val="tx1"/>
            </w14:solidFill>
          </w14:textFill>
        </w:rPr>
        <w:t>不足以支付的，由乙方另行支付。</w:t>
      </w:r>
    </w:p>
    <w:p>
      <w:pPr>
        <w:snapToGrid w:val="0"/>
        <w:spacing w:line="400" w:lineRule="exact"/>
        <w:ind w:firstLine="420" w:firstLineChars="200"/>
        <w:rPr>
          <w:rFonts w:hint="eastAsia" w:ascii="宋体" w:hAnsi="宋体" w:cs="宋体"/>
          <w:color w:val="000000" w:themeColor="text1"/>
          <w:spacing w:val="4"/>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7、</w:t>
      </w:r>
      <w:r>
        <w:rPr>
          <w:rFonts w:hint="eastAsia" w:ascii="宋体" w:hAnsi="宋体" w:cs="宋体"/>
          <w:color w:val="000000" w:themeColor="text1"/>
          <w:spacing w:val="4"/>
          <w:szCs w:val="21"/>
          <w:highlight w:val="none"/>
          <w14:textFill>
            <w14:solidFill>
              <w14:schemeClr w14:val="tx1"/>
            </w14:solidFill>
          </w14:textFill>
        </w:rPr>
        <w:t>因乙方逾期交货致使甲方（校方）无法按原计划安排学生入住相应宿舍，从而导致甲方必须安排学生入住校外酒店或临时住宿点并产生实际住宿费用的，乙方在承担约定的逾期违约金之外，还应另行承担下述费用：</w:t>
      </w:r>
    </w:p>
    <w:p>
      <w:pPr>
        <w:snapToGrid w:val="0"/>
        <w:spacing w:line="400" w:lineRule="exact"/>
        <w:ind w:firstLine="436" w:firstLineChars="200"/>
        <w:rPr>
          <w:rFonts w:hint="eastAsia" w:ascii="宋体" w:hAnsi="宋体" w:cs="宋体"/>
          <w:color w:val="000000" w:themeColor="text1"/>
          <w:spacing w:val="4"/>
          <w:szCs w:val="21"/>
          <w:highlight w:val="none"/>
          <w14:textFill>
            <w14:solidFill>
              <w14:schemeClr w14:val="tx1"/>
            </w14:solidFill>
          </w14:textFill>
        </w:rPr>
      </w:pPr>
      <w:r>
        <w:rPr>
          <w:rFonts w:hint="eastAsia" w:ascii="宋体" w:hAnsi="宋体" w:cs="宋体"/>
          <w:color w:val="000000" w:themeColor="text1"/>
          <w:spacing w:val="4"/>
          <w:szCs w:val="21"/>
          <w:highlight w:val="none"/>
          <w14:textFill>
            <w14:solidFill>
              <w14:schemeClr w14:val="tx1"/>
            </w14:solidFill>
          </w14:textFill>
        </w:rPr>
        <w:t>（1）学生在此期间产生的全部住宿费用，以酒店或住宿点开具的正式发票金额为准；</w:t>
      </w:r>
    </w:p>
    <w:p>
      <w:pPr>
        <w:spacing w:line="400" w:lineRule="exact"/>
        <w:ind w:firstLine="436" w:firstLineChars="200"/>
        <w:rPr>
          <w:rFonts w:hint="eastAsia" w:ascii="宋体" w:hAnsi="宋体" w:cs="宋体"/>
          <w:color w:val="000000" w:themeColor="text1"/>
          <w:spacing w:val="4"/>
          <w:szCs w:val="21"/>
          <w:highlight w:val="none"/>
          <w14:textFill>
            <w14:solidFill>
              <w14:schemeClr w14:val="tx1"/>
            </w14:solidFill>
          </w14:textFill>
        </w:rPr>
      </w:pPr>
      <w:r>
        <w:rPr>
          <w:rFonts w:hint="eastAsia" w:ascii="宋体" w:hAnsi="宋体" w:cs="宋体"/>
          <w:color w:val="000000" w:themeColor="text1"/>
          <w:spacing w:val="4"/>
          <w:szCs w:val="21"/>
          <w:highlight w:val="none"/>
          <w14:textFill>
            <w14:solidFill>
              <w14:schemeClr w14:val="tx1"/>
            </w14:solidFill>
          </w14:textFill>
        </w:rPr>
        <w:t>（2）学生往返于住宿点与校园之间的必要交通费用。</w:t>
      </w:r>
    </w:p>
    <w:p>
      <w:pPr>
        <w:pStyle w:val="29"/>
        <w:spacing w:line="380" w:lineRule="exact"/>
        <w:ind w:firstLine="422"/>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8</w:t>
      </w:r>
      <w:r>
        <w:rPr>
          <w:rFonts w:hAnsi="宋体" w:cs="宋体"/>
          <w:color w:val="000000" w:themeColor="text1"/>
          <w:highlight w:val="none"/>
          <w14:textFill>
            <w14:solidFill>
              <w14:schemeClr w14:val="tx1"/>
            </w14:solidFill>
          </w14:textFill>
        </w:rPr>
        <w:t>、其它违约行为按违约货款额</w:t>
      </w:r>
      <w:r>
        <w:rPr>
          <w:rFonts w:hAnsi="宋体" w:cs="宋体"/>
          <w:color w:val="000000" w:themeColor="text1"/>
          <w:highlight w:val="none"/>
          <w:u w:val="single"/>
          <w14:textFill>
            <w14:solidFill>
              <w14:schemeClr w14:val="tx1"/>
            </w14:solidFill>
          </w14:textFill>
        </w:rPr>
        <w:t xml:space="preserve">   </w:t>
      </w:r>
      <w:r>
        <w:rPr>
          <w:rFonts w:hAnsi="宋体" w:cs="宋体"/>
          <w:color w:val="000000" w:themeColor="text1"/>
          <w:highlight w:val="none"/>
          <w:u w:val="single"/>
          <w:lang w:val="en"/>
          <w14:textFill>
            <w14:solidFill>
              <w14:schemeClr w14:val="tx1"/>
            </w14:solidFill>
          </w14:textFill>
        </w:rPr>
        <w:t>30</w:t>
      </w:r>
      <w:r>
        <w:rPr>
          <w:rFonts w:hAnsi="宋体" w:cs="宋体"/>
          <w:color w:val="000000" w:themeColor="text1"/>
          <w:highlight w:val="none"/>
          <w:u w:val="single"/>
          <w14:textFill>
            <w14:solidFill>
              <w14:schemeClr w14:val="tx1"/>
            </w14:solidFill>
          </w14:textFill>
        </w:rPr>
        <w:t xml:space="preserve">   %</w:t>
      </w:r>
      <w:r>
        <w:rPr>
          <w:rFonts w:hAnsi="宋体" w:cs="宋体"/>
          <w:color w:val="000000" w:themeColor="text1"/>
          <w:highlight w:val="none"/>
          <w14:textFill>
            <w14:solidFill>
              <w14:schemeClr w14:val="tx1"/>
            </w14:solidFill>
          </w14:textFill>
        </w:rPr>
        <w:t>收取违约金并赔偿经济损失。</w:t>
      </w:r>
    </w:p>
    <w:p>
      <w:pPr>
        <w:pStyle w:val="29"/>
        <w:snapToGrid w:val="0"/>
        <w:spacing w:line="380" w:lineRule="exact"/>
        <w:ind w:firstLine="421" w:firstLineChars="200"/>
        <w:rPr>
          <w:rFonts w:hint="eastAsia"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第十五条  不可抗力事件处理</w:t>
      </w:r>
    </w:p>
    <w:p>
      <w:pPr>
        <w:pStyle w:val="29"/>
        <w:snapToGrid w:val="0"/>
        <w:spacing w:line="38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1.在合同有效期内，任何一方因不可抗力事件导致不能履行合同，则合同履行期可延长，其延长期与不可抗力影响期相同。</w:t>
      </w:r>
    </w:p>
    <w:p>
      <w:pPr>
        <w:pStyle w:val="29"/>
        <w:snapToGrid w:val="0"/>
        <w:spacing w:line="38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2.不可抗力事件发生后，应立即通知对方，并寄送有关权威机构出具的证明。</w:t>
      </w:r>
    </w:p>
    <w:p>
      <w:pPr>
        <w:pStyle w:val="29"/>
        <w:snapToGrid w:val="0"/>
        <w:spacing w:line="38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3.不可抗力事件延续一百二十天以上，双方应通过友好协商，确定是否继续履行合同。</w:t>
      </w:r>
    </w:p>
    <w:p>
      <w:pPr>
        <w:snapToGrid w:val="0"/>
        <w:spacing w:line="380" w:lineRule="exact"/>
        <w:ind w:firstLine="421"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第十六条  合同争议解决</w:t>
      </w:r>
    </w:p>
    <w:p>
      <w:pPr>
        <w:snapToGrid w:val="0"/>
        <w:spacing w:line="3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1.因货物质量问题发生争议的，应邀请国家认可的质量检测机构对货物质量进行鉴定。货物符合标准的，鉴定费由甲方承担；货物不符合标准的，鉴定费由乙方承担。</w:t>
      </w:r>
    </w:p>
    <w:p>
      <w:pPr>
        <w:snapToGrid w:val="0"/>
        <w:spacing w:line="3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2.因履行本合同引起的或与本合同有关的争议，甲乙双方应首先通过友好协商解决，如果协商不能解决，可向甲方所在地的有管辖权人民法院提起诉讼。</w:t>
      </w:r>
    </w:p>
    <w:p>
      <w:pPr>
        <w:snapToGrid w:val="0"/>
        <w:spacing w:line="3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3.诉讼期间，本合同继续履行。</w:t>
      </w:r>
    </w:p>
    <w:p>
      <w:pPr>
        <w:pStyle w:val="29"/>
        <w:snapToGrid w:val="0"/>
        <w:spacing w:line="380" w:lineRule="exact"/>
        <w:ind w:firstLine="421" w:firstLineChars="200"/>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第十七条  诉讼</w:t>
      </w:r>
    </w:p>
    <w:p>
      <w:pPr>
        <w:pStyle w:val="29"/>
        <w:snapToGrid w:val="0"/>
        <w:spacing w:line="38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双方在执行合同中所发生的一切争议，应通过协商解决。如果协商不能解决，可向仲裁委员会申请仲裁或向人民法院提起诉讼。</w:t>
      </w:r>
    </w:p>
    <w:p>
      <w:pPr>
        <w:pStyle w:val="29"/>
        <w:snapToGrid w:val="0"/>
        <w:spacing w:line="380" w:lineRule="exact"/>
        <w:ind w:firstLine="421" w:firstLineChars="200"/>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第十八条  合同生效及其它</w:t>
      </w:r>
    </w:p>
    <w:p>
      <w:pPr>
        <w:pStyle w:val="29"/>
        <w:snapToGrid w:val="0"/>
        <w:spacing w:line="38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1.合同经双方法定代表人或授权代表签字并加盖单位公章后生效。</w:t>
      </w:r>
    </w:p>
    <w:p>
      <w:pPr>
        <w:pStyle w:val="29"/>
        <w:snapToGrid w:val="0"/>
        <w:spacing w:line="38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2.合同执行中涉及采购资金和采购内容修改或补充的，须经财政部门审批，并签书面补充协议报财政部门备案，方可作为主合同不可分割的一部分。</w:t>
      </w:r>
    </w:p>
    <w:p>
      <w:pPr>
        <w:pStyle w:val="29"/>
        <w:snapToGrid w:val="0"/>
        <w:spacing w:line="38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3.本合同未尽事宜</w:t>
      </w:r>
      <w:r>
        <w:rPr>
          <w:rFonts w:hint="eastAsia" w:hAnsi="宋体" w:cs="宋体"/>
          <w:color w:val="000000" w:themeColor="text1"/>
          <w:kern w:val="1"/>
          <w14:textFill>
            <w14:solidFill>
              <w14:schemeClr w14:val="tx1"/>
            </w14:solidFill>
          </w14:textFill>
        </w:rPr>
        <w:t>（包括采购文件及投标文件）</w:t>
      </w:r>
      <w:r>
        <w:rPr>
          <w:rFonts w:hint="eastAsia" w:hAnsi="宋体" w:cs="宋体"/>
          <w:color w:val="000000" w:themeColor="text1"/>
          <w14:textFill>
            <w14:solidFill>
              <w14:schemeClr w14:val="tx1"/>
            </w14:solidFill>
          </w14:textFill>
        </w:rPr>
        <w:t>，遵照《中华人民共和国民法典》有关条文执行。</w:t>
      </w:r>
    </w:p>
    <w:p>
      <w:pPr>
        <w:pStyle w:val="29"/>
        <w:snapToGrid w:val="0"/>
        <w:spacing w:line="380" w:lineRule="exact"/>
        <w:ind w:firstLine="420" w:firstLineChars="200"/>
        <w:rPr>
          <w:rFonts w:hint="eastAsia" w:hAnsi="宋体" w:cs="宋体"/>
          <w:b/>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4.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pPr>
        <w:snapToGrid w:val="0"/>
        <w:spacing w:line="380" w:lineRule="exact"/>
        <w:ind w:firstLine="421"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第十九条　合同的变更、终止与转让</w:t>
      </w:r>
    </w:p>
    <w:p>
      <w:pPr>
        <w:snapToGrid w:val="0"/>
        <w:spacing w:line="3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1.除《中华人民共和国政府采购法》第五十条规定的情形外，本合同一经签订，甲乙双方不得擅自变更、中止或终止。</w:t>
      </w:r>
    </w:p>
    <w:p>
      <w:pPr>
        <w:pStyle w:val="29"/>
        <w:snapToGrid w:val="0"/>
        <w:spacing w:line="380" w:lineRule="exact"/>
        <w:ind w:firstLine="420" w:firstLineChars="200"/>
        <w:rPr>
          <w:rFonts w:hint="eastAsia" w:hAnsi="宋体" w:cs="宋体"/>
          <w:b/>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2.乙方不得擅自转让（无进口资格的供应商委托进口货物除外）其应履行的合同义务。</w:t>
      </w:r>
    </w:p>
    <w:p>
      <w:pPr>
        <w:snapToGrid w:val="0"/>
        <w:spacing w:line="380" w:lineRule="exact"/>
        <w:ind w:firstLine="421"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第二十条　签订本合同依据</w:t>
      </w:r>
    </w:p>
    <w:p>
      <w:pPr>
        <w:snapToGrid w:val="0"/>
        <w:spacing w:line="3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1.政府采购招标文件；</w:t>
      </w:r>
    </w:p>
    <w:p>
      <w:pPr>
        <w:snapToGrid w:val="0"/>
        <w:spacing w:line="3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2.乙方提供的投标文件；</w:t>
      </w:r>
    </w:p>
    <w:p>
      <w:pPr>
        <w:snapToGrid w:val="0"/>
        <w:spacing w:line="3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3.投标承诺书；</w:t>
      </w:r>
    </w:p>
    <w:p>
      <w:pPr>
        <w:snapToGrid w:val="0"/>
        <w:spacing w:line="380" w:lineRule="exact"/>
        <w:ind w:firstLine="420" w:firstLineChars="200"/>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4.中标通知书。</w:t>
      </w:r>
    </w:p>
    <w:p>
      <w:pPr>
        <w:snapToGrid w:val="0"/>
        <w:spacing w:line="380" w:lineRule="exact"/>
        <w:ind w:firstLine="421"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第二十一条　</w:t>
      </w:r>
      <w:r>
        <w:rPr>
          <w:rFonts w:hint="eastAsia" w:ascii="宋体" w:hAnsi="宋体" w:cs="宋体"/>
          <w:bCs/>
          <w:color w:val="000000" w:themeColor="text1"/>
          <w:szCs w:val="21"/>
          <w:lang w:val="en"/>
          <w14:textFill>
            <w14:solidFill>
              <w14:schemeClr w14:val="tx1"/>
            </w14:solidFill>
          </w14:textFill>
        </w:rPr>
        <w:t>本合同一式六份，具有同等法律效力。广西壮族自治区财政厅政府采购监督管理处、代理机构各一份，甲方三份，乙方一份。自签订之日起两个工作日内，甲方应当将合同通过广西政府采购云平台上传完成合同网上公示。</w:t>
      </w:r>
    </w:p>
    <w:tbl>
      <w:tblPr>
        <w:tblStyle w:val="52"/>
        <w:tblW w:w="0" w:type="auto"/>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5"/>
        <w:gridCol w:w="4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4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甲方（章）           </w:t>
            </w:r>
          </w:p>
          <w:p>
            <w:pPr>
              <w:snapToGrid w:val="0"/>
              <w:spacing w:line="360" w:lineRule="exact"/>
              <w:rPr>
                <w:rFonts w:hint="eastAsia" w:ascii="宋体" w:hAnsi="宋体" w:cs="宋体"/>
                <w:color w:val="000000" w:themeColor="text1"/>
                <w:szCs w:val="21"/>
                <w14:textFill>
                  <w14:solidFill>
                    <w14:schemeClr w14:val="tx1"/>
                  </w14:solidFill>
                </w14:textFill>
              </w:rPr>
            </w:pPr>
          </w:p>
          <w:p>
            <w:pPr>
              <w:snapToGrid w:val="0"/>
              <w:spacing w:line="360" w:lineRule="exact"/>
              <w:ind w:firstLine="420" w:firstLineChars="200"/>
              <w:jc w:val="righ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年   月   日</w:t>
            </w:r>
          </w:p>
        </w:tc>
        <w:tc>
          <w:tcPr>
            <w:tcW w:w="462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乙方（章）  </w:t>
            </w:r>
          </w:p>
          <w:p>
            <w:pPr>
              <w:snapToGrid w:val="0"/>
              <w:spacing w:line="360" w:lineRule="exact"/>
              <w:rPr>
                <w:rFonts w:hint="eastAsia" w:ascii="宋体" w:hAnsi="宋体" w:cs="宋体"/>
                <w:color w:val="000000" w:themeColor="text1"/>
                <w:szCs w:val="21"/>
                <w14:textFill>
                  <w14:solidFill>
                    <w14:schemeClr w14:val="tx1"/>
                  </w14:solidFill>
                </w14:textFill>
              </w:rPr>
            </w:pPr>
          </w:p>
          <w:p>
            <w:pPr>
              <w:snapToGrid w:val="0"/>
              <w:spacing w:line="360" w:lineRule="exact"/>
              <w:ind w:firstLine="420" w:firstLineChars="200"/>
              <w:jc w:val="righ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4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通讯地址：</w:t>
            </w:r>
          </w:p>
        </w:tc>
        <w:tc>
          <w:tcPr>
            <w:tcW w:w="462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通讯地址：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4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w:t>
            </w:r>
          </w:p>
        </w:tc>
        <w:tc>
          <w:tcPr>
            <w:tcW w:w="462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4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委托代理人：</w:t>
            </w:r>
          </w:p>
        </w:tc>
        <w:tc>
          <w:tcPr>
            <w:tcW w:w="462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4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电话：</w:t>
            </w:r>
          </w:p>
        </w:tc>
        <w:tc>
          <w:tcPr>
            <w:tcW w:w="462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4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电子邮箱：</w:t>
            </w:r>
          </w:p>
        </w:tc>
        <w:tc>
          <w:tcPr>
            <w:tcW w:w="462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4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开户银行：</w:t>
            </w:r>
          </w:p>
        </w:tc>
        <w:tc>
          <w:tcPr>
            <w:tcW w:w="462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4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账号：</w:t>
            </w:r>
          </w:p>
        </w:tc>
        <w:tc>
          <w:tcPr>
            <w:tcW w:w="462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4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邮政编码：</w:t>
            </w:r>
          </w:p>
        </w:tc>
        <w:tc>
          <w:tcPr>
            <w:tcW w:w="462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368" w:type="dxa"/>
            <w:gridSpan w:val="2"/>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经办人：</w:t>
            </w:r>
          </w:p>
          <w:p>
            <w:pPr>
              <w:snapToGrid w:val="0"/>
              <w:spacing w:line="360" w:lineRule="exact"/>
              <w:ind w:firstLine="420" w:firstLineChars="200"/>
              <w:jc w:val="righ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年    月    日</w:t>
            </w:r>
          </w:p>
        </w:tc>
      </w:tr>
    </w:tbl>
    <w:p>
      <w:pPr>
        <w:snapToGrid w:val="0"/>
        <w:spacing w:line="300" w:lineRule="exact"/>
        <w:jc w:val="center"/>
        <w:rPr>
          <w:rFonts w:hint="eastAsia" w:ascii="宋体" w:hAnsi="宋体" w:cs="宋体"/>
          <w:b/>
          <w:color w:val="000000" w:themeColor="text1"/>
          <w:sz w:val="28"/>
          <w:szCs w:val="28"/>
          <w14:textFill>
            <w14:solidFill>
              <w14:schemeClr w14:val="tx1"/>
            </w14:solidFill>
          </w14:textFill>
        </w:rPr>
      </w:pPr>
    </w:p>
    <w:p>
      <w:pPr>
        <w:snapToGrid w:val="0"/>
        <w:spacing w:line="300" w:lineRule="exact"/>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合 同 附 件</w:t>
      </w:r>
    </w:p>
    <w:tbl>
      <w:tblPr>
        <w:tblStyle w:val="52"/>
        <w:tblW w:w="0" w:type="auto"/>
        <w:tblInd w:w="147" w:type="dxa"/>
        <w:tblLayout w:type="fixed"/>
        <w:tblCellMar>
          <w:top w:w="0" w:type="dxa"/>
          <w:left w:w="108" w:type="dxa"/>
          <w:bottom w:w="0" w:type="dxa"/>
          <w:right w:w="108" w:type="dxa"/>
        </w:tblCellMar>
      </w:tblPr>
      <w:tblGrid>
        <w:gridCol w:w="4642"/>
        <w:gridCol w:w="4739"/>
      </w:tblGrid>
      <w:tr>
        <w:tblPrEx>
          <w:tblCellMar>
            <w:top w:w="0" w:type="dxa"/>
            <w:left w:w="108" w:type="dxa"/>
            <w:bottom w:w="0" w:type="dxa"/>
            <w:right w:w="108" w:type="dxa"/>
          </w:tblCellMar>
        </w:tblPrEx>
        <w:trPr>
          <w:trHeight w:val="1134" w:hRule="atLeast"/>
        </w:trPr>
        <w:tc>
          <w:tcPr>
            <w:tcW w:w="9381" w:type="dxa"/>
            <w:gridSpan w:val="2"/>
            <w:tcBorders>
              <w:top w:val="single" w:color="auto" w:sz="4" w:space="0"/>
              <w:left w:val="single" w:color="auto" w:sz="4" w:space="0"/>
              <w:bottom w:val="nil"/>
              <w:right w:val="single" w:color="auto" w:sz="4" w:space="0"/>
            </w:tcBorders>
          </w:tcPr>
          <w:p>
            <w:pPr>
              <w:snapToGrid w:val="0"/>
              <w:spacing w:line="360" w:lineRule="exact"/>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1、供应商承诺具体事项：</w:t>
            </w:r>
          </w:p>
        </w:tc>
      </w:tr>
      <w:tr>
        <w:tblPrEx>
          <w:tblCellMar>
            <w:top w:w="0" w:type="dxa"/>
            <w:left w:w="108" w:type="dxa"/>
            <w:bottom w:w="0" w:type="dxa"/>
            <w:right w:w="108" w:type="dxa"/>
          </w:tblCellMar>
        </w:tblPrEx>
        <w:trPr>
          <w:trHeight w:val="1134" w:hRule="atLeast"/>
        </w:trPr>
        <w:tc>
          <w:tcPr>
            <w:tcW w:w="9381" w:type="dxa"/>
            <w:gridSpan w:val="2"/>
            <w:tcBorders>
              <w:top w:val="single" w:color="auto" w:sz="4" w:space="0"/>
              <w:left w:val="single" w:color="auto" w:sz="4" w:space="0"/>
              <w:bottom w:val="nil"/>
              <w:right w:val="single" w:color="auto" w:sz="4" w:space="0"/>
            </w:tcBorders>
          </w:tcPr>
          <w:p>
            <w:pPr>
              <w:snapToGrid w:val="0"/>
              <w:spacing w:line="360" w:lineRule="exact"/>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2、售后服务具体事项：</w:t>
            </w:r>
          </w:p>
        </w:tc>
      </w:tr>
      <w:tr>
        <w:tblPrEx>
          <w:tblCellMar>
            <w:top w:w="0" w:type="dxa"/>
            <w:left w:w="108" w:type="dxa"/>
            <w:bottom w:w="0" w:type="dxa"/>
            <w:right w:w="108" w:type="dxa"/>
          </w:tblCellMar>
        </w:tblPrEx>
        <w:trPr>
          <w:trHeight w:val="1134" w:hRule="atLeast"/>
        </w:trPr>
        <w:tc>
          <w:tcPr>
            <w:tcW w:w="9381" w:type="dxa"/>
            <w:gridSpan w:val="2"/>
            <w:tcBorders>
              <w:top w:val="single" w:color="auto" w:sz="4" w:space="0"/>
              <w:left w:val="single" w:color="auto" w:sz="4" w:space="0"/>
              <w:bottom w:val="nil"/>
              <w:right w:val="single" w:color="auto" w:sz="4" w:space="0"/>
            </w:tcBorders>
          </w:tcPr>
          <w:p>
            <w:pPr>
              <w:snapToGrid w:val="0"/>
              <w:spacing w:line="360" w:lineRule="exact"/>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3、保修期责任：</w:t>
            </w:r>
          </w:p>
        </w:tc>
      </w:tr>
      <w:tr>
        <w:tblPrEx>
          <w:tblCellMar>
            <w:top w:w="0" w:type="dxa"/>
            <w:left w:w="108" w:type="dxa"/>
            <w:bottom w:w="0" w:type="dxa"/>
            <w:right w:w="108" w:type="dxa"/>
          </w:tblCellMar>
        </w:tblPrEx>
        <w:trPr>
          <w:trHeight w:val="1134" w:hRule="atLeast"/>
        </w:trPr>
        <w:tc>
          <w:tcPr>
            <w:tcW w:w="9381" w:type="dxa"/>
            <w:gridSpan w:val="2"/>
            <w:tcBorders>
              <w:top w:val="single" w:color="auto" w:sz="4" w:space="0"/>
              <w:left w:val="single" w:color="auto" w:sz="4" w:space="0"/>
              <w:bottom w:val="nil"/>
              <w:right w:val="single" w:color="auto" w:sz="4" w:space="0"/>
            </w:tcBorders>
          </w:tcPr>
          <w:p>
            <w:pPr>
              <w:snapToGrid w:val="0"/>
              <w:spacing w:line="360" w:lineRule="exact"/>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4、其他具体事项：</w:t>
            </w:r>
          </w:p>
        </w:tc>
      </w:tr>
      <w:tr>
        <w:tblPrEx>
          <w:tblCellMar>
            <w:top w:w="0" w:type="dxa"/>
            <w:left w:w="108" w:type="dxa"/>
            <w:bottom w:w="0" w:type="dxa"/>
            <w:right w:w="108" w:type="dxa"/>
          </w:tblCellMar>
        </w:tblPrEx>
        <w:trPr>
          <w:trHeight w:val="1134" w:hRule="atLeast"/>
        </w:trPr>
        <w:tc>
          <w:tcPr>
            <w:tcW w:w="4642"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甲方（章）</w:t>
            </w:r>
          </w:p>
          <w:p>
            <w:pPr>
              <w:snapToGrid w:val="0"/>
              <w:spacing w:line="360" w:lineRule="exact"/>
              <w:ind w:firstLine="421" w:firstLineChars="200"/>
              <w:rPr>
                <w:rFonts w:hint="eastAsia" w:ascii="宋体" w:hAnsi="宋体" w:cs="宋体"/>
                <w:b/>
                <w:color w:val="000000" w:themeColor="text1"/>
                <w:szCs w:val="21"/>
                <w14:textFill>
                  <w14:solidFill>
                    <w14:schemeClr w14:val="tx1"/>
                  </w14:solidFill>
                </w14:textFill>
              </w:rPr>
            </w:pPr>
          </w:p>
          <w:p>
            <w:pPr>
              <w:snapToGrid w:val="0"/>
              <w:spacing w:line="360" w:lineRule="exact"/>
              <w:ind w:firstLine="421" w:firstLineChars="200"/>
              <w:rPr>
                <w:rFonts w:hint="eastAsia" w:ascii="宋体" w:hAnsi="宋体" w:cs="宋体"/>
                <w:b/>
                <w:color w:val="000000" w:themeColor="text1"/>
                <w:szCs w:val="21"/>
                <w14:textFill>
                  <w14:solidFill>
                    <w14:schemeClr w14:val="tx1"/>
                  </w14:solidFill>
                </w14:textFill>
              </w:rPr>
            </w:pPr>
          </w:p>
          <w:p>
            <w:pPr>
              <w:snapToGrid w:val="0"/>
              <w:spacing w:line="360" w:lineRule="exact"/>
              <w:ind w:firstLine="421"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 xml:space="preserve">                      年   月   日 </w:t>
            </w:r>
          </w:p>
        </w:tc>
        <w:tc>
          <w:tcPr>
            <w:tcW w:w="473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乙方（章）</w:t>
            </w:r>
          </w:p>
          <w:p>
            <w:pPr>
              <w:snapToGrid w:val="0"/>
              <w:spacing w:line="360" w:lineRule="exact"/>
              <w:ind w:firstLine="421" w:firstLineChars="200"/>
              <w:rPr>
                <w:rFonts w:hint="eastAsia" w:ascii="宋体" w:hAnsi="宋体" w:cs="宋体"/>
                <w:b/>
                <w:color w:val="000000" w:themeColor="text1"/>
                <w:szCs w:val="21"/>
                <w14:textFill>
                  <w14:solidFill>
                    <w14:schemeClr w14:val="tx1"/>
                  </w14:solidFill>
                </w14:textFill>
              </w:rPr>
            </w:pPr>
          </w:p>
          <w:p>
            <w:pPr>
              <w:snapToGrid w:val="0"/>
              <w:spacing w:line="360" w:lineRule="exact"/>
              <w:ind w:firstLine="421" w:firstLineChars="200"/>
              <w:rPr>
                <w:rFonts w:hint="eastAsia" w:ascii="宋体" w:hAnsi="宋体" w:cs="宋体"/>
                <w:b/>
                <w:color w:val="000000" w:themeColor="text1"/>
                <w:szCs w:val="21"/>
                <w14:textFill>
                  <w14:solidFill>
                    <w14:schemeClr w14:val="tx1"/>
                  </w14:solidFill>
                </w14:textFill>
              </w:rPr>
            </w:pPr>
          </w:p>
          <w:p>
            <w:pPr>
              <w:snapToGrid w:val="0"/>
              <w:spacing w:line="360" w:lineRule="exact"/>
              <w:ind w:firstLine="421"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 xml:space="preserve">                       年   月   日</w:t>
            </w:r>
          </w:p>
        </w:tc>
      </w:tr>
    </w:tbl>
    <w:p>
      <w:pPr>
        <w:snapToGrid w:val="0"/>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r>
        <w:rPr>
          <w:rFonts w:hint="eastAsia" w:ascii="宋体" w:hAnsi="宋体" w:cs="宋体"/>
          <w:b/>
          <w:bCs/>
          <w:color w:val="000000" w:themeColor="text1"/>
          <w:szCs w:val="21"/>
          <w14:textFill>
            <w14:solidFill>
              <w14:schemeClr w14:val="tx1"/>
            </w14:solidFill>
          </w14:textFill>
        </w:rPr>
        <w:t>注：售后服务事项填不下时可另加附页</w:t>
      </w:r>
    </w:p>
    <w:p>
      <w:pPr>
        <w:pStyle w:val="29"/>
        <w:snapToGrid w:val="0"/>
        <w:spacing w:before="120" w:after="120"/>
        <w:ind w:firstLine="883" w:firstLineChars="200"/>
        <w:jc w:val="center"/>
        <w:outlineLvl w:val="0"/>
        <w:rPr>
          <w:rFonts w:hint="eastAsia" w:hAnsi="宋体" w:cs="宋体"/>
          <w:b/>
          <w:color w:val="000000" w:themeColor="text1"/>
          <w:sz w:val="44"/>
          <w:szCs w:val="44"/>
          <w14:textFill>
            <w14:solidFill>
              <w14:schemeClr w14:val="tx1"/>
            </w14:solidFill>
          </w14:textFill>
        </w:rPr>
      </w:pPr>
      <w:r>
        <w:rPr>
          <w:rFonts w:hint="eastAsia" w:hAnsi="宋体" w:cs="宋体"/>
          <w:b/>
          <w:color w:val="000000" w:themeColor="text1"/>
          <w:sz w:val="44"/>
          <w:szCs w:val="44"/>
          <w14:textFill>
            <w14:solidFill>
              <w14:schemeClr w14:val="tx1"/>
            </w14:solidFill>
          </w14:textFill>
        </w:rPr>
        <w:br w:type="page"/>
      </w:r>
    </w:p>
    <w:p>
      <w:pPr>
        <w:pStyle w:val="228"/>
        <w:widowControl w:val="0"/>
        <w:spacing w:afterLines="0"/>
        <w:ind w:firstLine="883"/>
        <w:jc w:val="center"/>
        <w:rPr>
          <w:rFonts w:hint="eastAsia" w:ascii="宋体" w:hAnsi="宋体" w:cs="宋体"/>
          <w:b/>
          <w:color w:val="000000" w:themeColor="text1"/>
          <w:sz w:val="44"/>
          <w:szCs w:val="44"/>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28"/>
        <w:widowControl w:val="0"/>
        <w:spacing w:afterLines="0"/>
        <w:ind w:firstLine="422"/>
        <w:jc w:val="center"/>
        <w:rPr>
          <w:rFonts w:hint="eastAsia" w:ascii="宋体" w:hAnsi="宋体" w:cs="宋体"/>
          <w:b/>
          <w:color w:val="000000" w:themeColor="text1"/>
          <w:sz w:val="21"/>
          <w:szCs w:val="21"/>
          <w14:textFill>
            <w14:solidFill>
              <w14:schemeClr w14:val="tx1"/>
            </w14:solidFill>
          </w14:textFill>
        </w:rPr>
      </w:pPr>
    </w:p>
    <w:p>
      <w:pPr>
        <w:pStyle w:val="29"/>
        <w:snapToGrid w:val="0"/>
        <w:spacing w:before="120" w:after="120"/>
        <w:jc w:val="center"/>
        <w:outlineLvl w:val="0"/>
        <w:rPr>
          <w:rFonts w:hint="eastAsia" w:hAnsi="宋体" w:cs="宋体"/>
          <w:b/>
          <w:color w:val="000000" w:themeColor="text1"/>
          <w:sz w:val="44"/>
          <w:szCs w:val="44"/>
          <w14:textFill>
            <w14:solidFill>
              <w14:schemeClr w14:val="tx1"/>
            </w14:solidFill>
          </w14:textFill>
        </w:rPr>
      </w:pPr>
      <w:bookmarkStart w:id="25" w:name="_Toc1951924562_WPSOffice_Level1"/>
      <w:r>
        <w:rPr>
          <w:rFonts w:hint="eastAsia" w:hAnsi="宋体" w:cs="宋体"/>
          <w:b/>
          <w:color w:val="000000" w:themeColor="text1"/>
          <w:sz w:val="44"/>
          <w:szCs w:val="44"/>
          <w14:textFill>
            <w14:solidFill>
              <w14:schemeClr w14:val="tx1"/>
            </w14:solidFill>
          </w14:textFill>
        </w:rPr>
        <w:t>第六章　投标文件格式</w:t>
      </w:r>
      <w:bookmarkEnd w:id="25"/>
    </w:p>
    <w:p>
      <w:pPr>
        <w:snapToGrid w:val="0"/>
        <w:spacing w:before="50" w:after="50"/>
        <w:ind w:firstLine="640" w:firstLineChars="200"/>
        <w:outlineLvl w:val="1"/>
        <w:rPr>
          <w:rFonts w:hint="eastAsia" w:ascii="宋体" w:hAnsi="宋体" w:cs="宋体"/>
          <w:color w:val="000000" w:themeColor="text1"/>
          <w:sz w:val="32"/>
          <w:szCs w:val="20"/>
          <w14:textFill>
            <w14:solidFill>
              <w14:schemeClr w14:val="tx1"/>
            </w14:solidFill>
          </w14:textFill>
        </w:rPr>
      </w:pPr>
      <w:r>
        <w:rPr>
          <w:rFonts w:hint="eastAsia" w:ascii="宋体" w:hAnsi="宋体" w:cs="宋体"/>
          <w:color w:val="000000" w:themeColor="text1"/>
          <w:sz w:val="32"/>
          <w:szCs w:val="20"/>
          <w14:textFill>
            <w14:solidFill>
              <w14:schemeClr w14:val="tx1"/>
            </w14:solidFill>
          </w14:textFill>
        </w:rPr>
        <w:br w:type="page"/>
      </w:r>
      <w:bookmarkStart w:id="26" w:name="_Toc254970556"/>
      <w:bookmarkStart w:id="27" w:name="_Toc254970697"/>
    </w:p>
    <w:p>
      <w:pPr>
        <w:snapToGrid w:val="0"/>
        <w:spacing w:before="50" w:after="50"/>
        <w:outlineLvl w:val="1"/>
        <w:rPr>
          <w:rFonts w:hint="eastAsia" w:ascii="宋体" w:hAnsi="宋体" w:cs="宋体"/>
          <w:b/>
          <w:bCs/>
          <w:color w:val="000000" w:themeColor="text1"/>
          <w:szCs w:val="21"/>
          <w14:textFill>
            <w14:solidFill>
              <w14:schemeClr w14:val="tx1"/>
            </w14:solidFill>
          </w14:textFill>
        </w:rPr>
      </w:pPr>
    </w:p>
    <w:bookmarkEnd w:id="26"/>
    <w:bookmarkEnd w:id="27"/>
    <w:p>
      <w:pPr>
        <w:snapToGrid w:val="0"/>
        <w:spacing w:before="156" w:beforeLines="50" w:after="50" w:line="360" w:lineRule="exact"/>
        <w:jc w:val="center"/>
        <w:outlineLvl w:val="1"/>
        <w:rPr>
          <w:rFonts w:hint="eastAsia" w:ascii="宋体" w:hAnsi="宋体" w:cs="宋体"/>
          <w:b/>
          <w:bCs/>
          <w:color w:val="000000" w:themeColor="text1"/>
          <w:sz w:val="32"/>
          <w:szCs w:val="32"/>
          <w14:textFill>
            <w14:solidFill>
              <w14:schemeClr w14:val="tx1"/>
            </w14:solidFill>
          </w14:textFill>
        </w:rPr>
      </w:pPr>
      <w:bookmarkStart w:id="28" w:name="_Toc595891774_WPSOffice_Level1"/>
      <w:r>
        <w:rPr>
          <w:rFonts w:hint="eastAsia" w:ascii="宋体" w:hAnsi="宋体" w:cs="宋体"/>
          <w:b/>
          <w:color w:val="000000" w:themeColor="text1"/>
          <w:sz w:val="32"/>
          <w:szCs w:val="32"/>
          <w14:textFill>
            <w14:solidFill>
              <w14:schemeClr w14:val="tx1"/>
            </w14:solidFill>
          </w14:textFill>
        </w:rPr>
        <w:t>投标文件格式</w:t>
      </w:r>
      <w:bookmarkEnd w:id="28"/>
    </w:p>
    <w:p>
      <w:pPr>
        <w:snapToGrid w:val="0"/>
        <w:spacing w:before="156" w:beforeLines="50" w:after="50" w:line="360" w:lineRule="exact"/>
        <w:jc w:val="center"/>
        <w:outlineLvl w:val="0"/>
        <w:rPr>
          <w:rFonts w:hint="eastAsia" w:ascii="宋体" w:hAnsi="宋体" w:cs="宋体"/>
          <w:b/>
          <w:bCs/>
          <w:color w:val="000000" w:themeColor="text1"/>
          <w:szCs w:val="21"/>
          <w14:textFill>
            <w14:solidFill>
              <w14:schemeClr w14:val="tx1"/>
            </w14:solidFill>
          </w14:textFill>
        </w:rPr>
      </w:pPr>
      <w:bookmarkStart w:id="29" w:name="_Toc471156743_WPSOffice_Level1"/>
      <w:r>
        <w:rPr>
          <w:rFonts w:hint="eastAsia" w:ascii="宋体" w:hAnsi="宋体" w:cs="宋体"/>
          <w:b/>
          <w:bCs/>
          <w:color w:val="000000" w:themeColor="text1"/>
          <w:szCs w:val="21"/>
          <w14:textFill>
            <w14:solidFill>
              <w14:schemeClr w14:val="tx1"/>
            </w14:solidFill>
          </w14:textFill>
        </w:rPr>
        <w:t>一、</w:t>
      </w:r>
      <w:r>
        <w:rPr>
          <w:rFonts w:hint="eastAsia" w:ascii="宋体" w:hAnsi="宋体" w:cs="宋体"/>
          <w:b/>
          <w:color w:val="000000" w:themeColor="text1"/>
          <w:szCs w:val="21"/>
          <w14:textFill>
            <w14:solidFill>
              <w14:schemeClr w14:val="tx1"/>
            </w14:solidFill>
          </w14:textFill>
        </w:rPr>
        <w:t>投标文件封面</w:t>
      </w:r>
      <w:r>
        <w:rPr>
          <w:rFonts w:hint="eastAsia" w:ascii="宋体" w:hAnsi="宋体" w:cs="宋体"/>
          <w:b/>
          <w:bCs/>
          <w:color w:val="000000" w:themeColor="text1"/>
          <w:szCs w:val="21"/>
          <w14:textFill>
            <w14:solidFill>
              <w14:schemeClr w14:val="tx1"/>
            </w14:solidFill>
          </w14:textFill>
        </w:rPr>
        <w:t>格式</w:t>
      </w:r>
      <w:bookmarkEnd w:id="29"/>
    </w:p>
    <w:p>
      <w:pPr>
        <w:snapToGrid w:val="0"/>
        <w:spacing w:before="156" w:beforeLines="50" w:after="50" w:line="360" w:lineRule="exact"/>
        <w:rPr>
          <w:rFonts w:hint="eastAsia" w:ascii="宋体" w:hAnsi="宋体" w:cs="宋体"/>
          <w:b/>
          <w:color w:val="000000" w:themeColor="text1"/>
          <w:szCs w:val="21"/>
          <w14:textFill>
            <w14:solidFill>
              <w14:schemeClr w14:val="tx1"/>
            </w14:solidFill>
          </w14:textFill>
        </w:rPr>
      </w:pPr>
    </w:p>
    <w:p>
      <w:pPr>
        <w:snapToGrid w:val="0"/>
        <w:spacing w:before="156" w:beforeLines="50" w:after="50" w:line="360" w:lineRule="exact"/>
        <w:rPr>
          <w:rFonts w:hint="eastAsia" w:ascii="宋体" w:hAnsi="宋体" w:cs="宋体"/>
          <w:color w:val="000000" w:themeColor="text1"/>
          <w:sz w:val="24"/>
          <w14:textFill>
            <w14:solidFill>
              <w14:schemeClr w14:val="tx1"/>
            </w14:solidFill>
          </w14:textFill>
        </w:rPr>
      </w:pPr>
    </w:p>
    <w:p>
      <w:pPr>
        <w:snapToGrid w:val="0"/>
        <w:spacing w:before="156" w:beforeLines="50" w:after="50" w:line="360" w:lineRule="exact"/>
        <w:ind w:firstLine="480" w:firstLineChars="200"/>
        <w:rPr>
          <w:rFonts w:hint="eastAsia" w:ascii="宋体" w:hAnsi="宋体" w:cs="宋体"/>
          <w:b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p>
    <w:p>
      <w:pPr>
        <w:snapToGrid w:val="0"/>
        <w:spacing w:before="156" w:beforeLines="50" w:after="50" w:line="360" w:lineRule="exact"/>
        <w:jc w:val="center"/>
        <w:rPr>
          <w:rFonts w:hint="eastAsia" w:ascii="宋体" w:hAnsi="宋体" w:cs="宋体"/>
          <w:b/>
          <w:bCs/>
          <w:color w:val="000000" w:themeColor="text1"/>
          <w:sz w:val="32"/>
          <w:szCs w:val="32"/>
          <w14:textFill>
            <w14:solidFill>
              <w14:schemeClr w14:val="tx1"/>
            </w14:solidFill>
          </w14:textFill>
        </w:rPr>
      </w:pPr>
      <w:bookmarkStart w:id="30" w:name="_Toc666729024_WPSOffice_Level1"/>
      <w:r>
        <w:rPr>
          <w:rFonts w:hint="eastAsia" w:ascii="宋体" w:hAnsi="宋体" w:cs="宋体"/>
          <w:b/>
          <w:bCs/>
          <w:color w:val="000000" w:themeColor="text1"/>
          <w:sz w:val="32"/>
          <w:szCs w:val="32"/>
          <w14:textFill>
            <w14:solidFill>
              <w14:schemeClr w14:val="tx1"/>
            </w14:solidFill>
          </w14:textFill>
        </w:rPr>
        <w:t>投标文件</w:t>
      </w:r>
      <w:bookmarkEnd w:id="30"/>
    </w:p>
    <w:p>
      <w:pPr>
        <w:snapToGrid w:val="0"/>
        <w:spacing w:before="156" w:beforeLines="50" w:after="50" w:line="360" w:lineRule="exact"/>
        <w:rPr>
          <w:rFonts w:hint="eastAsia" w:ascii="宋体" w:hAnsi="宋体" w:cs="宋体"/>
          <w:bCs/>
          <w:color w:val="000000" w:themeColor="text1"/>
          <w:sz w:val="24"/>
          <w14:textFill>
            <w14:solidFill>
              <w14:schemeClr w14:val="tx1"/>
            </w14:solidFill>
          </w14:textFill>
        </w:rPr>
      </w:pPr>
    </w:p>
    <w:p>
      <w:pPr>
        <w:snapToGrid w:val="0"/>
        <w:spacing w:before="156" w:beforeLines="50" w:after="50" w:line="360" w:lineRule="exact"/>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xml:space="preserve">项目名称： </w:t>
      </w:r>
    </w:p>
    <w:p>
      <w:pPr>
        <w:snapToGrid w:val="0"/>
        <w:spacing w:before="156" w:beforeLines="50" w:after="50" w:line="360" w:lineRule="exact"/>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xml:space="preserve">项目编号： </w:t>
      </w:r>
    </w:p>
    <w:p>
      <w:pPr>
        <w:snapToGrid w:val="0"/>
        <w:spacing w:before="156" w:beforeLines="50" w:after="50" w:line="360" w:lineRule="exact"/>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所投分标：分标</w:t>
      </w:r>
      <w:r>
        <w:rPr>
          <w:rFonts w:hint="eastAsia" w:ascii="宋体" w:hAnsi="宋体" w:cs="宋体"/>
          <w:bCs/>
          <w:color w:val="000000" w:themeColor="text1"/>
          <w:szCs w:val="21"/>
          <w:u w:val="single"/>
          <w14:textFill>
            <w14:solidFill>
              <w14:schemeClr w14:val="tx1"/>
            </w14:solidFill>
          </w14:textFill>
        </w:rPr>
        <w:t xml:space="preserve">       </w:t>
      </w:r>
    </w:p>
    <w:p>
      <w:pPr>
        <w:snapToGrid w:val="0"/>
        <w:spacing w:before="156" w:beforeLines="50" w:after="50" w:line="360" w:lineRule="exact"/>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投标人名称：（盖章）</w:t>
      </w:r>
    </w:p>
    <w:p>
      <w:pPr>
        <w:snapToGrid w:val="0"/>
        <w:spacing w:before="156" w:beforeLines="50" w:after="50" w:line="360" w:lineRule="exact"/>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投标人地址：</w:t>
      </w:r>
    </w:p>
    <w:p>
      <w:pPr>
        <w:snapToGrid w:val="0"/>
        <w:spacing w:before="156" w:beforeLines="50" w:after="50" w:line="360" w:lineRule="exact"/>
        <w:ind w:firstLine="480" w:firstLineChars="200"/>
        <w:jc w:val="center"/>
        <w:outlineLvl w:val="1"/>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bookmarkStart w:id="31" w:name="_Toc710102666_WPSOffice_Level1"/>
      <w:r>
        <w:rPr>
          <w:rFonts w:hint="eastAsia" w:ascii="宋体" w:hAnsi="宋体" w:cs="宋体"/>
          <w:color w:val="000000" w:themeColor="text1"/>
          <w:sz w:val="24"/>
          <w14:textFill>
            <w14:solidFill>
              <w14:schemeClr w14:val="tx1"/>
            </w14:solidFill>
          </w14:textFill>
        </w:rPr>
        <w:t>年  月  日</w:t>
      </w:r>
      <w:bookmarkEnd w:id="31"/>
    </w:p>
    <w:p>
      <w:pPr>
        <w:snapToGrid w:val="0"/>
        <w:spacing w:before="156" w:beforeLines="50" w:after="50" w:line="360" w:lineRule="exact"/>
        <w:jc w:val="center"/>
        <w:outlineLvl w:val="1"/>
        <w:rPr>
          <w:rFonts w:hint="eastAsia" w:ascii="宋体" w:hAnsi="宋体" w:cs="宋体"/>
          <w:bCs/>
          <w:color w:val="000000" w:themeColor="text1"/>
          <w:szCs w:val="21"/>
          <w14:textFill>
            <w14:solidFill>
              <w14:schemeClr w14:val="tx1"/>
            </w14:solidFill>
          </w14:textFill>
        </w:rPr>
      </w:pPr>
      <w:bookmarkStart w:id="32" w:name="_Toc254970698"/>
      <w:bookmarkStart w:id="33" w:name="_Toc254970557"/>
    </w:p>
    <w:p>
      <w:pPr>
        <w:snapToGrid w:val="0"/>
        <w:spacing w:before="156" w:beforeLines="50" w:after="50" w:line="360" w:lineRule="exact"/>
        <w:ind w:firstLine="420" w:firstLineChars="200"/>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[注：</w:t>
      </w:r>
      <w:r>
        <w:rPr>
          <w:rFonts w:hint="eastAsia" w:ascii="宋体" w:hAnsi="宋体" w:cs="宋体"/>
          <w:color w:val="000000" w:themeColor="text1"/>
          <w:szCs w:val="21"/>
          <w14:textFill>
            <w14:solidFill>
              <w14:schemeClr w14:val="tx1"/>
            </w14:solidFill>
          </w14:textFill>
        </w:rPr>
        <w:t>投标文件由</w:t>
      </w:r>
      <w:r>
        <w:rPr>
          <w:rFonts w:hint="eastAsia" w:ascii="宋体" w:hAnsi="宋体" w:cs="宋体"/>
          <w:b/>
          <w:bCs/>
          <w:color w:val="000000" w:themeColor="text1"/>
          <w:szCs w:val="21"/>
          <w14:textFill>
            <w14:solidFill>
              <w14:schemeClr w14:val="tx1"/>
            </w14:solidFill>
          </w14:textFill>
        </w:rPr>
        <w:t>资格文件、资信及商务文件、技术文件、投标报价文件</w:t>
      </w:r>
      <w:r>
        <w:rPr>
          <w:rFonts w:hint="eastAsia" w:ascii="宋体" w:hAnsi="宋体" w:cs="宋体"/>
          <w:b/>
          <w:color w:val="000000" w:themeColor="text1"/>
          <w:szCs w:val="21"/>
          <w14:textFill>
            <w14:solidFill>
              <w14:schemeClr w14:val="tx1"/>
            </w14:solidFill>
          </w14:textFill>
        </w:rPr>
        <w:t>四部份</w:t>
      </w:r>
      <w:r>
        <w:rPr>
          <w:rFonts w:hint="eastAsia" w:ascii="宋体" w:hAnsi="宋体" w:cs="宋体"/>
          <w:color w:val="000000" w:themeColor="text1"/>
          <w:szCs w:val="21"/>
          <w14:textFill>
            <w14:solidFill>
              <w14:schemeClr w14:val="tx1"/>
            </w14:solidFill>
          </w14:textFill>
        </w:rPr>
        <w:t>组成</w:t>
      </w:r>
      <w:r>
        <w:rPr>
          <w:rFonts w:hint="eastAsia" w:ascii="宋体" w:hAnsi="宋体" w:cs="宋体"/>
          <w:bCs/>
          <w:color w:val="000000" w:themeColor="text1"/>
          <w:szCs w:val="21"/>
          <w14:textFill>
            <w14:solidFill>
              <w14:schemeClr w14:val="tx1"/>
            </w14:solidFill>
          </w14:textFill>
        </w:rPr>
        <w:t>]</w:t>
      </w:r>
    </w:p>
    <w:p>
      <w:pPr>
        <w:snapToGrid w:val="0"/>
        <w:spacing w:before="156" w:beforeLines="50" w:after="50" w:line="360" w:lineRule="exact"/>
        <w:jc w:val="center"/>
        <w:outlineLvl w:val="0"/>
        <w:rPr>
          <w:rFonts w:hint="eastAsia" w:ascii="宋体" w:hAnsi="宋体" w:cs="宋体"/>
          <w:bCs/>
          <w:color w:val="000000" w:themeColor="text1"/>
          <w:sz w:val="32"/>
          <w:szCs w:val="32"/>
          <w14:textFill>
            <w14:solidFill>
              <w14:schemeClr w14:val="tx1"/>
            </w14:solidFill>
          </w14:textFill>
        </w:rPr>
      </w:pPr>
    </w:p>
    <w:p>
      <w:pPr>
        <w:snapToGrid w:val="0"/>
        <w:spacing w:before="156" w:beforeLines="50" w:after="50" w:line="360" w:lineRule="exact"/>
        <w:jc w:val="center"/>
        <w:outlineLvl w:val="0"/>
        <w:rPr>
          <w:rFonts w:hint="eastAsia" w:ascii="宋体" w:hAnsi="宋体" w:cs="宋体"/>
          <w:bCs/>
          <w:color w:val="000000" w:themeColor="text1"/>
          <w:sz w:val="32"/>
          <w:szCs w:val="32"/>
          <w14:textFill>
            <w14:solidFill>
              <w14:schemeClr w14:val="tx1"/>
            </w14:solidFill>
          </w14:textFill>
        </w:rPr>
      </w:pPr>
    </w:p>
    <w:p>
      <w:pPr>
        <w:snapToGrid w:val="0"/>
        <w:spacing w:before="156" w:beforeLines="50" w:after="50" w:line="360" w:lineRule="exact"/>
        <w:jc w:val="center"/>
        <w:outlineLvl w:val="0"/>
        <w:rPr>
          <w:rFonts w:hint="eastAsia" w:ascii="宋体" w:hAnsi="宋体" w:cs="宋体"/>
          <w:bCs/>
          <w:color w:val="000000" w:themeColor="text1"/>
          <w:sz w:val="32"/>
          <w:szCs w:val="32"/>
          <w14:textFill>
            <w14:solidFill>
              <w14:schemeClr w14:val="tx1"/>
            </w14:solidFill>
          </w14:textFill>
        </w:rPr>
      </w:pPr>
    </w:p>
    <w:p>
      <w:pPr>
        <w:snapToGrid w:val="0"/>
        <w:spacing w:before="156" w:beforeLines="50" w:after="50" w:line="360" w:lineRule="exact"/>
        <w:jc w:val="center"/>
        <w:outlineLvl w:val="0"/>
        <w:rPr>
          <w:rFonts w:hint="eastAsia" w:ascii="宋体" w:hAnsi="宋体" w:cs="宋体"/>
          <w:bCs/>
          <w:color w:val="000000" w:themeColor="text1"/>
          <w:sz w:val="32"/>
          <w:szCs w:val="32"/>
          <w14:textFill>
            <w14:solidFill>
              <w14:schemeClr w14:val="tx1"/>
            </w14:solidFill>
          </w14:textFill>
        </w:rPr>
      </w:pPr>
    </w:p>
    <w:p>
      <w:pPr>
        <w:snapToGrid w:val="0"/>
        <w:spacing w:before="156" w:beforeLines="50" w:after="50" w:line="360" w:lineRule="exact"/>
        <w:jc w:val="center"/>
        <w:outlineLvl w:val="0"/>
        <w:rPr>
          <w:rFonts w:hint="eastAsia" w:ascii="宋体" w:hAnsi="宋体" w:cs="宋体"/>
          <w:bCs/>
          <w:color w:val="000000" w:themeColor="text1"/>
          <w:sz w:val="32"/>
          <w:szCs w:val="32"/>
          <w14:textFill>
            <w14:solidFill>
              <w14:schemeClr w14:val="tx1"/>
            </w14:solidFill>
          </w14:textFill>
        </w:rPr>
      </w:pPr>
    </w:p>
    <w:p>
      <w:pPr>
        <w:snapToGrid w:val="0"/>
        <w:spacing w:before="156" w:beforeLines="50" w:after="50" w:line="360" w:lineRule="exact"/>
        <w:jc w:val="center"/>
        <w:outlineLvl w:val="0"/>
        <w:rPr>
          <w:rFonts w:hint="eastAsia" w:ascii="宋体" w:hAnsi="宋体" w:cs="宋体"/>
          <w:bCs/>
          <w:color w:val="000000" w:themeColor="text1"/>
          <w:sz w:val="32"/>
          <w:szCs w:val="32"/>
          <w14:textFill>
            <w14:solidFill>
              <w14:schemeClr w14:val="tx1"/>
            </w14:solidFill>
          </w14:textFill>
        </w:rPr>
      </w:pPr>
    </w:p>
    <w:p>
      <w:pPr>
        <w:snapToGrid w:val="0"/>
        <w:spacing w:before="156" w:beforeLines="50" w:after="50" w:line="360" w:lineRule="exact"/>
        <w:jc w:val="center"/>
        <w:outlineLvl w:val="0"/>
        <w:rPr>
          <w:rFonts w:hint="eastAsia" w:ascii="宋体" w:hAnsi="宋体" w:cs="宋体"/>
          <w:bCs/>
          <w:color w:val="000000" w:themeColor="text1"/>
          <w:sz w:val="32"/>
          <w:szCs w:val="32"/>
          <w14:textFill>
            <w14:solidFill>
              <w14:schemeClr w14:val="tx1"/>
            </w14:solidFill>
          </w14:textFill>
        </w:rPr>
      </w:pPr>
    </w:p>
    <w:p>
      <w:pPr>
        <w:snapToGrid w:val="0"/>
        <w:spacing w:before="156" w:beforeLines="50" w:after="50" w:line="360" w:lineRule="exact"/>
        <w:jc w:val="center"/>
        <w:outlineLvl w:val="0"/>
        <w:rPr>
          <w:rFonts w:hint="eastAsia" w:ascii="宋体" w:hAnsi="宋体" w:cs="宋体"/>
          <w:bCs/>
          <w:color w:val="000000" w:themeColor="text1"/>
          <w:sz w:val="32"/>
          <w:szCs w:val="32"/>
          <w14:textFill>
            <w14:solidFill>
              <w14:schemeClr w14:val="tx1"/>
            </w14:solidFill>
          </w14:textFill>
        </w:rPr>
      </w:pPr>
    </w:p>
    <w:p>
      <w:pPr>
        <w:snapToGrid w:val="0"/>
        <w:spacing w:before="156" w:beforeLines="50" w:after="50" w:line="360" w:lineRule="exact"/>
        <w:jc w:val="center"/>
        <w:outlineLvl w:val="0"/>
        <w:rPr>
          <w:rFonts w:hint="eastAsia" w:ascii="宋体" w:hAnsi="宋体" w:cs="宋体"/>
          <w:bCs/>
          <w:color w:val="000000" w:themeColor="text1"/>
          <w:sz w:val="32"/>
          <w:szCs w:val="32"/>
          <w14:textFill>
            <w14:solidFill>
              <w14:schemeClr w14:val="tx1"/>
            </w14:solidFill>
          </w14:textFill>
        </w:rPr>
      </w:pPr>
    </w:p>
    <w:p>
      <w:pPr>
        <w:pStyle w:val="51"/>
        <w:ind w:firstLine="320"/>
        <w:rPr>
          <w:rFonts w:hint="eastAsia" w:ascii="宋体" w:hAnsi="宋体" w:cs="宋体"/>
          <w:bCs/>
          <w:color w:val="000000" w:themeColor="text1"/>
          <w:sz w:val="32"/>
          <w:szCs w:val="32"/>
          <w14:textFill>
            <w14:solidFill>
              <w14:schemeClr w14:val="tx1"/>
            </w14:solidFill>
          </w14:textFill>
        </w:rPr>
      </w:pPr>
    </w:p>
    <w:p>
      <w:pPr>
        <w:pStyle w:val="51"/>
        <w:ind w:firstLine="320"/>
        <w:rPr>
          <w:rFonts w:hint="eastAsia" w:ascii="宋体" w:hAnsi="宋体" w:cs="宋体"/>
          <w:bCs/>
          <w:color w:val="000000" w:themeColor="text1"/>
          <w:sz w:val="32"/>
          <w:szCs w:val="32"/>
          <w14:textFill>
            <w14:solidFill>
              <w14:schemeClr w14:val="tx1"/>
            </w14:solidFill>
          </w14:textFill>
        </w:rPr>
      </w:pPr>
    </w:p>
    <w:p>
      <w:pPr>
        <w:pStyle w:val="51"/>
        <w:ind w:firstLine="320"/>
        <w:rPr>
          <w:rFonts w:hint="eastAsia" w:ascii="宋体" w:hAnsi="宋体" w:cs="宋体"/>
          <w:bCs/>
          <w:color w:val="000000" w:themeColor="text1"/>
          <w:sz w:val="32"/>
          <w:szCs w:val="32"/>
          <w14:textFill>
            <w14:solidFill>
              <w14:schemeClr w14:val="tx1"/>
            </w14:solidFill>
          </w14:textFill>
        </w:rPr>
      </w:pPr>
    </w:p>
    <w:p>
      <w:pPr>
        <w:snapToGrid w:val="0"/>
        <w:spacing w:before="156" w:beforeLines="50" w:after="50" w:line="360" w:lineRule="exact"/>
        <w:jc w:val="center"/>
        <w:outlineLvl w:val="0"/>
        <w:rPr>
          <w:rFonts w:hint="eastAsia" w:ascii="宋体" w:hAnsi="宋体" w:cs="宋体"/>
          <w:bCs/>
          <w:color w:val="000000" w:themeColor="text1"/>
          <w:sz w:val="32"/>
          <w:szCs w:val="32"/>
          <w14:textFill>
            <w14:solidFill>
              <w14:schemeClr w14:val="tx1"/>
            </w14:solidFill>
          </w14:textFill>
        </w:rPr>
      </w:pPr>
      <w:bookmarkStart w:id="34" w:name="_Toc1511214870_WPSOffice_Level1"/>
      <w:r>
        <w:rPr>
          <w:rFonts w:hint="eastAsia" w:ascii="宋体" w:hAnsi="宋体" w:cs="宋体"/>
          <w:b/>
          <w:color w:val="000000" w:themeColor="text1"/>
          <w:sz w:val="32"/>
          <w:szCs w:val="32"/>
          <w14:textFill>
            <w14:solidFill>
              <w14:schemeClr w14:val="tx1"/>
            </w14:solidFill>
          </w14:textFill>
        </w:rPr>
        <w:t>二、投标文件目录</w:t>
      </w:r>
      <w:bookmarkEnd w:id="34"/>
    </w:p>
    <w:p>
      <w:pPr>
        <w:snapToGrid w:val="0"/>
        <w:spacing w:line="400" w:lineRule="exact"/>
        <w:ind w:firstLine="421"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1.资格文件：</w:t>
      </w:r>
    </w:p>
    <w:p>
      <w:pPr>
        <w:snapToGrid w:val="0"/>
        <w:spacing w:line="400" w:lineRule="exact"/>
        <w:ind w:firstLine="421"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（1）有效的营业执照等证明文件复印件；</w:t>
      </w:r>
    </w:p>
    <w:p>
      <w:pPr>
        <w:pStyle w:val="29"/>
        <w:adjustRightInd w:val="0"/>
        <w:snapToGrid w:val="0"/>
        <w:spacing w:line="400" w:lineRule="exact"/>
        <w:ind w:firstLine="420" w:firstLineChars="200"/>
        <w:rPr>
          <w:rFonts w:hint="eastAsia" w:hAnsi="宋体" w:cs="宋体"/>
          <w:b/>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①投标人有效的营业执照等证明文件扫描件或其他电子文件，同时要加盖单位公章</w:t>
      </w:r>
      <w:r>
        <w:rPr>
          <w:rFonts w:hint="eastAsia" w:hAnsi="宋体" w:cs="宋体"/>
          <w:b/>
          <w:color w:val="000000" w:themeColor="text1"/>
          <w14:textFill>
            <w14:solidFill>
              <w14:schemeClr w14:val="tx1"/>
            </w14:solidFill>
          </w14:textFill>
        </w:rPr>
        <w:t>（必须提供）</w:t>
      </w:r>
      <w:r>
        <w:rPr>
          <w:rFonts w:hint="eastAsia" w:hAnsi="宋体" w:cs="宋体"/>
          <w:color w:val="000000" w:themeColor="text1"/>
          <w14:textFill>
            <w14:solidFill>
              <w14:schemeClr w14:val="tx1"/>
            </w14:solidFill>
          </w14:textFill>
        </w:rPr>
        <w:t>；</w:t>
      </w:r>
    </w:p>
    <w:p>
      <w:pPr>
        <w:snapToGrid w:val="0"/>
        <w:spacing w:line="400" w:lineRule="exact"/>
        <w:ind w:firstLine="420"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②对于有经营资质要求的，投标人必须提供有效的经营资质证书副本内页扫描件或其他电子文件，同时要加盖单位公章。</w:t>
      </w:r>
    </w:p>
    <w:p>
      <w:pPr>
        <w:snapToGrid w:val="0"/>
        <w:spacing w:line="400" w:lineRule="exact"/>
        <w:ind w:firstLine="421"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w:t>
      </w:r>
      <w:r>
        <w:rPr>
          <w:rFonts w:hint="eastAsia" w:ascii="宋体" w:hAnsi="宋体" w:cs="宋体"/>
          <w:b/>
          <w:color w:val="000000" w:themeColor="text1"/>
          <w:kern w:val="0"/>
          <w:szCs w:val="21"/>
          <w14:textFill>
            <w14:solidFill>
              <w14:schemeClr w14:val="tx1"/>
            </w14:solidFill>
          </w14:textFill>
        </w:rPr>
        <w:t>参加政府采购活动前三年内在经营活动中没有重大违法记录的书面声明</w:t>
      </w:r>
      <w:r>
        <w:rPr>
          <w:rFonts w:hint="eastAsia" w:ascii="宋体" w:hAnsi="宋体" w:cs="宋体"/>
          <w:b/>
          <w:color w:val="000000" w:themeColor="text1"/>
          <w:szCs w:val="21"/>
          <w14:textFill>
            <w14:solidFill>
              <w14:schemeClr w14:val="tx1"/>
            </w14:solidFill>
          </w14:textFill>
        </w:rPr>
        <w:t>和信用记录查询方法；</w:t>
      </w:r>
    </w:p>
    <w:p>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w:t>
      </w:r>
      <w:r>
        <w:rPr>
          <w:rFonts w:hint="eastAsia" w:ascii="宋体" w:hAnsi="宋体" w:cs="宋体"/>
          <w:color w:val="000000" w:themeColor="text1"/>
          <w:kern w:val="0"/>
          <w:szCs w:val="21"/>
          <w14:textFill>
            <w14:solidFill>
              <w14:schemeClr w14:val="tx1"/>
            </w14:solidFill>
          </w14:textFill>
        </w:rPr>
        <w:t>参加政府采购活动前三年内在经营活动中没有</w:t>
      </w:r>
      <w:r>
        <w:rPr>
          <w:rFonts w:hint="eastAsia" w:ascii="宋体" w:hAnsi="宋体" w:cs="宋体"/>
          <w:bCs/>
          <w:color w:val="000000" w:themeColor="text1"/>
          <w:kern w:val="0"/>
          <w:szCs w:val="21"/>
          <w14:textFill>
            <w14:solidFill>
              <w14:schemeClr w14:val="tx1"/>
            </w14:solidFill>
          </w14:textFill>
        </w:rPr>
        <w:t>重大违法记录的书面声明</w:t>
      </w:r>
      <w:r>
        <w:rPr>
          <w:rFonts w:hint="eastAsia" w:ascii="宋体" w:hAnsi="宋体" w:cs="宋体"/>
          <w:color w:val="000000" w:themeColor="text1"/>
          <w:szCs w:val="21"/>
          <w14:textFill>
            <w14:solidFill>
              <w14:schemeClr w14:val="tx1"/>
            </w14:solidFill>
          </w14:textFill>
        </w:rPr>
        <w:t>（格式自拟，必须提供）；</w:t>
      </w:r>
    </w:p>
    <w:p>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②供应商可在“信用中国”网站（www.creditchina.gov.cn）、中国政府采购网（www.ccgp.gov.cn）查询相关供应商主体信用记录。</w:t>
      </w:r>
    </w:p>
    <w:p>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“信用中国”网站查询方法：投标人在本项目投标截止时间前10日内,进入投标人基本信息页面，点击“下载信用报告”后点击“下载”。</w:t>
      </w:r>
    </w:p>
    <w:p>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“中国政府采购网”的查询方法：点击“政府采购严重违法失信行为记录名单”进行查询。截止时间为本项目投标截止时间前10日至投标截止时间中任意一天。</w:t>
      </w:r>
    </w:p>
    <w:p>
      <w:pPr>
        <w:snapToGrid w:val="0"/>
        <w:spacing w:line="400" w:lineRule="exact"/>
        <w:ind w:firstLine="420"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adjustRightInd w:val="0"/>
        <w:snapToGrid w:val="0"/>
        <w:spacing w:line="400" w:lineRule="exact"/>
        <w:ind w:firstLine="421"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（3）中小企业声明函（按最新政策执行，格式见第六章，必须提供）；</w:t>
      </w:r>
    </w:p>
    <w:p>
      <w:pPr>
        <w:snapToGrid w:val="0"/>
        <w:spacing w:line="400" w:lineRule="exact"/>
        <w:ind w:firstLine="421"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2.资信及商务文件：</w:t>
      </w:r>
    </w:p>
    <w:p>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（1）投标保证金的相关证明扫描件或其他电子文件</w:t>
      </w:r>
      <w:r>
        <w:rPr>
          <w:rFonts w:hint="eastAsia" w:ascii="宋体" w:hAnsi="宋体" w:cs="宋体"/>
          <w:b/>
          <w:color w:val="000000" w:themeColor="text1"/>
          <w:szCs w:val="21"/>
          <w14:textFill>
            <w14:solidFill>
              <w14:schemeClr w14:val="tx1"/>
            </w14:solidFill>
          </w14:textFill>
        </w:rPr>
        <w:t>（必须提供）</w:t>
      </w:r>
      <w:r>
        <w:rPr>
          <w:rFonts w:hint="eastAsia" w:ascii="宋体" w:hAnsi="宋体" w:cs="宋体"/>
          <w:color w:val="000000" w:themeColor="text1"/>
          <w:szCs w:val="21"/>
          <w14:textFill>
            <w14:solidFill>
              <w14:schemeClr w14:val="tx1"/>
            </w14:solidFill>
          </w14:textFill>
        </w:rPr>
        <w:t>；</w:t>
      </w:r>
    </w:p>
    <w:p>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（2）投标声明书</w:t>
      </w:r>
      <w:r>
        <w:rPr>
          <w:rFonts w:hint="eastAsia" w:ascii="宋体" w:hAnsi="宋体" w:cs="宋体"/>
          <w:b/>
          <w:color w:val="000000" w:themeColor="text1"/>
          <w:szCs w:val="21"/>
          <w14:textFill>
            <w14:solidFill>
              <w14:schemeClr w14:val="tx1"/>
            </w14:solidFill>
          </w14:textFill>
        </w:rPr>
        <w:t>（格式见第六章，必须提供）</w:t>
      </w:r>
      <w:r>
        <w:rPr>
          <w:rFonts w:hint="eastAsia" w:ascii="宋体" w:hAnsi="宋体" w:cs="宋体"/>
          <w:color w:val="000000" w:themeColor="text1"/>
          <w:szCs w:val="21"/>
          <w14:textFill>
            <w14:solidFill>
              <w14:schemeClr w14:val="tx1"/>
            </w14:solidFill>
          </w14:textFill>
        </w:rPr>
        <w:t>；</w:t>
      </w:r>
    </w:p>
    <w:p>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（3）法定代表人授权委托书和委托代理人身份证扫描件或其他电子文件</w:t>
      </w:r>
      <w:r>
        <w:rPr>
          <w:rFonts w:hint="eastAsia" w:ascii="宋体" w:hAnsi="宋体" w:cs="宋体"/>
          <w:b/>
          <w:color w:val="000000" w:themeColor="text1"/>
          <w:szCs w:val="21"/>
          <w14:textFill>
            <w14:solidFill>
              <w14:schemeClr w14:val="tx1"/>
            </w14:solidFill>
          </w14:textFill>
        </w:rPr>
        <w:t>（格式见第六章，必须提供）</w:t>
      </w:r>
      <w:r>
        <w:rPr>
          <w:rFonts w:hint="eastAsia" w:ascii="宋体" w:hAnsi="宋体" w:cs="宋体"/>
          <w:color w:val="000000" w:themeColor="text1"/>
          <w:szCs w:val="21"/>
          <w14:textFill>
            <w14:solidFill>
              <w14:schemeClr w14:val="tx1"/>
            </w14:solidFill>
          </w14:textFill>
        </w:rPr>
        <w:t>；</w:t>
      </w:r>
      <w:r>
        <w:rPr>
          <w:rFonts w:hint="eastAsia" w:ascii="宋体" w:hAnsi="宋体" w:cs="宋体"/>
          <w:bCs/>
          <w:color w:val="000000" w:themeColor="text1"/>
          <w:szCs w:val="21"/>
          <w14:textFill>
            <w14:solidFill>
              <w14:schemeClr w14:val="tx1"/>
            </w14:solidFill>
          </w14:textFill>
        </w:rPr>
        <w:t>当法定代表人参加投标时，必须提供法定代表人身份证扫描件或其他电子文件</w:t>
      </w:r>
      <w:r>
        <w:rPr>
          <w:rFonts w:hint="eastAsia" w:ascii="宋体" w:hAnsi="宋体" w:cs="宋体"/>
          <w:color w:val="000000" w:themeColor="text1"/>
          <w:szCs w:val="21"/>
          <w14:textFill>
            <w14:solidFill>
              <w14:schemeClr w14:val="tx1"/>
            </w14:solidFill>
          </w14:textFill>
        </w:rPr>
        <w:t>；</w:t>
      </w:r>
    </w:p>
    <w:p>
      <w:pPr>
        <w:snapToGrid w:val="0"/>
        <w:spacing w:line="400" w:lineRule="exact"/>
        <w:ind w:firstLine="420"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（4）投标截止之日前半年内投标人连续三个月的依法缴纳税费或依法免缴税费的证明</w:t>
      </w:r>
      <w:r>
        <w:rPr>
          <w:rFonts w:hint="eastAsia" w:ascii="宋体" w:hAnsi="宋体" w:cs="宋体"/>
          <w:b/>
          <w:color w:val="000000" w:themeColor="text1"/>
          <w:szCs w:val="21"/>
          <w14:textFill>
            <w14:solidFill>
              <w14:schemeClr w14:val="tx1"/>
            </w14:solidFill>
          </w14:textFill>
        </w:rPr>
        <w:t>（扫描件或其他电子文件，格式自拟，必须提供）</w:t>
      </w:r>
      <w:r>
        <w:rPr>
          <w:rFonts w:hint="eastAsia" w:ascii="宋体" w:hAnsi="宋体" w:cs="宋体"/>
          <w:bCs/>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无纳税记录的，应提供由投标人所在地主管国税或地税部门出具的《依法纳税或依法免税证明》</w:t>
      </w:r>
      <w:r>
        <w:rPr>
          <w:rFonts w:hint="eastAsia" w:ascii="宋体" w:hAnsi="宋体" w:cs="宋体"/>
          <w:b/>
          <w:bCs/>
          <w:color w:val="000000" w:themeColor="text1"/>
          <w:szCs w:val="21"/>
          <w14:textFill>
            <w14:solidFill>
              <w14:schemeClr w14:val="tx1"/>
            </w14:solidFill>
          </w14:textFill>
        </w:rPr>
        <w:t>（格式自拟，扫描件或其他电子文件）</w:t>
      </w:r>
      <w:r>
        <w:rPr>
          <w:rFonts w:hint="eastAsia" w:ascii="宋体" w:hAnsi="宋体" w:cs="宋体"/>
          <w:color w:val="000000" w:themeColor="text1"/>
          <w:szCs w:val="21"/>
          <w14:textFill>
            <w14:solidFill>
              <w14:schemeClr w14:val="tx1"/>
            </w14:solidFill>
          </w14:textFill>
        </w:rPr>
        <w:t>。</w:t>
      </w:r>
    </w:p>
    <w:p>
      <w:pPr>
        <w:snapToGrid w:val="0"/>
        <w:spacing w:line="400" w:lineRule="exact"/>
        <w:ind w:firstLine="420"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（5）投标截止之日前半年内投标人连续三个月的依法缴纳社保费的缴费凭证</w:t>
      </w:r>
      <w:r>
        <w:rPr>
          <w:rFonts w:hint="eastAsia" w:ascii="宋体" w:hAnsi="宋体" w:cs="宋体"/>
          <w:b/>
          <w:bCs/>
          <w:color w:val="000000" w:themeColor="text1"/>
          <w:szCs w:val="21"/>
          <w14:textFill>
            <w14:solidFill>
              <w14:schemeClr w14:val="tx1"/>
            </w14:solidFill>
          </w14:textFill>
        </w:rPr>
        <w:t>（扫</w:t>
      </w:r>
      <w:r>
        <w:rPr>
          <w:rFonts w:hint="eastAsia" w:ascii="宋体" w:hAnsi="宋体" w:cs="宋体"/>
          <w:b/>
          <w:color w:val="000000" w:themeColor="text1"/>
          <w:szCs w:val="21"/>
          <w14:textFill>
            <w14:solidFill>
              <w14:schemeClr w14:val="tx1"/>
            </w14:solidFill>
          </w14:textFill>
        </w:rPr>
        <w:t>描件或其他电子文件，格式自拟，必须提供）；</w:t>
      </w:r>
      <w:r>
        <w:rPr>
          <w:rFonts w:hint="eastAsia" w:ascii="宋体" w:hAnsi="宋体" w:cs="宋体"/>
          <w:color w:val="000000" w:themeColor="text1"/>
          <w:szCs w:val="21"/>
          <w14:textFill>
            <w14:solidFill>
              <w14:schemeClr w14:val="tx1"/>
            </w14:solidFill>
          </w14:textFill>
        </w:rPr>
        <w:t>无缴费记录的，应提供由投标人所在地社保部门出具的《依法缴纳或依法免缴社保费证明》</w:t>
      </w:r>
      <w:r>
        <w:rPr>
          <w:rFonts w:hint="eastAsia" w:ascii="宋体" w:hAnsi="宋体" w:cs="宋体"/>
          <w:b/>
          <w:bCs/>
          <w:color w:val="000000" w:themeColor="text1"/>
          <w:szCs w:val="21"/>
          <w14:textFill>
            <w14:solidFill>
              <w14:schemeClr w14:val="tx1"/>
            </w14:solidFill>
          </w14:textFill>
        </w:rPr>
        <w:t>（格式自拟，扫描件或其他电子文件）</w:t>
      </w:r>
      <w:r>
        <w:rPr>
          <w:rFonts w:hint="eastAsia" w:ascii="宋体" w:hAnsi="宋体" w:cs="宋体"/>
          <w:color w:val="000000" w:themeColor="text1"/>
          <w:szCs w:val="21"/>
          <w14:textFill>
            <w14:solidFill>
              <w14:schemeClr w14:val="tx1"/>
            </w14:solidFill>
          </w14:textFill>
        </w:rPr>
        <w:t>。</w:t>
      </w:r>
    </w:p>
    <w:p>
      <w:pPr>
        <w:snapToGrid w:val="0"/>
        <w:spacing w:line="400" w:lineRule="exact"/>
        <w:ind w:firstLine="420"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（6）财务状况报告</w:t>
      </w:r>
      <w:r>
        <w:rPr>
          <w:rFonts w:hint="eastAsia" w:ascii="宋体" w:hAnsi="宋体" w:cs="宋体"/>
          <w:b/>
          <w:color w:val="000000" w:themeColor="text1"/>
          <w:szCs w:val="21"/>
          <w14:textFill>
            <w14:solidFill>
              <w14:schemeClr w14:val="tx1"/>
            </w14:solidFill>
          </w14:textFill>
        </w:rPr>
        <w:t>（格式自拟，必须提供）</w:t>
      </w:r>
      <w:r>
        <w:rPr>
          <w:rFonts w:hint="eastAsia" w:ascii="宋体" w:hAnsi="宋体" w:cs="宋体"/>
          <w:bCs/>
          <w:color w:val="000000" w:themeColor="text1"/>
          <w:szCs w:val="21"/>
          <w14:textFill>
            <w14:solidFill>
              <w14:schemeClr w14:val="tx1"/>
            </w14:solidFill>
          </w14:textFill>
        </w:rPr>
        <w:t>；</w:t>
      </w:r>
    </w:p>
    <w:p>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（7）</w:t>
      </w:r>
      <w:r>
        <w:rPr>
          <w:rFonts w:hint="eastAsia" w:ascii="宋体" w:hAnsi="宋体" w:cs="宋体"/>
          <w:bCs/>
          <w:color w:val="000000" w:themeColor="text1"/>
          <w:szCs w:val="21"/>
          <w14:textFill>
            <w14:solidFill>
              <w14:schemeClr w14:val="tx1"/>
            </w14:solidFill>
          </w14:textFill>
        </w:rPr>
        <w:t>具备履行合同所必需的设备和专业技术能力的证明材料</w:t>
      </w:r>
      <w:r>
        <w:rPr>
          <w:rFonts w:hint="eastAsia" w:ascii="宋体" w:hAnsi="宋体" w:cs="宋体"/>
          <w:b/>
          <w:color w:val="000000" w:themeColor="text1"/>
          <w:szCs w:val="21"/>
          <w14:textFill>
            <w14:solidFill>
              <w14:schemeClr w14:val="tx1"/>
            </w14:solidFill>
          </w14:textFill>
        </w:rPr>
        <w:t>（内容、格式自拟，必须提供）</w:t>
      </w:r>
      <w:r>
        <w:rPr>
          <w:rFonts w:hint="eastAsia" w:ascii="宋体" w:hAnsi="宋体" w:cs="宋体"/>
          <w:bCs/>
          <w:color w:val="000000" w:themeColor="text1"/>
          <w:kern w:val="0"/>
          <w:szCs w:val="21"/>
          <w14:textFill>
            <w14:solidFill>
              <w14:schemeClr w14:val="tx1"/>
            </w14:solidFill>
          </w14:textFill>
        </w:rPr>
        <w:t>；</w:t>
      </w:r>
    </w:p>
    <w:p>
      <w:pPr>
        <w:snapToGrid w:val="0"/>
        <w:spacing w:line="400" w:lineRule="exact"/>
        <w:ind w:firstLine="420" w:firstLineChars="200"/>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（8）商务响应表（格式见第六章，必须提供）；</w:t>
      </w:r>
    </w:p>
    <w:p>
      <w:pPr>
        <w:snapToGrid w:val="0"/>
        <w:spacing w:line="400" w:lineRule="exact"/>
        <w:ind w:firstLine="420"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r>
        <w:rPr>
          <w:rFonts w:hint="eastAsia" w:ascii="宋体" w:hAnsi="宋体" w:cs="宋体"/>
          <w:b/>
          <w:bCs/>
          <w:color w:val="000000" w:themeColor="text1"/>
          <w:szCs w:val="21"/>
          <w14:textFill>
            <w14:solidFill>
              <w14:schemeClr w14:val="tx1"/>
            </w14:solidFill>
          </w14:textFill>
        </w:rPr>
        <w:t>（9）招标项目采购需求中要求必须提供的材料等</w:t>
      </w:r>
      <w:r>
        <w:rPr>
          <w:rFonts w:hint="eastAsia" w:ascii="宋体" w:hAnsi="宋体" w:cs="宋体"/>
          <w:b/>
          <w:color w:val="000000" w:themeColor="text1"/>
          <w:szCs w:val="21"/>
          <w14:textFill>
            <w14:solidFill>
              <w14:schemeClr w14:val="tx1"/>
            </w14:solidFill>
          </w14:textFill>
        </w:rPr>
        <w:t>；</w:t>
      </w:r>
    </w:p>
    <w:p>
      <w:pPr>
        <w:snapToGrid w:val="0"/>
        <w:spacing w:line="400" w:lineRule="exact"/>
        <w:ind w:firstLine="420"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（10）具备法律、行政法规规定的其他条件的证明材料</w:t>
      </w:r>
      <w:r>
        <w:rPr>
          <w:rFonts w:hint="eastAsia" w:ascii="宋体" w:hAnsi="宋体" w:cs="宋体"/>
          <w:b/>
          <w:color w:val="000000" w:themeColor="text1"/>
          <w:szCs w:val="21"/>
          <w14:textFill>
            <w14:solidFill>
              <w14:schemeClr w14:val="tx1"/>
            </w14:solidFill>
          </w14:textFill>
        </w:rPr>
        <w:t>（如有规定,则必须提供）。</w:t>
      </w:r>
    </w:p>
    <w:p>
      <w:pPr>
        <w:snapToGrid w:val="0"/>
        <w:spacing w:line="400" w:lineRule="exact"/>
        <w:ind w:firstLine="421"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 xml:space="preserve">可作为投标人资信评分的资质证明材料【（11）-（16）可选，如有，可提供】 </w:t>
      </w:r>
    </w:p>
    <w:p>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（11）类似案例成功的业绩（投标人同类项目实施情况一览表、合同扫描件）；</w:t>
      </w:r>
    </w:p>
    <w:p>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（12）其他特殊资质证书（如本地化服务能力等）；</w:t>
      </w:r>
    </w:p>
    <w:p>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（13）节能环保产品或政府强制采购节能产品清单证书；</w:t>
      </w:r>
    </w:p>
    <w:p>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（14）投标人质量管理和质量保证体系等方面的认证证书；</w:t>
      </w:r>
    </w:p>
    <w:p>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（15）投标人认为可以证明其能力或业绩的其他材料；</w:t>
      </w:r>
    </w:p>
    <w:p>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（16）投标人关于产品生产时间、升级或者更新淘汰计划、配件供应以及本单位债务纠纷、违法违规记录等方面的情况（内容见投标声明书）；</w:t>
      </w:r>
    </w:p>
    <w:p>
      <w:pPr>
        <w:adjustRightInd w:val="0"/>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（17）关于符合本国产品标准的声明函（格式见第六章，如有，请提供）；</w:t>
      </w:r>
    </w:p>
    <w:p>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（18）投标人情况介绍。</w:t>
      </w:r>
    </w:p>
    <w:p>
      <w:pPr>
        <w:snapToGrid w:val="0"/>
        <w:spacing w:line="400" w:lineRule="exact"/>
        <w:ind w:firstLine="421"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3.技术文件</w:t>
      </w:r>
    </w:p>
    <w:p>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（1）对本项目系统总体要求的理解（如有，可提供）；</w:t>
      </w:r>
    </w:p>
    <w:p>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ascii="宋体" w:hAnsi="宋体" w:cs="宋体"/>
          <w:bCs/>
          <w:color w:val="000000" w:themeColor="text1"/>
          <w:szCs w:val="21"/>
          <w14:textFill>
            <w14:solidFill>
              <w14:schemeClr w14:val="tx1"/>
            </w14:solidFill>
          </w14:textFill>
        </w:rPr>
        <w:t>技术响应表</w:t>
      </w:r>
      <w:r>
        <w:rPr>
          <w:rFonts w:hint="eastAsia" w:ascii="宋体" w:hAnsi="宋体" w:cs="宋体"/>
          <w:b/>
          <w:color w:val="000000" w:themeColor="text1"/>
          <w:szCs w:val="21"/>
          <w14:textFill>
            <w14:solidFill>
              <w14:schemeClr w14:val="tx1"/>
            </w14:solidFill>
          </w14:textFill>
        </w:rPr>
        <w:t>（必须提供）；</w:t>
      </w:r>
    </w:p>
    <w:p>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（3）设备配置清单（均不含报价，如有，可提供）；</w:t>
      </w:r>
    </w:p>
    <w:p>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ascii="宋体" w:hAnsi="宋体" w:cs="宋体"/>
          <w:b/>
          <w:color w:val="000000" w:themeColor="text1"/>
          <w:szCs w:val="21"/>
          <w14:textFill>
            <w14:solidFill>
              <w14:schemeClr w14:val="tx1"/>
            </w14:solidFill>
          </w14:textFill>
        </w:rPr>
        <w:t>售后服务承诺书</w:t>
      </w:r>
      <w:r>
        <w:rPr>
          <w:rFonts w:hint="eastAsia" w:ascii="宋体" w:hAnsi="宋体" w:cs="宋体"/>
          <w:color w:val="000000" w:themeColor="text1"/>
          <w:szCs w:val="21"/>
          <w14:textFill>
            <w14:solidFill>
              <w14:schemeClr w14:val="tx1"/>
            </w14:solidFill>
          </w14:textFill>
        </w:rPr>
        <w:t>（应据项目实际要求描述如：投标人建议的安装、调试、验收方法或方案；技术服务、技术培训、售后服务的内容和措施等，</w:t>
      </w:r>
      <w:r>
        <w:rPr>
          <w:rFonts w:hint="eastAsia" w:ascii="宋体" w:hAnsi="宋体" w:cs="宋体"/>
          <w:b/>
          <w:color w:val="000000" w:themeColor="text1"/>
          <w:szCs w:val="21"/>
          <w14:textFill>
            <w14:solidFill>
              <w14:schemeClr w14:val="tx1"/>
            </w14:solidFill>
          </w14:textFill>
        </w:rPr>
        <w:t>格式自拟，必须提供）</w:t>
      </w:r>
      <w:r>
        <w:rPr>
          <w:rFonts w:hint="eastAsia" w:ascii="宋体" w:hAnsi="宋体" w:cs="宋体"/>
          <w:color w:val="000000" w:themeColor="text1"/>
          <w:szCs w:val="21"/>
          <w14:textFill>
            <w14:solidFill>
              <w14:schemeClr w14:val="tx1"/>
            </w14:solidFill>
          </w14:textFill>
        </w:rPr>
        <w:t>；</w:t>
      </w:r>
    </w:p>
    <w:p>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（5）投标人拥有主要装备和检测设施的情况和现状及项目实施人员一览表（格式自拟，如有，可提供）； </w:t>
      </w:r>
    </w:p>
    <w:p>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（6）优惠条件：投标人承诺给予招标人的各种优惠条件，包括备品备件、专用耗材、售后服务等方面的优惠（如有，可提供）；</w:t>
      </w:r>
    </w:p>
    <w:p>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（7）投标人对本项目的合理化建议和改进措施（如有，可提供）；</w:t>
      </w:r>
    </w:p>
    <w:p>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（8）投标人需要说明的其他文件和说明（格式略，如有，可提供）；</w:t>
      </w:r>
    </w:p>
    <w:p>
      <w:pPr>
        <w:snapToGrid w:val="0"/>
        <w:spacing w:line="400" w:lineRule="exact"/>
        <w:ind w:firstLine="421"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▲（9）招标项目采购需求中要求必须提供的材料（如有规定，则必须提供）</w:t>
      </w:r>
      <w:r>
        <w:rPr>
          <w:rFonts w:hint="eastAsia" w:ascii="宋体" w:hAnsi="宋体" w:cs="宋体"/>
          <w:color w:val="000000" w:themeColor="text1"/>
          <w:szCs w:val="21"/>
          <w14:textFill>
            <w14:solidFill>
              <w14:schemeClr w14:val="tx1"/>
            </w14:solidFill>
          </w14:textFill>
        </w:rPr>
        <w:t>。</w:t>
      </w:r>
    </w:p>
    <w:p>
      <w:pPr>
        <w:snapToGrid w:val="0"/>
        <w:spacing w:line="400" w:lineRule="exact"/>
        <w:ind w:firstLine="421"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4.报价文件：</w:t>
      </w:r>
    </w:p>
    <w:p>
      <w:pPr>
        <w:tabs>
          <w:tab w:val="left" w:pos="3870"/>
          <w:tab w:val="left" w:pos="4085"/>
        </w:tabs>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（1）投标函</w:t>
      </w:r>
      <w:r>
        <w:rPr>
          <w:rFonts w:hint="eastAsia" w:ascii="宋体" w:hAnsi="宋体" w:cs="宋体"/>
          <w:b/>
          <w:bCs/>
          <w:color w:val="000000" w:themeColor="text1"/>
          <w:szCs w:val="21"/>
          <w14:textFill>
            <w14:solidFill>
              <w14:schemeClr w14:val="tx1"/>
            </w14:solidFill>
          </w14:textFill>
        </w:rPr>
        <w:t>（必须提供，格式见第六章）</w:t>
      </w:r>
      <w:r>
        <w:rPr>
          <w:rFonts w:hint="eastAsia" w:ascii="宋体" w:hAnsi="宋体" w:cs="宋体"/>
          <w:color w:val="000000" w:themeColor="text1"/>
          <w:szCs w:val="21"/>
          <w14:textFill>
            <w14:solidFill>
              <w14:schemeClr w14:val="tx1"/>
            </w14:solidFill>
          </w14:textFill>
        </w:rPr>
        <w:t xml:space="preserve">； </w:t>
      </w:r>
    </w:p>
    <w:p>
      <w:pPr>
        <w:tabs>
          <w:tab w:val="left" w:pos="3870"/>
          <w:tab w:val="left" w:pos="4085"/>
        </w:tabs>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（2）投标报价明细表</w:t>
      </w:r>
      <w:r>
        <w:rPr>
          <w:rFonts w:hint="eastAsia" w:ascii="宋体" w:hAnsi="宋体" w:cs="宋体"/>
          <w:b/>
          <w:bCs/>
          <w:color w:val="000000" w:themeColor="text1"/>
          <w:szCs w:val="21"/>
          <w14:textFill>
            <w14:solidFill>
              <w14:schemeClr w14:val="tx1"/>
            </w14:solidFill>
          </w14:textFill>
        </w:rPr>
        <w:t>（必须提供，格式见第六章）</w:t>
      </w:r>
      <w:r>
        <w:rPr>
          <w:rFonts w:hint="eastAsia" w:ascii="宋体" w:hAnsi="宋体" w:cs="宋体"/>
          <w:color w:val="000000" w:themeColor="text1"/>
          <w:szCs w:val="21"/>
          <w14:textFill>
            <w14:solidFill>
              <w14:schemeClr w14:val="tx1"/>
            </w14:solidFill>
          </w14:textFill>
        </w:rPr>
        <w:t>；</w:t>
      </w:r>
    </w:p>
    <w:p>
      <w:pPr>
        <w:tabs>
          <w:tab w:val="left" w:pos="3870"/>
          <w:tab w:val="left" w:pos="4085"/>
        </w:tabs>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（3）投标人针对报价需要说明的其他文件和说明（格式自拟，如有，可提供）；</w:t>
      </w:r>
    </w:p>
    <w:p>
      <w:pPr>
        <w:tabs>
          <w:tab w:val="left" w:pos="3870"/>
          <w:tab w:val="left" w:pos="4085"/>
        </w:tabs>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（4）开标一览表</w:t>
      </w:r>
      <w:r>
        <w:rPr>
          <w:rFonts w:hint="eastAsia" w:ascii="宋体" w:hAnsi="宋体" w:cs="宋体"/>
          <w:b/>
          <w:bCs/>
          <w:color w:val="000000" w:themeColor="text1"/>
          <w:szCs w:val="21"/>
          <w14:textFill>
            <w14:solidFill>
              <w14:schemeClr w14:val="tx1"/>
            </w14:solidFill>
          </w14:textFill>
        </w:rPr>
        <w:t>（必须提供，格式见第六章）</w:t>
      </w:r>
      <w:r>
        <w:rPr>
          <w:rFonts w:hint="eastAsia" w:ascii="宋体" w:hAnsi="宋体" w:cs="宋体"/>
          <w:color w:val="000000" w:themeColor="text1"/>
          <w:szCs w:val="21"/>
          <w14:textFill>
            <w14:solidFill>
              <w14:schemeClr w14:val="tx1"/>
            </w14:solidFill>
          </w14:textFill>
        </w:rPr>
        <w:t>。</w:t>
      </w:r>
    </w:p>
    <w:p>
      <w:pPr>
        <w:pStyle w:val="45"/>
        <w:spacing w:after="0" w:line="4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b/>
          <w:bCs/>
          <w:color w:val="000000" w:themeColor="text1"/>
          <w:szCs w:val="21"/>
          <w14:textFill>
            <w14:solidFill>
              <w14:schemeClr w14:val="tx1"/>
            </w14:solidFill>
          </w14:textFill>
        </w:rPr>
        <w:t>注：法定代表人授权委托书、投标声明书、投标函、开标一览表必须按</w:t>
      </w:r>
      <w:r>
        <w:rPr>
          <w:rFonts w:hint="eastAsia" w:ascii="宋体" w:hAnsi="宋体" w:cs="宋体"/>
          <w:b/>
          <w:color w:val="000000" w:themeColor="text1"/>
          <w:szCs w:val="21"/>
          <w14:textFill>
            <w14:solidFill>
              <w14:schemeClr w14:val="tx1"/>
            </w14:solidFill>
          </w14:textFill>
        </w:rPr>
        <w:t>招标文件格式要求</w:t>
      </w:r>
      <w:r>
        <w:rPr>
          <w:rFonts w:hint="eastAsia" w:ascii="宋体" w:hAnsi="宋体" w:cs="宋体"/>
          <w:b/>
          <w:color w:val="000000" w:themeColor="text1"/>
          <w:szCs w:val="21"/>
          <w:lang w:val="en"/>
          <w14:textFill>
            <w14:solidFill>
              <w14:schemeClr w14:val="tx1"/>
            </w14:solidFill>
          </w14:textFill>
        </w:rPr>
        <w:t>签字或签章</w:t>
      </w:r>
      <w:r>
        <w:rPr>
          <w:rFonts w:hint="eastAsia" w:ascii="宋体" w:hAnsi="宋体" w:cs="宋体"/>
          <w:b/>
          <w:bCs/>
          <w:color w:val="000000" w:themeColor="text1"/>
          <w:szCs w:val="21"/>
          <w14:textFill>
            <w14:solidFill>
              <w14:schemeClr w14:val="tx1"/>
            </w14:solidFill>
          </w14:textFill>
        </w:rPr>
        <w:t>并加盖单位公章。</w:t>
      </w:r>
    </w:p>
    <w:p>
      <w:pPr>
        <w:pStyle w:val="45"/>
        <w:spacing w:line="360" w:lineRule="exact"/>
        <w:ind w:firstLine="420" w:firstLineChars="200"/>
        <w:rPr>
          <w:rFonts w:hint="eastAsia" w:ascii="宋体" w:hAnsi="宋体" w:cs="宋体"/>
          <w:color w:val="000000" w:themeColor="text1"/>
          <w:szCs w:val="21"/>
          <w14:textFill>
            <w14:solidFill>
              <w14:schemeClr w14:val="tx1"/>
            </w14:solidFill>
          </w14:textFill>
        </w:rPr>
      </w:pPr>
    </w:p>
    <w:p>
      <w:pPr>
        <w:pStyle w:val="45"/>
        <w:spacing w:line="360" w:lineRule="exact"/>
        <w:ind w:firstLine="420" w:firstLineChars="200"/>
        <w:rPr>
          <w:rFonts w:hint="eastAsia" w:ascii="宋体" w:hAnsi="宋体" w:cs="宋体"/>
          <w:color w:val="000000" w:themeColor="text1"/>
          <w:szCs w:val="21"/>
          <w14:textFill>
            <w14:solidFill>
              <w14:schemeClr w14:val="tx1"/>
            </w14:solidFill>
          </w14:textFill>
        </w:rPr>
      </w:pPr>
    </w:p>
    <w:p>
      <w:pPr>
        <w:snapToGrid w:val="0"/>
        <w:spacing w:before="50" w:after="156" w:afterLines="50" w:line="360" w:lineRule="exact"/>
        <w:ind w:firstLine="3895" w:firstLineChars="1617"/>
        <w:jc w:val="left"/>
        <w:rPr>
          <w:rFonts w:hint="eastAsia" w:ascii="宋体" w:hAnsi="宋体" w:cs="宋体"/>
          <w:b/>
          <w:color w:val="000000" w:themeColor="text1"/>
          <w:sz w:val="24"/>
          <w14:textFill>
            <w14:solidFill>
              <w14:schemeClr w14:val="tx1"/>
            </w14:solidFill>
          </w14:textFill>
        </w:rPr>
      </w:pPr>
    </w:p>
    <w:p>
      <w:pPr>
        <w:snapToGrid w:val="0"/>
        <w:spacing w:before="50" w:after="156" w:afterLines="50" w:line="360" w:lineRule="exact"/>
        <w:jc w:val="center"/>
        <w:outlineLvl w:val="0"/>
        <w:rPr>
          <w:rFonts w:hint="eastAsia" w:ascii="宋体" w:hAnsi="宋体" w:cs="宋体"/>
          <w:b/>
          <w:color w:val="000000" w:themeColor="text1"/>
          <w:sz w:val="32"/>
          <w:szCs w:val="32"/>
          <w14:textFill>
            <w14:solidFill>
              <w14:schemeClr w14:val="tx1"/>
            </w14:solidFill>
          </w14:textFill>
        </w:rPr>
      </w:pPr>
    </w:p>
    <w:p>
      <w:pPr>
        <w:snapToGrid w:val="0"/>
        <w:spacing w:before="50" w:after="156" w:afterLines="50" w:line="360" w:lineRule="exact"/>
        <w:jc w:val="center"/>
        <w:outlineLvl w:val="0"/>
        <w:rPr>
          <w:rFonts w:hint="eastAsia" w:ascii="宋体" w:hAnsi="宋体" w:cs="宋体"/>
          <w:b/>
          <w:color w:val="000000" w:themeColor="text1"/>
          <w:sz w:val="32"/>
          <w:szCs w:val="32"/>
          <w14:textFill>
            <w14:solidFill>
              <w14:schemeClr w14:val="tx1"/>
            </w14:solidFill>
          </w14:textFill>
        </w:rPr>
      </w:pPr>
    </w:p>
    <w:p>
      <w:pPr>
        <w:snapToGrid w:val="0"/>
        <w:spacing w:before="50" w:after="156" w:afterLines="50" w:line="360" w:lineRule="exact"/>
        <w:ind w:firstLine="642" w:firstLineChars="200"/>
        <w:jc w:val="center"/>
        <w:outlineLvl w:val="0"/>
        <w:rPr>
          <w:rFonts w:hint="eastAsia" w:ascii="宋体" w:hAnsi="宋体" w:cs="宋体"/>
          <w:b/>
          <w:color w:val="000000" w:themeColor="text1"/>
          <w:sz w:val="32"/>
          <w:szCs w:val="32"/>
          <w14:textFill>
            <w14:solidFill>
              <w14:schemeClr w14:val="tx1"/>
            </w14:solidFill>
          </w14:textFill>
        </w:rPr>
      </w:pPr>
      <w:bookmarkStart w:id="35" w:name="_Toc432167515_WPSOffice_Level1"/>
    </w:p>
    <w:p>
      <w:pPr>
        <w:snapToGrid w:val="0"/>
        <w:spacing w:before="50" w:after="156" w:afterLines="50" w:line="360" w:lineRule="exact"/>
        <w:ind w:firstLine="642" w:firstLineChars="200"/>
        <w:jc w:val="center"/>
        <w:outlineLvl w:val="0"/>
        <w:rPr>
          <w:rFonts w:hint="eastAsia" w:ascii="宋体" w:hAnsi="宋体" w:cs="宋体"/>
          <w:b/>
          <w:color w:val="000000" w:themeColor="text1"/>
          <w:sz w:val="32"/>
          <w:szCs w:val="32"/>
          <w14:textFill>
            <w14:solidFill>
              <w14:schemeClr w14:val="tx1"/>
            </w14:solidFill>
          </w14:textFill>
        </w:rPr>
      </w:pPr>
    </w:p>
    <w:p>
      <w:pPr>
        <w:snapToGrid w:val="0"/>
        <w:spacing w:before="50" w:after="156" w:afterLines="50" w:line="360" w:lineRule="exact"/>
        <w:ind w:firstLine="642" w:firstLineChars="200"/>
        <w:jc w:val="center"/>
        <w:outlineLvl w:val="0"/>
        <w:rPr>
          <w:rFonts w:hint="eastAsia" w:ascii="宋体" w:hAnsi="宋体" w:cs="宋体"/>
          <w:b/>
          <w:color w:val="000000" w:themeColor="text1"/>
          <w:sz w:val="32"/>
          <w:szCs w:val="32"/>
          <w14:textFill>
            <w14:solidFill>
              <w14:schemeClr w14:val="tx1"/>
            </w14:solidFill>
          </w14:textFill>
        </w:rPr>
      </w:pPr>
    </w:p>
    <w:p>
      <w:pPr>
        <w:snapToGrid w:val="0"/>
        <w:spacing w:before="50" w:after="156" w:afterLines="50" w:line="360" w:lineRule="exact"/>
        <w:ind w:firstLine="642" w:firstLineChars="200"/>
        <w:jc w:val="center"/>
        <w:outlineLvl w:val="0"/>
        <w:rPr>
          <w:rFonts w:hint="eastAsia" w:ascii="宋体" w:hAnsi="宋体" w:cs="宋体"/>
          <w:b/>
          <w:color w:val="000000" w:themeColor="text1"/>
          <w:sz w:val="32"/>
          <w:szCs w:val="32"/>
          <w14:textFill>
            <w14:solidFill>
              <w14:schemeClr w14:val="tx1"/>
            </w14:solidFill>
          </w14:textFill>
        </w:rPr>
      </w:pPr>
    </w:p>
    <w:p>
      <w:pPr>
        <w:snapToGrid w:val="0"/>
        <w:spacing w:before="50" w:after="156" w:afterLines="50" w:line="360" w:lineRule="exact"/>
        <w:ind w:firstLine="642" w:firstLineChars="200"/>
        <w:jc w:val="center"/>
        <w:outlineLvl w:val="0"/>
        <w:rPr>
          <w:rFonts w:hint="eastAsia" w:ascii="宋体" w:hAnsi="宋体" w:cs="宋体"/>
          <w:b/>
          <w:color w:val="000000" w:themeColor="text1"/>
          <w:sz w:val="32"/>
          <w:szCs w:val="32"/>
          <w14:textFill>
            <w14:solidFill>
              <w14:schemeClr w14:val="tx1"/>
            </w14:solidFill>
          </w14:textFill>
        </w:rPr>
      </w:pPr>
    </w:p>
    <w:p>
      <w:pPr>
        <w:snapToGrid w:val="0"/>
        <w:spacing w:before="50" w:after="156" w:afterLines="50" w:line="360" w:lineRule="exact"/>
        <w:ind w:firstLine="642" w:firstLineChars="200"/>
        <w:jc w:val="center"/>
        <w:outlineLvl w:val="0"/>
        <w:rPr>
          <w:rFonts w:hint="eastAsia" w:ascii="宋体" w:hAnsi="宋体" w:cs="宋体"/>
          <w:b/>
          <w:color w:val="000000" w:themeColor="text1"/>
          <w:sz w:val="32"/>
          <w:szCs w:val="32"/>
          <w14:textFill>
            <w14:solidFill>
              <w14:schemeClr w14:val="tx1"/>
            </w14:solidFill>
          </w14:textFill>
        </w:rPr>
      </w:pPr>
    </w:p>
    <w:p>
      <w:pPr>
        <w:snapToGrid w:val="0"/>
        <w:spacing w:before="50" w:after="156" w:afterLines="50" w:line="360" w:lineRule="exact"/>
        <w:ind w:firstLine="642" w:firstLineChars="200"/>
        <w:jc w:val="center"/>
        <w:outlineLvl w:val="0"/>
        <w:rPr>
          <w:rFonts w:hint="eastAsia" w:ascii="宋体" w:hAnsi="宋体" w:cs="宋体"/>
          <w:b/>
          <w:color w:val="000000" w:themeColor="text1"/>
          <w:sz w:val="32"/>
          <w:szCs w:val="32"/>
          <w14:textFill>
            <w14:solidFill>
              <w14:schemeClr w14:val="tx1"/>
            </w14:solidFill>
          </w14:textFill>
        </w:rPr>
      </w:pPr>
    </w:p>
    <w:p>
      <w:pPr>
        <w:snapToGrid w:val="0"/>
        <w:spacing w:before="50" w:after="156" w:afterLines="50" w:line="360" w:lineRule="exact"/>
        <w:ind w:firstLine="642" w:firstLineChars="200"/>
        <w:jc w:val="center"/>
        <w:outlineLvl w:val="0"/>
        <w:rPr>
          <w:rFonts w:hint="eastAsia" w:ascii="宋体" w:hAnsi="宋体" w:cs="宋体"/>
          <w:b/>
          <w:color w:val="000000" w:themeColor="text1"/>
          <w:sz w:val="32"/>
          <w:szCs w:val="32"/>
          <w14:textFill>
            <w14:solidFill>
              <w14:schemeClr w14:val="tx1"/>
            </w14:solidFill>
          </w14:textFill>
        </w:rPr>
      </w:pPr>
    </w:p>
    <w:p>
      <w:pPr>
        <w:snapToGrid w:val="0"/>
        <w:spacing w:before="50" w:after="156" w:afterLines="50" w:line="360" w:lineRule="exact"/>
        <w:ind w:firstLine="642" w:firstLineChars="200"/>
        <w:jc w:val="center"/>
        <w:outlineLvl w:val="0"/>
        <w:rPr>
          <w:rFonts w:hint="eastAsia" w:ascii="宋体" w:hAnsi="宋体" w:cs="宋体"/>
          <w:b/>
          <w:color w:val="000000" w:themeColor="text1"/>
          <w:sz w:val="32"/>
          <w:szCs w:val="32"/>
          <w14:textFill>
            <w14:solidFill>
              <w14:schemeClr w14:val="tx1"/>
            </w14:solidFill>
          </w14:textFill>
        </w:rPr>
      </w:pPr>
    </w:p>
    <w:p>
      <w:pPr>
        <w:snapToGrid w:val="0"/>
        <w:spacing w:before="50" w:after="156" w:afterLines="50" w:line="360" w:lineRule="exact"/>
        <w:ind w:firstLine="642" w:firstLineChars="200"/>
        <w:jc w:val="center"/>
        <w:outlineLvl w:val="0"/>
        <w:rPr>
          <w:rFonts w:hint="eastAsia" w:ascii="宋体" w:hAnsi="宋体" w:cs="宋体"/>
          <w:b/>
          <w:color w:val="000000" w:themeColor="text1"/>
          <w:sz w:val="32"/>
          <w:szCs w:val="32"/>
          <w14:textFill>
            <w14:solidFill>
              <w14:schemeClr w14:val="tx1"/>
            </w14:solidFill>
          </w14:textFill>
        </w:rPr>
      </w:pPr>
    </w:p>
    <w:p>
      <w:pPr>
        <w:snapToGrid w:val="0"/>
        <w:spacing w:before="50" w:after="156" w:afterLines="50" w:line="360" w:lineRule="exact"/>
        <w:ind w:firstLine="642" w:firstLineChars="200"/>
        <w:jc w:val="center"/>
        <w:outlineLvl w:val="0"/>
        <w:rPr>
          <w:rFonts w:hint="eastAsia" w:ascii="宋体" w:hAnsi="宋体" w:cs="宋体"/>
          <w:b/>
          <w:color w:val="000000" w:themeColor="text1"/>
          <w:sz w:val="32"/>
          <w:szCs w:val="32"/>
          <w14:textFill>
            <w14:solidFill>
              <w14:schemeClr w14:val="tx1"/>
            </w14:solidFill>
          </w14:textFill>
        </w:rPr>
      </w:pPr>
    </w:p>
    <w:p>
      <w:pPr>
        <w:snapToGrid w:val="0"/>
        <w:spacing w:before="50" w:after="156" w:afterLines="50" w:line="360" w:lineRule="exact"/>
        <w:ind w:firstLine="642" w:firstLineChars="200"/>
        <w:jc w:val="center"/>
        <w:outlineLvl w:val="0"/>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三、投标文件格式</w:t>
      </w:r>
      <w:bookmarkEnd w:id="35"/>
    </w:p>
    <w:p>
      <w:pPr>
        <w:snapToGrid w:val="0"/>
        <w:spacing w:before="50" w:after="156" w:afterLines="50" w:line="360" w:lineRule="exact"/>
        <w:ind w:firstLine="421" w:firstLineChars="200"/>
        <w:jc w:val="left"/>
        <w:outlineLvl w:val="0"/>
        <w:rPr>
          <w:rFonts w:hint="eastAsia" w:ascii="宋体" w:hAnsi="宋体" w:cs="宋体"/>
          <w:b/>
          <w:bCs/>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 xml:space="preserve">  一）</w:t>
      </w:r>
      <w:r>
        <w:rPr>
          <w:rFonts w:hint="eastAsia" w:ascii="宋体" w:hAnsi="宋体" w:cs="宋体"/>
          <w:b/>
          <w:bCs/>
          <w:color w:val="000000" w:themeColor="text1"/>
          <w:szCs w:val="21"/>
          <w14:textFill>
            <w14:solidFill>
              <w14:schemeClr w14:val="tx1"/>
            </w14:solidFill>
          </w14:textFill>
        </w:rPr>
        <w:t>资格文件部分（格式）</w:t>
      </w:r>
    </w:p>
    <w:p>
      <w:pPr>
        <w:snapToGrid w:val="0"/>
        <w:spacing w:line="400" w:lineRule="exact"/>
        <w:ind w:firstLine="421"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（1）有效的营业执照等证明文件复印件；</w:t>
      </w:r>
    </w:p>
    <w:p>
      <w:pPr>
        <w:pStyle w:val="29"/>
        <w:adjustRightInd w:val="0"/>
        <w:snapToGrid w:val="0"/>
        <w:spacing w:line="400" w:lineRule="exact"/>
        <w:ind w:firstLine="420" w:firstLineChars="200"/>
        <w:rPr>
          <w:rFonts w:hint="eastAsia" w:hAnsi="宋体" w:cs="宋体"/>
          <w:b/>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①投标人有效的营业执照等证明文件扫描件或其他电子文件，同时要加盖单位公章</w:t>
      </w:r>
      <w:r>
        <w:rPr>
          <w:rFonts w:hint="eastAsia" w:hAnsi="宋体" w:cs="宋体"/>
          <w:b/>
          <w:color w:val="000000" w:themeColor="text1"/>
          <w14:textFill>
            <w14:solidFill>
              <w14:schemeClr w14:val="tx1"/>
            </w14:solidFill>
          </w14:textFill>
        </w:rPr>
        <w:t>（必须提供）</w:t>
      </w:r>
      <w:r>
        <w:rPr>
          <w:rFonts w:hint="eastAsia" w:hAnsi="宋体" w:cs="宋体"/>
          <w:color w:val="000000" w:themeColor="text1"/>
          <w14:textFill>
            <w14:solidFill>
              <w14:schemeClr w14:val="tx1"/>
            </w14:solidFill>
          </w14:textFill>
        </w:rPr>
        <w:t>；</w:t>
      </w:r>
    </w:p>
    <w:p>
      <w:pPr>
        <w:snapToGrid w:val="0"/>
        <w:spacing w:line="400" w:lineRule="exact"/>
        <w:ind w:firstLine="420"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②对于有经营资质要求的，投标人必须提供有效的经营资质证书副本内页扫描件或其他电子文件，同时要加盖单位公章。</w:t>
      </w:r>
    </w:p>
    <w:p>
      <w:pPr>
        <w:snapToGrid w:val="0"/>
        <w:spacing w:line="400" w:lineRule="exact"/>
        <w:ind w:firstLine="421"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w:t>
      </w:r>
      <w:r>
        <w:rPr>
          <w:rFonts w:hint="eastAsia" w:ascii="宋体" w:hAnsi="宋体" w:cs="宋体"/>
          <w:b/>
          <w:color w:val="000000" w:themeColor="text1"/>
          <w:kern w:val="0"/>
          <w:szCs w:val="21"/>
          <w14:textFill>
            <w14:solidFill>
              <w14:schemeClr w14:val="tx1"/>
            </w14:solidFill>
          </w14:textFill>
        </w:rPr>
        <w:t>参加政府采购活动前三年内在经营活动中没有重大违法记录的书面声明</w:t>
      </w:r>
      <w:r>
        <w:rPr>
          <w:rFonts w:hint="eastAsia" w:ascii="宋体" w:hAnsi="宋体" w:cs="宋体"/>
          <w:b/>
          <w:color w:val="000000" w:themeColor="text1"/>
          <w:szCs w:val="21"/>
          <w14:textFill>
            <w14:solidFill>
              <w14:schemeClr w14:val="tx1"/>
            </w14:solidFill>
          </w14:textFill>
        </w:rPr>
        <w:t>和信用记录查询方法；</w:t>
      </w:r>
    </w:p>
    <w:p>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w:t>
      </w:r>
      <w:r>
        <w:rPr>
          <w:rFonts w:hint="eastAsia" w:ascii="宋体" w:hAnsi="宋体" w:cs="宋体"/>
          <w:color w:val="000000" w:themeColor="text1"/>
          <w:kern w:val="0"/>
          <w:szCs w:val="21"/>
          <w14:textFill>
            <w14:solidFill>
              <w14:schemeClr w14:val="tx1"/>
            </w14:solidFill>
          </w14:textFill>
        </w:rPr>
        <w:t>参加政府采购活动前三年内在经营活动中没有</w:t>
      </w:r>
      <w:r>
        <w:rPr>
          <w:rFonts w:hint="eastAsia" w:ascii="宋体" w:hAnsi="宋体" w:cs="宋体"/>
          <w:bCs/>
          <w:color w:val="000000" w:themeColor="text1"/>
          <w:kern w:val="0"/>
          <w:szCs w:val="21"/>
          <w14:textFill>
            <w14:solidFill>
              <w14:schemeClr w14:val="tx1"/>
            </w14:solidFill>
          </w14:textFill>
        </w:rPr>
        <w:t>重大违法记录的书面声明</w:t>
      </w:r>
      <w:r>
        <w:rPr>
          <w:rFonts w:hint="eastAsia" w:ascii="宋体" w:hAnsi="宋体" w:cs="宋体"/>
          <w:color w:val="000000" w:themeColor="text1"/>
          <w:szCs w:val="21"/>
          <w14:textFill>
            <w14:solidFill>
              <w14:schemeClr w14:val="tx1"/>
            </w14:solidFill>
          </w14:textFill>
        </w:rPr>
        <w:t>（格式自拟，必须提供）；</w:t>
      </w:r>
    </w:p>
    <w:p>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②供应商可在“信用中国”网站（www.creditchina.gov.cn）、中国政府采购网（www.ccgp.gov.cn）查询相关供应商主体信用记录。</w:t>
      </w:r>
    </w:p>
    <w:p>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“信用中国”网站查询方法：投标人在本项目投标截止时间前10日内,进入投标人基本信息页面，点击“下载信用报告”后点击“下载”。</w:t>
      </w:r>
    </w:p>
    <w:p>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“中国政府采购网”的查询方法：点击“政府采购严重违法失信行为记录名单”进行查询。截止时间为本项目投标截止时间前10日至投标截止时间中任意一天。</w:t>
      </w:r>
    </w:p>
    <w:p>
      <w:pPr>
        <w:snapToGrid w:val="0"/>
        <w:spacing w:line="400" w:lineRule="exact"/>
        <w:ind w:firstLine="420"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numPr>
          <w:ilvl w:val="0"/>
          <w:numId w:val="14"/>
        </w:numPr>
        <w:adjustRightInd w:val="0"/>
        <w:snapToGrid w:val="0"/>
        <w:spacing w:line="400" w:lineRule="exact"/>
        <w:ind w:firstLine="421"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中小企业声明函（按最新政策执行，格式见第六章，必须提供）；</w:t>
      </w:r>
    </w:p>
    <w:p>
      <w:pPr>
        <w:snapToGrid w:val="0"/>
        <w:spacing w:before="312" w:beforeLines="100" w:after="312" w:afterLines="100" w:line="360" w:lineRule="exact"/>
        <w:ind w:firstLine="421" w:firstLineChars="200"/>
        <w:jc w:val="left"/>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14:textFill>
            <w14:solidFill>
              <w14:schemeClr w14:val="tx1"/>
            </w14:solidFill>
          </w14:textFill>
        </w:rPr>
        <w:t>中小企业声明函格式：</w:t>
      </w:r>
    </w:p>
    <w:p>
      <w:pPr>
        <w:pStyle w:val="401"/>
        <w:spacing w:after="0"/>
        <w:rPr>
          <w:rFonts w:hint="eastAsia" w:cs="宋体"/>
          <w:color w:val="000000" w:themeColor="text1"/>
          <w14:textFill>
            <w14:solidFill>
              <w14:schemeClr w14:val="tx1"/>
            </w14:solidFill>
          </w14:textFill>
        </w:rPr>
      </w:pPr>
      <w:r>
        <w:rPr>
          <w:rFonts w:hint="eastAsia" w:cs="宋体"/>
          <w:b/>
          <w:bCs/>
          <w:color w:val="000000" w:themeColor="text1"/>
          <w14:textFill>
            <w14:solidFill>
              <w14:schemeClr w14:val="tx1"/>
            </w14:solidFill>
          </w14:textFill>
        </w:rPr>
        <w:t>中小企业声明函</w:t>
      </w:r>
    </w:p>
    <w:p>
      <w:pPr>
        <w:pStyle w:val="403"/>
        <w:spacing w:line="506" w:lineRule="exact"/>
        <w:ind w:firstLine="420" w:firstLineChars="200"/>
        <w:jc w:val="both"/>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本公司（联合体）郑重声明，根据《政府采购促进中小企业发展管理办法》（财库〔2020〕46号）的规定，本公司 （联合体）参加</w:t>
      </w:r>
      <w:r>
        <w:rPr>
          <w:rFonts w:hint="eastAsia" w:cs="宋体"/>
          <w:color w:val="000000" w:themeColor="text1"/>
          <w:sz w:val="21"/>
          <w:szCs w:val="21"/>
          <w:u w:val="single"/>
          <w14:textFill>
            <w14:solidFill>
              <w14:schemeClr w14:val="tx1"/>
            </w14:solidFill>
          </w14:textFill>
        </w:rPr>
        <w:t>（单位名称）</w:t>
      </w:r>
      <w:r>
        <w:rPr>
          <w:rFonts w:hint="eastAsia" w:cs="宋体"/>
          <w:color w:val="000000" w:themeColor="text1"/>
          <w:sz w:val="21"/>
          <w:szCs w:val="21"/>
          <w14:textFill>
            <w14:solidFill>
              <w14:schemeClr w14:val="tx1"/>
            </w14:solidFill>
          </w14:textFill>
        </w:rPr>
        <w:t>的</w:t>
      </w:r>
      <w:r>
        <w:rPr>
          <w:rFonts w:hint="eastAsia" w:cs="宋体"/>
          <w:color w:val="000000" w:themeColor="text1"/>
          <w:sz w:val="21"/>
          <w:szCs w:val="21"/>
          <w:u w:val="single"/>
          <w14:textFill>
            <w14:solidFill>
              <w14:schemeClr w14:val="tx1"/>
            </w14:solidFill>
          </w14:textFill>
        </w:rPr>
        <w:t>（项目名称）</w:t>
      </w:r>
      <w:r>
        <w:rPr>
          <w:rFonts w:hint="eastAsia" w:cs="宋体"/>
          <w:color w:val="000000" w:themeColor="text1"/>
          <w:sz w:val="21"/>
          <w:szCs w:val="21"/>
          <w14:textFill>
            <w14:solidFill>
              <w14:schemeClr w14:val="tx1"/>
            </w14:solidFill>
          </w14:textFill>
        </w:rPr>
        <w:t>釆购活动,提供的货物全部由符合政策要求的中小企业制造。相关企业（含联合体中的中小企业、签订分包意向协议的中小企业）的具体情况如下</w:t>
      </w:r>
      <w:bookmarkStart w:id="36" w:name="bookmark1"/>
      <w:bookmarkEnd w:id="36"/>
      <w:r>
        <w:rPr>
          <w:rFonts w:hint="eastAsia" w:cs="宋体"/>
          <w:color w:val="000000" w:themeColor="text1"/>
          <w:sz w:val="21"/>
          <w:szCs w:val="21"/>
          <w14:textFill>
            <w14:solidFill>
              <w14:schemeClr w14:val="tx1"/>
            </w14:solidFill>
          </w14:textFill>
        </w:rPr>
        <w:t>：</w:t>
      </w:r>
    </w:p>
    <w:p>
      <w:pPr>
        <w:pStyle w:val="403"/>
        <w:spacing w:line="506" w:lineRule="exact"/>
        <w:ind w:firstLine="420" w:firstLineChars="200"/>
        <w:jc w:val="both"/>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w:t>
      </w:r>
      <w:r>
        <w:rPr>
          <w:rFonts w:hint="eastAsia" w:cs="宋体"/>
          <w:color w:val="000000" w:themeColor="text1"/>
          <w:sz w:val="21"/>
          <w:szCs w:val="21"/>
          <w:u w:val="single"/>
          <w14:textFill>
            <w14:solidFill>
              <w14:schemeClr w14:val="tx1"/>
            </w14:solidFill>
          </w14:textFill>
        </w:rPr>
        <w:t xml:space="preserve">     （标的名称）</w:t>
      </w:r>
      <w:r>
        <w:rPr>
          <w:rFonts w:hint="eastAsia" w:cs="宋体"/>
          <w:color w:val="000000" w:themeColor="text1"/>
          <w:sz w:val="21"/>
          <w:szCs w:val="21"/>
          <w14:textFill>
            <w14:solidFill>
              <w14:schemeClr w14:val="tx1"/>
            </w14:solidFill>
          </w14:textFill>
        </w:rPr>
        <w:t>，属于</w:t>
      </w:r>
      <w:r>
        <w:rPr>
          <w:rFonts w:hint="eastAsia" w:cs="宋体"/>
          <w:color w:val="000000" w:themeColor="text1"/>
          <w:sz w:val="21"/>
          <w:szCs w:val="21"/>
          <w:u w:val="single"/>
          <w14:textFill>
            <w14:solidFill>
              <w14:schemeClr w14:val="tx1"/>
            </w14:solidFill>
          </w14:textFill>
        </w:rPr>
        <w:t xml:space="preserve">     （釆购文件中明确的所属行业）行业</w:t>
      </w:r>
      <w:r>
        <w:rPr>
          <w:rFonts w:hint="eastAsia" w:cs="宋体"/>
          <w:color w:val="000000" w:themeColor="text1"/>
          <w:sz w:val="21"/>
          <w:szCs w:val="21"/>
          <w14:textFill>
            <w14:solidFill>
              <w14:schemeClr w14:val="tx1"/>
            </w14:solidFill>
          </w14:textFill>
        </w:rPr>
        <w:t>；制造商为</w:t>
      </w:r>
      <w:r>
        <w:rPr>
          <w:rFonts w:hint="eastAsia" w:cs="宋体"/>
          <w:color w:val="000000" w:themeColor="text1"/>
          <w:sz w:val="21"/>
          <w:szCs w:val="21"/>
          <w:u w:val="single"/>
          <w14:textFill>
            <w14:solidFill>
              <w14:schemeClr w14:val="tx1"/>
            </w14:solidFill>
          </w14:textFill>
        </w:rPr>
        <w:t>（企业名称）</w:t>
      </w:r>
      <w:r>
        <w:rPr>
          <w:rFonts w:hint="eastAsia" w:cs="宋体"/>
          <w:color w:val="000000" w:themeColor="text1"/>
          <w:sz w:val="21"/>
          <w:szCs w:val="21"/>
          <w14:textFill>
            <w14:solidFill>
              <w14:schemeClr w14:val="tx1"/>
            </w14:solidFill>
          </w14:textFill>
        </w:rPr>
        <w:t>，从业人员</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u w:val="single"/>
          <w14:textFill>
            <w14:solidFill>
              <w14:schemeClr w14:val="tx1"/>
            </w14:solidFill>
          </w14:textFill>
        </w:rPr>
        <w:tab/>
      </w:r>
      <w:r>
        <w:rPr>
          <w:rFonts w:hint="eastAsia" w:cs="宋体"/>
          <w:color w:val="000000" w:themeColor="text1"/>
          <w:sz w:val="21"/>
          <w:szCs w:val="21"/>
          <w14:textFill>
            <w14:solidFill>
              <w14:schemeClr w14:val="tx1"/>
            </w14:solidFill>
          </w14:textFill>
        </w:rPr>
        <w:t>人，营业收入为</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万元，资产总额为</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万元，属于</w:t>
      </w:r>
      <w:r>
        <w:rPr>
          <w:rFonts w:hint="eastAsia" w:cs="宋体"/>
          <w:color w:val="000000" w:themeColor="text1"/>
          <w:sz w:val="21"/>
          <w:szCs w:val="21"/>
          <w:u w:val="single"/>
          <w14:textFill>
            <w14:solidFill>
              <w14:schemeClr w14:val="tx1"/>
            </w14:solidFill>
          </w14:textFill>
        </w:rPr>
        <w:t>（中型企业、小型企业、微型企业）</w:t>
      </w:r>
      <w:r>
        <w:rPr>
          <w:rFonts w:hint="eastAsia" w:cs="宋体"/>
          <w:color w:val="000000" w:themeColor="text1"/>
          <w:sz w:val="21"/>
          <w:szCs w:val="21"/>
          <w14:textFill>
            <w14:solidFill>
              <w14:schemeClr w14:val="tx1"/>
            </w14:solidFill>
          </w14:textFill>
        </w:rPr>
        <w:t xml:space="preserve">； </w:t>
      </w:r>
    </w:p>
    <w:p>
      <w:pPr>
        <w:pStyle w:val="403"/>
        <w:spacing w:line="506" w:lineRule="exact"/>
        <w:ind w:firstLine="420" w:firstLineChars="200"/>
        <w:jc w:val="both"/>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2.</w:t>
      </w:r>
      <w:r>
        <w:rPr>
          <w:rFonts w:hint="eastAsia" w:cs="宋体"/>
          <w:color w:val="000000" w:themeColor="text1"/>
          <w:sz w:val="21"/>
          <w:szCs w:val="21"/>
          <w:u w:val="single"/>
          <w14:textFill>
            <w14:solidFill>
              <w14:schemeClr w14:val="tx1"/>
            </w14:solidFill>
          </w14:textFill>
        </w:rPr>
        <w:t xml:space="preserve">    （标的名称）</w:t>
      </w:r>
      <w:r>
        <w:rPr>
          <w:rFonts w:hint="eastAsia" w:cs="宋体"/>
          <w:color w:val="000000" w:themeColor="text1"/>
          <w:sz w:val="21"/>
          <w:szCs w:val="21"/>
          <w14:textFill>
            <w14:solidFill>
              <w14:schemeClr w14:val="tx1"/>
            </w14:solidFill>
          </w14:textFill>
        </w:rPr>
        <w:t>，属于</w:t>
      </w:r>
      <w:r>
        <w:rPr>
          <w:rFonts w:hint="eastAsia" w:cs="宋体"/>
          <w:color w:val="000000" w:themeColor="text1"/>
          <w:sz w:val="21"/>
          <w:szCs w:val="21"/>
          <w:u w:val="single"/>
          <w14:textFill>
            <w14:solidFill>
              <w14:schemeClr w14:val="tx1"/>
            </w14:solidFill>
          </w14:textFill>
        </w:rPr>
        <w:t xml:space="preserve">     （釆购文件中明确的所属行业）行业</w:t>
      </w:r>
      <w:r>
        <w:rPr>
          <w:rFonts w:hint="eastAsia" w:cs="宋体"/>
          <w:color w:val="000000" w:themeColor="text1"/>
          <w:sz w:val="21"/>
          <w:szCs w:val="21"/>
          <w14:textFill>
            <w14:solidFill>
              <w14:schemeClr w14:val="tx1"/>
            </w14:solidFill>
          </w14:textFill>
        </w:rPr>
        <w:t>；制造商为</w:t>
      </w:r>
      <w:r>
        <w:rPr>
          <w:rFonts w:hint="eastAsia" w:cs="宋体"/>
          <w:color w:val="000000" w:themeColor="text1"/>
          <w:sz w:val="21"/>
          <w:szCs w:val="21"/>
          <w:u w:val="single"/>
          <w14:textFill>
            <w14:solidFill>
              <w14:schemeClr w14:val="tx1"/>
            </w14:solidFill>
          </w14:textFill>
        </w:rPr>
        <w:t>（企业名称）</w:t>
      </w:r>
      <w:r>
        <w:rPr>
          <w:rFonts w:hint="eastAsia" w:cs="宋体"/>
          <w:color w:val="000000" w:themeColor="text1"/>
          <w:sz w:val="21"/>
          <w:szCs w:val="21"/>
          <w14:textFill>
            <w14:solidFill>
              <w14:schemeClr w14:val="tx1"/>
            </w14:solidFill>
          </w14:textFill>
        </w:rPr>
        <w:t>、从业人员</w:t>
      </w:r>
      <w:r>
        <w:rPr>
          <w:rFonts w:hint="eastAsia" w:cs="宋体"/>
          <w:color w:val="000000" w:themeColor="text1"/>
          <w:sz w:val="21"/>
          <w:szCs w:val="21"/>
          <w:u w:val="single"/>
          <w14:textFill>
            <w14:solidFill>
              <w14:schemeClr w14:val="tx1"/>
            </w14:solidFill>
          </w14:textFill>
        </w:rPr>
        <w:tab/>
      </w:r>
      <w:r>
        <w:rPr>
          <w:rFonts w:hint="eastAsia" w:cs="宋体"/>
          <w:color w:val="000000" w:themeColor="text1"/>
          <w:sz w:val="21"/>
          <w:szCs w:val="21"/>
          <w14:textFill>
            <w14:solidFill>
              <w14:schemeClr w14:val="tx1"/>
            </w14:solidFill>
          </w14:textFill>
        </w:rPr>
        <w:t>人，营业收入为</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万元，资产总额为</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万元，属于</w:t>
      </w:r>
      <w:r>
        <w:rPr>
          <w:rFonts w:hint="eastAsia" w:cs="宋体"/>
          <w:color w:val="000000" w:themeColor="text1"/>
          <w:sz w:val="21"/>
          <w:szCs w:val="21"/>
          <w:u w:val="single"/>
          <w14:textFill>
            <w14:solidFill>
              <w14:schemeClr w14:val="tx1"/>
            </w14:solidFill>
          </w14:textFill>
        </w:rPr>
        <w:t>（中型企业、小型 企业、微型企业）</w:t>
      </w:r>
      <w:r>
        <w:rPr>
          <w:rFonts w:hint="eastAsia" w:cs="宋体"/>
          <w:color w:val="000000" w:themeColor="text1"/>
          <w:sz w:val="21"/>
          <w:szCs w:val="21"/>
          <w14:textFill>
            <w14:solidFill>
              <w14:schemeClr w14:val="tx1"/>
            </w14:solidFill>
          </w14:textFill>
        </w:rPr>
        <w:t>；</w:t>
      </w:r>
    </w:p>
    <w:p>
      <w:pPr>
        <w:pStyle w:val="403"/>
        <w:spacing w:line="506" w:lineRule="exact"/>
        <w:ind w:firstLine="420" w:firstLineChars="200"/>
        <w:jc w:val="both"/>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w:t>
      </w:r>
    </w:p>
    <w:p>
      <w:pPr>
        <w:pStyle w:val="403"/>
        <w:spacing w:line="499" w:lineRule="exact"/>
        <w:ind w:firstLine="420" w:firstLineChars="200"/>
        <w:jc w:val="both"/>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以上企业，不属于大企业的分支机构，不存在控股股东为大企业的情形，也不存在与大企业的负责人为同一人的情形。</w:t>
      </w:r>
    </w:p>
    <w:p>
      <w:pPr>
        <w:pStyle w:val="403"/>
        <w:spacing w:after="40" w:line="499" w:lineRule="exact"/>
        <w:ind w:firstLine="420" w:firstLineChars="200"/>
        <w:jc w:val="both"/>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本企业对上述声明内容的真实性负责。如有虚假，将依法承担相应责任。</w:t>
      </w:r>
    </w:p>
    <w:p>
      <w:pPr>
        <w:pStyle w:val="403"/>
        <w:spacing w:after="40" w:line="499" w:lineRule="exact"/>
        <w:ind w:firstLine="640"/>
        <w:jc w:val="both"/>
        <w:rPr>
          <w:rFonts w:hint="eastAsia" w:cs="宋体"/>
          <w:color w:val="000000" w:themeColor="text1"/>
          <w:sz w:val="21"/>
          <w:szCs w:val="21"/>
          <w14:textFill>
            <w14:solidFill>
              <w14:schemeClr w14:val="tx1"/>
            </w14:solidFill>
          </w14:textFill>
        </w:rPr>
      </w:pPr>
    </w:p>
    <w:p>
      <w:pPr>
        <w:pStyle w:val="403"/>
        <w:spacing w:line="506" w:lineRule="exact"/>
        <w:ind w:firstLine="420" w:firstLineChars="200"/>
        <w:jc w:val="both"/>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 xml:space="preserve">                          企业名称（盖章）：</w:t>
      </w:r>
    </w:p>
    <w:p>
      <w:pPr>
        <w:pStyle w:val="403"/>
        <w:spacing w:line="506" w:lineRule="exact"/>
        <w:ind w:firstLine="420" w:firstLineChars="200"/>
        <w:jc w:val="both"/>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 xml:space="preserve">                          日期：</w:t>
      </w:r>
    </w:p>
    <w:p>
      <w:pPr>
        <w:pStyle w:val="401"/>
        <w:spacing w:after="0"/>
        <w:rPr>
          <w:rFonts w:hint="eastAsia" w:cs="宋体"/>
          <w:color w:val="000000" w:themeColor="text1"/>
          <w:sz w:val="21"/>
          <w:szCs w:val="21"/>
          <w14:textFill>
            <w14:solidFill>
              <w14:schemeClr w14:val="tx1"/>
            </w14:solidFill>
          </w14:textFill>
        </w:rPr>
      </w:pPr>
    </w:p>
    <w:p>
      <w:pPr>
        <w:pStyle w:val="401"/>
        <w:spacing w:after="0"/>
        <w:rPr>
          <w:rFonts w:hint="eastAsia" w:cs="宋体"/>
          <w:color w:val="000000" w:themeColor="text1"/>
          <w:sz w:val="21"/>
          <w:szCs w:val="21"/>
          <w14:textFill>
            <w14:solidFill>
              <w14:schemeClr w14:val="tx1"/>
            </w14:solidFill>
          </w14:textFill>
        </w:rPr>
      </w:pPr>
    </w:p>
    <w:p>
      <w:pPr>
        <w:pStyle w:val="401"/>
        <w:adjustRightInd w:val="0"/>
        <w:snapToGrid w:val="0"/>
        <w:spacing w:after="0" w:line="360" w:lineRule="exact"/>
        <w:ind w:firstLine="420" w:firstLineChars="200"/>
        <w:jc w:val="left"/>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备注：</w:t>
      </w:r>
    </w:p>
    <w:p>
      <w:pPr>
        <w:pStyle w:val="401"/>
        <w:adjustRightInd w:val="0"/>
        <w:snapToGrid w:val="0"/>
        <w:spacing w:after="0" w:line="360" w:lineRule="exact"/>
        <w:ind w:firstLine="420" w:firstLineChars="200"/>
        <w:jc w:val="left"/>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1、从业人员、营业收入、资产总额填报上一年度数据，无上一年度数据的新成立企业可不填报。</w:t>
      </w:r>
    </w:p>
    <w:p>
      <w:pPr>
        <w:pStyle w:val="401"/>
        <w:adjustRightInd w:val="0"/>
        <w:snapToGrid w:val="0"/>
        <w:spacing w:after="0" w:line="360" w:lineRule="exact"/>
        <w:ind w:firstLine="420" w:firstLineChars="200"/>
        <w:jc w:val="left"/>
        <w:rPr>
          <w:rFonts w:hint="eastAsia" w:cs="宋体"/>
          <w:color w:val="000000" w:themeColor="text1"/>
          <w:sz w:val="18"/>
          <w:szCs w:val="18"/>
          <w14:textFill>
            <w14:solidFill>
              <w14:schemeClr w14:val="tx1"/>
            </w14:solidFill>
          </w14:textFill>
        </w:rPr>
      </w:pPr>
      <w:r>
        <w:rPr>
          <w:rFonts w:hint="eastAsia" w:cs="宋体"/>
          <w:color w:val="000000" w:themeColor="text1"/>
          <w:sz w:val="21"/>
          <w:szCs w:val="21"/>
          <w14:textFill>
            <w14:solidFill>
              <w14:schemeClr w14:val="tx1"/>
            </w14:solidFill>
          </w14:textFill>
        </w:rPr>
        <w:t>2、采购文件中明确的所属行业名称是根据《关于印发中小企业划型标准规定的通知》（工信部联企业[2011]300号）规定确定。</w:t>
      </w:r>
    </w:p>
    <w:p>
      <w:pPr>
        <w:pStyle w:val="401"/>
        <w:spacing w:after="0"/>
        <w:rPr>
          <w:rFonts w:hint="eastAsia" w:cs="宋体"/>
          <w:color w:val="000000" w:themeColor="text1"/>
          <w:sz w:val="21"/>
          <w:szCs w:val="21"/>
          <w14:textFill>
            <w14:solidFill>
              <w14:schemeClr w14:val="tx1"/>
            </w14:solidFill>
          </w14:textFill>
        </w:rPr>
      </w:pPr>
    </w:p>
    <w:p>
      <w:pPr>
        <w:pStyle w:val="401"/>
        <w:spacing w:after="0"/>
        <w:rPr>
          <w:rFonts w:hint="eastAsia" w:cs="宋体"/>
          <w:color w:val="000000" w:themeColor="text1"/>
          <w:sz w:val="21"/>
          <w:szCs w:val="21"/>
          <w14:textFill>
            <w14:solidFill>
              <w14:schemeClr w14:val="tx1"/>
            </w14:solidFill>
          </w14:textFill>
        </w:rPr>
      </w:pPr>
    </w:p>
    <w:p>
      <w:pPr>
        <w:pStyle w:val="51"/>
        <w:ind w:firstLine="0" w:firstLineChars="0"/>
        <w:rPr>
          <w:color w:val="000000" w:themeColor="text1"/>
          <w14:textFill>
            <w14:solidFill>
              <w14:schemeClr w14:val="tx1"/>
            </w14:solidFill>
          </w14:textFill>
        </w:rPr>
      </w:pPr>
    </w:p>
    <w:p>
      <w:pPr>
        <w:pStyle w:val="51"/>
        <w:ind w:firstLine="0" w:firstLineChars="0"/>
        <w:rPr>
          <w:color w:val="000000" w:themeColor="text1"/>
          <w14:textFill>
            <w14:solidFill>
              <w14:schemeClr w14:val="tx1"/>
            </w14:solidFill>
          </w14:textFill>
        </w:rPr>
      </w:pPr>
    </w:p>
    <w:p>
      <w:pPr>
        <w:pStyle w:val="51"/>
        <w:ind w:firstLine="0" w:firstLineChars="0"/>
        <w:rPr>
          <w:color w:val="000000" w:themeColor="text1"/>
          <w14:textFill>
            <w14:solidFill>
              <w14:schemeClr w14:val="tx1"/>
            </w14:solidFill>
          </w14:textFill>
        </w:rPr>
      </w:pPr>
    </w:p>
    <w:p>
      <w:pPr>
        <w:pStyle w:val="51"/>
        <w:ind w:firstLine="0" w:firstLineChars="0"/>
        <w:rPr>
          <w:color w:val="000000" w:themeColor="text1"/>
          <w14:textFill>
            <w14:solidFill>
              <w14:schemeClr w14:val="tx1"/>
            </w14:solidFill>
          </w14:textFill>
        </w:rPr>
      </w:pPr>
    </w:p>
    <w:p>
      <w:pPr>
        <w:pStyle w:val="51"/>
        <w:ind w:firstLine="0" w:firstLineChars="0"/>
        <w:rPr>
          <w:color w:val="000000" w:themeColor="text1"/>
          <w14:textFill>
            <w14:solidFill>
              <w14:schemeClr w14:val="tx1"/>
            </w14:solidFill>
          </w14:textFill>
        </w:rPr>
      </w:pPr>
    </w:p>
    <w:p>
      <w:pPr>
        <w:pStyle w:val="51"/>
        <w:ind w:firstLine="0" w:firstLineChars="0"/>
        <w:rPr>
          <w:color w:val="000000" w:themeColor="text1"/>
          <w14:textFill>
            <w14:solidFill>
              <w14:schemeClr w14:val="tx1"/>
            </w14:solidFill>
          </w14:textFill>
        </w:rPr>
      </w:pPr>
    </w:p>
    <w:p>
      <w:pPr>
        <w:pStyle w:val="51"/>
        <w:ind w:firstLine="0" w:firstLineChars="0"/>
        <w:rPr>
          <w:color w:val="000000" w:themeColor="text1"/>
          <w14:textFill>
            <w14:solidFill>
              <w14:schemeClr w14:val="tx1"/>
            </w14:solidFill>
          </w14:textFill>
        </w:rPr>
      </w:pPr>
    </w:p>
    <w:p>
      <w:pPr>
        <w:pStyle w:val="51"/>
        <w:ind w:firstLine="0" w:firstLineChars="0"/>
        <w:rPr>
          <w:color w:val="000000" w:themeColor="text1"/>
          <w14:textFill>
            <w14:solidFill>
              <w14:schemeClr w14:val="tx1"/>
            </w14:solidFill>
          </w14:textFill>
        </w:rPr>
      </w:pPr>
    </w:p>
    <w:p>
      <w:pPr>
        <w:snapToGrid w:val="0"/>
        <w:spacing w:line="360" w:lineRule="exact"/>
        <w:jc w:val="center"/>
        <w:rPr>
          <w:rFonts w:hint="eastAsia" w:ascii="宋体" w:hAnsi="宋体" w:cs="宋体"/>
          <w:b/>
          <w:color w:val="000000" w:themeColor="text1"/>
          <w:kern w:val="0"/>
          <w:sz w:val="28"/>
          <w:szCs w:val="28"/>
          <w14:textFill>
            <w14:solidFill>
              <w14:schemeClr w14:val="tx1"/>
            </w14:solidFill>
          </w14:textFill>
        </w:rPr>
      </w:pPr>
    </w:p>
    <w:p>
      <w:pPr>
        <w:snapToGrid w:val="0"/>
        <w:spacing w:line="360" w:lineRule="exact"/>
        <w:jc w:val="center"/>
        <w:rPr>
          <w:rFonts w:hint="eastAsia"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参加政府采购活动前三年内在经营活动中没有重大违法记录的书面声明</w:t>
      </w:r>
    </w:p>
    <w:p>
      <w:pPr>
        <w:snapToGrid w:val="0"/>
        <w:spacing w:line="36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（格式自拟，必须提供）</w:t>
      </w:r>
    </w:p>
    <w:p>
      <w:pPr>
        <w:snapToGrid w:val="0"/>
        <w:spacing w:line="360" w:lineRule="exact"/>
        <w:ind w:firstLine="413" w:firstLineChars="196"/>
        <w:jc w:val="center"/>
        <w:rPr>
          <w:rFonts w:hint="eastAsia" w:ascii="宋体" w:hAnsi="宋体" w:cs="宋体"/>
          <w:b/>
          <w:color w:val="000000" w:themeColor="text1"/>
          <w:szCs w:val="21"/>
          <w14:textFill>
            <w14:solidFill>
              <w14:schemeClr w14:val="tx1"/>
            </w14:solidFill>
          </w14:textFill>
        </w:rPr>
      </w:pPr>
    </w:p>
    <w:p>
      <w:pPr>
        <w:snapToGrid w:val="0"/>
        <w:spacing w:line="360" w:lineRule="exact"/>
        <w:ind w:firstLine="413" w:firstLineChars="196"/>
        <w:jc w:val="center"/>
        <w:rPr>
          <w:rFonts w:hint="eastAsia" w:ascii="宋体" w:hAnsi="宋体" w:cs="宋体"/>
          <w:b/>
          <w:color w:val="000000" w:themeColor="text1"/>
          <w:szCs w:val="21"/>
          <w14:textFill>
            <w14:solidFill>
              <w14:schemeClr w14:val="tx1"/>
            </w14:solidFill>
          </w14:textFill>
        </w:rPr>
      </w:pPr>
    </w:p>
    <w:p>
      <w:pPr>
        <w:snapToGrid w:val="0"/>
        <w:spacing w:line="360" w:lineRule="exact"/>
        <w:ind w:firstLine="413" w:firstLineChars="196"/>
        <w:jc w:val="center"/>
        <w:rPr>
          <w:rFonts w:hint="eastAsia" w:ascii="宋体" w:hAnsi="宋体" w:cs="宋体"/>
          <w:b/>
          <w:color w:val="000000" w:themeColor="text1"/>
          <w:szCs w:val="21"/>
          <w14:textFill>
            <w14:solidFill>
              <w14:schemeClr w14:val="tx1"/>
            </w14:solidFill>
          </w14:textFill>
        </w:rPr>
      </w:pPr>
    </w:p>
    <w:p>
      <w:pPr>
        <w:snapToGrid w:val="0"/>
        <w:spacing w:line="360" w:lineRule="exact"/>
        <w:ind w:firstLine="413" w:firstLineChars="196"/>
        <w:jc w:val="center"/>
        <w:rPr>
          <w:rFonts w:hint="eastAsia" w:ascii="宋体" w:hAnsi="宋体" w:cs="宋体"/>
          <w:b/>
          <w:color w:val="000000" w:themeColor="text1"/>
          <w:szCs w:val="21"/>
          <w14:textFill>
            <w14:solidFill>
              <w14:schemeClr w14:val="tx1"/>
            </w14:solidFill>
          </w14:textFill>
        </w:rPr>
      </w:pPr>
    </w:p>
    <w:p>
      <w:pPr>
        <w:snapToGrid w:val="0"/>
        <w:spacing w:before="156" w:beforeLines="50" w:line="34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法定代表人（或机构负责人）或委托代理人签名（或签章）： </w:t>
      </w:r>
    </w:p>
    <w:p>
      <w:pPr>
        <w:snapToGrid w:val="0"/>
        <w:spacing w:before="156" w:beforeLines="50" w:line="34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投标人公章：                                    </w:t>
      </w:r>
    </w:p>
    <w:p>
      <w:pPr>
        <w:pStyle w:val="29"/>
        <w:tabs>
          <w:tab w:val="left" w:pos="5580"/>
        </w:tabs>
        <w:spacing w:line="360" w:lineRule="auto"/>
        <w:ind w:left="540" w:leftChars="257" w:firstLine="420" w:firstLineChars="200"/>
        <w:rPr>
          <w:rFonts w:hint="eastAsia" w:hAnsi="宋体" w:cs="宋体"/>
          <w:b/>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 xml:space="preserve">                                          年    月    日</w:t>
      </w:r>
    </w:p>
    <w:p>
      <w:pPr>
        <w:snapToGrid w:val="0"/>
        <w:spacing w:line="360" w:lineRule="exact"/>
        <w:ind w:firstLine="361" w:firstLineChars="200"/>
        <w:jc w:val="left"/>
        <w:rPr>
          <w:rFonts w:hint="eastAsia" w:ascii="宋体" w:hAnsi="宋体" w:cs="宋体"/>
          <w:b/>
          <w:color w:val="000000" w:themeColor="text1"/>
          <w:kern w:val="0"/>
          <w:sz w:val="18"/>
          <w:szCs w:val="18"/>
          <w14:textFill>
            <w14:solidFill>
              <w14:schemeClr w14:val="tx1"/>
            </w14:solidFill>
          </w14:textFill>
        </w:rPr>
      </w:pPr>
      <w:r>
        <w:rPr>
          <w:rFonts w:hint="eastAsia" w:ascii="宋体" w:hAnsi="宋体" w:cs="宋体"/>
          <w:b/>
          <w:color w:val="000000" w:themeColor="text1"/>
          <w:kern w:val="0"/>
          <w:sz w:val="18"/>
          <w:szCs w:val="18"/>
          <w14:textFill>
            <w14:solidFill>
              <w14:schemeClr w14:val="tx1"/>
            </w14:solidFill>
          </w14:textFill>
        </w:rPr>
        <w:t>说明：</w:t>
      </w:r>
    </w:p>
    <w:p>
      <w:pPr>
        <w:snapToGrid w:val="0"/>
        <w:spacing w:line="360" w:lineRule="exact"/>
        <w:ind w:firstLine="361" w:firstLineChars="200"/>
        <w:jc w:val="left"/>
        <w:rPr>
          <w:rFonts w:hint="eastAsia" w:ascii="宋体" w:hAnsi="宋体" w:cs="宋体"/>
          <w:b/>
          <w:color w:val="000000" w:themeColor="text1"/>
          <w:kern w:val="0"/>
          <w:sz w:val="18"/>
          <w:szCs w:val="18"/>
          <w14:textFill>
            <w14:solidFill>
              <w14:schemeClr w14:val="tx1"/>
            </w14:solidFill>
          </w14:textFill>
        </w:rPr>
      </w:pPr>
      <w:r>
        <w:rPr>
          <w:rFonts w:hint="eastAsia" w:ascii="宋体" w:hAnsi="宋体" w:cs="宋体"/>
          <w:b/>
          <w:color w:val="000000" w:themeColor="text1"/>
          <w:kern w:val="0"/>
          <w:sz w:val="18"/>
          <w:szCs w:val="18"/>
          <w14:textFill>
            <w14:solidFill>
              <w14:schemeClr w14:val="tx1"/>
            </w14:solidFill>
          </w14:textFill>
        </w:rPr>
        <w:t>1.投标人应按照相关法规规定如实做出书面声明。</w:t>
      </w:r>
    </w:p>
    <w:p>
      <w:pPr>
        <w:snapToGrid w:val="0"/>
        <w:spacing w:line="360" w:lineRule="exact"/>
        <w:ind w:firstLine="361" w:firstLineChars="200"/>
        <w:jc w:val="left"/>
        <w:rPr>
          <w:rFonts w:hint="eastAsia" w:ascii="宋体" w:hAnsi="宋体" w:cs="宋体"/>
          <w:b/>
          <w:color w:val="000000" w:themeColor="text1"/>
          <w:kern w:val="0"/>
          <w:sz w:val="18"/>
          <w:szCs w:val="18"/>
          <w14:textFill>
            <w14:solidFill>
              <w14:schemeClr w14:val="tx1"/>
            </w14:solidFill>
          </w14:textFill>
        </w:rPr>
      </w:pPr>
      <w:r>
        <w:rPr>
          <w:rFonts w:hint="eastAsia" w:ascii="宋体" w:hAnsi="宋体" w:cs="宋体"/>
          <w:b/>
          <w:color w:val="000000" w:themeColor="text1"/>
          <w:kern w:val="0"/>
          <w:sz w:val="18"/>
          <w:szCs w:val="18"/>
          <w14:textFill>
            <w14:solidFill>
              <w14:schemeClr w14:val="tx1"/>
            </w14:solidFill>
          </w14:textFill>
        </w:rPr>
        <w:t>2.按照采购文件的规定盖章（自然人投标的无需盖章，需要签字或签章）。</w:t>
      </w:r>
    </w:p>
    <w:bookmarkEnd w:id="32"/>
    <w:bookmarkEnd w:id="33"/>
    <w:p>
      <w:pPr>
        <w:snapToGrid w:val="0"/>
        <w:spacing w:before="50" w:after="156" w:afterLines="50" w:line="360" w:lineRule="exact"/>
        <w:jc w:val="left"/>
        <w:outlineLvl w:val="0"/>
        <w:rPr>
          <w:rFonts w:hint="eastAsia" w:ascii="宋体" w:hAnsi="宋体" w:cs="宋体"/>
          <w:b/>
          <w:color w:val="000000" w:themeColor="text1"/>
          <w:szCs w:val="21"/>
          <w14:textFill>
            <w14:solidFill>
              <w14:schemeClr w14:val="tx1"/>
            </w14:solidFill>
          </w14:textFill>
        </w:rPr>
      </w:pPr>
    </w:p>
    <w:p>
      <w:pPr>
        <w:pStyle w:val="69"/>
        <w:rPr>
          <w:rFonts w:hint="eastAsia" w:ascii="宋体" w:hAnsi="宋体" w:cs="宋体"/>
          <w:b/>
          <w:color w:val="000000" w:themeColor="text1"/>
          <w:szCs w:val="21"/>
          <w14:textFill>
            <w14:solidFill>
              <w14:schemeClr w14:val="tx1"/>
            </w14:solidFill>
          </w14:textFill>
        </w:rPr>
      </w:pPr>
    </w:p>
    <w:p>
      <w:pPr>
        <w:pStyle w:val="69"/>
        <w:rPr>
          <w:rFonts w:hint="eastAsia" w:ascii="宋体" w:hAnsi="宋体" w:cs="宋体"/>
          <w:b/>
          <w:color w:val="000000" w:themeColor="text1"/>
          <w:szCs w:val="21"/>
          <w14:textFill>
            <w14:solidFill>
              <w14:schemeClr w14:val="tx1"/>
            </w14:solidFill>
          </w14:textFill>
        </w:rPr>
      </w:pPr>
    </w:p>
    <w:p>
      <w:pPr>
        <w:pStyle w:val="69"/>
        <w:rPr>
          <w:rFonts w:hint="eastAsia" w:ascii="宋体" w:hAnsi="宋体" w:cs="宋体"/>
          <w:b/>
          <w:color w:val="000000" w:themeColor="text1"/>
          <w:szCs w:val="21"/>
          <w14:textFill>
            <w14:solidFill>
              <w14:schemeClr w14:val="tx1"/>
            </w14:solidFill>
          </w14:textFill>
        </w:rPr>
      </w:pPr>
    </w:p>
    <w:p>
      <w:pPr>
        <w:pStyle w:val="69"/>
        <w:rPr>
          <w:rFonts w:hint="eastAsia" w:ascii="宋体" w:hAnsi="宋体" w:cs="宋体"/>
          <w:b/>
          <w:color w:val="000000" w:themeColor="text1"/>
          <w:szCs w:val="21"/>
          <w14:textFill>
            <w14:solidFill>
              <w14:schemeClr w14:val="tx1"/>
            </w14:solidFill>
          </w14:textFill>
        </w:rPr>
      </w:pPr>
    </w:p>
    <w:p>
      <w:pPr>
        <w:pStyle w:val="69"/>
        <w:rPr>
          <w:rFonts w:hint="eastAsia" w:ascii="宋体" w:hAnsi="宋体" w:cs="宋体"/>
          <w:b/>
          <w:color w:val="000000" w:themeColor="text1"/>
          <w:szCs w:val="21"/>
          <w14:textFill>
            <w14:solidFill>
              <w14:schemeClr w14:val="tx1"/>
            </w14:solidFill>
          </w14:textFill>
        </w:rPr>
      </w:pPr>
    </w:p>
    <w:p>
      <w:pPr>
        <w:pStyle w:val="69"/>
        <w:rPr>
          <w:rFonts w:hint="eastAsia" w:ascii="宋体" w:hAnsi="宋体" w:cs="宋体"/>
          <w:b/>
          <w:color w:val="000000" w:themeColor="text1"/>
          <w:szCs w:val="21"/>
          <w14:textFill>
            <w14:solidFill>
              <w14:schemeClr w14:val="tx1"/>
            </w14:solidFill>
          </w14:textFill>
        </w:rPr>
      </w:pPr>
    </w:p>
    <w:p>
      <w:pPr>
        <w:pStyle w:val="69"/>
        <w:rPr>
          <w:rFonts w:hint="eastAsia" w:ascii="宋体" w:hAnsi="宋体" w:cs="宋体"/>
          <w:b/>
          <w:color w:val="000000" w:themeColor="text1"/>
          <w:szCs w:val="21"/>
          <w14:textFill>
            <w14:solidFill>
              <w14:schemeClr w14:val="tx1"/>
            </w14:solidFill>
          </w14:textFill>
        </w:rPr>
      </w:pPr>
    </w:p>
    <w:p>
      <w:pPr>
        <w:pStyle w:val="69"/>
        <w:rPr>
          <w:rFonts w:hint="eastAsia" w:ascii="宋体" w:hAnsi="宋体" w:cs="宋体"/>
          <w:b/>
          <w:color w:val="000000" w:themeColor="text1"/>
          <w:szCs w:val="21"/>
          <w14:textFill>
            <w14:solidFill>
              <w14:schemeClr w14:val="tx1"/>
            </w14:solidFill>
          </w14:textFill>
        </w:rPr>
      </w:pPr>
    </w:p>
    <w:p>
      <w:pPr>
        <w:pStyle w:val="69"/>
        <w:rPr>
          <w:rFonts w:hint="eastAsia" w:ascii="宋体" w:hAnsi="宋体" w:cs="宋体"/>
          <w:b/>
          <w:color w:val="000000" w:themeColor="text1"/>
          <w:szCs w:val="21"/>
          <w14:textFill>
            <w14:solidFill>
              <w14:schemeClr w14:val="tx1"/>
            </w14:solidFill>
          </w14:textFill>
        </w:rPr>
      </w:pPr>
    </w:p>
    <w:p>
      <w:pPr>
        <w:pStyle w:val="69"/>
        <w:rPr>
          <w:rFonts w:hint="eastAsia" w:ascii="宋体" w:hAnsi="宋体" w:cs="宋体"/>
          <w:b/>
          <w:color w:val="000000" w:themeColor="text1"/>
          <w:szCs w:val="21"/>
          <w14:textFill>
            <w14:solidFill>
              <w14:schemeClr w14:val="tx1"/>
            </w14:solidFill>
          </w14:textFill>
        </w:rPr>
      </w:pPr>
    </w:p>
    <w:p>
      <w:pPr>
        <w:snapToGrid w:val="0"/>
        <w:spacing w:before="50" w:after="156" w:afterLines="50" w:line="360" w:lineRule="exact"/>
        <w:jc w:val="left"/>
        <w:outlineLvl w:val="0"/>
        <w:rPr>
          <w:rFonts w:hint="eastAsia" w:ascii="宋体" w:hAnsi="宋体" w:cs="宋体"/>
          <w:b/>
          <w:color w:val="000000" w:themeColor="text1"/>
          <w:szCs w:val="21"/>
          <w14:textFill>
            <w14:solidFill>
              <w14:schemeClr w14:val="tx1"/>
            </w14:solidFill>
          </w14:textFill>
        </w:rPr>
      </w:pPr>
    </w:p>
    <w:p>
      <w:pPr>
        <w:pStyle w:val="69"/>
        <w:rPr>
          <w:rFonts w:hint="eastAsia" w:ascii="宋体" w:hAnsi="宋体" w:cs="宋体"/>
          <w:b/>
          <w:color w:val="000000" w:themeColor="text1"/>
          <w:szCs w:val="21"/>
          <w14:textFill>
            <w14:solidFill>
              <w14:schemeClr w14:val="tx1"/>
            </w14:solidFill>
          </w14:textFill>
        </w:rPr>
      </w:pPr>
    </w:p>
    <w:p>
      <w:pPr>
        <w:pStyle w:val="69"/>
        <w:rPr>
          <w:rFonts w:hint="eastAsia" w:ascii="宋体" w:hAnsi="宋体" w:cs="宋体"/>
          <w:b/>
          <w:color w:val="000000" w:themeColor="text1"/>
          <w:szCs w:val="21"/>
          <w14:textFill>
            <w14:solidFill>
              <w14:schemeClr w14:val="tx1"/>
            </w14:solidFill>
          </w14:textFill>
        </w:rPr>
      </w:pPr>
    </w:p>
    <w:p>
      <w:pPr>
        <w:pStyle w:val="69"/>
        <w:rPr>
          <w:rFonts w:hint="eastAsia" w:ascii="宋体" w:hAnsi="宋体" w:cs="宋体"/>
          <w:b/>
          <w:color w:val="000000" w:themeColor="text1"/>
          <w:szCs w:val="21"/>
          <w14:textFill>
            <w14:solidFill>
              <w14:schemeClr w14:val="tx1"/>
            </w14:solidFill>
          </w14:textFill>
        </w:rPr>
      </w:pPr>
    </w:p>
    <w:p>
      <w:pPr>
        <w:snapToGrid w:val="0"/>
        <w:spacing w:before="50" w:after="156" w:afterLines="50" w:line="360" w:lineRule="exact"/>
        <w:ind w:firstLine="421" w:firstLineChars="200"/>
        <w:jc w:val="left"/>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二）</w:t>
      </w:r>
      <w:r>
        <w:rPr>
          <w:rFonts w:hint="eastAsia" w:ascii="宋体" w:hAnsi="宋体" w:cs="宋体"/>
          <w:b/>
          <w:bCs/>
          <w:color w:val="000000" w:themeColor="text1"/>
          <w:szCs w:val="21"/>
          <w14:textFill>
            <w14:solidFill>
              <w14:schemeClr w14:val="tx1"/>
            </w14:solidFill>
          </w14:textFill>
        </w:rPr>
        <w:t>资信及商务文件部分（格式）</w:t>
      </w:r>
    </w:p>
    <w:p>
      <w:pPr>
        <w:snapToGrid w:val="0"/>
        <w:spacing w:before="50" w:after="156" w:afterLines="50" w:line="360" w:lineRule="exact"/>
        <w:ind w:firstLine="421"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投标保证金的相关证明扫描件或其他电子文件</w:t>
      </w:r>
    </w:p>
    <w:p>
      <w:pPr>
        <w:snapToGrid w:val="0"/>
        <w:spacing w:before="50" w:after="156" w:afterLines="50" w:line="360" w:lineRule="exact"/>
        <w:ind w:firstLine="204" w:firstLineChars="97"/>
        <w:jc w:val="left"/>
        <w:rPr>
          <w:rFonts w:hint="eastAsia" w:ascii="宋体" w:hAnsi="宋体" w:cs="宋体"/>
          <w:b/>
          <w:color w:val="000000" w:themeColor="text1"/>
          <w:szCs w:val="21"/>
          <w14:textFill>
            <w14:solidFill>
              <w14:schemeClr w14:val="tx1"/>
            </w14:solidFill>
          </w14:textFill>
        </w:rPr>
      </w:pPr>
    </w:p>
    <w:p>
      <w:pPr>
        <w:snapToGrid w:val="0"/>
        <w:spacing w:before="50" w:after="156" w:afterLines="50" w:line="360" w:lineRule="exact"/>
        <w:ind w:firstLine="421"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（2）投标声明书格式：</w:t>
      </w:r>
    </w:p>
    <w:p>
      <w:pPr>
        <w:snapToGrid w:val="0"/>
        <w:spacing w:before="156" w:beforeLines="50" w:after="50" w:line="360" w:lineRule="exact"/>
        <w:jc w:val="center"/>
        <w:rPr>
          <w:rFonts w:hint="eastAsia" w:ascii="宋体" w:hAnsi="宋体" w:cs="宋体"/>
          <w:b/>
          <w:color w:val="000000" w:themeColor="text1"/>
          <w:sz w:val="30"/>
          <w:szCs w:val="30"/>
          <w14:textFill>
            <w14:solidFill>
              <w14:schemeClr w14:val="tx1"/>
            </w14:solidFill>
          </w14:textFill>
        </w:rPr>
      </w:pPr>
      <w:r>
        <w:rPr>
          <w:rFonts w:hint="eastAsia" w:ascii="宋体" w:hAnsi="宋体" w:cs="宋体"/>
          <w:b/>
          <w:color w:val="000000" w:themeColor="text1"/>
          <w:sz w:val="30"/>
          <w:szCs w:val="30"/>
          <w14:textFill>
            <w14:solidFill>
              <w14:schemeClr w14:val="tx1"/>
            </w14:solidFill>
          </w14:textFill>
        </w:rPr>
        <w:t>投标声明书</w:t>
      </w:r>
    </w:p>
    <w:p>
      <w:pPr>
        <w:snapToGrid w:val="0"/>
        <w:spacing w:before="156" w:beforeLines="50" w:after="50" w:line="3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致：</w:t>
      </w:r>
      <w:r>
        <w:rPr>
          <w:rFonts w:hint="eastAsia" w:ascii="宋体" w:hAnsi="宋体" w:cs="宋体"/>
          <w:color w:val="000000" w:themeColor="text1"/>
          <w:u w:val="single"/>
          <w14:textFill>
            <w14:solidFill>
              <w14:schemeClr w14:val="tx1"/>
            </w14:solidFill>
          </w14:textFill>
        </w:rPr>
        <w:t>广西壮族自治区政府采购中心</w:t>
      </w:r>
      <w:r>
        <w:rPr>
          <w:rFonts w:hint="eastAsia" w:ascii="宋体" w:hAnsi="宋体" w:cs="宋体"/>
          <w:color w:val="000000" w:themeColor="text1"/>
          <w:szCs w:val="21"/>
          <w14:textFill>
            <w14:solidFill>
              <w14:schemeClr w14:val="tx1"/>
            </w14:solidFill>
          </w14:textFill>
        </w:rPr>
        <w:t>：</w:t>
      </w:r>
    </w:p>
    <w:p>
      <w:pPr>
        <w:snapToGrid w:val="0"/>
        <w:spacing w:before="156" w:beforeLines="50" w:after="50" w:line="34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（投标人名称）系中华人民共和国合法企业，经营地址</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w:t>
      </w:r>
    </w:p>
    <w:p>
      <w:pPr>
        <w:snapToGrid w:val="0"/>
        <w:spacing w:before="156" w:beforeLines="50" w:after="50" w:line="34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我</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（姓名）系</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（投标人名称）的法定代表人，我方愿意参加贵方组织的</w:t>
      </w:r>
      <w:r>
        <w:rPr>
          <w:rFonts w:hint="eastAsia" w:ascii="宋体" w:hAnsi="宋体" w:cs="宋体"/>
          <w:color w:val="000000" w:themeColor="text1"/>
          <w:szCs w:val="21"/>
          <w:u w:val="single"/>
          <w14:textFill>
            <w14:solidFill>
              <w14:schemeClr w14:val="tx1"/>
            </w14:solidFill>
          </w14:textFill>
        </w:rPr>
        <w:t>_              _     _</w:t>
      </w:r>
      <w:r>
        <w:rPr>
          <w:rFonts w:hint="eastAsia" w:ascii="宋体" w:hAnsi="宋体" w:cs="宋体"/>
          <w:color w:val="000000" w:themeColor="text1"/>
          <w:szCs w:val="21"/>
          <w14:textFill>
            <w14:solidFill>
              <w14:schemeClr w14:val="tx1"/>
            </w14:solidFill>
          </w14:textFill>
        </w:rPr>
        <w:t>项目的投标，为便于贵方公正、择优地确定中标人及其投标产品和服务，我方就本次投标有关事项郑重声明如下：</w:t>
      </w:r>
    </w:p>
    <w:p>
      <w:pPr>
        <w:snapToGrid w:val="0"/>
        <w:spacing w:line="34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1.我方向贵方提交的所有投标文件、资料都是准确的和真实的。</w:t>
      </w:r>
    </w:p>
    <w:p>
      <w:pPr>
        <w:snapToGrid w:val="0"/>
        <w:spacing w:before="156" w:beforeLines="50" w:line="34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2.我方不是采购人的附属机构；在获知本项目采购信息后，与采购人聘请的为此项目提供咨询服务的公司及其附属机构没有任何联系。</w:t>
      </w:r>
    </w:p>
    <w:p>
      <w:pPr>
        <w:snapToGrid w:val="0"/>
        <w:spacing w:before="156" w:beforeLines="50" w:line="34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3.我方此次向贵方提供的产品名称为：</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；规格型号：</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；该型号产品我方有现货可供，并已于</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月生产完工或向　</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（原厂商名称）购进［</w:t>
      </w:r>
      <w:r>
        <w:rPr>
          <w:rFonts w:hint="eastAsia" w:ascii="宋体" w:hAnsi="宋体" w:cs="宋体"/>
          <w:b/>
          <w:bCs/>
          <w:color w:val="000000" w:themeColor="text1"/>
          <w:szCs w:val="21"/>
          <w14:textFill>
            <w14:solidFill>
              <w14:schemeClr w14:val="tx1"/>
            </w14:solidFill>
          </w14:textFill>
        </w:rPr>
        <w:t>或</w:t>
      </w:r>
      <w:r>
        <w:rPr>
          <w:rFonts w:hint="eastAsia" w:ascii="宋体" w:hAnsi="宋体" w:cs="宋体"/>
          <w:color w:val="000000" w:themeColor="text1"/>
          <w:szCs w:val="21"/>
          <w14:textFill>
            <w14:solidFill>
              <w14:schemeClr w14:val="tx1"/>
            </w14:solidFill>
          </w14:textFill>
        </w:rPr>
        <w:t>需在中标后向</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订购］。</w:t>
      </w:r>
    </w:p>
    <w:p>
      <w:pPr>
        <w:snapToGrid w:val="0"/>
        <w:spacing w:before="156" w:beforeLines="50" w:line="34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4.我方诚意提请贵方关注：近期有关该型号产品的生产、供货、售后服务以及性能等方面的重大决策和事项有：</w:t>
      </w:r>
    </w:p>
    <w:p>
      <w:pPr>
        <w:snapToGrid w:val="0"/>
        <w:spacing w:before="156" w:beforeLines="50" w:line="340" w:lineRule="exact"/>
        <w:ind w:firstLine="420" w:firstLineChars="200"/>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u w:val="single"/>
          <w14:textFill>
            <w14:solidFill>
              <w14:schemeClr w14:val="tx1"/>
            </w14:solidFill>
          </w14:textFill>
        </w:rPr>
        <w:t>　　　　　　　　　　　　　　　　　　　　　　　　　　　</w:t>
      </w:r>
    </w:p>
    <w:p>
      <w:pPr>
        <w:snapToGrid w:val="0"/>
        <w:spacing w:before="156" w:beforeLines="50" w:line="34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u w:val="single"/>
          <w14:textFill>
            <w14:solidFill>
              <w14:schemeClr w14:val="tx1"/>
            </w14:solidFill>
          </w14:textFill>
        </w:rPr>
        <w:t>　　　　　　　　　　　　　　　　　　　　　　　　　　　</w:t>
      </w:r>
    </w:p>
    <w:p>
      <w:pPr>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5.我方参加政府采购活动前三年内在经营活动中重大违法记录和不良信用记录情况：</w:t>
      </w:r>
    </w:p>
    <w:p>
      <w:pPr>
        <w:snapToGrid w:val="0"/>
        <w:spacing w:before="156" w:beforeLines="50" w:line="340" w:lineRule="exact"/>
        <w:ind w:firstLine="421" w:firstLineChars="200"/>
        <w:rPr>
          <w:rFonts w:hint="eastAsia" w:ascii="宋体" w:hAnsi="宋体" w:cs="宋体"/>
          <w:color w:val="000000" w:themeColor="text1"/>
          <w:szCs w:val="21"/>
          <w:u w:val="single"/>
          <w14:textFill>
            <w14:solidFill>
              <w14:schemeClr w14:val="tx1"/>
            </w14:solidFill>
          </w14:textFill>
        </w:rPr>
      </w:pPr>
      <w:r>
        <w:rPr>
          <w:rFonts w:hint="eastAsia" w:ascii="宋体" w:hAnsi="宋体" w:cs="宋体"/>
          <w:b/>
          <w:color w:val="000000" w:themeColor="text1"/>
          <w:szCs w:val="21"/>
          <w:u w:val="single"/>
          <w14:textFill>
            <w14:solidFill>
              <w14:schemeClr w14:val="tx1"/>
            </w14:solidFill>
          </w14:textFill>
        </w:rPr>
        <w:t>　　　　　　</w:t>
      </w:r>
      <w:r>
        <w:rPr>
          <w:rFonts w:hint="eastAsia" w:ascii="宋体" w:hAnsi="宋体" w:cs="宋体"/>
          <w:color w:val="000000" w:themeColor="text1"/>
          <w:szCs w:val="21"/>
          <w:u w:val="single"/>
          <w14:textFill>
            <w14:solidFill>
              <w14:schemeClr w14:val="tx1"/>
            </w14:solidFill>
          </w14:textFill>
        </w:rPr>
        <w:t>　　　　　　　　　　　　　　　　　　　　　</w:t>
      </w:r>
    </w:p>
    <w:p>
      <w:pPr>
        <w:snapToGrid w:val="0"/>
        <w:spacing w:before="156" w:beforeLines="50" w:line="34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6.以上事项如有虚假或隐瞒，我方愿意承担一切后果。</w:t>
      </w:r>
    </w:p>
    <w:p>
      <w:pPr>
        <w:snapToGrid w:val="0"/>
        <w:spacing w:before="156" w:beforeLines="50" w:line="340" w:lineRule="exact"/>
        <w:ind w:firstLine="420" w:firstLineChars="200"/>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法定代表人或委托代理人签字或签章：</w:t>
      </w:r>
      <w:r>
        <w:rPr>
          <w:rFonts w:hint="eastAsia" w:ascii="宋体" w:hAnsi="宋体" w:cs="宋体"/>
          <w:color w:val="000000" w:themeColor="text1"/>
          <w:szCs w:val="21"/>
          <w:u w:val="single"/>
          <w14:textFill>
            <w14:solidFill>
              <w14:schemeClr w14:val="tx1"/>
            </w14:solidFill>
          </w14:textFill>
        </w:rPr>
        <w:t xml:space="preserve">             </w:t>
      </w:r>
    </w:p>
    <w:p>
      <w:pPr>
        <w:snapToGrid w:val="0"/>
        <w:spacing w:before="156" w:beforeLines="50" w:after="50" w:line="34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投标人公章：</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w:t>
      </w:r>
    </w:p>
    <w:p>
      <w:pPr>
        <w:snapToGrid w:val="0"/>
        <w:spacing w:before="156" w:beforeLines="50" w:after="50" w:line="34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年    月    日</w:t>
      </w:r>
    </w:p>
    <w:p>
      <w:pPr>
        <w:widowControl/>
        <w:spacing w:before="100" w:beforeAutospacing="1" w:after="100" w:afterAutospacing="1" w:line="432" w:lineRule="auto"/>
        <w:ind w:firstLine="421" w:firstLineChars="200"/>
        <w:jc w:val="left"/>
        <w:rPr>
          <w:rFonts w:hint="eastAsia" w:ascii="宋体" w:hAnsi="宋体" w:cs="宋体"/>
          <w:b/>
          <w:color w:val="000000" w:themeColor="text1"/>
          <w:szCs w:val="21"/>
          <w:u w:val="single"/>
          <w14:textFill>
            <w14:solidFill>
              <w14:schemeClr w14:val="tx1"/>
            </w14:solidFill>
          </w14:textFill>
        </w:rPr>
      </w:pPr>
      <w:r>
        <w:rPr>
          <w:rFonts w:hint="eastAsia" w:ascii="宋体" w:hAnsi="宋体" w:cs="宋体"/>
          <w:b/>
          <w:color w:val="000000" w:themeColor="text1"/>
          <w:szCs w:val="21"/>
          <w:u w:val="single"/>
          <w14:textFill>
            <w14:solidFill>
              <w14:schemeClr w14:val="tx1"/>
            </w14:solidFill>
          </w14:textFill>
        </w:rPr>
        <w:t>（重大违法记录，是指供应商因违法经营受到刑事处罚或者责令停产停业、吊销许可证或者执照、较大数额罚款等行政处罚。）</w:t>
      </w:r>
    </w:p>
    <w:p>
      <w:pPr>
        <w:snapToGrid w:val="0"/>
        <w:spacing w:before="50" w:after="156" w:afterLines="50" w:line="340" w:lineRule="exact"/>
        <w:jc w:val="left"/>
        <w:rPr>
          <w:rFonts w:hint="eastAsia" w:ascii="宋体" w:hAnsi="宋体" w:cs="宋体"/>
          <w:b/>
          <w:color w:val="000000" w:themeColor="text1"/>
          <w:szCs w:val="21"/>
          <w14:textFill>
            <w14:solidFill>
              <w14:schemeClr w14:val="tx1"/>
            </w14:solidFill>
          </w14:textFill>
        </w:rPr>
      </w:pPr>
    </w:p>
    <w:p>
      <w:pPr>
        <w:snapToGrid w:val="0"/>
        <w:spacing w:before="50" w:after="156" w:afterLines="50" w:line="340" w:lineRule="exact"/>
        <w:ind w:firstLine="421"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（3）法定代表人授权委托书格式：</w:t>
      </w:r>
    </w:p>
    <w:p>
      <w:pPr>
        <w:pStyle w:val="51"/>
        <w:ind w:firstLine="0" w:firstLineChars="0"/>
        <w:rPr>
          <w:color w:val="000000" w:themeColor="text1"/>
          <w14:textFill>
            <w14:solidFill>
              <w14:schemeClr w14:val="tx1"/>
            </w14:solidFill>
          </w14:textFill>
        </w:rPr>
      </w:pPr>
    </w:p>
    <w:p>
      <w:pPr>
        <w:snapToGrid w:val="0"/>
        <w:spacing w:before="156" w:beforeLines="50" w:after="50" w:line="340" w:lineRule="exact"/>
        <w:jc w:val="center"/>
        <w:rPr>
          <w:rFonts w:hint="eastAsia" w:ascii="宋体" w:hAnsi="宋体" w:cs="宋体"/>
          <w:b/>
          <w:color w:val="000000" w:themeColor="text1"/>
          <w:sz w:val="30"/>
          <w:szCs w:val="30"/>
          <w14:textFill>
            <w14:solidFill>
              <w14:schemeClr w14:val="tx1"/>
            </w14:solidFill>
          </w14:textFill>
        </w:rPr>
      </w:pPr>
      <w:r>
        <w:rPr>
          <w:rFonts w:hint="eastAsia" w:ascii="宋体" w:hAnsi="宋体" w:cs="宋体"/>
          <w:b/>
          <w:color w:val="000000" w:themeColor="text1"/>
          <w:sz w:val="30"/>
          <w:szCs w:val="30"/>
          <w14:textFill>
            <w14:solidFill>
              <w14:schemeClr w14:val="tx1"/>
            </w14:solidFill>
          </w14:textFill>
        </w:rPr>
        <w:t>法定代表人授权委托书</w:t>
      </w:r>
    </w:p>
    <w:p>
      <w:pPr>
        <w:snapToGrid w:val="0"/>
        <w:spacing w:before="156" w:beforeLines="50" w:after="50" w:line="480" w:lineRule="auto"/>
        <w:rPr>
          <w:rFonts w:hint="eastAsia" w:ascii="宋体" w:hAnsi="宋体" w:cs="宋体"/>
          <w:b/>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致：</w:t>
      </w:r>
      <w:r>
        <w:rPr>
          <w:rFonts w:hint="eastAsia" w:ascii="宋体" w:hAnsi="宋体" w:cs="宋体"/>
          <w:color w:val="000000" w:themeColor="text1"/>
          <w:u w:val="single"/>
          <w14:textFill>
            <w14:solidFill>
              <w14:schemeClr w14:val="tx1"/>
            </w14:solidFill>
          </w14:textFill>
        </w:rPr>
        <w:t>广西壮族自治区政府采购中心</w:t>
      </w:r>
      <w:r>
        <w:rPr>
          <w:rFonts w:hint="eastAsia" w:ascii="宋体" w:hAnsi="宋体" w:cs="宋体"/>
          <w:color w:val="000000" w:themeColor="text1"/>
          <w:szCs w:val="21"/>
          <w14:textFill>
            <w14:solidFill>
              <w14:schemeClr w14:val="tx1"/>
            </w14:solidFill>
          </w14:textFill>
        </w:rPr>
        <w:t>：</w:t>
      </w:r>
    </w:p>
    <w:p>
      <w:pPr>
        <w:snapToGrid w:val="0"/>
        <w:spacing w:before="156" w:beforeLines="50" w:after="50" w:line="48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我</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（姓名）系</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（投标人名称）的法定代表人，现授权委托本单位在职职工</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（姓名）以我方的名义参加</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项目的投标活动，并代表我方全权办理针对上述项目的投标、开标、评标、签约等具体事务和签署相关文件。</w:t>
      </w:r>
    </w:p>
    <w:p>
      <w:pPr>
        <w:snapToGrid w:val="0"/>
        <w:spacing w:before="156" w:beforeLines="50" w:after="50" w:line="48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我方对被授权人的签名事项负全部责任。</w:t>
      </w:r>
    </w:p>
    <w:p>
      <w:pPr>
        <w:snapToGrid w:val="0"/>
        <w:spacing w:before="156" w:beforeLines="50" w:after="50" w:line="48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u w:val="single"/>
          <w14:textFill>
            <w14:solidFill>
              <w14:schemeClr w14:val="tx1"/>
            </w14:solidFill>
          </w14:textFill>
        </w:rPr>
        <w:t>在撤销授权的书面通知以前，本授权书一直有效。</w:t>
      </w:r>
      <w:r>
        <w:rPr>
          <w:rFonts w:hint="eastAsia" w:ascii="宋体" w:hAnsi="宋体" w:cs="宋体"/>
          <w:color w:val="000000" w:themeColor="text1"/>
          <w:szCs w:val="21"/>
          <w14:textFill>
            <w14:solidFill>
              <w14:schemeClr w14:val="tx1"/>
            </w14:solidFill>
          </w14:textFill>
        </w:rPr>
        <w:t>被授权人在授权书有效期内签署的所有文件不因授权的撤销而失效。</w:t>
      </w:r>
    </w:p>
    <w:p>
      <w:pPr>
        <w:snapToGrid w:val="0"/>
        <w:spacing w:before="156" w:beforeLines="50" w:after="50" w:line="48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被授权人无转委托权，特此委托。</w:t>
      </w:r>
    </w:p>
    <w:p>
      <w:pPr>
        <w:snapToGrid w:val="0"/>
        <w:spacing w:before="156" w:beforeLines="50" w:after="50" w:line="480" w:lineRule="auto"/>
        <w:ind w:firstLine="420" w:firstLineChars="200"/>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被授权人签名：</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法定代表人签字（或签章）：</w:t>
      </w:r>
      <w:r>
        <w:rPr>
          <w:rFonts w:hint="eastAsia" w:ascii="宋体" w:hAnsi="宋体" w:cs="宋体"/>
          <w:color w:val="000000" w:themeColor="text1"/>
          <w:szCs w:val="21"/>
          <w:u w:val="single"/>
          <w14:textFill>
            <w14:solidFill>
              <w14:schemeClr w14:val="tx1"/>
            </w14:solidFill>
          </w14:textFill>
        </w:rPr>
        <w:t xml:space="preserve">          </w:t>
      </w:r>
    </w:p>
    <w:p>
      <w:pPr>
        <w:snapToGrid w:val="0"/>
        <w:spacing w:before="156" w:beforeLines="50" w:after="50" w:line="48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所在部门职务：</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职务：</w:t>
      </w:r>
      <w:r>
        <w:rPr>
          <w:rFonts w:hint="eastAsia" w:ascii="宋体" w:hAnsi="宋体" w:cs="宋体"/>
          <w:color w:val="000000" w:themeColor="text1"/>
          <w:szCs w:val="21"/>
          <w:u w:val="single"/>
          <w14:textFill>
            <w14:solidFill>
              <w14:schemeClr w14:val="tx1"/>
            </w14:solidFill>
          </w14:textFill>
        </w:rPr>
        <w:t xml:space="preserve">           </w:t>
      </w:r>
    </w:p>
    <w:p>
      <w:pPr>
        <w:snapToGrid w:val="0"/>
        <w:spacing w:before="156" w:beforeLines="50" w:after="50" w:line="48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被授权人身份证号码：</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w:t>
      </w:r>
    </w:p>
    <w:p>
      <w:pPr>
        <w:snapToGrid w:val="0"/>
        <w:spacing w:before="156" w:beforeLines="50" w:after="50" w:line="48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贴附“委托代理人身份证复印件”（正反两面）</w:t>
      </w:r>
    </w:p>
    <w:p>
      <w:pPr>
        <w:snapToGrid w:val="0"/>
        <w:spacing w:before="156" w:beforeLines="50" w:after="50" w:line="480" w:lineRule="auto"/>
        <w:rPr>
          <w:rFonts w:hint="eastAsia" w:ascii="宋体" w:hAnsi="宋体" w:cs="宋体"/>
          <w:color w:val="000000" w:themeColor="text1"/>
          <w:szCs w:val="21"/>
          <w14:textFill>
            <w14:solidFill>
              <w14:schemeClr w14:val="tx1"/>
            </w14:solidFill>
          </w14:textFill>
        </w:rPr>
      </w:pPr>
    </w:p>
    <w:p>
      <w:pPr>
        <w:snapToGrid w:val="0"/>
        <w:spacing w:before="156" w:beforeLines="50" w:after="50" w:line="480" w:lineRule="auto"/>
        <w:rPr>
          <w:rFonts w:hint="eastAsia" w:ascii="宋体" w:hAnsi="宋体" w:cs="宋体"/>
          <w:color w:val="000000" w:themeColor="text1"/>
          <w:szCs w:val="21"/>
          <w14:textFill>
            <w14:solidFill>
              <w14:schemeClr w14:val="tx1"/>
            </w14:solidFill>
          </w14:textFill>
        </w:rPr>
      </w:pPr>
    </w:p>
    <w:p>
      <w:pPr>
        <w:snapToGrid w:val="0"/>
        <w:spacing w:before="156" w:beforeLines="50" w:after="50" w:line="48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投标人公章：</w:t>
      </w:r>
    </w:p>
    <w:p>
      <w:pPr>
        <w:snapToGrid w:val="0"/>
        <w:spacing w:before="156" w:beforeLines="50" w:after="50" w:line="480" w:lineRule="auto"/>
        <w:ind w:firstLine="420" w:firstLineChars="20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年    月    日</w:t>
      </w:r>
    </w:p>
    <w:p>
      <w:pPr>
        <w:snapToGrid w:val="0"/>
        <w:spacing w:before="312" w:beforeLines="100" w:after="312" w:afterLines="100" w:line="360" w:lineRule="exact"/>
        <w:ind w:firstLine="413" w:firstLineChars="196"/>
        <w:jc w:val="left"/>
        <w:rPr>
          <w:rFonts w:hint="eastAsia" w:ascii="宋体" w:hAnsi="宋体" w:cs="宋体"/>
          <w:b/>
          <w:color w:val="000000" w:themeColor="text1"/>
          <w:szCs w:val="21"/>
          <w14:textFill>
            <w14:solidFill>
              <w14:schemeClr w14:val="tx1"/>
            </w14:solidFill>
          </w14:textFill>
        </w:rPr>
      </w:pPr>
    </w:p>
    <w:p>
      <w:pPr>
        <w:pStyle w:val="51"/>
        <w:ind w:firstLine="240"/>
        <w:rPr>
          <w:color w:val="000000" w:themeColor="text1"/>
          <w14:textFill>
            <w14:solidFill>
              <w14:schemeClr w14:val="tx1"/>
            </w14:solidFill>
          </w14:textFill>
        </w:rPr>
      </w:pPr>
    </w:p>
    <w:p>
      <w:pPr>
        <w:snapToGrid w:val="0"/>
        <w:spacing w:line="380" w:lineRule="exact"/>
        <w:ind w:firstLine="420" w:firstLineChars="200"/>
        <w:jc w:val="left"/>
        <w:rPr>
          <w:rFonts w:hint="eastAsia" w:ascii="宋体" w:hAnsi="宋体" w:cs="宋体"/>
          <w:bCs/>
          <w:color w:val="000000" w:themeColor="text1"/>
          <w:szCs w:val="21"/>
          <w14:textFill>
            <w14:solidFill>
              <w14:schemeClr w14:val="tx1"/>
            </w14:solidFill>
          </w14:textFill>
        </w:rPr>
      </w:pPr>
    </w:p>
    <w:p>
      <w:pPr>
        <w:snapToGrid w:val="0"/>
        <w:spacing w:line="380" w:lineRule="exact"/>
        <w:ind w:firstLine="420" w:firstLineChars="200"/>
        <w:jc w:val="left"/>
        <w:rPr>
          <w:rFonts w:hint="eastAsia" w:ascii="宋体" w:hAnsi="宋体" w:cs="宋体"/>
          <w:bCs/>
          <w:color w:val="000000" w:themeColor="text1"/>
          <w:szCs w:val="21"/>
          <w14:textFill>
            <w14:solidFill>
              <w14:schemeClr w14:val="tx1"/>
            </w14:solidFill>
          </w14:textFill>
        </w:rPr>
      </w:pPr>
    </w:p>
    <w:p>
      <w:pPr>
        <w:snapToGrid w:val="0"/>
        <w:spacing w:line="380" w:lineRule="exact"/>
        <w:ind w:firstLine="420"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（4）投标截止之日前半年内投标人连续三个月的依法缴纳税费或依法免缴税费的证明</w:t>
      </w:r>
      <w:r>
        <w:rPr>
          <w:rFonts w:hint="eastAsia" w:ascii="宋体" w:hAnsi="宋体" w:cs="宋体"/>
          <w:b/>
          <w:color w:val="000000" w:themeColor="text1"/>
          <w:szCs w:val="21"/>
          <w14:textFill>
            <w14:solidFill>
              <w14:schemeClr w14:val="tx1"/>
            </w14:solidFill>
          </w14:textFill>
        </w:rPr>
        <w:t>（扫描件或其他电子文件，格式自拟，必须提供）</w:t>
      </w:r>
      <w:r>
        <w:rPr>
          <w:rFonts w:hint="eastAsia" w:ascii="宋体" w:hAnsi="宋体" w:cs="宋体"/>
          <w:bCs/>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无纳税记录的，应提供由投标人所在地主管国税或地税部门出具的《依法纳税或依法免税证明》</w:t>
      </w:r>
      <w:r>
        <w:rPr>
          <w:rFonts w:hint="eastAsia" w:ascii="宋体" w:hAnsi="宋体" w:cs="宋体"/>
          <w:b/>
          <w:bCs/>
          <w:color w:val="000000" w:themeColor="text1"/>
          <w:szCs w:val="21"/>
          <w14:textFill>
            <w14:solidFill>
              <w14:schemeClr w14:val="tx1"/>
            </w14:solidFill>
          </w14:textFill>
        </w:rPr>
        <w:t>（格式自拟，扫描件或其他电子文件）</w:t>
      </w:r>
      <w:r>
        <w:rPr>
          <w:rFonts w:hint="eastAsia" w:ascii="宋体" w:hAnsi="宋体" w:cs="宋体"/>
          <w:color w:val="000000" w:themeColor="text1"/>
          <w:szCs w:val="21"/>
          <w14:textFill>
            <w14:solidFill>
              <w14:schemeClr w14:val="tx1"/>
            </w14:solidFill>
          </w14:textFill>
        </w:rPr>
        <w:t>。</w:t>
      </w:r>
    </w:p>
    <w:p>
      <w:pPr>
        <w:snapToGrid w:val="0"/>
        <w:spacing w:line="380" w:lineRule="exact"/>
        <w:ind w:firstLine="420"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（5）投标截止之日前半年内投标人连续三个月的依法缴纳社保费的缴费凭证</w:t>
      </w:r>
      <w:r>
        <w:rPr>
          <w:rFonts w:hint="eastAsia" w:ascii="宋体" w:hAnsi="宋体" w:cs="宋体"/>
          <w:b/>
          <w:bCs/>
          <w:color w:val="000000" w:themeColor="text1"/>
          <w:szCs w:val="21"/>
          <w14:textFill>
            <w14:solidFill>
              <w14:schemeClr w14:val="tx1"/>
            </w14:solidFill>
          </w14:textFill>
        </w:rPr>
        <w:t>（扫</w:t>
      </w:r>
      <w:r>
        <w:rPr>
          <w:rFonts w:hint="eastAsia" w:ascii="宋体" w:hAnsi="宋体" w:cs="宋体"/>
          <w:b/>
          <w:color w:val="000000" w:themeColor="text1"/>
          <w:szCs w:val="21"/>
          <w14:textFill>
            <w14:solidFill>
              <w14:schemeClr w14:val="tx1"/>
            </w14:solidFill>
          </w14:textFill>
        </w:rPr>
        <w:t>描件或其他电子文件，格式自拟，必须提供）；</w:t>
      </w:r>
      <w:r>
        <w:rPr>
          <w:rFonts w:hint="eastAsia" w:ascii="宋体" w:hAnsi="宋体" w:cs="宋体"/>
          <w:color w:val="000000" w:themeColor="text1"/>
          <w:szCs w:val="21"/>
          <w14:textFill>
            <w14:solidFill>
              <w14:schemeClr w14:val="tx1"/>
            </w14:solidFill>
          </w14:textFill>
        </w:rPr>
        <w:t>无缴费记录的，应提供由投标人所在地社保部门出具的《依法缴纳或依法免缴社保费证明》</w:t>
      </w:r>
      <w:r>
        <w:rPr>
          <w:rFonts w:hint="eastAsia" w:ascii="宋体" w:hAnsi="宋体" w:cs="宋体"/>
          <w:b/>
          <w:bCs/>
          <w:color w:val="000000" w:themeColor="text1"/>
          <w:szCs w:val="21"/>
          <w14:textFill>
            <w14:solidFill>
              <w14:schemeClr w14:val="tx1"/>
            </w14:solidFill>
          </w14:textFill>
        </w:rPr>
        <w:t>（格式自拟，扫描件或其他电子文件）</w:t>
      </w:r>
      <w:r>
        <w:rPr>
          <w:rFonts w:hint="eastAsia" w:ascii="宋体" w:hAnsi="宋体" w:cs="宋体"/>
          <w:color w:val="000000" w:themeColor="text1"/>
          <w:szCs w:val="21"/>
          <w14:textFill>
            <w14:solidFill>
              <w14:schemeClr w14:val="tx1"/>
            </w14:solidFill>
          </w14:textFill>
        </w:rPr>
        <w:t>。</w:t>
      </w:r>
    </w:p>
    <w:p>
      <w:pPr>
        <w:snapToGrid w:val="0"/>
        <w:spacing w:line="380" w:lineRule="exact"/>
        <w:ind w:firstLine="420"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（6）财务状况报告</w:t>
      </w:r>
      <w:r>
        <w:rPr>
          <w:rFonts w:hint="eastAsia" w:ascii="宋体" w:hAnsi="宋体" w:cs="宋体"/>
          <w:b/>
          <w:color w:val="000000" w:themeColor="text1"/>
          <w:szCs w:val="21"/>
          <w14:textFill>
            <w14:solidFill>
              <w14:schemeClr w14:val="tx1"/>
            </w14:solidFill>
          </w14:textFill>
        </w:rPr>
        <w:t>（格式自拟，必须提供）</w:t>
      </w:r>
      <w:r>
        <w:rPr>
          <w:rFonts w:hint="eastAsia" w:ascii="宋体" w:hAnsi="宋体" w:cs="宋体"/>
          <w:bCs/>
          <w:color w:val="000000" w:themeColor="text1"/>
          <w:szCs w:val="21"/>
          <w14:textFill>
            <w14:solidFill>
              <w14:schemeClr w14:val="tx1"/>
            </w14:solidFill>
          </w14:textFill>
        </w:rPr>
        <w:t>；</w:t>
      </w:r>
    </w:p>
    <w:p>
      <w:pPr>
        <w:snapToGrid w:val="0"/>
        <w:spacing w:line="38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（7）</w:t>
      </w:r>
      <w:r>
        <w:rPr>
          <w:rFonts w:hint="eastAsia" w:ascii="宋体" w:hAnsi="宋体" w:cs="宋体"/>
          <w:bCs/>
          <w:color w:val="000000" w:themeColor="text1"/>
          <w:szCs w:val="21"/>
          <w14:textFill>
            <w14:solidFill>
              <w14:schemeClr w14:val="tx1"/>
            </w14:solidFill>
          </w14:textFill>
        </w:rPr>
        <w:t>具备履行合同所必需的设备和专业技术能力的证明材料</w:t>
      </w:r>
      <w:r>
        <w:rPr>
          <w:rFonts w:hint="eastAsia" w:ascii="宋体" w:hAnsi="宋体" w:cs="宋体"/>
          <w:b/>
          <w:color w:val="000000" w:themeColor="text1"/>
          <w:szCs w:val="21"/>
          <w14:textFill>
            <w14:solidFill>
              <w14:schemeClr w14:val="tx1"/>
            </w14:solidFill>
          </w14:textFill>
        </w:rPr>
        <w:t>（内容、格式自拟，必须提供）</w:t>
      </w:r>
      <w:r>
        <w:rPr>
          <w:rFonts w:hint="eastAsia" w:ascii="宋体" w:hAnsi="宋体" w:cs="宋体"/>
          <w:bCs/>
          <w:color w:val="000000" w:themeColor="text1"/>
          <w:kern w:val="0"/>
          <w:szCs w:val="21"/>
          <w14:textFill>
            <w14:solidFill>
              <w14:schemeClr w14:val="tx1"/>
            </w14:solidFill>
          </w14:textFill>
        </w:rPr>
        <w:t>；</w:t>
      </w:r>
    </w:p>
    <w:p>
      <w:pPr>
        <w:snapToGrid w:val="0"/>
        <w:spacing w:before="50" w:line="380" w:lineRule="exact"/>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（8）商务响应表（格式见第六章，必须提供）；</w:t>
      </w:r>
    </w:p>
    <w:p>
      <w:pPr>
        <w:snapToGrid w:val="0"/>
        <w:spacing w:before="50" w:line="380" w:lineRule="exact"/>
        <w:jc w:val="center"/>
        <w:rPr>
          <w:rFonts w:hint="eastAsia" w:ascii="宋体" w:hAnsi="宋体" w:cs="宋体"/>
          <w:color w:val="000000" w:themeColor="text1"/>
          <w:szCs w:val="21"/>
          <w:u w:val="single"/>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商务响应表</w:t>
      </w: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2955"/>
        <w:gridCol w:w="2625"/>
        <w:gridCol w:w="23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48" w:type="dxa"/>
            <w:tcBorders>
              <w:top w:val="single" w:color="auto" w:sz="4" w:space="0"/>
              <w:left w:val="single" w:color="auto" w:sz="4" w:space="0"/>
              <w:bottom w:val="single" w:color="auto" w:sz="4" w:space="0"/>
              <w:right w:val="single" w:color="auto" w:sz="4" w:space="0"/>
            </w:tcBorders>
          </w:tcPr>
          <w:p>
            <w:pPr>
              <w:snapToGrid w:val="0"/>
              <w:spacing w:before="156" w:beforeLines="50" w:line="3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项号</w:t>
            </w:r>
          </w:p>
        </w:tc>
        <w:tc>
          <w:tcPr>
            <w:tcW w:w="2955" w:type="dxa"/>
            <w:tcBorders>
              <w:top w:val="single" w:color="auto" w:sz="4" w:space="0"/>
              <w:left w:val="single" w:color="auto" w:sz="4" w:space="0"/>
              <w:bottom w:val="single" w:color="auto" w:sz="4" w:space="0"/>
              <w:right w:val="single" w:color="auto" w:sz="4" w:space="0"/>
            </w:tcBorders>
          </w:tcPr>
          <w:p>
            <w:pPr>
              <w:snapToGrid w:val="0"/>
              <w:spacing w:before="156" w:beforeLines="50" w:line="3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招标文件要求</w:t>
            </w:r>
          </w:p>
        </w:tc>
        <w:tc>
          <w:tcPr>
            <w:tcW w:w="2625" w:type="dxa"/>
            <w:tcBorders>
              <w:top w:val="single" w:color="auto" w:sz="4" w:space="0"/>
              <w:left w:val="single" w:color="auto" w:sz="4" w:space="0"/>
              <w:bottom w:val="single" w:color="auto" w:sz="4" w:space="0"/>
              <w:right w:val="single" w:color="auto" w:sz="4" w:space="0"/>
            </w:tcBorders>
          </w:tcPr>
          <w:p>
            <w:pPr>
              <w:snapToGrid w:val="0"/>
              <w:spacing w:before="156" w:beforeLines="50" w:line="3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是否提供并响应</w:t>
            </w:r>
          </w:p>
        </w:tc>
        <w:tc>
          <w:tcPr>
            <w:tcW w:w="2340" w:type="dxa"/>
            <w:tcBorders>
              <w:top w:val="single" w:color="auto" w:sz="4" w:space="0"/>
              <w:left w:val="single" w:color="auto" w:sz="4" w:space="0"/>
              <w:bottom w:val="single" w:color="auto" w:sz="4" w:space="0"/>
              <w:right w:val="single" w:color="auto" w:sz="4" w:space="0"/>
            </w:tcBorders>
          </w:tcPr>
          <w:p>
            <w:pPr>
              <w:snapToGrid w:val="0"/>
              <w:spacing w:before="156" w:beforeLines="50" w:line="3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95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交付使用时间</w:t>
            </w:r>
            <w:r>
              <w:rPr>
                <w:rFonts w:hint="eastAsia" w:ascii="宋体" w:hAnsi="宋体" w:cs="宋体"/>
                <w:color w:val="000000" w:themeColor="text1"/>
                <w:kern w:val="0"/>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w:t>
            </w: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ind w:firstLine="315" w:firstLineChars="150"/>
              <w:rPr>
                <w:rFonts w:hint="eastAsia" w:ascii="宋体" w:hAnsi="宋体" w:cs="宋体"/>
                <w:color w:val="000000" w:themeColor="text1"/>
                <w:szCs w:val="21"/>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hint="eastAsia"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w:t>
            </w:r>
          </w:p>
        </w:tc>
        <w:tc>
          <w:tcPr>
            <w:tcW w:w="295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交货地点：</w:t>
            </w:r>
            <w:r>
              <w:rPr>
                <w:rFonts w:hint="eastAsia" w:ascii="宋体" w:hAnsi="宋体" w:cs="宋体"/>
                <w:color w:val="000000" w:themeColor="text1"/>
                <w:szCs w:val="21"/>
                <w14:textFill>
                  <w14:solidFill>
                    <w14:schemeClr w14:val="tx1"/>
                  </w14:solidFill>
                </w14:textFill>
              </w:rPr>
              <w:t xml:space="preserve"> …</w:t>
            </w: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hint="eastAsia" w:ascii="宋体" w:hAnsi="宋体" w:cs="宋体"/>
                <w:color w:val="000000" w:themeColor="text1"/>
                <w:szCs w:val="21"/>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hint="eastAsia"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w:t>
            </w:r>
          </w:p>
        </w:tc>
        <w:tc>
          <w:tcPr>
            <w:tcW w:w="295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付款方式：</w:t>
            </w:r>
            <w:r>
              <w:rPr>
                <w:rFonts w:hint="eastAsia" w:ascii="宋体" w:hAnsi="宋体" w:cs="宋体"/>
                <w:color w:val="000000" w:themeColor="text1"/>
                <w:szCs w:val="21"/>
                <w14:textFill>
                  <w14:solidFill>
                    <w14:schemeClr w14:val="tx1"/>
                  </w14:solidFill>
                </w14:textFill>
              </w:rPr>
              <w:t>…</w:t>
            </w: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ind w:left="43"/>
              <w:rPr>
                <w:rFonts w:hint="eastAsia" w:ascii="宋体" w:hAnsi="宋体" w:cs="宋体"/>
                <w:color w:val="000000" w:themeColor="text1"/>
                <w:szCs w:val="21"/>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ind w:left="43"/>
              <w:rPr>
                <w:rFonts w:hint="eastAsia"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w:t>
            </w:r>
          </w:p>
        </w:tc>
        <w:tc>
          <w:tcPr>
            <w:tcW w:w="295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ind w:left="105" w:hanging="105" w:hangingChars="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质保期：</w:t>
            </w:r>
            <w:r>
              <w:rPr>
                <w:rFonts w:hint="eastAsia" w:ascii="宋体" w:hAnsi="宋体" w:cs="宋体"/>
                <w:color w:val="000000" w:themeColor="text1"/>
                <w:szCs w:val="21"/>
                <w14:textFill>
                  <w14:solidFill>
                    <w14:schemeClr w14:val="tx1"/>
                  </w14:solidFill>
                </w14:textFill>
              </w:rPr>
              <w:t>…</w:t>
            </w: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hint="eastAsia" w:ascii="宋体" w:hAnsi="宋体" w:cs="宋体"/>
                <w:color w:val="000000" w:themeColor="text1"/>
                <w:szCs w:val="21"/>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hint="eastAsia"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c>
          <w:tcPr>
            <w:tcW w:w="295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hint="eastAsia" w:ascii="宋体" w:hAnsi="宋体" w:cs="宋体"/>
                <w:color w:val="000000" w:themeColor="text1"/>
                <w:szCs w:val="21"/>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hint="eastAsia" w:ascii="宋体" w:hAnsi="宋体" w:cs="宋体"/>
                <w:color w:val="000000" w:themeColor="text1"/>
                <w:szCs w:val="21"/>
                <w14:textFill>
                  <w14:solidFill>
                    <w14:schemeClr w14:val="tx1"/>
                  </w14:solidFill>
                </w14:textFill>
              </w:rPr>
            </w:pPr>
          </w:p>
        </w:tc>
      </w:tr>
    </w:tbl>
    <w:p>
      <w:pPr>
        <w:snapToGrid w:val="0"/>
        <w:spacing w:before="50" w:after="50" w:line="380" w:lineRule="exact"/>
        <w:rPr>
          <w:rFonts w:hint="eastAsia" w:ascii="宋体" w:hAnsi="宋体" w:cs="宋体"/>
          <w:color w:val="000000" w:themeColor="text1"/>
          <w:spacing w:val="20"/>
          <w:szCs w:val="21"/>
          <w14:textFill>
            <w14:solidFill>
              <w14:schemeClr w14:val="tx1"/>
            </w14:solidFill>
          </w14:textFill>
        </w:rPr>
      </w:pPr>
    </w:p>
    <w:p>
      <w:pPr>
        <w:snapToGrid w:val="0"/>
        <w:spacing w:before="50" w:after="50" w:line="380" w:lineRule="exact"/>
        <w:ind w:firstLine="420" w:firstLineChars="200"/>
        <w:rPr>
          <w:rFonts w:hint="eastAsia" w:ascii="宋体" w:hAnsi="宋体" w:cs="宋体"/>
          <w:color w:val="000000" w:themeColor="text1"/>
          <w:spacing w:val="20"/>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法定代表人或委托代理人签字或签章</w:t>
      </w:r>
      <w:r>
        <w:rPr>
          <w:rFonts w:hint="eastAsia" w:ascii="宋体" w:hAnsi="宋体" w:cs="宋体"/>
          <w:color w:val="000000" w:themeColor="text1"/>
          <w:spacing w:val="20"/>
          <w:szCs w:val="21"/>
          <w14:textFill>
            <w14:solidFill>
              <w14:schemeClr w14:val="tx1"/>
            </w14:solidFill>
          </w14:textFill>
        </w:rPr>
        <w:t>：</w:t>
      </w:r>
      <w:r>
        <w:rPr>
          <w:rFonts w:hint="eastAsia" w:ascii="宋体" w:hAnsi="宋体" w:cs="宋体"/>
          <w:color w:val="000000" w:themeColor="text1"/>
          <w:spacing w:val="20"/>
          <w:szCs w:val="21"/>
          <w:u w:val="single"/>
          <w14:textFill>
            <w14:solidFill>
              <w14:schemeClr w14:val="tx1"/>
            </w14:solidFill>
          </w14:textFill>
        </w:rPr>
        <w:t xml:space="preserve">        </w:t>
      </w:r>
    </w:p>
    <w:p>
      <w:pPr>
        <w:snapToGrid w:val="0"/>
        <w:spacing w:line="380" w:lineRule="exact"/>
        <w:ind w:firstLine="245" w:firstLineChars="98"/>
        <w:jc w:val="left"/>
        <w:rPr>
          <w:rFonts w:hint="eastAsia" w:ascii="宋体" w:hAnsi="宋体" w:cs="宋体"/>
          <w:color w:val="000000" w:themeColor="text1"/>
          <w:spacing w:val="20"/>
          <w:szCs w:val="21"/>
          <w14:textFill>
            <w14:solidFill>
              <w14:schemeClr w14:val="tx1"/>
            </w14:solidFill>
          </w14:textFill>
        </w:rPr>
      </w:pPr>
    </w:p>
    <w:p>
      <w:pPr>
        <w:snapToGrid w:val="0"/>
        <w:spacing w:line="380" w:lineRule="exact"/>
        <w:ind w:firstLine="500"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pacing w:val="20"/>
          <w:szCs w:val="21"/>
          <w14:textFill>
            <w14:solidFill>
              <w14:schemeClr w14:val="tx1"/>
            </w14:solidFill>
          </w14:textFill>
        </w:rPr>
        <w:t>投标人盖章：</w:t>
      </w:r>
      <w:r>
        <w:rPr>
          <w:rFonts w:hint="eastAsia" w:ascii="宋体" w:hAnsi="宋体" w:cs="宋体"/>
          <w:color w:val="000000" w:themeColor="text1"/>
          <w:spacing w:val="20"/>
          <w:szCs w:val="21"/>
          <w:u w:val="single"/>
          <w14:textFill>
            <w14:solidFill>
              <w14:schemeClr w14:val="tx1"/>
            </w14:solidFill>
          </w14:textFill>
        </w:rPr>
        <w:t xml:space="preserve">            </w:t>
      </w:r>
      <w:r>
        <w:rPr>
          <w:rFonts w:hint="eastAsia" w:ascii="宋体" w:hAnsi="宋体" w:cs="宋体"/>
          <w:color w:val="000000" w:themeColor="text1"/>
          <w:spacing w:val="20"/>
          <w:szCs w:val="21"/>
          <w14:textFill>
            <w14:solidFill>
              <w14:schemeClr w14:val="tx1"/>
            </w14:solidFill>
          </w14:textFill>
        </w:rPr>
        <w:t xml:space="preserve">              日 期：</w:t>
      </w:r>
      <w:r>
        <w:rPr>
          <w:rFonts w:hint="eastAsia" w:ascii="宋体" w:hAnsi="宋体" w:cs="宋体"/>
          <w:color w:val="000000" w:themeColor="text1"/>
          <w:spacing w:val="20"/>
          <w:szCs w:val="21"/>
          <w:u w:val="single"/>
          <w14:textFill>
            <w14:solidFill>
              <w14:schemeClr w14:val="tx1"/>
            </w14:solidFill>
          </w14:textFill>
        </w:rPr>
        <w:t xml:space="preserve">          </w:t>
      </w:r>
    </w:p>
    <w:p>
      <w:pPr>
        <w:snapToGrid w:val="0"/>
        <w:spacing w:line="380" w:lineRule="exact"/>
        <w:ind w:firstLine="206" w:firstLineChars="98"/>
        <w:jc w:val="left"/>
        <w:rPr>
          <w:rFonts w:hint="eastAsia" w:ascii="宋体" w:hAnsi="宋体" w:cs="宋体"/>
          <w:b/>
          <w:color w:val="000000" w:themeColor="text1"/>
          <w:szCs w:val="21"/>
          <w14:textFill>
            <w14:solidFill>
              <w14:schemeClr w14:val="tx1"/>
            </w14:solidFill>
          </w14:textFill>
        </w:rPr>
      </w:pPr>
    </w:p>
    <w:p>
      <w:pPr>
        <w:snapToGrid w:val="0"/>
        <w:spacing w:line="380" w:lineRule="exact"/>
        <w:ind w:firstLine="420"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r>
        <w:rPr>
          <w:rFonts w:hint="eastAsia" w:ascii="宋体" w:hAnsi="宋体" w:cs="宋体"/>
          <w:b/>
          <w:bCs/>
          <w:color w:val="000000" w:themeColor="text1"/>
          <w:szCs w:val="21"/>
          <w14:textFill>
            <w14:solidFill>
              <w14:schemeClr w14:val="tx1"/>
            </w14:solidFill>
          </w14:textFill>
        </w:rPr>
        <w:t>（9）招标项目采购需求中要求必须提供的材料等</w:t>
      </w:r>
      <w:r>
        <w:rPr>
          <w:rFonts w:hint="eastAsia" w:ascii="宋体" w:hAnsi="宋体" w:cs="宋体"/>
          <w:b/>
          <w:color w:val="000000" w:themeColor="text1"/>
          <w:szCs w:val="21"/>
          <w14:textFill>
            <w14:solidFill>
              <w14:schemeClr w14:val="tx1"/>
            </w14:solidFill>
          </w14:textFill>
        </w:rPr>
        <w:t>；</w:t>
      </w:r>
    </w:p>
    <w:p>
      <w:pPr>
        <w:snapToGrid w:val="0"/>
        <w:spacing w:line="380" w:lineRule="exact"/>
        <w:ind w:firstLine="420"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（10）具备法律、行政法规规定的其他条件的证明材料</w:t>
      </w:r>
      <w:r>
        <w:rPr>
          <w:rFonts w:hint="eastAsia" w:ascii="宋体" w:hAnsi="宋体" w:cs="宋体"/>
          <w:b/>
          <w:color w:val="000000" w:themeColor="text1"/>
          <w:szCs w:val="21"/>
          <w14:textFill>
            <w14:solidFill>
              <w14:schemeClr w14:val="tx1"/>
            </w14:solidFill>
          </w14:textFill>
        </w:rPr>
        <w:t>（如有规定,则必须提供）。</w:t>
      </w:r>
    </w:p>
    <w:p>
      <w:pPr>
        <w:snapToGrid w:val="0"/>
        <w:spacing w:line="380" w:lineRule="exact"/>
        <w:ind w:firstLine="421"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 xml:space="preserve">可作为投标人资信评分的资质证明材料【（11）-（16）可选，如有，可提供】 </w:t>
      </w:r>
    </w:p>
    <w:p>
      <w:pPr>
        <w:snapToGrid w:val="0"/>
        <w:spacing w:line="38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（11）类似案例成功的业绩（投标人同类项目实施情况一览表、合同扫描件）；</w:t>
      </w:r>
    </w:p>
    <w:p>
      <w:pPr>
        <w:snapToGrid w:val="0"/>
        <w:spacing w:line="38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（12）其他特殊资质证书（如本地化服务能力等）；</w:t>
      </w:r>
    </w:p>
    <w:p>
      <w:pPr>
        <w:snapToGrid w:val="0"/>
        <w:spacing w:line="38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（13）节能环保产品或政府强制采购节能产品清单证书；</w:t>
      </w:r>
    </w:p>
    <w:p>
      <w:pPr>
        <w:snapToGrid w:val="0"/>
        <w:spacing w:line="38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（14）投标人质量管理和质量保证体系等方面的认证证书；</w:t>
      </w:r>
    </w:p>
    <w:p>
      <w:pPr>
        <w:snapToGrid w:val="0"/>
        <w:spacing w:line="38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（15）投标人认为可以证明其能力或业绩的其他材料；</w:t>
      </w:r>
    </w:p>
    <w:p>
      <w:pPr>
        <w:snapToGrid w:val="0"/>
        <w:spacing w:line="38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（16）投标人关于产品生产时间、升级或者更新淘汰计划、配件供应以及本单位债务纠纷、违法违规记录等方面的情况（内容见投标声明书）；</w:t>
      </w:r>
    </w:p>
    <w:p>
      <w:pPr>
        <w:snapToGrid w:val="0"/>
        <w:spacing w:before="312" w:beforeLines="100" w:after="312" w:afterLines="100" w:line="380" w:lineRule="exact"/>
        <w:ind w:firstLine="411" w:firstLineChars="196"/>
        <w:jc w:val="left"/>
        <w:rPr>
          <w:rFonts w:hint="eastAsia" w:ascii="宋体" w:hAnsi="宋体" w:cs="宋体"/>
          <w:color w:val="000000" w:themeColor="text1"/>
          <w:szCs w:val="21"/>
          <w14:textFill>
            <w14:solidFill>
              <w14:schemeClr w14:val="tx1"/>
            </w14:solidFill>
          </w14:textFill>
        </w:rPr>
      </w:pPr>
    </w:p>
    <w:p>
      <w:pPr>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br w:type="page"/>
      </w:r>
    </w:p>
    <w:p>
      <w:pPr>
        <w:snapToGrid w:val="0"/>
        <w:spacing w:line="360" w:lineRule="exact"/>
        <w:ind w:firstLine="421" w:firstLineChars="200"/>
        <w:jc w:val="left"/>
        <w:rPr>
          <w:rFonts w:hint="eastAsia" w:hAnsi="宋体"/>
          <w:b/>
          <w:bCs/>
          <w:color w:val="000000" w:themeColor="text1"/>
          <w:kern w:val="2"/>
          <w:sz w:val="21"/>
          <w:szCs w:val="21"/>
          <w14:textFill>
            <w14:solidFill>
              <w14:schemeClr w14:val="tx1"/>
            </w14:solidFill>
          </w14:textFill>
        </w:rPr>
      </w:pPr>
      <w:r>
        <w:rPr>
          <w:rFonts w:hint="eastAsia" w:hAnsi="宋体"/>
          <w:b/>
          <w:bCs/>
          <w:color w:val="000000" w:themeColor="text1"/>
          <w:kern w:val="2"/>
          <w:sz w:val="21"/>
          <w:szCs w:val="21"/>
          <w14:textFill>
            <w14:solidFill>
              <w14:schemeClr w14:val="tx1"/>
            </w14:solidFill>
          </w14:textFill>
        </w:rPr>
        <w:t>（17）关于符合本国产品标准的声明函格式：</w:t>
      </w:r>
    </w:p>
    <w:p>
      <w:pPr>
        <w:pStyle w:val="69"/>
        <w:spacing w:line="440" w:lineRule="exact"/>
        <w:rPr>
          <w:rFonts w:hint="eastAsia" w:hAnsi="宋体"/>
          <w:b/>
          <w:bCs/>
          <w:color w:val="000000" w:themeColor="text1"/>
          <w:kern w:val="2"/>
          <w:sz w:val="21"/>
          <w:szCs w:val="21"/>
          <w14:textFill>
            <w14:solidFill>
              <w14:schemeClr w14:val="tx1"/>
            </w14:solidFill>
          </w14:textFill>
        </w:rPr>
      </w:pPr>
    </w:p>
    <w:p>
      <w:pPr>
        <w:pStyle w:val="47"/>
        <w:shd w:val="clear" w:color="auto" w:fill="FFFFFF"/>
        <w:spacing w:before="30" w:beforeAutospacing="0" w:after="30" w:afterAutospacing="0"/>
        <w:jc w:val="center"/>
        <w:rPr>
          <w:rFonts w:hint="eastAsia" w:cs="宋体"/>
          <w:color w:val="000000" w:themeColor="text1"/>
          <w:sz w:val="28"/>
          <w:szCs w:val="28"/>
          <w14:textFill>
            <w14:solidFill>
              <w14:schemeClr w14:val="tx1"/>
            </w14:solidFill>
          </w14:textFill>
        </w:rPr>
      </w:pPr>
      <w:r>
        <w:rPr>
          <w:rStyle w:val="55"/>
          <w:rFonts w:hint="eastAsia" w:cs="宋体"/>
          <w:color w:val="000000" w:themeColor="text1"/>
          <w:sz w:val="28"/>
          <w:szCs w:val="28"/>
          <w:shd w:val="clear" w:color="auto" w:fill="FFFFFF"/>
          <w14:textFill>
            <w14:solidFill>
              <w14:schemeClr w14:val="tx1"/>
            </w14:solidFill>
          </w14:textFill>
        </w:rPr>
        <w:t>关于符合本国产品标准的声明函</w:t>
      </w:r>
    </w:p>
    <w:p>
      <w:pPr>
        <w:pStyle w:val="47"/>
        <w:shd w:val="clear" w:color="auto" w:fill="FFFFFF"/>
        <w:spacing w:before="30" w:beforeAutospacing="0" w:after="30" w:afterAutospacing="0"/>
        <w:ind w:firstLine="420"/>
        <w:rPr>
          <w:rFonts w:hint="eastAsia" w:cs="宋体"/>
          <w:color w:val="000000" w:themeColor="text1"/>
          <w:sz w:val="21"/>
          <w:szCs w:val="21"/>
          <w14:textFill>
            <w14:solidFill>
              <w14:schemeClr w14:val="tx1"/>
            </w14:solidFill>
          </w14:textFill>
        </w:rPr>
      </w:pPr>
    </w:p>
    <w:p>
      <w:pPr>
        <w:pStyle w:val="47"/>
        <w:shd w:val="clear" w:color="auto" w:fill="FFFFFF"/>
        <w:spacing w:before="30" w:beforeAutospacing="0" w:after="30" w:afterAutospacing="0"/>
        <w:ind w:firstLine="420" w:firstLineChars="200"/>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shd w:val="clear" w:color="auto" w:fill="FFFFFF"/>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pPr>
        <w:pStyle w:val="47"/>
        <w:shd w:val="clear" w:color="auto" w:fill="FFFFFF"/>
        <w:spacing w:before="30" w:beforeAutospacing="0" w:after="30" w:afterAutospacing="0"/>
        <w:ind w:firstLine="420" w:firstLineChars="200"/>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shd w:val="clear" w:color="auto" w:fill="FFFFFF"/>
          <w14:textFill>
            <w14:solidFill>
              <w14:schemeClr w14:val="tx1"/>
            </w14:solidFill>
          </w14:textFill>
        </w:rPr>
        <w:t>1.</w:t>
      </w:r>
      <w:r>
        <w:rPr>
          <w:rStyle w:val="58"/>
          <w:rFonts w:hint="eastAsia" w:cs="宋体"/>
          <w:color w:val="000000" w:themeColor="text1"/>
          <w:sz w:val="21"/>
          <w:szCs w:val="21"/>
          <w:shd w:val="clear" w:color="auto" w:fill="FFFFFF"/>
          <w14:textFill>
            <w14:solidFill>
              <w14:schemeClr w14:val="tx1"/>
            </w14:solidFill>
          </w14:textFill>
        </w:rPr>
        <w:t>（产品名称1）</w:t>
      </w:r>
      <w:r>
        <w:rPr>
          <w:rStyle w:val="58"/>
          <w:rFonts w:hint="eastAsia" w:cs="宋体"/>
          <w:color w:val="000000" w:themeColor="text1"/>
          <w:sz w:val="21"/>
          <w:szCs w:val="21"/>
          <w:shd w:val="clear" w:color="auto" w:fill="FFFFFF"/>
          <w:vertAlign w:val="superscript"/>
          <w14:textFill>
            <w14:solidFill>
              <w14:schemeClr w14:val="tx1"/>
            </w14:solidFill>
          </w14:textFill>
        </w:rPr>
        <w:t>1</w:t>
      </w:r>
      <w:r>
        <w:rPr>
          <w:rFonts w:hint="eastAsia" w:cs="宋体"/>
          <w:color w:val="000000" w:themeColor="text1"/>
          <w:sz w:val="21"/>
          <w:szCs w:val="21"/>
          <w:shd w:val="clear" w:color="auto" w:fill="FFFFFF"/>
          <w14:textFill>
            <w14:solidFill>
              <w14:schemeClr w14:val="tx1"/>
            </w14:solidFill>
          </w14:textFill>
        </w:rPr>
        <w:t>，生产厂为</w:t>
      </w:r>
      <w:r>
        <w:rPr>
          <w:rStyle w:val="58"/>
          <w:rFonts w:hint="eastAsia" w:cs="宋体"/>
          <w:color w:val="000000" w:themeColor="text1"/>
          <w:sz w:val="21"/>
          <w:szCs w:val="21"/>
          <w:shd w:val="clear" w:color="auto" w:fill="FFFFFF"/>
          <w14:textFill>
            <w14:solidFill>
              <w14:schemeClr w14:val="tx1"/>
            </w14:solidFill>
          </w14:textFill>
        </w:rPr>
        <w:t>（厂名）</w:t>
      </w:r>
      <w:r>
        <w:rPr>
          <w:rStyle w:val="58"/>
          <w:rFonts w:hint="eastAsia" w:cs="宋体"/>
          <w:color w:val="000000" w:themeColor="text1"/>
          <w:sz w:val="21"/>
          <w:szCs w:val="21"/>
          <w:shd w:val="clear" w:color="auto" w:fill="FFFFFF"/>
          <w:vertAlign w:val="superscript"/>
          <w14:textFill>
            <w14:solidFill>
              <w14:schemeClr w14:val="tx1"/>
            </w14:solidFill>
          </w14:textFill>
        </w:rPr>
        <w:t>2</w:t>
      </w:r>
      <w:r>
        <w:rPr>
          <w:rFonts w:hint="eastAsia" w:cs="宋体"/>
          <w:color w:val="000000" w:themeColor="text1"/>
          <w:sz w:val="21"/>
          <w:szCs w:val="21"/>
          <w:shd w:val="clear" w:color="auto" w:fill="FFFFFF"/>
          <w14:textFill>
            <w14:solidFill>
              <w14:schemeClr w14:val="tx1"/>
            </w14:solidFill>
          </w14:textFill>
        </w:rPr>
        <w:t>，厂址为</w:t>
      </w:r>
      <w:r>
        <w:rPr>
          <w:rStyle w:val="58"/>
          <w:rFonts w:hint="eastAsia" w:cs="宋体"/>
          <w:color w:val="000000" w:themeColor="text1"/>
          <w:sz w:val="21"/>
          <w:szCs w:val="21"/>
          <w:shd w:val="clear" w:color="auto" w:fill="FFFFFF"/>
          <w14:textFill>
            <w14:solidFill>
              <w14:schemeClr w14:val="tx1"/>
            </w14:solidFill>
          </w14:textFill>
        </w:rPr>
        <w:t>（生产厂址）</w:t>
      </w:r>
      <w:r>
        <w:rPr>
          <w:rFonts w:hint="eastAsia" w:cs="宋体"/>
          <w:color w:val="000000" w:themeColor="text1"/>
          <w:sz w:val="21"/>
          <w:szCs w:val="21"/>
          <w:shd w:val="clear" w:color="auto" w:fill="FFFFFF"/>
          <w14:textFill>
            <w14:solidFill>
              <w14:schemeClr w14:val="tx1"/>
            </w14:solidFill>
          </w14:textFill>
        </w:rPr>
        <w:t>。</w:t>
      </w:r>
    </w:p>
    <w:p>
      <w:pPr>
        <w:pStyle w:val="47"/>
        <w:shd w:val="clear" w:color="auto" w:fill="FFFFFF"/>
        <w:spacing w:before="30" w:beforeAutospacing="0" w:after="30" w:afterAutospacing="0"/>
        <w:ind w:firstLine="420" w:firstLineChars="200"/>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shd w:val="clear" w:color="auto" w:fill="FFFFFF"/>
          <w14:textFill>
            <w14:solidFill>
              <w14:schemeClr w14:val="tx1"/>
            </w14:solidFill>
          </w14:textFill>
        </w:rPr>
        <w:t>2.</w:t>
      </w:r>
      <w:r>
        <w:rPr>
          <w:rStyle w:val="58"/>
          <w:rFonts w:hint="eastAsia" w:cs="宋体"/>
          <w:color w:val="000000" w:themeColor="text1"/>
          <w:sz w:val="21"/>
          <w:szCs w:val="21"/>
          <w:shd w:val="clear" w:color="auto" w:fill="FFFFFF"/>
          <w14:textFill>
            <w14:solidFill>
              <w14:schemeClr w14:val="tx1"/>
            </w14:solidFill>
          </w14:textFill>
        </w:rPr>
        <w:t>（产品名称2）</w:t>
      </w:r>
      <w:r>
        <w:rPr>
          <w:rFonts w:hint="eastAsia" w:cs="宋体"/>
          <w:color w:val="000000" w:themeColor="text1"/>
          <w:sz w:val="21"/>
          <w:szCs w:val="21"/>
          <w:shd w:val="clear" w:color="auto" w:fill="FFFFFF"/>
          <w14:textFill>
            <w14:solidFill>
              <w14:schemeClr w14:val="tx1"/>
            </w14:solidFill>
          </w14:textFill>
        </w:rPr>
        <w:t>，生产厂为</w:t>
      </w:r>
      <w:r>
        <w:rPr>
          <w:rStyle w:val="58"/>
          <w:rFonts w:hint="eastAsia" w:cs="宋体"/>
          <w:color w:val="000000" w:themeColor="text1"/>
          <w:sz w:val="21"/>
          <w:szCs w:val="21"/>
          <w:shd w:val="clear" w:color="auto" w:fill="FFFFFF"/>
          <w14:textFill>
            <w14:solidFill>
              <w14:schemeClr w14:val="tx1"/>
            </w14:solidFill>
          </w14:textFill>
        </w:rPr>
        <w:t>（厂名）</w:t>
      </w:r>
      <w:r>
        <w:rPr>
          <w:rFonts w:hint="eastAsia" w:cs="宋体"/>
          <w:color w:val="000000" w:themeColor="text1"/>
          <w:sz w:val="21"/>
          <w:szCs w:val="21"/>
          <w:shd w:val="clear" w:color="auto" w:fill="FFFFFF"/>
          <w14:textFill>
            <w14:solidFill>
              <w14:schemeClr w14:val="tx1"/>
            </w14:solidFill>
          </w14:textFill>
        </w:rPr>
        <w:t>，厂址为</w:t>
      </w:r>
      <w:r>
        <w:rPr>
          <w:rStyle w:val="58"/>
          <w:rFonts w:hint="eastAsia" w:cs="宋体"/>
          <w:color w:val="000000" w:themeColor="text1"/>
          <w:sz w:val="21"/>
          <w:szCs w:val="21"/>
          <w:shd w:val="clear" w:color="auto" w:fill="FFFFFF"/>
          <w14:textFill>
            <w14:solidFill>
              <w14:schemeClr w14:val="tx1"/>
            </w14:solidFill>
          </w14:textFill>
        </w:rPr>
        <w:t>（生产厂址）</w:t>
      </w:r>
      <w:r>
        <w:rPr>
          <w:rFonts w:hint="eastAsia" w:cs="宋体"/>
          <w:color w:val="000000" w:themeColor="text1"/>
          <w:sz w:val="21"/>
          <w:szCs w:val="21"/>
          <w:shd w:val="clear" w:color="auto" w:fill="FFFFFF"/>
          <w14:textFill>
            <w14:solidFill>
              <w14:schemeClr w14:val="tx1"/>
            </w14:solidFill>
          </w14:textFill>
        </w:rPr>
        <w:t>。</w:t>
      </w:r>
    </w:p>
    <w:p>
      <w:pPr>
        <w:pStyle w:val="47"/>
        <w:shd w:val="clear" w:color="auto" w:fill="FFFFFF"/>
        <w:spacing w:before="30" w:beforeAutospacing="0" w:after="30" w:afterAutospacing="0"/>
        <w:ind w:firstLine="420" w:firstLineChars="200"/>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shd w:val="clear" w:color="auto" w:fill="FFFFFF"/>
          <w14:textFill>
            <w14:solidFill>
              <w14:schemeClr w14:val="tx1"/>
            </w14:solidFill>
          </w14:textFill>
        </w:rPr>
        <w:t>……</w:t>
      </w:r>
    </w:p>
    <w:p>
      <w:pPr>
        <w:pStyle w:val="47"/>
        <w:shd w:val="clear" w:color="auto" w:fill="FFFFFF"/>
        <w:spacing w:before="30" w:beforeAutospacing="0" w:after="30" w:afterAutospacing="0"/>
        <w:ind w:firstLine="420" w:firstLineChars="200"/>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shd w:val="clear" w:color="auto" w:fill="FFFFFF"/>
          <w14:textFill>
            <w14:solidFill>
              <w14:schemeClr w14:val="tx1"/>
            </w14:solidFill>
          </w14:textFill>
        </w:rPr>
        <w:t>本公司（单位）对上述声明内容的真实性负责。如有虚假，愿承担相应法律责任。</w:t>
      </w:r>
    </w:p>
    <w:p>
      <w:pPr>
        <w:pStyle w:val="47"/>
        <w:shd w:val="clear" w:color="auto" w:fill="FFFFFF"/>
        <w:spacing w:before="30" w:beforeAutospacing="0" w:after="30" w:afterAutospacing="0"/>
        <w:ind w:firstLine="420"/>
        <w:jc w:val="right"/>
        <w:rPr>
          <w:rFonts w:hint="eastAsia" w:cs="宋体"/>
          <w:color w:val="000000" w:themeColor="text1"/>
          <w:sz w:val="21"/>
          <w:szCs w:val="21"/>
          <w:shd w:val="clear" w:color="auto" w:fill="FFFFFF"/>
          <w14:textFill>
            <w14:solidFill>
              <w14:schemeClr w14:val="tx1"/>
            </w14:solidFill>
          </w14:textFill>
        </w:rPr>
      </w:pPr>
    </w:p>
    <w:p>
      <w:pPr>
        <w:pStyle w:val="47"/>
        <w:shd w:val="clear" w:color="auto" w:fill="FFFFFF"/>
        <w:spacing w:before="30" w:beforeAutospacing="0" w:after="30" w:afterAutospacing="0"/>
        <w:ind w:firstLine="420" w:firstLineChars="200"/>
        <w:jc w:val="right"/>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shd w:val="clear" w:color="auto" w:fill="FFFFFF"/>
          <w14:textFill>
            <w14:solidFill>
              <w14:schemeClr w14:val="tx1"/>
            </w14:solidFill>
          </w14:textFill>
        </w:rPr>
        <w:t>公司（单位）名称（盖章）：      </w:t>
      </w:r>
    </w:p>
    <w:p>
      <w:pPr>
        <w:pStyle w:val="47"/>
        <w:shd w:val="clear" w:color="auto" w:fill="FFFFFF"/>
        <w:spacing w:before="30" w:beforeAutospacing="0" w:after="30" w:afterAutospacing="0"/>
        <w:ind w:firstLine="420" w:firstLineChars="200"/>
        <w:jc w:val="right"/>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shd w:val="clear" w:color="auto" w:fill="FFFFFF"/>
          <w14:textFill>
            <w14:solidFill>
              <w14:schemeClr w14:val="tx1"/>
            </w14:solidFill>
          </w14:textFill>
        </w:rPr>
        <w:t>日期：　　　　　年　　月　日    </w:t>
      </w:r>
    </w:p>
    <w:p>
      <w:pPr>
        <w:pStyle w:val="47"/>
        <w:shd w:val="clear" w:color="auto" w:fill="FFFFFF"/>
        <w:spacing w:before="30" w:beforeAutospacing="0" w:after="30" w:afterAutospacing="0"/>
        <w:ind w:firstLine="420"/>
        <w:rPr>
          <w:rFonts w:hint="eastAsia" w:cs="宋体"/>
          <w:color w:val="000000" w:themeColor="text1"/>
          <w:sz w:val="21"/>
          <w:szCs w:val="21"/>
          <w14:textFill>
            <w14:solidFill>
              <w14:schemeClr w14:val="tx1"/>
            </w14:solidFill>
          </w14:textFill>
        </w:rPr>
      </w:pPr>
    </w:p>
    <w:p>
      <w:pPr>
        <w:pStyle w:val="47"/>
        <w:shd w:val="clear" w:color="auto" w:fill="FFFFFF"/>
        <w:spacing w:before="30" w:beforeAutospacing="0" w:after="30" w:afterAutospacing="0"/>
        <w:ind w:firstLine="420"/>
        <w:rPr>
          <w:rFonts w:hint="eastAsia" w:cs="宋体"/>
          <w:color w:val="000000" w:themeColor="text1"/>
          <w:sz w:val="21"/>
          <w:szCs w:val="21"/>
          <w14:textFill>
            <w14:solidFill>
              <w14:schemeClr w14:val="tx1"/>
            </w14:solidFill>
          </w14:textFill>
        </w:rPr>
      </w:pPr>
    </w:p>
    <w:p>
      <w:pPr>
        <w:pStyle w:val="47"/>
        <w:shd w:val="clear" w:color="auto" w:fill="FFFFFF"/>
        <w:spacing w:before="30" w:beforeAutospacing="0" w:after="30" w:afterAutospacing="0"/>
        <w:ind w:firstLine="420" w:firstLineChars="200"/>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shd w:val="clear" w:color="auto" w:fill="FFFFFF"/>
          <w14:textFill>
            <w14:solidFill>
              <w14:schemeClr w14:val="tx1"/>
            </w14:solidFill>
          </w14:textFill>
        </w:rPr>
        <w:t>_____________________________</w:t>
      </w:r>
    </w:p>
    <w:p>
      <w:pPr>
        <w:pStyle w:val="47"/>
        <w:shd w:val="clear" w:color="auto" w:fill="FFFFFF"/>
        <w:spacing w:before="30" w:beforeAutospacing="0" w:after="30" w:afterAutospacing="0"/>
        <w:ind w:firstLine="420" w:firstLineChars="200"/>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shd w:val="clear" w:color="auto" w:fill="FFFFFF"/>
          <w14:textFill>
            <w14:solidFill>
              <w14:schemeClr w14:val="tx1"/>
            </w14:solidFill>
          </w14:textFill>
        </w:rPr>
        <w:t>1.产品如有型号，请在“产品名称”栏一并填写。</w:t>
      </w:r>
    </w:p>
    <w:p>
      <w:pPr>
        <w:pStyle w:val="47"/>
        <w:shd w:val="clear" w:color="auto" w:fill="FFFFFF"/>
        <w:spacing w:before="30" w:beforeAutospacing="0" w:after="30" w:afterAutospacing="0"/>
        <w:ind w:firstLine="420" w:firstLineChars="200"/>
        <w:rPr>
          <w:rFonts w:hint="eastAsia" w:cs="宋体"/>
          <w:color w:val="000000" w:themeColor="text1"/>
          <w14:textFill>
            <w14:solidFill>
              <w14:schemeClr w14:val="tx1"/>
            </w14:solidFill>
          </w14:textFill>
        </w:rPr>
      </w:pPr>
      <w:r>
        <w:rPr>
          <w:rFonts w:hint="eastAsia" w:cs="宋体"/>
          <w:color w:val="000000" w:themeColor="text1"/>
          <w:sz w:val="21"/>
          <w:szCs w:val="21"/>
          <w:shd w:val="clear" w:color="auto" w:fill="FFFFFF"/>
          <w14:textFill>
            <w14:solidFill>
              <w14:schemeClr w14:val="tx1"/>
            </w14:solidFill>
          </w14:textFill>
        </w:rPr>
        <w:t>2.生产厂名与厂址应与生产厂营业执照载明的相关信息保持一致。</w:t>
      </w:r>
    </w:p>
    <w:p>
      <w:pPr>
        <w:pStyle w:val="51"/>
        <w:ind w:firstLine="240"/>
        <w:rPr>
          <w:rFonts w:hint="eastAsia" w:ascii="宋体" w:hAnsi="宋体" w:cs="宋体"/>
          <w:color w:val="000000" w:themeColor="text1"/>
          <w14:textFill>
            <w14:solidFill>
              <w14:schemeClr w14:val="tx1"/>
            </w14:solidFill>
          </w14:textFill>
        </w:rPr>
      </w:pPr>
    </w:p>
    <w:p>
      <w:pPr>
        <w:snapToGrid w:val="0"/>
        <w:spacing w:line="360" w:lineRule="exact"/>
        <w:ind w:firstLine="210" w:firstLineChars="100"/>
        <w:jc w:val="left"/>
        <w:rPr>
          <w:rFonts w:hint="eastAsia" w:ascii="宋体" w:hAnsi="宋体" w:cs="宋体"/>
          <w:color w:val="000000" w:themeColor="text1"/>
          <w:szCs w:val="21"/>
          <w14:textFill>
            <w14:solidFill>
              <w14:schemeClr w14:val="tx1"/>
            </w14:solidFill>
          </w14:textFill>
        </w:rPr>
      </w:pPr>
    </w:p>
    <w:p>
      <w:pPr>
        <w:pStyle w:val="51"/>
        <w:ind w:firstLine="240"/>
        <w:rPr>
          <w:color w:val="000000" w:themeColor="text1"/>
          <w14:textFill>
            <w14:solidFill>
              <w14:schemeClr w14:val="tx1"/>
            </w14:solidFill>
          </w14:textFill>
        </w:rPr>
      </w:pPr>
    </w:p>
    <w:p>
      <w:pPr>
        <w:snapToGrid w:val="0"/>
        <w:spacing w:line="36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（18）投标人情况介绍（主要产品、技术力量、生产规模、经营业绩等，格式自拟）。</w:t>
      </w:r>
    </w:p>
    <w:p>
      <w:pPr>
        <w:snapToGrid w:val="0"/>
        <w:spacing w:line="360" w:lineRule="exact"/>
        <w:ind w:firstLine="516" w:firstLineChars="246"/>
        <w:jc w:val="left"/>
        <w:rPr>
          <w:rFonts w:hint="eastAsia" w:ascii="宋体" w:hAnsi="宋体" w:cs="宋体"/>
          <w:color w:val="000000" w:themeColor="text1"/>
          <w:szCs w:val="21"/>
          <w14:textFill>
            <w14:solidFill>
              <w14:schemeClr w14:val="tx1"/>
            </w14:solidFill>
          </w14:textFill>
        </w:rPr>
      </w:pPr>
    </w:p>
    <w:p>
      <w:pPr>
        <w:snapToGrid w:val="0"/>
        <w:spacing w:line="360" w:lineRule="exact"/>
        <w:ind w:firstLine="516" w:firstLineChars="246"/>
        <w:jc w:val="left"/>
        <w:rPr>
          <w:rFonts w:hint="eastAsia" w:ascii="宋体" w:hAnsi="宋体" w:cs="宋体"/>
          <w:color w:val="000000" w:themeColor="text1"/>
          <w:szCs w:val="21"/>
          <w14:textFill>
            <w14:solidFill>
              <w14:schemeClr w14:val="tx1"/>
            </w14:solidFill>
          </w14:textFill>
        </w:rPr>
      </w:pPr>
    </w:p>
    <w:p>
      <w:pPr>
        <w:snapToGrid w:val="0"/>
        <w:spacing w:line="360" w:lineRule="exact"/>
        <w:ind w:firstLine="516" w:firstLineChars="246"/>
        <w:jc w:val="left"/>
        <w:rPr>
          <w:rFonts w:hint="eastAsia" w:ascii="宋体" w:hAnsi="宋体" w:cs="宋体"/>
          <w:color w:val="000000" w:themeColor="text1"/>
          <w:szCs w:val="21"/>
          <w14:textFill>
            <w14:solidFill>
              <w14:schemeClr w14:val="tx1"/>
            </w14:solidFill>
          </w14:textFill>
        </w:rPr>
      </w:pPr>
    </w:p>
    <w:p>
      <w:pPr>
        <w:ind w:firstLine="421"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br w:type="page"/>
      </w:r>
    </w:p>
    <w:p>
      <w:pPr>
        <w:snapToGrid w:val="0"/>
        <w:spacing w:line="360" w:lineRule="exact"/>
        <w:jc w:val="left"/>
        <w:rPr>
          <w:rFonts w:hint="eastAsia" w:ascii="宋体" w:hAnsi="宋体" w:cs="宋体"/>
          <w:b/>
          <w:color w:val="000000" w:themeColor="text1"/>
          <w:szCs w:val="21"/>
          <w14:textFill>
            <w14:solidFill>
              <w14:schemeClr w14:val="tx1"/>
            </w14:solidFill>
          </w14:textFill>
        </w:rPr>
      </w:pPr>
    </w:p>
    <w:p>
      <w:pPr>
        <w:snapToGrid w:val="0"/>
        <w:spacing w:line="360" w:lineRule="exact"/>
        <w:ind w:firstLine="421"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三）、技术文件部分（格式）</w:t>
      </w:r>
    </w:p>
    <w:p>
      <w:pPr>
        <w:snapToGrid w:val="0"/>
        <w:spacing w:before="50" w:after="156" w:afterLines="50" w:line="36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对本项目系统总体要求的理解（包括：功能说明、性能指标、设备选型说明以及质量、性能、价格、外观、体积等方面进行比较和选择的理由和过程，格式自拟）</w:t>
      </w:r>
    </w:p>
    <w:p>
      <w:pPr>
        <w:snapToGrid w:val="0"/>
        <w:spacing w:before="50" w:after="156" w:afterLines="50" w:line="360" w:lineRule="exact"/>
        <w:ind w:firstLine="420"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技术响应表格式：</w:t>
      </w:r>
      <w:r>
        <w:rPr>
          <w:rFonts w:hint="eastAsia" w:ascii="宋体" w:hAnsi="宋体" w:cs="宋体"/>
          <w:b/>
          <w:color w:val="000000" w:themeColor="text1"/>
          <w:szCs w:val="21"/>
          <w14:textFill>
            <w14:solidFill>
              <w14:schemeClr w14:val="tx1"/>
            </w14:solidFill>
          </w14:textFill>
        </w:rPr>
        <w:t xml:space="preserve"> </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3370"/>
        <w:gridCol w:w="2863"/>
        <w:gridCol w:w="2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031" w:type="dxa"/>
            <w:tcBorders>
              <w:top w:val="single" w:color="auto" w:sz="4" w:space="0"/>
              <w:left w:val="single" w:color="auto" w:sz="4" w:space="0"/>
              <w:bottom w:val="single" w:color="auto" w:sz="4" w:space="0"/>
              <w:right w:val="single" w:color="auto" w:sz="4" w:space="0"/>
            </w:tcBorders>
            <w:vAlign w:val="center"/>
          </w:tcPr>
          <w:p>
            <w:pPr>
              <w:pStyle w:val="29"/>
              <w:spacing w:line="400" w:lineRule="exact"/>
              <w:jc w:val="center"/>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项号</w:t>
            </w:r>
          </w:p>
        </w:tc>
        <w:tc>
          <w:tcPr>
            <w:tcW w:w="3370" w:type="dxa"/>
            <w:tcBorders>
              <w:top w:val="single" w:color="auto" w:sz="4" w:space="0"/>
              <w:left w:val="single" w:color="auto" w:sz="4" w:space="0"/>
              <w:bottom w:val="single" w:color="auto" w:sz="4" w:space="0"/>
              <w:right w:val="single" w:color="auto" w:sz="4" w:space="0"/>
            </w:tcBorders>
            <w:vAlign w:val="center"/>
          </w:tcPr>
          <w:p>
            <w:pPr>
              <w:pStyle w:val="29"/>
              <w:spacing w:line="400" w:lineRule="exact"/>
              <w:jc w:val="center"/>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招标要求</w:t>
            </w:r>
          </w:p>
        </w:tc>
        <w:tc>
          <w:tcPr>
            <w:tcW w:w="2863" w:type="dxa"/>
            <w:tcBorders>
              <w:top w:val="single" w:color="auto" w:sz="4" w:space="0"/>
              <w:left w:val="single" w:color="auto" w:sz="4" w:space="0"/>
              <w:bottom w:val="single" w:color="auto" w:sz="4" w:space="0"/>
              <w:right w:val="single" w:color="auto" w:sz="4" w:space="0"/>
            </w:tcBorders>
            <w:vAlign w:val="center"/>
          </w:tcPr>
          <w:p>
            <w:pPr>
              <w:pStyle w:val="29"/>
              <w:spacing w:line="400" w:lineRule="exact"/>
              <w:jc w:val="center"/>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应标情况</w:t>
            </w:r>
          </w:p>
        </w:tc>
        <w:tc>
          <w:tcPr>
            <w:tcW w:w="2168" w:type="dxa"/>
            <w:tcBorders>
              <w:top w:val="single" w:color="auto" w:sz="4" w:space="0"/>
              <w:left w:val="single" w:color="auto" w:sz="4" w:space="0"/>
              <w:bottom w:val="single" w:color="auto" w:sz="4" w:space="0"/>
              <w:right w:val="single" w:color="auto" w:sz="4" w:space="0"/>
            </w:tcBorders>
            <w:vAlign w:val="center"/>
          </w:tcPr>
          <w:p>
            <w:pPr>
              <w:pStyle w:val="29"/>
              <w:spacing w:line="400" w:lineRule="exact"/>
              <w:jc w:val="center"/>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Borders>
              <w:top w:val="single" w:color="auto" w:sz="4" w:space="0"/>
              <w:left w:val="single" w:color="auto" w:sz="4" w:space="0"/>
              <w:bottom w:val="single" w:color="auto" w:sz="4" w:space="0"/>
              <w:right w:val="single" w:color="auto" w:sz="4" w:space="0"/>
            </w:tcBorders>
          </w:tcPr>
          <w:p>
            <w:pPr>
              <w:pStyle w:val="29"/>
              <w:spacing w:line="600" w:lineRule="exact"/>
              <w:ind w:left="525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3370"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hint="eastAsia" w:hAnsi="宋体" w:cs="宋体"/>
                <w:color w:val="000000" w:themeColor="text1"/>
                <w14:textFill>
                  <w14:solidFill>
                    <w14:schemeClr w14:val="tx1"/>
                  </w14:solidFill>
                </w14:textFill>
              </w:rPr>
            </w:pPr>
          </w:p>
        </w:tc>
        <w:tc>
          <w:tcPr>
            <w:tcW w:w="2863"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hint="eastAsia" w:hAnsi="宋体" w:cs="宋体"/>
                <w:color w:val="000000" w:themeColor="text1"/>
                <w14:textFill>
                  <w14:solidFill>
                    <w14:schemeClr w14:val="tx1"/>
                  </w14:solidFill>
                </w14:textFill>
              </w:rPr>
            </w:pPr>
          </w:p>
        </w:tc>
        <w:tc>
          <w:tcPr>
            <w:tcW w:w="2168"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hint="eastAsia" w:hAnsi="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Borders>
              <w:top w:val="single" w:color="auto" w:sz="4" w:space="0"/>
              <w:left w:val="single" w:color="auto" w:sz="4" w:space="0"/>
              <w:bottom w:val="single" w:color="auto" w:sz="4" w:space="0"/>
              <w:right w:val="single" w:color="auto" w:sz="4" w:space="0"/>
            </w:tcBorders>
          </w:tcPr>
          <w:p>
            <w:pPr>
              <w:pStyle w:val="29"/>
              <w:spacing w:line="600" w:lineRule="exact"/>
              <w:ind w:left="5250"/>
              <w:jc w:val="center"/>
              <w:rPr>
                <w:color w:val="000000" w:themeColor="text1"/>
                <w14:textFill>
                  <w14:solidFill>
                    <w14:schemeClr w14:val="tx1"/>
                  </w14:solidFill>
                </w14:textFill>
              </w:rPr>
            </w:pPr>
          </w:p>
        </w:tc>
        <w:tc>
          <w:tcPr>
            <w:tcW w:w="3370"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hint="eastAsia" w:hAnsi="宋体" w:cs="宋体"/>
                <w:color w:val="000000" w:themeColor="text1"/>
                <w14:textFill>
                  <w14:solidFill>
                    <w14:schemeClr w14:val="tx1"/>
                  </w14:solidFill>
                </w14:textFill>
              </w:rPr>
            </w:pPr>
          </w:p>
        </w:tc>
        <w:tc>
          <w:tcPr>
            <w:tcW w:w="2863"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hint="eastAsia" w:hAnsi="宋体" w:cs="宋体"/>
                <w:color w:val="000000" w:themeColor="text1"/>
                <w14:textFill>
                  <w14:solidFill>
                    <w14:schemeClr w14:val="tx1"/>
                  </w14:solidFill>
                </w14:textFill>
              </w:rPr>
            </w:pPr>
          </w:p>
        </w:tc>
        <w:tc>
          <w:tcPr>
            <w:tcW w:w="2168"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hint="eastAsia" w:hAnsi="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Borders>
              <w:top w:val="single" w:color="auto" w:sz="4" w:space="0"/>
              <w:left w:val="single" w:color="auto" w:sz="4" w:space="0"/>
              <w:bottom w:val="single" w:color="auto" w:sz="4" w:space="0"/>
              <w:right w:val="single" w:color="auto" w:sz="4" w:space="0"/>
            </w:tcBorders>
          </w:tcPr>
          <w:p>
            <w:pPr>
              <w:pStyle w:val="29"/>
              <w:spacing w:line="600" w:lineRule="exact"/>
              <w:ind w:left="5250"/>
              <w:jc w:val="center"/>
              <w:rPr>
                <w:color w:val="000000" w:themeColor="text1"/>
                <w14:textFill>
                  <w14:solidFill>
                    <w14:schemeClr w14:val="tx1"/>
                  </w14:solidFill>
                </w14:textFill>
              </w:rPr>
            </w:pPr>
          </w:p>
        </w:tc>
        <w:tc>
          <w:tcPr>
            <w:tcW w:w="3370"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hint="eastAsia" w:hAnsi="宋体" w:cs="宋体"/>
                <w:color w:val="000000" w:themeColor="text1"/>
                <w14:textFill>
                  <w14:solidFill>
                    <w14:schemeClr w14:val="tx1"/>
                  </w14:solidFill>
                </w14:textFill>
              </w:rPr>
            </w:pPr>
          </w:p>
        </w:tc>
        <w:tc>
          <w:tcPr>
            <w:tcW w:w="2863"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hint="eastAsia" w:hAnsi="宋体" w:cs="宋体"/>
                <w:color w:val="000000" w:themeColor="text1"/>
                <w14:textFill>
                  <w14:solidFill>
                    <w14:schemeClr w14:val="tx1"/>
                  </w14:solidFill>
                </w14:textFill>
              </w:rPr>
            </w:pPr>
          </w:p>
        </w:tc>
        <w:tc>
          <w:tcPr>
            <w:tcW w:w="2168"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hint="eastAsia" w:hAnsi="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hint="eastAsia" w:hAnsi="宋体" w:cs="宋体"/>
                <w:color w:val="000000" w:themeColor="text1"/>
                <w14:textFill>
                  <w14:solidFill>
                    <w14:schemeClr w14:val="tx1"/>
                  </w14:solidFill>
                </w14:textFill>
              </w:rPr>
            </w:pPr>
          </w:p>
        </w:tc>
        <w:tc>
          <w:tcPr>
            <w:tcW w:w="337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hint="eastAsia" w:hAnsi="宋体" w:cs="宋体"/>
                <w:color w:val="000000" w:themeColor="text1"/>
                <w14:textFill>
                  <w14:solidFill>
                    <w14:schemeClr w14:val="tx1"/>
                  </w14:solidFill>
                </w14:textFill>
              </w:rPr>
            </w:pPr>
          </w:p>
        </w:tc>
        <w:tc>
          <w:tcPr>
            <w:tcW w:w="2863"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w:t>
            </w:r>
          </w:p>
        </w:tc>
        <w:tc>
          <w:tcPr>
            <w:tcW w:w="2168"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hint="eastAsia" w:hAnsi="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hint="eastAsia" w:hAnsi="宋体" w:cs="宋体"/>
                <w:color w:val="000000" w:themeColor="text1"/>
                <w14:textFill>
                  <w14:solidFill>
                    <w14:schemeClr w14:val="tx1"/>
                  </w14:solidFill>
                </w14:textFill>
              </w:rPr>
            </w:pPr>
          </w:p>
        </w:tc>
        <w:tc>
          <w:tcPr>
            <w:tcW w:w="337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w:t>
            </w:r>
          </w:p>
        </w:tc>
        <w:tc>
          <w:tcPr>
            <w:tcW w:w="2863"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hint="eastAsia" w:hAnsi="宋体" w:cs="宋体"/>
                <w:color w:val="000000" w:themeColor="text1"/>
                <w14:textFill>
                  <w14:solidFill>
                    <w14:schemeClr w14:val="tx1"/>
                  </w14:solidFill>
                </w14:textFill>
              </w:rPr>
            </w:pPr>
          </w:p>
        </w:tc>
        <w:tc>
          <w:tcPr>
            <w:tcW w:w="2168"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hint="eastAsia" w:hAnsi="宋体" w:cs="宋体"/>
                <w:color w:val="000000" w:themeColor="text1"/>
                <w14:textFill>
                  <w14:solidFill>
                    <w14:schemeClr w14:val="tx1"/>
                  </w14:solidFill>
                </w14:textFill>
              </w:rPr>
            </w:pPr>
          </w:p>
        </w:tc>
      </w:tr>
    </w:tbl>
    <w:p>
      <w:pPr>
        <w:pStyle w:val="20"/>
        <w:spacing w:line="360" w:lineRule="exact"/>
        <w:ind w:firstLine="421"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注：投标人应根据投标设备的性能指标、对照招标文件要求在技术响应表中详细列明招标要求及投标设备技术规格的响应情况，并填写“</w:t>
      </w:r>
      <w:r>
        <w:rPr>
          <w:rFonts w:hint="eastAsia" w:ascii="宋体" w:hAnsi="宋体" w:cs="宋体"/>
          <w:color w:val="000000" w:themeColor="text1"/>
          <w14:textFill>
            <w14:solidFill>
              <w14:schemeClr w14:val="tx1"/>
            </w14:solidFill>
          </w14:textFill>
        </w:rPr>
        <w:t>偏离说明”。</w:t>
      </w:r>
      <w:r>
        <w:rPr>
          <w:rFonts w:hint="eastAsia" w:ascii="宋体" w:hAnsi="宋体" w:cs="宋体"/>
          <w:color w:val="000000" w:themeColor="text1"/>
          <w:sz w:val="21"/>
          <w:szCs w:val="21"/>
          <w14:textFill>
            <w14:solidFill>
              <w14:schemeClr w14:val="tx1"/>
            </w14:solidFill>
          </w14:textFill>
        </w:rPr>
        <w:t>“偏离</w:t>
      </w:r>
      <w:r>
        <w:rPr>
          <w:rFonts w:hint="eastAsia" w:ascii="宋体" w:hAnsi="宋体" w:cs="宋体"/>
          <w:color w:val="000000" w:themeColor="text1"/>
          <w14:textFill>
            <w14:solidFill>
              <w14:schemeClr w14:val="tx1"/>
            </w14:solidFill>
          </w14:textFill>
        </w:rPr>
        <w:t>说明</w:t>
      </w:r>
      <w:r>
        <w:rPr>
          <w:rFonts w:hint="eastAsia" w:ascii="宋体" w:hAnsi="宋体" w:cs="宋体"/>
          <w:color w:val="000000" w:themeColor="text1"/>
          <w:sz w:val="21"/>
          <w:szCs w:val="21"/>
          <w14:textFill>
            <w14:solidFill>
              <w14:schemeClr w14:val="tx1"/>
            </w14:solidFill>
          </w14:textFill>
        </w:rPr>
        <w:t>”栏注明“正偏离”、“负偏离”或“无偏离”。投标技术规格与招标要求相同的为无偏离，投标技术规格高于招标要求的为正偏离，低于招标要求的为负偏离。</w:t>
      </w:r>
    </w:p>
    <w:p>
      <w:pPr>
        <w:snapToGrid w:val="0"/>
        <w:spacing w:before="50" w:after="50" w:line="360" w:lineRule="exact"/>
        <w:rPr>
          <w:rFonts w:hint="eastAsia" w:ascii="宋体" w:hAnsi="宋体" w:cs="宋体"/>
          <w:color w:val="000000" w:themeColor="text1"/>
          <w:spacing w:val="20"/>
          <w:szCs w:val="21"/>
          <w14:textFill>
            <w14:solidFill>
              <w14:schemeClr w14:val="tx1"/>
            </w14:solidFill>
          </w14:textFill>
        </w:rPr>
      </w:pPr>
    </w:p>
    <w:p>
      <w:pPr>
        <w:snapToGrid w:val="0"/>
        <w:spacing w:before="50" w:after="50" w:line="360" w:lineRule="exact"/>
        <w:ind w:firstLine="420" w:firstLineChars="200"/>
        <w:rPr>
          <w:rFonts w:hint="eastAsia" w:ascii="宋体" w:hAnsi="宋体" w:cs="宋体"/>
          <w:color w:val="000000" w:themeColor="text1"/>
          <w:spacing w:val="20"/>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法定代表人或委托代理人签字或签章</w:t>
      </w:r>
      <w:r>
        <w:rPr>
          <w:rFonts w:hint="eastAsia" w:ascii="宋体" w:hAnsi="宋体" w:cs="宋体"/>
          <w:color w:val="000000" w:themeColor="text1"/>
          <w:spacing w:val="20"/>
          <w:szCs w:val="21"/>
          <w14:textFill>
            <w14:solidFill>
              <w14:schemeClr w14:val="tx1"/>
            </w14:solidFill>
          </w14:textFill>
        </w:rPr>
        <w:t>：</w:t>
      </w:r>
      <w:r>
        <w:rPr>
          <w:rFonts w:hint="eastAsia" w:ascii="宋体" w:hAnsi="宋体" w:cs="宋体"/>
          <w:color w:val="000000" w:themeColor="text1"/>
          <w:spacing w:val="20"/>
          <w:szCs w:val="21"/>
          <w:u w:val="single"/>
          <w14:textFill>
            <w14:solidFill>
              <w14:schemeClr w14:val="tx1"/>
            </w14:solidFill>
          </w14:textFill>
        </w:rPr>
        <w:t xml:space="preserve">        </w:t>
      </w:r>
    </w:p>
    <w:p>
      <w:pPr>
        <w:snapToGrid w:val="0"/>
        <w:spacing w:before="50" w:after="50" w:line="360" w:lineRule="exact"/>
        <w:ind w:firstLine="500" w:firstLineChars="200"/>
        <w:rPr>
          <w:rFonts w:hint="eastAsia" w:ascii="宋体" w:hAnsi="宋体" w:cs="宋体"/>
          <w:color w:val="000000" w:themeColor="text1"/>
          <w:spacing w:val="20"/>
          <w:szCs w:val="21"/>
          <w:u w:val="single"/>
          <w14:textFill>
            <w14:solidFill>
              <w14:schemeClr w14:val="tx1"/>
            </w14:solidFill>
          </w14:textFill>
        </w:rPr>
      </w:pPr>
      <w:r>
        <w:rPr>
          <w:rFonts w:hint="eastAsia" w:ascii="宋体" w:hAnsi="宋体" w:cs="宋体"/>
          <w:color w:val="000000" w:themeColor="text1"/>
          <w:spacing w:val="20"/>
          <w:szCs w:val="21"/>
          <w14:textFill>
            <w14:solidFill>
              <w14:schemeClr w14:val="tx1"/>
            </w14:solidFill>
          </w14:textFill>
        </w:rPr>
        <w:t>投标人盖章：</w:t>
      </w:r>
      <w:r>
        <w:rPr>
          <w:rFonts w:hint="eastAsia" w:ascii="宋体" w:hAnsi="宋体" w:cs="宋体"/>
          <w:color w:val="000000" w:themeColor="text1"/>
          <w:spacing w:val="20"/>
          <w:szCs w:val="21"/>
          <w:u w:val="single"/>
          <w14:textFill>
            <w14:solidFill>
              <w14:schemeClr w14:val="tx1"/>
            </w14:solidFill>
          </w14:textFill>
        </w:rPr>
        <w:t xml:space="preserve">            </w:t>
      </w:r>
      <w:r>
        <w:rPr>
          <w:rFonts w:hint="eastAsia" w:ascii="宋体" w:hAnsi="宋体" w:cs="宋体"/>
          <w:color w:val="000000" w:themeColor="text1"/>
          <w:spacing w:val="20"/>
          <w:szCs w:val="21"/>
          <w14:textFill>
            <w14:solidFill>
              <w14:schemeClr w14:val="tx1"/>
            </w14:solidFill>
          </w14:textFill>
        </w:rPr>
        <w:t xml:space="preserve">              日 期：</w:t>
      </w:r>
      <w:r>
        <w:rPr>
          <w:rFonts w:hint="eastAsia" w:ascii="宋体" w:hAnsi="宋体" w:cs="宋体"/>
          <w:color w:val="000000" w:themeColor="text1"/>
          <w:spacing w:val="20"/>
          <w:szCs w:val="21"/>
          <w:u w:val="single"/>
          <w14:textFill>
            <w14:solidFill>
              <w14:schemeClr w14:val="tx1"/>
            </w14:solidFill>
          </w14:textFill>
        </w:rPr>
        <w:t xml:space="preserve">            </w:t>
      </w:r>
    </w:p>
    <w:p>
      <w:pPr>
        <w:pStyle w:val="29"/>
        <w:jc w:val="center"/>
        <w:rPr>
          <w:rFonts w:hint="eastAsia" w:hAnsi="宋体" w:cs="宋体"/>
          <w:color w:val="000000" w:themeColor="text1"/>
          <w14:textFill>
            <w14:solidFill>
              <w14:schemeClr w14:val="tx1"/>
            </w14:solidFill>
          </w14:textFill>
        </w:rPr>
      </w:pPr>
    </w:p>
    <w:p>
      <w:pPr>
        <w:snapToGrid w:val="0"/>
        <w:spacing w:before="50" w:after="156" w:afterLines="50" w:line="36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（3）设备配置清单格式：</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2"/>
        <w:gridCol w:w="1443"/>
        <w:gridCol w:w="839"/>
        <w:gridCol w:w="1498"/>
        <w:gridCol w:w="1620"/>
        <w:gridCol w:w="1809"/>
        <w:gridCol w:w="9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序号</w:t>
            </w:r>
          </w:p>
        </w:tc>
        <w:tc>
          <w:tcPr>
            <w:tcW w:w="144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设备名称</w:t>
            </w: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品牌</w:t>
            </w:r>
          </w:p>
        </w:tc>
        <w:tc>
          <w:tcPr>
            <w:tcW w:w="14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规格型号</w:t>
            </w:r>
          </w:p>
        </w:tc>
        <w:tc>
          <w:tcPr>
            <w:tcW w:w="16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单位及数量</w:t>
            </w:r>
          </w:p>
        </w:tc>
        <w:tc>
          <w:tcPr>
            <w:tcW w:w="180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性能及指标</w:t>
            </w:r>
          </w:p>
        </w:tc>
        <w:tc>
          <w:tcPr>
            <w:tcW w:w="91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产地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144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14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180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91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144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14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180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91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144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14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180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91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r>
    </w:tbl>
    <w:p>
      <w:pPr>
        <w:snapToGrid w:val="0"/>
        <w:spacing w:before="100" w:beforeAutospacing="1" w:after="100" w:afterAutospacing="1" w:line="480" w:lineRule="auto"/>
        <w:ind w:firstLine="420" w:firstLineChars="200"/>
        <w:rPr>
          <w:rFonts w:hint="eastAsia" w:ascii="宋体" w:hAnsi="宋体" w:cs="宋体"/>
          <w:color w:val="000000" w:themeColor="text1"/>
          <w:spacing w:val="20"/>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法定代表人或委托代理人签字或签章</w:t>
      </w:r>
      <w:r>
        <w:rPr>
          <w:rFonts w:hint="eastAsia" w:ascii="宋体" w:hAnsi="宋体" w:cs="宋体"/>
          <w:color w:val="000000" w:themeColor="text1"/>
          <w:spacing w:val="20"/>
          <w:szCs w:val="21"/>
          <w14:textFill>
            <w14:solidFill>
              <w14:schemeClr w14:val="tx1"/>
            </w14:solidFill>
          </w14:textFill>
        </w:rPr>
        <w:t>：</w:t>
      </w:r>
      <w:r>
        <w:rPr>
          <w:rFonts w:hint="eastAsia" w:ascii="宋体" w:hAnsi="宋体" w:cs="宋体"/>
          <w:color w:val="000000" w:themeColor="text1"/>
          <w:spacing w:val="20"/>
          <w:szCs w:val="21"/>
          <w:u w:val="single"/>
          <w14:textFill>
            <w14:solidFill>
              <w14:schemeClr w14:val="tx1"/>
            </w14:solidFill>
          </w14:textFill>
        </w:rPr>
        <w:t xml:space="preserve">         </w:t>
      </w:r>
    </w:p>
    <w:p>
      <w:pPr>
        <w:snapToGrid w:val="0"/>
        <w:spacing w:before="100" w:beforeAutospacing="1" w:after="100" w:afterAutospacing="1" w:line="480" w:lineRule="auto"/>
        <w:ind w:firstLine="500" w:firstLineChars="200"/>
        <w:jc w:val="left"/>
        <w:rPr>
          <w:rFonts w:hint="eastAsia" w:ascii="宋体" w:hAnsi="宋体" w:cs="宋体"/>
          <w:color w:val="000000" w:themeColor="text1"/>
          <w:spacing w:val="20"/>
          <w:szCs w:val="21"/>
          <w:u w:val="single"/>
          <w14:textFill>
            <w14:solidFill>
              <w14:schemeClr w14:val="tx1"/>
            </w14:solidFill>
          </w14:textFill>
        </w:rPr>
      </w:pPr>
      <w:r>
        <w:rPr>
          <w:rFonts w:hint="eastAsia" w:ascii="宋体" w:hAnsi="宋体" w:cs="宋体"/>
          <w:color w:val="000000" w:themeColor="text1"/>
          <w:spacing w:val="20"/>
          <w:szCs w:val="21"/>
          <w14:textFill>
            <w14:solidFill>
              <w14:schemeClr w14:val="tx1"/>
            </w14:solidFill>
          </w14:textFill>
        </w:rPr>
        <w:t>投标人盖章：</w:t>
      </w:r>
      <w:r>
        <w:rPr>
          <w:rFonts w:hint="eastAsia" w:ascii="宋体" w:hAnsi="宋体" w:cs="宋体"/>
          <w:color w:val="000000" w:themeColor="text1"/>
          <w:spacing w:val="20"/>
          <w:szCs w:val="21"/>
          <w:u w:val="single"/>
          <w14:textFill>
            <w14:solidFill>
              <w14:schemeClr w14:val="tx1"/>
            </w14:solidFill>
          </w14:textFill>
        </w:rPr>
        <w:t xml:space="preserve">            </w:t>
      </w:r>
      <w:r>
        <w:rPr>
          <w:rFonts w:hint="eastAsia" w:ascii="宋体" w:hAnsi="宋体" w:cs="宋体"/>
          <w:color w:val="000000" w:themeColor="text1"/>
          <w:spacing w:val="20"/>
          <w:szCs w:val="21"/>
          <w14:textFill>
            <w14:solidFill>
              <w14:schemeClr w14:val="tx1"/>
            </w14:solidFill>
          </w14:textFill>
        </w:rPr>
        <w:t xml:space="preserve">              日  期：</w:t>
      </w:r>
      <w:r>
        <w:rPr>
          <w:rFonts w:hint="eastAsia" w:ascii="宋体" w:hAnsi="宋体" w:cs="宋体"/>
          <w:color w:val="000000" w:themeColor="text1"/>
          <w:spacing w:val="20"/>
          <w:szCs w:val="21"/>
          <w:u w:val="single"/>
          <w14:textFill>
            <w14:solidFill>
              <w14:schemeClr w14:val="tx1"/>
            </w14:solidFill>
          </w14:textFill>
        </w:rPr>
        <w:t xml:space="preserve">          </w:t>
      </w:r>
    </w:p>
    <w:p>
      <w:pPr>
        <w:snapToGrid w:val="0"/>
        <w:spacing w:line="400" w:lineRule="exact"/>
        <w:ind w:firstLine="420"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售后服务承诺书</w:t>
      </w:r>
      <w:r>
        <w:rPr>
          <w:rFonts w:hint="eastAsia" w:ascii="宋体" w:hAnsi="宋体" w:cs="宋体"/>
          <w:color w:val="000000" w:themeColor="text1"/>
          <w14:textFill>
            <w14:solidFill>
              <w14:schemeClr w14:val="tx1"/>
            </w14:solidFill>
          </w14:textFill>
        </w:rPr>
        <w:t>（应据项目实际要求描述如：</w:t>
      </w:r>
      <w:r>
        <w:rPr>
          <w:rFonts w:hint="eastAsia" w:ascii="宋体" w:hAnsi="宋体" w:cs="宋体"/>
          <w:color w:val="000000" w:themeColor="text1"/>
          <w:szCs w:val="21"/>
          <w14:textFill>
            <w14:solidFill>
              <w14:schemeClr w14:val="tx1"/>
            </w14:solidFill>
          </w14:textFill>
        </w:rPr>
        <w:t>投标人建议的安装、调试、验收方法或方案；技术服务、技术培训、售后服务的内容和措施等，</w:t>
      </w:r>
      <w:r>
        <w:rPr>
          <w:rFonts w:hint="eastAsia" w:ascii="宋体" w:hAnsi="宋体" w:cs="宋体"/>
          <w:b/>
          <w:color w:val="000000" w:themeColor="text1"/>
          <w:szCs w:val="21"/>
          <w14:textFill>
            <w14:solidFill>
              <w14:schemeClr w14:val="tx1"/>
            </w14:solidFill>
          </w14:textFill>
        </w:rPr>
        <w:t>格式自拟,必须提供）</w:t>
      </w:r>
      <w:r>
        <w:rPr>
          <w:rFonts w:hint="eastAsia" w:ascii="宋体" w:hAnsi="宋体" w:cs="宋体"/>
          <w:color w:val="000000" w:themeColor="text1"/>
          <w:szCs w:val="21"/>
          <w14:textFill>
            <w14:solidFill>
              <w14:schemeClr w14:val="tx1"/>
            </w14:solidFill>
          </w14:textFill>
        </w:rPr>
        <w:t>；</w:t>
      </w:r>
    </w:p>
    <w:p>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投标人拥有主要装备和检测设施的情况和现状（格式自拟）及项目实施人员一览表</w:t>
      </w:r>
    </w:p>
    <w:p>
      <w:pPr>
        <w:snapToGrid w:val="0"/>
        <w:spacing w:line="40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（6）优惠条件：投标人承诺给予招标人的各种优惠条件，包括备品备件、专用耗材、售后服务等方面的优惠；</w:t>
      </w:r>
    </w:p>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备品备件、专用耗材、售后服务优惠表格式：</w:t>
      </w: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1530"/>
        <w:gridCol w:w="153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29"/>
              <w:snapToGrid w:val="0"/>
              <w:jc w:val="center"/>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序号</w:t>
            </w:r>
          </w:p>
        </w:tc>
        <w:tc>
          <w:tcPr>
            <w:tcW w:w="2700" w:type="dxa"/>
            <w:tcBorders>
              <w:top w:val="single" w:color="auto" w:sz="4" w:space="0"/>
              <w:left w:val="single" w:color="auto" w:sz="4" w:space="0"/>
              <w:bottom w:val="single" w:color="auto" w:sz="2" w:space="0"/>
              <w:right w:val="single" w:color="auto" w:sz="4" w:space="0"/>
            </w:tcBorders>
            <w:vAlign w:val="center"/>
          </w:tcPr>
          <w:p>
            <w:pPr>
              <w:pStyle w:val="29"/>
              <w:snapToGrid w:val="0"/>
              <w:jc w:val="center"/>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优惠内容</w:t>
            </w:r>
          </w:p>
        </w:tc>
        <w:tc>
          <w:tcPr>
            <w:tcW w:w="1440" w:type="dxa"/>
            <w:tcBorders>
              <w:top w:val="single" w:color="auto" w:sz="4" w:space="0"/>
              <w:left w:val="single" w:color="auto" w:sz="4" w:space="0"/>
              <w:bottom w:val="single" w:color="auto" w:sz="2" w:space="0"/>
              <w:right w:val="single" w:color="auto" w:sz="4" w:space="0"/>
            </w:tcBorders>
            <w:vAlign w:val="center"/>
          </w:tcPr>
          <w:p>
            <w:pPr>
              <w:pStyle w:val="29"/>
              <w:snapToGrid w:val="0"/>
              <w:jc w:val="center"/>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适用机型</w:t>
            </w:r>
          </w:p>
        </w:tc>
        <w:tc>
          <w:tcPr>
            <w:tcW w:w="1440"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vAlign w:val="center"/>
          </w:tcPr>
          <w:p>
            <w:pPr>
              <w:pStyle w:val="29"/>
              <w:snapToGrid w:val="0"/>
              <w:jc w:val="center"/>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单价</w:t>
            </w:r>
          </w:p>
        </w:tc>
        <w:tc>
          <w:tcPr>
            <w:tcW w:w="1530" w:type="dxa"/>
            <w:tcBorders>
              <w:top w:val="single" w:color="auto" w:sz="4" w:space="0"/>
              <w:left w:val="single" w:color="auto" w:sz="4" w:space="0"/>
              <w:bottom w:val="single" w:color="auto" w:sz="2" w:space="0"/>
              <w:right w:val="single" w:color="auto" w:sz="4" w:space="0"/>
            </w:tcBorders>
            <w:vAlign w:val="center"/>
          </w:tcPr>
          <w:p>
            <w:pPr>
              <w:pStyle w:val="29"/>
              <w:snapToGrid w:val="0"/>
              <w:jc w:val="center"/>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比投标报价优惠率</w:t>
            </w:r>
          </w:p>
        </w:tc>
        <w:tc>
          <w:tcPr>
            <w:tcW w:w="1530" w:type="dxa"/>
            <w:tcBorders>
              <w:top w:val="single" w:color="auto" w:sz="4" w:space="0"/>
              <w:left w:val="single" w:color="auto" w:sz="4" w:space="0"/>
              <w:bottom w:val="single" w:color="auto" w:sz="2" w:space="0"/>
              <w:right w:val="single" w:color="auto" w:sz="4" w:space="0"/>
            </w:tcBorders>
            <w:vAlign w:val="center"/>
          </w:tcPr>
          <w:p>
            <w:pPr>
              <w:pStyle w:val="29"/>
              <w:snapToGrid w:val="0"/>
              <w:jc w:val="center"/>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比招标要求提供更优售后服务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29"/>
              <w:snapToGrid w:val="0"/>
              <w:jc w:val="center"/>
              <w:rPr>
                <w:rFonts w:hint="eastAsia" w:hAnsi="宋体" w:cs="宋体"/>
                <w:color w:val="000000" w:themeColor="text1"/>
                <w14:textFill>
                  <w14:solidFill>
                    <w14:schemeClr w14:val="tx1"/>
                  </w14:solidFill>
                </w14:textFill>
              </w:rPr>
            </w:pPr>
          </w:p>
        </w:tc>
        <w:tc>
          <w:tcPr>
            <w:tcW w:w="2700" w:type="dxa"/>
            <w:tcBorders>
              <w:top w:val="single" w:color="auto" w:sz="2" w:space="0"/>
              <w:left w:val="single" w:color="auto" w:sz="2" w:space="0"/>
              <w:bottom w:val="single" w:color="auto" w:sz="6" w:space="0"/>
              <w:right w:val="single" w:color="auto" w:sz="4" w:space="0"/>
            </w:tcBorders>
            <w:vAlign w:val="center"/>
          </w:tcPr>
          <w:p>
            <w:pPr>
              <w:pStyle w:val="29"/>
              <w:snapToGrid w:val="0"/>
              <w:jc w:val="center"/>
              <w:rPr>
                <w:rFonts w:hint="eastAsia" w:hAnsi="宋体" w:cs="宋体"/>
                <w:color w:val="000000" w:themeColor="text1"/>
                <w14:textFill>
                  <w14:solidFill>
                    <w14:schemeClr w14:val="tx1"/>
                  </w14:solidFill>
                </w14:textFill>
              </w:rPr>
            </w:pPr>
          </w:p>
        </w:tc>
        <w:tc>
          <w:tcPr>
            <w:tcW w:w="1440" w:type="dxa"/>
            <w:tcBorders>
              <w:top w:val="single" w:color="auto" w:sz="2" w:space="0"/>
              <w:left w:val="single" w:color="auto" w:sz="4" w:space="0"/>
              <w:bottom w:val="single" w:color="auto" w:sz="6" w:space="0"/>
              <w:right w:val="single" w:color="auto" w:sz="6" w:space="0"/>
            </w:tcBorders>
            <w:vAlign w:val="center"/>
          </w:tcPr>
          <w:p>
            <w:pPr>
              <w:pStyle w:val="29"/>
              <w:snapToGrid w:val="0"/>
              <w:jc w:val="center"/>
              <w:rPr>
                <w:rFonts w:hint="eastAsia" w:hAnsi="宋体" w:cs="宋体"/>
                <w:color w:val="000000" w:themeColor="text1"/>
                <w14:textFill>
                  <w14:solidFill>
                    <w14:schemeClr w14:val="tx1"/>
                  </w14:solidFill>
                </w14:textFill>
              </w:rPr>
            </w:pPr>
          </w:p>
        </w:tc>
        <w:tc>
          <w:tcPr>
            <w:tcW w:w="1440"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29"/>
              <w:snapToGrid w:val="0"/>
              <w:jc w:val="center"/>
              <w:rPr>
                <w:rFonts w:hint="eastAsia" w:hAnsi="宋体" w:cs="宋体"/>
                <w:color w:val="000000" w:themeColor="text1"/>
                <w14:textFill>
                  <w14:solidFill>
                    <w14:schemeClr w14:val="tx1"/>
                  </w14:solidFill>
                </w14:textFill>
              </w:rPr>
            </w:pPr>
          </w:p>
        </w:tc>
        <w:tc>
          <w:tcPr>
            <w:tcW w:w="1530" w:type="dxa"/>
            <w:tcBorders>
              <w:top w:val="single" w:color="auto" w:sz="2" w:space="0"/>
              <w:left w:val="single" w:color="auto" w:sz="6" w:space="0"/>
              <w:bottom w:val="single" w:color="auto" w:sz="6" w:space="0"/>
              <w:right w:val="single" w:color="auto" w:sz="2" w:space="0"/>
            </w:tcBorders>
            <w:vAlign w:val="center"/>
          </w:tcPr>
          <w:p>
            <w:pPr>
              <w:pStyle w:val="29"/>
              <w:snapToGrid w:val="0"/>
              <w:jc w:val="center"/>
              <w:rPr>
                <w:rFonts w:hint="eastAsia" w:hAnsi="宋体" w:cs="宋体"/>
                <w:color w:val="000000" w:themeColor="text1"/>
                <w14:textFill>
                  <w14:solidFill>
                    <w14:schemeClr w14:val="tx1"/>
                  </w14:solidFill>
                </w14:textFill>
              </w:rPr>
            </w:pPr>
            <w:r>
              <w:rPr>
                <w:rFonts w:hint="eastAsia" w:hAnsi="宋体" w:cs="宋体"/>
                <w:color w:val="000000" w:themeColor="text1"/>
                <w:u w:val="single"/>
                <w14:textFill>
                  <w14:solidFill>
                    <w14:schemeClr w14:val="tx1"/>
                  </w14:solidFill>
                </w14:textFill>
              </w:rPr>
              <w:t xml:space="preserve">            </w:t>
            </w:r>
            <w:r>
              <w:rPr>
                <w:rFonts w:hint="eastAsia" w:hAnsi="宋体" w:cs="宋体"/>
                <w:color w:val="000000" w:themeColor="text1"/>
                <w14:textFill>
                  <w14:solidFill>
                    <w14:schemeClr w14:val="tx1"/>
                  </w14:solidFill>
                </w14:textFill>
              </w:rPr>
              <w:t>%</w:t>
            </w:r>
          </w:p>
        </w:tc>
        <w:tc>
          <w:tcPr>
            <w:tcW w:w="1530" w:type="dxa"/>
            <w:tcBorders>
              <w:top w:val="single" w:color="auto" w:sz="2" w:space="0"/>
              <w:left w:val="single" w:color="auto" w:sz="6" w:space="0"/>
              <w:bottom w:val="single" w:color="auto" w:sz="6" w:space="0"/>
              <w:right w:val="single" w:color="auto" w:sz="2" w:space="0"/>
            </w:tcBorders>
            <w:vAlign w:val="center"/>
          </w:tcPr>
          <w:p>
            <w:pPr>
              <w:pStyle w:val="29"/>
              <w:snapToGrid w:val="0"/>
              <w:jc w:val="center"/>
              <w:rPr>
                <w:rFonts w:hint="eastAsia" w:hAnsi="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29"/>
              <w:snapToGrid w:val="0"/>
              <w:jc w:val="center"/>
              <w:rPr>
                <w:rFonts w:hint="eastAsia" w:hAnsi="宋体" w:cs="宋体"/>
                <w:color w:val="000000" w:themeColor="text1"/>
                <w14:textFill>
                  <w14:solidFill>
                    <w14:schemeClr w14:val="tx1"/>
                  </w14:solidFill>
                </w14:textFill>
              </w:rPr>
            </w:pPr>
          </w:p>
        </w:tc>
        <w:tc>
          <w:tcPr>
            <w:tcW w:w="2700" w:type="dxa"/>
            <w:tcBorders>
              <w:top w:val="single" w:color="auto" w:sz="6" w:space="0"/>
              <w:left w:val="single" w:color="auto" w:sz="2" w:space="0"/>
              <w:bottom w:val="single" w:color="auto" w:sz="6" w:space="0"/>
              <w:right w:val="single" w:color="auto" w:sz="4" w:space="0"/>
            </w:tcBorders>
            <w:vAlign w:val="center"/>
          </w:tcPr>
          <w:p>
            <w:pPr>
              <w:pStyle w:val="29"/>
              <w:snapToGrid w:val="0"/>
              <w:jc w:val="center"/>
              <w:rPr>
                <w:rFonts w:hint="eastAsia" w:hAnsi="宋体" w:cs="宋体"/>
                <w:color w:val="000000" w:themeColor="text1"/>
                <w14:textFill>
                  <w14:solidFill>
                    <w14:schemeClr w14:val="tx1"/>
                  </w14:solidFill>
                </w14:textFill>
              </w:rPr>
            </w:pPr>
          </w:p>
        </w:tc>
        <w:tc>
          <w:tcPr>
            <w:tcW w:w="1440" w:type="dxa"/>
            <w:tcBorders>
              <w:top w:val="single" w:color="auto" w:sz="6" w:space="0"/>
              <w:left w:val="single" w:color="auto" w:sz="4" w:space="0"/>
              <w:bottom w:val="single" w:color="auto" w:sz="6" w:space="0"/>
              <w:right w:val="single" w:color="auto" w:sz="6" w:space="0"/>
            </w:tcBorders>
            <w:vAlign w:val="center"/>
          </w:tcPr>
          <w:p>
            <w:pPr>
              <w:pStyle w:val="29"/>
              <w:snapToGrid w:val="0"/>
              <w:jc w:val="center"/>
              <w:rPr>
                <w:rFonts w:hint="eastAsia" w:hAnsi="宋体" w:cs="宋体"/>
                <w:color w:val="000000" w:themeColor="text1"/>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29"/>
              <w:snapToGrid w:val="0"/>
              <w:jc w:val="center"/>
              <w:rPr>
                <w:rFonts w:hint="eastAsia" w:hAnsi="宋体" w:cs="宋体"/>
                <w:color w:val="000000" w:themeColor="text1"/>
                <w14:textFill>
                  <w14:solidFill>
                    <w14:schemeClr w14:val="tx1"/>
                  </w14:solidFill>
                </w14:textFill>
              </w:rPr>
            </w:pPr>
          </w:p>
        </w:tc>
        <w:tc>
          <w:tcPr>
            <w:tcW w:w="1530" w:type="dxa"/>
            <w:tcBorders>
              <w:top w:val="single" w:color="auto" w:sz="6" w:space="0"/>
              <w:left w:val="single" w:color="auto" w:sz="6" w:space="0"/>
              <w:bottom w:val="single" w:color="auto" w:sz="6" w:space="0"/>
              <w:right w:val="single" w:color="auto" w:sz="2" w:space="0"/>
            </w:tcBorders>
            <w:vAlign w:val="center"/>
          </w:tcPr>
          <w:p>
            <w:pPr>
              <w:pStyle w:val="29"/>
              <w:snapToGrid w:val="0"/>
              <w:jc w:val="center"/>
              <w:rPr>
                <w:rFonts w:hint="eastAsia" w:hAnsi="宋体" w:cs="宋体"/>
                <w:color w:val="000000" w:themeColor="text1"/>
                <w14:textFill>
                  <w14:solidFill>
                    <w14:schemeClr w14:val="tx1"/>
                  </w14:solidFill>
                </w14:textFill>
              </w:rPr>
            </w:pPr>
            <w:r>
              <w:rPr>
                <w:rFonts w:hint="eastAsia" w:hAnsi="宋体" w:cs="宋体"/>
                <w:color w:val="000000" w:themeColor="text1"/>
                <w:u w:val="single"/>
                <w14:textFill>
                  <w14:solidFill>
                    <w14:schemeClr w14:val="tx1"/>
                  </w14:solidFill>
                </w14:textFill>
              </w:rPr>
              <w:t xml:space="preserve">            </w:t>
            </w:r>
            <w:r>
              <w:rPr>
                <w:rFonts w:hint="eastAsia" w:hAnsi="宋体" w:cs="宋体"/>
                <w:color w:val="000000" w:themeColor="text1"/>
                <w14:textFill>
                  <w14:solidFill>
                    <w14:schemeClr w14:val="tx1"/>
                  </w14:solidFill>
                </w14:textFill>
              </w:rPr>
              <w:t>%</w:t>
            </w:r>
          </w:p>
        </w:tc>
        <w:tc>
          <w:tcPr>
            <w:tcW w:w="1530" w:type="dxa"/>
            <w:tcBorders>
              <w:top w:val="single" w:color="auto" w:sz="6" w:space="0"/>
              <w:left w:val="single" w:color="auto" w:sz="6" w:space="0"/>
              <w:bottom w:val="single" w:color="auto" w:sz="6" w:space="0"/>
              <w:right w:val="single" w:color="auto" w:sz="2" w:space="0"/>
            </w:tcBorders>
            <w:vAlign w:val="center"/>
          </w:tcPr>
          <w:p>
            <w:pPr>
              <w:pStyle w:val="29"/>
              <w:snapToGrid w:val="0"/>
              <w:jc w:val="center"/>
              <w:rPr>
                <w:rFonts w:hint="eastAsia" w:hAnsi="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29"/>
              <w:snapToGrid w:val="0"/>
              <w:jc w:val="center"/>
              <w:rPr>
                <w:rFonts w:hint="eastAsia" w:hAnsi="宋体" w:cs="宋体"/>
                <w:color w:val="000000" w:themeColor="text1"/>
                <w14:textFill>
                  <w14:solidFill>
                    <w14:schemeClr w14:val="tx1"/>
                  </w14:solidFill>
                </w14:textFill>
              </w:rPr>
            </w:pPr>
          </w:p>
        </w:tc>
        <w:tc>
          <w:tcPr>
            <w:tcW w:w="2700" w:type="dxa"/>
            <w:tcBorders>
              <w:top w:val="single" w:color="auto" w:sz="6" w:space="0"/>
              <w:left w:val="single" w:color="auto" w:sz="2" w:space="0"/>
              <w:bottom w:val="single" w:color="auto" w:sz="6" w:space="0"/>
              <w:right w:val="single" w:color="auto" w:sz="4" w:space="0"/>
            </w:tcBorders>
            <w:vAlign w:val="center"/>
          </w:tcPr>
          <w:p>
            <w:pPr>
              <w:pStyle w:val="29"/>
              <w:snapToGrid w:val="0"/>
              <w:jc w:val="center"/>
              <w:rPr>
                <w:rFonts w:hint="eastAsia" w:hAnsi="宋体" w:cs="宋体"/>
                <w:color w:val="000000" w:themeColor="text1"/>
                <w14:textFill>
                  <w14:solidFill>
                    <w14:schemeClr w14:val="tx1"/>
                  </w14:solidFill>
                </w14:textFill>
              </w:rPr>
            </w:pPr>
          </w:p>
        </w:tc>
        <w:tc>
          <w:tcPr>
            <w:tcW w:w="1440" w:type="dxa"/>
            <w:tcBorders>
              <w:top w:val="single" w:color="auto" w:sz="6" w:space="0"/>
              <w:left w:val="single" w:color="auto" w:sz="4" w:space="0"/>
              <w:bottom w:val="single" w:color="auto" w:sz="6" w:space="0"/>
              <w:right w:val="single" w:color="auto" w:sz="6" w:space="0"/>
            </w:tcBorders>
            <w:vAlign w:val="center"/>
          </w:tcPr>
          <w:p>
            <w:pPr>
              <w:pStyle w:val="29"/>
              <w:snapToGrid w:val="0"/>
              <w:jc w:val="center"/>
              <w:rPr>
                <w:rFonts w:hint="eastAsia" w:hAnsi="宋体" w:cs="宋体"/>
                <w:color w:val="000000" w:themeColor="text1"/>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29"/>
              <w:snapToGrid w:val="0"/>
              <w:jc w:val="center"/>
              <w:rPr>
                <w:rFonts w:hint="eastAsia" w:hAnsi="宋体" w:cs="宋体"/>
                <w:color w:val="000000" w:themeColor="text1"/>
                <w14:textFill>
                  <w14:solidFill>
                    <w14:schemeClr w14:val="tx1"/>
                  </w14:solidFill>
                </w14:textFill>
              </w:rPr>
            </w:pPr>
          </w:p>
        </w:tc>
        <w:tc>
          <w:tcPr>
            <w:tcW w:w="1530" w:type="dxa"/>
            <w:tcBorders>
              <w:top w:val="single" w:color="auto" w:sz="6" w:space="0"/>
              <w:left w:val="single" w:color="auto" w:sz="6" w:space="0"/>
              <w:bottom w:val="single" w:color="auto" w:sz="6" w:space="0"/>
              <w:right w:val="single" w:color="auto" w:sz="2" w:space="0"/>
            </w:tcBorders>
            <w:vAlign w:val="center"/>
          </w:tcPr>
          <w:p>
            <w:pPr>
              <w:pStyle w:val="29"/>
              <w:snapToGrid w:val="0"/>
              <w:jc w:val="center"/>
              <w:rPr>
                <w:rFonts w:hint="eastAsia" w:hAnsi="宋体" w:cs="宋体"/>
                <w:color w:val="000000" w:themeColor="text1"/>
                <w14:textFill>
                  <w14:solidFill>
                    <w14:schemeClr w14:val="tx1"/>
                  </w14:solidFill>
                </w14:textFill>
              </w:rPr>
            </w:pPr>
            <w:r>
              <w:rPr>
                <w:rFonts w:hint="eastAsia" w:hAnsi="宋体" w:cs="宋体"/>
                <w:color w:val="000000" w:themeColor="text1"/>
                <w:u w:val="single"/>
                <w14:textFill>
                  <w14:solidFill>
                    <w14:schemeClr w14:val="tx1"/>
                  </w14:solidFill>
                </w14:textFill>
              </w:rPr>
              <w:t xml:space="preserve">            </w:t>
            </w:r>
            <w:r>
              <w:rPr>
                <w:rFonts w:hint="eastAsia" w:hAnsi="宋体" w:cs="宋体"/>
                <w:color w:val="000000" w:themeColor="text1"/>
                <w14:textFill>
                  <w14:solidFill>
                    <w14:schemeClr w14:val="tx1"/>
                  </w14:solidFill>
                </w14:textFill>
              </w:rPr>
              <w:t>%</w:t>
            </w:r>
          </w:p>
        </w:tc>
        <w:tc>
          <w:tcPr>
            <w:tcW w:w="1530" w:type="dxa"/>
            <w:tcBorders>
              <w:top w:val="single" w:color="auto" w:sz="6" w:space="0"/>
              <w:left w:val="single" w:color="auto" w:sz="6" w:space="0"/>
              <w:bottom w:val="single" w:color="auto" w:sz="6" w:space="0"/>
              <w:right w:val="single" w:color="auto" w:sz="2" w:space="0"/>
            </w:tcBorders>
            <w:vAlign w:val="center"/>
          </w:tcPr>
          <w:p>
            <w:pPr>
              <w:pStyle w:val="29"/>
              <w:snapToGrid w:val="0"/>
              <w:jc w:val="center"/>
              <w:rPr>
                <w:rFonts w:hint="eastAsia" w:hAnsi="宋体" w:cs="宋体"/>
                <w:color w:val="000000" w:themeColor="text1"/>
                <w14:textFill>
                  <w14:solidFill>
                    <w14:schemeClr w14:val="tx1"/>
                  </w14:solidFill>
                </w14:textFill>
              </w:rPr>
            </w:pPr>
          </w:p>
        </w:tc>
      </w:tr>
    </w:tbl>
    <w:p>
      <w:pPr>
        <w:snapToGrid w:val="0"/>
        <w:spacing w:before="100" w:beforeAutospacing="1" w:after="100" w:afterAutospacing="1" w:line="360" w:lineRule="auto"/>
        <w:ind w:firstLine="420" w:firstLineChars="200"/>
        <w:rPr>
          <w:rFonts w:hint="eastAsia" w:ascii="宋体" w:hAnsi="宋体" w:cs="宋体"/>
          <w:color w:val="000000" w:themeColor="text1"/>
          <w:spacing w:val="20"/>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法定代表人或委托代理人签字或签章</w:t>
      </w:r>
      <w:r>
        <w:rPr>
          <w:rFonts w:hint="eastAsia" w:ascii="宋体" w:hAnsi="宋体" w:cs="宋体"/>
          <w:color w:val="000000" w:themeColor="text1"/>
          <w:spacing w:val="20"/>
          <w:szCs w:val="21"/>
          <w14:textFill>
            <w14:solidFill>
              <w14:schemeClr w14:val="tx1"/>
            </w14:solidFill>
          </w14:textFill>
        </w:rPr>
        <w:t>：</w:t>
      </w:r>
      <w:r>
        <w:rPr>
          <w:rFonts w:hint="eastAsia" w:ascii="宋体" w:hAnsi="宋体" w:cs="宋体"/>
          <w:color w:val="000000" w:themeColor="text1"/>
          <w:spacing w:val="20"/>
          <w:szCs w:val="21"/>
          <w:u w:val="single"/>
          <w14:textFill>
            <w14:solidFill>
              <w14:schemeClr w14:val="tx1"/>
            </w14:solidFill>
          </w14:textFill>
        </w:rPr>
        <w:t xml:space="preserve">        </w:t>
      </w:r>
    </w:p>
    <w:p>
      <w:pPr>
        <w:snapToGrid w:val="0"/>
        <w:spacing w:before="100" w:beforeAutospacing="1" w:after="100" w:afterAutospacing="1" w:line="480" w:lineRule="auto"/>
        <w:ind w:firstLine="50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0"/>
          <w:szCs w:val="21"/>
          <w14:textFill>
            <w14:solidFill>
              <w14:schemeClr w14:val="tx1"/>
            </w14:solidFill>
          </w14:textFill>
        </w:rPr>
        <w:t>投标人盖章：</w:t>
      </w:r>
      <w:r>
        <w:rPr>
          <w:rFonts w:hint="eastAsia" w:ascii="宋体" w:hAnsi="宋体" w:cs="宋体"/>
          <w:color w:val="000000" w:themeColor="text1"/>
          <w:spacing w:val="20"/>
          <w:szCs w:val="21"/>
          <w:u w:val="single"/>
          <w14:textFill>
            <w14:solidFill>
              <w14:schemeClr w14:val="tx1"/>
            </w14:solidFill>
          </w14:textFill>
        </w:rPr>
        <w:t xml:space="preserve">            </w:t>
      </w:r>
      <w:r>
        <w:rPr>
          <w:rFonts w:hint="eastAsia" w:ascii="宋体" w:hAnsi="宋体" w:cs="宋体"/>
          <w:color w:val="000000" w:themeColor="text1"/>
          <w:spacing w:val="20"/>
          <w:szCs w:val="21"/>
          <w14:textFill>
            <w14:solidFill>
              <w14:schemeClr w14:val="tx1"/>
            </w14:solidFill>
          </w14:textFill>
        </w:rPr>
        <w:t xml:space="preserve">            日 期：</w:t>
      </w:r>
      <w:r>
        <w:rPr>
          <w:rFonts w:hint="eastAsia" w:ascii="宋体" w:hAnsi="宋体" w:cs="宋体"/>
          <w:color w:val="000000" w:themeColor="text1"/>
          <w:spacing w:val="20"/>
          <w:szCs w:val="21"/>
          <w:u w:val="single"/>
          <w14:textFill>
            <w14:solidFill>
              <w14:schemeClr w14:val="tx1"/>
            </w14:solidFill>
          </w14:textFill>
        </w:rPr>
        <w:t xml:space="preserve">            </w:t>
      </w:r>
    </w:p>
    <w:p>
      <w:pPr>
        <w:snapToGrid w:val="0"/>
        <w:spacing w:before="50" w:after="156" w:afterLines="50" w:line="360" w:lineRule="exact"/>
        <w:jc w:val="left"/>
        <w:rPr>
          <w:rFonts w:hint="eastAsia" w:ascii="宋体" w:hAnsi="宋体" w:cs="宋体"/>
          <w:color w:val="000000" w:themeColor="text1"/>
          <w:szCs w:val="21"/>
          <w14:textFill>
            <w14:solidFill>
              <w14:schemeClr w14:val="tx1"/>
            </w14:solidFill>
          </w14:textFill>
        </w:rPr>
      </w:pPr>
    </w:p>
    <w:p>
      <w:pPr>
        <w:snapToGrid w:val="0"/>
        <w:spacing w:before="50" w:after="156" w:afterLines="50" w:line="38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（7）投标人对本项目的合理化建议和改进措施（格式自拟）</w:t>
      </w:r>
    </w:p>
    <w:p>
      <w:pPr>
        <w:snapToGrid w:val="0"/>
        <w:spacing w:before="50" w:after="156" w:afterLines="50" w:line="38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（8）投标人需要说明的其他文件和说明（格式自拟）</w:t>
      </w:r>
    </w:p>
    <w:p>
      <w:pPr>
        <w:snapToGrid w:val="0"/>
        <w:spacing w:line="38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▲（9）招标项目采购需求中要求必须提供的材料。（招标项目采购需求中要求必须提供的材料，据实提供）</w:t>
      </w:r>
    </w:p>
    <w:p>
      <w:pPr>
        <w:snapToGrid w:val="0"/>
        <w:spacing w:before="50" w:line="360" w:lineRule="exact"/>
        <w:jc w:val="left"/>
        <w:rPr>
          <w:rFonts w:hint="eastAsia" w:ascii="宋体" w:hAnsi="宋体" w:cs="宋体"/>
          <w:b/>
          <w:color w:val="000000" w:themeColor="text1"/>
          <w:szCs w:val="21"/>
          <w14:textFill>
            <w14:solidFill>
              <w14:schemeClr w14:val="tx1"/>
            </w14:solidFill>
          </w14:textFill>
        </w:rPr>
      </w:pPr>
    </w:p>
    <w:p>
      <w:pPr>
        <w:snapToGrid w:val="0"/>
        <w:spacing w:before="156" w:beforeLines="50" w:after="50" w:line="360" w:lineRule="exact"/>
        <w:ind w:firstLine="421" w:firstLineChars="200"/>
        <w:outlineLvl w:val="0"/>
        <w:rPr>
          <w:rFonts w:hint="eastAsia" w:ascii="宋体" w:hAnsi="宋体" w:cs="宋体"/>
          <w:b/>
          <w:color w:val="000000" w:themeColor="text1"/>
          <w:szCs w:val="21"/>
          <w14:textFill>
            <w14:solidFill>
              <w14:schemeClr w14:val="tx1"/>
            </w14:solidFill>
          </w14:textFill>
        </w:rPr>
      </w:pPr>
    </w:p>
    <w:p>
      <w:pPr>
        <w:snapToGrid w:val="0"/>
        <w:spacing w:before="156" w:beforeLines="50" w:after="50" w:line="360" w:lineRule="exact"/>
        <w:ind w:firstLine="421" w:firstLineChars="200"/>
        <w:outlineLvl w:val="0"/>
        <w:rPr>
          <w:rFonts w:hint="eastAsia" w:ascii="宋体" w:hAnsi="宋体" w:cs="宋体"/>
          <w:b/>
          <w:color w:val="000000" w:themeColor="text1"/>
          <w:szCs w:val="21"/>
          <w14:textFill>
            <w14:solidFill>
              <w14:schemeClr w14:val="tx1"/>
            </w14:solidFill>
          </w14:textFill>
        </w:rPr>
      </w:pPr>
    </w:p>
    <w:p>
      <w:pPr>
        <w:snapToGrid w:val="0"/>
        <w:spacing w:before="156" w:beforeLines="50" w:after="50" w:line="360" w:lineRule="exact"/>
        <w:ind w:firstLine="421" w:firstLineChars="200"/>
        <w:outlineLvl w:val="0"/>
        <w:rPr>
          <w:rFonts w:hint="eastAsia" w:ascii="宋体" w:hAnsi="宋体" w:cs="宋体"/>
          <w:b/>
          <w:color w:val="000000" w:themeColor="text1"/>
          <w:szCs w:val="21"/>
          <w14:textFill>
            <w14:solidFill>
              <w14:schemeClr w14:val="tx1"/>
            </w14:solidFill>
          </w14:textFill>
        </w:rPr>
      </w:pPr>
    </w:p>
    <w:p>
      <w:pPr>
        <w:snapToGrid w:val="0"/>
        <w:spacing w:before="156" w:beforeLines="50" w:after="50" w:line="360" w:lineRule="exact"/>
        <w:ind w:firstLine="421" w:firstLineChars="200"/>
        <w:outlineLvl w:val="0"/>
        <w:rPr>
          <w:rFonts w:hint="eastAsia" w:ascii="宋体" w:hAnsi="宋体" w:cs="宋体"/>
          <w:b/>
          <w:color w:val="000000" w:themeColor="text1"/>
          <w:szCs w:val="21"/>
          <w14:textFill>
            <w14:solidFill>
              <w14:schemeClr w14:val="tx1"/>
            </w14:solidFill>
          </w14:textFill>
        </w:rPr>
      </w:pPr>
    </w:p>
    <w:p>
      <w:pPr>
        <w:snapToGrid w:val="0"/>
        <w:spacing w:before="156" w:beforeLines="50" w:after="50" w:line="360" w:lineRule="exact"/>
        <w:ind w:firstLine="421" w:firstLineChars="200"/>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四）报价文件部分 （格式）</w:t>
      </w:r>
    </w:p>
    <w:p>
      <w:pPr>
        <w:snapToGrid w:val="0"/>
        <w:spacing w:before="156" w:beforeLines="50" w:after="50" w:line="360" w:lineRule="exact"/>
        <w:ind w:firstLine="421"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（1）投标函格式：</w:t>
      </w:r>
    </w:p>
    <w:p>
      <w:pPr>
        <w:snapToGrid w:val="0"/>
        <w:spacing w:before="156" w:beforeLines="50" w:after="50" w:line="360" w:lineRule="exact"/>
        <w:jc w:val="center"/>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投 标 函</w:t>
      </w:r>
    </w:p>
    <w:p>
      <w:pPr>
        <w:snapToGrid w:val="0"/>
        <w:spacing w:line="5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致：</w:t>
      </w:r>
      <w:r>
        <w:rPr>
          <w:rFonts w:hint="eastAsia" w:ascii="宋体" w:hAnsi="宋体" w:cs="宋体"/>
          <w:color w:val="000000" w:themeColor="text1"/>
          <w:u w:val="single"/>
          <w14:textFill>
            <w14:solidFill>
              <w14:schemeClr w14:val="tx1"/>
            </w14:solidFill>
          </w14:textFill>
        </w:rPr>
        <w:t>广西壮族自治区政府采购中心</w:t>
      </w:r>
      <w:r>
        <w:rPr>
          <w:rFonts w:hint="eastAsia" w:ascii="宋体" w:hAnsi="宋体" w:cs="宋体"/>
          <w:color w:val="000000" w:themeColor="text1"/>
          <w:szCs w:val="21"/>
          <w14:textFill>
            <w14:solidFill>
              <w14:schemeClr w14:val="tx1"/>
            </w14:solidFill>
          </w14:textFill>
        </w:rPr>
        <w:t>：</w:t>
      </w:r>
    </w:p>
    <w:p>
      <w:pPr>
        <w:snapToGrid w:val="0"/>
        <w:spacing w:line="5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根据贵方为</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项目的招标公告（项目编号：</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），签字代表</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（全名）经正式授权并代表投标人</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（投标人名称）上传并提交加密的电子投标文件一份。</w:t>
      </w:r>
    </w:p>
    <w:p>
      <w:pPr>
        <w:snapToGrid w:val="0"/>
        <w:spacing w:line="5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据此函，签字代表宣布同意如下：</w:t>
      </w:r>
    </w:p>
    <w:p>
      <w:pPr>
        <w:snapToGrid w:val="0"/>
        <w:spacing w:line="5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1.投标人已详细审查全部“招标文件”，包括修改文件（如有的话）以及全部参考资料和有关附件，已经了解我方对于招标文件、采购过程、采购结果有依法进行询问、质疑、投诉的权利及相关渠道和要求。</w:t>
      </w:r>
    </w:p>
    <w:p>
      <w:pPr>
        <w:snapToGrid w:val="0"/>
        <w:spacing w:line="5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2.投标人在投标之前已经与贵方进行了充分的沟通，完全理解并接受招标文件的各项规定和要求，对招标文件的合理性、合法性不再有异议。</w:t>
      </w:r>
    </w:p>
    <w:p>
      <w:pPr>
        <w:snapToGrid w:val="0"/>
        <w:spacing w:line="5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3.本投标有效期自开标日起</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个</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日（自然日）。</w:t>
      </w:r>
    </w:p>
    <w:p>
      <w:pPr>
        <w:snapToGrid w:val="0"/>
        <w:spacing w:line="5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4.如中标，本投标文件至本项目合同履行完毕止均保持有效，本投标人将按“招标文件”及政府采购法律、法规的规定履行合同责任和义务。</w:t>
      </w:r>
    </w:p>
    <w:p>
      <w:pPr>
        <w:snapToGrid w:val="0"/>
        <w:spacing w:line="5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5.投标人同意按照贵方要求提供与投标有关的一切数据或资料。</w:t>
      </w:r>
    </w:p>
    <w:p>
      <w:pPr>
        <w:snapToGrid w:val="0"/>
        <w:spacing w:line="5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6.与本投标有关的一切正式往来信函请寄：</w:t>
      </w:r>
    </w:p>
    <w:p>
      <w:pPr>
        <w:snapToGrid w:val="0"/>
        <w:spacing w:line="5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地址：</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邮编：</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电话：</w:t>
      </w:r>
      <w:r>
        <w:rPr>
          <w:rFonts w:hint="eastAsia" w:ascii="宋体" w:hAnsi="宋体" w:cs="宋体"/>
          <w:color w:val="000000" w:themeColor="text1"/>
          <w:szCs w:val="21"/>
          <w:u w:val="single"/>
          <w14:textFill>
            <w14:solidFill>
              <w14:schemeClr w14:val="tx1"/>
            </w14:solidFill>
          </w14:textFill>
        </w:rPr>
        <w:t xml:space="preserve">               </w:t>
      </w:r>
    </w:p>
    <w:p>
      <w:pPr>
        <w:snapToGrid w:val="0"/>
        <w:spacing w:line="5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传真：</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投标人代表姓名：</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职务：</w:t>
      </w:r>
      <w:r>
        <w:rPr>
          <w:rFonts w:hint="eastAsia" w:ascii="宋体" w:hAnsi="宋体" w:cs="宋体"/>
          <w:color w:val="000000" w:themeColor="text1"/>
          <w:szCs w:val="21"/>
          <w:u w:val="single"/>
          <w14:textFill>
            <w14:solidFill>
              <w14:schemeClr w14:val="tx1"/>
            </w14:solidFill>
          </w14:textFill>
        </w:rPr>
        <w:t xml:space="preserve">             </w:t>
      </w:r>
    </w:p>
    <w:p>
      <w:pPr>
        <w:snapToGrid w:val="0"/>
        <w:spacing w:line="5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投标人名称(公章)：</w:t>
      </w:r>
      <w:r>
        <w:rPr>
          <w:rFonts w:hint="eastAsia" w:ascii="宋体" w:hAnsi="宋体" w:cs="宋体"/>
          <w:color w:val="000000" w:themeColor="text1"/>
          <w:szCs w:val="21"/>
          <w:u w:val="single"/>
          <w14:textFill>
            <w14:solidFill>
              <w14:schemeClr w14:val="tx1"/>
            </w14:solidFill>
          </w14:textFill>
        </w:rPr>
        <w:t xml:space="preserve">                   </w:t>
      </w:r>
    </w:p>
    <w:p>
      <w:pPr>
        <w:snapToGrid w:val="0"/>
        <w:spacing w:line="5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开户银行：</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银行账号：</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w:t>
      </w:r>
    </w:p>
    <w:p>
      <w:pPr>
        <w:snapToGrid w:val="0"/>
        <w:spacing w:line="5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法定代表人或委托代理人签字或签章：</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w:t>
      </w:r>
    </w:p>
    <w:p>
      <w:pPr>
        <w:snapToGrid w:val="0"/>
        <w:spacing w:line="5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日期：</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日</w:t>
      </w:r>
    </w:p>
    <w:p>
      <w:pPr>
        <w:pStyle w:val="29"/>
        <w:snapToGrid w:val="0"/>
        <w:spacing w:line="50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(公章)</w:t>
      </w:r>
    </w:p>
    <w:p>
      <w:pPr>
        <w:pStyle w:val="29"/>
        <w:snapToGrid w:val="0"/>
        <w:spacing w:line="50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年</w:t>
      </w:r>
      <w:r>
        <w:rPr>
          <w:rFonts w:hint="eastAsia" w:hAnsi="宋体" w:cs="宋体"/>
          <w:color w:val="000000" w:themeColor="text1"/>
          <w:u w:val="single"/>
          <w14:textFill>
            <w14:solidFill>
              <w14:schemeClr w14:val="tx1"/>
            </w14:solidFill>
          </w14:textFill>
        </w:rPr>
        <w:t xml:space="preserve">    </w:t>
      </w:r>
      <w:r>
        <w:rPr>
          <w:rFonts w:hint="eastAsia" w:hAnsi="宋体" w:cs="宋体"/>
          <w:color w:val="000000" w:themeColor="text1"/>
          <w14:textFill>
            <w14:solidFill>
              <w14:schemeClr w14:val="tx1"/>
            </w14:solidFill>
          </w14:textFill>
        </w:rPr>
        <w:t>月</w:t>
      </w:r>
      <w:r>
        <w:rPr>
          <w:rFonts w:hint="eastAsia" w:hAnsi="宋体" w:cs="宋体"/>
          <w:color w:val="000000" w:themeColor="text1"/>
          <w:u w:val="single"/>
          <w14:textFill>
            <w14:solidFill>
              <w14:schemeClr w14:val="tx1"/>
            </w14:solidFill>
          </w14:textFill>
        </w:rPr>
        <w:t xml:space="preserve">    </w:t>
      </w:r>
      <w:r>
        <w:rPr>
          <w:rFonts w:hint="eastAsia" w:hAnsi="宋体" w:cs="宋体"/>
          <w:color w:val="000000" w:themeColor="text1"/>
          <w14:textFill>
            <w14:solidFill>
              <w14:schemeClr w14:val="tx1"/>
            </w14:solidFill>
          </w14:textFill>
        </w:rPr>
        <w:t>日</w:t>
      </w:r>
    </w:p>
    <w:p>
      <w:pPr>
        <w:snapToGrid w:val="0"/>
        <w:spacing w:before="156" w:beforeLines="50" w:after="50" w:line="360" w:lineRule="exact"/>
        <w:rPr>
          <w:rFonts w:hint="eastAsia" w:ascii="宋体" w:hAnsi="宋体" w:cs="宋体"/>
          <w:b/>
          <w:color w:val="000000" w:themeColor="text1"/>
          <w:szCs w:val="21"/>
          <w14:textFill>
            <w14:solidFill>
              <w14:schemeClr w14:val="tx1"/>
            </w14:solidFill>
          </w14:textFill>
        </w:rPr>
      </w:pPr>
    </w:p>
    <w:p>
      <w:pPr>
        <w:pStyle w:val="51"/>
        <w:ind w:firstLine="241"/>
        <w:rPr>
          <w:rFonts w:hint="eastAsia" w:ascii="宋体" w:hAnsi="宋体" w:cs="宋体"/>
          <w:b/>
          <w:color w:val="000000" w:themeColor="text1"/>
          <w:szCs w:val="21"/>
          <w14:textFill>
            <w14:solidFill>
              <w14:schemeClr w14:val="tx1"/>
            </w14:solidFill>
          </w14:textFill>
        </w:rPr>
      </w:pPr>
    </w:p>
    <w:p>
      <w:pPr>
        <w:pStyle w:val="51"/>
        <w:ind w:firstLine="241"/>
        <w:rPr>
          <w:rFonts w:hint="eastAsia" w:ascii="宋体" w:hAnsi="宋体" w:cs="宋体"/>
          <w:b/>
          <w:color w:val="000000" w:themeColor="text1"/>
          <w:szCs w:val="21"/>
          <w14:textFill>
            <w14:solidFill>
              <w14:schemeClr w14:val="tx1"/>
            </w14:solidFill>
          </w14:textFill>
        </w:rPr>
      </w:pPr>
    </w:p>
    <w:p>
      <w:pPr>
        <w:snapToGrid w:val="0"/>
        <w:spacing w:line="360" w:lineRule="exact"/>
        <w:ind w:firstLine="421"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（2）投标报价明细表格式</w:t>
      </w:r>
    </w:p>
    <w:p>
      <w:pPr>
        <w:pStyle w:val="29"/>
        <w:snapToGrid w:val="0"/>
        <w:spacing w:line="36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 xml:space="preserve">                                                金额单位：人民币（元）</w:t>
      </w:r>
    </w:p>
    <w:tbl>
      <w:tblPr>
        <w:tblStyle w:val="52"/>
        <w:tblW w:w="0" w:type="auto"/>
        <w:tblInd w:w="13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6"/>
        <w:gridCol w:w="1541"/>
        <w:gridCol w:w="649"/>
        <w:gridCol w:w="1080"/>
        <w:gridCol w:w="1080"/>
        <w:gridCol w:w="1459"/>
        <w:gridCol w:w="845"/>
        <w:gridCol w:w="183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46"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序号</w:t>
            </w:r>
          </w:p>
        </w:tc>
        <w:tc>
          <w:tcPr>
            <w:tcW w:w="1541"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设备名称</w:t>
            </w:r>
          </w:p>
        </w:tc>
        <w:tc>
          <w:tcPr>
            <w:tcW w:w="649" w:type="dxa"/>
            <w:tcBorders>
              <w:top w:val="single" w:color="auto" w:sz="4" w:space="0"/>
              <w:left w:val="single" w:color="auto" w:sz="4" w:space="0"/>
              <w:bottom w:val="single" w:color="auto" w:sz="4" w:space="0"/>
              <w:right w:val="single" w:color="auto" w:sz="4" w:space="0"/>
            </w:tcBorders>
            <w:vAlign w:val="center"/>
          </w:tcPr>
          <w:p>
            <w:pPr>
              <w:pStyle w:val="244"/>
              <w:jc w:val="center"/>
              <w:rPr>
                <w:rFonts w:hint="eastAsia" w:cs="宋体"/>
                <w:color w:val="000000" w:themeColor="text1"/>
                <w14:textFill>
                  <w14:solidFill>
                    <w14:schemeClr w14:val="tx1"/>
                  </w14:solidFill>
                </w14:textFill>
              </w:rPr>
            </w:pPr>
            <w:r>
              <w:rPr>
                <w:rFonts w:hint="eastAsia" w:cs="宋体"/>
                <w:b w:val="0"/>
                <w:bCs/>
                <w:color w:val="000000" w:themeColor="text1"/>
                <w14:textFill>
                  <w14:solidFill>
                    <w14:schemeClr w14:val="tx1"/>
                  </w14:solidFill>
                </w14:textFill>
              </w:rPr>
              <w:t>品牌</w:t>
            </w:r>
          </w:p>
        </w:tc>
        <w:tc>
          <w:tcPr>
            <w:tcW w:w="108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2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规格型号</w:t>
            </w:r>
          </w:p>
        </w:tc>
        <w:tc>
          <w:tcPr>
            <w:tcW w:w="108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2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生产厂家</w:t>
            </w:r>
          </w:p>
        </w:tc>
        <w:tc>
          <w:tcPr>
            <w:tcW w:w="1459"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单位及数量</w:t>
            </w:r>
          </w:p>
        </w:tc>
        <w:tc>
          <w:tcPr>
            <w:tcW w:w="845"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单价</w:t>
            </w:r>
          </w:p>
        </w:tc>
        <w:tc>
          <w:tcPr>
            <w:tcW w:w="1836"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46"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1541"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649"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1459"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845"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1836"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46"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1541"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649"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1459"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845"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1836"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46"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1541"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r>
              <w:rPr>
                <w:rFonts w:hint="eastAsia" w:ascii="宋体" w:hAnsi="宋体" w:cs="宋体"/>
                <w:color w:val="000000" w:themeColor="text1"/>
                <w:spacing w:val="20"/>
                <w:szCs w:val="21"/>
                <w14:textFill>
                  <w14:solidFill>
                    <w14:schemeClr w14:val="tx1"/>
                  </w14:solidFill>
                </w14:textFill>
              </w:rPr>
              <w:t>……</w:t>
            </w:r>
          </w:p>
        </w:tc>
        <w:tc>
          <w:tcPr>
            <w:tcW w:w="649"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1459"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845"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c>
          <w:tcPr>
            <w:tcW w:w="1836"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s="宋体"/>
                <w:color w:val="000000" w:themeColor="text1"/>
                <w:spacing w:val="2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500" w:type="dxa"/>
            <w:gridSpan w:val="7"/>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rPr>
                <w:rFonts w:hint="eastAsia" w:ascii="宋体" w:hAnsi="宋体" w:cs="宋体"/>
                <w:color w:val="000000" w:themeColor="text1"/>
                <w:spacing w:val="20"/>
                <w:szCs w:val="21"/>
                <w14:textFill>
                  <w14:solidFill>
                    <w14:schemeClr w14:val="tx1"/>
                  </w14:solidFill>
                </w14:textFill>
              </w:rPr>
            </w:pPr>
            <w:r>
              <w:rPr>
                <w:rFonts w:hint="eastAsia" w:ascii="宋体" w:hAnsi="宋体" w:cs="宋体"/>
                <w:color w:val="000000" w:themeColor="text1"/>
                <w14:textFill>
                  <w14:solidFill>
                    <w14:schemeClr w14:val="tx1"/>
                  </w14:solidFill>
                </w14:textFill>
              </w:rPr>
              <w:t>分标</w:t>
            </w:r>
            <w:r>
              <w:rPr>
                <w:rFonts w:hint="eastAsia" w:ascii="宋体" w:hAnsi="宋体" w:cs="宋体"/>
                <w:color w:val="000000" w:themeColor="text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合计金额大写：</w:t>
            </w:r>
          </w:p>
        </w:tc>
        <w:tc>
          <w:tcPr>
            <w:tcW w:w="1836"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rPr>
                <w:rFonts w:hint="eastAsia" w:ascii="宋体" w:hAnsi="宋体" w:cs="宋体"/>
                <w:color w:val="000000" w:themeColor="text1"/>
                <w:spacing w:val="2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u w:val="single"/>
                <w14:textFill>
                  <w14:solidFill>
                    <w14:schemeClr w14:val="tx1"/>
                  </w14:solidFill>
                </w14:textFill>
              </w:rPr>
              <w:t xml:space="preserve">            </w:t>
            </w:r>
          </w:p>
        </w:tc>
      </w:tr>
    </w:tbl>
    <w:p>
      <w:pPr>
        <w:tabs>
          <w:tab w:val="left" w:pos="1418"/>
        </w:tabs>
        <w:snapToGrid w:val="0"/>
        <w:ind w:left="1418" w:hanging="567"/>
        <w:jc w:val="center"/>
        <w:rPr>
          <w:rFonts w:hint="eastAsia" w:ascii="宋体" w:hAnsi="宋体" w:cs="宋体"/>
          <w:color w:val="000000" w:themeColor="text1"/>
          <w:spacing w:val="20"/>
          <w:szCs w:val="21"/>
          <w:u w:val="single"/>
          <w14:textFill>
            <w14:solidFill>
              <w14:schemeClr w14:val="tx1"/>
            </w14:solidFill>
          </w14:textFill>
        </w:rPr>
      </w:pPr>
    </w:p>
    <w:p>
      <w:pPr>
        <w:snapToGrid w:val="0"/>
        <w:ind w:firstLine="420" w:firstLineChars="200"/>
        <w:rPr>
          <w:rFonts w:hint="eastAsia" w:ascii="宋体" w:hAnsi="宋体" w:cs="宋体"/>
          <w:color w:val="000000" w:themeColor="text1"/>
          <w:spacing w:val="20"/>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法定代表人或委托代理人</w:t>
      </w:r>
      <w:r>
        <w:rPr>
          <w:rFonts w:hint="eastAsia" w:ascii="宋体" w:hAnsi="宋体" w:cs="宋体"/>
          <w:color w:val="000000" w:themeColor="text1"/>
          <w:szCs w:val="21"/>
          <w:lang w:val="en"/>
          <w14:textFill>
            <w14:solidFill>
              <w14:schemeClr w14:val="tx1"/>
            </w14:solidFill>
          </w14:textFill>
        </w:rPr>
        <w:t>签字或签章</w:t>
      </w:r>
      <w:r>
        <w:rPr>
          <w:rFonts w:hint="eastAsia" w:ascii="宋体" w:hAnsi="宋体" w:cs="宋体"/>
          <w:color w:val="000000" w:themeColor="text1"/>
          <w:spacing w:val="20"/>
          <w:szCs w:val="21"/>
          <w14:textFill>
            <w14:solidFill>
              <w14:schemeClr w14:val="tx1"/>
            </w14:solidFill>
          </w14:textFill>
        </w:rPr>
        <w:t>：</w:t>
      </w:r>
      <w:r>
        <w:rPr>
          <w:rFonts w:hint="eastAsia" w:ascii="宋体" w:hAnsi="宋体" w:cs="宋体"/>
          <w:color w:val="000000" w:themeColor="text1"/>
          <w:spacing w:val="20"/>
          <w:szCs w:val="21"/>
          <w:u w:val="single"/>
          <w14:textFill>
            <w14:solidFill>
              <w14:schemeClr w14:val="tx1"/>
            </w14:solidFill>
          </w14:textFill>
        </w:rPr>
        <w:t xml:space="preserve">          </w:t>
      </w:r>
    </w:p>
    <w:p>
      <w:pPr>
        <w:snapToGrid w:val="0"/>
        <w:rPr>
          <w:rFonts w:hint="eastAsia" w:ascii="宋体" w:hAnsi="宋体" w:cs="宋体"/>
          <w:color w:val="000000" w:themeColor="text1"/>
          <w:spacing w:val="20"/>
          <w:szCs w:val="21"/>
          <w:u w:val="single"/>
          <w14:textFill>
            <w14:solidFill>
              <w14:schemeClr w14:val="tx1"/>
            </w14:solidFill>
          </w14:textFill>
        </w:rPr>
      </w:pPr>
    </w:p>
    <w:p>
      <w:pPr>
        <w:snapToGrid w:val="0"/>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投标人盖章：                               日  期：         </w:t>
      </w:r>
    </w:p>
    <w:p>
      <w:pPr>
        <w:snapToGrid w:val="0"/>
        <w:rPr>
          <w:rFonts w:hint="eastAsia" w:ascii="宋体" w:hAnsi="宋体" w:cs="宋体"/>
          <w:b/>
          <w:color w:val="000000" w:themeColor="text1"/>
          <w:szCs w:val="21"/>
          <w14:textFill>
            <w14:solidFill>
              <w14:schemeClr w14:val="tx1"/>
            </w14:solidFill>
          </w14:textFill>
        </w:rPr>
      </w:pPr>
    </w:p>
    <w:p>
      <w:pPr>
        <w:snapToGrid w:val="0"/>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投标人针对报价需要说明的其他文件和说明（格式自拟）</w:t>
      </w:r>
    </w:p>
    <w:p>
      <w:pPr>
        <w:snapToGrid w:val="0"/>
        <w:ind w:firstLine="421" w:firstLineChars="200"/>
        <w:rPr>
          <w:rFonts w:hint="eastAsia" w:ascii="宋体" w:hAnsi="宋体" w:cs="宋体"/>
          <w:b/>
          <w:color w:val="000000" w:themeColor="text1"/>
          <w:szCs w:val="21"/>
          <w14:textFill>
            <w14:solidFill>
              <w14:schemeClr w14:val="tx1"/>
            </w14:solidFill>
          </w14:textFill>
        </w:rPr>
      </w:pPr>
    </w:p>
    <w:p>
      <w:pPr>
        <w:pStyle w:val="69"/>
        <w:rPr>
          <w:rFonts w:hint="eastAsia" w:ascii="宋体" w:hAnsi="宋体" w:cs="宋体"/>
          <w:b/>
          <w:color w:val="000000" w:themeColor="text1"/>
          <w:szCs w:val="21"/>
          <w14:textFill>
            <w14:solidFill>
              <w14:schemeClr w14:val="tx1"/>
            </w14:solidFill>
          </w14:textFill>
        </w:rPr>
      </w:pPr>
    </w:p>
    <w:p>
      <w:pPr>
        <w:pStyle w:val="69"/>
        <w:rPr>
          <w:rFonts w:hint="eastAsia" w:ascii="宋体" w:hAnsi="宋体" w:cs="宋体"/>
          <w:b/>
          <w:color w:val="000000" w:themeColor="text1"/>
          <w:szCs w:val="21"/>
          <w14:textFill>
            <w14:solidFill>
              <w14:schemeClr w14:val="tx1"/>
            </w14:solidFill>
          </w14:textFill>
        </w:rPr>
      </w:pPr>
    </w:p>
    <w:p>
      <w:pPr>
        <w:pStyle w:val="69"/>
        <w:rPr>
          <w:rFonts w:hint="eastAsia" w:ascii="宋体" w:hAnsi="宋体" w:cs="宋体"/>
          <w:b/>
          <w:color w:val="000000" w:themeColor="text1"/>
          <w:szCs w:val="21"/>
          <w14:textFill>
            <w14:solidFill>
              <w14:schemeClr w14:val="tx1"/>
            </w14:solidFill>
          </w14:textFill>
        </w:rPr>
      </w:pPr>
    </w:p>
    <w:p>
      <w:pPr>
        <w:pStyle w:val="69"/>
        <w:rPr>
          <w:rFonts w:hint="eastAsia" w:ascii="宋体" w:hAnsi="宋体" w:cs="宋体"/>
          <w:b/>
          <w:color w:val="000000" w:themeColor="text1"/>
          <w:szCs w:val="21"/>
          <w14:textFill>
            <w14:solidFill>
              <w14:schemeClr w14:val="tx1"/>
            </w14:solidFill>
          </w14:textFill>
        </w:rPr>
      </w:pPr>
    </w:p>
    <w:p>
      <w:pPr>
        <w:pStyle w:val="69"/>
        <w:rPr>
          <w:rFonts w:hint="eastAsia" w:ascii="宋体" w:hAnsi="宋体" w:cs="宋体"/>
          <w:b/>
          <w:color w:val="000000" w:themeColor="text1"/>
          <w:szCs w:val="21"/>
          <w14:textFill>
            <w14:solidFill>
              <w14:schemeClr w14:val="tx1"/>
            </w14:solidFill>
          </w14:textFill>
        </w:rPr>
      </w:pPr>
    </w:p>
    <w:p>
      <w:pPr>
        <w:pStyle w:val="69"/>
        <w:rPr>
          <w:rFonts w:hint="eastAsia" w:ascii="宋体" w:hAnsi="宋体" w:cs="宋体"/>
          <w:b/>
          <w:color w:val="000000" w:themeColor="text1"/>
          <w:szCs w:val="21"/>
          <w14:textFill>
            <w14:solidFill>
              <w14:schemeClr w14:val="tx1"/>
            </w14:solidFill>
          </w14:textFill>
        </w:rPr>
      </w:pPr>
    </w:p>
    <w:p>
      <w:pPr>
        <w:pStyle w:val="69"/>
        <w:rPr>
          <w:rFonts w:hint="eastAsia" w:ascii="宋体" w:hAnsi="宋体" w:cs="宋体"/>
          <w:b/>
          <w:color w:val="000000" w:themeColor="text1"/>
          <w:szCs w:val="21"/>
          <w14:textFill>
            <w14:solidFill>
              <w14:schemeClr w14:val="tx1"/>
            </w14:solidFill>
          </w14:textFill>
        </w:rPr>
      </w:pPr>
    </w:p>
    <w:p>
      <w:pPr>
        <w:snapToGrid w:val="0"/>
        <w:spacing w:line="360" w:lineRule="exact"/>
        <w:ind w:firstLine="421"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（4）开标一览表</w:t>
      </w:r>
    </w:p>
    <w:p>
      <w:pPr>
        <w:snapToGrid w:val="0"/>
        <w:spacing w:line="36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开标一览表</w:t>
      </w:r>
    </w:p>
    <w:p>
      <w:pPr>
        <w:snapToGrid w:val="0"/>
        <w:spacing w:line="360" w:lineRule="exact"/>
        <w:ind w:firstLine="420"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项目名称：</w:t>
      </w:r>
    </w:p>
    <w:p>
      <w:pPr>
        <w:snapToGrid w:val="0"/>
        <w:spacing w:line="360" w:lineRule="exact"/>
        <w:ind w:firstLine="420"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项目编号：                                        </w:t>
      </w:r>
    </w:p>
    <w:p>
      <w:pPr>
        <w:snapToGrid w:val="0"/>
        <w:spacing w:line="360" w:lineRule="exact"/>
        <w:ind w:firstLine="420"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                                                金额单位：人民币（元）</w:t>
      </w:r>
    </w:p>
    <w:tbl>
      <w:tblPr>
        <w:tblStyle w:val="52"/>
        <w:tblW w:w="933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6"/>
        <w:gridCol w:w="1180"/>
        <w:gridCol w:w="850"/>
        <w:gridCol w:w="749"/>
        <w:gridCol w:w="1855"/>
        <w:gridCol w:w="1381"/>
        <w:gridCol w:w="751"/>
        <w:gridCol w:w="17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序号</w:t>
            </w:r>
          </w:p>
        </w:tc>
        <w:tc>
          <w:tcPr>
            <w:tcW w:w="11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设备名称</w:t>
            </w: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数量</w:t>
            </w: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产地</w:t>
            </w: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品牌及厂家</w:t>
            </w: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规格型号</w:t>
            </w: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单价</w:t>
            </w: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11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bCs/>
                <w:color w:val="000000" w:themeColor="text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bCs/>
                <w:color w:val="000000" w:themeColor="text1"/>
                <w:szCs w:val="21"/>
                <w14:textFill>
                  <w14:solidFill>
                    <w14:schemeClr w14:val="tx1"/>
                  </w14:solidFill>
                </w14:textFill>
              </w:rPr>
            </w:pP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11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bCs/>
                <w:color w:val="000000" w:themeColor="text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bCs/>
                <w:color w:val="000000" w:themeColor="text1"/>
                <w:szCs w:val="21"/>
                <w14:textFill>
                  <w14:solidFill>
                    <w14:schemeClr w14:val="tx1"/>
                  </w14:solidFill>
                </w14:textFill>
              </w:rPr>
            </w:pP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c>
          <w:tcPr>
            <w:tcW w:w="11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w:t>
            </w: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bCs/>
                <w:color w:val="000000" w:themeColor="text1"/>
                <w:szCs w:val="21"/>
                <w14:textFill>
                  <w14:solidFill>
                    <w14:schemeClr w14:val="tx1"/>
                  </w14:solidFill>
                </w14:textFill>
              </w:rPr>
            </w:pP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337"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14:textFill>
                  <w14:solidFill>
                    <w14:schemeClr w14:val="tx1"/>
                  </w14:solidFill>
                </w14:textFill>
              </w:rPr>
              <w:t>分标</w:t>
            </w:r>
            <w:r>
              <w:rPr>
                <w:rFonts w:hint="eastAsia" w:ascii="宋体" w:hAnsi="宋体" w:cs="宋体"/>
                <w:color w:val="000000" w:themeColor="text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合计金额大写：                                              ￥</w:t>
            </w:r>
            <w:r>
              <w:rPr>
                <w:rFonts w:hint="eastAsia" w:ascii="宋体" w:hAnsi="宋体" w:cs="宋体"/>
                <w:color w:val="000000" w:themeColor="text1"/>
                <w:szCs w:val="21"/>
                <w:u w:val="single"/>
                <w14:textFill>
                  <w14:solidFill>
                    <w14:schemeClr w14:val="tx1"/>
                  </w14:solidFill>
                </w14:textFill>
              </w:rPr>
              <w:t xml:space="preserve">            </w:t>
            </w:r>
          </w:p>
        </w:tc>
      </w:tr>
    </w:tbl>
    <w:p>
      <w:pPr>
        <w:snapToGrid w:val="0"/>
        <w:spacing w:line="260" w:lineRule="exact"/>
        <w:ind w:firstLine="301" w:firstLineChars="200"/>
        <w:jc w:val="left"/>
        <w:rPr>
          <w:rFonts w:hint="eastAsia" w:ascii="宋体" w:hAnsi="宋体" w:cs="宋体"/>
          <w:b/>
          <w:bCs/>
          <w:color w:val="000000" w:themeColor="text1"/>
          <w:sz w:val="15"/>
          <w:szCs w:val="15"/>
          <w14:textFill>
            <w14:solidFill>
              <w14:schemeClr w14:val="tx1"/>
            </w14:solidFill>
          </w14:textFill>
        </w:rPr>
      </w:pPr>
      <w:bookmarkStart w:id="37" w:name="_Toc1206028266_WPSOffice_Level1"/>
      <w:r>
        <w:rPr>
          <w:rFonts w:hint="eastAsia" w:ascii="宋体" w:hAnsi="宋体" w:cs="宋体"/>
          <w:b/>
          <w:bCs/>
          <w:color w:val="000000" w:themeColor="text1"/>
          <w:sz w:val="15"/>
          <w:szCs w:val="15"/>
          <w14:textFill>
            <w14:solidFill>
              <w14:schemeClr w14:val="tx1"/>
            </w14:solidFill>
          </w14:textFill>
        </w:rPr>
        <w:t>注：</w:t>
      </w:r>
      <w:bookmarkEnd w:id="37"/>
      <w:r>
        <w:rPr>
          <w:rFonts w:hint="eastAsia" w:ascii="宋体" w:hAnsi="宋体" w:cs="宋体"/>
          <w:b/>
          <w:bCs/>
          <w:color w:val="000000" w:themeColor="text1"/>
          <w:sz w:val="15"/>
          <w:szCs w:val="15"/>
          <w14:textFill>
            <w14:solidFill>
              <w14:schemeClr w14:val="tx1"/>
            </w14:solidFill>
          </w14:textFill>
        </w:rPr>
        <w:t xml:space="preserve"> </w:t>
      </w:r>
    </w:p>
    <w:p>
      <w:pPr>
        <w:snapToGrid w:val="0"/>
        <w:spacing w:line="260" w:lineRule="exact"/>
        <w:ind w:firstLine="301" w:firstLineChars="200"/>
        <w:jc w:val="left"/>
        <w:rPr>
          <w:rFonts w:hint="eastAsia" w:ascii="宋体" w:hAnsi="宋体" w:cs="宋体"/>
          <w:b/>
          <w:bCs/>
          <w:color w:val="000000" w:themeColor="text1"/>
          <w:sz w:val="15"/>
          <w:szCs w:val="15"/>
          <w14:textFill>
            <w14:solidFill>
              <w14:schemeClr w14:val="tx1"/>
            </w14:solidFill>
          </w14:textFill>
        </w:rPr>
      </w:pPr>
      <w:r>
        <w:rPr>
          <w:rFonts w:hint="eastAsia" w:ascii="宋体" w:hAnsi="宋体" w:cs="宋体"/>
          <w:b/>
          <w:bCs/>
          <w:color w:val="000000" w:themeColor="text1"/>
          <w:sz w:val="15"/>
          <w:szCs w:val="15"/>
          <w14:textFill>
            <w14:solidFill>
              <w14:schemeClr w14:val="tx1"/>
            </w14:solidFill>
          </w14:textFill>
        </w:rPr>
        <w:t>1.报价一经涂改，应在涂改处加盖单位公章或者由法定代表人或授权委托人签字或签章，否则其投标作无效标处理。</w:t>
      </w:r>
    </w:p>
    <w:p>
      <w:pPr>
        <w:snapToGrid w:val="0"/>
        <w:spacing w:line="260" w:lineRule="exact"/>
        <w:ind w:firstLine="301" w:firstLineChars="200"/>
        <w:jc w:val="left"/>
        <w:rPr>
          <w:rFonts w:hint="eastAsia" w:ascii="宋体" w:hAnsi="宋体" w:cs="宋体"/>
          <w:b/>
          <w:bCs/>
          <w:color w:val="000000" w:themeColor="text1"/>
          <w:sz w:val="15"/>
          <w:szCs w:val="15"/>
          <w14:textFill>
            <w14:solidFill>
              <w14:schemeClr w14:val="tx1"/>
            </w14:solidFill>
          </w14:textFill>
        </w:rPr>
      </w:pPr>
      <w:r>
        <w:rPr>
          <w:rFonts w:hint="eastAsia" w:ascii="宋体" w:hAnsi="宋体" w:cs="宋体"/>
          <w:b/>
          <w:bCs/>
          <w:color w:val="000000" w:themeColor="text1"/>
          <w:sz w:val="15"/>
          <w:szCs w:val="15"/>
          <w14:textFill>
            <w14:solidFill>
              <w14:schemeClr w14:val="tx1"/>
            </w14:solidFill>
          </w14:textFill>
        </w:rPr>
        <w:t>2.凡需用专用耗材的专用设备类采购项目，应按招标文件规定的耗材量或按耗材的常规试用量提供报价。</w:t>
      </w:r>
    </w:p>
    <w:p>
      <w:pPr>
        <w:snapToGrid w:val="0"/>
        <w:spacing w:line="260" w:lineRule="exact"/>
        <w:ind w:firstLine="301" w:firstLineChars="200"/>
        <w:jc w:val="left"/>
        <w:rPr>
          <w:rFonts w:hint="eastAsia" w:ascii="宋体" w:hAnsi="宋体" w:cs="宋体"/>
          <w:b/>
          <w:bCs/>
          <w:color w:val="000000" w:themeColor="text1"/>
          <w:sz w:val="15"/>
          <w:szCs w:val="15"/>
          <w14:textFill>
            <w14:solidFill>
              <w14:schemeClr w14:val="tx1"/>
            </w14:solidFill>
          </w14:textFill>
        </w:rPr>
      </w:pPr>
      <w:r>
        <w:rPr>
          <w:rFonts w:hint="eastAsia" w:ascii="宋体" w:hAnsi="宋体" w:cs="宋体"/>
          <w:b/>
          <w:bCs/>
          <w:color w:val="000000" w:themeColor="text1"/>
          <w:sz w:val="15"/>
          <w:szCs w:val="15"/>
          <w14:textFill>
            <w14:solidFill>
              <w14:schemeClr w14:val="tx1"/>
            </w14:solidFill>
          </w14:textFill>
        </w:rPr>
        <w:t>3.投标费用包括项目实施所需的人工费、运输费、安装调试费、制作投标文件费、税费及其他一切费用。</w:t>
      </w:r>
    </w:p>
    <w:p>
      <w:pPr>
        <w:snapToGrid w:val="0"/>
        <w:spacing w:line="260" w:lineRule="exact"/>
        <w:ind w:firstLine="301" w:firstLineChars="200"/>
        <w:jc w:val="left"/>
        <w:rPr>
          <w:rFonts w:hint="eastAsia" w:ascii="宋体" w:hAnsi="宋体" w:cs="宋体"/>
          <w:b/>
          <w:bCs/>
          <w:color w:val="000000" w:themeColor="text1"/>
          <w:sz w:val="15"/>
          <w:szCs w:val="15"/>
          <w14:textFill>
            <w14:solidFill>
              <w14:schemeClr w14:val="tx1"/>
            </w14:solidFill>
          </w14:textFill>
        </w:rPr>
      </w:pPr>
      <w:r>
        <w:rPr>
          <w:rFonts w:hint="eastAsia" w:ascii="宋体" w:hAnsi="宋体" w:cs="宋体"/>
          <w:b/>
          <w:bCs/>
          <w:color w:val="000000" w:themeColor="text1"/>
          <w:sz w:val="15"/>
          <w:szCs w:val="15"/>
          <w14:textFill>
            <w14:solidFill>
              <w14:schemeClr w14:val="tx1"/>
            </w14:solidFill>
          </w14:textFill>
        </w:rPr>
        <w:t>4.以上报价应与“投标设备报价明细表”中的“投标总价”相一致。</w:t>
      </w:r>
    </w:p>
    <w:p>
      <w:pPr>
        <w:snapToGrid w:val="0"/>
        <w:spacing w:line="260" w:lineRule="exact"/>
        <w:ind w:left="-2" w:leftChars="-1" w:right="-817" w:rightChars="-389" w:firstLine="301" w:firstLineChars="200"/>
        <w:rPr>
          <w:rFonts w:hint="eastAsia" w:ascii="宋体" w:hAnsi="宋体" w:cs="宋体"/>
          <w:b/>
          <w:bCs/>
          <w:color w:val="000000" w:themeColor="text1"/>
          <w:sz w:val="15"/>
          <w:szCs w:val="15"/>
          <w14:textFill>
            <w14:solidFill>
              <w14:schemeClr w14:val="tx1"/>
            </w14:solidFill>
          </w14:textFill>
        </w:rPr>
      </w:pPr>
      <w:r>
        <w:rPr>
          <w:rFonts w:hint="eastAsia" w:ascii="宋体" w:hAnsi="宋体" w:cs="宋体"/>
          <w:b/>
          <w:bCs/>
          <w:color w:val="000000" w:themeColor="text1"/>
          <w:sz w:val="15"/>
          <w:szCs w:val="15"/>
          <w14:textFill>
            <w14:solidFill>
              <w14:schemeClr w14:val="tx1"/>
            </w14:solidFill>
          </w14:textFill>
        </w:rPr>
        <w:t>5.项目中有多个分标的，每一分标的开标一览表必须分别按格式要求填写并签字、盖章。</w:t>
      </w:r>
    </w:p>
    <w:p>
      <w:pPr>
        <w:snapToGrid w:val="0"/>
        <w:spacing w:line="400" w:lineRule="exact"/>
        <w:ind w:left="-2" w:leftChars="-1" w:right="-817" w:rightChars="-389" w:firstLine="420" w:firstLineChars="200"/>
        <w:rPr>
          <w:rFonts w:hint="eastAsia" w:ascii="宋体" w:hAnsi="宋体" w:cs="宋体"/>
          <w:color w:val="000000" w:themeColor="text1"/>
          <w:szCs w:val="21"/>
          <w14:textFill>
            <w14:solidFill>
              <w14:schemeClr w14:val="tx1"/>
            </w14:solidFill>
          </w14:textFill>
        </w:rPr>
      </w:pPr>
    </w:p>
    <w:p>
      <w:pPr>
        <w:snapToGrid w:val="0"/>
        <w:spacing w:line="400" w:lineRule="exact"/>
        <w:ind w:left="-2" w:leftChars="-1" w:right="-817" w:rightChars="-389"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法定代表人或委托代理人</w:t>
      </w:r>
      <w:r>
        <w:rPr>
          <w:rFonts w:hint="eastAsia" w:ascii="宋体" w:hAnsi="宋体" w:cs="宋体"/>
          <w:color w:val="000000" w:themeColor="text1"/>
          <w:szCs w:val="21"/>
          <w:lang w:val="en"/>
          <w14:textFill>
            <w14:solidFill>
              <w14:schemeClr w14:val="tx1"/>
            </w14:solidFill>
          </w14:textFill>
        </w:rPr>
        <w:t>签字或签章</w:t>
      </w:r>
      <w:r>
        <w:rPr>
          <w:rFonts w:hint="eastAsia" w:ascii="宋体" w:hAnsi="宋体" w:cs="宋体"/>
          <w:color w:val="000000" w:themeColor="text1"/>
          <w:szCs w:val="21"/>
          <w14:textFill>
            <w14:solidFill>
              <w14:schemeClr w14:val="tx1"/>
            </w14:solidFill>
          </w14:textFill>
        </w:rPr>
        <w:t>：</w:t>
      </w:r>
    </w:p>
    <w:p>
      <w:pPr>
        <w:snapToGrid w:val="0"/>
        <w:spacing w:line="400" w:lineRule="exact"/>
        <w:ind w:right="-817" w:rightChars="-389"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投标人名称（盖章）：</w:t>
      </w:r>
    </w:p>
    <w:p>
      <w:pPr>
        <w:snapToGrid w:val="0"/>
        <w:ind w:firstLine="420" w:firstLineChars="20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                  </w:t>
      </w:r>
    </w:p>
    <w:p>
      <w:pPr>
        <w:snapToGrid w:val="0"/>
        <w:ind w:firstLine="420" w:firstLineChars="20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             日期：  年   月   日 </w:t>
      </w:r>
    </w:p>
    <w:p>
      <w:pPr>
        <w:snapToGrid w:val="0"/>
        <w:ind w:firstLine="420" w:firstLineChars="200"/>
        <w:jc w:val="center"/>
        <w:rPr>
          <w:rFonts w:hint="eastAsia" w:ascii="宋体" w:hAnsi="宋体" w:cs="宋体"/>
          <w:color w:val="000000" w:themeColor="text1"/>
          <w14:textFill>
            <w14:solidFill>
              <w14:schemeClr w14:val="tx1"/>
            </w14:solidFill>
          </w14:textFill>
        </w:rPr>
      </w:pPr>
    </w:p>
    <w:sectPr>
      <w:headerReference r:id="rId5" w:type="default"/>
      <w:footerReference r:id="rId6" w:type="default"/>
      <w:pgSz w:w="11906" w:h="16838"/>
      <w:pgMar w:top="1247" w:right="1247" w:bottom="1247" w:left="1247" w:header="1020" w:footer="907"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华文宋体"/>
    <w:panose1 w:val="02020603050405020304"/>
    <w:charset w:val="01"/>
    <w:family w:val="auto"/>
    <w:pitch w:val="default"/>
    <w:sig w:usb0="00000000" w:usb1="00000000"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Tahoma">
    <w:altName w:val="Droid Sans"/>
    <w:panose1 w:val="020B0604030504040204"/>
    <w:charset w:val="00"/>
    <w:family w:val="swiss"/>
    <w:pitch w:val="default"/>
    <w:sig w:usb0="00000000" w:usb1="00000000" w:usb2="00000029" w:usb3="00000000" w:csb0="200101FF" w:csb1="20280000"/>
  </w:font>
  <w:font w:name="方正中等线简体 Regular">
    <w:altName w:val="宋体"/>
    <w:panose1 w:val="00000000000000000000"/>
    <w:charset w:val="86"/>
    <w:family w:val="auto"/>
    <w:pitch w:val="default"/>
    <w:sig w:usb0="00000000" w:usb1="00000000" w:usb2="00000010" w:usb3="00000000" w:csb0="00040000" w:csb1="00000000"/>
  </w:font>
  <w:font w:name="Verdana">
    <w:altName w:val="Ubuntu"/>
    <w:panose1 w:val="020B0604030504040204"/>
    <w:charset w:val="00"/>
    <w:family w:val="swiss"/>
    <w:pitch w:val="default"/>
    <w:sig w:usb0="00000000" w:usb1="00000000"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汉仪大黑简 regular">
    <w:altName w:val="黑体"/>
    <w:panose1 w:val="00000000000000000000"/>
    <w:charset w:val="86"/>
    <w:family w:val="auto"/>
    <w:pitch w:val="default"/>
    <w:sig w:usb0="00000000" w:usb1="00000000" w:usb2="00000010" w:usb3="00000000" w:csb0="00040000" w:csb1="00000000"/>
  </w:font>
  <w:font w:name="创艺简黑体">
    <w:altName w:val="黑体"/>
    <w:panose1 w:val="00000000000000000000"/>
    <w:charset w:val="86"/>
    <w:family w:val="auto"/>
    <w:pitch w:val="default"/>
    <w:sig w:usb0="00000000" w:usb1="00000000" w:usb2="0000001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微软雅黑">
    <w:altName w:val="黑体"/>
    <w:panose1 w:val="020B0503020204020204"/>
    <w:charset w:val="86"/>
    <w:family w:val="swiss"/>
    <w:pitch w:val="default"/>
    <w:sig w:usb0="00000000" w:usb1="00000000" w:usb2="00000016" w:usb3="00000000" w:csb0="0004001F" w:csb1="00000000"/>
  </w:font>
  <w:font w:name="汉仪书宋二S">
    <w:altName w:val="宋体"/>
    <w:panose1 w:val="00000000000000000000"/>
    <w:charset w:val="00"/>
    <w:family w:val="auto"/>
    <w:pitch w:val="default"/>
    <w:sig w:usb0="00000000" w:usb1="00000000" w:usb2="00000000" w:usb3="00000000" w:csb0="00000000" w:csb1="00000000"/>
  </w:font>
  <w:font w:name="华文宋体">
    <w:panose1 w:val="02010600040101010101"/>
    <w:charset w:val="86"/>
    <w:family w:val="auto"/>
    <w:pitch w:val="default"/>
    <w:sig w:usb0="00000287" w:usb1="080F0000" w:usb2="00000000" w:usb3="00000000" w:csb0="0004009F" w:csb1="DFD70000"/>
  </w:font>
  <w:font w:name="Nimbus Roman No9 L">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Droid Sans">
    <w:panose1 w:val="020B0606030804020204"/>
    <w:charset w:val="00"/>
    <w:family w:val="auto"/>
    <w:pitch w:val="default"/>
    <w:sig w:usb0="E00002EF" w:usb1="4000205B" w:usb2="00000028" w:usb3="00000000" w:csb0="2000019F" w:csb1="00000000"/>
  </w:font>
  <w:font w:name="Ubuntu">
    <w:panose1 w:val="020B0604030602030204"/>
    <w:charset w:val="00"/>
    <w:family w:val="auto"/>
    <w:pitch w:val="default"/>
    <w:sig w:usb0="E00002FF" w:usb1="5000205B" w:usb2="00000000" w:usb3="00000000" w:csb0="2000009F" w:csb1="56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BYAAABkcnMvUEsBAhQAFAAAAAgAh07iQLNJWO7QAAAA&#10;BQEAAA8AAAAAAAAAAQAgAAAAOAAAAGRycy9kb3ducmV2LnhtbFBLAQIUABQAAAAIAIdO4kDLlzVR&#10;DwIAAAcEAAAOAAAAAAAAAAEAIAAAADUBAABkcnMvZTJvRG9jLnhtbFBLBQYAAAAABgAGAFkBAAC2&#10;BQAAAAA=&#10;">
              <v:fill on="f" focussize="0,0"/>
              <v:stroke on="f" weight="0.5pt"/>
              <v:imagedata o:title=""/>
              <o:lock v:ext="edit" aspectratio="f"/>
              <v:textbox inset="0mm,0mm,0mm,0mm" style="mso-fit-shape-to-text:t;">
                <w:txbxContent>
                  <w:p>
                    <w:pPr>
                      <w:pStyle w:val="3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right"/>
    </w:pPr>
    <w:r>
      <w:rPr>
        <w:rFonts w:hint="eastAsia"/>
      </w:rPr>
      <w:t xml:space="preserve">                        梧州学院A7A8A9栋学生宿舍家具采购（</w:t>
    </w:r>
    <w:r>
      <w:rPr>
        <w:rFonts w:hint="eastAsia"/>
        <w:lang w:val="en"/>
      </w:rPr>
      <w:t>GXZC2026-G1-</w:t>
    </w:r>
    <w:r>
      <w:rPr>
        <w:rFonts w:hint="eastAsia"/>
        <w:lang w:val="en-US" w:eastAsia="zh-CN"/>
      </w:rPr>
      <w:t>002530</w:t>
    </w:r>
    <w:r>
      <w:rPr>
        <w:rFonts w:hint="eastAsia"/>
        <w:lang w:val="en"/>
      </w:rPr>
      <w:t>-CGZX</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7CA245"/>
    <w:multiLevelType w:val="singleLevel"/>
    <w:tmpl w:val="BF7CA245"/>
    <w:lvl w:ilvl="0" w:tentative="0">
      <w:start w:val="1"/>
      <w:numFmt w:val="decimal"/>
      <w:lvlText w:val="%1."/>
      <w:lvlJc w:val="left"/>
      <w:pPr>
        <w:tabs>
          <w:tab w:val="left" w:pos="312"/>
        </w:tabs>
      </w:pPr>
    </w:lvl>
  </w:abstractNum>
  <w:abstractNum w:abstractNumId="1">
    <w:nsid w:val="0000000C"/>
    <w:multiLevelType w:val="multilevel"/>
    <w:tmpl w:val="0000000C"/>
    <w:lvl w:ilvl="0" w:tentative="0">
      <w:start w:val="1"/>
      <w:numFmt w:val="decimal"/>
      <w:pStyle w:val="374"/>
      <w:suff w:val="nothing"/>
      <w:lvlText w:val="图%1　"/>
      <w:lvlJc w:val="left"/>
      <w:rPr>
        <w:rFonts w:hint="eastAsia" w:ascii="黑体" w:hAnsi="Times New Roman" w:eastAsia="黑体" w:cs="Times New Roman"/>
        <w:b w:val="0"/>
        <w:i w:val="0"/>
        <w:sz w:val="21"/>
      </w:rPr>
    </w:lvl>
    <w:lvl w:ilvl="1" w:tentative="0">
      <w:start w:val="1"/>
      <w:numFmt w:val="decimal"/>
      <w:suff w:val="nothing"/>
      <w:lvlText w:val="%1%2　"/>
      <w:lvlJc w:val="left"/>
      <w:rPr>
        <w:rFonts w:hint="default" w:ascii="Times New Roman" w:hAnsi="Times New Roman" w:eastAsia="黑体" w:cs="Times New Roman"/>
        <w:b w:val="0"/>
        <w:i w:val="0"/>
        <w:sz w:val="21"/>
      </w:rPr>
    </w:lvl>
    <w:lvl w:ilvl="2" w:tentative="0">
      <w:start w:val="1"/>
      <w:numFmt w:val="decimal"/>
      <w:suff w:val="nothing"/>
      <w:lvlText w:val="%1%2.%3　"/>
      <w:lvlJc w:val="left"/>
      <w:rPr>
        <w:rFonts w:hint="default" w:ascii="Times New Roman" w:hAnsi="Times New Roman" w:eastAsia="黑体" w:cs="Times New Roman"/>
        <w:b w:val="0"/>
        <w:i w:val="0"/>
        <w:sz w:val="21"/>
      </w:rPr>
    </w:lvl>
    <w:lvl w:ilvl="3" w:tentative="0">
      <w:start w:val="1"/>
      <w:numFmt w:val="decimal"/>
      <w:suff w:val="nothing"/>
      <w:lvlText w:val="%1%2.%3.%4　"/>
      <w:lvlJc w:val="left"/>
      <w:rPr>
        <w:rFonts w:hint="default" w:ascii="Times New Roman" w:hAnsi="Times New Roman" w:eastAsia="黑体" w:cs="Times New Roman"/>
        <w:b w:val="0"/>
        <w:i w:val="0"/>
        <w:sz w:val="21"/>
      </w:rPr>
    </w:lvl>
    <w:lvl w:ilvl="4" w:tentative="0">
      <w:start w:val="1"/>
      <w:numFmt w:val="decimal"/>
      <w:suff w:val="nothing"/>
      <w:lvlText w:val="%1%2.%3.%4.%5　"/>
      <w:lvlJc w:val="left"/>
      <w:rPr>
        <w:rFonts w:hint="default" w:ascii="Times New Roman" w:hAnsi="Times New Roman" w:eastAsia="黑体" w:cs="Times New Roman"/>
        <w:b w:val="0"/>
        <w:i w:val="0"/>
        <w:sz w:val="21"/>
      </w:rPr>
    </w:lvl>
    <w:lvl w:ilvl="5" w:tentative="0">
      <w:start w:val="1"/>
      <w:numFmt w:val="decimal"/>
      <w:suff w:val="nothing"/>
      <w:lvlText w:val="%1%2.%3.%4.%5.%6　"/>
      <w:lvlJc w:val="left"/>
      <w:rPr>
        <w:rFonts w:hint="default" w:ascii="Times New Roman" w:hAnsi="Times New Roman" w:eastAsia="黑体" w:cs="Times New Roman"/>
        <w:b w:val="0"/>
        <w:i w:val="0"/>
        <w:sz w:val="21"/>
      </w:rPr>
    </w:lvl>
    <w:lvl w:ilvl="6" w:tentative="0">
      <w:start w:val="1"/>
      <w:numFmt w:val="decimal"/>
      <w:suff w:val="nothing"/>
      <w:lvlText w:val="%1%2.%3.%4.%5.%6.%7　"/>
      <w:lvlJc w:val="left"/>
      <w:rPr>
        <w:rFonts w:hint="default" w:ascii="Times New Roman"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2">
    <w:nsid w:val="0000000D"/>
    <w:multiLevelType w:val="multilevel"/>
    <w:tmpl w:val="0000000D"/>
    <w:lvl w:ilvl="0" w:tentative="0">
      <w:start w:val="1"/>
      <w:numFmt w:val="none"/>
      <w:pStyle w:val="361"/>
      <w:suff w:val="nothing"/>
      <w:lvlText w:val="表2　"/>
      <w:lvlJc w:val="left"/>
      <w:pPr>
        <w:ind w:left="270"/>
      </w:pPr>
      <w:rPr>
        <w:rFonts w:hint="eastAsia" w:ascii="黑体" w:hAnsi="Times New Roman" w:eastAsia="黑体" w:cs="Times New Roman"/>
        <w:b w:val="0"/>
        <w:i w:val="0"/>
        <w:sz w:val="21"/>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pStyle w:val="366"/>
      <w:lvlText w:val="%1.%2.%3"/>
      <w:lvlJc w:val="left"/>
      <w:pPr>
        <w:tabs>
          <w:tab w:val="left" w:pos="1418"/>
        </w:tabs>
        <w:ind w:left="1418" w:hanging="567"/>
      </w:pPr>
      <w:rPr>
        <w:rFonts w:hint="eastAsia" w:cs="Times New Roman"/>
      </w:rPr>
    </w:lvl>
    <w:lvl w:ilvl="3" w:tentative="0">
      <w:start w:val="1"/>
      <w:numFmt w:val="decimal"/>
      <w:pStyle w:val="365"/>
      <w:lvlText w:val="%1.%2.%3.%4"/>
      <w:lvlJc w:val="left"/>
      <w:pPr>
        <w:tabs>
          <w:tab w:val="left" w:pos="1984"/>
        </w:tabs>
        <w:ind w:left="1984" w:hanging="708"/>
      </w:pPr>
      <w:rPr>
        <w:rFonts w:hint="eastAsia" w:cs="Times New Roman"/>
      </w:rPr>
    </w:lvl>
    <w:lvl w:ilvl="4" w:tentative="0">
      <w:start w:val="1"/>
      <w:numFmt w:val="decimal"/>
      <w:pStyle w:val="364"/>
      <w:lvlText w:val="%1.%2.%3.%4.%5"/>
      <w:lvlJc w:val="left"/>
      <w:pPr>
        <w:tabs>
          <w:tab w:val="left" w:pos="2551"/>
        </w:tabs>
        <w:ind w:left="2551" w:hanging="850"/>
      </w:pPr>
      <w:rPr>
        <w:rFonts w:hint="eastAsia" w:cs="Times New Roman"/>
      </w:rPr>
    </w:lvl>
    <w:lvl w:ilvl="5" w:tentative="0">
      <w:start w:val="1"/>
      <w:numFmt w:val="decimal"/>
      <w:pStyle w:val="376"/>
      <w:lvlText w:val="%1.%2.%3.%4.%5.%6"/>
      <w:lvlJc w:val="left"/>
      <w:pPr>
        <w:tabs>
          <w:tab w:val="left" w:pos="3260"/>
        </w:tabs>
        <w:ind w:left="3260" w:hanging="1134"/>
      </w:pPr>
      <w:rPr>
        <w:rFonts w:hint="eastAsia" w:cs="Times New Roman"/>
      </w:rPr>
    </w:lvl>
    <w:lvl w:ilvl="6" w:tentative="0">
      <w:start w:val="1"/>
      <w:numFmt w:val="decimal"/>
      <w:pStyle w:val="386"/>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3">
    <w:nsid w:val="0000000E"/>
    <w:multiLevelType w:val="multilevel"/>
    <w:tmpl w:val="0000000E"/>
    <w:lvl w:ilvl="0" w:tentative="0">
      <w:start w:val="1"/>
      <w:numFmt w:val="none"/>
      <w:pStyle w:val="387"/>
      <w:lvlText w:val="%1·　"/>
      <w:lvlJc w:val="left"/>
      <w:pPr>
        <w:tabs>
          <w:tab w:val="left" w:pos="1140"/>
        </w:tabs>
        <w:ind w:left="737" w:hanging="317"/>
      </w:pPr>
      <w:rPr>
        <w:rFonts w:hint="eastAsia" w:ascii="宋体" w:hAnsi="Times New Roman" w:eastAsia="宋体" w:cs="Times New Roman"/>
        <w:b w:val="0"/>
        <w:i w:val="0"/>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
    <w:nsid w:val="0000000F"/>
    <w:multiLevelType w:val="multilevel"/>
    <w:tmpl w:val="0000000F"/>
    <w:lvl w:ilvl="0" w:tentative="0">
      <w:start w:val="1"/>
      <w:numFmt w:val="upperLetter"/>
      <w:suff w:val="nothing"/>
      <w:lvlText w:val="附　录　%1"/>
      <w:lvlJc w:val="left"/>
      <w:pPr>
        <w:ind w:left="4310"/>
      </w:pPr>
      <w:rPr>
        <w:rFonts w:cs="Times New Roman"/>
      </w:rPr>
    </w:lvl>
    <w:lvl w:ilvl="1" w:tentative="0">
      <w:start w:val="1"/>
      <w:numFmt w:val="decimal"/>
      <w:pStyle w:val="344"/>
      <w:suff w:val="nothing"/>
      <w:lvlText w:val="%1.%2　"/>
      <w:lvlJc w:val="left"/>
      <w:pPr>
        <w:ind w:left="568"/>
      </w:pPr>
      <w:rPr>
        <w:rFonts w:hint="eastAsia" w:ascii="黑体" w:hAnsi="Times New Roman" w:eastAsia="黑体" w:cs="Times New Roman"/>
        <w:b w:val="0"/>
        <w:i w:val="0"/>
        <w:snapToGrid/>
        <w:spacing w:val="0"/>
        <w:w w:val="100"/>
        <w:kern w:val="21"/>
        <w:sz w:val="21"/>
      </w:rPr>
    </w:lvl>
    <w:lvl w:ilvl="2" w:tentative="0">
      <w:start w:val="1"/>
      <w:numFmt w:val="decimal"/>
      <w:pStyle w:val="380"/>
      <w:suff w:val="nothing"/>
      <w:lvlText w:val="%1.%2.%3　"/>
      <w:lvlJc w:val="left"/>
      <w:pPr>
        <w:ind w:left="5355"/>
      </w:pPr>
      <w:rPr>
        <w:rFonts w:hint="eastAsia" w:ascii="黑体" w:hAnsi="Times New Roman" w:eastAsia="黑体" w:cs="Times New Roman"/>
        <w:b w:val="0"/>
        <w:i w:val="0"/>
        <w:sz w:val="21"/>
      </w:rPr>
    </w:lvl>
    <w:lvl w:ilvl="3" w:tentative="0">
      <w:start w:val="1"/>
      <w:numFmt w:val="decimal"/>
      <w:pStyle w:val="351"/>
      <w:suff w:val="nothing"/>
      <w:lvlText w:val="%1.%2.%3.%4　"/>
      <w:lvlJc w:val="left"/>
      <w:pPr>
        <w:ind w:left="4620"/>
      </w:pPr>
      <w:rPr>
        <w:rFonts w:hint="eastAsia" w:ascii="黑体" w:hAnsi="Times New Roman" w:eastAsia="黑体" w:cs="Times New Roman"/>
        <w:b w:val="0"/>
        <w:i w:val="0"/>
        <w:sz w:val="21"/>
      </w:rPr>
    </w:lvl>
    <w:lvl w:ilvl="4" w:tentative="0">
      <w:start w:val="1"/>
      <w:numFmt w:val="decimal"/>
      <w:pStyle w:val="346"/>
      <w:suff w:val="nothing"/>
      <w:lvlText w:val="%1.%2.%3.%4.%5　"/>
      <w:lvlJc w:val="left"/>
      <w:pPr>
        <w:ind w:left="4620"/>
      </w:pPr>
      <w:rPr>
        <w:rFonts w:hint="eastAsia" w:ascii="黑体" w:hAnsi="Times New Roman" w:eastAsia="黑体" w:cs="Times New Roman"/>
        <w:b w:val="0"/>
        <w:i w:val="0"/>
        <w:sz w:val="21"/>
      </w:rPr>
    </w:lvl>
    <w:lvl w:ilvl="5" w:tentative="0">
      <w:start w:val="1"/>
      <w:numFmt w:val="decimal"/>
      <w:pStyle w:val="368"/>
      <w:suff w:val="nothing"/>
      <w:lvlText w:val="%1.%2.%3.%4.%5.%6　"/>
      <w:lvlJc w:val="left"/>
      <w:pPr>
        <w:ind w:left="4620"/>
      </w:pPr>
      <w:rPr>
        <w:rFonts w:hint="eastAsia" w:ascii="黑体" w:hAnsi="Times New Roman" w:eastAsia="黑体" w:cs="Times New Roman"/>
        <w:b w:val="0"/>
        <w:i w:val="0"/>
        <w:sz w:val="21"/>
      </w:rPr>
    </w:lvl>
    <w:lvl w:ilvl="6" w:tentative="0">
      <w:start w:val="1"/>
      <w:numFmt w:val="decimal"/>
      <w:pStyle w:val="345"/>
      <w:suff w:val="nothing"/>
      <w:lvlText w:val="%1.%2.%3.%4.%5.%6.%7　"/>
      <w:lvlJc w:val="left"/>
      <w:pPr>
        <w:ind w:left="4620"/>
      </w:pPr>
      <w:rPr>
        <w:rFonts w:hint="eastAsia" w:ascii="黑体" w:hAnsi="Times New Roman" w:eastAsia="黑体" w:cs="Times New Roman"/>
        <w:b w:val="0"/>
        <w:i w:val="0"/>
        <w:sz w:val="21"/>
      </w:rPr>
    </w:lvl>
    <w:lvl w:ilvl="7" w:tentative="0">
      <w:start w:val="1"/>
      <w:numFmt w:val="decimal"/>
      <w:lvlText w:val="%1.%2.%3.%4.%5.%6.%7.%8"/>
      <w:lvlJc w:val="left"/>
      <w:pPr>
        <w:tabs>
          <w:tab w:val="left" w:pos="9014"/>
        </w:tabs>
        <w:ind w:left="9014" w:hanging="1418"/>
      </w:pPr>
      <w:rPr>
        <w:rFonts w:hint="eastAsia" w:cs="Times New Roman"/>
      </w:rPr>
    </w:lvl>
    <w:lvl w:ilvl="8" w:tentative="0">
      <w:start w:val="1"/>
      <w:numFmt w:val="decimal"/>
      <w:lvlText w:val="%1.%2.%3.%4.%5.%6.%7.%8.%9"/>
      <w:lvlJc w:val="left"/>
      <w:pPr>
        <w:tabs>
          <w:tab w:val="left" w:pos="9722"/>
        </w:tabs>
        <w:ind w:left="9722" w:hanging="1700"/>
      </w:pPr>
      <w:rPr>
        <w:rFonts w:hint="eastAsia" w:cs="Times New Roman"/>
      </w:rPr>
    </w:lvl>
  </w:abstractNum>
  <w:abstractNum w:abstractNumId="5">
    <w:nsid w:val="00000010"/>
    <w:multiLevelType w:val="multilevel"/>
    <w:tmpl w:val="00000010"/>
    <w:lvl w:ilvl="0" w:tentative="0">
      <w:start w:val="1"/>
      <w:numFmt w:val="none"/>
      <w:pStyle w:val="357"/>
      <w:suff w:val="nothing"/>
      <w:lvlText w:val="　"/>
      <w:lvlJc w:val="left"/>
      <w:rPr>
        <w:rFonts w:hint="eastAsia" w:ascii="黑体" w:hAnsi="Times New Roman" w:eastAsia="黑体" w:cs="Times New Roman"/>
        <w:b w:val="0"/>
        <w:i w:val="0"/>
        <w:sz w:val="21"/>
      </w:rPr>
    </w:lvl>
    <w:lvl w:ilvl="1" w:tentative="0">
      <w:start w:val="1"/>
      <w:numFmt w:val="decimal"/>
      <w:isLgl/>
      <w:suff w:val="nothing"/>
      <w:lvlText w:val="%2　"/>
      <w:lvlJc w:val="left"/>
      <w:rPr>
        <w:rFonts w:hint="eastAsia" w:ascii="黑体" w:hAnsi="Times New Roman" w:eastAsia="黑体" w:cs="Times New Roman"/>
        <w:b w:val="0"/>
        <w:i w:val="0"/>
        <w:snapToGrid/>
        <w:spacing w:val="0"/>
        <w:w w:val="100"/>
        <w:kern w:val="21"/>
        <w:sz w:val="21"/>
      </w:rPr>
    </w:lvl>
    <w:lvl w:ilvl="2" w:tentative="0">
      <w:start w:val="1"/>
      <w:numFmt w:val="decimal"/>
      <w:suff w:val="nothing"/>
      <w:lvlText w:val="%1%2.%3　"/>
      <w:lvlJc w:val="left"/>
      <w:rPr>
        <w:rFonts w:hint="eastAsia" w:ascii="黑体" w:hAnsi="Times New Roman" w:eastAsia="黑体" w:cs="Times New Roman"/>
        <w:b w:val="0"/>
        <w:i w:val="0"/>
        <w:sz w:val="21"/>
      </w:rPr>
    </w:lvl>
    <w:lvl w:ilvl="3" w:tentative="0">
      <w:start w:val="1"/>
      <w:numFmt w:val="decimal"/>
      <w:suff w:val="nothing"/>
      <w:lvlText w:val="%1%2.%3.%4　"/>
      <w:lvlJc w:val="left"/>
      <w:rPr>
        <w:rFonts w:hint="eastAsia" w:ascii="黑体" w:hAnsi="Times New Roman" w:eastAsia="黑体" w:cs="Times New Roman"/>
        <w:b w:val="0"/>
        <w:i w:val="0"/>
        <w:sz w:val="21"/>
      </w:rPr>
    </w:lvl>
    <w:lvl w:ilvl="4" w:tentative="0">
      <w:start w:val="1"/>
      <w:numFmt w:val="decimal"/>
      <w:suff w:val="nothing"/>
      <w:lvlText w:val="%1%2.%3.%4.%5　"/>
      <w:lvlJc w:val="left"/>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6">
    <w:nsid w:val="00000011"/>
    <w:multiLevelType w:val="multilevel"/>
    <w:tmpl w:val="00000011"/>
    <w:lvl w:ilvl="0" w:tentative="0">
      <w:start w:val="1"/>
      <w:numFmt w:val="none"/>
      <w:pStyle w:val="360"/>
      <w:lvlText w:val="%1注："/>
      <w:lvlJc w:val="left"/>
      <w:pPr>
        <w:tabs>
          <w:tab w:val="left" w:pos="1140"/>
        </w:tabs>
        <w:ind w:left="840" w:hanging="420"/>
      </w:pPr>
      <w:rPr>
        <w:rFonts w:hint="eastAsia" w:ascii="宋体" w:hAnsi="Times New Roman" w:eastAsia="宋体" w:cs="Times New Roman"/>
        <w:b w:val="0"/>
        <w:i w:val="0"/>
        <w:sz w:val="18"/>
      </w:rPr>
    </w:lvl>
    <w:lvl w:ilvl="1" w:tentative="0">
      <w:start w:val="1"/>
      <w:numFmt w:val="decimal"/>
      <w:lvlText w:val="%2."/>
      <w:lvlJc w:val="left"/>
      <w:pPr>
        <w:tabs>
          <w:tab w:val="left" w:pos="840"/>
        </w:tabs>
        <w:ind w:left="840" w:hanging="420"/>
      </w:pPr>
      <w:rPr>
        <w:rFonts w:hint="eastAsia" w:cs="Times New Roman"/>
        <w:b w:val="0"/>
        <w:i w:val="0"/>
        <w:sz w:val="18"/>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7">
    <w:nsid w:val="00000012"/>
    <w:multiLevelType w:val="multilevel"/>
    <w:tmpl w:val="00000012"/>
    <w:lvl w:ilvl="0" w:tentative="0">
      <w:start w:val="1"/>
      <w:numFmt w:val="none"/>
      <w:pStyle w:val="377"/>
      <w:lvlText w:val="%1示例"/>
      <w:lvlJc w:val="left"/>
      <w:pPr>
        <w:tabs>
          <w:tab w:val="left" w:pos="1120"/>
        </w:tabs>
        <w:ind w:firstLine="400"/>
      </w:pPr>
      <w:rPr>
        <w:rFonts w:hint="eastAsia" w:ascii="宋体" w:eastAsia="宋体" w:cs="Times New Roman"/>
        <w:b w:val="0"/>
        <w:i w:val="0"/>
        <w:sz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00000013"/>
    <w:multiLevelType w:val="multilevel"/>
    <w:tmpl w:val="00000013"/>
    <w:lvl w:ilvl="0" w:tentative="0">
      <w:start w:val="1"/>
      <w:numFmt w:val="none"/>
      <w:pStyle w:val="343"/>
      <w:suff w:val="nothing"/>
      <w:lvlText w:val="%1"/>
      <w:lvlJc w:val="left"/>
      <w:rPr>
        <w:rFonts w:hint="default" w:ascii="Times New Roman" w:hAnsi="Times New Roman" w:cs="Times New Roman"/>
        <w:b/>
        <w:i w:val="0"/>
        <w:sz w:val="21"/>
      </w:rPr>
    </w:lvl>
    <w:lvl w:ilvl="1" w:tentative="0">
      <w:start w:val="1"/>
      <w:numFmt w:val="decimal"/>
      <w:pStyle w:val="326"/>
      <w:suff w:val="nothing"/>
      <w:lvlText w:val="%1%2　"/>
      <w:lvlJc w:val="left"/>
      <w:pPr>
        <w:ind w:left="993"/>
      </w:pPr>
      <w:rPr>
        <w:rFonts w:hint="eastAsia" w:ascii="黑体" w:hAnsi="Times New Roman" w:eastAsia="黑体" w:cs="Times New Roman"/>
        <w:b w:val="0"/>
        <w:i w:val="0"/>
        <w:sz w:val="21"/>
      </w:rPr>
    </w:lvl>
    <w:lvl w:ilvl="2" w:tentative="0">
      <w:start w:val="1"/>
      <w:numFmt w:val="decimal"/>
      <w:pStyle w:val="330"/>
      <w:suff w:val="nothing"/>
      <w:lvlText w:val="%1%2.%3　"/>
      <w:lvlJc w:val="left"/>
      <w:rPr>
        <w:rFonts w:hint="eastAsia" w:ascii="黑体" w:hAnsi="Times New Roman" w:eastAsia="黑体" w:cs="Times New Roman"/>
        <w:b w:val="0"/>
        <w:i w:val="0"/>
        <w:sz w:val="21"/>
      </w:rPr>
    </w:lvl>
    <w:lvl w:ilvl="3" w:tentative="0">
      <w:start w:val="1"/>
      <w:numFmt w:val="decimal"/>
      <w:suff w:val="nothing"/>
      <w:lvlText w:val="%1%2.%3.%4　"/>
      <w:lvlJc w:val="left"/>
      <w:pPr>
        <w:ind w:left="3402"/>
      </w:pPr>
      <w:rPr>
        <w:rFonts w:hint="eastAsia" w:ascii="黑体" w:hAnsi="Times New Roman" w:eastAsia="黑体" w:cs="Times New Roman"/>
        <w:b w:val="0"/>
        <w:i w:val="0"/>
        <w:sz w:val="21"/>
      </w:rPr>
    </w:lvl>
    <w:lvl w:ilvl="4" w:tentative="0">
      <w:start w:val="1"/>
      <w:numFmt w:val="decimal"/>
      <w:suff w:val="nothing"/>
      <w:lvlText w:val="%1%2.%3.%4.%5　"/>
      <w:lvlJc w:val="left"/>
      <w:pPr>
        <w:ind w:left="284"/>
      </w:pPr>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9">
    <w:nsid w:val="00000014"/>
    <w:multiLevelType w:val="multilevel"/>
    <w:tmpl w:val="00000014"/>
    <w:lvl w:ilvl="0" w:tentative="0">
      <w:start w:val="1"/>
      <w:numFmt w:val="none"/>
      <w:pStyle w:val="375"/>
      <w:lvlText w:val="%1——"/>
      <w:lvlJc w:val="left"/>
      <w:pPr>
        <w:tabs>
          <w:tab w:val="left" w:pos="1140"/>
        </w:tabs>
        <w:ind w:left="84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0">
    <w:nsid w:val="11A3534B"/>
    <w:multiLevelType w:val="multilevel"/>
    <w:tmpl w:val="11A3534B"/>
    <w:lvl w:ilvl="0" w:tentative="0">
      <w:start w:val="1"/>
      <w:numFmt w:val="japaneseCounting"/>
      <w:pStyle w:val="342"/>
      <w:lvlText w:val="%1、"/>
      <w:lvlJc w:val="left"/>
      <w:pPr>
        <w:ind w:left="1356" w:hanging="720"/>
      </w:pPr>
      <w:rPr>
        <w:rFonts w:hint="default" w:cs="Times New Roman"/>
      </w:rPr>
    </w:lvl>
    <w:lvl w:ilvl="1" w:tentative="0">
      <w:start w:val="1"/>
      <w:numFmt w:val="lowerLetter"/>
      <w:lvlText w:val="%2)"/>
      <w:lvlJc w:val="left"/>
      <w:pPr>
        <w:ind w:left="1476" w:hanging="420"/>
      </w:pPr>
      <w:rPr>
        <w:rFonts w:cs="Times New Roman"/>
      </w:rPr>
    </w:lvl>
    <w:lvl w:ilvl="2" w:tentative="0">
      <w:start w:val="1"/>
      <w:numFmt w:val="lowerRoman"/>
      <w:lvlText w:val="%3."/>
      <w:lvlJc w:val="right"/>
      <w:pPr>
        <w:ind w:left="1896" w:hanging="420"/>
      </w:pPr>
      <w:rPr>
        <w:rFonts w:cs="Times New Roman"/>
      </w:rPr>
    </w:lvl>
    <w:lvl w:ilvl="3" w:tentative="0">
      <w:start w:val="1"/>
      <w:numFmt w:val="decimal"/>
      <w:pStyle w:val="331"/>
      <w:lvlText w:val="%4."/>
      <w:lvlJc w:val="left"/>
      <w:pPr>
        <w:ind w:left="2316" w:hanging="420"/>
      </w:pPr>
      <w:rPr>
        <w:rFonts w:cs="Times New Roman"/>
      </w:rPr>
    </w:lvl>
    <w:lvl w:ilvl="4" w:tentative="0">
      <w:start w:val="1"/>
      <w:numFmt w:val="lowerLetter"/>
      <w:lvlText w:val="%5)"/>
      <w:lvlJc w:val="left"/>
      <w:pPr>
        <w:ind w:left="2736" w:hanging="420"/>
      </w:pPr>
      <w:rPr>
        <w:rFonts w:cs="Times New Roman"/>
      </w:rPr>
    </w:lvl>
    <w:lvl w:ilvl="5" w:tentative="0">
      <w:start w:val="1"/>
      <w:numFmt w:val="lowerRoman"/>
      <w:pStyle w:val="355"/>
      <w:lvlText w:val="%6."/>
      <w:lvlJc w:val="right"/>
      <w:pPr>
        <w:ind w:left="3156" w:hanging="420"/>
      </w:pPr>
      <w:rPr>
        <w:rFonts w:cs="Times New Roman"/>
      </w:rPr>
    </w:lvl>
    <w:lvl w:ilvl="6" w:tentative="0">
      <w:start w:val="1"/>
      <w:numFmt w:val="decimal"/>
      <w:pStyle w:val="358"/>
      <w:lvlText w:val="%7."/>
      <w:lvlJc w:val="left"/>
      <w:pPr>
        <w:ind w:left="3576" w:hanging="420"/>
      </w:pPr>
      <w:rPr>
        <w:rFonts w:cs="Times New Roman"/>
      </w:rPr>
    </w:lvl>
    <w:lvl w:ilvl="7" w:tentative="0">
      <w:start w:val="1"/>
      <w:numFmt w:val="lowerLetter"/>
      <w:lvlText w:val="%8)"/>
      <w:lvlJc w:val="left"/>
      <w:pPr>
        <w:ind w:left="3996" w:hanging="420"/>
      </w:pPr>
      <w:rPr>
        <w:rFonts w:cs="Times New Roman"/>
      </w:rPr>
    </w:lvl>
    <w:lvl w:ilvl="8" w:tentative="0">
      <w:start w:val="1"/>
      <w:numFmt w:val="lowerRoman"/>
      <w:lvlText w:val="%9."/>
      <w:lvlJc w:val="right"/>
      <w:pPr>
        <w:ind w:left="4416" w:hanging="420"/>
      </w:pPr>
      <w:rPr>
        <w:rFonts w:cs="Times New Roman"/>
      </w:rPr>
    </w:lvl>
  </w:abstractNum>
  <w:abstractNum w:abstractNumId="11">
    <w:nsid w:val="6BFEFC5D"/>
    <w:multiLevelType w:val="singleLevel"/>
    <w:tmpl w:val="6BFEFC5D"/>
    <w:lvl w:ilvl="0" w:tentative="0">
      <w:start w:val="1"/>
      <w:numFmt w:val="decimal"/>
      <w:suff w:val="nothing"/>
      <w:lvlText w:val="（%1）"/>
      <w:lvlJc w:val="left"/>
    </w:lvl>
  </w:abstractNum>
  <w:abstractNum w:abstractNumId="12">
    <w:nsid w:val="7EFA4ADC"/>
    <w:multiLevelType w:val="singleLevel"/>
    <w:tmpl w:val="7EFA4ADC"/>
    <w:lvl w:ilvl="0" w:tentative="0">
      <w:start w:val="1"/>
      <w:numFmt w:val="decimal"/>
      <w:suff w:val="nothing"/>
      <w:lvlText w:val="%1、"/>
      <w:lvlJc w:val="left"/>
    </w:lvl>
  </w:abstractNum>
  <w:abstractNum w:abstractNumId="13">
    <w:nsid w:val="7FD7E414"/>
    <w:multiLevelType w:val="singleLevel"/>
    <w:tmpl w:val="7FD7E414"/>
    <w:lvl w:ilvl="0" w:tentative="0">
      <w:start w:val="3"/>
      <w:numFmt w:val="decimal"/>
      <w:suff w:val="nothing"/>
      <w:lvlText w:val="（%1）"/>
      <w:lvlJc w:val="left"/>
    </w:lvl>
  </w:abstractNum>
  <w:num w:numId="1">
    <w:abstractNumId w:val="8"/>
  </w:num>
  <w:num w:numId="2">
    <w:abstractNumId w:val="10"/>
  </w:num>
  <w:num w:numId="3">
    <w:abstractNumId w:val="4"/>
  </w:num>
  <w:num w:numId="4">
    <w:abstractNumId w:val="5"/>
  </w:num>
  <w:num w:numId="5">
    <w:abstractNumId w:val="6"/>
  </w:num>
  <w:num w:numId="6">
    <w:abstractNumId w:val="2"/>
  </w:num>
  <w:num w:numId="7">
    <w:abstractNumId w:val="1"/>
  </w:num>
  <w:num w:numId="8">
    <w:abstractNumId w:val="9"/>
  </w:num>
  <w:num w:numId="9">
    <w:abstractNumId w:val="7"/>
  </w:num>
  <w:num w:numId="10">
    <w:abstractNumId w:val="3"/>
  </w:num>
  <w:num w:numId="11">
    <w:abstractNumId w:val="12"/>
  </w:num>
  <w:num w:numId="12">
    <w:abstractNumId w:val="0"/>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3C7"/>
    <w:rsid w:val="00000EDA"/>
    <w:rsid w:val="000017C3"/>
    <w:rsid w:val="00001919"/>
    <w:rsid w:val="00002671"/>
    <w:rsid w:val="00004396"/>
    <w:rsid w:val="00004C13"/>
    <w:rsid w:val="00005283"/>
    <w:rsid w:val="00005FEA"/>
    <w:rsid w:val="000067E7"/>
    <w:rsid w:val="00011AD2"/>
    <w:rsid w:val="00011AE5"/>
    <w:rsid w:val="00011C3E"/>
    <w:rsid w:val="0001201E"/>
    <w:rsid w:val="00013C5C"/>
    <w:rsid w:val="00014485"/>
    <w:rsid w:val="000146BC"/>
    <w:rsid w:val="00014BA9"/>
    <w:rsid w:val="00014BC4"/>
    <w:rsid w:val="00014CBE"/>
    <w:rsid w:val="00015623"/>
    <w:rsid w:val="00015696"/>
    <w:rsid w:val="000158AC"/>
    <w:rsid w:val="00015FF2"/>
    <w:rsid w:val="00017214"/>
    <w:rsid w:val="00017E56"/>
    <w:rsid w:val="00017F6B"/>
    <w:rsid w:val="00020F29"/>
    <w:rsid w:val="0002101F"/>
    <w:rsid w:val="0002275C"/>
    <w:rsid w:val="00023147"/>
    <w:rsid w:val="00023833"/>
    <w:rsid w:val="00023848"/>
    <w:rsid w:val="00026CF3"/>
    <w:rsid w:val="00027888"/>
    <w:rsid w:val="000307D3"/>
    <w:rsid w:val="000334B4"/>
    <w:rsid w:val="000337D0"/>
    <w:rsid w:val="0003403D"/>
    <w:rsid w:val="00034A87"/>
    <w:rsid w:val="00035578"/>
    <w:rsid w:val="00035BD8"/>
    <w:rsid w:val="0003651C"/>
    <w:rsid w:val="000366A6"/>
    <w:rsid w:val="00036A22"/>
    <w:rsid w:val="00040D5A"/>
    <w:rsid w:val="000422F8"/>
    <w:rsid w:val="0004284C"/>
    <w:rsid w:val="0004291C"/>
    <w:rsid w:val="0004402C"/>
    <w:rsid w:val="000442BF"/>
    <w:rsid w:val="000446BB"/>
    <w:rsid w:val="00044DA1"/>
    <w:rsid w:val="00044DA7"/>
    <w:rsid w:val="0004500B"/>
    <w:rsid w:val="00045C4F"/>
    <w:rsid w:val="000470EA"/>
    <w:rsid w:val="0004733C"/>
    <w:rsid w:val="0005023E"/>
    <w:rsid w:val="0005054B"/>
    <w:rsid w:val="000507E6"/>
    <w:rsid w:val="00050ADD"/>
    <w:rsid w:val="000527AA"/>
    <w:rsid w:val="00053526"/>
    <w:rsid w:val="00053753"/>
    <w:rsid w:val="000539AF"/>
    <w:rsid w:val="00054FBB"/>
    <w:rsid w:val="000562EF"/>
    <w:rsid w:val="00060173"/>
    <w:rsid w:val="00060C9D"/>
    <w:rsid w:val="000618AE"/>
    <w:rsid w:val="00061B0C"/>
    <w:rsid w:val="00062553"/>
    <w:rsid w:val="00062A76"/>
    <w:rsid w:val="0006301F"/>
    <w:rsid w:val="00063C24"/>
    <w:rsid w:val="00064A98"/>
    <w:rsid w:val="00067639"/>
    <w:rsid w:val="00071134"/>
    <w:rsid w:val="000715C5"/>
    <w:rsid w:val="0007249F"/>
    <w:rsid w:val="000741DF"/>
    <w:rsid w:val="000747D4"/>
    <w:rsid w:val="00074E70"/>
    <w:rsid w:val="000763D2"/>
    <w:rsid w:val="00076604"/>
    <w:rsid w:val="00081973"/>
    <w:rsid w:val="00082306"/>
    <w:rsid w:val="00082606"/>
    <w:rsid w:val="000829EE"/>
    <w:rsid w:val="00082A8D"/>
    <w:rsid w:val="00082D83"/>
    <w:rsid w:val="000832D6"/>
    <w:rsid w:val="000854EF"/>
    <w:rsid w:val="00087650"/>
    <w:rsid w:val="00087B32"/>
    <w:rsid w:val="00087E8E"/>
    <w:rsid w:val="00090750"/>
    <w:rsid w:val="00092BEE"/>
    <w:rsid w:val="0009307B"/>
    <w:rsid w:val="00093182"/>
    <w:rsid w:val="000936B3"/>
    <w:rsid w:val="0009412D"/>
    <w:rsid w:val="000943A9"/>
    <w:rsid w:val="0009469C"/>
    <w:rsid w:val="00095FB4"/>
    <w:rsid w:val="00096B47"/>
    <w:rsid w:val="00097764"/>
    <w:rsid w:val="00097942"/>
    <w:rsid w:val="000979F1"/>
    <w:rsid w:val="000A10B2"/>
    <w:rsid w:val="000A11B6"/>
    <w:rsid w:val="000A18EB"/>
    <w:rsid w:val="000A1F77"/>
    <w:rsid w:val="000A4246"/>
    <w:rsid w:val="000A5C50"/>
    <w:rsid w:val="000A5E3C"/>
    <w:rsid w:val="000A5EDB"/>
    <w:rsid w:val="000A6667"/>
    <w:rsid w:val="000A699E"/>
    <w:rsid w:val="000A73A0"/>
    <w:rsid w:val="000B0EE7"/>
    <w:rsid w:val="000B0EF4"/>
    <w:rsid w:val="000B2E3B"/>
    <w:rsid w:val="000B2E66"/>
    <w:rsid w:val="000B3467"/>
    <w:rsid w:val="000B3972"/>
    <w:rsid w:val="000B47D8"/>
    <w:rsid w:val="000B4849"/>
    <w:rsid w:val="000B5197"/>
    <w:rsid w:val="000B522B"/>
    <w:rsid w:val="000B575D"/>
    <w:rsid w:val="000B6654"/>
    <w:rsid w:val="000B7A17"/>
    <w:rsid w:val="000C0A4D"/>
    <w:rsid w:val="000C0BB8"/>
    <w:rsid w:val="000C1A69"/>
    <w:rsid w:val="000C2614"/>
    <w:rsid w:val="000C2F7E"/>
    <w:rsid w:val="000C3F87"/>
    <w:rsid w:val="000C443C"/>
    <w:rsid w:val="000D0113"/>
    <w:rsid w:val="000D09E9"/>
    <w:rsid w:val="000D14DE"/>
    <w:rsid w:val="000D266E"/>
    <w:rsid w:val="000D2B35"/>
    <w:rsid w:val="000D3151"/>
    <w:rsid w:val="000D3EE4"/>
    <w:rsid w:val="000D41E6"/>
    <w:rsid w:val="000D4886"/>
    <w:rsid w:val="000D4D2F"/>
    <w:rsid w:val="000D4FF6"/>
    <w:rsid w:val="000D6114"/>
    <w:rsid w:val="000D791A"/>
    <w:rsid w:val="000E5C74"/>
    <w:rsid w:val="000E616D"/>
    <w:rsid w:val="000F0207"/>
    <w:rsid w:val="000F06AF"/>
    <w:rsid w:val="000F0CDD"/>
    <w:rsid w:val="000F21AB"/>
    <w:rsid w:val="000F22D5"/>
    <w:rsid w:val="000F2305"/>
    <w:rsid w:val="000F3343"/>
    <w:rsid w:val="000F3C5E"/>
    <w:rsid w:val="000F437A"/>
    <w:rsid w:val="000F52C7"/>
    <w:rsid w:val="000F6D5A"/>
    <w:rsid w:val="000F78E8"/>
    <w:rsid w:val="00101B39"/>
    <w:rsid w:val="00102D4D"/>
    <w:rsid w:val="00103E6E"/>
    <w:rsid w:val="00103ED1"/>
    <w:rsid w:val="00104282"/>
    <w:rsid w:val="0010469E"/>
    <w:rsid w:val="001053FF"/>
    <w:rsid w:val="00107742"/>
    <w:rsid w:val="00107CA9"/>
    <w:rsid w:val="00107FAF"/>
    <w:rsid w:val="00110645"/>
    <w:rsid w:val="00111011"/>
    <w:rsid w:val="001111AB"/>
    <w:rsid w:val="00111C88"/>
    <w:rsid w:val="0011300A"/>
    <w:rsid w:val="00114FA8"/>
    <w:rsid w:val="001153F3"/>
    <w:rsid w:val="00115F24"/>
    <w:rsid w:val="00117043"/>
    <w:rsid w:val="00117E54"/>
    <w:rsid w:val="001209A0"/>
    <w:rsid w:val="001212F2"/>
    <w:rsid w:val="00121785"/>
    <w:rsid w:val="0012314B"/>
    <w:rsid w:val="00125159"/>
    <w:rsid w:val="00125B28"/>
    <w:rsid w:val="00125B45"/>
    <w:rsid w:val="00125B4B"/>
    <w:rsid w:val="00125B6E"/>
    <w:rsid w:val="00125BFD"/>
    <w:rsid w:val="00126628"/>
    <w:rsid w:val="00127037"/>
    <w:rsid w:val="00127CD1"/>
    <w:rsid w:val="00127E07"/>
    <w:rsid w:val="00130A11"/>
    <w:rsid w:val="0013168C"/>
    <w:rsid w:val="001322AC"/>
    <w:rsid w:val="00133387"/>
    <w:rsid w:val="00133684"/>
    <w:rsid w:val="001347B6"/>
    <w:rsid w:val="00135F9C"/>
    <w:rsid w:val="001376A6"/>
    <w:rsid w:val="0013780B"/>
    <w:rsid w:val="00142CBD"/>
    <w:rsid w:val="00142DD5"/>
    <w:rsid w:val="00143E1C"/>
    <w:rsid w:val="00144528"/>
    <w:rsid w:val="00150702"/>
    <w:rsid w:val="00150F02"/>
    <w:rsid w:val="001512DF"/>
    <w:rsid w:val="0015289F"/>
    <w:rsid w:val="00152F33"/>
    <w:rsid w:val="00154107"/>
    <w:rsid w:val="00155195"/>
    <w:rsid w:val="00155AE7"/>
    <w:rsid w:val="0015619D"/>
    <w:rsid w:val="0015733F"/>
    <w:rsid w:val="001609A8"/>
    <w:rsid w:val="00160D7A"/>
    <w:rsid w:val="00161F35"/>
    <w:rsid w:val="00162A16"/>
    <w:rsid w:val="00162DF0"/>
    <w:rsid w:val="001633EA"/>
    <w:rsid w:val="001640C5"/>
    <w:rsid w:val="001640CF"/>
    <w:rsid w:val="0016484E"/>
    <w:rsid w:val="00164C45"/>
    <w:rsid w:val="00165788"/>
    <w:rsid w:val="00166082"/>
    <w:rsid w:val="00166112"/>
    <w:rsid w:val="0016797F"/>
    <w:rsid w:val="00167BA0"/>
    <w:rsid w:val="00167F01"/>
    <w:rsid w:val="00170D3B"/>
    <w:rsid w:val="00171E0E"/>
    <w:rsid w:val="00171FC9"/>
    <w:rsid w:val="00172353"/>
    <w:rsid w:val="0017296F"/>
    <w:rsid w:val="00172A27"/>
    <w:rsid w:val="00172E18"/>
    <w:rsid w:val="001736D1"/>
    <w:rsid w:val="00174295"/>
    <w:rsid w:val="00174CE7"/>
    <w:rsid w:val="00174F75"/>
    <w:rsid w:val="0017603B"/>
    <w:rsid w:val="00176270"/>
    <w:rsid w:val="00177714"/>
    <w:rsid w:val="00182610"/>
    <w:rsid w:val="00182CAF"/>
    <w:rsid w:val="00183499"/>
    <w:rsid w:val="00183CB1"/>
    <w:rsid w:val="00184BD2"/>
    <w:rsid w:val="00184DDC"/>
    <w:rsid w:val="00185D1C"/>
    <w:rsid w:val="00186819"/>
    <w:rsid w:val="00186E22"/>
    <w:rsid w:val="0019028F"/>
    <w:rsid w:val="0019067C"/>
    <w:rsid w:val="001932A9"/>
    <w:rsid w:val="001933F1"/>
    <w:rsid w:val="001937F8"/>
    <w:rsid w:val="00193D1B"/>
    <w:rsid w:val="00193DE1"/>
    <w:rsid w:val="001947CE"/>
    <w:rsid w:val="00194E1A"/>
    <w:rsid w:val="001952FD"/>
    <w:rsid w:val="001953C6"/>
    <w:rsid w:val="001A04EC"/>
    <w:rsid w:val="001A0961"/>
    <w:rsid w:val="001A0C0F"/>
    <w:rsid w:val="001A0C72"/>
    <w:rsid w:val="001A1E4D"/>
    <w:rsid w:val="001A2221"/>
    <w:rsid w:val="001A2B79"/>
    <w:rsid w:val="001A5903"/>
    <w:rsid w:val="001A5ED0"/>
    <w:rsid w:val="001A6383"/>
    <w:rsid w:val="001A6B95"/>
    <w:rsid w:val="001A6D77"/>
    <w:rsid w:val="001A75B7"/>
    <w:rsid w:val="001B0023"/>
    <w:rsid w:val="001B005D"/>
    <w:rsid w:val="001B0695"/>
    <w:rsid w:val="001B074A"/>
    <w:rsid w:val="001B1069"/>
    <w:rsid w:val="001B2E6A"/>
    <w:rsid w:val="001B33BA"/>
    <w:rsid w:val="001B3BF0"/>
    <w:rsid w:val="001B4360"/>
    <w:rsid w:val="001B4495"/>
    <w:rsid w:val="001B4800"/>
    <w:rsid w:val="001B5297"/>
    <w:rsid w:val="001B5A88"/>
    <w:rsid w:val="001C05B5"/>
    <w:rsid w:val="001C06A6"/>
    <w:rsid w:val="001C086A"/>
    <w:rsid w:val="001C204A"/>
    <w:rsid w:val="001C2BD6"/>
    <w:rsid w:val="001C2E72"/>
    <w:rsid w:val="001C322F"/>
    <w:rsid w:val="001C399D"/>
    <w:rsid w:val="001C3AF8"/>
    <w:rsid w:val="001C5804"/>
    <w:rsid w:val="001C61F9"/>
    <w:rsid w:val="001C6427"/>
    <w:rsid w:val="001C7A99"/>
    <w:rsid w:val="001C7CE1"/>
    <w:rsid w:val="001D06DF"/>
    <w:rsid w:val="001D08F3"/>
    <w:rsid w:val="001D0C15"/>
    <w:rsid w:val="001D1658"/>
    <w:rsid w:val="001D2633"/>
    <w:rsid w:val="001D45D0"/>
    <w:rsid w:val="001D5FDA"/>
    <w:rsid w:val="001D6DEF"/>
    <w:rsid w:val="001E07B6"/>
    <w:rsid w:val="001E0EB3"/>
    <w:rsid w:val="001E19C4"/>
    <w:rsid w:val="001E25E8"/>
    <w:rsid w:val="001E2958"/>
    <w:rsid w:val="001E303D"/>
    <w:rsid w:val="001E46C5"/>
    <w:rsid w:val="001E4728"/>
    <w:rsid w:val="001E4813"/>
    <w:rsid w:val="001E4BE1"/>
    <w:rsid w:val="001E4D60"/>
    <w:rsid w:val="001E5155"/>
    <w:rsid w:val="001E5C81"/>
    <w:rsid w:val="001E6ADD"/>
    <w:rsid w:val="001F1A52"/>
    <w:rsid w:val="001F1DEF"/>
    <w:rsid w:val="001F287E"/>
    <w:rsid w:val="001F5810"/>
    <w:rsid w:val="001F58B4"/>
    <w:rsid w:val="001F6988"/>
    <w:rsid w:val="001F72D2"/>
    <w:rsid w:val="001F7775"/>
    <w:rsid w:val="001F7D02"/>
    <w:rsid w:val="002007F6"/>
    <w:rsid w:val="00200AE1"/>
    <w:rsid w:val="00200E95"/>
    <w:rsid w:val="00201C4F"/>
    <w:rsid w:val="00203BA3"/>
    <w:rsid w:val="00203CC0"/>
    <w:rsid w:val="00203DB1"/>
    <w:rsid w:val="00204D49"/>
    <w:rsid w:val="0020732B"/>
    <w:rsid w:val="00207CB8"/>
    <w:rsid w:val="00211702"/>
    <w:rsid w:val="00213241"/>
    <w:rsid w:val="00213300"/>
    <w:rsid w:val="0021391C"/>
    <w:rsid w:val="00213EA5"/>
    <w:rsid w:val="00214AF2"/>
    <w:rsid w:val="00215005"/>
    <w:rsid w:val="00217A47"/>
    <w:rsid w:val="00220DB2"/>
    <w:rsid w:val="00221419"/>
    <w:rsid w:val="0022260A"/>
    <w:rsid w:val="00223D26"/>
    <w:rsid w:val="0022405C"/>
    <w:rsid w:val="002249AB"/>
    <w:rsid w:val="00224E2A"/>
    <w:rsid w:val="002258AD"/>
    <w:rsid w:val="002274F2"/>
    <w:rsid w:val="0022764F"/>
    <w:rsid w:val="00232AE2"/>
    <w:rsid w:val="002333EE"/>
    <w:rsid w:val="00234937"/>
    <w:rsid w:val="00235467"/>
    <w:rsid w:val="0023770F"/>
    <w:rsid w:val="00237860"/>
    <w:rsid w:val="00237E28"/>
    <w:rsid w:val="00240EE4"/>
    <w:rsid w:val="002422C3"/>
    <w:rsid w:val="00242BC5"/>
    <w:rsid w:val="002432DE"/>
    <w:rsid w:val="00243638"/>
    <w:rsid w:val="00243EB5"/>
    <w:rsid w:val="00243FC3"/>
    <w:rsid w:val="002455D7"/>
    <w:rsid w:val="0024586F"/>
    <w:rsid w:val="002464B4"/>
    <w:rsid w:val="00250193"/>
    <w:rsid w:val="002516FA"/>
    <w:rsid w:val="00251ED1"/>
    <w:rsid w:val="002521DD"/>
    <w:rsid w:val="00252277"/>
    <w:rsid w:val="002532FC"/>
    <w:rsid w:val="00253A94"/>
    <w:rsid w:val="002542DC"/>
    <w:rsid w:val="002549CC"/>
    <w:rsid w:val="00254E69"/>
    <w:rsid w:val="00254E7A"/>
    <w:rsid w:val="002562B7"/>
    <w:rsid w:val="0025738A"/>
    <w:rsid w:val="00257739"/>
    <w:rsid w:val="00262374"/>
    <w:rsid w:val="002625D6"/>
    <w:rsid w:val="002638AA"/>
    <w:rsid w:val="00263EEC"/>
    <w:rsid w:val="00263F04"/>
    <w:rsid w:val="002641D5"/>
    <w:rsid w:val="0026544E"/>
    <w:rsid w:val="00265823"/>
    <w:rsid w:val="00267299"/>
    <w:rsid w:val="00267F02"/>
    <w:rsid w:val="002713ED"/>
    <w:rsid w:val="00272556"/>
    <w:rsid w:val="00272830"/>
    <w:rsid w:val="00273AAB"/>
    <w:rsid w:val="00275FA3"/>
    <w:rsid w:val="002760B1"/>
    <w:rsid w:val="002763B7"/>
    <w:rsid w:val="00277A24"/>
    <w:rsid w:val="00277F69"/>
    <w:rsid w:val="00280AFF"/>
    <w:rsid w:val="00280E24"/>
    <w:rsid w:val="00282C97"/>
    <w:rsid w:val="00283505"/>
    <w:rsid w:val="00285419"/>
    <w:rsid w:val="002859A8"/>
    <w:rsid w:val="00285F06"/>
    <w:rsid w:val="002875A0"/>
    <w:rsid w:val="00287EB4"/>
    <w:rsid w:val="0029119C"/>
    <w:rsid w:val="00291A71"/>
    <w:rsid w:val="00292D36"/>
    <w:rsid w:val="0029378C"/>
    <w:rsid w:val="00294744"/>
    <w:rsid w:val="002971C9"/>
    <w:rsid w:val="00297CC5"/>
    <w:rsid w:val="00297D9A"/>
    <w:rsid w:val="002A0001"/>
    <w:rsid w:val="002A0E5D"/>
    <w:rsid w:val="002A1A55"/>
    <w:rsid w:val="002A2585"/>
    <w:rsid w:val="002A2B54"/>
    <w:rsid w:val="002A2C8F"/>
    <w:rsid w:val="002A341F"/>
    <w:rsid w:val="002A3919"/>
    <w:rsid w:val="002A450A"/>
    <w:rsid w:val="002A4924"/>
    <w:rsid w:val="002A4FEA"/>
    <w:rsid w:val="002A6057"/>
    <w:rsid w:val="002A66E8"/>
    <w:rsid w:val="002B0ACE"/>
    <w:rsid w:val="002B0E52"/>
    <w:rsid w:val="002B122F"/>
    <w:rsid w:val="002B12BB"/>
    <w:rsid w:val="002B1558"/>
    <w:rsid w:val="002B17E0"/>
    <w:rsid w:val="002B196C"/>
    <w:rsid w:val="002B54F9"/>
    <w:rsid w:val="002B57E2"/>
    <w:rsid w:val="002B612A"/>
    <w:rsid w:val="002B6AFE"/>
    <w:rsid w:val="002B6C31"/>
    <w:rsid w:val="002B7584"/>
    <w:rsid w:val="002C1674"/>
    <w:rsid w:val="002C2064"/>
    <w:rsid w:val="002C3DEC"/>
    <w:rsid w:val="002C51AA"/>
    <w:rsid w:val="002C52D6"/>
    <w:rsid w:val="002C55E1"/>
    <w:rsid w:val="002C593C"/>
    <w:rsid w:val="002C5D12"/>
    <w:rsid w:val="002C67F9"/>
    <w:rsid w:val="002D1A21"/>
    <w:rsid w:val="002D200A"/>
    <w:rsid w:val="002D222C"/>
    <w:rsid w:val="002D2523"/>
    <w:rsid w:val="002D2656"/>
    <w:rsid w:val="002D2A69"/>
    <w:rsid w:val="002D2AE4"/>
    <w:rsid w:val="002D3514"/>
    <w:rsid w:val="002D372A"/>
    <w:rsid w:val="002D387A"/>
    <w:rsid w:val="002D4BDB"/>
    <w:rsid w:val="002D50B3"/>
    <w:rsid w:val="002D5611"/>
    <w:rsid w:val="002D7517"/>
    <w:rsid w:val="002E04D1"/>
    <w:rsid w:val="002E0650"/>
    <w:rsid w:val="002E255B"/>
    <w:rsid w:val="002E2FCC"/>
    <w:rsid w:val="002E33FB"/>
    <w:rsid w:val="002E38C0"/>
    <w:rsid w:val="002E46EC"/>
    <w:rsid w:val="002E4D8C"/>
    <w:rsid w:val="002E4E1D"/>
    <w:rsid w:val="002E58FB"/>
    <w:rsid w:val="002E6C25"/>
    <w:rsid w:val="002E726C"/>
    <w:rsid w:val="002F08CF"/>
    <w:rsid w:val="002F0B22"/>
    <w:rsid w:val="002F1020"/>
    <w:rsid w:val="002F1122"/>
    <w:rsid w:val="002F3CCF"/>
    <w:rsid w:val="002F470D"/>
    <w:rsid w:val="00300925"/>
    <w:rsid w:val="00301A62"/>
    <w:rsid w:val="00302580"/>
    <w:rsid w:val="00302647"/>
    <w:rsid w:val="003026D1"/>
    <w:rsid w:val="00302EF2"/>
    <w:rsid w:val="00303004"/>
    <w:rsid w:val="003050A8"/>
    <w:rsid w:val="0030546F"/>
    <w:rsid w:val="003057CE"/>
    <w:rsid w:val="00305F03"/>
    <w:rsid w:val="00307D6F"/>
    <w:rsid w:val="003107FF"/>
    <w:rsid w:val="003131EE"/>
    <w:rsid w:val="00313F5C"/>
    <w:rsid w:val="00313FC0"/>
    <w:rsid w:val="00315012"/>
    <w:rsid w:val="00316B6B"/>
    <w:rsid w:val="00317D85"/>
    <w:rsid w:val="0032013B"/>
    <w:rsid w:val="00320A79"/>
    <w:rsid w:val="00320C69"/>
    <w:rsid w:val="0032227F"/>
    <w:rsid w:val="00322607"/>
    <w:rsid w:val="0032375F"/>
    <w:rsid w:val="00323AD5"/>
    <w:rsid w:val="00323CC8"/>
    <w:rsid w:val="0032450C"/>
    <w:rsid w:val="003248AA"/>
    <w:rsid w:val="00330512"/>
    <w:rsid w:val="00330F18"/>
    <w:rsid w:val="00332289"/>
    <w:rsid w:val="0033322E"/>
    <w:rsid w:val="00333C50"/>
    <w:rsid w:val="003340AE"/>
    <w:rsid w:val="00334B5D"/>
    <w:rsid w:val="00334D87"/>
    <w:rsid w:val="00334E62"/>
    <w:rsid w:val="00335125"/>
    <w:rsid w:val="00336242"/>
    <w:rsid w:val="00337163"/>
    <w:rsid w:val="00337231"/>
    <w:rsid w:val="003378AE"/>
    <w:rsid w:val="0034109C"/>
    <w:rsid w:val="00341BDA"/>
    <w:rsid w:val="00341E2A"/>
    <w:rsid w:val="003440F5"/>
    <w:rsid w:val="003443A2"/>
    <w:rsid w:val="00344E8D"/>
    <w:rsid w:val="003451D7"/>
    <w:rsid w:val="00346E8F"/>
    <w:rsid w:val="00347DF8"/>
    <w:rsid w:val="0035149C"/>
    <w:rsid w:val="003516D1"/>
    <w:rsid w:val="0035238F"/>
    <w:rsid w:val="003534A9"/>
    <w:rsid w:val="003538AB"/>
    <w:rsid w:val="00353BDA"/>
    <w:rsid w:val="003549C8"/>
    <w:rsid w:val="0035698F"/>
    <w:rsid w:val="003574A0"/>
    <w:rsid w:val="00357B63"/>
    <w:rsid w:val="00357DB0"/>
    <w:rsid w:val="00360122"/>
    <w:rsid w:val="003614A1"/>
    <w:rsid w:val="00361FD0"/>
    <w:rsid w:val="0036275A"/>
    <w:rsid w:val="003631A4"/>
    <w:rsid w:val="00363443"/>
    <w:rsid w:val="00363D76"/>
    <w:rsid w:val="003643B5"/>
    <w:rsid w:val="00364972"/>
    <w:rsid w:val="00364E8E"/>
    <w:rsid w:val="00365E76"/>
    <w:rsid w:val="0036648E"/>
    <w:rsid w:val="00366F17"/>
    <w:rsid w:val="00366FA1"/>
    <w:rsid w:val="00366FEC"/>
    <w:rsid w:val="00367FFE"/>
    <w:rsid w:val="003704B8"/>
    <w:rsid w:val="00370A88"/>
    <w:rsid w:val="003714DE"/>
    <w:rsid w:val="003718F4"/>
    <w:rsid w:val="00371EAB"/>
    <w:rsid w:val="00372714"/>
    <w:rsid w:val="00372940"/>
    <w:rsid w:val="00372A69"/>
    <w:rsid w:val="00372FBD"/>
    <w:rsid w:val="00373A61"/>
    <w:rsid w:val="00373C3E"/>
    <w:rsid w:val="00376E73"/>
    <w:rsid w:val="003773B0"/>
    <w:rsid w:val="00377ADC"/>
    <w:rsid w:val="00380308"/>
    <w:rsid w:val="0038061E"/>
    <w:rsid w:val="0038142F"/>
    <w:rsid w:val="00381F0B"/>
    <w:rsid w:val="003820B6"/>
    <w:rsid w:val="00382C5D"/>
    <w:rsid w:val="00382FBA"/>
    <w:rsid w:val="00383290"/>
    <w:rsid w:val="00383537"/>
    <w:rsid w:val="0038356D"/>
    <w:rsid w:val="00383B87"/>
    <w:rsid w:val="0038491B"/>
    <w:rsid w:val="00385394"/>
    <w:rsid w:val="0038543B"/>
    <w:rsid w:val="00387646"/>
    <w:rsid w:val="00387949"/>
    <w:rsid w:val="00387B16"/>
    <w:rsid w:val="00387DD5"/>
    <w:rsid w:val="0039053F"/>
    <w:rsid w:val="00391F09"/>
    <w:rsid w:val="003924B6"/>
    <w:rsid w:val="003927B2"/>
    <w:rsid w:val="0039445C"/>
    <w:rsid w:val="003948E2"/>
    <w:rsid w:val="00397666"/>
    <w:rsid w:val="00397842"/>
    <w:rsid w:val="00397A07"/>
    <w:rsid w:val="00397A3B"/>
    <w:rsid w:val="003A1B02"/>
    <w:rsid w:val="003A1FB1"/>
    <w:rsid w:val="003A299A"/>
    <w:rsid w:val="003A2BBF"/>
    <w:rsid w:val="003A3052"/>
    <w:rsid w:val="003A32F2"/>
    <w:rsid w:val="003A3CA0"/>
    <w:rsid w:val="003A431C"/>
    <w:rsid w:val="003A482A"/>
    <w:rsid w:val="003A7DAC"/>
    <w:rsid w:val="003B018E"/>
    <w:rsid w:val="003B1C2F"/>
    <w:rsid w:val="003B27F0"/>
    <w:rsid w:val="003B3507"/>
    <w:rsid w:val="003B3809"/>
    <w:rsid w:val="003B3838"/>
    <w:rsid w:val="003B3D04"/>
    <w:rsid w:val="003B46E5"/>
    <w:rsid w:val="003B5535"/>
    <w:rsid w:val="003B5711"/>
    <w:rsid w:val="003B5C52"/>
    <w:rsid w:val="003B7866"/>
    <w:rsid w:val="003B7BD6"/>
    <w:rsid w:val="003C07D5"/>
    <w:rsid w:val="003C0B48"/>
    <w:rsid w:val="003C0EB3"/>
    <w:rsid w:val="003C1358"/>
    <w:rsid w:val="003C2BFE"/>
    <w:rsid w:val="003C3788"/>
    <w:rsid w:val="003C48BC"/>
    <w:rsid w:val="003C530C"/>
    <w:rsid w:val="003C7265"/>
    <w:rsid w:val="003C734A"/>
    <w:rsid w:val="003C74C8"/>
    <w:rsid w:val="003C7F21"/>
    <w:rsid w:val="003C7F97"/>
    <w:rsid w:val="003D108A"/>
    <w:rsid w:val="003D130B"/>
    <w:rsid w:val="003D1607"/>
    <w:rsid w:val="003D2E34"/>
    <w:rsid w:val="003D3464"/>
    <w:rsid w:val="003D492B"/>
    <w:rsid w:val="003D4EB8"/>
    <w:rsid w:val="003D5982"/>
    <w:rsid w:val="003D6222"/>
    <w:rsid w:val="003D67C1"/>
    <w:rsid w:val="003D6F83"/>
    <w:rsid w:val="003D762B"/>
    <w:rsid w:val="003D7836"/>
    <w:rsid w:val="003D7E49"/>
    <w:rsid w:val="003E06C0"/>
    <w:rsid w:val="003E0FB9"/>
    <w:rsid w:val="003E1E52"/>
    <w:rsid w:val="003E2446"/>
    <w:rsid w:val="003E2518"/>
    <w:rsid w:val="003E2981"/>
    <w:rsid w:val="003E3EFD"/>
    <w:rsid w:val="003E439A"/>
    <w:rsid w:val="003E48FD"/>
    <w:rsid w:val="003E54C9"/>
    <w:rsid w:val="003E5C25"/>
    <w:rsid w:val="003E5D44"/>
    <w:rsid w:val="003E62E5"/>
    <w:rsid w:val="003F0145"/>
    <w:rsid w:val="003F1DE3"/>
    <w:rsid w:val="003F20E1"/>
    <w:rsid w:val="003F2427"/>
    <w:rsid w:val="003F277D"/>
    <w:rsid w:val="003F2796"/>
    <w:rsid w:val="003F4BFC"/>
    <w:rsid w:val="003F4D43"/>
    <w:rsid w:val="003F5163"/>
    <w:rsid w:val="003F615D"/>
    <w:rsid w:val="003F61A4"/>
    <w:rsid w:val="003F71C4"/>
    <w:rsid w:val="003F7909"/>
    <w:rsid w:val="00400379"/>
    <w:rsid w:val="00400B2E"/>
    <w:rsid w:val="004016C2"/>
    <w:rsid w:val="00402B54"/>
    <w:rsid w:val="004031C6"/>
    <w:rsid w:val="0040458F"/>
    <w:rsid w:val="00406077"/>
    <w:rsid w:val="00406571"/>
    <w:rsid w:val="0041009E"/>
    <w:rsid w:val="00410FAF"/>
    <w:rsid w:val="00410FFC"/>
    <w:rsid w:val="00411CA5"/>
    <w:rsid w:val="00411FEC"/>
    <w:rsid w:val="004124CC"/>
    <w:rsid w:val="00413681"/>
    <w:rsid w:val="00413DFF"/>
    <w:rsid w:val="00414C6C"/>
    <w:rsid w:val="00414EAA"/>
    <w:rsid w:val="00416230"/>
    <w:rsid w:val="00416445"/>
    <w:rsid w:val="00416798"/>
    <w:rsid w:val="00416C83"/>
    <w:rsid w:val="004170FF"/>
    <w:rsid w:val="00417398"/>
    <w:rsid w:val="0042124F"/>
    <w:rsid w:val="004228A8"/>
    <w:rsid w:val="00423128"/>
    <w:rsid w:val="00423F66"/>
    <w:rsid w:val="00425143"/>
    <w:rsid w:val="0042729D"/>
    <w:rsid w:val="00427F4D"/>
    <w:rsid w:val="0043057C"/>
    <w:rsid w:val="00431284"/>
    <w:rsid w:val="00431CC3"/>
    <w:rsid w:val="00434751"/>
    <w:rsid w:val="00434ADA"/>
    <w:rsid w:val="00434EB7"/>
    <w:rsid w:val="00435BE7"/>
    <w:rsid w:val="004376AF"/>
    <w:rsid w:val="004405E3"/>
    <w:rsid w:val="00440714"/>
    <w:rsid w:val="00440C91"/>
    <w:rsid w:val="004419E0"/>
    <w:rsid w:val="0044261F"/>
    <w:rsid w:val="00442A3F"/>
    <w:rsid w:val="00444624"/>
    <w:rsid w:val="00444A1B"/>
    <w:rsid w:val="00445824"/>
    <w:rsid w:val="00445D74"/>
    <w:rsid w:val="00445E36"/>
    <w:rsid w:val="0044604C"/>
    <w:rsid w:val="00446279"/>
    <w:rsid w:val="00446EE6"/>
    <w:rsid w:val="00447CCA"/>
    <w:rsid w:val="004502F8"/>
    <w:rsid w:val="0045039B"/>
    <w:rsid w:val="004504B2"/>
    <w:rsid w:val="00450AF3"/>
    <w:rsid w:val="00450F72"/>
    <w:rsid w:val="0045174B"/>
    <w:rsid w:val="00453635"/>
    <w:rsid w:val="00453E28"/>
    <w:rsid w:val="00455D22"/>
    <w:rsid w:val="00456DB4"/>
    <w:rsid w:val="004574E8"/>
    <w:rsid w:val="00460BD9"/>
    <w:rsid w:val="00461477"/>
    <w:rsid w:val="00462ACF"/>
    <w:rsid w:val="00464E45"/>
    <w:rsid w:val="004653D1"/>
    <w:rsid w:val="00465522"/>
    <w:rsid w:val="0046681D"/>
    <w:rsid w:val="00466D7D"/>
    <w:rsid w:val="00467152"/>
    <w:rsid w:val="0046717F"/>
    <w:rsid w:val="004703A6"/>
    <w:rsid w:val="0047168C"/>
    <w:rsid w:val="004723D9"/>
    <w:rsid w:val="00474966"/>
    <w:rsid w:val="00475146"/>
    <w:rsid w:val="00475287"/>
    <w:rsid w:val="004752BF"/>
    <w:rsid w:val="00475842"/>
    <w:rsid w:val="004763B5"/>
    <w:rsid w:val="00476B45"/>
    <w:rsid w:val="00477B86"/>
    <w:rsid w:val="004800C6"/>
    <w:rsid w:val="0048031F"/>
    <w:rsid w:val="00480DFE"/>
    <w:rsid w:val="00481207"/>
    <w:rsid w:val="00481A9D"/>
    <w:rsid w:val="00481F43"/>
    <w:rsid w:val="00482240"/>
    <w:rsid w:val="0048257D"/>
    <w:rsid w:val="00482611"/>
    <w:rsid w:val="004831ED"/>
    <w:rsid w:val="00483214"/>
    <w:rsid w:val="00486836"/>
    <w:rsid w:val="004872A7"/>
    <w:rsid w:val="00487E8E"/>
    <w:rsid w:val="00490AF9"/>
    <w:rsid w:val="004910AB"/>
    <w:rsid w:val="00492AC4"/>
    <w:rsid w:val="0049365C"/>
    <w:rsid w:val="00493B5F"/>
    <w:rsid w:val="0049414C"/>
    <w:rsid w:val="0049497E"/>
    <w:rsid w:val="00495949"/>
    <w:rsid w:val="004A11F0"/>
    <w:rsid w:val="004A17E0"/>
    <w:rsid w:val="004A1FCE"/>
    <w:rsid w:val="004A24B6"/>
    <w:rsid w:val="004A2EE5"/>
    <w:rsid w:val="004A3466"/>
    <w:rsid w:val="004A3AF0"/>
    <w:rsid w:val="004A4E25"/>
    <w:rsid w:val="004A6C43"/>
    <w:rsid w:val="004A78EB"/>
    <w:rsid w:val="004A7967"/>
    <w:rsid w:val="004B0AD3"/>
    <w:rsid w:val="004B2058"/>
    <w:rsid w:val="004B5C40"/>
    <w:rsid w:val="004B712A"/>
    <w:rsid w:val="004B7DC5"/>
    <w:rsid w:val="004B7ED0"/>
    <w:rsid w:val="004B7EFC"/>
    <w:rsid w:val="004C09A8"/>
    <w:rsid w:val="004C0B44"/>
    <w:rsid w:val="004C0F22"/>
    <w:rsid w:val="004C4A60"/>
    <w:rsid w:val="004C5BC4"/>
    <w:rsid w:val="004C7D32"/>
    <w:rsid w:val="004D0827"/>
    <w:rsid w:val="004D16D0"/>
    <w:rsid w:val="004D1775"/>
    <w:rsid w:val="004D2368"/>
    <w:rsid w:val="004D36F1"/>
    <w:rsid w:val="004D382E"/>
    <w:rsid w:val="004D479B"/>
    <w:rsid w:val="004D4B54"/>
    <w:rsid w:val="004D5BA9"/>
    <w:rsid w:val="004D63DA"/>
    <w:rsid w:val="004D6DF1"/>
    <w:rsid w:val="004D7DEE"/>
    <w:rsid w:val="004E07E7"/>
    <w:rsid w:val="004E3687"/>
    <w:rsid w:val="004E3D4F"/>
    <w:rsid w:val="004E3F3F"/>
    <w:rsid w:val="004E4222"/>
    <w:rsid w:val="004E437F"/>
    <w:rsid w:val="004E497E"/>
    <w:rsid w:val="004E4C3C"/>
    <w:rsid w:val="004E538D"/>
    <w:rsid w:val="004E586F"/>
    <w:rsid w:val="004E5CCC"/>
    <w:rsid w:val="004E5D4B"/>
    <w:rsid w:val="004E5F08"/>
    <w:rsid w:val="004E6242"/>
    <w:rsid w:val="004E7073"/>
    <w:rsid w:val="004E7AB8"/>
    <w:rsid w:val="004F0000"/>
    <w:rsid w:val="004F0761"/>
    <w:rsid w:val="004F110E"/>
    <w:rsid w:val="004F1CF4"/>
    <w:rsid w:val="004F1D6B"/>
    <w:rsid w:val="004F1F13"/>
    <w:rsid w:val="004F3EF2"/>
    <w:rsid w:val="004F47BE"/>
    <w:rsid w:val="004F4C04"/>
    <w:rsid w:val="004F68D6"/>
    <w:rsid w:val="004F788B"/>
    <w:rsid w:val="004F7F0C"/>
    <w:rsid w:val="0050058C"/>
    <w:rsid w:val="005013F3"/>
    <w:rsid w:val="0050166C"/>
    <w:rsid w:val="005025B7"/>
    <w:rsid w:val="0050281A"/>
    <w:rsid w:val="00503CAD"/>
    <w:rsid w:val="00504A90"/>
    <w:rsid w:val="005066CB"/>
    <w:rsid w:val="00506B14"/>
    <w:rsid w:val="0050721C"/>
    <w:rsid w:val="005109C7"/>
    <w:rsid w:val="0051342E"/>
    <w:rsid w:val="00514CD5"/>
    <w:rsid w:val="00515B23"/>
    <w:rsid w:val="00515F49"/>
    <w:rsid w:val="00517B67"/>
    <w:rsid w:val="00521BA8"/>
    <w:rsid w:val="00521BB0"/>
    <w:rsid w:val="005235B8"/>
    <w:rsid w:val="00523EBC"/>
    <w:rsid w:val="00524392"/>
    <w:rsid w:val="00524AC4"/>
    <w:rsid w:val="0052573A"/>
    <w:rsid w:val="005260D7"/>
    <w:rsid w:val="005261F9"/>
    <w:rsid w:val="00526B15"/>
    <w:rsid w:val="00526F58"/>
    <w:rsid w:val="00530A95"/>
    <w:rsid w:val="00530AE2"/>
    <w:rsid w:val="00531894"/>
    <w:rsid w:val="00532B9F"/>
    <w:rsid w:val="00534690"/>
    <w:rsid w:val="00534CE9"/>
    <w:rsid w:val="00535A2B"/>
    <w:rsid w:val="0053642C"/>
    <w:rsid w:val="00536B4F"/>
    <w:rsid w:val="00537DFF"/>
    <w:rsid w:val="005409A3"/>
    <w:rsid w:val="005409E8"/>
    <w:rsid w:val="005409EF"/>
    <w:rsid w:val="00541107"/>
    <w:rsid w:val="00541627"/>
    <w:rsid w:val="00543AE1"/>
    <w:rsid w:val="00544602"/>
    <w:rsid w:val="00544867"/>
    <w:rsid w:val="00544A71"/>
    <w:rsid w:val="0054547D"/>
    <w:rsid w:val="00545B42"/>
    <w:rsid w:val="00545E27"/>
    <w:rsid w:val="00545ED5"/>
    <w:rsid w:val="00545F75"/>
    <w:rsid w:val="0054639A"/>
    <w:rsid w:val="00547315"/>
    <w:rsid w:val="00550255"/>
    <w:rsid w:val="00550C8D"/>
    <w:rsid w:val="005516A9"/>
    <w:rsid w:val="005521FE"/>
    <w:rsid w:val="00552A48"/>
    <w:rsid w:val="00552B50"/>
    <w:rsid w:val="005534B5"/>
    <w:rsid w:val="00553C80"/>
    <w:rsid w:val="00553D8C"/>
    <w:rsid w:val="005544B1"/>
    <w:rsid w:val="00555C24"/>
    <w:rsid w:val="005604FE"/>
    <w:rsid w:val="00560C8C"/>
    <w:rsid w:val="00563C1D"/>
    <w:rsid w:val="00564CB3"/>
    <w:rsid w:val="00565AF3"/>
    <w:rsid w:val="005660A6"/>
    <w:rsid w:val="00567A55"/>
    <w:rsid w:val="00570E82"/>
    <w:rsid w:val="00570F36"/>
    <w:rsid w:val="00571D56"/>
    <w:rsid w:val="00571FFB"/>
    <w:rsid w:val="005732FA"/>
    <w:rsid w:val="00574139"/>
    <w:rsid w:val="0057487B"/>
    <w:rsid w:val="00574EE6"/>
    <w:rsid w:val="005757F8"/>
    <w:rsid w:val="005759BE"/>
    <w:rsid w:val="00575B79"/>
    <w:rsid w:val="00576327"/>
    <w:rsid w:val="0057653C"/>
    <w:rsid w:val="005767FA"/>
    <w:rsid w:val="005768E7"/>
    <w:rsid w:val="005772C9"/>
    <w:rsid w:val="00581027"/>
    <w:rsid w:val="005810A0"/>
    <w:rsid w:val="005813F1"/>
    <w:rsid w:val="00581FA3"/>
    <w:rsid w:val="00582974"/>
    <w:rsid w:val="00583343"/>
    <w:rsid w:val="00584577"/>
    <w:rsid w:val="00584941"/>
    <w:rsid w:val="00586459"/>
    <w:rsid w:val="00586D82"/>
    <w:rsid w:val="00586DF8"/>
    <w:rsid w:val="00587FF5"/>
    <w:rsid w:val="0059009D"/>
    <w:rsid w:val="005913A3"/>
    <w:rsid w:val="00591BD6"/>
    <w:rsid w:val="00591F67"/>
    <w:rsid w:val="0059243D"/>
    <w:rsid w:val="005929B9"/>
    <w:rsid w:val="005938C6"/>
    <w:rsid w:val="005948A5"/>
    <w:rsid w:val="0059562C"/>
    <w:rsid w:val="00595BBA"/>
    <w:rsid w:val="00595DB2"/>
    <w:rsid w:val="00595E93"/>
    <w:rsid w:val="00596700"/>
    <w:rsid w:val="00596816"/>
    <w:rsid w:val="00596F0C"/>
    <w:rsid w:val="00596F3C"/>
    <w:rsid w:val="00596FA8"/>
    <w:rsid w:val="005975DC"/>
    <w:rsid w:val="00597AB0"/>
    <w:rsid w:val="005A0AB1"/>
    <w:rsid w:val="005A2724"/>
    <w:rsid w:val="005A2EBE"/>
    <w:rsid w:val="005A3911"/>
    <w:rsid w:val="005A41B5"/>
    <w:rsid w:val="005A42E7"/>
    <w:rsid w:val="005A48AE"/>
    <w:rsid w:val="005A499B"/>
    <w:rsid w:val="005A696F"/>
    <w:rsid w:val="005A71F8"/>
    <w:rsid w:val="005A7930"/>
    <w:rsid w:val="005A7977"/>
    <w:rsid w:val="005A7B07"/>
    <w:rsid w:val="005B1261"/>
    <w:rsid w:val="005B1B6D"/>
    <w:rsid w:val="005B567F"/>
    <w:rsid w:val="005B6A17"/>
    <w:rsid w:val="005B6C77"/>
    <w:rsid w:val="005B799C"/>
    <w:rsid w:val="005C1094"/>
    <w:rsid w:val="005C13EE"/>
    <w:rsid w:val="005C29BB"/>
    <w:rsid w:val="005C31FF"/>
    <w:rsid w:val="005C34D6"/>
    <w:rsid w:val="005C35CC"/>
    <w:rsid w:val="005C4533"/>
    <w:rsid w:val="005C5119"/>
    <w:rsid w:val="005C57E9"/>
    <w:rsid w:val="005C58EA"/>
    <w:rsid w:val="005C701E"/>
    <w:rsid w:val="005C7903"/>
    <w:rsid w:val="005D0B87"/>
    <w:rsid w:val="005D1E27"/>
    <w:rsid w:val="005D32EE"/>
    <w:rsid w:val="005D4C15"/>
    <w:rsid w:val="005D4E2D"/>
    <w:rsid w:val="005D7759"/>
    <w:rsid w:val="005E0367"/>
    <w:rsid w:val="005E0C8D"/>
    <w:rsid w:val="005E2FB4"/>
    <w:rsid w:val="005E4593"/>
    <w:rsid w:val="005E4905"/>
    <w:rsid w:val="005E4F18"/>
    <w:rsid w:val="005E7238"/>
    <w:rsid w:val="005E7917"/>
    <w:rsid w:val="005F017F"/>
    <w:rsid w:val="005F0821"/>
    <w:rsid w:val="005F0A2F"/>
    <w:rsid w:val="005F0F9E"/>
    <w:rsid w:val="005F1C3F"/>
    <w:rsid w:val="005F391A"/>
    <w:rsid w:val="005F471A"/>
    <w:rsid w:val="005F509D"/>
    <w:rsid w:val="0060084D"/>
    <w:rsid w:val="00600DE7"/>
    <w:rsid w:val="00601712"/>
    <w:rsid w:val="00601B8E"/>
    <w:rsid w:val="006023C9"/>
    <w:rsid w:val="006034C4"/>
    <w:rsid w:val="00603578"/>
    <w:rsid w:val="00603631"/>
    <w:rsid w:val="00604293"/>
    <w:rsid w:val="00605147"/>
    <w:rsid w:val="0060694B"/>
    <w:rsid w:val="00606A3E"/>
    <w:rsid w:val="00610137"/>
    <w:rsid w:val="00612C5C"/>
    <w:rsid w:val="006138C6"/>
    <w:rsid w:val="00613F72"/>
    <w:rsid w:val="006144B1"/>
    <w:rsid w:val="00616857"/>
    <w:rsid w:val="00617AB8"/>
    <w:rsid w:val="00617D2A"/>
    <w:rsid w:val="0062135C"/>
    <w:rsid w:val="00623802"/>
    <w:rsid w:val="00623B29"/>
    <w:rsid w:val="00624289"/>
    <w:rsid w:val="00624DB8"/>
    <w:rsid w:val="00624F5B"/>
    <w:rsid w:val="00626450"/>
    <w:rsid w:val="0062675E"/>
    <w:rsid w:val="00626B79"/>
    <w:rsid w:val="00626D6E"/>
    <w:rsid w:val="00627220"/>
    <w:rsid w:val="00627B9D"/>
    <w:rsid w:val="00627EA4"/>
    <w:rsid w:val="00630BA8"/>
    <w:rsid w:val="00630E30"/>
    <w:rsid w:val="006317D0"/>
    <w:rsid w:val="00631C79"/>
    <w:rsid w:val="0063242A"/>
    <w:rsid w:val="00632A87"/>
    <w:rsid w:val="00633B94"/>
    <w:rsid w:val="00633B99"/>
    <w:rsid w:val="00634C48"/>
    <w:rsid w:val="0063534A"/>
    <w:rsid w:val="00635A7A"/>
    <w:rsid w:val="006404BF"/>
    <w:rsid w:val="006406B7"/>
    <w:rsid w:val="00640AD9"/>
    <w:rsid w:val="0064294B"/>
    <w:rsid w:val="00642A84"/>
    <w:rsid w:val="006435F1"/>
    <w:rsid w:val="006450EB"/>
    <w:rsid w:val="006451CD"/>
    <w:rsid w:val="006467A1"/>
    <w:rsid w:val="00646993"/>
    <w:rsid w:val="00647B17"/>
    <w:rsid w:val="00650E99"/>
    <w:rsid w:val="00651ECB"/>
    <w:rsid w:val="00651FEB"/>
    <w:rsid w:val="00652581"/>
    <w:rsid w:val="00653480"/>
    <w:rsid w:val="0065481D"/>
    <w:rsid w:val="00654D49"/>
    <w:rsid w:val="00655718"/>
    <w:rsid w:val="006566EE"/>
    <w:rsid w:val="00656C99"/>
    <w:rsid w:val="006575D3"/>
    <w:rsid w:val="0065788D"/>
    <w:rsid w:val="006602CE"/>
    <w:rsid w:val="00663518"/>
    <w:rsid w:val="00663A8A"/>
    <w:rsid w:val="0066438C"/>
    <w:rsid w:val="00667501"/>
    <w:rsid w:val="00667E50"/>
    <w:rsid w:val="0067085B"/>
    <w:rsid w:val="00673515"/>
    <w:rsid w:val="006742F5"/>
    <w:rsid w:val="0067496E"/>
    <w:rsid w:val="006752EB"/>
    <w:rsid w:val="006764EE"/>
    <w:rsid w:val="00676C2E"/>
    <w:rsid w:val="0068090F"/>
    <w:rsid w:val="006809F6"/>
    <w:rsid w:val="00680AAC"/>
    <w:rsid w:val="00682468"/>
    <w:rsid w:val="00683048"/>
    <w:rsid w:val="00684F17"/>
    <w:rsid w:val="00687361"/>
    <w:rsid w:val="0069036C"/>
    <w:rsid w:val="00690E98"/>
    <w:rsid w:val="006922DA"/>
    <w:rsid w:val="0069349E"/>
    <w:rsid w:val="0069375E"/>
    <w:rsid w:val="006957FD"/>
    <w:rsid w:val="00696FBC"/>
    <w:rsid w:val="00697318"/>
    <w:rsid w:val="00697FC1"/>
    <w:rsid w:val="006A1112"/>
    <w:rsid w:val="006A1274"/>
    <w:rsid w:val="006A3552"/>
    <w:rsid w:val="006A3DCF"/>
    <w:rsid w:val="006A45EF"/>
    <w:rsid w:val="006A4A5B"/>
    <w:rsid w:val="006A54E7"/>
    <w:rsid w:val="006A5568"/>
    <w:rsid w:val="006A5955"/>
    <w:rsid w:val="006A6D2C"/>
    <w:rsid w:val="006A7173"/>
    <w:rsid w:val="006A7593"/>
    <w:rsid w:val="006B03E8"/>
    <w:rsid w:val="006B2F8A"/>
    <w:rsid w:val="006B6928"/>
    <w:rsid w:val="006B6C02"/>
    <w:rsid w:val="006B7AD6"/>
    <w:rsid w:val="006C1D39"/>
    <w:rsid w:val="006C2C84"/>
    <w:rsid w:val="006C3AAF"/>
    <w:rsid w:val="006C48A4"/>
    <w:rsid w:val="006C4A51"/>
    <w:rsid w:val="006C4B8B"/>
    <w:rsid w:val="006C66AB"/>
    <w:rsid w:val="006C7574"/>
    <w:rsid w:val="006C7C6E"/>
    <w:rsid w:val="006D179A"/>
    <w:rsid w:val="006D20DB"/>
    <w:rsid w:val="006D297C"/>
    <w:rsid w:val="006D2F81"/>
    <w:rsid w:val="006D3323"/>
    <w:rsid w:val="006D3847"/>
    <w:rsid w:val="006D41CF"/>
    <w:rsid w:val="006D47C1"/>
    <w:rsid w:val="006D514C"/>
    <w:rsid w:val="006D56E7"/>
    <w:rsid w:val="006D61E3"/>
    <w:rsid w:val="006D65C0"/>
    <w:rsid w:val="006D70B9"/>
    <w:rsid w:val="006E0DE1"/>
    <w:rsid w:val="006E0E3F"/>
    <w:rsid w:val="006E27C7"/>
    <w:rsid w:val="006E499D"/>
    <w:rsid w:val="006E49AC"/>
    <w:rsid w:val="006F0069"/>
    <w:rsid w:val="006F0BCB"/>
    <w:rsid w:val="006F1797"/>
    <w:rsid w:val="006F18E6"/>
    <w:rsid w:val="006F318A"/>
    <w:rsid w:val="006F3228"/>
    <w:rsid w:val="006F3658"/>
    <w:rsid w:val="006F3E6C"/>
    <w:rsid w:val="006F44CB"/>
    <w:rsid w:val="006F4D6A"/>
    <w:rsid w:val="006F4F82"/>
    <w:rsid w:val="006F54D4"/>
    <w:rsid w:val="006F5C64"/>
    <w:rsid w:val="006F6C54"/>
    <w:rsid w:val="006F6F11"/>
    <w:rsid w:val="00700010"/>
    <w:rsid w:val="0070063E"/>
    <w:rsid w:val="00700793"/>
    <w:rsid w:val="00700A09"/>
    <w:rsid w:val="0070138F"/>
    <w:rsid w:val="00701F4A"/>
    <w:rsid w:val="00702071"/>
    <w:rsid w:val="00702C94"/>
    <w:rsid w:val="00702EDB"/>
    <w:rsid w:val="007030FD"/>
    <w:rsid w:val="0070643B"/>
    <w:rsid w:val="007066CA"/>
    <w:rsid w:val="00707C90"/>
    <w:rsid w:val="00710985"/>
    <w:rsid w:val="00711A2A"/>
    <w:rsid w:val="00711F24"/>
    <w:rsid w:val="00714C47"/>
    <w:rsid w:val="00715981"/>
    <w:rsid w:val="00717AF2"/>
    <w:rsid w:val="00722BED"/>
    <w:rsid w:val="00722D46"/>
    <w:rsid w:val="00722EC3"/>
    <w:rsid w:val="00722F34"/>
    <w:rsid w:val="0072352B"/>
    <w:rsid w:val="007247CD"/>
    <w:rsid w:val="00724DA8"/>
    <w:rsid w:val="00725BE7"/>
    <w:rsid w:val="00725D40"/>
    <w:rsid w:val="0072610D"/>
    <w:rsid w:val="00727086"/>
    <w:rsid w:val="00731D45"/>
    <w:rsid w:val="00732099"/>
    <w:rsid w:val="007321AC"/>
    <w:rsid w:val="00732719"/>
    <w:rsid w:val="007328A5"/>
    <w:rsid w:val="00733609"/>
    <w:rsid w:val="007345DA"/>
    <w:rsid w:val="0073500D"/>
    <w:rsid w:val="00735266"/>
    <w:rsid w:val="007352A2"/>
    <w:rsid w:val="0073533E"/>
    <w:rsid w:val="00735DBB"/>
    <w:rsid w:val="00736391"/>
    <w:rsid w:val="00736E6D"/>
    <w:rsid w:val="00737D0A"/>
    <w:rsid w:val="00740963"/>
    <w:rsid w:val="0074119A"/>
    <w:rsid w:val="00741A65"/>
    <w:rsid w:val="00741BC0"/>
    <w:rsid w:val="0074265B"/>
    <w:rsid w:val="00743BB0"/>
    <w:rsid w:val="00743EF1"/>
    <w:rsid w:val="0074524E"/>
    <w:rsid w:val="00746534"/>
    <w:rsid w:val="00746744"/>
    <w:rsid w:val="00746CB5"/>
    <w:rsid w:val="00746F99"/>
    <w:rsid w:val="00747FEB"/>
    <w:rsid w:val="00750026"/>
    <w:rsid w:val="0075046E"/>
    <w:rsid w:val="007506CF"/>
    <w:rsid w:val="007511AC"/>
    <w:rsid w:val="00752B7C"/>
    <w:rsid w:val="00753247"/>
    <w:rsid w:val="007551AF"/>
    <w:rsid w:val="007555B0"/>
    <w:rsid w:val="00757B5E"/>
    <w:rsid w:val="00757E09"/>
    <w:rsid w:val="00760322"/>
    <w:rsid w:val="00760B52"/>
    <w:rsid w:val="00760FDF"/>
    <w:rsid w:val="007644F2"/>
    <w:rsid w:val="007666B9"/>
    <w:rsid w:val="00766A2E"/>
    <w:rsid w:val="00766C9E"/>
    <w:rsid w:val="0076781B"/>
    <w:rsid w:val="00767974"/>
    <w:rsid w:val="00767CCF"/>
    <w:rsid w:val="00770C0E"/>
    <w:rsid w:val="007712FD"/>
    <w:rsid w:val="007723B7"/>
    <w:rsid w:val="007724F3"/>
    <w:rsid w:val="00772B2B"/>
    <w:rsid w:val="00773ACA"/>
    <w:rsid w:val="00773D2D"/>
    <w:rsid w:val="00774BE6"/>
    <w:rsid w:val="00774FEE"/>
    <w:rsid w:val="007751C8"/>
    <w:rsid w:val="007755D5"/>
    <w:rsid w:val="00776EA8"/>
    <w:rsid w:val="00777686"/>
    <w:rsid w:val="00777A91"/>
    <w:rsid w:val="0078149D"/>
    <w:rsid w:val="007824DD"/>
    <w:rsid w:val="00782908"/>
    <w:rsid w:val="00783158"/>
    <w:rsid w:val="00783E5A"/>
    <w:rsid w:val="007846D7"/>
    <w:rsid w:val="00784D21"/>
    <w:rsid w:val="0078640E"/>
    <w:rsid w:val="00786F00"/>
    <w:rsid w:val="0079022C"/>
    <w:rsid w:val="007918E6"/>
    <w:rsid w:val="007923F2"/>
    <w:rsid w:val="0079264C"/>
    <w:rsid w:val="0079301E"/>
    <w:rsid w:val="007938F8"/>
    <w:rsid w:val="00795510"/>
    <w:rsid w:val="0079554A"/>
    <w:rsid w:val="00795AD2"/>
    <w:rsid w:val="00795EF4"/>
    <w:rsid w:val="00796786"/>
    <w:rsid w:val="00796CB4"/>
    <w:rsid w:val="00796ECA"/>
    <w:rsid w:val="007979C7"/>
    <w:rsid w:val="007A014F"/>
    <w:rsid w:val="007A0EFB"/>
    <w:rsid w:val="007A433C"/>
    <w:rsid w:val="007A4640"/>
    <w:rsid w:val="007A464D"/>
    <w:rsid w:val="007A477E"/>
    <w:rsid w:val="007A4888"/>
    <w:rsid w:val="007A5CD5"/>
    <w:rsid w:val="007A7572"/>
    <w:rsid w:val="007B1C83"/>
    <w:rsid w:val="007B23F1"/>
    <w:rsid w:val="007B34E9"/>
    <w:rsid w:val="007B3E34"/>
    <w:rsid w:val="007B4DF9"/>
    <w:rsid w:val="007B579E"/>
    <w:rsid w:val="007B7702"/>
    <w:rsid w:val="007B7D4B"/>
    <w:rsid w:val="007C01B7"/>
    <w:rsid w:val="007C0887"/>
    <w:rsid w:val="007C1F48"/>
    <w:rsid w:val="007C2A4A"/>
    <w:rsid w:val="007C2F3B"/>
    <w:rsid w:val="007C400E"/>
    <w:rsid w:val="007C4EC6"/>
    <w:rsid w:val="007C6479"/>
    <w:rsid w:val="007C66DF"/>
    <w:rsid w:val="007C697D"/>
    <w:rsid w:val="007C69E6"/>
    <w:rsid w:val="007C6DFC"/>
    <w:rsid w:val="007C7642"/>
    <w:rsid w:val="007D0062"/>
    <w:rsid w:val="007D0370"/>
    <w:rsid w:val="007D0566"/>
    <w:rsid w:val="007D0764"/>
    <w:rsid w:val="007D0903"/>
    <w:rsid w:val="007D0A70"/>
    <w:rsid w:val="007D171C"/>
    <w:rsid w:val="007D1BB5"/>
    <w:rsid w:val="007D1FAB"/>
    <w:rsid w:val="007D28C2"/>
    <w:rsid w:val="007D4296"/>
    <w:rsid w:val="007D4BE9"/>
    <w:rsid w:val="007D57A8"/>
    <w:rsid w:val="007D79CE"/>
    <w:rsid w:val="007D79FE"/>
    <w:rsid w:val="007E0084"/>
    <w:rsid w:val="007E042E"/>
    <w:rsid w:val="007E0FB2"/>
    <w:rsid w:val="007E10E1"/>
    <w:rsid w:val="007E13D4"/>
    <w:rsid w:val="007E1515"/>
    <w:rsid w:val="007E153B"/>
    <w:rsid w:val="007E2DDC"/>
    <w:rsid w:val="007E3DC0"/>
    <w:rsid w:val="007E3EE8"/>
    <w:rsid w:val="007E41DC"/>
    <w:rsid w:val="007E4280"/>
    <w:rsid w:val="007E4D75"/>
    <w:rsid w:val="007E4FF5"/>
    <w:rsid w:val="007E54C2"/>
    <w:rsid w:val="007E5725"/>
    <w:rsid w:val="007E5A60"/>
    <w:rsid w:val="007E614D"/>
    <w:rsid w:val="007E6826"/>
    <w:rsid w:val="007E79DB"/>
    <w:rsid w:val="007F0D29"/>
    <w:rsid w:val="007F1183"/>
    <w:rsid w:val="007F1344"/>
    <w:rsid w:val="007F2AA3"/>
    <w:rsid w:val="007F2E84"/>
    <w:rsid w:val="007F3BCD"/>
    <w:rsid w:val="007F3BD0"/>
    <w:rsid w:val="007F4367"/>
    <w:rsid w:val="007F488B"/>
    <w:rsid w:val="007F5D7F"/>
    <w:rsid w:val="007F5FE1"/>
    <w:rsid w:val="007F62D8"/>
    <w:rsid w:val="007F6A23"/>
    <w:rsid w:val="007F7230"/>
    <w:rsid w:val="008004FA"/>
    <w:rsid w:val="008006EC"/>
    <w:rsid w:val="008008AC"/>
    <w:rsid w:val="00800C2F"/>
    <w:rsid w:val="00801788"/>
    <w:rsid w:val="00802237"/>
    <w:rsid w:val="00803089"/>
    <w:rsid w:val="00803723"/>
    <w:rsid w:val="0080378F"/>
    <w:rsid w:val="008037EB"/>
    <w:rsid w:val="00804275"/>
    <w:rsid w:val="00804AB2"/>
    <w:rsid w:val="0080506D"/>
    <w:rsid w:val="0080663F"/>
    <w:rsid w:val="0080721A"/>
    <w:rsid w:val="00807C70"/>
    <w:rsid w:val="00810B59"/>
    <w:rsid w:val="008117D2"/>
    <w:rsid w:val="00811A17"/>
    <w:rsid w:val="00811B18"/>
    <w:rsid w:val="0081309B"/>
    <w:rsid w:val="008131FD"/>
    <w:rsid w:val="008149D9"/>
    <w:rsid w:val="0081500C"/>
    <w:rsid w:val="00815DBB"/>
    <w:rsid w:val="00816683"/>
    <w:rsid w:val="00816D5F"/>
    <w:rsid w:val="008175BC"/>
    <w:rsid w:val="00817ABE"/>
    <w:rsid w:val="00820AE0"/>
    <w:rsid w:val="00820D6C"/>
    <w:rsid w:val="00820EDD"/>
    <w:rsid w:val="00821274"/>
    <w:rsid w:val="00821CED"/>
    <w:rsid w:val="00822C9A"/>
    <w:rsid w:val="0082323D"/>
    <w:rsid w:val="008238AC"/>
    <w:rsid w:val="00824148"/>
    <w:rsid w:val="00825578"/>
    <w:rsid w:val="008259C2"/>
    <w:rsid w:val="00825BA3"/>
    <w:rsid w:val="00825E9E"/>
    <w:rsid w:val="008260BD"/>
    <w:rsid w:val="00826122"/>
    <w:rsid w:val="008261C5"/>
    <w:rsid w:val="00826C71"/>
    <w:rsid w:val="00830161"/>
    <w:rsid w:val="0083119D"/>
    <w:rsid w:val="0083180D"/>
    <w:rsid w:val="008326B6"/>
    <w:rsid w:val="0083312D"/>
    <w:rsid w:val="00833ED6"/>
    <w:rsid w:val="008340EC"/>
    <w:rsid w:val="00835E8D"/>
    <w:rsid w:val="00837E0C"/>
    <w:rsid w:val="00840025"/>
    <w:rsid w:val="008407BD"/>
    <w:rsid w:val="008416A7"/>
    <w:rsid w:val="00841D8A"/>
    <w:rsid w:val="00843095"/>
    <w:rsid w:val="0084495B"/>
    <w:rsid w:val="008466B1"/>
    <w:rsid w:val="00847536"/>
    <w:rsid w:val="00847F07"/>
    <w:rsid w:val="00851911"/>
    <w:rsid w:val="00852444"/>
    <w:rsid w:val="00853609"/>
    <w:rsid w:val="00853886"/>
    <w:rsid w:val="00854DE2"/>
    <w:rsid w:val="008557AC"/>
    <w:rsid w:val="008604BA"/>
    <w:rsid w:val="00861B29"/>
    <w:rsid w:val="0086275C"/>
    <w:rsid w:val="0086321D"/>
    <w:rsid w:val="008638E7"/>
    <w:rsid w:val="00863B1C"/>
    <w:rsid w:val="00863B7E"/>
    <w:rsid w:val="00866A85"/>
    <w:rsid w:val="00867293"/>
    <w:rsid w:val="008702BB"/>
    <w:rsid w:val="00870CDB"/>
    <w:rsid w:val="00871D0B"/>
    <w:rsid w:val="00871DF0"/>
    <w:rsid w:val="008722EE"/>
    <w:rsid w:val="008728A3"/>
    <w:rsid w:val="00872C1E"/>
    <w:rsid w:val="00872F49"/>
    <w:rsid w:val="008748E3"/>
    <w:rsid w:val="008751AB"/>
    <w:rsid w:val="00875515"/>
    <w:rsid w:val="00875A8B"/>
    <w:rsid w:val="00875E64"/>
    <w:rsid w:val="0087672E"/>
    <w:rsid w:val="008768B2"/>
    <w:rsid w:val="00876922"/>
    <w:rsid w:val="0087720A"/>
    <w:rsid w:val="008801B8"/>
    <w:rsid w:val="008829B9"/>
    <w:rsid w:val="00882DD2"/>
    <w:rsid w:val="00882E34"/>
    <w:rsid w:val="008830E6"/>
    <w:rsid w:val="00883BF5"/>
    <w:rsid w:val="00883DFB"/>
    <w:rsid w:val="0088414E"/>
    <w:rsid w:val="008848EF"/>
    <w:rsid w:val="008856B7"/>
    <w:rsid w:val="00885AB1"/>
    <w:rsid w:val="00885FEF"/>
    <w:rsid w:val="00886523"/>
    <w:rsid w:val="00886617"/>
    <w:rsid w:val="00890974"/>
    <w:rsid w:val="00891011"/>
    <w:rsid w:val="00893D60"/>
    <w:rsid w:val="0089416F"/>
    <w:rsid w:val="008947BE"/>
    <w:rsid w:val="00894F19"/>
    <w:rsid w:val="008951CB"/>
    <w:rsid w:val="0089538C"/>
    <w:rsid w:val="0089553C"/>
    <w:rsid w:val="00895C8E"/>
    <w:rsid w:val="00897B91"/>
    <w:rsid w:val="00897C75"/>
    <w:rsid w:val="008A2D01"/>
    <w:rsid w:val="008A3CC9"/>
    <w:rsid w:val="008A426B"/>
    <w:rsid w:val="008A466D"/>
    <w:rsid w:val="008A645C"/>
    <w:rsid w:val="008A648E"/>
    <w:rsid w:val="008A67E8"/>
    <w:rsid w:val="008A7F02"/>
    <w:rsid w:val="008B07DB"/>
    <w:rsid w:val="008B2A9C"/>
    <w:rsid w:val="008B3710"/>
    <w:rsid w:val="008B39D4"/>
    <w:rsid w:val="008B3A4C"/>
    <w:rsid w:val="008B4387"/>
    <w:rsid w:val="008B594D"/>
    <w:rsid w:val="008B5D3B"/>
    <w:rsid w:val="008B6089"/>
    <w:rsid w:val="008B644E"/>
    <w:rsid w:val="008B702B"/>
    <w:rsid w:val="008B79A6"/>
    <w:rsid w:val="008B7B94"/>
    <w:rsid w:val="008C06B4"/>
    <w:rsid w:val="008C0D22"/>
    <w:rsid w:val="008C262C"/>
    <w:rsid w:val="008C26A4"/>
    <w:rsid w:val="008C2CBF"/>
    <w:rsid w:val="008C35D7"/>
    <w:rsid w:val="008C376D"/>
    <w:rsid w:val="008C3B8E"/>
    <w:rsid w:val="008C4AC0"/>
    <w:rsid w:val="008C52EE"/>
    <w:rsid w:val="008C604A"/>
    <w:rsid w:val="008D02B6"/>
    <w:rsid w:val="008D03D9"/>
    <w:rsid w:val="008D064A"/>
    <w:rsid w:val="008D26CC"/>
    <w:rsid w:val="008D67EE"/>
    <w:rsid w:val="008D68F5"/>
    <w:rsid w:val="008D74AF"/>
    <w:rsid w:val="008D7A0E"/>
    <w:rsid w:val="008E0906"/>
    <w:rsid w:val="008E2A23"/>
    <w:rsid w:val="008E2CEA"/>
    <w:rsid w:val="008E3C1B"/>
    <w:rsid w:val="008E41E1"/>
    <w:rsid w:val="008F0C9D"/>
    <w:rsid w:val="008F234D"/>
    <w:rsid w:val="008F3423"/>
    <w:rsid w:val="008F3CD8"/>
    <w:rsid w:val="008F6046"/>
    <w:rsid w:val="008F65AE"/>
    <w:rsid w:val="008F69B2"/>
    <w:rsid w:val="008F797D"/>
    <w:rsid w:val="008F7C25"/>
    <w:rsid w:val="00902A9D"/>
    <w:rsid w:val="0090382B"/>
    <w:rsid w:val="00903893"/>
    <w:rsid w:val="00903955"/>
    <w:rsid w:val="00904375"/>
    <w:rsid w:val="009049D9"/>
    <w:rsid w:val="00904B21"/>
    <w:rsid w:val="00905359"/>
    <w:rsid w:val="00905950"/>
    <w:rsid w:val="00905CBD"/>
    <w:rsid w:val="0090610B"/>
    <w:rsid w:val="00906908"/>
    <w:rsid w:val="0090698E"/>
    <w:rsid w:val="00907940"/>
    <w:rsid w:val="00907ADD"/>
    <w:rsid w:val="00907C9C"/>
    <w:rsid w:val="00907CA9"/>
    <w:rsid w:val="00907D4A"/>
    <w:rsid w:val="009101A9"/>
    <w:rsid w:val="00910929"/>
    <w:rsid w:val="0091104A"/>
    <w:rsid w:val="0091126F"/>
    <w:rsid w:val="00912039"/>
    <w:rsid w:val="00912354"/>
    <w:rsid w:val="00912E2C"/>
    <w:rsid w:val="00913AB5"/>
    <w:rsid w:val="00913FED"/>
    <w:rsid w:val="00914060"/>
    <w:rsid w:val="009150E5"/>
    <w:rsid w:val="0091562D"/>
    <w:rsid w:val="00916DBE"/>
    <w:rsid w:val="00917244"/>
    <w:rsid w:val="00917BB9"/>
    <w:rsid w:val="00922BB9"/>
    <w:rsid w:val="0092314C"/>
    <w:rsid w:val="0092432E"/>
    <w:rsid w:val="00924A4E"/>
    <w:rsid w:val="00926145"/>
    <w:rsid w:val="00926A38"/>
    <w:rsid w:val="00926A78"/>
    <w:rsid w:val="00927266"/>
    <w:rsid w:val="00927318"/>
    <w:rsid w:val="009273C4"/>
    <w:rsid w:val="00927830"/>
    <w:rsid w:val="00927FC3"/>
    <w:rsid w:val="0093005A"/>
    <w:rsid w:val="009301A5"/>
    <w:rsid w:val="009304B5"/>
    <w:rsid w:val="00930D8D"/>
    <w:rsid w:val="00931844"/>
    <w:rsid w:val="00931CC1"/>
    <w:rsid w:val="00931EF8"/>
    <w:rsid w:val="00932144"/>
    <w:rsid w:val="00932C92"/>
    <w:rsid w:val="00932D2C"/>
    <w:rsid w:val="00933C8B"/>
    <w:rsid w:val="00934665"/>
    <w:rsid w:val="00934A2C"/>
    <w:rsid w:val="00934BE5"/>
    <w:rsid w:val="0093563B"/>
    <w:rsid w:val="00936685"/>
    <w:rsid w:val="00936C31"/>
    <w:rsid w:val="00936DA3"/>
    <w:rsid w:val="00937298"/>
    <w:rsid w:val="009377DD"/>
    <w:rsid w:val="00937A04"/>
    <w:rsid w:val="009401D5"/>
    <w:rsid w:val="00940EBE"/>
    <w:rsid w:val="0094141C"/>
    <w:rsid w:val="009420ED"/>
    <w:rsid w:val="009430D0"/>
    <w:rsid w:val="009438BE"/>
    <w:rsid w:val="00943DEB"/>
    <w:rsid w:val="009469F6"/>
    <w:rsid w:val="0095093A"/>
    <w:rsid w:val="00950DAA"/>
    <w:rsid w:val="009515E9"/>
    <w:rsid w:val="00951D9B"/>
    <w:rsid w:val="00952DB0"/>
    <w:rsid w:val="00952FC8"/>
    <w:rsid w:val="009534A5"/>
    <w:rsid w:val="00954485"/>
    <w:rsid w:val="00954624"/>
    <w:rsid w:val="00954679"/>
    <w:rsid w:val="00954835"/>
    <w:rsid w:val="009549F2"/>
    <w:rsid w:val="00954F42"/>
    <w:rsid w:val="0095504A"/>
    <w:rsid w:val="00955723"/>
    <w:rsid w:val="0095727D"/>
    <w:rsid w:val="009603EC"/>
    <w:rsid w:val="00960AC9"/>
    <w:rsid w:val="00960FF4"/>
    <w:rsid w:val="00961B0E"/>
    <w:rsid w:val="00963D70"/>
    <w:rsid w:val="00964DFF"/>
    <w:rsid w:val="009679D4"/>
    <w:rsid w:val="00967CC5"/>
    <w:rsid w:val="00967E36"/>
    <w:rsid w:val="009703B7"/>
    <w:rsid w:val="00970974"/>
    <w:rsid w:val="00970AEB"/>
    <w:rsid w:val="0097111B"/>
    <w:rsid w:val="009719E8"/>
    <w:rsid w:val="00971C6E"/>
    <w:rsid w:val="00972210"/>
    <w:rsid w:val="009732F9"/>
    <w:rsid w:val="009754D1"/>
    <w:rsid w:val="00975DAD"/>
    <w:rsid w:val="009768E6"/>
    <w:rsid w:val="00976D96"/>
    <w:rsid w:val="0097732F"/>
    <w:rsid w:val="00977E98"/>
    <w:rsid w:val="00977EB1"/>
    <w:rsid w:val="009803BE"/>
    <w:rsid w:val="00980CF8"/>
    <w:rsid w:val="0098196C"/>
    <w:rsid w:val="009836E0"/>
    <w:rsid w:val="009838E0"/>
    <w:rsid w:val="00983BDB"/>
    <w:rsid w:val="00983E29"/>
    <w:rsid w:val="00983E2A"/>
    <w:rsid w:val="00984412"/>
    <w:rsid w:val="00985760"/>
    <w:rsid w:val="00986AD6"/>
    <w:rsid w:val="00986D24"/>
    <w:rsid w:val="009877A9"/>
    <w:rsid w:val="0099006F"/>
    <w:rsid w:val="00990A89"/>
    <w:rsid w:val="00990C08"/>
    <w:rsid w:val="00990CF2"/>
    <w:rsid w:val="00991075"/>
    <w:rsid w:val="00991EEA"/>
    <w:rsid w:val="009951F2"/>
    <w:rsid w:val="00995322"/>
    <w:rsid w:val="0099569A"/>
    <w:rsid w:val="009959D6"/>
    <w:rsid w:val="00995F1D"/>
    <w:rsid w:val="00996997"/>
    <w:rsid w:val="00997A45"/>
    <w:rsid w:val="00997CE1"/>
    <w:rsid w:val="00997EBF"/>
    <w:rsid w:val="009A1038"/>
    <w:rsid w:val="009A193D"/>
    <w:rsid w:val="009A1B3C"/>
    <w:rsid w:val="009A410D"/>
    <w:rsid w:val="009A4739"/>
    <w:rsid w:val="009A4CF9"/>
    <w:rsid w:val="009A4E27"/>
    <w:rsid w:val="009A51D0"/>
    <w:rsid w:val="009A5B6E"/>
    <w:rsid w:val="009A5F36"/>
    <w:rsid w:val="009A608B"/>
    <w:rsid w:val="009A7F09"/>
    <w:rsid w:val="009B002A"/>
    <w:rsid w:val="009B0347"/>
    <w:rsid w:val="009B147B"/>
    <w:rsid w:val="009B1D1C"/>
    <w:rsid w:val="009B240B"/>
    <w:rsid w:val="009B2D0C"/>
    <w:rsid w:val="009B2F1D"/>
    <w:rsid w:val="009B30DA"/>
    <w:rsid w:val="009B393E"/>
    <w:rsid w:val="009B4659"/>
    <w:rsid w:val="009B4F71"/>
    <w:rsid w:val="009B4F7A"/>
    <w:rsid w:val="009B5DC2"/>
    <w:rsid w:val="009B6E7E"/>
    <w:rsid w:val="009B7DB2"/>
    <w:rsid w:val="009C05C7"/>
    <w:rsid w:val="009C0CFC"/>
    <w:rsid w:val="009C1692"/>
    <w:rsid w:val="009C3518"/>
    <w:rsid w:val="009C37E9"/>
    <w:rsid w:val="009C3ABD"/>
    <w:rsid w:val="009C3E70"/>
    <w:rsid w:val="009C3F33"/>
    <w:rsid w:val="009C4FE3"/>
    <w:rsid w:val="009C63D1"/>
    <w:rsid w:val="009C6400"/>
    <w:rsid w:val="009D014A"/>
    <w:rsid w:val="009D176D"/>
    <w:rsid w:val="009D2189"/>
    <w:rsid w:val="009D2607"/>
    <w:rsid w:val="009D5E5E"/>
    <w:rsid w:val="009D615B"/>
    <w:rsid w:val="009D69EB"/>
    <w:rsid w:val="009D6FDC"/>
    <w:rsid w:val="009D747A"/>
    <w:rsid w:val="009E0D15"/>
    <w:rsid w:val="009E0FF2"/>
    <w:rsid w:val="009E2258"/>
    <w:rsid w:val="009E25DA"/>
    <w:rsid w:val="009E367E"/>
    <w:rsid w:val="009E466E"/>
    <w:rsid w:val="009E51F1"/>
    <w:rsid w:val="009E5258"/>
    <w:rsid w:val="009E5310"/>
    <w:rsid w:val="009E54F4"/>
    <w:rsid w:val="009E57FE"/>
    <w:rsid w:val="009E5B76"/>
    <w:rsid w:val="009E5FCE"/>
    <w:rsid w:val="009E60F8"/>
    <w:rsid w:val="009E6510"/>
    <w:rsid w:val="009E6BD2"/>
    <w:rsid w:val="009E6C0B"/>
    <w:rsid w:val="009E7C82"/>
    <w:rsid w:val="009E7DF5"/>
    <w:rsid w:val="009E7F02"/>
    <w:rsid w:val="009F03D2"/>
    <w:rsid w:val="009F06BC"/>
    <w:rsid w:val="009F07BE"/>
    <w:rsid w:val="009F2242"/>
    <w:rsid w:val="009F2B2D"/>
    <w:rsid w:val="009F30CE"/>
    <w:rsid w:val="009F40AD"/>
    <w:rsid w:val="009F58D5"/>
    <w:rsid w:val="009F6D13"/>
    <w:rsid w:val="00A0137B"/>
    <w:rsid w:val="00A01A78"/>
    <w:rsid w:val="00A023DE"/>
    <w:rsid w:val="00A02449"/>
    <w:rsid w:val="00A0347F"/>
    <w:rsid w:val="00A04C22"/>
    <w:rsid w:val="00A04EA2"/>
    <w:rsid w:val="00A052DF"/>
    <w:rsid w:val="00A05365"/>
    <w:rsid w:val="00A060F1"/>
    <w:rsid w:val="00A06BB9"/>
    <w:rsid w:val="00A06C4D"/>
    <w:rsid w:val="00A06FD3"/>
    <w:rsid w:val="00A1117D"/>
    <w:rsid w:val="00A13105"/>
    <w:rsid w:val="00A13649"/>
    <w:rsid w:val="00A142B6"/>
    <w:rsid w:val="00A161D0"/>
    <w:rsid w:val="00A16EA5"/>
    <w:rsid w:val="00A172EC"/>
    <w:rsid w:val="00A20340"/>
    <w:rsid w:val="00A21EBF"/>
    <w:rsid w:val="00A2231C"/>
    <w:rsid w:val="00A235B9"/>
    <w:rsid w:val="00A237EA"/>
    <w:rsid w:val="00A24700"/>
    <w:rsid w:val="00A2556B"/>
    <w:rsid w:val="00A25876"/>
    <w:rsid w:val="00A26F29"/>
    <w:rsid w:val="00A3186B"/>
    <w:rsid w:val="00A332A5"/>
    <w:rsid w:val="00A33ADA"/>
    <w:rsid w:val="00A34778"/>
    <w:rsid w:val="00A349A9"/>
    <w:rsid w:val="00A35305"/>
    <w:rsid w:val="00A35900"/>
    <w:rsid w:val="00A36354"/>
    <w:rsid w:val="00A36BD8"/>
    <w:rsid w:val="00A375B6"/>
    <w:rsid w:val="00A40840"/>
    <w:rsid w:val="00A4330E"/>
    <w:rsid w:val="00A434C6"/>
    <w:rsid w:val="00A43B41"/>
    <w:rsid w:val="00A4488E"/>
    <w:rsid w:val="00A44C15"/>
    <w:rsid w:val="00A44C8A"/>
    <w:rsid w:val="00A45FC6"/>
    <w:rsid w:val="00A4674D"/>
    <w:rsid w:val="00A4775B"/>
    <w:rsid w:val="00A479BF"/>
    <w:rsid w:val="00A47A16"/>
    <w:rsid w:val="00A50204"/>
    <w:rsid w:val="00A50FF5"/>
    <w:rsid w:val="00A510A4"/>
    <w:rsid w:val="00A512AF"/>
    <w:rsid w:val="00A5196C"/>
    <w:rsid w:val="00A537FE"/>
    <w:rsid w:val="00A540C4"/>
    <w:rsid w:val="00A54334"/>
    <w:rsid w:val="00A56995"/>
    <w:rsid w:val="00A56B61"/>
    <w:rsid w:val="00A57EBB"/>
    <w:rsid w:val="00A61753"/>
    <w:rsid w:val="00A62A87"/>
    <w:rsid w:val="00A62AC7"/>
    <w:rsid w:val="00A62C9A"/>
    <w:rsid w:val="00A64664"/>
    <w:rsid w:val="00A64C4D"/>
    <w:rsid w:val="00A65C52"/>
    <w:rsid w:val="00A66214"/>
    <w:rsid w:val="00A66C4C"/>
    <w:rsid w:val="00A708A9"/>
    <w:rsid w:val="00A70CDA"/>
    <w:rsid w:val="00A71069"/>
    <w:rsid w:val="00A7124C"/>
    <w:rsid w:val="00A727CD"/>
    <w:rsid w:val="00A72D12"/>
    <w:rsid w:val="00A73BA5"/>
    <w:rsid w:val="00A73D47"/>
    <w:rsid w:val="00A74F26"/>
    <w:rsid w:val="00A75202"/>
    <w:rsid w:val="00A753B5"/>
    <w:rsid w:val="00A75A41"/>
    <w:rsid w:val="00A75D09"/>
    <w:rsid w:val="00A804CF"/>
    <w:rsid w:val="00A8311A"/>
    <w:rsid w:val="00A83241"/>
    <w:rsid w:val="00A83264"/>
    <w:rsid w:val="00A83438"/>
    <w:rsid w:val="00A84639"/>
    <w:rsid w:val="00A84780"/>
    <w:rsid w:val="00A851BA"/>
    <w:rsid w:val="00A857BD"/>
    <w:rsid w:val="00A85B02"/>
    <w:rsid w:val="00A87D12"/>
    <w:rsid w:val="00A90FF8"/>
    <w:rsid w:val="00A91945"/>
    <w:rsid w:val="00A92BD8"/>
    <w:rsid w:val="00A92FD6"/>
    <w:rsid w:val="00A9394E"/>
    <w:rsid w:val="00A9478B"/>
    <w:rsid w:val="00A954B9"/>
    <w:rsid w:val="00A9777A"/>
    <w:rsid w:val="00A97C92"/>
    <w:rsid w:val="00A97DBE"/>
    <w:rsid w:val="00AA04D9"/>
    <w:rsid w:val="00AA08A1"/>
    <w:rsid w:val="00AA1B67"/>
    <w:rsid w:val="00AA3A5A"/>
    <w:rsid w:val="00AA4136"/>
    <w:rsid w:val="00AA426F"/>
    <w:rsid w:val="00AA44BF"/>
    <w:rsid w:val="00AA7073"/>
    <w:rsid w:val="00AA79EB"/>
    <w:rsid w:val="00AB0AEF"/>
    <w:rsid w:val="00AB10D9"/>
    <w:rsid w:val="00AB12DF"/>
    <w:rsid w:val="00AB2299"/>
    <w:rsid w:val="00AB22E2"/>
    <w:rsid w:val="00AB2F7F"/>
    <w:rsid w:val="00AB3176"/>
    <w:rsid w:val="00AB33E7"/>
    <w:rsid w:val="00AB3817"/>
    <w:rsid w:val="00AB5648"/>
    <w:rsid w:val="00AB57FB"/>
    <w:rsid w:val="00AB68D7"/>
    <w:rsid w:val="00AB714E"/>
    <w:rsid w:val="00AB7F6B"/>
    <w:rsid w:val="00AC1C81"/>
    <w:rsid w:val="00AC1FF9"/>
    <w:rsid w:val="00AC3598"/>
    <w:rsid w:val="00AC3B38"/>
    <w:rsid w:val="00AC49B1"/>
    <w:rsid w:val="00AC4D1E"/>
    <w:rsid w:val="00AC62AD"/>
    <w:rsid w:val="00AC6517"/>
    <w:rsid w:val="00AC720C"/>
    <w:rsid w:val="00AC765E"/>
    <w:rsid w:val="00AD0204"/>
    <w:rsid w:val="00AD04FE"/>
    <w:rsid w:val="00AD0715"/>
    <w:rsid w:val="00AD1E1A"/>
    <w:rsid w:val="00AD20F5"/>
    <w:rsid w:val="00AD2EB0"/>
    <w:rsid w:val="00AD31FD"/>
    <w:rsid w:val="00AD34E4"/>
    <w:rsid w:val="00AD3A7C"/>
    <w:rsid w:val="00AD4789"/>
    <w:rsid w:val="00AD5351"/>
    <w:rsid w:val="00AD699C"/>
    <w:rsid w:val="00AD71A3"/>
    <w:rsid w:val="00AD75C6"/>
    <w:rsid w:val="00AE0238"/>
    <w:rsid w:val="00AE05AB"/>
    <w:rsid w:val="00AE1A66"/>
    <w:rsid w:val="00AE1D12"/>
    <w:rsid w:val="00AE1EE3"/>
    <w:rsid w:val="00AE1F54"/>
    <w:rsid w:val="00AE252C"/>
    <w:rsid w:val="00AE2863"/>
    <w:rsid w:val="00AE475B"/>
    <w:rsid w:val="00AE488F"/>
    <w:rsid w:val="00AE6109"/>
    <w:rsid w:val="00AE691A"/>
    <w:rsid w:val="00AE694A"/>
    <w:rsid w:val="00AE76A9"/>
    <w:rsid w:val="00AE7710"/>
    <w:rsid w:val="00AE7952"/>
    <w:rsid w:val="00AF0256"/>
    <w:rsid w:val="00AF1416"/>
    <w:rsid w:val="00AF1DEC"/>
    <w:rsid w:val="00AF2284"/>
    <w:rsid w:val="00AF2CC0"/>
    <w:rsid w:val="00AF2FB4"/>
    <w:rsid w:val="00AF357A"/>
    <w:rsid w:val="00AF3E13"/>
    <w:rsid w:val="00AF4602"/>
    <w:rsid w:val="00AF55FC"/>
    <w:rsid w:val="00AF6EFD"/>
    <w:rsid w:val="00AF7173"/>
    <w:rsid w:val="00AF73E1"/>
    <w:rsid w:val="00AF7BB5"/>
    <w:rsid w:val="00AF7ED7"/>
    <w:rsid w:val="00B00ADC"/>
    <w:rsid w:val="00B00F28"/>
    <w:rsid w:val="00B01944"/>
    <w:rsid w:val="00B0511A"/>
    <w:rsid w:val="00B05294"/>
    <w:rsid w:val="00B056B0"/>
    <w:rsid w:val="00B073CC"/>
    <w:rsid w:val="00B078D2"/>
    <w:rsid w:val="00B10461"/>
    <w:rsid w:val="00B11627"/>
    <w:rsid w:val="00B118B1"/>
    <w:rsid w:val="00B1217F"/>
    <w:rsid w:val="00B126BB"/>
    <w:rsid w:val="00B12F7B"/>
    <w:rsid w:val="00B130E9"/>
    <w:rsid w:val="00B134CF"/>
    <w:rsid w:val="00B13A40"/>
    <w:rsid w:val="00B14FE3"/>
    <w:rsid w:val="00B152E4"/>
    <w:rsid w:val="00B15ED3"/>
    <w:rsid w:val="00B16A11"/>
    <w:rsid w:val="00B1729F"/>
    <w:rsid w:val="00B1754F"/>
    <w:rsid w:val="00B21D53"/>
    <w:rsid w:val="00B224F0"/>
    <w:rsid w:val="00B22CAA"/>
    <w:rsid w:val="00B230B6"/>
    <w:rsid w:val="00B2452C"/>
    <w:rsid w:val="00B24628"/>
    <w:rsid w:val="00B25D6A"/>
    <w:rsid w:val="00B26C06"/>
    <w:rsid w:val="00B271F5"/>
    <w:rsid w:val="00B27A27"/>
    <w:rsid w:val="00B30D6E"/>
    <w:rsid w:val="00B30DE6"/>
    <w:rsid w:val="00B3186F"/>
    <w:rsid w:val="00B31BCE"/>
    <w:rsid w:val="00B3259C"/>
    <w:rsid w:val="00B32AA4"/>
    <w:rsid w:val="00B34440"/>
    <w:rsid w:val="00B34489"/>
    <w:rsid w:val="00B34A8C"/>
    <w:rsid w:val="00B3539C"/>
    <w:rsid w:val="00B3558E"/>
    <w:rsid w:val="00B3654B"/>
    <w:rsid w:val="00B37809"/>
    <w:rsid w:val="00B415CA"/>
    <w:rsid w:val="00B41650"/>
    <w:rsid w:val="00B42179"/>
    <w:rsid w:val="00B44447"/>
    <w:rsid w:val="00B44E35"/>
    <w:rsid w:val="00B44F54"/>
    <w:rsid w:val="00B4592B"/>
    <w:rsid w:val="00B45AB4"/>
    <w:rsid w:val="00B45DFC"/>
    <w:rsid w:val="00B468EE"/>
    <w:rsid w:val="00B46ACA"/>
    <w:rsid w:val="00B47113"/>
    <w:rsid w:val="00B47326"/>
    <w:rsid w:val="00B50978"/>
    <w:rsid w:val="00B512BA"/>
    <w:rsid w:val="00B51DE7"/>
    <w:rsid w:val="00B52222"/>
    <w:rsid w:val="00B527BF"/>
    <w:rsid w:val="00B529B8"/>
    <w:rsid w:val="00B5300D"/>
    <w:rsid w:val="00B53E4D"/>
    <w:rsid w:val="00B53EB0"/>
    <w:rsid w:val="00B541FA"/>
    <w:rsid w:val="00B5490B"/>
    <w:rsid w:val="00B56098"/>
    <w:rsid w:val="00B56BE2"/>
    <w:rsid w:val="00B5726D"/>
    <w:rsid w:val="00B611C8"/>
    <w:rsid w:val="00B61370"/>
    <w:rsid w:val="00B61CA9"/>
    <w:rsid w:val="00B622B0"/>
    <w:rsid w:val="00B6234B"/>
    <w:rsid w:val="00B62B95"/>
    <w:rsid w:val="00B64D88"/>
    <w:rsid w:val="00B64EFA"/>
    <w:rsid w:val="00B66392"/>
    <w:rsid w:val="00B66B9E"/>
    <w:rsid w:val="00B66E4E"/>
    <w:rsid w:val="00B67876"/>
    <w:rsid w:val="00B67AEC"/>
    <w:rsid w:val="00B70152"/>
    <w:rsid w:val="00B70CFE"/>
    <w:rsid w:val="00B712AF"/>
    <w:rsid w:val="00B71A56"/>
    <w:rsid w:val="00B71E75"/>
    <w:rsid w:val="00B7237A"/>
    <w:rsid w:val="00B72CDB"/>
    <w:rsid w:val="00B7391E"/>
    <w:rsid w:val="00B7417C"/>
    <w:rsid w:val="00B742AE"/>
    <w:rsid w:val="00B7556F"/>
    <w:rsid w:val="00B75A44"/>
    <w:rsid w:val="00B80B00"/>
    <w:rsid w:val="00B85A2B"/>
    <w:rsid w:val="00B87B95"/>
    <w:rsid w:val="00B9061C"/>
    <w:rsid w:val="00B90D1F"/>
    <w:rsid w:val="00B90D39"/>
    <w:rsid w:val="00B91205"/>
    <w:rsid w:val="00B918EC"/>
    <w:rsid w:val="00B9206D"/>
    <w:rsid w:val="00B925F6"/>
    <w:rsid w:val="00B92F3F"/>
    <w:rsid w:val="00B946B8"/>
    <w:rsid w:val="00B94E6E"/>
    <w:rsid w:val="00B94EF2"/>
    <w:rsid w:val="00B95514"/>
    <w:rsid w:val="00B960EA"/>
    <w:rsid w:val="00B9618C"/>
    <w:rsid w:val="00B96341"/>
    <w:rsid w:val="00BA11E3"/>
    <w:rsid w:val="00BA203B"/>
    <w:rsid w:val="00BA20C7"/>
    <w:rsid w:val="00BA2201"/>
    <w:rsid w:val="00BA23FF"/>
    <w:rsid w:val="00BA2A4A"/>
    <w:rsid w:val="00BA2B50"/>
    <w:rsid w:val="00BA2DFD"/>
    <w:rsid w:val="00BA4A47"/>
    <w:rsid w:val="00BA557B"/>
    <w:rsid w:val="00BA5F5C"/>
    <w:rsid w:val="00BB00B9"/>
    <w:rsid w:val="00BB060B"/>
    <w:rsid w:val="00BB114C"/>
    <w:rsid w:val="00BB1709"/>
    <w:rsid w:val="00BB2F96"/>
    <w:rsid w:val="00BB360D"/>
    <w:rsid w:val="00BB68A1"/>
    <w:rsid w:val="00BB756A"/>
    <w:rsid w:val="00BC019E"/>
    <w:rsid w:val="00BC09AA"/>
    <w:rsid w:val="00BC2C85"/>
    <w:rsid w:val="00BC4B05"/>
    <w:rsid w:val="00BC523E"/>
    <w:rsid w:val="00BC6087"/>
    <w:rsid w:val="00BC640C"/>
    <w:rsid w:val="00BD0434"/>
    <w:rsid w:val="00BD0474"/>
    <w:rsid w:val="00BD04E7"/>
    <w:rsid w:val="00BD0B1E"/>
    <w:rsid w:val="00BD14B5"/>
    <w:rsid w:val="00BD24D8"/>
    <w:rsid w:val="00BD308D"/>
    <w:rsid w:val="00BD3CA6"/>
    <w:rsid w:val="00BD4DB4"/>
    <w:rsid w:val="00BD4EE4"/>
    <w:rsid w:val="00BD56EE"/>
    <w:rsid w:val="00BD58DD"/>
    <w:rsid w:val="00BD656B"/>
    <w:rsid w:val="00BD6BEB"/>
    <w:rsid w:val="00BD6FE9"/>
    <w:rsid w:val="00BD7600"/>
    <w:rsid w:val="00BD777A"/>
    <w:rsid w:val="00BD7A1D"/>
    <w:rsid w:val="00BE0287"/>
    <w:rsid w:val="00BE0ACF"/>
    <w:rsid w:val="00BE0E89"/>
    <w:rsid w:val="00BE2DF8"/>
    <w:rsid w:val="00BE32AD"/>
    <w:rsid w:val="00BE37E4"/>
    <w:rsid w:val="00BE3FC8"/>
    <w:rsid w:val="00BE4470"/>
    <w:rsid w:val="00BE58F7"/>
    <w:rsid w:val="00BE631E"/>
    <w:rsid w:val="00BE6A86"/>
    <w:rsid w:val="00BE6CEB"/>
    <w:rsid w:val="00BE6FCE"/>
    <w:rsid w:val="00BF03A4"/>
    <w:rsid w:val="00BF08C6"/>
    <w:rsid w:val="00BF0BA3"/>
    <w:rsid w:val="00BF17C1"/>
    <w:rsid w:val="00BF2A28"/>
    <w:rsid w:val="00BF3832"/>
    <w:rsid w:val="00BF3CD7"/>
    <w:rsid w:val="00BF46BF"/>
    <w:rsid w:val="00BF4F38"/>
    <w:rsid w:val="00BF748A"/>
    <w:rsid w:val="00C0098B"/>
    <w:rsid w:val="00C01724"/>
    <w:rsid w:val="00C01994"/>
    <w:rsid w:val="00C01E93"/>
    <w:rsid w:val="00C03133"/>
    <w:rsid w:val="00C03639"/>
    <w:rsid w:val="00C04B46"/>
    <w:rsid w:val="00C04F80"/>
    <w:rsid w:val="00C055B6"/>
    <w:rsid w:val="00C06AD5"/>
    <w:rsid w:val="00C0762F"/>
    <w:rsid w:val="00C077F2"/>
    <w:rsid w:val="00C11BB7"/>
    <w:rsid w:val="00C11F1E"/>
    <w:rsid w:val="00C121B1"/>
    <w:rsid w:val="00C13649"/>
    <w:rsid w:val="00C13FD0"/>
    <w:rsid w:val="00C1521E"/>
    <w:rsid w:val="00C16135"/>
    <w:rsid w:val="00C161FA"/>
    <w:rsid w:val="00C1656D"/>
    <w:rsid w:val="00C17286"/>
    <w:rsid w:val="00C17835"/>
    <w:rsid w:val="00C2061A"/>
    <w:rsid w:val="00C20A47"/>
    <w:rsid w:val="00C2149F"/>
    <w:rsid w:val="00C214C2"/>
    <w:rsid w:val="00C21DC9"/>
    <w:rsid w:val="00C21F03"/>
    <w:rsid w:val="00C226C0"/>
    <w:rsid w:val="00C228F1"/>
    <w:rsid w:val="00C23B84"/>
    <w:rsid w:val="00C24713"/>
    <w:rsid w:val="00C24B99"/>
    <w:rsid w:val="00C2535B"/>
    <w:rsid w:val="00C2745C"/>
    <w:rsid w:val="00C3142E"/>
    <w:rsid w:val="00C321D7"/>
    <w:rsid w:val="00C32A7B"/>
    <w:rsid w:val="00C33FDD"/>
    <w:rsid w:val="00C34427"/>
    <w:rsid w:val="00C35D52"/>
    <w:rsid w:val="00C367E3"/>
    <w:rsid w:val="00C37262"/>
    <w:rsid w:val="00C402AE"/>
    <w:rsid w:val="00C409B9"/>
    <w:rsid w:val="00C421E8"/>
    <w:rsid w:val="00C4245F"/>
    <w:rsid w:val="00C43300"/>
    <w:rsid w:val="00C435FE"/>
    <w:rsid w:val="00C43654"/>
    <w:rsid w:val="00C43AD7"/>
    <w:rsid w:val="00C446C4"/>
    <w:rsid w:val="00C44863"/>
    <w:rsid w:val="00C4514C"/>
    <w:rsid w:val="00C46E04"/>
    <w:rsid w:val="00C472A8"/>
    <w:rsid w:val="00C4733D"/>
    <w:rsid w:val="00C47902"/>
    <w:rsid w:val="00C50765"/>
    <w:rsid w:val="00C50A01"/>
    <w:rsid w:val="00C50EC1"/>
    <w:rsid w:val="00C51195"/>
    <w:rsid w:val="00C51FB8"/>
    <w:rsid w:val="00C52235"/>
    <w:rsid w:val="00C526A3"/>
    <w:rsid w:val="00C53496"/>
    <w:rsid w:val="00C53DB1"/>
    <w:rsid w:val="00C54C6A"/>
    <w:rsid w:val="00C55427"/>
    <w:rsid w:val="00C555D5"/>
    <w:rsid w:val="00C56782"/>
    <w:rsid w:val="00C56859"/>
    <w:rsid w:val="00C57049"/>
    <w:rsid w:val="00C63434"/>
    <w:rsid w:val="00C64255"/>
    <w:rsid w:val="00C6431D"/>
    <w:rsid w:val="00C645F7"/>
    <w:rsid w:val="00C646A4"/>
    <w:rsid w:val="00C64C9C"/>
    <w:rsid w:val="00C65403"/>
    <w:rsid w:val="00C668EF"/>
    <w:rsid w:val="00C66AE9"/>
    <w:rsid w:val="00C670BD"/>
    <w:rsid w:val="00C67D1D"/>
    <w:rsid w:val="00C70320"/>
    <w:rsid w:val="00C70511"/>
    <w:rsid w:val="00C7108E"/>
    <w:rsid w:val="00C7171D"/>
    <w:rsid w:val="00C723F3"/>
    <w:rsid w:val="00C7272A"/>
    <w:rsid w:val="00C733BC"/>
    <w:rsid w:val="00C73879"/>
    <w:rsid w:val="00C7435D"/>
    <w:rsid w:val="00C75659"/>
    <w:rsid w:val="00C7621F"/>
    <w:rsid w:val="00C778FD"/>
    <w:rsid w:val="00C82082"/>
    <w:rsid w:val="00C85C0D"/>
    <w:rsid w:val="00C86B35"/>
    <w:rsid w:val="00C87746"/>
    <w:rsid w:val="00C87BE8"/>
    <w:rsid w:val="00C87FEA"/>
    <w:rsid w:val="00C91692"/>
    <w:rsid w:val="00C918BF"/>
    <w:rsid w:val="00C93029"/>
    <w:rsid w:val="00C93C1B"/>
    <w:rsid w:val="00C94A6D"/>
    <w:rsid w:val="00C94E32"/>
    <w:rsid w:val="00C951F4"/>
    <w:rsid w:val="00C96B47"/>
    <w:rsid w:val="00C96BB4"/>
    <w:rsid w:val="00C96E92"/>
    <w:rsid w:val="00CA1F87"/>
    <w:rsid w:val="00CA25F4"/>
    <w:rsid w:val="00CA2A94"/>
    <w:rsid w:val="00CA3211"/>
    <w:rsid w:val="00CA40E3"/>
    <w:rsid w:val="00CA466F"/>
    <w:rsid w:val="00CA4D5C"/>
    <w:rsid w:val="00CA6597"/>
    <w:rsid w:val="00CA71D3"/>
    <w:rsid w:val="00CB0639"/>
    <w:rsid w:val="00CB1249"/>
    <w:rsid w:val="00CB192C"/>
    <w:rsid w:val="00CB201F"/>
    <w:rsid w:val="00CB2C07"/>
    <w:rsid w:val="00CB2E64"/>
    <w:rsid w:val="00CB2F4E"/>
    <w:rsid w:val="00CB337A"/>
    <w:rsid w:val="00CB4173"/>
    <w:rsid w:val="00CB5390"/>
    <w:rsid w:val="00CB564B"/>
    <w:rsid w:val="00CB5A47"/>
    <w:rsid w:val="00CC10CB"/>
    <w:rsid w:val="00CC2B29"/>
    <w:rsid w:val="00CC30DD"/>
    <w:rsid w:val="00CC36F4"/>
    <w:rsid w:val="00CC43E3"/>
    <w:rsid w:val="00CC4999"/>
    <w:rsid w:val="00CC532C"/>
    <w:rsid w:val="00CC6350"/>
    <w:rsid w:val="00CC64A1"/>
    <w:rsid w:val="00CC68B3"/>
    <w:rsid w:val="00CC70C2"/>
    <w:rsid w:val="00CC7713"/>
    <w:rsid w:val="00CC7B07"/>
    <w:rsid w:val="00CD2423"/>
    <w:rsid w:val="00CD4C21"/>
    <w:rsid w:val="00CD6264"/>
    <w:rsid w:val="00CD689E"/>
    <w:rsid w:val="00CD7A4D"/>
    <w:rsid w:val="00CE017B"/>
    <w:rsid w:val="00CE1098"/>
    <w:rsid w:val="00CE13AA"/>
    <w:rsid w:val="00CE1574"/>
    <w:rsid w:val="00CE2F20"/>
    <w:rsid w:val="00CE33FD"/>
    <w:rsid w:val="00CE36AE"/>
    <w:rsid w:val="00CE4916"/>
    <w:rsid w:val="00CE6054"/>
    <w:rsid w:val="00CE6677"/>
    <w:rsid w:val="00CE694E"/>
    <w:rsid w:val="00CE7358"/>
    <w:rsid w:val="00CF0C27"/>
    <w:rsid w:val="00CF0FCC"/>
    <w:rsid w:val="00CF204F"/>
    <w:rsid w:val="00CF27C3"/>
    <w:rsid w:val="00CF3CDF"/>
    <w:rsid w:val="00CF4347"/>
    <w:rsid w:val="00CF5695"/>
    <w:rsid w:val="00CF58E8"/>
    <w:rsid w:val="00CF5CB0"/>
    <w:rsid w:val="00CF6F7B"/>
    <w:rsid w:val="00CF75DE"/>
    <w:rsid w:val="00CF7E19"/>
    <w:rsid w:val="00D00140"/>
    <w:rsid w:val="00D001CD"/>
    <w:rsid w:val="00D01218"/>
    <w:rsid w:val="00D01840"/>
    <w:rsid w:val="00D01A46"/>
    <w:rsid w:val="00D02945"/>
    <w:rsid w:val="00D03B30"/>
    <w:rsid w:val="00D0545E"/>
    <w:rsid w:val="00D07864"/>
    <w:rsid w:val="00D0792B"/>
    <w:rsid w:val="00D11D0C"/>
    <w:rsid w:val="00D12214"/>
    <w:rsid w:val="00D1288F"/>
    <w:rsid w:val="00D129B4"/>
    <w:rsid w:val="00D14FC5"/>
    <w:rsid w:val="00D15897"/>
    <w:rsid w:val="00D159FE"/>
    <w:rsid w:val="00D15D88"/>
    <w:rsid w:val="00D173E9"/>
    <w:rsid w:val="00D17602"/>
    <w:rsid w:val="00D179B4"/>
    <w:rsid w:val="00D17B7B"/>
    <w:rsid w:val="00D201B2"/>
    <w:rsid w:val="00D20A9C"/>
    <w:rsid w:val="00D21257"/>
    <w:rsid w:val="00D214A7"/>
    <w:rsid w:val="00D21E84"/>
    <w:rsid w:val="00D21F58"/>
    <w:rsid w:val="00D22855"/>
    <w:rsid w:val="00D236C5"/>
    <w:rsid w:val="00D23947"/>
    <w:rsid w:val="00D239EA"/>
    <w:rsid w:val="00D2440F"/>
    <w:rsid w:val="00D2497D"/>
    <w:rsid w:val="00D24B8D"/>
    <w:rsid w:val="00D259B2"/>
    <w:rsid w:val="00D26C27"/>
    <w:rsid w:val="00D3012D"/>
    <w:rsid w:val="00D3115F"/>
    <w:rsid w:val="00D318CE"/>
    <w:rsid w:val="00D32651"/>
    <w:rsid w:val="00D328BA"/>
    <w:rsid w:val="00D32C27"/>
    <w:rsid w:val="00D34A1D"/>
    <w:rsid w:val="00D34AC9"/>
    <w:rsid w:val="00D36385"/>
    <w:rsid w:val="00D366AD"/>
    <w:rsid w:val="00D36BE4"/>
    <w:rsid w:val="00D374D6"/>
    <w:rsid w:val="00D37593"/>
    <w:rsid w:val="00D400B4"/>
    <w:rsid w:val="00D405D3"/>
    <w:rsid w:val="00D41D1C"/>
    <w:rsid w:val="00D42719"/>
    <w:rsid w:val="00D4437E"/>
    <w:rsid w:val="00D4735E"/>
    <w:rsid w:val="00D475E7"/>
    <w:rsid w:val="00D47CE1"/>
    <w:rsid w:val="00D47DFD"/>
    <w:rsid w:val="00D5010D"/>
    <w:rsid w:val="00D510C6"/>
    <w:rsid w:val="00D52BA1"/>
    <w:rsid w:val="00D53788"/>
    <w:rsid w:val="00D54C77"/>
    <w:rsid w:val="00D5564F"/>
    <w:rsid w:val="00D55D76"/>
    <w:rsid w:val="00D567F2"/>
    <w:rsid w:val="00D57548"/>
    <w:rsid w:val="00D57D69"/>
    <w:rsid w:val="00D601C2"/>
    <w:rsid w:val="00D60203"/>
    <w:rsid w:val="00D60999"/>
    <w:rsid w:val="00D60B87"/>
    <w:rsid w:val="00D640C6"/>
    <w:rsid w:val="00D64B0D"/>
    <w:rsid w:val="00D65737"/>
    <w:rsid w:val="00D65A14"/>
    <w:rsid w:val="00D66A45"/>
    <w:rsid w:val="00D67299"/>
    <w:rsid w:val="00D672DE"/>
    <w:rsid w:val="00D702F1"/>
    <w:rsid w:val="00D70F4D"/>
    <w:rsid w:val="00D7444D"/>
    <w:rsid w:val="00D7467B"/>
    <w:rsid w:val="00D80020"/>
    <w:rsid w:val="00D805A1"/>
    <w:rsid w:val="00D808B5"/>
    <w:rsid w:val="00D82FDF"/>
    <w:rsid w:val="00D84606"/>
    <w:rsid w:val="00D84D51"/>
    <w:rsid w:val="00D8543F"/>
    <w:rsid w:val="00D85788"/>
    <w:rsid w:val="00D86422"/>
    <w:rsid w:val="00D86634"/>
    <w:rsid w:val="00D86868"/>
    <w:rsid w:val="00D87218"/>
    <w:rsid w:val="00D8740B"/>
    <w:rsid w:val="00D877E4"/>
    <w:rsid w:val="00D879F8"/>
    <w:rsid w:val="00D87F0B"/>
    <w:rsid w:val="00D90674"/>
    <w:rsid w:val="00D907C0"/>
    <w:rsid w:val="00D90D1C"/>
    <w:rsid w:val="00D918F7"/>
    <w:rsid w:val="00D91B17"/>
    <w:rsid w:val="00D92999"/>
    <w:rsid w:val="00D94F20"/>
    <w:rsid w:val="00D951E0"/>
    <w:rsid w:val="00D95F5E"/>
    <w:rsid w:val="00DA03CE"/>
    <w:rsid w:val="00DA155C"/>
    <w:rsid w:val="00DA1D1D"/>
    <w:rsid w:val="00DA2B18"/>
    <w:rsid w:val="00DA2BE7"/>
    <w:rsid w:val="00DA333A"/>
    <w:rsid w:val="00DA3C39"/>
    <w:rsid w:val="00DA489E"/>
    <w:rsid w:val="00DA4A76"/>
    <w:rsid w:val="00DA5154"/>
    <w:rsid w:val="00DA53CA"/>
    <w:rsid w:val="00DA6006"/>
    <w:rsid w:val="00DA6E22"/>
    <w:rsid w:val="00DA7835"/>
    <w:rsid w:val="00DB01CA"/>
    <w:rsid w:val="00DB3C86"/>
    <w:rsid w:val="00DB441F"/>
    <w:rsid w:val="00DB47D4"/>
    <w:rsid w:val="00DB52FB"/>
    <w:rsid w:val="00DB58C3"/>
    <w:rsid w:val="00DB596C"/>
    <w:rsid w:val="00DB6E24"/>
    <w:rsid w:val="00DB6EF8"/>
    <w:rsid w:val="00DB7A25"/>
    <w:rsid w:val="00DC0C48"/>
    <w:rsid w:val="00DC0DAA"/>
    <w:rsid w:val="00DC13CD"/>
    <w:rsid w:val="00DC2146"/>
    <w:rsid w:val="00DC2F62"/>
    <w:rsid w:val="00DC307B"/>
    <w:rsid w:val="00DC3522"/>
    <w:rsid w:val="00DC35FD"/>
    <w:rsid w:val="00DC3AD7"/>
    <w:rsid w:val="00DC44BB"/>
    <w:rsid w:val="00DC4786"/>
    <w:rsid w:val="00DC4954"/>
    <w:rsid w:val="00DC5D8A"/>
    <w:rsid w:val="00DC6B1E"/>
    <w:rsid w:val="00DC7CB5"/>
    <w:rsid w:val="00DD0034"/>
    <w:rsid w:val="00DD0B1C"/>
    <w:rsid w:val="00DD106D"/>
    <w:rsid w:val="00DD1195"/>
    <w:rsid w:val="00DD17B1"/>
    <w:rsid w:val="00DD18DA"/>
    <w:rsid w:val="00DD27B5"/>
    <w:rsid w:val="00DD319E"/>
    <w:rsid w:val="00DD3822"/>
    <w:rsid w:val="00DD47C8"/>
    <w:rsid w:val="00DD5B72"/>
    <w:rsid w:val="00DD6D7D"/>
    <w:rsid w:val="00DD7788"/>
    <w:rsid w:val="00DE0272"/>
    <w:rsid w:val="00DE0CDA"/>
    <w:rsid w:val="00DE0E9B"/>
    <w:rsid w:val="00DE126E"/>
    <w:rsid w:val="00DE1995"/>
    <w:rsid w:val="00DE1CA3"/>
    <w:rsid w:val="00DE30F1"/>
    <w:rsid w:val="00DE3453"/>
    <w:rsid w:val="00DE3D73"/>
    <w:rsid w:val="00DE67E4"/>
    <w:rsid w:val="00DE71D8"/>
    <w:rsid w:val="00DF0380"/>
    <w:rsid w:val="00DF124D"/>
    <w:rsid w:val="00DF1B68"/>
    <w:rsid w:val="00DF1DDC"/>
    <w:rsid w:val="00DF1F8B"/>
    <w:rsid w:val="00DF2B1D"/>
    <w:rsid w:val="00DF3E98"/>
    <w:rsid w:val="00DF48C6"/>
    <w:rsid w:val="00DF4AC3"/>
    <w:rsid w:val="00DF552E"/>
    <w:rsid w:val="00DF5DA8"/>
    <w:rsid w:val="00DF62C7"/>
    <w:rsid w:val="00DF63D9"/>
    <w:rsid w:val="00DF7CEE"/>
    <w:rsid w:val="00E00761"/>
    <w:rsid w:val="00E00E62"/>
    <w:rsid w:val="00E019A2"/>
    <w:rsid w:val="00E01A23"/>
    <w:rsid w:val="00E01ABF"/>
    <w:rsid w:val="00E01E9B"/>
    <w:rsid w:val="00E021DD"/>
    <w:rsid w:val="00E02FEC"/>
    <w:rsid w:val="00E03166"/>
    <w:rsid w:val="00E03E53"/>
    <w:rsid w:val="00E06627"/>
    <w:rsid w:val="00E071EA"/>
    <w:rsid w:val="00E10104"/>
    <w:rsid w:val="00E1111D"/>
    <w:rsid w:val="00E125CE"/>
    <w:rsid w:val="00E12902"/>
    <w:rsid w:val="00E200D8"/>
    <w:rsid w:val="00E207CA"/>
    <w:rsid w:val="00E209AD"/>
    <w:rsid w:val="00E223EF"/>
    <w:rsid w:val="00E229D6"/>
    <w:rsid w:val="00E23E93"/>
    <w:rsid w:val="00E24611"/>
    <w:rsid w:val="00E25515"/>
    <w:rsid w:val="00E267A7"/>
    <w:rsid w:val="00E26A70"/>
    <w:rsid w:val="00E2762D"/>
    <w:rsid w:val="00E27A9B"/>
    <w:rsid w:val="00E27F53"/>
    <w:rsid w:val="00E3046B"/>
    <w:rsid w:val="00E30977"/>
    <w:rsid w:val="00E30CDC"/>
    <w:rsid w:val="00E316D6"/>
    <w:rsid w:val="00E31A3A"/>
    <w:rsid w:val="00E3230C"/>
    <w:rsid w:val="00E32AC9"/>
    <w:rsid w:val="00E32C73"/>
    <w:rsid w:val="00E33CF8"/>
    <w:rsid w:val="00E353C7"/>
    <w:rsid w:val="00E358A4"/>
    <w:rsid w:val="00E35D49"/>
    <w:rsid w:val="00E366ED"/>
    <w:rsid w:val="00E36B26"/>
    <w:rsid w:val="00E36C0D"/>
    <w:rsid w:val="00E3712E"/>
    <w:rsid w:val="00E4092E"/>
    <w:rsid w:val="00E40B64"/>
    <w:rsid w:val="00E40FC6"/>
    <w:rsid w:val="00E415C0"/>
    <w:rsid w:val="00E41A92"/>
    <w:rsid w:val="00E41A93"/>
    <w:rsid w:val="00E42129"/>
    <w:rsid w:val="00E432B3"/>
    <w:rsid w:val="00E43510"/>
    <w:rsid w:val="00E436EB"/>
    <w:rsid w:val="00E43927"/>
    <w:rsid w:val="00E46325"/>
    <w:rsid w:val="00E46515"/>
    <w:rsid w:val="00E4651C"/>
    <w:rsid w:val="00E46B89"/>
    <w:rsid w:val="00E46D8D"/>
    <w:rsid w:val="00E47CA3"/>
    <w:rsid w:val="00E51E49"/>
    <w:rsid w:val="00E525AB"/>
    <w:rsid w:val="00E526A0"/>
    <w:rsid w:val="00E52C51"/>
    <w:rsid w:val="00E53792"/>
    <w:rsid w:val="00E545E6"/>
    <w:rsid w:val="00E5549F"/>
    <w:rsid w:val="00E5692C"/>
    <w:rsid w:val="00E57167"/>
    <w:rsid w:val="00E57C6A"/>
    <w:rsid w:val="00E604CD"/>
    <w:rsid w:val="00E60785"/>
    <w:rsid w:val="00E638F4"/>
    <w:rsid w:val="00E63AD5"/>
    <w:rsid w:val="00E65A08"/>
    <w:rsid w:val="00E65C0F"/>
    <w:rsid w:val="00E65C50"/>
    <w:rsid w:val="00E66051"/>
    <w:rsid w:val="00E66BD0"/>
    <w:rsid w:val="00E70B68"/>
    <w:rsid w:val="00E70C9F"/>
    <w:rsid w:val="00E711D4"/>
    <w:rsid w:val="00E71A75"/>
    <w:rsid w:val="00E72EDB"/>
    <w:rsid w:val="00E737FD"/>
    <w:rsid w:val="00E739E8"/>
    <w:rsid w:val="00E74DC0"/>
    <w:rsid w:val="00E7588C"/>
    <w:rsid w:val="00E76625"/>
    <w:rsid w:val="00E76653"/>
    <w:rsid w:val="00E816FE"/>
    <w:rsid w:val="00E81D60"/>
    <w:rsid w:val="00E823EE"/>
    <w:rsid w:val="00E82A60"/>
    <w:rsid w:val="00E85D06"/>
    <w:rsid w:val="00E87860"/>
    <w:rsid w:val="00E87FE2"/>
    <w:rsid w:val="00E90287"/>
    <w:rsid w:val="00E91826"/>
    <w:rsid w:val="00E91AB5"/>
    <w:rsid w:val="00E91E5E"/>
    <w:rsid w:val="00E924B1"/>
    <w:rsid w:val="00E96980"/>
    <w:rsid w:val="00E96B10"/>
    <w:rsid w:val="00E97591"/>
    <w:rsid w:val="00E97C33"/>
    <w:rsid w:val="00E97FF9"/>
    <w:rsid w:val="00EA0F4B"/>
    <w:rsid w:val="00EA175C"/>
    <w:rsid w:val="00EA24C7"/>
    <w:rsid w:val="00EA2566"/>
    <w:rsid w:val="00EA289E"/>
    <w:rsid w:val="00EA2B7E"/>
    <w:rsid w:val="00EA2DDE"/>
    <w:rsid w:val="00EA3C1B"/>
    <w:rsid w:val="00EA69F5"/>
    <w:rsid w:val="00EA6C05"/>
    <w:rsid w:val="00EB035C"/>
    <w:rsid w:val="00EB14CB"/>
    <w:rsid w:val="00EB243B"/>
    <w:rsid w:val="00EB24B3"/>
    <w:rsid w:val="00EB2580"/>
    <w:rsid w:val="00EB2E32"/>
    <w:rsid w:val="00EB4161"/>
    <w:rsid w:val="00EB4200"/>
    <w:rsid w:val="00EB483B"/>
    <w:rsid w:val="00EB48D3"/>
    <w:rsid w:val="00EB4B95"/>
    <w:rsid w:val="00EB7688"/>
    <w:rsid w:val="00EB794A"/>
    <w:rsid w:val="00EB7AEA"/>
    <w:rsid w:val="00EC0508"/>
    <w:rsid w:val="00EC07B8"/>
    <w:rsid w:val="00EC08DD"/>
    <w:rsid w:val="00EC1A18"/>
    <w:rsid w:val="00EC1CE5"/>
    <w:rsid w:val="00EC2514"/>
    <w:rsid w:val="00EC27A8"/>
    <w:rsid w:val="00EC2B07"/>
    <w:rsid w:val="00EC3A3D"/>
    <w:rsid w:val="00EC427A"/>
    <w:rsid w:val="00EC439D"/>
    <w:rsid w:val="00EC43FE"/>
    <w:rsid w:val="00EC456E"/>
    <w:rsid w:val="00EC457E"/>
    <w:rsid w:val="00EC4B7B"/>
    <w:rsid w:val="00EC5698"/>
    <w:rsid w:val="00EC746B"/>
    <w:rsid w:val="00ED002B"/>
    <w:rsid w:val="00ED066A"/>
    <w:rsid w:val="00ED0B6B"/>
    <w:rsid w:val="00ED108D"/>
    <w:rsid w:val="00ED30DB"/>
    <w:rsid w:val="00ED3481"/>
    <w:rsid w:val="00ED53EE"/>
    <w:rsid w:val="00ED605D"/>
    <w:rsid w:val="00ED74C8"/>
    <w:rsid w:val="00ED7912"/>
    <w:rsid w:val="00EE01E1"/>
    <w:rsid w:val="00EE0265"/>
    <w:rsid w:val="00EE1380"/>
    <w:rsid w:val="00EE5B3B"/>
    <w:rsid w:val="00EE6007"/>
    <w:rsid w:val="00EE6ED2"/>
    <w:rsid w:val="00EF1195"/>
    <w:rsid w:val="00EF206E"/>
    <w:rsid w:val="00EF2919"/>
    <w:rsid w:val="00EF3F7F"/>
    <w:rsid w:val="00EF457B"/>
    <w:rsid w:val="00EF4CF8"/>
    <w:rsid w:val="00EF5336"/>
    <w:rsid w:val="00EF682D"/>
    <w:rsid w:val="00EF7EAB"/>
    <w:rsid w:val="00F0075B"/>
    <w:rsid w:val="00F02AAA"/>
    <w:rsid w:val="00F03833"/>
    <w:rsid w:val="00F03CF1"/>
    <w:rsid w:val="00F060EB"/>
    <w:rsid w:val="00F06106"/>
    <w:rsid w:val="00F071CB"/>
    <w:rsid w:val="00F11598"/>
    <w:rsid w:val="00F119BD"/>
    <w:rsid w:val="00F11A38"/>
    <w:rsid w:val="00F123E6"/>
    <w:rsid w:val="00F13CBB"/>
    <w:rsid w:val="00F146BE"/>
    <w:rsid w:val="00F156BA"/>
    <w:rsid w:val="00F168CD"/>
    <w:rsid w:val="00F16AC5"/>
    <w:rsid w:val="00F16BD4"/>
    <w:rsid w:val="00F16FA9"/>
    <w:rsid w:val="00F1709A"/>
    <w:rsid w:val="00F21E44"/>
    <w:rsid w:val="00F22A86"/>
    <w:rsid w:val="00F239B7"/>
    <w:rsid w:val="00F23F9C"/>
    <w:rsid w:val="00F24652"/>
    <w:rsid w:val="00F2475E"/>
    <w:rsid w:val="00F24890"/>
    <w:rsid w:val="00F25268"/>
    <w:rsid w:val="00F26AD2"/>
    <w:rsid w:val="00F26ED7"/>
    <w:rsid w:val="00F274FC"/>
    <w:rsid w:val="00F316A6"/>
    <w:rsid w:val="00F317AE"/>
    <w:rsid w:val="00F32023"/>
    <w:rsid w:val="00F32D03"/>
    <w:rsid w:val="00F33A3F"/>
    <w:rsid w:val="00F33C68"/>
    <w:rsid w:val="00F34C30"/>
    <w:rsid w:val="00F35454"/>
    <w:rsid w:val="00F35FF7"/>
    <w:rsid w:val="00F3740F"/>
    <w:rsid w:val="00F414C4"/>
    <w:rsid w:val="00F41CC9"/>
    <w:rsid w:val="00F41D6C"/>
    <w:rsid w:val="00F41DBF"/>
    <w:rsid w:val="00F420C4"/>
    <w:rsid w:val="00F421B9"/>
    <w:rsid w:val="00F42956"/>
    <w:rsid w:val="00F44068"/>
    <w:rsid w:val="00F4494D"/>
    <w:rsid w:val="00F44CDF"/>
    <w:rsid w:val="00F4533C"/>
    <w:rsid w:val="00F453B3"/>
    <w:rsid w:val="00F45E70"/>
    <w:rsid w:val="00F45FF1"/>
    <w:rsid w:val="00F46859"/>
    <w:rsid w:val="00F46A94"/>
    <w:rsid w:val="00F47B27"/>
    <w:rsid w:val="00F5172B"/>
    <w:rsid w:val="00F519BD"/>
    <w:rsid w:val="00F51E44"/>
    <w:rsid w:val="00F5326B"/>
    <w:rsid w:val="00F54023"/>
    <w:rsid w:val="00F55F18"/>
    <w:rsid w:val="00F565A3"/>
    <w:rsid w:val="00F566E9"/>
    <w:rsid w:val="00F57325"/>
    <w:rsid w:val="00F57786"/>
    <w:rsid w:val="00F6107E"/>
    <w:rsid w:val="00F61485"/>
    <w:rsid w:val="00F6170A"/>
    <w:rsid w:val="00F62EFC"/>
    <w:rsid w:val="00F6509E"/>
    <w:rsid w:val="00F6514D"/>
    <w:rsid w:val="00F65D98"/>
    <w:rsid w:val="00F67213"/>
    <w:rsid w:val="00F67D1B"/>
    <w:rsid w:val="00F7085F"/>
    <w:rsid w:val="00F70A85"/>
    <w:rsid w:val="00F71BDE"/>
    <w:rsid w:val="00F71F95"/>
    <w:rsid w:val="00F72423"/>
    <w:rsid w:val="00F74294"/>
    <w:rsid w:val="00F7449C"/>
    <w:rsid w:val="00F757F2"/>
    <w:rsid w:val="00F75B49"/>
    <w:rsid w:val="00F768E1"/>
    <w:rsid w:val="00F779EC"/>
    <w:rsid w:val="00F80281"/>
    <w:rsid w:val="00F8228C"/>
    <w:rsid w:val="00F8308B"/>
    <w:rsid w:val="00F846C4"/>
    <w:rsid w:val="00F85EF1"/>
    <w:rsid w:val="00F87D29"/>
    <w:rsid w:val="00F900FE"/>
    <w:rsid w:val="00F91142"/>
    <w:rsid w:val="00F917F8"/>
    <w:rsid w:val="00F91888"/>
    <w:rsid w:val="00F92B84"/>
    <w:rsid w:val="00F92FFF"/>
    <w:rsid w:val="00F9339D"/>
    <w:rsid w:val="00F941F1"/>
    <w:rsid w:val="00F956CF"/>
    <w:rsid w:val="00F96321"/>
    <w:rsid w:val="00F968CC"/>
    <w:rsid w:val="00F971B3"/>
    <w:rsid w:val="00F97412"/>
    <w:rsid w:val="00F97E61"/>
    <w:rsid w:val="00FA102A"/>
    <w:rsid w:val="00FA1094"/>
    <w:rsid w:val="00FA202A"/>
    <w:rsid w:val="00FA20AE"/>
    <w:rsid w:val="00FA20F3"/>
    <w:rsid w:val="00FA276A"/>
    <w:rsid w:val="00FA5936"/>
    <w:rsid w:val="00FA70A0"/>
    <w:rsid w:val="00FA72BC"/>
    <w:rsid w:val="00FA7C70"/>
    <w:rsid w:val="00FB08C2"/>
    <w:rsid w:val="00FB0A11"/>
    <w:rsid w:val="00FB1F7C"/>
    <w:rsid w:val="00FB42A7"/>
    <w:rsid w:val="00FB48F4"/>
    <w:rsid w:val="00FB574C"/>
    <w:rsid w:val="00FB60DF"/>
    <w:rsid w:val="00FB68D4"/>
    <w:rsid w:val="00FB7F8C"/>
    <w:rsid w:val="00FC137F"/>
    <w:rsid w:val="00FC16F0"/>
    <w:rsid w:val="00FC1AE8"/>
    <w:rsid w:val="00FC37DB"/>
    <w:rsid w:val="00FC4C1C"/>
    <w:rsid w:val="00FC4CE7"/>
    <w:rsid w:val="00FC5BE6"/>
    <w:rsid w:val="00FC6AFA"/>
    <w:rsid w:val="00FC714E"/>
    <w:rsid w:val="00FC7F09"/>
    <w:rsid w:val="00FD0D25"/>
    <w:rsid w:val="00FD0FEC"/>
    <w:rsid w:val="00FD24F0"/>
    <w:rsid w:val="00FD2D8A"/>
    <w:rsid w:val="00FD475D"/>
    <w:rsid w:val="00FD4B8E"/>
    <w:rsid w:val="00FD55A7"/>
    <w:rsid w:val="00FD592A"/>
    <w:rsid w:val="00FD6F89"/>
    <w:rsid w:val="00FD7C90"/>
    <w:rsid w:val="00FD7D25"/>
    <w:rsid w:val="00FE2964"/>
    <w:rsid w:val="00FE39BE"/>
    <w:rsid w:val="00FE39EE"/>
    <w:rsid w:val="00FE3A78"/>
    <w:rsid w:val="00FE3B09"/>
    <w:rsid w:val="00FE58BB"/>
    <w:rsid w:val="00FE5C3B"/>
    <w:rsid w:val="00FE5C49"/>
    <w:rsid w:val="00FE6159"/>
    <w:rsid w:val="00FE6288"/>
    <w:rsid w:val="00FE6357"/>
    <w:rsid w:val="00FE6A14"/>
    <w:rsid w:val="00FE7251"/>
    <w:rsid w:val="00FE7900"/>
    <w:rsid w:val="00FE7F3E"/>
    <w:rsid w:val="00FF027C"/>
    <w:rsid w:val="00FF0559"/>
    <w:rsid w:val="00FF0B0D"/>
    <w:rsid w:val="00FF146E"/>
    <w:rsid w:val="00FF1B8A"/>
    <w:rsid w:val="00FF2108"/>
    <w:rsid w:val="00FF38F1"/>
    <w:rsid w:val="00FF3F07"/>
    <w:rsid w:val="00FF435D"/>
    <w:rsid w:val="00FF4AB1"/>
    <w:rsid w:val="00FF540B"/>
    <w:rsid w:val="00FF5D9E"/>
    <w:rsid w:val="00FF6655"/>
    <w:rsid w:val="0123E6E6"/>
    <w:rsid w:val="013E61E2"/>
    <w:rsid w:val="01423495"/>
    <w:rsid w:val="01583748"/>
    <w:rsid w:val="015A7000"/>
    <w:rsid w:val="01A26771"/>
    <w:rsid w:val="01AD4F39"/>
    <w:rsid w:val="01C03306"/>
    <w:rsid w:val="01C310E7"/>
    <w:rsid w:val="02146CE3"/>
    <w:rsid w:val="021653B1"/>
    <w:rsid w:val="02E425BC"/>
    <w:rsid w:val="02FB2420"/>
    <w:rsid w:val="03291083"/>
    <w:rsid w:val="037E689E"/>
    <w:rsid w:val="03DE3CAC"/>
    <w:rsid w:val="03ED241C"/>
    <w:rsid w:val="040B3AF1"/>
    <w:rsid w:val="04275653"/>
    <w:rsid w:val="04AF4A55"/>
    <w:rsid w:val="04B70785"/>
    <w:rsid w:val="04B83003"/>
    <w:rsid w:val="04DF68CF"/>
    <w:rsid w:val="04E35A1E"/>
    <w:rsid w:val="04E91183"/>
    <w:rsid w:val="04FA52B7"/>
    <w:rsid w:val="056C5150"/>
    <w:rsid w:val="05873034"/>
    <w:rsid w:val="059D3E1F"/>
    <w:rsid w:val="05A32D8D"/>
    <w:rsid w:val="062C51A3"/>
    <w:rsid w:val="064D3498"/>
    <w:rsid w:val="0680104B"/>
    <w:rsid w:val="06EF5174"/>
    <w:rsid w:val="073C7668"/>
    <w:rsid w:val="075D1031"/>
    <w:rsid w:val="07F16915"/>
    <w:rsid w:val="08185842"/>
    <w:rsid w:val="08240426"/>
    <w:rsid w:val="084038D7"/>
    <w:rsid w:val="087F0F62"/>
    <w:rsid w:val="08BBF491"/>
    <w:rsid w:val="08D13DE0"/>
    <w:rsid w:val="08F1198C"/>
    <w:rsid w:val="097D1872"/>
    <w:rsid w:val="09C67A80"/>
    <w:rsid w:val="09CA2D09"/>
    <w:rsid w:val="09FC668A"/>
    <w:rsid w:val="0A2F0DBE"/>
    <w:rsid w:val="0A9365B3"/>
    <w:rsid w:val="0AA64D5B"/>
    <w:rsid w:val="0AB56615"/>
    <w:rsid w:val="0AEF9229"/>
    <w:rsid w:val="0B3B9676"/>
    <w:rsid w:val="0B747DA6"/>
    <w:rsid w:val="0BD47E6F"/>
    <w:rsid w:val="0BD53BE7"/>
    <w:rsid w:val="0BDA11FD"/>
    <w:rsid w:val="0BDE0CED"/>
    <w:rsid w:val="0C041CFF"/>
    <w:rsid w:val="0C254764"/>
    <w:rsid w:val="0C547201"/>
    <w:rsid w:val="0C6A378B"/>
    <w:rsid w:val="0C8F133F"/>
    <w:rsid w:val="0C9713B3"/>
    <w:rsid w:val="0CBE3DA1"/>
    <w:rsid w:val="0CE20369"/>
    <w:rsid w:val="0CF743E2"/>
    <w:rsid w:val="0D242541"/>
    <w:rsid w:val="0D464D9C"/>
    <w:rsid w:val="0D5A25F6"/>
    <w:rsid w:val="0D603BD0"/>
    <w:rsid w:val="0DC92072"/>
    <w:rsid w:val="0DCD726B"/>
    <w:rsid w:val="0DFBDADE"/>
    <w:rsid w:val="0E272EC6"/>
    <w:rsid w:val="0E344BF5"/>
    <w:rsid w:val="0E6B438E"/>
    <w:rsid w:val="0E8D2557"/>
    <w:rsid w:val="0EBD1ABD"/>
    <w:rsid w:val="0ED65CAC"/>
    <w:rsid w:val="0ED9579C"/>
    <w:rsid w:val="0EF4169C"/>
    <w:rsid w:val="0F000F7B"/>
    <w:rsid w:val="0F00541F"/>
    <w:rsid w:val="0F827BE2"/>
    <w:rsid w:val="0FA22032"/>
    <w:rsid w:val="0FE224EF"/>
    <w:rsid w:val="0FF35CB0"/>
    <w:rsid w:val="101E3DAE"/>
    <w:rsid w:val="104B091B"/>
    <w:rsid w:val="10523E33"/>
    <w:rsid w:val="107B798B"/>
    <w:rsid w:val="1130093A"/>
    <w:rsid w:val="115B3EEF"/>
    <w:rsid w:val="115F2490"/>
    <w:rsid w:val="11683B24"/>
    <w:rsid w:val="11804676"/>
    <w:rsid w:val="118D1957"/>
    <w:rsid w:val="11901C85"/>
    <w:rsid w:val="11A91F21"/>
    <w:rsid w:val="11BB003F"/>
    <w:rsid w:val="11FC16CF"/>
    <w:rsid w:val="120E7E53"/>
    <w:rsid w:val="126F47D8"/>
    <w:rsid w:val="12834530"/>
    <w:rsid w:val="12A739A7"/>
    <w:rsid w:val="12BB3B36"/>
    <w:rsid w:val="13045DA8"/>
    <w:rsid w:val="1318202A"/>
    <w:rsid w:val="132A0CCC"/>
    <w:rsid w:val="133C3906"/>
    <w:rsid w:val="137A2AC6"/>
    <w:rsid w:val="13810AA4"/>
    <w:rsid w:val="13C63790"/>
    <w:rsid w:val="13DA1545"/>
    <w:rsid w:val="13EB21F9"/>
    <w:rsid w:val="14103A0E"/>
    <w:rsid w:val="1432129D"/>
    <w:rsid w:val="14BD0D6B"/>
    <w:rsid w:val="14C07878"/>
    <w:rsid w:val="14DA77BA"/>
    <w:rsid w:val="153C6A85"/>
    <w:rsid w:val="154B17EF"/>
    <w:rsid w:val="157F1A49"/>
    <w:rsid w:val="15915022"/>
    <w:rsid w:val="15B64A89"/>
    <w:rsid w:val="15BF0AAE"/>
    <w:rsid w:val="15CDBDC8"/>
    <w:rsid w:val="15FA27BA"/>
    <w:rsid w:val="160C22A3"/>
    <w:rsid w:val="161377E5"/>
    <w:rsid w:val="1618304E"/>
    <w:rsid w:val="1629143C"/>
    <w:rsid w:val="16670663"/>
    <w:rsid w:val="16742EED"/>
    <w:rsid w:val="168D7598"/>
    <w:rsid w:val="16D15307"/>
    <w:rsid w:val="16FD73B0"/>
    <w:rsid w:val="1715758D"/>
    <w:rsid w:val="173014EC"/>
    <w:rsid w:val="17BDADFB"/>
    <w:rsid w:val="17BEC69B"/>
    <w:rsid w:val="17C96C63"/>
    <w:rsid w:val="17D47B03"/>
    <w:rsid w:val="17DB07D7"/>
    <w:rsid w:val="17DF1EA9"/>
    <w:rsid w:val="17FE183B"/>
    <w:rsid w:val="18073297"/>
    <w:rsid w:val="18346575"/>
    <w:rsid w:val="18373CA7"/>
    <w:rsid w:val="183C74C7"/>
    <w:rsid w:val="184E2D57"/>
    <w:rsid w:val="189B3D09"/>
    <w:rsid w:val="18AE1E77"/>
    <w:rsid w:val="196F12A6"/>
    <w:rsid w:val="19791A18"/>
    <w:rsid w:val="19A90B8D"/>
    <w:rsid w:val="19BE5083"/>
    <w:rsid w:val="19C332D1"/>
    <w:rsid w:val="19E34F90"/>
    <w:rsid w:val="1A69031C"/>
    <w:rsid w:val="1A7B067C"/>
    <w:rsid w:val="1A7E085D"/>
    <w:rsid w:val="1A8E7D82"/>
    <w:rsid w:val="1ABB824F"/>
    <w:rsid w:val="1AC77717"/>
    <w:rsid w:val="1B0B4F2F"/>
    <w:rsid w:val="1B2B8C58"/>
    <w:rsid w:val="1B6FAA61"/>
    <w:rsid w:val="1B88400E"/>
    <w:rsid w:val="1BAB04C0"/>
    <w:rsid w:val="1BCFCF31"/>
    <w:rsid w:val="1BDA3BC5"/>
    <w:rsid w:val="1BEC4D61"/>
    <w:rsid w:val="1BEE499C"/>
    <w:rsid w:val="1BEE6E5A"/>
    <w:rsid w:val="1BFF6D08"/>
    <w:rsid w:val="1C1D6BAE"/>
    <w:rsid w:val="1CDEDA0E"/>
    <w:rsid w:val="1CF94428"/>
    <w:rsid w:val="1CFBAF00"/>
    <w:rsid w:val="1D3A679C"/>
    <w:rsid w:val="1D3B6AA2"/>
    <w:rsid w:val="1D704484"/>
    <w:rsid w:val="1D886D0B"/>
    <w:rsid w:val="1DA80133"/>
    <w:rsid w:val="1DBF436D"/>
    <w:rsid w:val="1DBF78BF"/>
    <w:rsid w:val="1DEFB4C7"/>
    <w:rsid w:val="1DEFBE59"/>
    <w:rsid w:val="1DFD7FE0"/>
    <w:rsid w:val="1DFFB513"/>
    <w:rsid w:val="1E3D321B"/>
    <w:rsid w:val="1E6E6C2C"/>
    <w:rsid w:val="1E7D713A"/>
    <w:rsid w:val="1E7E1EBC"/>
    <w:rsid w:val="1EAE3A76"/>
    <w:rsid w:val="1EF10CB1"/>
    <w:rsid w:val="1F3D2A53"/>
    <w:rsid w:val="1F662458"/>
    <w:rsid w:val="1F6E586F"/>
    <w:rsid w:val="1FBF7375"/>
    <w:rsid w:val="1FEE6CB0"/>
    <w:rsid w:val="1FF83724"/>
    <w:rsid w:val="1FF9A8E2"/>
    <w:rsid w:val="1FFE157A"/>
    <w:rsid w:val="1FFF2B4F"/>
    <w:rsid w:val="210E378D"/>
    <w:rsid w:val="213A47C0"/>
    <w:rsid w:val="214A7396"/>
    <w:rsid w:val="21703D3E"/>
    <w:rsid w:val="218F4931"/>
    <w:rsid w:val="219E062F"/>
    <w:rsid w:val="21BFC071"/>
    <w:rsid w:val="21CA5B20"/>
    <w:rsid w:val="21E3F932"/>
    <w:rsid w:val="21ED402A"/>
    <w:rsid w:val="21ED4685"/>
    <w:rsid w:val="221072CF"/>
    <w:rsid w:val="22286399"/>
    <w:rsid w:val="22596EC8"/>
    <w:rsid w:val="22636AE2"/>
    <w:rsid w:val="22737F8A"/>
    <w:rsid w:val="227A4EFE"/>
    <w:rsid w:val="22833F45"/>
    <w:rsid w:val="22B70195"/>
    <w:rsid w:val="233708A3"/>
    <w:rsid w:val="23FB2DD1"/>
    <w:rsid w:val="24031153"/>
    <w:rsid w:val="24190776"/>
    <w:rsid w:val="24354CFE"/>
    <w:rsid w:val="24521E21"/>
    <w:rsid w:val="249064A5"/>
    <w:rsid w:val="2577011E"/>
    <w:rsid w:val="25861FAA"/>
    <w:rsid w:val="25AD2A5D"/>
    <w:rsid w:val="25CE052F"/>
    <w:rsid w:val="25D61C0E"/>
    <w:rsid w:val="261A4BC0"/>
    <w:rsid w:val="261D50CD"/>
    <w:rsid w:val="26260A56"/>
    <w:rsid w:val="262E41C8"/>
    <w:rsid w:val="263A6761"/>
    <w:rsid w:val="263C27F3"/>
    <w:rsid w:val="26467763"/>
    <w:rsid w:val="264E3873"/>
    <w:rsid w:val="267A5045"/>
    <w:rsid w:val="26A45083"/>
    <w:rsid w:val="26EE8D71"/>
    <w:rsid w:val="26F708A4"/>
    <w:rsid w:val="270F7B55"/>
    <w:rsid w:val="2727187B"/>
    <w:rsid w:val="27321A96"/>
    <w:rsid w:val="2732EE28"/>
    <w:rsid w:val="27370766"/>
    <w:rsid w:val="275F976D"/>
    <w:rsid w:val="2776915C"/>
    <w:rsid w:val="279351FA"/>
    <w:rsid w:val="27B506FD"/>
    <w:rsid w:val="27B96C35"/>
    <w:rsid w:val="27DB2ADC"/>
    <w:rsid w:val="27EFA6FC"/>
    <w:rsid w:val="27EFDAF0"/>
    <w:rsid w:val="28A013AD"/>
    <w:rsid w:val="29D2181C"/>
    <w:rsid w:val="29DF4157"/>
    <w:rsid w:val="29DFDC0C"/>
    <w:rsid w:val="29FF340B"/>
    <w:rsid w:val="2A3E0BD6"/>
    <w:rsid w:val="2A693A20"/>
    <w:rsid w:val="2A9E1303"/>
    <w:rsid w:val="2AD4533E"/>
    <w:rsid w:val="2AE10BAA"/>
    <w:rsid w:val="2B494B55"/>
    <w:rsid w:val="2B593A95"/>
    <w:rsid w:val="2B6651A0"/>
    <w:rsid w:val="2BA95CC2"/>
    <w:rsid w:val="2BB83C32"/>
    <w:rsid w:val="2BD42F8D"/>
    <w:rsid w:val="2BFF6160"/>
    <w:rsid w:val="2C041C52"/>
    <w:rsid w:val="2C0711FA"/>
    <w:rsid w:val="2C0B2A27"/>
    <w:rsid w:val="2C526E62"/>
    <w:rsid w:val="2C77716D"/>
    <w:rsid w:val="2CC7271F"/>
    <w:rsid w:val="2CD45AC9"/>
    <w:rsid w:val="2CD72920"/>
    <w:rsid w:val="2D223F4B"/>
    <w:rsid w:val="2D4F15F3"/>
    <w:rsid w:val="2D7D3CE6"/>
    <w:rsid w:val="2D7F49AD"/>
    <w:rsid w:val="2D900DFC"/>
    <w:rsid w:val="2DA21723"/>
    <w:rsid w:val="2DB7A765"/>
    <w:rsid w:val="2DBA2F11"/>
    <w:rsid w:val="2DF7D6CC"/>
    <w:rsid w:val="2E04418C"/>
    <w:rsid w:val="2E1168A9"/>
    <w:rsid w:val="2E1F7190"/>
    <w:rsid w:val="2EA7AF2A"/>
    <w:rsid w:val="2EBBF7CD"/>
    <w:rsid w:val="2ECFDF22"/>
    <w:rsid w:val="2EEFE88B"/>
    <w:rsid w:val="2F6BFAC9"/>
    <w:rsid w:val="2FBBC246"/>
    <w:rsid w:val="2FDDA261"/>
    <w:rsid w:val="2FF71CFE"/>
    <w:rsid w:val="2FFF07B0"/>
    <w:rsid w:val="30557D2F"/>
    <w:rsid w:val="30912494"/>
    <w:rsid w:val="30923C8F"/>
    <w:rsid w:val="30A549CD"/>
    <w:rsid w:val="30BA35CC"/>
    <w:rsid w:val="30E3C6D8"/>
    <w:rsid w:val="30E65529"/>
    <w:rsid w:val="31230DCD"/>
    <w:rsid w:val="31B216F7"/>
    <w:rsid w:val="31B735F1"/>
    <w:rsid w:val="3253378B"/>
    <w:rsid w:val="32572665"/>
    <w:rsid w:val="327B402A"/>
    <w:rsid w:val="3281224F"/>
    <w:rsid w:val="328A09D8"/>
    <w:rsid w:val="32C16A53"/>
    <w:rsid w:val="330C763F"/>
    <w:rsid w:val="33440EA7"/>
    <w:rsid w:val="33550FE6"/>
    <w:rsid w:val="33705E1F"/>
    <w:rsid w:val="337FC1C3"/>
    <w:rsid w:val="33FBCDCC"/>
    <w:rsid w:val="34594C70"/>
    <w:rsid w:val="34B779C7"/>
    <w:rsid w:val="34BF7E98"/>
    <w:rsid w:val="34CF5CEC"/>
    <w:rsid w:val="34E055A5"/>
    <w:rsid w:val="34E5346C"/>
    <w:rsid w:val="350856A6"/>
    <w:rsid w:val="35154ED0"/>
    <w:rsid w:val="35325A82"/>
    <w:rsid w:val="35B93B07"/>
    <w:rsid w:val="35C074E7"/>
    <w:rsid w:val="35F40F8A"/>
    <w:rsid w:val="36714388"/>
    <w:rsid w:val="36716136"/>
    <w:rsid w:val="3677BA75"/>
    <w:rsid w:val="368045CB"/>
    <w:rsid w:val="36816193"/>
    <w:rsid w:val="36995ED7"/>
    <w:rsid w:val="36AA5792"/>
    <w:rsid w:val="36B6F232"/>
    <w:rsid w:val="36BC7612"/>
    <w:rsid w:val="36DEF824"/>
    <w:rsid w:val="36F76436"/>
    <w:rsid w:val="36FE8A71"/>
    <w:rsid w:val="36FF3DC3"/>
    <w:rsid w:val="372D64C8"/>
    <w:rsid w:val="3740083B"/>
    <w:rsid w:val="377203B8"/>
    <w:rsid w:val="377A101B"/>
    <w:rsid w:val="3797248F"/>
    <w:rsid w:val="37AF0E95"/>
    <w:rsid w:val="37C8622A"/>
    <w:rsid w:val="37D34A84"/>
    <w:rsid w:val="37EF5621"/>
    <w:rsid w:val="37EF74DB"/>
    <w:rsid w:val="37F76A7A"/>
    <w:rsid w:val="37F7844E"/>
    <w:rsid w:val="37FF8E3C"/>
    <w:rsid w:val="37FFEC72"/>
    <w:rsid w:val="384113C3"/>
    <w:rsid w:val="385B2C3E"/>
    <w:rsid w:val="389FFD0E"/>
    <w:rsid w:val="38CD7870"/>
    <w:rsid w:val="392BF547"/>
    <w:rsid w:val="396C7089"/>
    <w:rsid w:val="39776AA3"/>
    <w:rsid w:val="397B4E51"/>
    <w:rsid w:val="397EA10C"/>
    <w:rsid w:val="398C4612"/>
    <w:rsid w:val="39A39EF4"/>
    <w:rsid w:val="39E621E1"/>
    <w:rsid w:val="39FBD2E6"/>
    <w:rsid w:val="3A173499"/>
    <w:rsid w:val="3A2636DC"/>
    <w:rsid w:val="3A4C1552"/>
    <w:rsid w:val="3A5169AB"/>
    <w:rsid w:val="3A555D6F"/>
    <w:rsid w:val="3A5E2CA8"/>
    <w:rsid w:val="3A7F6245"/>
    <w:rsid w:val="3AD45DA4"/>
    <w:rsid w:val="3AEB0E5A"/>
    <w:rsid w:val="3B3E9B37"/>
    <w:rsid w:val="3B4FA1AF"/>
    <w:rsid w:val="3B4FA5C0"/>
    <w:rsid w:val="3B531602"/>
    <w:rsid w:val="3B53405D"/>
    <w:rsid w:val="3BA9F012"/>
    <w:rsid w:val="3BAB9182"/>
    <w:rsid w:val="3BC9431F"/>
    <w:rsid w:val="3BEB16C6"/>
    <w:rsid w:val="3BF6596D"/>
    <w:rsid w:val="3BF66F8C"/>
    <w:rsid w:val="3C153A08"/>
    <w:rsid w:val="3C373E57"/>
    <w:rsid w:val="3C9B2C06"/>
    <w:rsid w:val="3C9F32D2"/>
    <w:rsid w:val="3CB7C9C3"/>
    <w:rsid w:val="3CCD1FB6"/>
    <w:rsid w:val="3CCE1B4E"/>
    <w:rsid w:val="3CEB69AE"/>
    <w:rsid w:val="3CEF8113"/>
    <w:rsid w:val="3D0E1254"/>
    <w:rsid w:val="3D204412"/>
    <w:rsid w:val="3D2263DC"/>
    <w:rsid w:val="3D73248C"/>
    <w:rsid w:val="3D7569AB"/>
    <w:rsid w:val="3D761FDF"/>
    <w:rsid w:val="3D7D2AAC"/>
    <w:rsid w:val="3D7D5F47"/>
    <w:rsid w:val="3D7EE166"/>
    <w:rsid w:val="3D8E253C"/>
    <w:rsid w:val="3D9758B0"/>
    <w:rsid w:val="3D9F055D"/>
    <w:rsid w:val="3DB15A34"/>
    <w:rsid w:val="3DB30C0E"/>
    <w:rsid w:val="3DCBE874"/>
    <w:rsid w:val="3DD4074F"/>
    <w:rsid w:val="3DD4574E"/>
    <w:rsid w:val="3DD72671"/>
    <w:rsid w:val="3DE77B80"/>
    <w:rsid w:val="3DEAC215"/>
    <w:rsid w:val="3DF05F54"/>
    <w:rsid w:val="3DFD693B"/>
    <w:rsid w:val="3DFF2784"/>
    <w:rsid w:val="3DFFDC4F"/>
    <w:rsid w:val="3E06781D"/>
    <w:rsid w:val="3E0E1EF9"/>
    <w:rsid w:val="3E114108"/>
    <w:rsid w:val="3E2A0B48"/>
    <w:rsid w:val="3E5DE891"/>
    <w:rsid w:val="3E7EC5D1"/>
    <w:rsid w:val="3E8273CC"/>
    <w:rsid w:val="3E927592"/>
    <w:rsid w:val="3EB74863"/>
    <w:rsid w:val="3ECA3916"/>
    <w:rsid w:val="3EF66B68"/>
    <w:rsid w:val="3EF79E87"/>
    <w:rsid w:val="3F3EAD4F"/>
    <w:rsid w:val="3F3F3761"/>
    <w:rsid w:val="3F5A3593"/>
    <w:rsid w:val="3F673003"/>
    <w:rsid w:val="3F740A45"/>
    <w:rsid w:val="3F7F1AE5"/>
    <w:rsid w:val="3FA532F5"/>
    <w:rsid w:val="3FAFD343"/>
    <w:rsid w:val="3FBBA733"/>
    <w:rsid w:val="3FBEFB5C"/>
    <w:rsid w:val="3FBF537A"/>
    <w:rsid w:val="3FCF4807"/>
    <w:rsid w:val="3FCF8ACA"/>
    <w:rsid w:val="3FDE5539"/>
    <w:rsid w:val="3FDF3ED9"/>
    <w:rsid w:val="3FDF676E"/>
    <w:rsid w:val="3FE6949F"/>
    <w:rsid w:val="3FEB6D5B"/>
    <w:rsid w:val="3FEF360D"/>
    <w:rsid w:val="3FEF7861"/>
    <w:rsid w:val="3FF1D5C2"/>
    <w:rsid w:val="3FF35356"/>
    <w:rsid w:val="3FFA0245"/>
    <w:rsid w:val="3FFEB1BF"/>
    <w:rsid w:val="3FFF7F4B"/>
    <w:rsid w:val="3FFF9FBB"/>
    <w:rsid w:val="3FFFA286"/>
    <w:rsid w:val="401D732F"/>
    <w:rsid w:val="402E5086"/>
    <w:rsid w:val="403703F1"/>
    <w:rsid w:val="406754CF"/>
    <w:rsid w:val="40A47108"/>
    <w:rsid w:val="40D65444"/>
    <w:rsid w:val="40DC2E39"/>
    <w:rsid w:val="41913B31"/>
    <w:rsid w:val="41A4122D"/>
    <w:rsid w:val="41A63871"/>
    <w:rsid w:val="41E2438C"/>
    <w:rsid w:val="41EA6A10"/>
    <w:rsid w:val="41EE2D31"/>
    <w:rsid w:val="42176CD4"/>
    <w:rsid w:val="421A572A"/>
    <w:rsid w:val="421E2F4D"/>
    <w:rsid w:val="42217B6F"/>
    <w:rsid w:val="425B0D45"/>
    <w:rsid w:val="42615911"/>
    <w:rsid w:val="428D0BB2"/>
    <w:rsid w:val="429F5DD9"/>
    <w:rsid w:val="42DC70F4"/>
    <w:rsid w:val="42EA799C"/>
    <w:rsid w:val="431575F3"/>
    <w:rsid w:val="43346E69"/>
    <w:rsid w:val="43761230"/>
    <w:rsid w:val="43817E6A"/>
    <w:rsid w:val="43BD5DE5"/>
    <w:rsid w:val="43EF1321"/>
    <w:rsid w:val="44260386"/>
    <w:rsid w:val="44580936"/>
    <w:rsid w:val="446E63AB"/>
    <w:rsid w:val="44EED997"/>
    <w:rsid w:val="4541177A"/>
    <w:rsid w:val="45605CF4"/>
    <w:rsid w:val="45A04342"/>
    <w:rsid w:val="45AE43CF"/>
    <w:rsid w:val="45E561F9"/>
    <w:rsid w:val="45FF0815"/>
    <w:rsid w:val="46335C74"/>
    <w:rsid w:val="46725C94"/>
    <w:rsid w:val="468E1469"/>
    <w:rsid w:val="471F9705"/>
    <w:rsid w:val="473E02B7"/>
    <w:rsid w:val="47665118"/>
    <w:rsid w:val="477F1258"/>
    <w:rsid w:val="47C47F74"/>
    <w:rsid w:val="47C95B12"/>
    <w:rsid w:val="47D54D9E"/>
    <w:rsid w:val="47E7B1C1"/>
    <w:rsid w:val="47FD46E8"/>
    <w:rsid w:val="48651873"/>
    <w:rsid w:val="48790F42"/>
    <w:rsid w:val="487C33A3"/>
    <w:rsid w:val="48A44C18"/>
    <w:rsid w:val="48F474A7"/>
    <w:rsid w:val="48F80521"/>
    <w:rsid w:val="491F48CF"/>
    <w:rsid w:val="49200704"/>
    <w:rsid w:val="496076FB"/>
    <w:rsid w:val="49693D13"/>
    <w:rsid w:val="49FC2411"/>
    <w:rsid w:val="4A0A6190"/>
    <w:rsid w:val="4A8F5E92"/>
    <w:rsid w:val="4A934E3E"/>
    <w:rsid w:val="4AB80380"/>
    <w:rsid w:val="4AC960E9"/>
    <w:rsid w:val="4AEB5669"/>
    <w:rsid w:val="4AEFB419"/>
    <w:rsid w:val="4B1AD193"/>
    <w:rsid w:val="4B36471D"/>
    <w:rsid w:val="4B7744CC"/>
    <w:rsid w:val="4BB7B22D"/>
    <w:rsid w:val="4BF118C9"/>
    <w:rsid w:val="4C0D64AA"/>
    <w:rsid w:val="4C426EAB"/>
    <w:rsid w:val="4C53321B"/>
    <w:rsid w:val="4C54044A"/>
    <w:rsid w:val="4C681932"/>
    <w:rsid w:val="4C814063"/>
    <w:rsid w:val="4CBB3BB3"/>
    <w:rsid w:val="4CBC179D"/>
    <w:rsid w:val="4CD62D8C"/>
    <w:rsid w:val="4CE60DD3"/>
    <w:rsid w:val="4CE953FD"/>
    <w:rsid w:val="4CEF3CC5"/>
    <w:rsid w:val="4D451155"/>
    <w:rsid w:val="4D5ED344"/>
    <w:rsid w:val="4D678F58"/>
    <w:rsid w:val="4D70739B"/>
    <w:rsid w:val="4D742AA0"/>
    <w:rsid w:val="4DAD3831"/>
    <w:rsid w:val="4DADC526"/>
    <w:rsid w:val="4DC36B8D"/>
    <w:rsid w:val="4DEE7E83"/>
    <w:rsid w:val="4DEF6F6C"/>
    <w:rsid w:val="4DF3F31D"/>
    <w:rsid w:val="4DF7498A"/>
    <w:rsid w:val="4E00332C"/>
    <w:rsid w:val="4E121292"/>
    <w:rsid w:val="4E1D22DB"/>
    <w:rsid w:val="4E245216"/>
    <w:rsid w:val="4E4F2060"/>
    <w:rsid w:val="4E570B14"/>
    <w:rsid w:val="4E7B459A"/>
    <w:rsid w:val="4E972E46"/>
    <w:rsid w:val="4ECD10F0"/>
    <w:rsid w:val="4EFE1133"/>
    <w:rsid w:val="4F05790C"/>
    <w:rsid w:val="4F3B1580"/>
    <w:rsid w:val="4F42646A"/>
    <w:rsid w:val="4F4AF30E"/>
    <w:rsid w:val="4F546BE1"/>
    <w:rsid w:val="4F5E1EC6"/>
    <w:rsid w:val="4F7B48BD"/>
    <w:rsid w:val="4FAE0BB5"/>
    <w:rsid w:val="4FAFB09B"/>
    <w:rsid w:val="4FBF3436"/>
    <w:rsid w:val="4FC4190B"/>
    <w:rsid w:val="4FDF69D6"/>
    <w:rsid w:val="4FE63299"/>
    <w:rsid w:val="4FF3C995"/>
    <w:rsid w:val="4FF43C08"/>
    <w:rsid w:val="4FF5172F"/>
    <w:rsid w:val="4FFA63C2"/>
    <w:rsid w:val="4FFE346F"/>
    <w:rsid w:val="4FFF02FB"/>
    <w:rsid w:val="4FFF26E9"/>
    <w:rsid w:val="4FFF9BD4"/>
    <w:rsid w:val="500367AB"/>
    <w:rsid w:val="505A76D1"/>
    <w:rsid w:val="50970C03"/>
    <w:rsid w:val="50F7734E"/>
    <w:rsid w:val="50F87728"/>
    <w:rsid w:val="510F05CE"/>
    <w:rsid w:val="511677DA"/>
    <w:rsid w:val="511B144B"/>
    <w:rsid w:val="51842D6A"/>
    <w:rsid w:val="51A74DEE"/>
    <w:rsid w:val="51B933D0"/>
    <w:rsid w:val="51E753DE"/>
    <w:rsid w:val="51ED42C6"/>
    <w:rsid w:val="51F7DAF4"/>
    <w:rsid w:val="523C1897"/>
    <w:rsid w:val="525B7AEE"/>
    <w:rsid w:val="525F4103"/>
    <w:rsid w:val="52615FC2"/>
    <w:rsid w:val="526667B8"/>
    <w:rsid w:val="52963FB5"/>
    <w:rsid w:val="52A116FA"/>
    <w:rsid w:val="52A96F61"/>
    <w:rsid w:val="52F7328C"/>
    <w:rsid w:val="52F842CA"/>
    <w:rsid w:val="534327B1"/>
    <w:rsid w:val="538F3C48"/>
    <w:rsid w:val="53AC3AA4"/>
    <w:rsid w:val="53BF4C42"/>
    <w:rsid w:val="53D1600F"/>
    <w:rsid w:val="53D90AE1"/>
    <w:rsid w:val="53DD0E57"/>
    <w:rsid w:val="53FE3697"/>
    <w:rsid w:val="54032E65"/>
    <w:rsid w:val="54104D89"/>
    <w:rsid w:val="54530666"/>
    <w:rsid w:val="54695B81"/>
    <w:rsid w:val="54D272FC"/>
    <w:rsid w:val="55151BCF"/>
    <w:rsid w:val="553E3E88"/>
    <w:rsid w:val="55571013"/>
    <w:rsid w:val="557F59FD"/>
    <w:rsid w:val="558B2ED4"/>
    <w:rsid w:val="55935C72"/>
    <w:rsid w:val="55BFC283"/>
    <w:rsid w:val="55CA2D47"/>
    <w:rsid w:val="55EA6B3E"/>
    <w:rsid w:val="55F54236"/>
    <w:rsid w:val="55FF7BDB"/>
    <w:rsid w:val="56733C81"/>
    <w:rsid w:val="56BE6E4B"/>
    <w:rsid w:val="56BF8D58"/>
    <w:rsid w:val="56C65BD3"/>
    <w:rsid w:val="56C73045"/>
    <w:rsid w:val="56F97D56"/>
    <w:rsid w:val="56FFA02C"/>
    <w:rsid w:val="56FFCDE5"/>
    <w:rsid w:val="5721105B"/>
    <w:rsid w:val="57286503"/>
    <w:rsid w:val="57330969"/>
    <w:rsid w:val="5736C8ED"/>
    <w:rsid w:val="57381EA7"/>
    <w:rsid w:val="573C7C43"/>
    <w:rsid w:val="576511D6"/>
    <w:rsid w:val="57656078"/>
    <w:rsid w:val="577BB77E"/>
    <w:rsid w:val="579E2150"/>
    <w:rsid w:val="57BE94E1"/>
    <w:rsid w:val="57ED2C79"/>
    <w:rsid w:val="57FA2FBA"/>
    <w:rsid w:val="5861008F"/>
    <w:rsid w:val="587738CD"/>
    <w:rsid w:val="587C6CBB"/>
    <w:rsid w:val="590F1AB3"/>
    <w:rsid w:val="592A681F"/>
    <w:rsid w:val="594A2AEB"/>
    <w:rsid w:val="59F7966E"/>
    <w:rsid w:val="59F91466"/>
    <w:rsid w:val="5A4E5B07"/>
    <w:rsid w:val="5A5A53AD"/>
    <w:rsid w:val="5A5B4F16"/>
    <w:rsid w:val="5A623E64"/>
    <w:rsid w:val="5A640949"/>
    <w:rsid w:val="5A755CB8"/>
    <w:rsid w:val="5A7BFCFF"/>
    <w:rsid w:val="5A83615B"/>
    <w:rsid w:val="5ABE3825"/>
    <w:rsid w:val="5ACB49FE"/>
    <w:rsid w:val="5AEDE7B3"/>
    <w:rsid w:val="5AEF3882"/>
    <w:rsid w:val="5AFCBEAC"/>
    <w:rsid w:val="5B070568"/>
    <w:rsid w:val="5B2D6220"/>
    <w:rsid w:val="5B547C51"/>
    <w:rsid w:val="5B7976B8"/>
    <w:rsid w:val="5B93C95D"/>
    <w:rsid w:val="5BC31F35"/>
    <w:rsid w:val="5BE79DD4"/>
    <w:rsid w:val="5BEEA8DA"/>
    <w:rsid w:val="5BFF1A7D"/>
    <w:rsid w:val="5BFFA255"/>
    <w:rsid w:val="5BFFF14A"/>
    <w:rsid w:val="5C436DFB"/>
    <w:rsid w:val="5C55325F"/>
    <w:rsid w:val="5C85588B"/>
    <w:rsid w:val="5C8A283C"/>
    <w:rsid w:val="5CBB6E3E"/>
    <w:rsid w:val="5CBD21B3"/>
    <w:rsid w:val="5CCD5897"/>
    <w:rsid w:val="5CD050B5"/>
    <w:rsid w:val="5CD1707F"/>
    <w:rsid w:val="5CDF44A6"/>
    <w:rsid w:val="5CE172C2"/>
    <w:rsid w:val="5CE5754D"/>
    <w:rsid w:val="5D55822B"/>
    <w:rsid w:val="5D574B4F"/>
    <w:rsid w:val="5D5F372D"/>
    <w:rsid w:val="5D6857E9"/>
    <w:rsid w:val="5D6E4C3E"/>
    <w:rsid w:val="5D7E3057"/>
    <w:rsid w:val="5D7EA7FE"/>
    <w:rsid w:val="5D9915FA"/>
    <w:rsid w:val="5DAB2583"/>
    <w:rsid w:val="5DB4F2CF"/>
    <w:rsid w:val="5DB50E8B"/>
    <w:rsid w:val="5DBF61DA"/>
    <w:rsid w:val="5DCD610C"/>
    <w:rsid w:val="5DEF040C"/>
    <w:rsid w:val="5DF65422"/>
    <w:rsid w:val="5DF7113D"/>
    <w:rsid w:val="5DF78162"/>
    <w:rsid w:val="5DFA7242"/>
    <w:rsid w:val="5DFE3C2B"/>
    <w:rsid w:val="5DFFB329"/>
    <w:rsid w:val="5E1D3FB1"/>
    <w:rsid w:val="5E2A73C0"/>
    <w:rsid w:val="5E3BC077"/>
    <w:rsid w:val="5E4A77C4"/>
    <w:rsid w:val="5E5B1831"/>
    <w:rsid w:val="5E793521"/>
    <w:rsid w:val="5E7F79EF"/>
    <w:rsid w:val="5E8866D7"/>
    <w:rsid w:val="5EB2016C"/>
    <w:rsid w:val="5EB7242C"/>
    <w:rsid w:val="5EBA1FF9"/>
    <w:rsid w:val="5EDBF34C"/>
    <w:rsid w:val="5EDD4722"/>
    <w:rsid w:val="5EDE6DC2"/>
    <w:rsid w:val="5EE3C637"/>
    <w:rsid w:val="5EF3152F"/>
    <w:rsid w:val="5EF5284B"/>
    <w:rsid w:val="5EF76C7E"/>
    <w:rsid w:val="5EFBE8D9"/>
    <w:rsid w:val="5EFCC07A"/>
    <w:rsid w:val="5EFEF3ED"/>
    <w:rsid w:val="5EFF1C82"/>
    <w:rsid w:val="5EFF7BE9"/>
    <w:rsid w:val="5F304531"/>
    <w:rsid w:val="5F309A2C"/>
    <w:rsid w:val="5F370C2B"/>
    <w:rsid w:val="5F39FD8D"/>
    <w:rsid w:val="5F5EBF92"/>
    <w:rsid w:val="5F685B6F"/>
    <w:rsid w:val="5F9676FC"/>
    <w:rsid w:val="5FBE7281"/>
    <w:rsid w:val="5FBFB419"/>
    <w:rsid w:val="5FDB0928"/>
    <w:rsid w:val="5FDFE8AB"/>
    <w:rsid w:val="5FEE4964"/>
    <w:rsid w:val="5FEEF60C"/>
    <w:rsid w:val="5FF54A80"/>
    <w:rsid w:val="5FF6FB1C"/>
    <w:rsid w:val="5FF7A055"/>
    <w:rsid w:val="5FF7A82D"/>
    <w:rsid w:val="5FF7A9D2"/>
    <w:rsid w:val="5FF8EEE2"/>
    <w:rsid w:val="5FF9708D"/>
    <w:rsid w:val="5FFB6BAF"/>
    <w:rsid w:val="5FFDA3EE"/>
    <w:rsid w:val="5FFE17C6"/>
    <w:rsid w:val="5FFE8776"/>
    <w:rsid w:val="5FFFF7B4"/>
    <w:rsid w:val="60234096"/>
    <w:rsid w:val="60806793"/>
    <w:rsid w:val="608250F0"/>
    <w:rsid w:val="60B73276"/>
    <w:rsid w:val="60CF38D6"/>
    <w:rsid w:val="60D373D4"/>
    <w:rsid w:val="60D9003D"/>
    <w:rsid w:val="60F5C22B"/>
    <w:rsid w:val="61616C24"/>
    <w:rsid w:val="617FDA56"/>
    <w:rsid w:val="61CC20BB"/>
    <w:rsid w:val="61F43A44"/>
    <w:rsid w:val="633F6CC7"/>
    <w:rsid w:val="63554566"/>
    <w:rsid w:val="636F12CD"/>
    <w:rsid w:val="63807109"/>
    <w:rsid w:val="63B967CD"/>
    <w:rsid w:val="641F491E"/>
    <w:rsid w:val="647B1F76"/>
    <w:rsid w:val="648C0471"/>
    <w:rsid w:val="64CD316F"/>
    <w:rsid w:val="64DD4813"/>
    <w:rsid w:val="64E11B2C"/>
    <w:rsid w:val="65586590"/>
    <w:rsid w:val="656102B9"/>
    <w:rsid w:val="657C820C"/>
    <w:rsid w:val="659C79D3"/>
    <w:rsid w:val="65B31319"/>
    <w:rsid w:val="65DB0934"/>
    <w:rsid w:val="65DE52DF"/>
    <w:rsid w:val="65DF9500"/>
    <w:rsid w:val="65E747BC"/>
    <w:rsid w:val="65E84C2E"/>
    <w:rsid w:val="65EC0A86"/>
    <w:rsid w:val="65F78D8C"/>
    <w:rsid w:val="65FEF464"/>
    <w:rsid w:val="65FFA1F8"/>
    <w:rsid w:val="65FFE939"/>
    <w:rsid w:val="66044022"/>
    <w:rsid w:val="6656B455"/>
    <w:rsid w:val="66970C6E"/>
    <w:rsid w:val="66B6517E"/>
    <w:rsid w:val="66D022B2"/>
    <w:rsid w:val="66FB3677"/>
    <w:rsid w:val="672F3A41"/>
    <w:rsid w:val="67310E46"/>
    <w:rsid w:val="67530DBD"/>
    <w:rsid w:val="675EF6D4"/>
    <w:rsid w:val="67606591"/>
    <w:rsid w:val="67695C49"/>
    <w:rsid w:val="676F4304"/>
    <w:rsid w:val="679C2918"/>
    <w:rsid w:val="67E61DB3"/>
    <w:rsid w:val="67EF3224"/>
    <w:rsid w:val="67FE857C"/>
    <w:rsid w:val="67FED58C"/>
    <w:rsid w:val="67FF003E"/>
    <w:rsid w:val="67FF4BB5"/>
    <w:rsid w:val="67FFC804"/>
    <w:rsid w:val="68181876"/>
    <w:rsid w:val="681C1AF7"/>
    <w:rsid w:val="684501D4"/>
    <w:rsid w:val="686E411D"/>
    <w:rsid w:val="689F7A80"/>
    <w:rsid w:val="68A85138"/>
    <w:rsid w:val="68E87C2B"/>
    <w:rsid w:val="69146C72"/>
    <w:rsid w:val="6938436E"/>
    <w:rsid w:val="694B03CC"/>
    <w:rsid w:val="694D23DB"/>
    <w:rsid w:val="69512EC3"/>
    <w:rsid w:val="69650304"/>
    <w:rsid w:val="69A41DA4"/>
    <w:rsid w:val="69E10D4A"/>
    <w:rsid w:val="69E91EAC"/>
    <w:rsid w:val="6A275F63"/>
    <w:rsid w:val="6A7A31E5"/>
    <w:rsid w:val="6A962FC7"/>
    <w:rsid w:val="6AA61B4B"/>
    <w:rsid w:val="6AAF0A00"/>
    <w:rsid w:val="6AAFED99"/>
    <w:rsid w:val="6ADE0BE1"/>
    <w:rsid w:val="6AE9C1DA"/>
    <w:rsid w:val="6B436831"/>
    <w:rsid w:val="6B5E5F82"/>
    <w:rsid w:val="6B6E3DC4"/>
    <w:rsid w:val="6B7179B2"/>
    <w:rsid w:val="6B77E2D5"/>
    <w:rsid w:val="6B87963E"/>
    <w:rsid w:val="6BC717E7"/>
    <w:rsid w:val="6BD51137"/>
    <w:rsid w:val="6BDA6921"/>
    <w:rsid w:val="6BE32D97"/>
    <w:rsid w:val="6BF02F3E"/>
    <w:rsid w:val="6BF7B077"/>
    <w:rsid w:val="6BF7EAFA"/>
    <w:rsid w:val="6BFD1422"/>
    <w:rsid w:val="6BFF5620"/>
    <w:rsid w:val="6BFFD4BB"/>
    <w:rsid w:val="6C06536E"/>
    <w:rsid w:val="6C1653F6"/>
    <w:rsid w:val="6C1825D5"/>
    <w:rsid w:val="6C430D4D"/>
    <w:rsid w:val="6C6354DE"/>
    <w:rsid w:val="6C642A0F"/>
    <w:rsid w:val="6C8944FD"/>
    <w:rsid w:val="6CB076BA"/>
    <w:rsid w:val="6CF7BF9B"/>
    <w:rsid w:val="6CFD091F"/>
    <w:rsid w:val="6CFFC3B5"/>
    <w:rsid w:val="6CFFCCC8"/>
    <w:rsid w:val="6D01510D"/>
    <w:rsid w:val="6D1B9328"/>
    <w:rsid w:val="6D50169A"/>
    <w:rsid w:val="6D542483"/>
    <w:rsid w:val="6D6E7872"/>
    <w:rsid w:val="6D73CC41"/>
    <w:rsid w:val="6D77449D"/>
    <w:rsid w:val="6D8E6FF3"/>
    <w:rsid w:val="6DA50DBC"/>
    <w:rsid w:val="6DB5F7F1"/>
    <w:rsid w:val="6DBA2ADD"/>
    <w:rsid w:val="6DDD1263"/>
    <w:rsid w:val="6DEF40CD"/>
    <w:rsid w:val="6DF79EEA"/>
    <w:rsid w:val="6DF8D4BD"/>
    <w:rsid w:val="6DF9AADB"/>
    <w:rsid w:val="6E507920"/>
    <w:rsid w:val="6EBFEB94"/>
    <w:rsid w:val="6ED600D7"/>
    <w:rsid w:val="6ED7301C"/>
    <w:rsid w:val="6EF127BF"/>
    <w:rsid w:val="6EF70BC7"/>
    <w:rsid w:val="6EFBC20E"/>
    <w:rsid w:val="6EFD3EB9"/>
    <w:rsid w:val="6EFE8F88"/>
    <w:rsid w:val="6EFFC37F"/>
    <w:rsid w:val="6F3B17DD"/>
    <w:rsid w:val="6F53462D"/>
    <w:rsid w:val="6F659F86"/>
    <w:rsid w:val="6F71D401"/>
    <w:rsid w:val="6F7796A3"/>
    <w:rsid w:val="6F7F319E"/>
    <w:rsid w:val="6F8E184E"/>
    <w:rsid w:val="6F8F7E74"/>
    <w:rsid w:val="6F9C9B32"/>
    <w:rsid w:val="6FB4E98C"/>
    <w:rsid w:val="6FBD54F7"/>
    <w:rsid w:val="6FBFEC2E"/>
    <w:rsid w:val="6FC71EB2"/>
    <w:rsid w:val="6FCF7FB5"/>
    <w:rsid w:val="6FD41A4D"/>
    <w:rsid w:val="6FD902DD"/>
    <w:rsid w:val="6FDE7331"/>
    <w:rsid w:val="6FE5BAF3"/>
    <w:rsid w:val="6FE7C91E"/>
    <w:rsid w:val="6FF716C9"/>
    <w:rsid w:val="6FF71E06"/>
    <w:rsid w:val="6FF7F514"/>
    <w:rsid w:val="6FFC15B4"/>
    <w:rsid w:val="6FFD4120"/>
    <w:rsid w:val="6FFE0FFC"/>
    <w:rsid w:val="6FFE3253"/>
    <w:rsid w:val="6FFF1619"/>
    <w:rsid w:val="70273498"/>
    <w:rsid w:val="704666B3"/>
    <w:rsid w:val="7076285A"/>
    <w:rsid w:val="708B7819"/>
    <w:rsid w:val="70DE4677"/>
    <w:rsid w:val="70F4632C"/>
    <w:rsid w:val="712D08D1"/>
    <w:rsid w:val="713734FD"/>
    <w:rsid w:val="715615D1"/>
    <w:rsid w:val="71863042"/>
    <w:rsid w:val="718F27F9"/>
    <w:rsid w:val="71AD6475"/>
    <w:rsid w:val="71C542E2"/>
    <w:rsid w:val="71FB6C78"/>
    <w:rsid w:val="71FE8064"/>
    <w:rsid w:val="721FCB48"/>
    <w:rsid w:val="724D0AFE"/>
    <w:rsid w:val="724E022D"/>
    <w:rsid w:val="727BDBB6"/>
    <w:rsid w:val="728275F0"/>
    <w:rsid w:val="72874010"/>
    <w:rsid w:val="72CF0DAC"/>
    <w:rsid w:val="72ED79FB"/>
    <w:rsid w:val="72F2C217"/>
    <w:rsid w:val="72FB5973"/>
    <w:rsid w:val="732D7394"/>
    <w:rsid w:val="732F1389"/>
    <w:rsid w:val="734B3290"/>
    <w:rsid w:val="739EBC35"/>
    <w:rsid w:val="73AFD98D"/>
    <w:rsid w:val="73BB6BF6"/>
    <w:rsid w:val="73BF8F93"/>
    <w:rsid w:val="73BFDBC7"/>
    <w:rsid w:val="73BFEBE8"/>
    <w:rsid w:val="73CA6F92"/>
    <w:rsid w:val="73DF29A0"/>
    <w:rsid w:val="73E55634"/>
    <w:rsid w:val="73E99824"/>
    <w:rsid w:val="73EFF69A"/>
    <w:rsid w:val="73F32AB8"/>
    <w:rsid w:val="73FCC3F3"/>
    <w:rsid w:val="73FF1F09"/>
    <w:rsid w:val="73FFA5BE"/>
    <w:rsid w:val="740022CC"/>
    <w:rsid w:val="740A6CA7"/>
    <w:rsid w:val="741811A2"/>
    <w:rsid w:val="741B741F"/>
    <w:rsid w:val="743073BB"/>
    <w:rsid w:val="744EA2DA"/>
    <w:rsid w:val="74512859"/>
    <w:rsid w:val="745B3E5A"/>
    <w:rsid w:val="745E6FF3"/>
    <w:rsid w:val="74822495"/>
    <w:rsid w:val="74A97F74"/>
    <w:rsid w:val="74EDFC71"/>
    <w:rsid w:val="74F86FE9"/>
    <w:rsid w:val="751A2D35"/>
    <w:rsid w:val="752124FA"/>
    <w:rsid w:val="75472BD8"/>
    <w:rsid w:val="7562642D"/>
    <w:rsid w:val="7564619A"/>
    <w:rsid w:val="7573229C"/>
    <w:rsid w:val="7586413F"/>
    <w:rsid w:val="75B2D8F4"/>
    <w:rsid w:val="75C57F15"/>
    <w:rsid w:val="75CB38EE"/>
    <w:rsid w:val="75CB71F4"/>
    <w:rsid w:val="75CB9CA2"/>
    <w:rsid w:val="75CF66C2"/>
    <w:rsid w:val="75DA7361"/>
    <w:rsid w:val="75DFCDD0"/>
    <w:rsid w:val="75E7EC3E"/>
    <w:rsid w:val="75ED4C81"/>
    <w:rsid w:val="75EE106A"/>
    <w:rsid w:val="75FB87B9"/>
    <w:rsid w:val="75FE714E"/>
    <w:rsid w:val="76167E51"/>
    <w:rsid w:val="761E3114"/>
    <w:rsid w:val="766A37A5"/>
    <w:rsid w:val="767F2E8B"/>
    <w:rsid w:val="769B008A"/>
    <w:rsid w:val="76B25E58"/>
    <w:rsid w:val="76B7A01E"/>
    <w:rsid w:val="76C41C51"/>
    <w:rsid w:val="76CB4684"/>
    <w:rsid w:val="76D73466"/>
    <w:rsid w:val="76ED63DC"/>
    <w:rsid w:val="76EDFEA8"/>
    <w:rsid w:val="76EFA86B"/>
    <w:rsid w:val="76FBE0A6"/>
    <w:rsid w:val="76FEB519"/>
    <w:rsid w:val="77096DEB"/>
    <w:rsid w:val="77120D81"/>
    <w:rsid w:val="773B6E94"/>
    <w:rsid w:val="773F416B"/>
    <w:rsid w:val="773FC2B4"/>
    <w:rsid w:val="774F1A39"/>
    <w:rsid w:val="775B3436"/>
    <w:rsid w:val="775FA697"/>
    <w:rsid w:val="7767697B"/>
    <w:rsid w:val="7774FCA3"/>
    <w:rsid w:val="777E1C13"/>
    <w:rsid w:val="777E241C"/>
    <w:rsid w:val="777FAAE5"/>
    <w:rsid w:val="777FE2C2"/>
    <w:rsid w:val="77BEFEDF"/>
    <w:rsid w:val="77BF0C56"/>
    <w:rsid w:val="77BF2C6C"/>
    <w:rsid w:val="77BF4469"/>
    <w:rsid w:val="77BF6CA4"/>
    <w:rsid w:val="77C9104E"/>
    <w:rsid w:val="77D3B109"/>
    <w:rsid w:val="77DA9E1C"/>
    <w:rsid w:val="77DF0902"/>
    <w:rsid w:val="77E37F3B"/>
    <w:rsid w:val="77EBC94C"/>
    <w:rsid w:val="77EC7166"/>
    <w:rsid w:val="77EED284"/>
    <w:rsid w:val="77F3F99A"/>
    <w:rsid w:val="77F7B6A1"/>
    <w:rsid w:val="77FB3794"/>
    <w:rsid w:val="77FB69F2"/>
    <w:rsid w:val="77FC1973"/>
    <w:rsid w:val="77FF2E5D"/>
    <w:rsid w:val="77FF536B"/>
    <w:rsid w:val="77FF6BD3"/>
    <w:rsid w:val="77FF73FE"/>
    <w:rsid w:val="77FF8DE4"/>
    <w:rsid w:val="77FF96DC"/>
    <w:rsid w:val="77FF98D9"/>
    <w:rsid w:val="77FFD07D"/>
    <w:rsid w:val="7800416F"/>
    <w:rsid w:val="780879A1"/>
    <w:rsid w:val="780E2ADE"/>
    <w:rsid w:val="783FA804"/>
    <w:rsid w:val="787E7C64"/>
    <w:rsid w:val="78DB50B6"/>
    <w:rsid w:val="78E751EF"/>
    <w:rsid w:val="795A4F5B"/>
    <w:rsid w:val="797F5239"/>
    <w:rsid w:val="79844E2D"/>
    <w:rsid w:val="7984574E"/>
    <w:rsid w:val="79B47801"/>
    <w:rsid w:val="79B78C19"/>
    <w:rsid w:val="79CB802B"/>
    <w:rsid w:val="79DD1813"/>
    <w:rsid w:val="79EBF865"/>
    <w:rsid w:val="79FF7B0D"/>
    <w:rsid w:val="79FF93FE"/>
    <w:rsid w:val="7A143D54"/>
    <w:rsid w:val="7A3C112A"/>
    <w:rsid w:val="7A403276"/>
    <w:rsid w:val="7A4A60C9"/>
    <w:rsid w:val="7A6C338B"/>
    <w:rsid w:val="7A71A7FD"/>
    <w:rsid w:val="7A904BDB"/>
    <w:rsid w:val="7A97FF58"/>
    <w:rsid w:val="7ADC9D1C"/>
    <w:rsid w:val="7AF30C9D"/>
    <w:rsid w:val="7AF70606"/>
    <w:rsid w:val="7AF7D67B"/>
    <w:rsid w:val="7AFBDED6"/>
    <w:rsid w:val="7AFE0FCA"/>
    <w:rsid w:val="7B0A1C83"/>
    <w:rsid w:val="7B1228E5"/>
    <w:rsid w:val="7B4307D3"/>
    <w:rsid w:val="7B4F838D"/>
    <w:rsid w:val="7B5D00BF"/>
    <w:rsid w:val="7B6018A2"/>
    <w:rsid w:val="7B6BB10C"/>
    <w:rsid w:val="7B6F5563"/>
    <w:rsid w:val="7B77A0CF"/>
    <w:rsid w:val="7B77F2FD"/>
    <w:rsid w:val="7B77F8E5"/>
    <w:rsid w:val="7B7E6EAB"/>
    <w:rsid w:val="7B7ED2FE"/>
    <w:rsid w:val="7B9A2410"/>
    <w:rsid w:val="7B9FA5D8"/>
    <w:rsid w:val="7BBB5E34"/>
    <w:rsid w:val="7BBFA92F"/>
    <w:rsid w:val="7BC7C2B2"/>
    <w:rsid w:val="7BCDC113"/>
    <w:rsid w:val="7BD298ED"/>
    <w:rsid w:val="7BD32125"/>
    <w:rsid w:val="7BDB155B"/>
    <w:rsid w:val="7BDC4B24"/>
    <w:rsid w:val="7BDDE200"/>
    <w:rsid w:val="7BE74C94"/>
    <w:rsid w:val="7BE8B7E0"/>
    <w:rsid w:val="7BEB16FC"/>
    <w:rsid w:val="7BEFBC60"/>
    <w:rsid w:val="7BF5878C"/>
    <w:rsid w:val="7BF5E51E"/>
    <w:rsid w:val="7BF74946"/>
    <w:rsid w:val="7BF85915"/>
    <w:rsid w:val="7BFEB61B"/>
    <w:rsid w:val="7BFF3C4B"/>
    <w:rsid w:val="7BFFE1E3"/>
    <w:rsid w:val="7C1F52BA"/>
    <w:rsid w:val="7C3DCC41"/>
    <w:rsid w:val="7C6E6434"/>
    <w:rsid w:val="7C993570"/>
    <w:rsid w:val="7C9DD399"/>
    <w:rsid w:val="7CA02EEA"/>
    <w:rsid w:val="7CA144D9"/>
    <w:rsid w:val="7CE34539"/>
    <w:rsid w:val="7CE37221"/>
    <w:rsid w:val="7CE7B5D6"/>
    <w:rsid w:val="7CEC1640"/>
    <w:rsid w:val="7CF37388"/>
    <w:rsid w:val="7CFA7567"/>
    <w:rsid w:val="7CFAD471"/>
    <w:rsid w:val="7CFC9292"/>
    <w:rsid w:val="7CFCE577"/>
    <w:rsid w:val="7CFE1B60"/>
    <w:rsid w:val="7D2FD223"/>
    <w:rsid w:val="7D3950B2"/>
    <w:rsid w:val="7D5D42EC"/>
    <w:rsid w:val="7D696218"/>
    <w:rsid w:val="7D6E0348"/>
    <w:rsid w:val="7D732DDD"/>
    <w:rsid w:val="7D79528C"/>
    <w:rsid w:val="7D7E1CC4"/>
    <w:rsid w:val="7D7F35B0"/>
    <w:rsid w:val="7D7F7B08"/>
    <w:rsid w:val="7D895962"/>
    <w:rsid w:val="7D9730E6"/>
    <w:rsid w:val="7DA55C93"/>
    <w:rsid w:val="7DAF073E"/>
    <w:rsid w:val="7DB14637"/>
    <w:rsid w:val="7DB7C70A"/>
    <w:rsid w:val="7DBA4278"/>
    <w:rsid w:val="7DBF991A"/>
    <w:rsid w:val="7DC6D82A"/>
    <w:rsid w:val="7DD01630"/>
    <w:rsid w:val="7DDB197B"/>
    <w:rsid w:val="7DDB3FF1"/>
    <w:rsid w:val="7DDDE4C2"/>
    <w:rsid w:val="7DDDEA04"/>
    <w:rsid w:val="7DDF2B9D"/>
    <w:rsid w:val="7DDF54C6"/>
    <w:rsid w:val="7DDFBB82"/>
    <w:rsid w:val="7DEEADF7"/>
    <w:rsid w:val="7DEF083D"/>
    <w:rsid w:val="7DEF1F47"/>
    <w:rsid w:val="7DEFBCBE"/>
    <w:rsid w:val="7DEFC657"/>
    <w:rsid w:val="7DF6689E"/>
    <w:rsid w:val="7DF7FC2B"/>
    <w:rsid w:val="7DFBE697"/>
    <w:rsid w:val="7DFD5F34"/>
    <w:rsid w:val="7DFDDCC0"/>
    <w:rsid w:val="7DFE2F0F"/>
    <w:rsid w:val="7E2B1B1F"/>
    <w:rsid w:val="7E4435A0"/>
    <w:rsid w:val="7E47CD03"/>
    <w:rsid w:val="7E4B45BB"/>
    <w:rsid w:val="7E5C0A47"/>
    <w:rsid w:val="7E5FC005"/>
    <w:rsid w:val="7E6B99FE"/>
    <w:rsid w:val="7E76C969"/>
    <w:rsid w:val="7E7AE341"/>
    <w:rsid w:val="7E7FE21D"/>
    <w:rsid w:val="7E916D01"/>
    <w:rsid w:val="7EAFF8B5"/>
    <w:rsid w:val="7EB2B236"/>
    <w:rsid w:val="7EBC11EA"/>
    <w:rsid w:val="7EBE5878"/>
    <w:rsid w:val="7ED9541D"/>
    <w:rsid w:val="7EDD1C07"/>
    <w:rsid w:val="7EDF7E6F"/>
    <w:rsid w:val="7EE32EEC"/>
    <w:rsid w:val="7EE71208"/>
    <w:rsid w:val="7EE9456A"/>
    <w:rsid w:val="7EEDAB0F"/>
    <w:rsid w:val="7EEEA49A"/>
    <w:rsid w:val="7EEEBE07"/>
    <w:rsid w:val="7EF99FF1"/>
    <w:rsid w:val="7EFA5A26"/>
    <w:rsid w:val="7EFB487E"/>
    <w:rsid w:val="7EFC857F"/>
    <w:rsid w:val="7EFD6A88"/>
    <w:rsid w:val="7EFF019F"/>
    <w:rsid w:val="7EFF50EB"/>
    <w:rsid w:val="7EFF5ED2"/>
    <w:rsid w:val="7EFFE722"/>
    <w:rsid w:val="7F0F08A0"/>
    <w:rsid w:val="7F37422C"/>
    <w:rsid w:val="7F37B6C6"/>
    <w:rsid w:val="7F4FE693"/>
    <w:rsid w:val="7F52B9EE"/>
    <w:rsid w:val="7F570B34"/>
    <w:rsid w:val="7F5E35AF"/>
    <w:rsid w:val="7F5E413C"/>
    <w:rsid w:val="7F6E4D68"/>
    <w:rsid w:val="7F6F6558"/>
    <w:rsid w:val="7F6FD8A4"/>
    <w:rsid w:val="7F795B47"/>
    <w:rsid w:val="7F7EFBC9"/>
    <w:rsid w:val="7F7F4C63"/>
    <w:rsid w:val="7F7F88FE"/>
    <w:rsid w:val="7F9450B2"/>
    <w:rsid w:val="7F9B6B55"/>
    <w:rsid w:val="7F9E9DD4"/>
    <w:rsid w:val="7FA1470A"/>
    <w:rsid w:val="7FA38CEE"/>
    <w:rsid w:val="7FA6617A"/>
    <w:rsid w:val="7FA73F44"/>
    <w:rsid w:val="7FA7C4F9"/>
    <w:rsid w:val="7FA932EE"/>
    <w:rsid w:val="7FABC639"/>
    <w:rsid w:val="7FAD9DD0"/>
    <w:rsid w:val="7FAF17A5"/>
    <w:rsid w:val="7FAF8AFF"/>
    <w:rsid w:val="7FB2CBDF"/>
    <w:rsid w:val="7FB30E7D"/>
    <w:rsid w:val="7FB47158"/>
    <w:rsid w:val="7FB6A613"/>
    <w:rsid w:val="7FB79512"/>
    <w:rsid w:val="7FBC335E"/>
    <w:rsid w:val="7FBC5AFD"/>
    <w:rsid w:val="7FBD1317"/>
    <w:rsid w:val="7FBE3A7A"/>
    <w:rsid w:val="7FBEDAF6"/>
    <w:rsid w:val="7FBF37F2"/>
    <w:rsid w:val="7FBF790E"/>
    <w:rsid w:val="7FBF7DC2"/>
    <w:rsid w:val="7FBF8B21"/>
    <w:rsid w:val="7FBFA282"/>
    <w:rsid w:val="7FBFEB69"/>
    <w:rsid w:val="7FC0448B"/>
    <w:rsid w:val="7FC9169B"/>
    <w:rsid w:val="7FCBE30D"/>
    <w:rsid w:val="7FD713CC"/>
    <w:rsid w:val="7FD9127F"/>
    <w:rsid w:val="7FDAC39C"/>
    <w:rsid w:val="7FDB945F"/>
    <w:rsid w:val="7FDCADA8"/>
    <w:rsid w:val="7FDD70DE"/>
    <w:rsid w:val="7FDE127E"/>
    <w:rsid w:val="7FDE2061"/>
    <w:rsid w:val="7FDE354E"/>
    <w:rsid w:val="7FDF40D7"/>
    <w:rsid w:val="7FDF9342"/>
    <w:rsid w:val="7FE77CC4"/>
    <w:rsid w:val="7FEB85CC"/>
    <w:rsid w:val="7FEF1DEB"/>
    <w:rsid w:val="7FEFBBEE"/>
    <w:rsid w:val="7FEFF6AD"/>
    <w:rsid w:val="7FF070ED"/>
    <w:rsid w:val="7FF453DC"/>
    <w:rsid w:val="7FF53FC6"/>
    <w:rsid w:val="7FF701E9"/>
    <w:rsid w:val="7FF72FF4"/>
    <w:rsid w:val="7FF73220"/>
    <w:rsid w:val="7FF88170"/>
    <w:rsid w:val="7FFB0636"/>
    <w:rsid w:val="7FFB51BE"/>
    <w:rsid w:val="7FFB6A91"/>
    <w:rsid w:val="7FFBA9B5"/>
    <w:rsid w:val="7FFCB6FC"/>
    <w:rsid w:val="7FFD320A"/>
    <w:rsid w:val="7FFF0A39"/>
    <w:rsid w:val="7FFF18DF"/>
    <w:rsid w:val="7FFFA237"/>
    <w:rsid w:val="7FFFA720"/>
    <w:rsid w:val="7FFFA8F0"/>
    <w:rsid w:val="7FFFB070"/>
    <w:rsid w:val="7FFFB9C6"/>
    <w:rsid w:val="7FFFC681"/>
    <w:rsid w:val="81F18177"/>
    <w:rsid w:val="84F3EEA4"/>
    <w:rsid w:val="857DCA8C"/>
    <w:rsid w:val="873D52FC"/>
    <w:rsid w:val="8B9F340F"/>
    <w:rsid w:val="8F7B6424"/>
    <w:rsid w:val="8FBF9EA4"/>
    <w:rsid w:val="8FED7B60"/>
    <w:rsid w:val="8FFD0918"/>
    <w:rsid w:val="93BB7998"/>
    <w:rsid w:val="93FE2EBD"/>
    <w:rsid w:val="957D9633"/>
    <w:rsid w:val="96DB80FD"/>
    <w:rsid w:val="96DD27EB"/>
    <w:rsid w:val="979FAAD5"/>
    <w:rsid w:val="97D863FB"/>
    <w:rsid w:val="99BD9882"/>
    <w:rsid w:val="99D77A41"/>
    <w:rsid w:val="9AFAD547"/>
    <w:rsid w:val="9B6D7D98"/>
    <w:rsid w:val="9B9FF190"/>
    <w:rsid w:val="9BE7DD3E"/>
    <w:rsid w:val="9BFE5D1B"/>
    <w:rsid w:val="9C2D62C5"/>
    <w:rsid w:val="9CDF4B66"/>
    <w:rsid w:val="9CF9F38E"/>
    <w:rsid w:val="9D77CC9D"/>
    <w:rsid w:val="9D7DE465"/>
    <w:rsid w:val="9E3F2FA2"/>
    <w:rsid w:val="9EE22732"/>
    <w:rsid w:val="9EEB06CE"/>
    <w:rsid w:val="9F1BCEB1"/>
    <w:rsid w:val="9F4584B1"/>
    <w:rsid w:val="9F5F0D2C"/>
    <w:rsid w:val="9FBB84DA"/>
    <w:rsid w:val="9FBF2280"/>
    <w:rsid w:val="9FBF7360"/>
    <w:rsid w:val="9FD3D22D"/>
    <w:rsid w:val="9FD50814"/>
    <w:rsid w:val="9FDB011C"/>
    <w:rsid w:val="9FDF2FDD"/>
    <w:rsid w:val="9FDFA43C"/>
    <w:rsid w:val="9FFEBA99"/>
    <w:rsid w:val="9FFF3D56"/>
    <w:rsid w:val="9FFF4D92"/>
    <w:rsid w:val="A3E70971"/>
    <w:rsid w:val="A5EEFEF4"/>
    <w:rsid w:val="A5F8D4B3"/>
    <w:rsid w:val="A67FA771"/>
    <w:rsid w:val="A73D0DD5"/>
    <w:rsid w:val="A77A9539"/>
    <w:rsid w:val="A9538121"/>
    <w:rsid w:val="A99B7769"/>
    <w:rsid w:val="AAF784E8"/>
    <w:rsid w:val="AB9E912C"/>
    <w:rsid w:val="ABAF73A5"/>
    <w:rsid w:val="ABDA6FCB"/>
    <w:rsid w:val="ABF7CADC"/>
    <w:rsid w:val="ABFF9C7C"/>
    <w:rsid w:val="ACFA3339"/>
    <w:rsid w:val="ADCFA514"/>
    <w:rsid w:val="ADF49482"/>
    <w:rsid w:val="AE7F4CDB"/>
    <w:rsid w:val="AEFBEDE2"/>
    <w:rsid w:val="AF772FC8"/>
    <w:rsid w:val="AFD72315"/>
    <w:rsid w:val="AFF5F097"/>
    <w:rsid w:val="AFF67AA9"/>
    <w:rsid w:val="AFF7527D"/>
    <w:rsid w:val="AFFF6D2D"/>
    <w:rsid w:val="AFFFA1A6"/>
    <w:rsid w:val="B0FFBD90"/>
    <w:rsid w:val="B17B764D"/>
    <w:rsid w:val="B37FD117"/>
    <w:rsid w:val="B3DCEFF3"/>
    <w:rsid w:val="B3F763FD"/>
    <w:rsid w:val="B3FB50B9"/>
    <w:rsid w:val="B5EEA583"/>
    <w:rsid w:val="B675F493"/>
    <w:rsid w:val="B6D5EC63"/>
    <w:rsid w:val="B6DD05AB"/>
    <w:rsid w:val="B6EACFCF"/>
    <w:rsid w:val="B6EC7BC0"/>
    <w:rsid w:val="B777AE16"/>
    <w:rsid w:val="B77DCC5C"/>
    <w:rsid w:val="B7BB8F72"/>
    <w:rsid w:val="B7DF047F"/>
    <w:rsid w:val="B7DF5616"/>
    <w:rsid w:val="B7DF7816"/>
    <w:rsid w:val="B7FA3634"/>
    <w:rsid w:val="B7FE8F0F"/>
    <w:rsid w:val="B991A51D"/>
    <w:rsid w:val="B9FF6ADC"/>
    <w:rsid w:val="BA7B7903"/>
    <w:rsid w:val="BABFFD34"/>
    <w:rsid w:val="BB1F1F20"/>
    <w:rsid w:val="BB2E45B1"/>
    <w:rsid w:val="BBAFBAB2"/>
    <w:rsid w:val="BBCECFDB"/>
    <w:rsid w:val="BBE9D1DD"/>
    <w:rsid w:val="BBF32364"/>
    <w:rsid w:val="BBF76797"/>
    <w:rsid w:val="BBF7E0D8"/>
    <w:rsid w:val="BBFF131C"/>
    <w:rsid w:val="BC5D25E6"/>
    <w:rsid w:val="BC7FDC1C"/>
    <w:rsid w:val="BCB73D11"/>
    <w:rsid w:val="BD1F5AE9"/>
    <w:rsid w:val="BD57B2B1"/>
    <w:rsid w:val="BD6F761E"/>
    <w:rsid w:val="BD772A0D"/>
    <w:rsid w:val="BD79F644"/>
    <w:rsid w:val="BD7F4132"/>
    <w:rsid w:val="BD7FD17A"/>
    <w:rsid w:val="BDAEE636"/>
    <w:rsid w:val="BDBE6A84"/>
    <w:rsid w:val="BDCF7ADE"/>
    <w:rsid w:val="BDEE245C"/>
    <w:rsid w:val="BDF8F479"/>
    <w:rsid w:val="BEDE61D9"/>
    <w:rsid w:val="BEECC0F3"/>
    <w:rsid w:val="BEEF69F5"/>
    <w:rsid w:val="BEFE7628"/>
    <w:rsid w:val="BF038994"/>
    <w:rsid w:val="BF17D58A"/>
    <w:rsid w:val="BF5FC9D0"/>
    <w:rsid w:val="BF7E5043"/>
    <w:rsid w:val="BFADC2A3"/>
    <w:rsid w:val="BFB761DD"/>
    <w:rsid w:val="BFBB5141"/>
    <w:rsid w:val="BFBF242B"/>
    <w:rsid w:val="BFBFA5EB"/>
    <w:rsid w:val="BFBFE6FC"/>
    <w:rsid w:val="BFCFBB5F"/>
    <w:rsid w:val="BFDA8798"/>
    <w:rsid w:val="BFDB645D"/>
    <w:rsid w:val="BFDDF50E"/>
    <w:rsid w:val="BFDE6F09"/>
    <w:rsid w:val="BFDFAA72"/>
    <w:rsid w:val="BFF26A67"/>
    <w:rsid w:val="BFF7C717"/>
    <w:rsid w:val="BFFE5023"/>
    <w:rsid w:val="BFFE6AEF"/>
    <w:rsid w:val="BFFF46C4"/>
    <w:rsid w:val="BFFF97C2"/>
    <w:rsid w:val="BFFFFA17"/>
    <w:rsid w:val="C3BDB63E"/>
    <w:rsid w:val="C3FE7E1D"/>
    <w:rsid w:val="C5AC0AC5"/>
    <w:rsid w:val="C6473A2D"/>
    <w:rsid w:val="C7FB8E09"/>
    <w:rsid w:val="C8FB5839"/>
    <w:rsid w:val="CBFE3D58"/>
    <w:rsid w:val="CBFEFB0C"/>
    <w:rsid w:val="CC8BBDE1"/>
    <w:rsid w:val="CCEC791A"/>
    <w:rsid w:val="CDF16012"/>
    <w:rsid w:val="CDF7C6F7"/>
    <w:rsid w:val="CDFFB12E"/>
    <w:rsid w:val="CEAD47A0"/>
    <w:rsid w:val="CED750DF"/>
    <w:rsid w:val="CEEB128B"/>
    <w:rsid w:val="CEF0588F"/>
    <w:rsid w:val="CF3FC383"/>
    <w:rsid w:val="CF57DF9C"/>
    <w:rsid w:val="CF6F24A8"/>
    <w:rsid w:val="CF78EB40"/>
    <w:rsid w:val="CF7C7D31"/>
    <w:rsid w:val="CF7FFFB3"/>
    <w:rsid w:val="CFAF0E91"/>
    <w:rsid w:val="CFBF1DE7"/>
    <w:rsid w:val="CFE7C8E0"/>
    <w:rsid w:val="CFF810C0"/>
    <w:rsid w:val="CFFCF7C1"/>
    <w:rsid w:val="D1EAE632"/>
    <w:rsid w:val="D2F3BC68"/>
    <w:rsid w:val="D3E8E1CA"/>
    <w:rsid w:val="D45F4EA7"/>
    <w:rsid w:val="D5B04E10"/>
    <w:rsid w:val="D5BDA60A"/>
    <w:rsid w:val="D5FA850E"/>
    <w:rsid w:val="D6C66085"/>
    <w:rsid w:val="D769096E"/>
    <w:rsid w:val="D777B513"/>
    <w:rsid w:val="D77FEC1C"/>
    <w:rsid w:val="D7F7DD0A"/>
    <w:rsid w:val="D8722C93"/>
    <w:rsid w:val="D8B34ED6"/>
    <w:rsid w:val="D8B72C8C"/>
    <w:rsid w:val="D8BDF9FC"/>
    <w:rsid w:val="D8DE3529"/>
    <w:rsid w:val="D99E49C3"/>
    <w:rsid w:val="D9C799A9"/>
    <w:rsid w:val="D9CE0B12"/>
    <w:rsid w:val="D9E980CB"/>
    <w:rsid w:val="D9FFB7BB"/>
    <w:rsid w:val="DA595172"/>
    <w:rsid w:val="DA7D9AD0"/>
    <w:rsid w:val="DAB92CC4"/>
    <w:rsid w:val="DACCC658"/>
    <w:rsid w:val="DAEE91DF"/>
    <w:rsid w:val="DAEF8942"/>
    <w:rsid w:val="DAFFEF29"/>
    <w:rsid w:val="DB3B70C9"/>
    <w:rsid w:val="DB67C22D"/>
    <w:rsid w:val="DB7B533E"/>
    <w:rsid w:val="DB7EAF06"/>
    <w:rsid w:val="DBA34696"/>
    <w:rsid w:val="DBF8E8B2"/>
    <w:rsid w:val="DBFAF001"/>
    <w:rsid w:val="DBFF2ED8"/>
    <w:rsid w:val="DD7F6851"/>
    <w:rsid w:val="DD9FD5B5"/>
    <w:rsid w:val="DDB4B099"/>
    <w:rsid w:val="DDDFBEB5"/>
    <w:rsid w:val="DDEF68B4"/>
    <w:rsid w:val="DDF160E4"/>
    <w:rsid w:val="DDFF6C41"/>
    <w:rsid w:val="DDFFC5DE"/>
    <w:rsid w:val="DE1F4019"/>
    <w:rsid w:val="DE7927F5"/>
    <w:rsid w:val="DEBB921B"/>
    <w:rsid w:val="DED575A0"/>
    <w:rsid w:val="DEDAB6FD"/>
    <w:rsid w:val="DEECBB00"/>
    <w:rsid w:val="DEF35BCA"/>
    <w:rsid w:val="DEFD52A1"/>
    <w:rsid w:val="DEFF7FDF"/>
    <w:rsid w:val="DF2F3FF3"/>
    <w:rsid w:val="DF340EEB"/>
    <w:rsid w:val="DF5FE7E6"/>
    <w:rsid w:val="DF6EB2C5"/>
    <w:rsid w:val="DF7BA1A6"/>
    <w:rsid w:val="DF7FCA58"/>
    <w:rsid w:val="DF7FCB2E"/>
    <w:rsid w:val="DFBBD018"/>
    <w:rsid w:val="DFBD1562"/>
    <w:rsid w:val="DFBE513D"/>
    <w:rsid w:val="DFD7016D"/>
    <w:rsid w:val="DFD76A57"/>
    <w:rsid w:val="DFED50A2"/>
    <w:rsid w:val="DFEEABDF"/>
    <w:rsid w:val="DFEECAEF"/>
    <w:rsid w:val="DFEF1307"/>
    <w:rsid w:val="DFEF2AAB"/>
    <w:rsid w:val="DFF1E483"/>
    <w:rsid w:val="DFF4F857"/>
    <w:rsid w:val="DFF5AD9A"/>
    <w:rsid w:val="DFF7A57B"/>
    <w:rsid w:val="DFF9A860"/>
    <w:rsid w:val="DFFF8F42"/>
    <w:rsid w:val="DFFFBA83"/>
    <w:rsid w:val="DFFFBDC4"/>
    <w:rsid w:val="DFFFC6EA"/>
    <w:rsid w:val="DFFFE7C0"/>
    <w:rsid w:val="E2D587DA"/>
    <w:rsid w:val="E31F42E7"/>
    <w:rsid w:val="E32E06BB"/>
    <w:rsid w:val="E387722D"/>
    <w:rsid w:val="E3BE5050"/>
    <w:rsid w:val="E3BFA3CA"/>
    <w:rsid w:val="E3D74D1A"/>
    <w:rsid w:val="E3FDD47D"/>
    <w:rsid w:val="E3FF18E8"/>
    <w:rsid w:val="E47FEA9F"/>
    <w:rsid w:val="E4FEF684"/>
    <w:rsid w:val="E553B31D"/>
    <w:rsid w:val="E59C0E56"/>
    <w:rsid w:val="E5FFAD4B"/>
    <w:rsid w:val="E5FFD260"/>
    <w:rsid w:val="E74B0F27"/>
    <w:rsid w:val="E75E182F"/>
    <w:rsid w:val="E79ACF5B"/>
    <w:rsid w:val="E7AA5B5A"/>
    <w:rsid w:val="E7B06A65"/>
    <w:rsid w:val="E7BE4A86"/>
    <w:rsid w:val="E7BF0E98"/>
    <w:rsid w:val="E7FDAF71"/>
    <w:rsid w:val="E7FFFB1C"/>
    <w:rsid w:val="E8BB7206"/>
    <w:rsid w:val="E9C71B84"/>
    <w:rsid w:val="E9FE1418"/>
    <w:rsid w:val="E9FF6880"/>
    <w:rsid w:val="EAEEC950"/>
    <w:rsid w:val="EB7B27EF"/>
    <w:rsid w:val="EBCAF011"/>
    <w:rsid w:val="EBCF2E2D"/>
    <w:rsid w:val="EBDFB219"/>
    <w:rsid w:val="EBF36459"/>
    <w:rsid w:val="EBF7F591"/>
    <w:rsid w:val="EBFC93BB"/>
    <w:rsid w:val="EC3F55C1"/>
    <w:rsid w:val="EC5ED107"/>
    <w:rsid w:val="EC6B5CA0"/>
    <w:rsid w:val="ECADA1C7"/>
    <w:rsid w:val="ECBF9672"/>
    <w:rsid w:val="ECCFD51D"/>
    <w:rsid w:val="ECDF8682"/>
    <w:rsid w:val="ECEDEB38"/>
    <w:rsid w:val="ED4FDBB6"/>
    <w:rsid w:val="ED7F6544"/>
    <w:rsid w:val="EDEBF818"/>
    <w:rsid w:val="EDEC4F9E"/>
    <w:rsid w:val="EDFD0151"/>
    <w:rsid w:val="EDFE0E96"/>
    <w:rsid w:val="EDFF3F2D"/>
    <w:rsid w:val="EE5F0BD7"/>
    <w:rsid w:val="EE73EBDF"/>
    <w:rsid w:val="EE7759B6"/>
    <w:rsid w:val="EE7D49C7"/>
    <w:rsid w:val="EE7D761B"/>
    <w:rsid w:val="EE7F9335"/>
    <w:rsid w:val="EEBD69DE"/>
    <w:rsid w:val="EEEA9F01"/>
    <w:rsid w:val="EEED24C7"/>
    <w:rsid w:val="EEEEBEA1"/>
    <w:rsid w:val="EEF344FE"/>
    <w:rsid w:val="EEF59491"/>
    <w:rsid w:val="EEFBBDF6"/>
    <w:rsid w:val="EEFBC13C"/>
    <w:rsid w:val="EF3BDF7C"/>
    <w:rsid w:val="EF3E0208"/>
    <w:rsid w:val="EF597FE4"/>
    <w:rsid w:val="EF5F87D5"/>
    <w:rsid w:val="EF5FFFC3"/>
    <w:rsid w:val="EF7BC6B7"/>
    <w:rsid w:val="EF7F047C"/>
    <w:rsid w:val="EF99C2BB"/>
    <w:rsid w:val="EFCE905A"/>
    <w:rsid w:val="EFCF551F"/>
    <w:rsid w:val="EFD22AB1"/>
    <w:rsid w:val="EFD5C645"/>
    <w:rsid w:val="EFD7DBEB"/>
    <w:rsid w:val="EFDC3271"/>
    <w:rsid w:val="EFDD0567"/>
    <w:rsid w:val="EFDE5457"/>
    <w:rsid w:val="EFEF0728"/>
    <w:rsid w:val="EFEF2AA3"/>
    <w:rsid w:val="EFF59DA7"/>
    <w:rsid w:val="EFF5ED34"/>
    <w:rsid w:val="EFF7230F"/>
    <w:rsid w:val="EFF7624A"/>
    <w:rsid w:val="EFFB0E03"/>
    <w:rsid w:val="EFFB0F67"/>
    <w:rsid w:val="EFFBADC9"/>
    <w:rsid w:val="EFFD087D"/>
    <w:rsid w:val="EFFF198F"/>
    <w:rsid w:val="EFFF923B"/>
    <w:rsid w:val="EFFFBB1F"/>
    <w:rsid w:val="EFFFD1B5"/>
    <w:rsid w:val="F0E7FFA8"/>
    <w:rsid w:val="F0E97D8B"/>
    <w:rsid w:val="F1332741"/>
    <w:rsid w:val="F15A00B4"/>
    <w:rsid w:val="F2778ABC"/>
    <w:rsid w:val="F27DA92F"/>
    <w:rsid w:val="F2DD75B2"/>
    <w:rsid w:val="F35F651E"/>
    <w:rsid w:val="F375DF47"/>
    <w:rsid w:val="F3BD0F6A"/>
    <w:rsid w:val="F3BF09FF"/>
    <w:rsid w:val="F3EB3B85"/>
    <w:rsid w:val="F3F379BA"/>
    <w:rsid w:val="F3F96835"/>
    <w:rsid w:val="F3FD34E8"/>
    <w:rsid w:val="F3FF7C7F"/>
    <w:rsid w:val="F4F5E0BF"/>
    <w:rsid w:val="F4FF0120"/>
    <w:rsid w:val="F53FFD93"/>
    <w:rsid w:val="F57E11BD"/>
    <w:rsid w:val="F57F8151"/>
    <w:rsid w:val="F5B7BF95"/>
    <w:rsid w:val="F5BB617B"/>
    <w:rsid w:val="F5BFC447"/>
    <w:rsid w:val="F5CE2975"/>
    <w:rsid w:val="F5EA5F8E"/>
    <w:rsid w:val="F5F23960"/>
    <w:rsid w:val="F5FDCC4F"/>
    <w:rsid w:val="F5FF76FA"/>
    <w:rsid w:val="F60BFEBF"/>
    <w:rsid w:val="F67B0000"/>
    <w:rsid w:val="F67F2D6B"/>
    <w:rsid w:val="F6AE12A4"/>
    <w:rsid w:val="F6BF3B09"/>
    <w:rsid w:val="F6CBEFDC"/>
    <w:rsid w:val="F6CED197"/>
    <w:rsid w:val="F6DF63A2"/>
    <w:rsid w:val="F6EF39F4"/>
    <w:rsid w:val="F6F7095B"/>
    <w:rsid w:val="F6FC9CB3"/>
    <w:rsid w:val="F6FE024E"/>
    <w:rsid w:val="F6FF1BE8"/>
    <w:rsid w:val="F727F50B"/>
    <w:rsid w:val="F73D64AE"/>
    <w:rsid w:val="F747E823"/>
    <w:rsid w:val="F75E83E8"/>
    <w:rsid w:val="F76FEEA4"/>
    <w:rsid w:val="F77FDFAB"/>
    <w:rsid w:val="F77FF3DF"/>
    <w:rsid w:val="F7992129"/>
    <w:rsid w:val="F79D24FB"/>
    <w:rsid w:val="F7AB552A"/>
    <w:rsid w:val="F7AB9091"/>
    <w:rsid w:val="F7AEE001"/>
    <w:rsid w:val="F7AF7C5E"/>
    <w:rsid w:val="F7BF295F"/>
    <w:rsid w:val="F7DD942A"/>
    <w:rsid w:val="F7DDEFF1"/>
    <w:rsid w:val="F7DE7453"/>
    <w:rsid w:val="F7DF7265"/>
    <w:rsid w:val="F7EDD196"/>
    <w:rsid w:val="F7EEBA21"/>
    <w:rsid w:val="F7EEE7EC"/>
    <w:rsid w:val="F7EF3B05"/>
    <w:rsid w:val="F7FD5B87"/>
    <w:rsid w:val="F7FE5C74"/>
    <w:rsid w:val="F7FF8F31"/>
    <w:rsid w:val="F7FFB46C"/>
    <w:rsid w:val="F7FFE84D"/>
    <w:rsid w:val="F7FFF532"/>
    <w:rsid w:val="F86FCDF2"/>
    <w:rsid w:val="F8EED86C"/>
    <w:rsid w:val="F8FF78C3"/>
    <w:rsid w:val="F9BF925E"/>
    <w:rsid w:val="F9CF2780"/>
    <w:rsid w:val="F9D544BC"/>
    <w:rsid w:val="F9EFFEDA"/>
    <w:rsid w:val="F9F7FDF2"/>
    <w:rsid w:val="F9FBF928"/>
    <w:rsid w:val="FA3D4D66"/>
    <w:rsid w:val="FA9DB90D"/>
    <w:rsid w:val="FAB738F3"/>
    <w:rsid w:val="FABDC9E4"/>
    <w:rsid w:val="FAE7F320"/>
    <w:rsid w:val="FAF0DFC6"/>
    <w:rsid w:val="FAFDF315"/>
    <w:rsid w:val="FAFFB8EB"/>
    <w:rsid w:val="FB2AB3E5"/>
    <w:rsid w:val="FB4D387A"/>
    <w:rsid w:val="FB5858FB"/>
    <w:rsid w:val="FB5A53A2"/>
    <w:rsid w:val="FBA990D1"/>
    <w:rsid w:val="FBAACCCA"/>
    <w:rsid w:val="FBAFF34D"/>
    <w:rsid w:val="FBB56939"/>
    <w:rsid w:val="FBB95C7F"/>
    <w:rsid w:val="FBBB1189"/>
    <w:rsid w:val="FBBBB094"/>
    <w:rsid w:val="FBBBFA1E"/>
    <w:rsid w:val="FBBBFDBF"/>
    <w:rsid w:val="FBD3B090"/>
    <w:rsid w:val="FBDB9061"/>
    <w:rsid w:val="FBDF1618"/>
    <w:rsid w:val="FBED72F0"/>
    <w:rsid w:val="FBED9F05"/>
    <w:rsid w:val="FBEF3174"/>
    <w:rsid w:val="FBEF6D0A"/>
    <w:rsid w:val="FBF38B18"/>
    <w:rsid w:val="FBF3CAA7"/>
    <w:rsid w:val="FBF7A6ED"/>
    <w:rsid w:val="FBF915E9"/>
    <w:rsid w:val="FBFA326D"/>
    <w:rsid w:val="FBFB4CA3"/>
    <w:rsid w:val="FBFB9188"/>
    <w:rsid w:val="FBFD5512"/>
    <w:rsid w:val="FBFE27BB"/>
    <w:rsid w:val="FBFE814D"/>
    <w:rsid w:val="FBFEB732"/>
    <w:rsid w:val="FBFF40F4"/>
    <w:rsid w:val="FBFF6A84"/>
    <w:rsid w:val="FBFFA369"/>
    <w:rsid w:val="FBFFA96C"/>
    <w:rsid w:val="FC7EF94E"/>
    <w:rsid w:val="FC7F21D6"/>
    <w:rsid w:val="FC9CDC85"/>
    <w:rsid w:val="FCAD976A"/>
    <w:rsid w:val="FCB83AB6"/>
    <w:rsid w:val="FCD3C473"/>
    <w:rsid w:val="FCDEE495"/>
    <w:rsid w:val="FCE7D0C1"/>
    <w:rsid w:val="FCEB6C25"/>
    <w:rsid w:val="FCEE210B"/>
    <w:rsid w:val="FCF4FD18"/>
    <w:rsid w:val="FCF73229"/>
    <w:rsid w:val="FCF78121"/>
    <w:rsid w:val="FCFC044E"/>
    <w:rsid w:val="FCFC1180"/>
    <w:rsid w:val="FD732306"/>
    <w:rsid w:val="FD7385D8"/>
    <w:rsid w:val="FD76EC3C"/>
    <w:rsid w:val="FD7ADA0E"/>
    <w:rsid w:val="FD7BA142"/>
    <w:rsid w:val="FDABF936"/>
    <w:rsid w:val="FDB90CB4"/>
    <w:rsid w:val="FDB9918C"/>
    <w:rsid w:val="FDBF4BBF"/>
    <w:rsid w:val="FDCB7DCA"/>
    <w:rsid w:val="FDCD46B4"/>
    <w:rsid w:val="FDD570B8"/>
    <w:rsid w:val="FDDAED36"/>
    <w:rsid w:val="FDDD77BE"/>
    <w:rsid w:val="FDDE401A"/>
    <w:rsid w:val="FDDF099B"/>
    <w:rsid w:val="FDDFAAE7"/>
    <w:rsid w:val="FDE6B727"/>
    <w:rsid w:val="FDEBD1F7"/>
    <w:rsid w:val="FDEBDADA"/>
    <w:rsid w:val="FDEF6C90"/>
    <w:rsid w:val="FDF39664"/>
    <w:rsid w:val="FDF74D82"/>
    <w:rsid w:val="FDFA7413"/>
    <w:rsid w:val="FDFAB1C5"/>
    <w:rsid w:val="FDFCE639"/>
    <w:rsid w:val="FDFF37CE"/>
    <w:rsid w:val="FDFFA415"/>
    <w:rsid w:val="FDFFE94D"/>
    <w:rsid w:val="FDFFFF36"/>
    <w:rsid w:val="FE03C3A5"/>
    <w:rsid w:val="FE370956"/>
    <w:rsid w:val="FE3F3BD4"/>
    <w:rsid w:val="FE3F4037"/>
    <w:rsid w:val="FE4DB469"/>
    <w:rsid w:val="FE5EC233"/>
    <w:rsid w:val="FE5F682D"/>
    <w:rsid w:val="FE92E028"/>
    <w:rsid w:val="FE9A8C7E"/>
    <w:rsid w:val="FE9D281B"/>
    <w:rsid w:val="FEAF3724"/>
    <w:rsid w:val="FEBF0261"/>
    <w:rsid w:val="FEBF0FBF"/>
    <w:rsid w:val="FEBFCFF9"/>
    <w:rsid w:val="FEBFEDD9"/>
    <w:rsid w:val="FEBFEFF2"/>
    <w:rsid w:val="FEBFF8EF"/>
    <w:rsid w:val="FEC694A1"/>
    <w:rsid w:val="FECA2A23"/>
    <w:rsid w:val="FECF3F38"/>
    <w:rsid w:val="FEDE973F"/>
    <w:rsid w:val="FEEB0125"/>
    <w:rsid w:val="FEFB2736"/>
    <w:rsid w:val="FEFB3A46"/>
    <w:rsid w:val="FEFBA65B"/>
    <w:rsid w:val="FEFD8A40"/>
    <w:rsid w:val="FEFDC52C"/>
    <w:rsid w:val="FEFE1208"/>
    <w:rsid w:val="FEFF53E4"/>
    <w:rsid w:val="FEFFCD5D"/>
    <w:rsid w:val="FEFFF7C5"/>
    <w:rsid w:val="FF02AED4"/>
    <w:rsid w:val="FF130B56"/>
    <w:rsid w:val="FF2F5FB9"/>
    <w:rsid w:val="FF2FF4D8"/>
    <w:rsid w:val="FF336FC0"/>
    <w:rsid w:val="FF366BFC"/>
    <w:rsid w:val="FF382914"/>
    <w:rsid w:val="FF3B6C13"/>
    <w:rsid w:val="FF3F916B"/>
    <w:rsid w:val="FF46559B"/>
    <w:rsid w:val="FF4B5C8F"/>
    <w:rsid w:val="FF4F2A57"/>
    <w:rsid w:val="FF594D85"/>
    <w:rsid w:val="FF5D2607"/>
    <w:rsid w:val="FF5F2F63"/>
    <w:rsid w:val="FF6B18CD"/>
    <w:rsid w:val="FF6BD663"/>
    <w:rsid w:val="FF6EB85D"/>
    <w:rsid w:val="FF6EFA47"/>
    <w:rsid w:val="FF7773DE"/>
    <w:rsid w:val="FF7D0411"/>
    <w:rsid w:val="FF7EC806"/>
    <w:rsid w:val="FF7F554F"/>
    <w:rsid w:val="FF7F6A57"/>
    <w:rsid w:val="FF7FD1F0"/>
    <w:rsid w:val="FF8F6DB5"/>
    <w:rsid w:val="FF8F93B5"/>
    <w:rsid w:val="FF999B46"/>
    <w:rsid w:val="FF9E3875"/>
    <w:rsid w:val="FFAD8156"/>
    <w:rsid w:val="FFB295E2"/>
    <w:rsid w:val="FFB327D6"/>
    <w:rsid w:val="FFBB1725"/>
    <w:rsid w:val="FFBB5C56"/>
    <w:rsid w:val="FFBD4D1A"/>
    <w:rsid w:val="FFBDF24B"/>
    <w:rsid w:val="FFBF1974"/>
    <w:rsid w:val="FFBF5C9F"/>
    <w:rsid w:val="FFBF66CE"/>
    <w:rsid w:val="FFBFD8C3"/>
    <w:rsid w:val="FFBFE019"/>
    <w:rsid w:val="FFCDDD54"/>
    <w:rsid w:val="FFCF03CE"/>
    <w:rsid w:val="FFD350DE"/>
    <w:rsid w:val="FFD7F949"/>
    <w:rsid w:val="FFDD1CDC"/>
    <w:rsid w:val="FFDD6461"/>
    <w:rsid w:val="FFDE3EE8"/>
    <w:rsid w:val="FFDEA5E2"/>
    <w:rsid w:val="FFDF132E"/>
    <w:rsid w:val="FFDF521D"/>
    <w:rsid w:val="FFE0A2EB"/>
    <w:rsid w:val="FFE575D1"/>
    <w:rsid w:val="FFE7327E"/>
    <w:rsid w:val="FFE75614"/>
    <w:rsid w:val="FFEA88BC"/>
    <w:rsid w:val="FFEB5155"/>
    <w:rsid w:val="FFEB619C"/>
    <w:rsid w:val="FFEB855A"/>
    <w:rsid w:val="FFEDE2B3"/>
    <w:rsid w:val="FFEDFD59"/>
    <w:rsid w:val="FFEE3999"/>
    <w:rsid w:val="FFEF2051"/>
    <w:rsid w:val="FFEF3A33"/>
    <w:rsid w:val="FFEFC0E2"/>
    <w:rsid w:val="FFF13DE9"/>
    <w:rsid w:val="FFF61430"/>
    <w:rsid w:val="FFF67A9D"/>
    <w:rsid w:val="FFF6FDFC"/>
    <w:rsid w:val="FFF70967"/>
    <w:rsid w:val="FFF7CCE5"/>
    <w:rsid w:val="FFF8CC0C"/>
    <w:rsid w:val="FFF96373"/>
    <w:rsid w:val="FFFA8E86"/>
    <w:rsid w:val="FFFB3136"/>
    <w:rsid w:val="FFFB72C0"/>
    <w:rsid w:val="FFFC7B80"/>
    <w:rsid w:val="FFFCA5FD"/>
    <w:rsid w:val="FFFD1680"/>
    <w:rsid w:val="FFFD34BC"/>
    <w:rsid w:val="FFFD808F"/>
    <w:rsid w:val="FFFE301F"/>
    <w:rsid w:val="FFFE4FEB"/>
    <w:rsid w:val="FFFE51AD"/>
    <w:rsid w:val="FFFF930E"/>
    <w:rsid w:val="FFFFE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72"/>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link w:val="73"/>
    <w:qFormat/>
    <w:uiPriority w:val="0"/>
    <w:pPr>
      <w:keepNext/>
      <w:keepLines/>
      <w:spacing w:before="260" w:after="260" w:line="416" w:lineRule="auto"/>
      <w:outlineLvl w:val="2"/>
    </w:pPr>
    <w:rPr>
      <w:b/>
      <w:bCs/>
      <w:kern w:val="0"/>
      <w:sz w:val="32"/>
      <w:szCs w:val="32"/>
    </w:rPr>
  </w:style>
  <w:style w:type="paragraph" w:styleId="6">
    <w:name w:val="heading 4"/>
    <w:basedOn w:val="1"/>
    <w:next w:val="1"/>
    <w:link w:val="74"/>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7">
    <w:name w:val="heading 5"/>
    <w:basedOn w:val="1"/>
    <w:next w:val="8"/>
    <w:link w:val="75"/>
    <w:qFormat/>
    <w:uiPriority w:val="0"/>
    <w:pPr>
      <w:keepNext/>
      <w:keepLines/>
      <w:spacing w:before="280" w:after="290" w:line="376" w:lineRule="auto"/>
      <w:outlineLvl w:val="4"/>
    </w:pPr>
    <w:rPr>
      <w:b/>
      <w:sz w:val="28"/>
    </w:rPr>
  </w:style>
  <w:style w:type="paragraph" w:styleId="9">
    <w:name w:val="heading 6"/>
    <w:basedOn w:val="1"/>
    <w:next w:val="8"/>
    <w:link w:val="76"/>
    <w:qFormat/>
    <w:uiPriority w:val="0"/>
    <w:pPr>
      <w:keepNext/>
      <w:keepLines/>
      <w:spacing w:before="240" w:after="64" w:line="320" w:lineRule="auto"/>
      <w:outlineLvl w:val="5"/>
    </w:pPr>
    <w:rPr>
      <w:rFonts w:ascii="Arial" w:hAnsi="Arial" w:eastAsia="黑体"/>
      <w:b/>
      <w:sz w:val="24"/>
    </w:rPr>
  </w:style>
  <w:style w:type="paragraph" w:styleId="10">
    <w:name w:val="heading 7"/>
    <w:basedOn w:val="1"/>
    <w:next w:val="8"/>
    <w:link w:val="77"/>
    <w:qFormat/>
    <w:uiPriority w:val="0"/>
    <w:pPr>
      <w:keepNext/>
      <w:keepLines/>
      <w:spacing w:before="240" w:after="64" w:line="320" w:lineRule="auto"/>
      <w:outlineLvl w:val="6"/>
    </w:pPr>
    <w:rPr>
      <w:b/>
      <w:sz w:val="24"/>
    </w:rPr>
  </w:style>
  <w:style w:type="paragraph" w:styleId="11">
    <w:name w:val="heading 8"/>
    <w:basedOn w:val="1"/>
    <w:next w:val="8"/>
    <w:link w:val="78"/>
    <w:qFormat/>
    <w:uiPriority w:val="0"/>
    <w:pPr>
      <w:keepNext/>
      <w:keepLines/>
      <w:spacing w:before="240" w:after="64" w:line="320" w:lineRule="auto"/>
      <w:outlineLvl w:val="7"/>
    </w:pPr>
    <w:rPr>
      <w:rFonts w:ascii="Arial" w:hAnsi="Arial" w:eastAsia="黑体"/>
      <w:sz w:val="24"/>
    </w:rPr>
  </w:style>
  <w:style w:type="paragraph" w:styleId="12">
    <w:name w:val="heading 9"/>
    <w:basedOn w:val="1"/>
    <w:next w:val="8"/>
    <w:link w:val="79"/>
    <w:qFormat/>
    <w:uiPriority w:val="0"/>
    <w:pPr>
      <w:keepNext/>
      <w:keepLines/>
      <w:spacing w:before="240" w:after="64" w:line="320" w:lineRule="auto"/>
      <w:outlineLvl w:val="8"/>
    </w:pPr>
    <w:rPr>
      <w:rFonts w:ascii="Arial" w:hAnsi="Arial" w:eastAsia="黑体"/>
    </w:rPr>
  </w:style>
  <w:style w:type="character" w:default="1" w:styleId="54">
    <w:name w:val="Default Paragraph Font"/>
    <w:unhideWhenUsed/>
    <w:qFormat/>
    <w:uiPriority w:val="1"/>
  </w:style>
  <w:style w:type="table" w:default="1" w:styleId="52">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39"/>
    <w:pPr>
      <w:tabs>
        <w:tab w:val="right" w:leader="dot" w:pos="8296"/>
        <w:tab w:val="right" w:leader="dot" w:pos="8398"/>
      </w:tabs>
      <w:spacing w:before="120" w:after="120" w:line="320" w:lineRule="exact"/>
      <w:ind w:firstLine="840" w:firstLineChars="400"/>
      <w:jc w:val="left"/>
    </w:pPr>
    <w:rPr>
      <w:rFonts w:ascii="仿宋_GB2312" w:hAnsi="宋体" w:eastAsia="仿宋_GB2312" w:cs="Courier New"/>
      <w:bCs/>
      <w:caps/>
      <w:szCs w:val="21"/>
    </w:rPr>
  </w:style>
  <w:style w:type="paragraph" w:styleId="8">
    <w:name w:val="Normal Indent"/>
    <w:basedOn w:val="1"/>
    <w:qFormat/>
    <w:uiPriority w:val="0"/>
    <w:pPr>
      <w:ind w:firstLine="420"/>
    </w:pPr>
    <w:rPr>
      <w:szCs w:val="20"/>
    </w:r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0"/>
    <w:pPr>
      <w:spacing w:before="152"/>
    </w:pPr>
    <w:rPr>
      <w:rFonts w:ascii="Arial" w:hAnsi="Arial" w:eastAsia="黑体" w:cs="Arial"/>
      <w:sz w:val="20"/>
      <w:szCs w:val="20"/>
    </w:rPr>
  </w:style>
  <w:style w:type="paragraph" w:styleId="16">
    <w:name w:val="Document Map"/>
    <w:basedOn w:val="1"/>
    <w:link w:val="80"/>
    <w:semiHidden/>
    <w:qFormat/>
    <w:uiPriority w:val="0"/>
    <w:pPr>
      <w:shd w:val="clear" w:color="auto" w:fill="000080"/>
    </w:pPr>
  </w:style>
  <w:style w:type="paragraph" w:styleId="17">
    <w:name w:val="toa heading"/>
    <w:basedOn w:val="1"/>
    <w:next w:val="1"/>
    <w:semiHidden/>
    <w:qFormat/>
    <w:uiPriority w:val="0"/>
    <w:pPr>
      <w:adjustRightInd w:val="0"/>
      <w:spacing w:before="120" w:line="312" w:lineRule="atLeast"/>
    </w:pPr>
    <w:rPr>
      <w:rFonts w:ascii="Arial" w:hAnsi="Arial"/>
      <w:b/>
      <w:kern w:val="0"/>
      <w:sz w:val="24"/>
    </w:rPr>
  </w:style>
  <w:style w:type="paragraph" w:styleId="18">
    <w:name w:val="annotation text"/>
    <w:basedOn w:val="1"/>
    <w:link w:val="81"/>
    <w:qFormat/>
    <w:uiPriority w:val="0"/>
    <w:pPr>
      <w:adjustRightInd w:val="0"/>
      <w:spacing w:line="360" w:lineRule="atLeast"/>
      <w:jc w:val="left"/>
      <w:textAlignment w:val="baseline"/>
    </w:pPr>
    <w:rPr>
      <w:kern w:val="0"/>
      <w:sz w:val="24"/>
      <w:szCs w:val="20"/>
    </w:rPr>
  </w:style>
  <w:style w:type="paragraph" w:styleId="19">
    <w:name w:val="Salutation"/>
    <w:basedOn w:val="1"/>
    <w:next w:val="1"/>
    <w:link w:val="82"/>
    <w:qFormat/>
    <w:uiPriority w:val="0"/>
    <w:rPr>
      <w:sz w:val="28"/>
    </w:rPr>
  </w:style>
  <w:style w:type="paragraph" w:styleId="20">
    <w:name w:val="Body Text 3"/>
    <w:basedOn w:val="1"/>
    <w:link w:val="83"/>
    <w:qFormat/>
    <w:uiPriority w:val="0"/>
    <w:pPr>
      <w:spacing w:line="500" w:lineRule="exact"/>
    </w:pPr>
    <w:rPr>
      <w:b/>
      <w:bCs/>
      <w:sz w:val="24"/>
    </w:rPr>
  </w:style>
  <w:style w:type="paragraph" w:styleId="21">
    <w:name w:val="Body Text"/>
    <w:basedOn w:val="1"/>
    <w:next w:val="1"/>
    <w:link w:val="70"/>
    <w:qFormat/>
    <w:uiPriority w:val="1"/>
    <w:pPr>
      <w:spacing w:line="380" w:lineRule="exact"/>
    </w:pPr>
    <w:rPr>
      <w:sz w:val="24"/>
    </w:rPr>
  </w:style>
  <w:style w:type="paragraph" w:styleId="22">
    <w:name w:val="Body Text Indent"/>
    <w:basedOn w:val="1"/>
    <w:link w:val="84"/>
    <w:qFormat/>
    <w:uiPriority w:val="0"/>
    <w:pPr>
      <w:ind w:firstLine="830" w:firstLineChars="352"/>
    </w:pPr>
    <w:rPr>
      <w:rFonts w:ascii="仿宋_GB2312" w:eastAsia="仿宋_GB2312"/>
      <w:sz w:val="32"/>
      <w:szCs w:val="20"/>
    </w:rPr>
  </w:style>
  <w:style w:type="paragraph" w:styleId="23">
    <w:name w:val="List Number 3"/>
    <w:basedOn w:val="1"/>
    <w:qFormat/>
    <w:uiPriority w:val="0"/>
    <w:pPr>
      <w:tabs>
        <w:tab w:val="left" w:pos="360"/>
      </w:tabs>
      <w:ind w:left="360" w:hanging="360"/>
    </w:pPr>
  </w:style>
  <w:style w:type="paragraph" w:styleId="24">
    <w:name w:val="List 2"/>
    <w:basedOn w:val="1"/>
    <w:qFormat/>
    <w:uiPriority w:val="0"/>
    <w:pPr>
      <w:ind w:left="100" w:leftChars="200" w:hanging="200" w:hangingChars="200"/>
    </w:pPr>
    <w:rPr>
      <w:sz w:val="28"/>
    </w:rPr>
  </w:style>
  <w:style w:type="paragraph" w:styleId="25">
    <w:name w:val="Block Text"/>
    <w:basedOn w:val="1"/>
    <w:qFormat/>
    <w:uiPriority w:val="0"/>
    <w:pPr>
      <w:adjustRightInd w:val="0"/>
      <w:ind w:left="420" w:right="33"/>
      <w:jc w:val="left"/>
      <w:textAlignment w:val="baseline"/>
    </w:pPr>
    <w:rPr>
      <w:kern w:val="0"/>
      <w:sz w:val="24"/>
      <w:szCs w:val="20"/>
    </w:rPr>
  </w:style>
  <w:style w:type="paragraph" w:styleId="26">
    <w:name w:val="HTML Address"/>
    <w:basedOn w:val="1"/>
    <w:link w:val="85"/>
    <w:qFormat/>
    <w:uiPriority w:val="0"/>
    <w:rPr>
      <w:rFonts w:ascii="宋体"/>
      <w:i/>
      <w:iCs/>
      <w:kern w:val="21"/>
      <w:szCs w:val="21"/>
    </w:rPr>
  </w:style>
  <w:style w:type="paragraph" w:styleId="27">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8">
    <w:name w:val="toc 3"/>
    <w:basedOn w:val="1"/>
    <w:next w:val="1"/>
    <w:link w:val="86"/>
    <w:qFormat/>
    <w:uiPriority w:val="0"/>
    <w:pPr>
      <w:ind w:left="840" w:leftChars="400"/>
    </w:pPr>
  </w:style>
  <w:style w:type="paragraph" w:styleId="29">
    <w:name w:val="Plain Text"/>
    <w:basedOn w:val="1"/>
    <w:next w:val="6"/>
    <w:link w:val="87"/>
    <w:qFormat/>
    <w:uiPriority w:val="0"/>
    <w:rPr>
      <w:rFonts w:ascii="宋体" w:hAnsi="Courier New" w:cs="Courier New"/>
      <w:szCs w:val="21"/>
    </w:rPr>
  </w:style>
  <w:style w:type="paragraph" w:styleId="30">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1">
    <w:name w:val="Date"/>
    <w:basedOn w:val="1"/>
    <w:next w:val="1"/>
    <w:link w:val="88"/>
    <w:qFormat/>
    <w:uiPriority w:val="0"/>
    <w:pPr>
      <w:ind w:left="100" w:leftChars="2500"/>
    </w:pPr>
    <w:rPr>
      <w:rFonts w:ascii="宋体" w:hAnsi="Courier New" w:cs="Courier New"/>
      <w:szCs w:val="21"/>
    </w:rPr>
  </w:style>
  <w:style w:type="paragraph" w:styleId="32">
    <w:name w:val="Body Text Indent 2"/>
    <w:basedOn w:val="1"/>
    <w:link w:val="89"/>
    <w:qFormat/>
    <w:uiPriority w:val="0"/>
    <w:pPr>
      <w:ind w:firstLine="630"/>
    </w:pPr>
    <w:rPr>
      <w:sz w:val="32"/>
      <w:szCs w:val="20"/>
    </w:rPr>
  </w:style>
  <w:style w:type="paragraph" w:styleId="33">
    <w:name w:val="endnote text"/>
    <w:basedOn w:val="1"/>
    <w:link w:val="90"/>
    <w:unhideWhenUsed/>
    <w:qFormat/>
    <w:uiPriority w:val="0"/>
    <w:pPr>
      <w:snapToGrid w:val="0"/>
      <w:jc w:val="left"/>
    </w:pPr>
    <w:rPr>
      <w:rFonts w:ascii="Calibri" w:hAnsi="Calibri"/>
      <w:szCs w:val="22"/>
    </w:rPr>
  </w:style>
  <w:style w:type="paragraph" w:styleId="34">
    <w:name w:val="Balloon Text"/>
    <w:basedOn w:val="1"/>
    <w:link w:val="91"/>
    <w:semiHidden/>
    <w:qFormat/>
    <w:uiPriority w:val="0"/>
    <w:rPr>
      <w:sz w:val="18"/>
      <w:szCs w:val="18"/>
    </w:rPr>
  </w:style>
  <w:style w:type="paragraph" w:styleId="35">
    <w:name w:val="footer"/>
    <w:basedOn w:val="1"/>
    <w:link w:val="92"/>
    <w:qFormat/>
    <w:uiPriority w:val="99"/>
    <w:pPr>
      <w:tabs>
        <w:tab w:val="center" w:pos="4153"/>
        <w:tab w:val="right" w:pos="8306"/>
      </w:tabs>
      <w:snapToGrid w:val="0"/>
      <w:jc w:val="left"/>
    </w:pPr>
    <w:rPr>
      <w:sz w:val="18"/>
      <w:szCs w:val="18"/>
    </w:rPr>
  </w:style>
  <w:style w:type="paragraph" w:styleId="36">
    <w:name w:val="header"/>
    <w:basedOn w:val="1"/>
    <w:link w:val="93"/>
    <w:qFormat/>
    <w:uiPriority w:val="99"/>
    <w:pPr>
      <w:pBdr>
        <w:bottom w:val="single" w:color="auto" w:sz="6" w:space="1"/>
      </w:pBdr>
      <w:tabs>
        <w:tab w:val="center" w:pos="4153"/>
        <w:tab w:val="right" w:pos="8306"/>
      </w:tabs>
      <w:snapToGrid w:val="0"/>
      <w:jc w:val="center"/>
    </w:pPr>
    <w:rPr>
      <w:sz w:val="18"/>
      <w:szCs w:val="18"/>
    </w:rPr>
  </w:style>
  <w:style w:type="paragraph" w:styleId="37">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8">
    <w:name w:val="List"/>
    <w:basedOn w:val="1"/>
    <w:qFormat/>
    <w:uiPriority w:val="0"/>
    <w:pPr>
      <w:ind w:left="200" w:hanging="200" w:hangingChars="200"/>
    </w:pPr>
    <w:rPr>
      <w:sz w:val="28"/>
    </w:rPr>
  </w:style>
  <w:style w:type="paragraph" w:styleId="39">
    <w:name w:val="footnote text"/>
    <w:basedOn w:val="1"/>
    <w:link w:val="94"/>
    <w:semiHidden/>
    <w:qFormat/>
    <w:uiPriority w:val="0"/>
    <w:pPr>
      <w:snapToGrid w:val="0"/>
      <w:jc w:val="left"/>
    </w:pPr>
    <w:rPr>
      <w:rFonts w:ascii="宋体"/>
      <w:kern w:val="21"/>
      <w:sz w:val="18"/>
      <w:szCs w:val="18"/>
    </w:rPr>
  </w:style>
  <w:style w:type="paragraph" w:styleId="40">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1">
    <w:name w:val="List 5"/>
    <w:basedOn w:val="1"/>
    <w:qFormat/>
    <w:uiPriority w:val="0"/>
    <w:pPr>
      <w:ind w:left="2100" w:hanging="420"/>
    </w:pPr>
    <w:rPr>
      <w:szCs w:val="20"/>
    </w:rPr>
  </w:style>
  <w:style w:type="paragraph" w:styleId="42">
    <w:name w:val="Body Text Indent 3"/>
    <w:basedOn w:val="1"/>
    <w:link w:val="95"/>
    <w:qFormat/>
    <w:uiPriority w:val="0"/>
    <w:pPr>
      <w:spacing w:after="120"/>
      <w:ind w:left="420" w:leftChars="200"/>
    </w:pPr>
    <w:rPr>
      <w:sz w:val="16"/>
      <w:szCs w:val="16"/>
    </w:rPr>
  </w:style>
  <w:style w:type="paragraph" w:styleId="43">
    <w:name w:val="toc 2"/>
    <w:basedOn w:val="1"/>
    <w:next w:val="1"/>
    <w:qFormat/>
    <w:uiPriority w:val="39"/>
    <w:pPr>
      <w:ind w:left="420" w:leftChars="200"/>
    </w:pPr>
  </w:style>
  <w:style w:type="paragraph" w:styleId="44">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5">
    <w:name w:val="Body Text 2"/>
    <w:basedOn w:val="1"/>
    <w:link w:val="96"/>
    <w:qFormat/>
    <w:uiPriority w:val="0"/>
    <w:pPr>
      <w:spacing w:after="120" w:line="480" w:lineRule="auto"/>
    </w:pPr>
  </w:style>
  <w:style w:type="paragraph" w:styleId="46">
    <w:name w:val="HTML Preformatted"/>
    <w:basedOn w:val="1"/>
    <w:link w:val="97"/>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7">
    <w:name w:val="Normal (Web)"/>
    <w:basedOn w:val="1"/>
    <w:qFormat/>
    <w:uiPriority w:val="99"/>
    <w:pPr>
      <w:widowControl/>
      <w:spacing w:before="100" w:beforeAutospacing="1" w:after="100" w:afterAutospacing="1"/>
      <w:jc w:val="left"/>
    </w:pPr>
    <w:rPr>
      <w:rFonts w:ascii="宋体" w:hAnsi="宋体"/>
      <w:kern w:val="0"/>
      <w:sz w:val="24"/>
    </w:rPr>
  </w:style>
  <w:style w:type="paragraph" w:styleId="48">
    <w:name w:val="index 1"/>
    <w:basedOn w:val="1"/>
    <w:next w:val="1"/>
    <w:semiHidden/>
    <w:qFormat/>
    <w:uiPriority w:val="0"/>
    <w:pPr>
      <w:spacing w:line="400" w:lineRule="exact"/>
      <w:ind w:firstLine="420" w:firstLineChars="200"/>
    </w:pPr>
    <w:rPr>
      <w:rFonts w:ascii="宋体" w:hAnsi="Courier New"/>
      <w:b/>
      <w:szCs w:val="20"/>
    </w:rPr>
  </w:style>
  <w:style w:type="paragraph" w:styleId="49">
    <w:name w:val="Title"/>
    <w:basedOn w:val="1"/>
    <w:link w:val="98"/>
    <w:qFormat/>
    <w:uiPriority w:val="10"/>
    <w:pPr>
      <w:spacing w:before="240" w:after="60"/>
      <w:jc w:val="center"/>
      <w:outlineLvl w:val="0"/>
    </w:pPr>
    <w:rPr>
      <w:rFonts w:ascii="Arial" w:hAnsi="Arial"/>
      <w:b/>
      <w:bCs/>
      <w:sz w:val="32"/>
      <w:szCs w:val="32"/>
    </w:rPr>
  </w:style>
  <w:style w:type="paragraph" w:styleId="50">
    <w:name w:val="annotation subject"/>
    <w:basedOn w:val="18"/>
    <w:next w:val="18"/>
    <w:link w:val="99"/>
    <w:semiHidden/>
    <w:qFormat/>
    <w:uiPriority w:val="0"/>
    <w:pPr>
      <w:adjustRightInd/>
      <w:spacing w:line="240" w:lineRule="auto"/>
      <w:textAlignment w:val="auto"/>
    </w:pPr>
    <w:rPr>
      <w:b/>
      <w:bCs/>
      <w:kern w:val="2"/>
      <w:sz w:val="21"/>
      <w:szCs w:val="24"/>
    </w:rPr>
  </w:style>
  <w:style w:type="paragraph" w:styleId="51">
    <w:name w:val="Body Text First Indent"/>
    <w:basedOn w:val="21"/>
    <w:qFormat/>
    <w:uiPriority w:val="0"/>
    <w:pPr>
      <w:ind w:firstLine="420" w:firstLineChars="100"/>
    </w:pPr>
  </w:style>
  <w:style w:type="table" w:styleId="53">
    <w:name w:val="Table Grid"/>
    <w:basedOn w:val="52"/>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qFormat/>
    <w:uiPriority w:val="0"/>
    <w:rPr>
      <w:b/>
      <w:bCs/>
    </w:rPr>
  </w:style>
  <w:style w:type="character" w:styleId="56">
    <w:name w:val="page number"/>
    <w:basedOn w:val="54"/>
    <w:qFormat/>
    <w:uiPriority w:val="0"/>
  </w:style>
  <w:style w:type="character" w:styleId="57">
    <w:name w:val="FollowedHyperlink"/>
    <w:qFormat/>
    <w:uiPriority w:val="0"/>
    <w:rPr>
      <w:color w:val="800080"/>
      <w:u w:val="single"/>
    </w:rPr>
  </w:style>
  <w:style w:type="character" w:styleId="58">
    <w:name w:val="Emphasis"/>
    <w:qFormat/>
    <w:uiPriority w:val="0"/>
    <w:rPr>
      <w:color w:val="CC0000"/>
    </w:rPr>
  </w:style>
  <w:style w:type="character" w:styleId="59">
    <w:name w:val="HTML Definition"/>
    <w:basedOn w:val="54"/>
    <w:qFormat/>
    <w:uiPriority w:val="0"/>
    <w:rPr>
      <w:i/>
    </w:rPr>
  </w:style>
  <w:style w:type="character" w:styleId="60">
    <w:name w:val="HTML Typewriter"/>
    <w:basedOn w:val="54"/>
    <w:qFormat/>
    <w:uiPriority w:val="0"/>
    <w:rPr>
      <w:rFonts w:ascii="Courier New" w:hAnsi="Courier New"/>
      <w:sz w:val="20"/>
    </w:rPr>
  </w:style>
  <w:style w:type="character" w:styleId="61">
    <w:name w:val="HTML Acronym"/>
    <w:basedOn w:val="54"/>
    <w:qFormat/>
    <w:uiPriority w:val="0"/>
    <w:rPr>
      <w:rFonts w:cs="Times New Roman"/>
    </w:rPr>
  </w:style>
  <w:style w:type="character" w:styleId="62">
    <w:name w:val="HTML Variable"/>
    <w:basedOn w:val="54"/>
    <w:qFormat/>
    <w:uiPriority w:val="0"/>
    <w:rPr>
      <w:i/>
    </w:rPr>
  </w:style>
  <w:style w:type="character" w:styleId="63">
    <w:name w:val="Hyperlink"/>
    <w:qFormat/>
    <w:uiPriority w:val="99"/>
    <w:rPr>
      <w:color w:val="0000FF"/>
      <w:u w:val="single"/>
    </w:rPr>
  </w:style>
  <w:style w:type="character" w:styleId="64">
    <w:name w:val="HTML Code"/>
    <w:basedOn w:val="54"/>
    <w:qFormat/>
    <w:uiPriority w:val="0"/>
    <w:rPr>
      <w:rFonts w:ascii="Courier New" w:hAnsi="Courier New"/>
      <w:sz w:val="20"/>
    </w:rPr>
  </w:style>
  <w:style w:type="character" w:styleId="65">
    <w:name w:val="annotation reference"/>
    <w:qFormat/>
    <w:uiPriority w:val="0"/>
    <w:rPr>
      <w:sz w:val="21"/>
      <w:szCs w:val="21"/>
    </w:rPr>
  </w:style>
  <w:style w:type="character" w:styleId="66">
    <w:name w:val="HTML Cite"/>
    <w:basedOn w:val="54"/>
    <w:qFormat/>
    <w:uiPriority w:val="0"/>
    <w:rPr>
      <w:i/>
    </w:rPr>
  </w:style>
  <w:style w:type="character" w:styleId="67">
    <w:name w:val="HTML Keyboard"/>
    <w:basedOn w:val="54"/>
    <w:qFormat/>
    <w:uiPriority w:val="0"/>
    <w:rPr>
      <w:rFonts w:ascii="Courier New" w:hAnsi="Courier New"/>
      <w:sz w:val="20"/>
    </w:rPr>
  </w:style>
  <w:style w:type="character" w:styleId="68">
    <w:name w:val="HTML Sample"/>
    <w:basedOn w:val="54"/>
    <w:qFormat/>
    <w:uiPriority w:val="0"/>
    <w:rPr>
      <w:rFonts w:ascii="Courier New" w:hAnsi="Courier New"/>
    </w:rPr>
  </w:style>
  <w:style w:type="paragraph" w:customStyle="1" w:styleId="69">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character" w:customStyle="1" w:styleId="70">
    <w:name w:val="正文文本 字符5"/>
    <w:link w:val="21"/>
    <w:qFormat/>
    <w:uiPriority w:val="0"/>
    <w:rPr>
      <w:rFonts w:eastAsia="宋体"/>
      <w:kern w:val="2"/>
      <w:sz w:val="24"/>
      <w:szCs w:val="24"/>
      <w:lang w:val="en-US" w:eastAsia="zh-CN" w:bidi="ar-SA"/>
    </w:rPr>
  </w:style>
  <w:style w:type="character" w:customStyle="1" w:styleId="71">
    <w:name w:val="标题 1 字符5"/>
    <w:link w:val="3"/>
    <w:qFormat/>
    <w:uiPriority w:val="0"/>
    <w:rPr>
      <w:rFonts w:eastAsia="宋体"/>
      <w:b/>
      <w:bCs/>
      <w:kern w:val="44"/>
      <w:sz w:val="44"/>
      <w:szCs w:val="44"/>
      <w:lang w:val="en-US" w:eastAsia="zh-CN" w:bidi="ar-SA"/>
    </w:rPr>
  </w:style>
  <w:style w:type="character" w:customStyle="1" w:styleId="72">
    <w:name w:val="标题 2 字符5"/>
    <w:link w:val="4"/>
    <w:qFormat/>
    <w:uiPriority w:val="0"/>
    <w:rPr>
      <w:rFonts w:ascii="Arial" w:hAnsi="Arial" w:eastAsia="黑体"/>
      <w:b/>
      <w:bCs/>
      <w:sz w:val="32"/>
      <w:szCs w:val="32"/>
      <w:lang w:bidi="ar-SA"/>
    </w:rPr>
  </w:style>
  <w:style w:type="character" w:customStyle="1" w:styleId="73">
    <w:name w:val="标题 3 字符5"/>
    <w:link w:val="5"/>
    <w:qFormat/>
    <w:uiPriority w:val="0"/>
    <w:rPr>
      <w:rFonts w:eastAsia="宋体"/>
      <w:b/>
      <w:bCs/>
      <w:sz w:val="32"/>
      <w:szCs w:val="32"/>
      <w:lang w:bidi="ar-SA"/>
    </w:rPr>
  </w:style>
  <w:style w:type="character" w:customStyle="1" w:styleId="74">
    <w:name w:val="标题 4 字符5"/>
    <w:link w:val="6"/>
    <w:qFormat/>
    <w:uiPriority w:val="0"/>
    <w:rPr>
      <w:rFonts w:ascii="Arial" w:hAnsi="Arial" w:eastAsia="黑体"/>
      <w:sz w:val="28"/>
      <w:lang w:bidi="ar-SA"/>
    </w:rPr>
  </w:style>
  <w:style w:type="character" w:customStyle="1" w:styleId="75">
    <w:name w:val="标题 5 字符5"/>
    <w:link w:val="7"/>
    <w:qFormat/>
    <w:uiPriority w:val="0"/>
    <w:rPr>
      <w:rFonts w:eastAsia="宋体"/>
      <w:b/>
      <w:kern w:val="2"/>
      <w:sz w:val="28"/>
      <w:szCs w:val="24"/>
      <w:lang w:val="en-US" w:eastAsia="zh-CN" w:bidi="ar-SA"/>
    </w:rPr>
  </w:style>
  <w:style w:type="character" w:customStyle="1" w:styleId="76">
    <w:name w:val="标题 6 字符5"/>
    <w:link w:val="9"/>
    <w:qFormat/>
    <w:uiPriority w:val="0"/>
    <w:rPr>
      <w:rFonts w:ascii="Arial" w:hAnsi="Arial" w:eastAsia="黑体"/>
      <w:b/>
      <w:kern w:val="2"/>
      <w:sz w:val="24"/>
      <w:szCs w:val="24"/>
      <w:lang w:val="en-US" w:eastAsia="zh-CN" w:bidi="ar-SA"/>
    </w:rPr>
  </w:style>
  <w:style w:type="character" w:customStyle="1" w:styleId="77">
    <w:name w:val="标题 7 字符5"/>
    <w:link w:val="10"/>
    <w:qFormat/>
    <w:uiPriority w:val="0"/>
    <w:rPr>
      <w:rFonts w:eastAsia="宋体"/>
      <w:b/>
      <w:kern w:val="2"/>
      <w:sz w:val="24"/>
      <w:szCs w:val="24"/>
      <w:lang w:val="en-US" w:eastAsia="zh-CN" w:bidi="ar-SA"/>
    </w:rPr>
  </w:style>
  <w:style w:type="character" w:customStyle="1" w:styleId="78">
    <w:name w:val="标题 8 字符5"/>
    <w:link w:val="11"/>
    <w:qFormat/>
    <w:uiPriority w:val="0"/>
    <w:rPr>
      <w:rFonts w:ascii="Arial" w:hAnsi="Arial" w:eastAsia="黑体"/>
      <w:kern w:val="2"/>
      <w:sz w:val="24"/>
      <w:szCs w:val="24"/>
      <w:lang w:val="en-US" w:eastAsia="zh-CN" w:bidi="ar-SA"/>
    </w:rPr>
  </w:style>
  <w:style w:type="character" w:customStyle="1" w:styleId="79">
    <w:name w:val="标题 9 字符5"/>
    <w:link w:val="12"/>
    <w:qFormat/>
    <w:uiPriority w:val="0"/>
    <w:rPr>
      <w:rFonts w:ascii="Arial" w:hAnsi="Arial" w:eastAsia="黑体"/>
      <w:kern w:val="2"/>
      <w:sz w:val="21"/>
      <w:szCs w:val="24"/>
      <w:lang w:val="en-US" w:eastAsia="zh-CN" w:bidi="ar-SA"/>
    </w:rPr>
  </w:style>
  <w:style w:type="character" w:customStyle="1" w:styleId="80">
    <w:name w:val="文档结构图 字符5"/>
    <w:link w:val="16"/>
    <w:qFormat/>
    <w:uiPriority w:val="0"/>
    <w:rPr>
      <w:rFonts w:eastAsia="宋体"/>
      <w:kern w:val="2"/>
      <w:sz w:val="21"/>
      <w:szCs w:val="24"/>
      <w:lang w:val="en-US" w:eastAsia="zh-CN" w:bidi="ar-SA"/>
    </w:rPr>
  </w:style>
  <w:style w:type="character" w:customStyle="1" w:styleId="81">
    <w:name w:val="批注文字 字符5"/>
    <w:link w:val="18"/>
    <w:qFormat/>
    <w:uiPriority w:val="0"/>
    <w:rPr>
      <w:rFonts w:eastAsia="宋体"/>
      <w:sz w:val="24"/>
      <w:lang w:bidi="ar-SA"/>
    </w:rPr>
  </w:style>
  <w:style w:type="character" w:customStyle="1" w:styleId="82">
    <w:name w:val="称呼 字符5"/>
    <w:link w:val="19"/>
    <w:qFormat/>
    <w:uiPriority w:val="0"/>
    <w:rPr>
      <w:kern w:val="2"/>
      <w:sz w:val="28"/>
      <w:szCs w:val="24"/>
    </w:rPr>
  </w:style>
  <w:style w:type="character" w:customStyle="1" w:styleId="83">
    <w:name w:val="正文文本 3 字符5"/>
    <w:link w:val="20"/>
    <w:qFormat/>
    <w:uiPriority w:val="0"/>
    <w:rPr>
      <w:rFonts w:eastAsia="宋体"/>
      <w:b/>
      <w:bCs/>
      <w:kern w:val="2"/>
      <w:sz w:val="24"/>
      <w:szCs w:val="24"/>
      <w:lang w:val="en-US" w:eastAsia="zh-CN" w:bidi="ar-SA"/>
    </w:rPr>
  </w:style>
  <w:style w:type="character" w:customStyle="1" w:styleId="84">
    <w:name w:val="正文文本缩进 字符5"/>
    <w:link w:val="22"/>
    <w:qFormat/>
    <w:uiPriority w:val="0"/>
    <w:rPr>
      <w:rFonts w:ascii="仿宋_GB2312" w:eastAsia="仿宋_GB2312"/>
      <w:kern w:val="2"/>
      <w:sz w:val="32"/>
      <w:lang w:val="en-US" w:eastAsia="zh-CN" w:bidi="ar-SA"/>
    </w:rPr>
  </w:style>
  <w:style w:type="character" w:customStyle="1" w:styleId="85">
    <w:name w:val="HTML 地址 字符5"/>
    <w:basedOn w:val="54"/>
    <w:link w:val="26"/>
    <w:qFormat/>
    <w:locked/>
    <w:uiPriority w:val="0"/>
    <w:rPr>
      <w:rFonts w:ascii="宋体" w:eastAsia="宋体"/>
      <w:i/>
      <w:iCs/>
      <w:kern w:val="21"/>
      <w:sz w:val="21"/>
      <w:szCs w:val="21"/>
      <w:lang w:val="en-US" w:eastAsia="zh-CN" w:bidi="ar-SA"/>
    </w:rPr>
  </w:style>
  <w:style w:type="character" w:customStyle="1" w:styleId="86">
    <w:name w:val="TOC 3 字符1"/>
    <w:link w:val="28"/>
    <w:qFormat/>
    <w:locked/>
    <w:uiPriority w:val="0"/>
    <w:rPr>
      <w:rFonts w:eastAsia="宋体"/>
      <w:kern w:val="2"/>
      <w:sz w:val="21"/>
      <w:szCs w:val="24"/>
      <w:lang w:val="en-US" w:eastAsia="zh-CN" w:bidi="ar-SA"/>
    </w:rPr>
  </w:style>
  <w:style w:type="character" w:customStyle="1" w:styleId="87">
    <w:name w:val="纯文本 字符6"/>
    <w:link w:val="29"/>
    <w:qFormat/>
    <w:uiPriority w:val="0"/>
    <w:rPr>
      <w:rFonts w:ascii="宋体" w:hAnsi="Courier New" w:eastAsia="宋体" w:cs="Courier New"/>
      <w:kern w:val="2"/>
      <w:sz w:val="21"/>
      <w:szCs w:val="21"/>
      <w:lang w:val="en-US" w:eastAsia="zh-CN" w:bidi="ar-SA"/>
    </w:rPr>
  </w:style>
  <w:style w:type="character" w:customStyle="1" w:styleId="88">
    <w:name w:val="日期 字符5"/>
    <w:link w:val="31"/>
    <w:qFormat/>
    <w:uiPriority w:val="0"/>
    <w:rPr>
      <w:rFonts w:ascii="宋体" w:hAnsi="Courier New" w:eastAsia="宋体" w:cs="Courier New"/>
      <w:kern w:val="2"/>
      <w:sz w:val="21"/>
      <w:szCs w:val="21"/>
      <w:lang w:val="en-US" w:eastAsia="zh-CN" w:bidi="ar-SA"/>
    </w:rPr>
  </w:style>
  <w:style w:type="character" w:customStyle="1" w:styleId="89">
    <w:name w:val="正文文本缩进 2 字符5"/>
    <w:link w:val="32"/>
    <w:qFormat/>
    <w:uiPriority w:val="0"/>
    <w:rPr>
      <w:rFonts w:eastAsia="宋体"/>
      <w:kern w:val="2"/>
      <w:sz w:val="32"/>
      <w:lang w:val="en-US" w:eastAsia="zh-CN" w:bidi="ar-SA"/>
    </w:rPr>
  </w:style>
  <w:style w:type="character" w:customStyle="1" w:styleId="90">
    <w:name w:val="尾注文本 字符5"/>
    <w:link w:val="33"/>
    <w:qFormat/>
    <w:uiPriority w:val="0"/>
    <w:rPr>
      <w:rFonts w:ascii="Calibri" w:hAnsi="Calibri"/>
      <w:kern w:val="2"/>
      <w:sz w:val="21"/>
      <w:szCs w:val="22"/>
    </w:rPr>
  </w:style>
  <w:style w:type="character" w:customStyle="1" w:styleId="91">
    <w:name w:val="批注框文本 字符"/>
    <w:link w:val="34"/>
    <w:semiHidden/>
    <w:qFormat/>
    <w:uiPriority w:val="0"/>
    <w:rPr>
      <w:rFonts w:eastAsia="宋体"/>
      <w:kern w:val="2"/>
      <w:sz w:val="18"/>
      <w:szCs w:val="18"/>
      <w:lang w:val="en-US" w:eastAsia="zh-CN" w:bidi="ar-SA"/>
    </w:rPr>
  </w:style>
  <w:style w:type="character" w:customStyle="1" w:styleId="92">
    <w:name w:val="页脚 字符5"/>
    <w:link w:val="35"/>
    <w:qFormat/>
    <w:uiPriority w:val="99"/>
    <w:rPr>
      <w:rFonts w:eastAsia="宋体"/>
      <w:kern w:val="2"/>
      <w:sz w:val="18"/>
      <w:szCs w:val="18"/>
      <w:lang w:val="en-US" w:eastAsia="zh-CN" w:bidi="ar-SA"/>
    </w:rPr>
  </w:style>
  <w:style w:type="character" w:customStyle="1" w:styleId="93">
    <w:name w:val="页眉 字符5"/>
    <w:link w:val="36"/>
    <w:qFormat/>
    <w:uiPriority w:val="99"/>
    <w:rPr>
      <w:rFonts w:eastAsia="宋体"/>
      <w:kern w:val="2"/>
      <w:sz w:val="18"/>
      <w:szCs w:val="18"/>
      <w:lang w:val="en-US" w:eastAsia="zh-CN" w:bidi="ar-SA"/>
    </w:rPr>
  </w:style>
  <w:style w:type="character" w:customStyle="1" w:styleId="94">
    <w:name w:val="脚注文本 字符5"/>
    <w:basedOn w:val="54"/>
    <w:link w:val="39"/>
    <w:qFormat/>
    <w:locked/>
    <w:uiPriority w:val="0"/>
    <w:rPr>
      <w:rFonts w:ascii="宋体" w:eastAsia="宋体"/>
      <w:kern w:val="21"/>
      <w:sz w:val="18"/>
      <w:szCs w:val="18"/>
      <w:lang w:val="en-US" w:eastAsia="zh-CN" w:bidi="ar-SA"/>
    </w:rPr>
  </w:style>
  <w:style w:type="character" w:customStyle="1" w:styleId="95">
    <w:name w:val="正文文本缩进 3 字符5"/>
    <w:link w:val="42"/>
    <w:qFormat/>
    <w:uiPriority w:val="0"/>
    <w:rPr>
      <w:rFonts w:eastAsia="宋体"/>
      <w:kern w:val="2"/>
      <w:sz w:val="16"/>
      <w:szCs w:val="16"/>
      <w:lang w:val="en-US" w:eastAsia="zh-CN" w:bidi="ar-SA"/>
    </w:rPr>
  </w:style>
  <w:style w:type="character" w:customStyle="1" w:styleId="96">
    <w:name w:val="正文文本 2 字符5"/>
    <w:link w:val="45"/>
    <w:qFormat/>
    <w:uiPriority w:val="0"/>
    <w:rPr>
      <w:rFonts w:eastAsia="宋体"/>
      <w:kern w:val="2"/>
      <w:sz w:val="21"/>
      <w:szCs w:val="24"/>
      <w:lang w:val="en-US" w:eastAsia="zh-CN" w:bidi="ar-SA"/>
    </w:rPr>
  </w:style>
  <w:style w:type="character" w:customStyle="1" w:styleId="97">
    <w:name w:val="HTML 预设格式 字符5"/>
    <w:link w:val="46"/>
    <w:qFormat/>
    <w:uiPriority w:val="0"/>
    <w:rPr>
      <w:rFonts w:ascii="黑体" w:hAnsi="Courier New" w:eastAsia="黑体" w:cs="Courier New"/>
      <w:lang w:val="en-US" w:eastAsia="zh-CN" w:bidi="ar-SA"/>
    </w:rPr>
  </w:style>
  <w:style w:type="character" w:customStyle="1" w:styleId="98">
    <w:name w:val="标题 字符5"/>
    <w:link w:val="49"/>
    <w:qFormat/>
    <w:uiPriority w:val="0"/>
    <w:rPr>
      <w:rFonts w:ascii="Arial" w:hAnsi="Arial" w:eastAsia="宋体"/>
      <w:b/>
      <w:bCs/>
      <w:kern w:val="2"/>
      <w:sz w:val="32"/>
      <w:szCs w:val="32"/>
      <w:lang w:bidi="ar-SA"/>
    </w:rPr>
  </w:style>
  <w:style w:type="character" w:customStyle="1" w:styleId="99">
    <w:name w:val="批注主题 字符"/>
    <w:link w:val="50"/>
    <w:semiHidden/>
    <w:qFormat/>
    <w:uiPriority w:val="0"/>
    <w:rPr>
      <w:b/>
      <w:bCs/>
      <w:kern w:val="2"/>
      <w:sz w:val="21"/>
      <w:szCs w:val="24"/>
    </w:rPr>
  </w:style>
  <w:style w:type="paragraph" w:customStyle="1" w:styleId="100">
    <w:name w:val="表格文字"/>
    <w:basedOn w:val="1"/>
    <w:next w:val="21"/>
    <w:qFormat/>
    <w:uiPriority w:val="0"/>
    <w:pPr>
      <w:spacing w:before="25" w:after="25"/>
      <w:jc w:val="left"/>
    </w:pPr>
    <w:rPr>
      <w:bCs/>
      <w:spacing w:val="10"/>
      <w:kern w:val="0"/>
      <w:sz w:val="24"/>
    </w:rPr>
  </w:style>
  <w:style w:type="paragraph" w:customStyle="1" w:styleId="101">
    <w:name w:val="_Style 8"/>
    <w:basedOn w:val="16"/>
    <w:qFormat/>
    <w:uiPriority w:val="0"/>
    <w:pPr>
      <w:widowControl/>
      <w:ind w:firstLine="454"/>
      <w:jc w:val="left"/>
    </w:pPr>
  </w:style>
  <w:style w:type="character" w:customStyle="1" w:styleId="102">
    <w:name w:val="自定义标题一 Char Char"/>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103">
    <w:name w:val="apple-style-span"/>
    <w:basedOn w:val="54"/>
    <w:qFormat/>
    <w:uiPriority w:val="0"/>
  </w:style>
  <w:style w:type="character" w:customStyle="1" w:styleId="104">
    <w:name w:val="无间隔 字符9"/>
    <w:link w:val="105"/>
    <w:qFormat/>
    <w:uiPriority w:val="0"/>
    <w:rPr>
      <w:sz w:val="22"/>
      <w:szCs w:val="22"/>
      <w:lang w:val="en-US" w:eastAsia="zh-CN" w:bidi="ar-SA"/>
    </w:rPr>
  </w:style>
  <w:style w:type="paragraph" w:styleId="105">
    <w:name w:val="No Spacing"/>
    <w:link w:val="104"/>
    <w:qFormat/>
    <w:uiPriority w:val="0"/>
    <w:pPr>
      <w:spacing w:after="160" w:line="278" w:lineRule="auto"/>
    </w:pPr>
    <w:rPr>
      <w:rFonts w:ascii="Times New Roman" w:hAnsi="Times New Roman" w:eastAsia="宋体" w:cs="Times New Roman"/>
      <w:sz w:val="22"/>
      <w:szCs w:val="22"/>
      <w:lang w:val="en-US" w:eastAsia="zh-CN" w:bidi="ar-SA"/>
    </w:rPr>
  </w:style>
  <w:style w:type="character" w:customStyle="1" w:styleId="106">
    <w:name w:val="纯文本 Char"/>
    <w:qFormat/>
    <w:uiPriority w:val="99"/>
    <w:rPr>
      <w:rFonts w:ascii="宋体" w:hAnsi="Courier New" w:eastAsia="宋体"/>
      <w:kern w:val="2"/>
      <w:sz w:val="21"/>
      <w:lang w:val="en-US" w:eastAsia="zh-CN" w:bidi="ar-SA"/>
    </w:rPr>
  </w:style>
  <w:style w:type="character" w:customStyle="1" w:styleId="107">
    <w:name w:val="ca-10"/>
    <w:basedOn w:val="54"/>
    <w:qFormat/>
    <w:uiPriority w:val="0"/>
  </w:style>
  <w:style w:type="character" w:customStyle="1" w:styleId="108">
    <w:name w:val="Char Char Char Char Char"/>
    <w:qFormat/>
    <w:uiPriority w:val="0"/>
    <w:rPr>
      <w:rFonts w:hint="eastAsia" w:ascii="宋体" w:hAnsi="宋体" w:eastAsia="宋体"/>
      <w:b/>
      <w:bCs/>
      <w:kern w:val="44"/>
      <w:sz w:val="44"/>
      <w:szCs w:val="44"/>
      <w:lang w:val="en-US" w:eastAsia="zh-CN" w:bidi="ar-SA"/>
    </w:rPr>
  </w:style>
  <w:style w:type="character" w:customStyle="1" w:styleId="109">
    <w:name w:val="font41"/>
    <w:basedOn w:val="54"/>
    <w:qFormat/>
    <w:uiPriority w:val="0"/>
    <w:rPr>
      <w:rFonts w:hint="eastAsia" w:ascii="仿宋_GB2312" w:eastAsia="仿宋_GB2312" w:cs="仿宋_GB2312"/>
      <w:color w:val="000000"/>
      <w:sz w:val="20"/>
      <w:szCs w:val="20"/>
      <w:u w:val="none"/>
    </w:rPr>
  </w:style>
  <w:style w:type="character" w:customStyle="1" w:styleId="110">
    <w:name w:val="ca-11"/>
    <w:basedOn w:val="54"/>
    <w:qFormat/>
    <w:uiPriority w:val="0"/>
  </w:style>
  <w:style w:type="character" w:customStyle="1" w:styleId="111">
    <w:name w:val="Char Char12"/>
    <w:qFormat/>
    <w:uiPriority w:val="0"/>
    <w:rPr>
      <w:rFonts w:ascii="宋体" w:eastAsia="宋体" w:cs="Courier New"/>
      <w:kern w:val="2"/>
      <w:sz w:val="21"/>
      <w:szCs w:val="21"/>
      <w:lang w:val="en-US" w:eastAsia="zh-CN" w:bidi="ar-SA"/>
    </w:rPr>
  </w:style>
  <w:style w:type="character" w:customStyle="1" w:styleId="112">
    <w:name w:val="普通文字 Char Char4"/>
    <w:qFormat/>
    <w:uiPriority w:val="0"/>
    <w:rPr>
      <w:rFonts w:ascii="宋体" w:hAnsi="Courier New" w:eastAsia="宋体" w:cs="Courier New"/>
      <w:kern w:val="2"/>
      <w:sz w:val="21"/>
      <w:szCs w:val="21"/>
      <w:lang w:val="en-US" w:eastAsia="zh-CN" w:bidi="ar-SA"/>
    </w:rPr>
  </w:style>
  <w:style w:type="character" w:customStyle="1" w:styleId="113">
    <w:name w:val="ca-12"/>
    <w:basedOn w:val="54"/>
    <w:qFormat/>
    <w:uiPriority w:val="0"/>
  </w:style>
  <w:style w:type="character" w:customStyle="1" w:styleId="114">
    <w:name w:val="font71"/>
    <w:basedOn w:val="54"/>
    <w:qFormat/>
    <w:uiPriority w:val="0"/>
    <w:rPr>
      <w:rFonts w:hint="eastAsia" w:ascii="宋体" w:hAnsi="宋体" w:eastAsia="宋体" w:cs="宋体"/>
      <w:color w:val="FF0000"/>
      <w:sz w:val="18"/>
      <w:szCs w:val="18"/>
      <w:u w:val="none"/>
    </w:rPr>
  </w:style>
  <w:style w:type="character" w:customStyle="1" w:styleId="115">
    <w:name w:val="unnamed3"/>
    <w:basedOn w:val="54"/>
    <w:qFormat/>
    <w:uiPriority w:val="0"/>
  </w:style>
  <w:style w:type="character" w:customStyle="1" w:styleId="116">
    <w:name w:val="Char Char7"/>
    <w:qFormat/>
    <w:uiPriority w:val="0"/>
    <w:rPr>
      <w:rFonts w:ascii="宋体" w:eastAsia="宋体" w:cs="Courier New"/>
      <w:kern w:val="2"/>
      <w:sz w:val="21"/>
      <w:szCs w:val="21"/>
      <w:lang w:val="en-US" w:eastAsia="zh-CN" w:bidi="ar-SA"/>
    </w:rPr>
  </w:style>
  <w:style w:type="character" w:customStyle="1" w:styleId="117">
    <w:name w:val="ca-3"/>
    <w:basedOn w:val="54"/>
    <w:qFormat/>
    <w:uiPriority w:val="0"/>
  </w:style>
  <w:style w:type="character" w:customStyle="1" w:styleId="118">
    <w:name w:val="mark13"/>
    <w:basedOn w:val="54"/>
    <w:qFormat/>
    <w:uiPriority w:val="0"/>
  </w:style>
  <w:style w:type="character" w:customStyle="1" w:styleId="119">
    <w:name w:val="style21"/>
    <w:qFormat/>
    <w:uiPriority w:val="0"/>
    <w:rPr>
      <w:sz w:val="18"/>
      <w:szCs w:val="18"/>
    </w:rPr>
  </w:style>
  <w:style w:type="character" w:customStyle="1" w:styleId="120">
    <w:name w:val="Char Char14"/>
    <w:qFormat/>
    <w:uiPriority w:val="0"/>
    <w:rPr>
      <w:sz w:val="18"/>
      <w:szCs w:val="18"/>
    </w:rPr>
  </w:style>
  <w:style w:type="character" w:customStyle="1" w:styleId="121">
    <w:name w:val="Char Char15"/>
    <w:qFormat/>
    <w:uiPriority w:val="0"/>
    <w:rPr>
      <w:sz w:val="18"/>
      <w:szCs w:val="18"/>
    </w:rPr>
  </w:style>
  <w:style w:type="character" w:customStyle="1" w:styleId="122">
    <w:name w:val="p1"/>
    <w:basedOn w:val="54"/>
    <w:qFormat/>
    <w:uiPriority w:val="0"/>
  </w:style>
  <w:style w:type="character" w:customStyle="1" w:styleId="123">
    <w:name w:val="UP标题3 Char Char"/>
    <w:link w:val="124"/>
    <w:qFormat/>
    <w:locked/>
    <w:uiPriority w:val="0"/>
    <w:rPr>
      <w:rFonts w:ascii="黑体" w:eastAsia="黑体"/>
      <w:sz w:val="28"/>
      <w:szCs w:val="28"/>
      <w:lang w:bidi="ar-SA"/>
    </w:rPr>
  </w:style>
  <w:style w:type="paragraph" w:customStyle="1" w:styleId="124">
    <w:name w:val="UP标题3"/>
    <w:basedOn w:val="1"/>
    <w:link w:val="123"/>
    <w:qFormat/>
    <w:uiPriority w:val="0"/>
    <w:pPr>
      <w:spacing w:line="360" w:lineRule="auto"/>
      <w:ind w:firstLine="149" w:firstLineChars="149"/>
    </w:pPr>
    <w:rPr>
      <w:rFonts w:ascii="黑体" w:eastAsia="黑体"/>
      <w:kern w:val="0"/>
      <w:sz w:val="28"/>
      <w:szCs w:val="28"/>
    </w:rPr>
  </w:style>
  <w:style w:type="character" w:customStyle="1" w:styleId="125">
    <w:name w:val="ca-8"/>
    <w:basedOn w:val="54"/>
    <w:qFormat/>
    <w:uiPriority w:val="0"/>
  </w:style>
  <w:style w:type="character" w:customStyle="1" w:styleId="126">
    <w:name w:val="Body Text Char"/>
    <w:qFormat/>
    <w:locked/>
    <w:uiPriority w:val="0"/>
    <w:rPr>
      <w:rFonts w:eastAsia="宋体"/>
      <w:kern w:val="2"/>
      <w:sz w:val="24"/>
      <w:szCs w:val="24"/>
      <w:lang w:val="en-US" w:eastAsia="zh-CN" w:bidi="ar-SA"/>
    </w:rPr>
  </w:style>
  <w:style w:type="character" w:customStyle="1" w:styleId="127">
    <w:name w:val="ca-16"/>
    <w:basedOn w:val="54"/>
    <w:qFormat/>
    <w:uiPriority w:val="0"/>
  </w:style>
  <w:style w:type="character" w:customStyle="1" w:styleId="128">
    <w:name w:val="Char Char17"/>
    <w:qFormat/>
    <w:uiPriority w:val="0"/>
    <w:rPr>
      <w:rFonts w:hint="default" w:ascii="Times New Roman" w:hAnsi="Times New Roman" w:cs="Times New Roman"/>
      <w:b/>
      <w:bCs/>
      <w:kern w:val="2"/>
      <w:sz w:val="21"/>
      <w:szCs w:val="24"/>
    </w:rPr>
  </w:style>
  <w:style w:type="character" w:customStyle="1" w:styleId="129">
    <w:name w:val="ca-0"/>
    <w:qFormat/>
    <w:uiPriority w:val="0"/>
  </w:style>
  <w:style w:type="character" w:customStyle="1" w:styleId="130">
    <w:name w:val="Char Char8"/>
    <w:qFormat/>
    <w:uiPriority w:val="0"/>
    <w:rPr>
      <w:rFonts w:hint="eastAsia" w:ascii="仿宋_GB2312" w:eastAsia="仿宋_GB2312"/>
      <w:kern w:val="2"/>
      <w:sz w:val="32"/>
      <w:lang w:val="en-US" w:eastAsia="zh-CN" w:bidi="ar-SA"/>
    </w:rPr>
  </w:style>
  <w:style w:type="character" w:customStyle="1" w:styleId="131">
    <w:name w:val="Char Char3"/>
    <w:qFormat/>
    <w:locked/>
    <w:uiPriority w:val="0"/>
    <w:rPr>
      <w:rFonts w:ascii="宋体" w:hAnsi="Courier New" w:eastAsia="宋体" w:cs="Courier New"/>
      <w:kern w:val="2"/>
      <w:sz w:val="21"/>
      <w:szCs w:val="21"/>
      <w:lang w:val="en-US" w:eastAsia="zh-CN" w:bidi="ar-SA"/>
    </w:rPr>
  </w:style>
  <w:style w:type="character" w:customStyle="1" w:styleId="132">
    <w:name w:val="Char Char2"/>
    <w:qFormat/>
    <w:uiPriority w:val="0"/>
    <w:rPr>
      <w:rFonts w:eastAsia="宋体"/>
      <w:sz w:val="24"/>
    </w:rPr>
  </w:style>
  <w:style w:type="character" w:customStyle="1" w:styleId="133">
    <w:name w:val="批注文字 Char1"/>
    <w:semiHidden/>
    <w:qFormat/>
    <w:uiPriority w:val="0"/>
    <w:rPr>
      <w:kern w:val="2"/>
      <w:sz w:val="21"/>
      <w:szCs w:val="24"/>
    </w:rPr>
  </w:style>
  <w:style w:type="character" w:customStyle="1" w:styleId="134">
    <w:name w:val="Char Char23"/>
    <w:qFormat/>
    <w:uiPriority w:val="0"/>
    <w:rPr>
      <w:rFonts w:hint="default" w:ascii="Times New Roman" w:hAnsi="Times New Roman" w:eastAsia="宋体" w:cs="Times New Roman"/>
      <w:b/>
      <w:bCs/>
      <w:kern w:val="44"/>
      <w:sz w:val="44"/>
      <w:szCs w:val="44"/>
    </w:rPr>
  </w:style>
  <w:style w:type="character" w:customStyle="1" w:styleId="135">
    <w:name w:val="ca-5"/>
    <w:basedOn w:val="54"/>
    <w:qFormat/>
    <w:uiPriority w:val="0"/>
  </w:style>
  <w:style w:type="character" w:customStyle="1" w:styleId="136">
    <w:name w:val="cubane_hilight1"/>
    <w:qFormat/>
    <w:uiPriority w:val="0"/>
    <w:rPr>
      <w:color w:val="CC0000"/>
    </w:rPr>
  </w:style>
  <w:style w:type="character" w:customStyle="1" w:styleId="137">
    <w:name w:val="ca-7"/>
    <w:basedOn w:val="54"/>
    <w:qFormat/>
    <w:uiPriority w:val="0"/>
  </w:style>
  <w:style w:type="character" w:customStyle="1" w:styleId="138">
    <w:name w:val="普通文字 Char Char2"/>
    <w:qFormat/>
    <w:uiPriority w:val="0"/>
    <w:rPr>
      <w:rFonts w:ascii="宋体" w:hAnsi="Courier New" w:eastAsia="宋体"/>
      <w:kern w:val="2"/>
      <w:sz w:val="21"/>
      <w:lang w:val="en-US" w:eastAsia="zh-CN" w:bidi="ar-SA"/>
    </w:rPr>
  </w:style>
  <w:style w:type="character" w:customStyle="1" w:styleId="139">
    <w:name w:val="apple-converted-space"/>
    <w:basedOn w:val="54"/>
    <w:qFormat/>
    <w:uiPriority w:val="0"/>
  </w:style>
  <w:style w:type="character" w:customStyle="1" w:styleId="140">
    <w:name w:val="标题 Char1"/>
    <w:qFormat/>
    <w:uiPriority w:val="0"/>
    <w:rPr>
      <w:rFonts w:hint="default" w:ascii="Cambria" w:hAnsi="Cambria" w:cs="Times New Roman"/>
      <w:b/>
      <w:bCs/>
      <w:kern w:val="2"/>
      <w:sz w:val="32"/>
      <w:szCs w:val="32"/>
    </w:rPr>
  </w:style>
  <w:style w:type="character" w:customStyle="1" w:styleId="141">
    <w:name w:val="ca-4"/>
    <w:basedOn w:val="54"/>
    <w:qFormat/>
    <w:uiPriority w:val="0"/>
  </w:style>
  <w:style w:type="character" w:customStyle="1" w:styleId="142">
    <w:name w:val="ca-2"/>
    <w:basedOn w:val="54"/>
    <w:qFormat/>
    <w:uiPriority w:val="0"/>
  </w:style>
  <w:style w:type="character" w:customStyle="1" w:styleId="143">
    <w:name w:val="Char Char10"/>
    <w:semiHidden/>
    <w:qFormat/>
    <w:uiPriority w:val="0"/>
    <w:rPr>
      <w:rFonts w:hint="eastAsia" w:ascii="宋体" w:hAnsi="宋体" w:eastAsia="宋体"/>
      <w:kern w:val="2"/>
      <w:sz w:val="24"/>
      <w:szCs w:val="24"/>
      <w:lang w:val="en-US" w:eastAsia="zh-CN" w:bidi="ar-SA"/>
    </w:rPr>
  </w:style>
  <w:style w:type="character" w:customStyle="1" w:styleId="144">
    <w:name w:val="1ji Char Char"/>
    <w:qFormat/>
    <w:locked/>
    <w:uiPriority w:val="0"/>
    <w:rPr>
      <w:rFonts w:ascii="宋体" w:hAnsi="宋体" w:eastAsia="宋体"/>
      <w:b/>
      <w:bCs/>
      <w:kern w:val="44"/>
      <w:sz w:val="36"/>
      <w:szCs w:val="44"/>
    </w:rPr>
  </w:style>
  <w:style w:type="character" w:customStyle="1" w:styleId="145">
    <w:name w:val="H1 Char1"/>
    <w:qFormat/>
    <w:uiPriority w:val="0"/>
    <w:rPr>
      <w:rFonts w:eastAsia="宋体"/>
      <w:b/>
      <w:bCs/>
      <w:kern w:val="44"/>
      <w:sz w:val="44"/>
      <w:szCs w:val="44"/>
      <w:lang w:val="en-US" w:eastAsia="zh-CN" w:bidi="ar-SA"/>
    </w:rPr>
  </w:style>
  <w:style w:type="character" w:customStyle="1" w:styleId="146">
    <w:name w:val="Char Char1011"/>
    <w:semiHidden/>
    <w:qFormat/>
    <w:uiPriority w:val="0"/>
    <w:rPr>
      <w:rFonts w:eastAsia="宋体"/>
      <w:kern w:val="2"/>
      <w:sz w:val="24"/>
      <w:szCs w:val="24"/>
      <w:lang w:val="en-US" w:eastAsia="zh-CN" w:bidi="ar-SA"/>
    </w:rPr>
  </w:style>
  <w:style w:type="character" w:customStyle="1" w:styleId="147">
    <w:name w:val="Char Char1411"/>
    <w:qFormat/>
    <w:uiPriority w:val="0"/>
    <w:rPr>
      <w:sz w:val="18"/>
      <w:szCs w:val="18"/>
    </w:rPr>
  </w:style>
  <w:style w:type="character" w:customStyle="1" w:styleId="148">
    <w:name w:val="H1 Char2"/>
    <w:qFormat/>
    <w:uiPriority w:val="0"/>
    <w:rPr>
      <w:rFonts w:eastAsia="宋体"/>
      <w:b/>
      <w:bCs/>
      <w:kern w:val="44"/>
      <w:sz w:val="44"/>
      <w:szCs w:val="44"/>
      <w:lang w:val="en-US" w:eastAsia="zh-CN" w:bidi="ar-SA"/>
    </w:rPr>
  </w:style>
  <w:style w:type="character" w:customStyle="1" w:styleId="149">
    <w:name w:val="无间隔 Char Char"/>
    <w:qFormat/>
    <w:uiPriority w:val="0"/>
    <w:rPr>
      <w:rFonts w:ascii="Calibri" w:hAnsi="Calibri" w:eastAsia="宋体"/>
      <w:sz w:val="22"/>
      <w:szCs w:val="22"/>
      <w:lang w:val="en-US" w:eastAsia="zh-CN" w:bidi="ar-SA"/>
    </w:rPr>
  </w:style>
  <w:style w:type="character" w:customStyle="1" w:styleId="150">
    <w:name w:val="正文文本缩进 Char1"/>
    <w:semiHidden/>
    <w:qFormat/>
    <w:uiPriority w:val="0"/>
    <w:rPr>
      <w:kern w:val="2"/>
      <w:sz w:val="21"/>
      <w:szCs w:val="22"/>
    </w:rPr>
  </w:style>
  <w:style w:type="character" w:customStyle="1" w:styleId="151">
    <w:name w:val="font31"/>
    <w:basedOn w:val="54"/>
    <w:qFormat/>
    <w:uiPriority w:val="0"/>
    <w:rPr>
      <w:rFonts w:hint="eastAsia" w:ascii="宋体" w:hAnsi="宋体" w:eastAsia="宋体" w:cs="宋体"/>
      <w:color w:val="000000"/>
      <w:sz w:val="16"/>
      <w:szCs w:val="16"/>
      <w:u w:val="none"/>
    </w:rPr>
  </w:style>
  <w:style w:type="character" w:customStyle="1" w:styleId="152">
    <w:name w:val="Char Char4"/>
    <w:qFormat/>
    <w:locked/>
    <w:uiPriority w:val="0"/>
    <w:rPr>
      <w:rFonts w:ascii="宋体" w:hAnsi="Courier New" w:eastAsia="宋体" w:cs="Courier New"/>
      <w:kern w:val="2"/>
      <w:sz w:val="21"/>
      <w:szCs w:val="21"/>
      <w:lang w:val="en-US" w:eastAsia="zh-CN" w:bidi="ar-SA"/>
    </w:rPr>
  </w:style>
  <w:style w:type="character" w:customStyle="1" w:styleId="153">
    <w:name w:val="Char Char21"/>
    <w:qFormat/>
    <w:uiPriority w:val="0"/>
    <w:rPr>
      <w:rFonts w:ascii="宋体" w:eastAsia="宋体"/>
      <w:sz w:val="24"/>
    </w:rPr>
  </w:style>
  <w:style w:type="character" w:customStyle="1" w:styleId="154">
    <w:name w:val="Char Char11"/>
    <w:qFormat/>
    <w:uiPriority w:val="0"/>
    <w:rPr>
      <w:rFonts w:ascii="Times New Roman" w:hAnsi="Times New Roman" w:eastAsia="宋体" w:cs="Times New Roman"/>
      <w:sz w:val="30"/>
      <w:szCs w:val="24"/>
    </w:rPr>
  </w:style>
  <w:style w:type="character" w:customStyle="1" w:styleId="155">
    <w:name w:val="font21"/>
    <w:basedOn w:val="54"/>
    <w:qFormat/>
    <w:uiPriority w:val="0"/>
    <w:rPr>
      <w:rFonts w:ascii="Calibri" w:hAnsi="Calibri" w:cs="Calibri"/>
      <w:color w:val="000000"/>
      <w:sz w:val="20"/>
      <w:szCs w:val="20"/>
      <w:u w:val="none"/>
    </w:rPr>
  </w:style>
  <w:style w:type="character" w:customStyle="1" w:styleId="156">
    <w:name w:val="彩色列表 - 强调文字颜色 1 Char"/>
    <w:qFormat/>
    <w:locked/>
    <w:uiPriority w:val="34"/>
    <w:rPr>
      <w:rFonts w:ascii="Calibri" w:hAnsi="Calibri"/>
      <w:sz w:val="24"/>
      <w:szCs w:val="24"/>
      <w:lang w:eastAsia="en-US"/>
    </w:rPr>
  </w:style>
  <w:style w:type="character" w:customStyle="1" w:styleId="157">
    <w:name w:val="Char Char111"/>
    <w:qFormat/>
    <w:uiPriority w:val="0"/>
    <w:rPr>
      <w:rFonts w:hint="default" w:ascii="Times New Roman" w:hAnsi="Times New Roman" w:eastAsia="宋体" w:cs="Times New Roman"/>
      <w:sz w:val="30"/>
      <w:szCs w:val="24"/>
    </w:rPr>
  </w:style>
  <w:style w:type="character" w:customStyle="1" w:styleId="158">
    <w:name w:val="ca-14"/>
    <w:basedOn w:val="54"/>
    <w:qFormat/>
    <w:uiPriority w:val="0"/>
  </w:style>
  <w:style w:type="character" w:customStyle="1" w:styleId="159">
    <w:name w:val="font11"/>
    <w:qFormat/>
    <w:uiPriority w:val="0"/>
    <w:rPr>
      <w:rFonts w:hint="eastAsia" w:ascii="宋体" w:hAnsi="宋体" w:eastAsia="宋体" w:cs="宋体"/>
      <w:color w:val="FF0000"/>
      <w:sz w:val="16"/>
      <w:szCs w:val="16"/>
      <w:u w:val="none"/>
    </w:rPr>
  </w:style>
  <w:style w:type="character" w:customStyle="1" w:styleId="160">
    <w:name w:val="row08"/>
    <w:qFormat/>
    <w:uiPriority w:val="0"/>
    <w:rPr>
      <w:rFonts w:cs="Times New Roman"/>
      <w:lang w:bidi="ar-SA"/>
    </w:rPr>
  </w:style>
  <w:style w:type="character" w:customStyle="1" w:styleId="161">
    <w:name w:val="列出段落 Char"/>
    <w:link w:val="162"/>
    <w:qFormat/>
    <w:uiPriority w:val="0"/>
    <w:rPr>
      <w:rFonts w:ascii="Calibri" w:hAnsi="Calibri" w:eastAsia="宋体"/>
      <w:kern w:val="2"/>
      <w:sz w:val="21"/>
      <w:szCs w:val="22"/>
      <w:lang w:val="en-US" w:eastAsia="zh-CN" w:bidi="ar-SA"/>
    </w:rPr>
  </w:style>
  <w:style w:type="paragraph" w:customStyle="1" w:styleId="162">
    <w:name w:val="列出段落3"/>
    <w:basedOn w:val="1"/>
    <w:link w:val="161"/>
    <w:qFormat/>
    <w:uiPriority w:val="0"/>
    <w:pPr>
      <w:ind w:firstLine="420" w:firstLineChars="200"/>
    </w:pPr>
    <w:rPr>
      <w:rFonts w:ascii="Calibri" w:hAnsi="Calibri"/>
      <w:szCs w:val="22"/>
    </w:rPr>
  </w:style>
  <w:style w:type="character" w:customStyle="1" w:styleId="163">
    <w:name w:val="自定义标题一 Char"/>
    <w:link w:val="164"/>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164">
    <w:name w:val="自定义标题一"/>
    <w:basedOn w:val="3"/>
    <w:link w:val="163"/>
    <w:qFormat/>
    <w:uiPriority w:val="0"/>
    <w:pPr>
      <w:pageBreakBefore/>
      <w:tabs>
        <w:tab w:val="left" w:pos="144"/>
      </w:tabs>
      <w:spacing w:before="0" w:after="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165">
    <w:name w:val="Char Char6"/>
    <w:qFormat/>
    <w:locked/>
    <w:uiPriority w:val="0"/>
    <w:rPr>
      <w:rFonts w:ascii="宋体" w:hAnsi="Courier New" w:eastAsia="宋体" w:cs="Courier New"/>
      <w:kern w:val="2"/>
      <w:sz w:val="21"/>
      <w:szCs w:val="21"/>
      <w:lang w:val="en-US" w:eastAsia="zh-CN" w:bidi="ar-SA"/>
    </w:rPr>
  </w:style>
  <w:style w:type="character" w:customStyle="1" w:styleId="166">
    <w:name w:val="ca-15"/>
    <w:basedOn w:val="54"/>
    <w:qFormat/>
    <w:uiPriority w:val="0"/>
  </w:style>
  <w:style w:type="character" w:customStyle="1" w:styleId="167">
    <w:name w:val="Char Char28"/>
    <w:qFormat/>
    <w:locked/>
    <w:uiPriority w:val="0"/>
    <w:rPr>
      <w:rFonts w:eastAsia="宋体"/>
      <w:b/>
      <w:bCs/>
      <w:kern w:val="44"/>
      <w:sz w:val="44"/>
      <w:szCs w:val="44"/>
      <w:lang w:val="en-US" w:eastAsia="zh-CN" w:bidi="ar-SA"/>
    </w:rPr>
  </w:style>
  <w:style w:type="character" w:customStyle="1" w:styleId="168">
    <w:name w:val="Char Char Char Char Char11"/>
    <w:qFormat/>
    <w:uiPriority w:val="0"/>
    <w:rPr>
      <w:rFonts w:eastAsia="宋体"/>
      <w:b/>
      <w:bCs/>
      <w:kern w:val="44"/>
      <w:sz w:val="44"/>
      <w:szCs w:val="44"/>
      <w:lang w:val="en-US" w:eastAsia="zh-CN" w:bidi="ar-SA"/>
    </w:rPr>
  </w:style>
  <w:style w:type="character" w:customStyle="1" w:styleId="169">
    <w:name w:val="正文2 Char Char"/>
    <w:link w:val="170"/>
    <w:qFormat/>
    <w:locked/>
    <w:uiPriority w:val="0"/>
    <w:rPr>
      <w:kern w:val="2"/>
      <w:sz w:val="28"/>
      <w:szCs w:val="22"/>
      <w:lang w:bidi="ar-SA"/>
    </w:rPr>
  </w:style>
  <w:style w:type="paragraph" w:customStyle="1" w:styleId="170">
    <w:name w:val="正文2"/>
    <w:basedOn w:val="1"/>
    <w:link w:val="169"/>
    <w:qFormat/>
    <w:uiPriority w:val="0"/>
    <w:pPr>
      <w:spacing w:line="360" w:lineRule="auto"/>
      <w:ind w:firstLine="200" w:firstLineChars="200"/>
    </w:pPr>
    <w:rPr>
      <w:sz w:val="28"/>
      <w:szCs w:val="22"/>
    </w:rPr>
  </w:style>
  <w:style w:type="character" w:customStyle="1" w:styleId="171">
    <w:name w:val="正文文字首行缩进 Char"/>
    <w:qFormat/>
    <w:locked/>
    <w:uiPriority w:val="0"/>
    <w:rPr>
      <w:rFonts w:ascii="仿宋_GB2312" w:eastAsia="仿宋_GB2312"/>
      <w:kern w:val="2"/>
      <w:sz w:val="32"/>
    </w:rPr>
  </w:style>
  <w:style w:type="character" w:customStyle="1" w:styleId="172">
    <w:name w:val="Char Char"/>
    <w:qFormat/>
    <w:uiPriority w:val="0"/>
    <w:rPr>
      <w:rFonts w:ascii="宋体" w:eastAsia="宋体" w:cs="Courier New"/>
      <w:kern w:val="2"/>
      <w:sz w:val="21"/>
      <w:szCs w:val="21"/>
      <w:lang w:val="en-US" w:eastAsia="zh-CN" w:bidi="ar-SA"/>
    </w:rPr>
  </w:style>
  <w:style w:type="character" w:customStyle="1" w:styleId="173">
    <w:name w:val="H1 Char"/>
    <w:qFormat/>
    <w:uiPriority w:val="0"/>
    <w:rPr>
      <w:rFonts w:eastAsia="宋体"/>
      <w:b/>
      <w:bCs/>
      <w:kern w:val="44"/>
      <w:sz w:val="44"/>
      <w:szCs w:val="44"/>
      <w:lang w:val="en-US" w:eastAsia="zh-CN" w:bidi="ar-SA"/>
    </w:rPr>
  </w:style>
  <w:style w:type="character" w:customStyle="1" w:styleId="174">
    <w:name w:val="Plain Text Char"/>
    <w:link w:val="175"/>
    <w:qFormat/>
    <w:locked/>
    <w:uiPriority w:val="0"/>
    <w:rPr>
      <w:rFonts w:ascii="宋体" w:hAnsi="Courier New" w:eastAsia="宋体"/>
      <w:kern w:val="2"/>
      <w:sz w:val="21"/>
    </w:rPr>
  </w:style>
  <w:style w:type="paragraph" w:customStyle="1" w:styleId="175">
    <w:name w:val="纯文本1"/>
    <w:basedOn w:val="1"/>
    <w:link w:val="174"/>
    <w:qFormat/>
    <w:uiPriority w:val="0"/>
    <w:rPr>
      <w:rFonts w:ascii="宋体" w:hAnsi="Courier New"/>
      <w:szCs w:val="20"/>
    </w:rPr>
  </w:style>
  <w:style w:type="character" w:customStyle="1" w:styleId="176">
    <w:name w:val="style31"/>
    <w:qFormat/>
    <w:uiPriority w:val="0"/>
    <w:rPr>
      <w:sz w:val="18"/>
      <w:szCs w:val="18"/>
    </w:rPr>
  </w:style>
  <w:style w:type="character" w:customStyle="1" w:styleId="177">
    <w:name w:val="纯文本 字符"/>
    <w:qFormat/>
    <w:uiPriority w:val="0"/>
    <w:rPr>
      <w:rFonts w:ascii="宋体" w:hAnsi="Courier New" w:eastAsia="宋体" w:cs="Courier New"/>
      <w:kern w:val="2"/>
      <w:sz w:val="21"/>
      <w:szCs w:val="21"/>
      <w:lang w:val="en-US" w:eastAsia="zh-CN" w:bidi="ar-SA"/>
    </w:rPr>
  </w:style>
  <w:style w:type="character" w:customStyle="1" w:styleId="178">
    <w:name w:val="ti"/>
    <w:basedOn w:val="54"/>
    <w:qFormat/>
    <w:uiPriority w:val="0"/>
  </w:style>
  <w:style w:type="character" w:customStyle="1" w:styleId="179">
    <w:name w:val="1ji Char"/>
    <w:link w:val="180"/>
    <w:qFormat/>
    <w:uiPriority w:val="0"/>
    <w:rPr>
      <w:rFonts w:ascii="宋体" w:hAnsi="宋体" w:eastAsia="宋体"/>
      <w:b/>
      <w:bCs/>
      <w:kern w:val="44"/>
      <w:sz w:val="36"/>
      <w:szCs w:val="44"/>
      <w:lang w:val="en-US" w:eastAsia="zh-CN" w:bidi="ar-SA"/>
    </w:rPr>
  </w:style>
  <w:style w:type="paragraph" w:customStyle="1" w:styleId="180">
    <w:name w:val="1ji"/>
    <w:basedOn w:val="3"/>
    <w:link w:val="179"/>
    <w:qFormat/>
    <w:uiPriority w:val="0"/>
    <w:pPr>
      <w:keepLines w:val="0"/>
      <w:widowControl/>
      <w:spacing w:before="0" w:after="0" w:line="240" w:lineRule="auto"/>
      <w:jc w:val="center"/>
    </w:pPr>
    <w:rPr>
      <w:rFonts w:ascii="宋体" w:hAnsi="宋体"/>
      <w:sz w:val="36"/>
    </w:rPr>
  </w:style>
  <w:style w:type="character" w:customStyle="1" w:styleId="181">
    <w:name w:val="Char Char2311"/>
    <w:qFormat/>
    <w:uiPriority w:val="0"/>
    <w:rPr>
      <w:rFonts w:ascii="Times New Roman" w:hAnsi="Times New Roman" w:eastAsia="宋体" w:cs="Times New Roman"/>
      <w:b/>
      <w:bCs/>
      <w:kern w:val="44"/>
      <w:sz w:val="44"/>
      <w:szCs w:val="44"/>
    </w:rPr>
  </w:style>
  <w:style w:type="character" w:customStyle="1" w:styleId="182">
    <w:name w:val="ca-13"/>
    <w:basedOn w:val="54"/>
    <w:qFormat/>
    <w:uiPriority w:val="0"/>
  </w:style>
  <w:style w:type="character" w:customStyle="1" w:styleId="183">
    <w:name w:val="纯文本 Char1"/>
    <w:qFormat/>
    <w:uiPriority w:val="99"/>
    <w:rPr>
      <w:rFonts w:ascii="宋体" w:hAnsi="Courier New" w:eastAsia="宋体" w:cs="Courier New"/>
      <w:kern w:val="2"/>
      <w:sz w:val="21"/>
      <w:szCs w:val="21"/>
      <w:lang w:val="en-US" w:eastAsia="zh-CN" w:bidi="ar-SA"/>
    </w:rPr>
  </w:style>
  <w:style w:type="character" w:customStyle="1" w:styleId="184">
    <w:name w:val="font51"/>
    <w:basedOn w:val="54"/>
    <w:qFormat/>
    <w:uiPriority w:val="0"/>
    <w:rPr>
      <w:rFonts w:hint="eastAsia" w:ascii="宋体" w:hAnsi="宋体" w:eastAsia="宋体" w:cs="宋体"/>
      <w:color w:val="FF0000"/>
      <w:sz w:val="18"/>
      <w:szCs w:val="18"/>
      <w:u w:val="none"/>
      <w:vertAlign w:val="superscript"/>
    </w:rPr>
  </w:style>
  <w:style w:type="character" w:customStyle="1" w:styleId="185">
    <w:name w:val="ca-6"/>
    <w:basedOn w:val="54"/>
    <w:qFormat/>
    <w:uiPriority w:val="0"/>
  </w:style>
  <w:style w:type="character" w:customStyle="1" w:styleId="186">
    <w:name w:val="style161"/>
    <w:qFormat/>
    <w:uiPriority w:val="0"/>
    <w:rPr>
      <w:color w:val="666666"/>
    </w:rPr>
  </w:style>
  <w:style w:type="character" w:customStyle="1" w:styleId="187">
    <w:name w:val="Char Char1511"/>
    <w:qFormat/>
    <w:uiPriority w:val="0"/>
    <w:rPr>
      <w:sz w:val="18"/>
      <w:szCs w:val="18"/>
    </w:rPr>
  </w:style>
  <w:style w:type="character" w:customStyle="1" w:styleId="188">
    <w:name w:val="llyf92"/>
    <w:qFormat/>
    <w:uiPriority w:val="0"/>
    <w:rPr>
      <w:sz w:val="18"/>
      <w:szCs w:val="18"/>
    </w:rPr>
  </w:style>
  <w:style w:type="paragraph" w:customStyle="1" w:styleId="189">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90">
    <w:name w:val="Char Char1 Char Char Char Char1"/>
    <w:basedOn w:val="16"/>
    <w:qFormat/>
    <w:uiPriority w:val="0"/>
    <w:rPr>
      <w:rFonts w:ascii="Tahoma" w:hAnsi="Tahoma"/>
      <w:sz w:val="24"/>
    </w:rPr>
  </w:style>
  <w:style w:type="paragraph" w:customStyle="1" w:styleId="191">
    <w:name w:val="表-正文"/>
    <w:basedOn w:val="1"/>
    <w:qFormat/>
    <w:uiPriority w:val="0"/>
    <w:pPr>
      <w:autoSpaceDE w:val="0"/>
      <w:autoSpaceDN w:val="0"/>
      <w:adjustRightInd w:val="0"/>
      <w:spacing w:line="240" w:lineRule="atLeast"/>
      <w:jc w:val="center"/>
    </w:pPr>
    <w:rPr>
      <w:rFonts w:ascii="方正中等线简体 Regular" w:hAnsi="Calibri" w:eastAsia="方正中等线简体 Regular" w:cs="方正中等线简体 Regular"/>
      <w:color w:val="000000"/>
      <w:kern w:val="0"/>
      <w:sz w:val="18"/>
      <w:szCs w:val="18"/>
      <w:lang w:val="zh-CN"/>
    </w:rPr>
  </w:style>
  <w:style w:type="paragraph" w:customStyle="1" w:styleId="192">
    <w:name w:val="Char Char1121"/>
    <w:basedOn w:val="1"/>
    <w:qFormat/>
    <w:uiPriority w:val="0"/>
    <w:pPr>
      <w:widowControl/>
      <w:spacing w:line="240" w:lineRule="exact"/>
      <w:jc w:val="left"/>
    </w:pPr>
    <w:rPr>
      <w:rFonts w:ascii="Verdana" w:hAnsi="Verdana" w:eastAsia="楷体_GB2312" w:cs="宋体"/>
      <w:b/>
      <w:i/>
      <w:iCs/>
      <w:color w:val="000000"/>
      <w:kern w:val="0"/>
      <w:sz w:val="20"/>
      <w:lang w:eastAsia="en-US"/>
    </w:rPr>
  </w:style>
  <w:style w:type="paragraph" w:customStyle="1" w:styleId="193">
    <w:name w:val="列出段落1"/>
    <w:qFormat/>
    <w:uiPriority w:val="0"/>
    <w:pPr>
      <w:spacing w:after="160" w:line="278" w:lineRule="auto"/>
      <w:ind w:firstLine="420" w:firstLineChars="200"/>
    </w:pPr>
    <w:rPr>
      <w:rFonts w:ascii="Times New Roman" w:hAnsi="Times New Roman" w:eastAsia="宋体" w:cs="Times New Roman"/>
      <w:szCs w:val="22"/>
      <w:lang w:val="en-US" w:eastAsia="zh-CN" w:bidi="ar-SA"/>
    </w:rPr>
  </w:style>
  <w:style w:type="paragraph" w:customStyle="1" w:styleId="194">
    <w:name w:val="标准文本"/>
    <w:basedOn w:val="1"/>
    <w:qFormat/>
    <w:uiPriority w:val="0"/>
    <w:pPr>
      <w:spacing w:line="360" w:lineRule="auto"/>
      <w:ind w:firstLine="200" w:firstLineChars="200"/>
    </w:pPr>
    <w:rPr>
      <w:kern w:val="0"/>
      <w:sz w:val="24"/>
      <w:szCs w:val="20"/>
    </w:rPr>
  </w:style>
  <w:style w:type="paragraph" w:customStyle="1" w:styleId="195">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196">
    <w:name w:val="font10"/>
    <w:basedOn w:val="1"/>
    <w:qFormat/>
    <w:uiPriority w:val="0"/>
    <w:pPr>
      <w:widowControl/>
      <w:spacing w:before="100" w:beforeAutospacing="1" w:after="100" w:afterAutospacing="1"/>
      <w:jc w:val="left"/>
    </w:pPr>
    <w:rPr>
      <w:color w:val="000000"/>
      <w:kern w:val="0"/>
      <w:sz w:val="24"/>
    </w:rPr>
  </w:style>
  <w:style w:type="paragraph" w:customStyle="1" w:styleId="197">
    <w:name w:val="Char Char Char Char Char Char Char Char Char Char Char Char"/>
    <w:basedOn w:val="1"/>
    <w:qFormat/>
    <w:uiPriority w:val="0"/>
    <w:pPr>
      <w:widowControl/>
      <w:spacing w:line="240" w:lineRule="exact"/>
      <w:jc w:val="left"/>
    </w:pPr>
    <w:rPr>
      <w:rFonts w:ascii="Verdana" w:hAnsi="Verdana"/>
      <w:kern w:val="0"/>
      <w:sz w:val="20"/>
      <w:szCs w:val="20"/>
      <w:lang w:eastAsia="en-US"/>
    </w:rPr>
  </w:style>
  <w:style w:type="paragraph" w:customStyle="1" w:styleId="198">
    <w:name w:val="列出段落2"/>
    <w:basedOn w:val="1"/>
    <w:qFormat/>
    <w:uiPriority w:val="0"/>
    <w:pPr>
      <w:ind w:firstLine="420" w:firstLineChars="200"/>
    </w:pPr>
    <w:rPr>
      <w:sz w:val="24"/>
    </w:rPr>
  </w:style>
  <w:style w:type="paragraph" w:customStyle="1" w:styleId="199">
    <w:name w:val="Char Char18"/>
    <w:basedOn w:val="16"/>
    <w:qFormat/>
    <w:uiPriority w:val="0"/>
    <w:pPr>
      <w:widowControl/>
      <w:ind w:firstLine="454"/>
      <w:jc w:val="left"/>
    </w:pPr>
    <w:rPr>
      <w:rFonts w:ascii="Tahoma" w:hAnsi="Tahoma" w:cs="宋体"/>
      <w:kern w:val="0"/>
      <w:sz w:val="24"/>
      <w:szCs w:val="20"/>
    </w:rPr>
  </w:style>
  <w:style w:type="paragraph" w:customStyle="1" w:styleId="200">
    <w:name w:val="Char Char Char Char Char Char Char Char Char"/>
    <w:basedOn w:val="1"/>
    <w:qFormat/>
    <w:uiPriority w:val="0"/>
    <w:pPr>
      <w:widowControl/>
      <w:spacing w:line="240" w:lineRule="exact"/>
      <w:jc w:val="left"/>
    </w:pPr>
    <w:rPr>
      <w:szCs w:val="20"/>
    </w:rPr>
  </w:style>
  <w:style w:type="paragraph" w:customStyle="1" w:styleId="201">
    <w:name w:val="Table Paragraph"/>
    <w:basedOn w:val="1"/>
    <w:qFormat/>
    <w:uiPriority w:val="1"/>
    <w:rPr>
      <w:rFonts w:ascii="宋体" w:hAnsi="宋体" w:cs="宋体"/>
      <w:lang w:val="zh-CN" w:bidi="zh-CN"/>
    </w:rPr>
  </w:style>
  <w:style w:type="paragraph" w:customStyle="1" w:styleId="202">
    <w:name w:val="纯文本111"/>
    <w:basedOn w:val="1"/>
    <w:qFormat/>
    <w:uiPriority w:val="0"/>
    <w:rPr>
      <w:rFonts w:ascii="宋体"/>
      <w:szCs w:val="21"/>
    </w:rPr>
  </w:style>
  <w:style w:type="paragraph" w:customStyle="1" w:styleId="203">
    <w:name w:val="1"/>
    <w:basedOn w:val="1"/>
    <w:next w:val="29"/>
    <w:qFormat/>
    <w:uiPriority w:val="0"/>
    <w:rPr>
      <w:rFonts w:ascii="宋体" w:hAnsi="Courier New"/>
      <w:szCs w:val="20"/>
    </w:rPr>
  </w:style>
  <w:style w:type="paragraph" w:customStyle="1" w:styleId="204">
    <w:name w:val="文章附标题"/>
    <w:basedOn w:val="1"/>
    <w:next w:val="3"/>
    <w:qFormat/>
    <w:uiPriority w:val="0"/>
    <w:pPr>
      <w:widowControl/>
      <w:spacing w:before="187" w:after="175" w:line="374" w:lineRule="atLeast"/>
      <w:jc w:val="center"/>
      <w:textAlignment w:val="baseline"/>
    </w:pPr>
    <w:rPr>
      <w:color w:val="000000"/>
      <w:kern w:val="0"/>
      <w:sz w:val="36"/>
      <w:szCs w:val="20"/>
    </w:rPr>
  </w:style>
  <w:style w:type="paragraph" w:customStyle="1" w:styleId="205">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206">
    <w:name w:val="Char2"/>
    <w:basedOn w:val="1"/>
    <w:qFormat/>
    <w:uiPriority w:val="0"/>
    <w:rPr>
      <w:szCs w:val="20"/>
    </w:rPr>
  </w:style>
  <w:style w:type="paragraph" w:customStyle="1" w:styleId="207">
    <w:name w:val="_Style 205"/>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08">
    <w:name w:val="正文文本缩进 Char Char Char Char"/>
    <w:basedOn w:val="1"/>
    <w:qFormat/>
    <w:uiPriority w:val="0"/>
    <w:pPr>
      <w:ind w:firstLine="540"/>
    </w:pPr>
    <w:rPr>
      <w:rFonts w:hint="eastAsia" w:ascii="宋体" w:hAnsi="Courier New"/>
      <w:szCs w:val="20"/>
    </w:rPr>
  </w:style>
  <w:style w:type="paragraph" w:customStyle="1" w:styleId="209">
    <w:name w:val="Char Char19 Char Char Char Char"/>
    <w:basedOn w:val="16"/>
    <w:qFormat/>
    <w:uiPriority w:val="0"/>
    <w:pPr>
      <w:widowControl/>
      <w:ind w:firstLine="454"/>
      <w:jc w:val="left"/>
    </w:pPr>
  </w:style>
  <w:style w:type="paragraph" w:customStyle="1" w:styleId="210">
    <w:name w:val="pa-14"/>
    <w:basedOn w:val="1"/>
    <w:qFormat/>
    <w:uiPriority w:val="0"/>
    <w:pPr>
      <w:widowControl/>
      <w:spacing w:before="169" w:after="169"/>
      <w:jc w:val="left"/>
    </w:pPr>
    <w:rPr>
      <w:rFonts w:ascii="宋体" w:hAnsi="宋体" w:cs="宋体"/>
      <w:kern w:val="0"/>
      <w:sz w:val="24"/>
    </w:rPr>
  </w:style>
  <w:style w:type="paragraph" w:customStyle="1" w:styleId="211">
    <w:name w:val="标题3"/>
    <w:basedOn w:val="5"/>
    <w:qFormat/>
    <w:uiPriority w:val="0"/>
    <w:pPr>
      <w:keepLines w:val="0"/>
      <w:widowControl/>
      <w:tabs>
        <w:tab w:val="left" w:pos="1247"/>
      </w:tabs>
      <w:spacing w:before="240" w:after="120" w:line="360" w:lineRule="auto"/>
      <w:ind w:left="1247" w:hanging="1247"/>
      <w:jc w:val="left"/>
    </w:pPr>
    <w:rPr>
      <w:rFonts w:ascii="Arial" w:hAnsi="Arial"/>
      <w:sz w:val="52"/>
      <w:szCs w:val="52"/>
    </w:rPr>
  </w:style>
  <w:style w:type="paragraph" w:customStyle="1" w:styleId="212">
    <w:name w:val="msolistparagraph"/>
    <w:basedOn w:val="1"/>
    <w:qFormat/>
    <w:uiPriority w:val="0"/>
    <w:pPr>
      <w:ind w:firstLine="420" w:firstLineChars="200"/>
    </w:pPr>
    <w:rPr>
      <w:rFonts w:ascii="Calibri" w:hAnsi="Calibri"/>
      <w:szCs w:val="22"/>
    </w:rPr>
  </w:style>
  <w:style w:type="paragraph" w:customStyle="1" w:styleId="213">
    <w:name w:val="标准正文"/>
    <w:basedOn w:val="1"/>
    <w:qFormat/>
    <w:uiPriority w:val="0"/>
    <w:pPr>
      <w:spacing w:before="60" w:after="60" w:line="360" w:lineRule="auto"/>
      <w:ind w:firstLine="482"/>
    </w:pPr>
    <w:rPr>
      <w:rFonts w:ascii="Arial" w:hAnsi="Arial"/>
      <w:color w:val="000000"/>
      <w:sz w:val="24"/>
      <w:szCs w:val="20"/>
    </w:rPr>
  </w:style>
  <w:style w:type="paragraph" w:customStyle="1" w:styleId="214">
    <w:name w:val="pa-6"/>
    <w:basedOn w:val="1"/>
    <w:qFormat/>
    <w:uiPriority w:val="0"/>
    <w:pPr>
      <w:widowControl/>
      <w:spacing w:before="169" w:after="169"/>
      <w:jc w:val="left"/>
    </w:pPr>
    <w:rPr>
      <w:rFonts w:ascii="宋体" w:hAnsi="宋体" w:cs="宋体"/>
      <w:kern w:val="0"/>
      <w:sz w:val="24"/>
    </w:rPr>
  </w:style>
  <w:style w:type="paragraph" w:customStyle="1" w:styleId="215">
    <w:name w:val="_Style 213"/>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216">
    <w:name w:val="pa-4"/>
    <w:basedOn w:val="1"/>
    <w:qFormat/>
    <w:uiPriority w:val="0"/>
    <w:pPr>
      <w:widowControl/>
      <w:spacing w:before="169" w:after="169"/>
      <w:jc w:val="left"/>
    </w:pPr>
    <w:rPr>
      <w:rFonts w:ascii="宋体" w:hAnsi="宋体" w:cs="宋体"/>
      <w:kern w:val="0"/>
      <w:sz w:val="24"/>
    </w:rPr>
  </w:style>
  <w:style w:type="paragraph" w:customStyle="1" w:styleId="217">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21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表格题注"/>
    <w:next w:val="1"/>
    <w:qFormat/>
    <w:uiPriority w:val="0"/>
    <w:pPr>
      <w:keepLines/>
      <w:spacing w:before="312" w:beforeLines="100" w:after="160" w:line="278" w:lineRule="auto"/>
      <w:ind w:left="1089" w:hanging="369"/>
      <w:jc w:val="center"/>
    </w:pPr>
    <w:rPr>
      <w:rFonts w:ascii="Arial" w:hAnsi="Arial" w:eastAsia="宋体" w:cs="Times New Roman"/>
      <w:sz w:val="18"/>
      <w:szCs w:val="18"/>
      <w:lang w:val="en-US" w:eastAsia="zh-CN" w:bidi="ar-SA"/>
    </w:rPr>
  </w:style>
  <w:style w:type="paragraph" w:customStyle="1" w:styleId="221">
    <w:name w:val="7"/>
    <w:basedOn w:val="16"/>
    <w:qFormat/>
    <w:uiPriority w:val="0"/>
    <w:pPr>
      <w:widowControl/>
      <w:ind w:firstLine="454"/>
      <w:jc w:val="left"/>
    </w:pPr>
    <w:rPr>
      <w:rFonts w:ascii="Tahoma" w:hAnsi="Tahoma" w:cs="宋体"/>
      <w:kern w:val="0"/>
      <w:sz w:val="24"/>
      <w:szCs w:val="20"/>
    </w:rPr>
  </w:style>
  <w:style w:type="paragraph" w:customStyle="1" w:styleId="222">
    <w:name w:val="Char Char1"/>
    <w:basedOn w:val="1"/>
    <w:qFormat/>
    <w:uiPriority w:val="0"/>
    <w:pPr>
      <w:widowControl/>
      <w:spacing w:line="240" w:lineRule="exact"/>
      <w:jc w:val="left"/>
    </w:pPr>
    <w:rPr>
      <w:rFonts w:ascii="Verdana" w:hAnsi="Verdana" w:eastAsia="楷体_GB2312" w:cs="宋体"/>
      <w:b/>
      <w:i/>
      <w:iCs/>
      <w:color w:val="000000"/>
      <w:kern w:val="0"/>
      <w:sz w:val="20"/>
      <w:lang w:eastAsia="en-US"/>
    </w:rPr>
  </w:style>
  <w:style w:type="paragraph" w:customStyle="1" w:styleId="223">
    <w:name w:val="pa-10"/>
    <w:basedOn w:val="1"/>
    <w:qFormat/>
    <w:uiPriority w:val="0"/>
    <w:pPr>
      <w:widowControl/>
      <w:spacing w:before="169" w:after="169"/>
      <w:jc w:val="left"/>
    </w:pPr>
    <w:rPr>
      <w:rFonts w:ascii="宋体" w:hAnsi="宋体" w:cs="宋体"/>
      <w:kern w:val="0"/>
      <w:sz w:val="24"/>
    </w:rPr>
  </w:style>
  <w:style w:type="paragraph" w:customStyle="1" w:styleId="224">
    <w:name w:val="表格"/>
    <w:basedOn w:val="1"/>
    <w:qFormat/>
    <w:uiPriority w:val="0"/>
    <w:pPr>
      <w:spacing w:line="400" w:lineRule="exact"/>
    </w:pPr>
    <w:rPr>
      <w:sz w:val="24"/>
    </w:rPr>
  </w:style>
  <w:style w:type="paragraph" w:customStyle="1" w:styleId="225">
    <w:name w:val="小节标题"/>
    <w:basedOn w:val="1"/>
    <w:next w:val="1"/>
    <w:qFormat/>
    <w:uiPriority w:val="0"/>
    <w:pPr>
      <w:widowControl/>
      <w:spacing w:before="175" w:after="102" w:line="351" w:lineRule="atLeast"/>
      <w:textAlignment w:val="baseline"/>
    </w:pPr>
    <w:rPr>
      <w:rFonts w:eastAsia="黑体"/>
      <w:color w:val="000000"/>
      <w:kern w:val="0"/>
      <w:szCs w:val="20"/>
    </w:rPr>
  </w:style>
  <w:style w:type="paragraph" w:customStyle="1" w:styleId="226">
    <w:name w:val="p15"/>
    <w:basedOn w:val="1"/>
    <w:qFormat/>
    <w:uiPriority w:val="0"/>
    <w:pPr>
      <w:widowControl/>
    </w:pPr>
    <w:rPr>
      <w:rFonts w:ascii="宋体" w:hAnsi="宋体" w:cs="宋体"/>
      <w:kern w:val="0"/>
      <w:szCs w:val="21"/>
    </w:rPr>
  </w:style>
  <w:style w:type="paragraph" w:customStyle="1" w:styleId="227">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228">
    <w:name w:val="正文段"/>
    <w:basedOn w:val="1"/>
    <w:qFormat/>
    <w:uiPriority w:val="0"/>
    <w:pPr>
      <w:widowControl/>
      <w:snapToGrid w:val="0"/>
      <w:spacing w:after="156" w:afterLines="50"/>
      <w:ind w:firstLine="200" w:firstLineChars="200"/>
    </w:pPr>
    <w:rPr>
      <w:kern w:val="0"/>
      <w:sz w:val="24"/>
      <w:szCs w:val="20"/>
    </w:rPr>
  </w:style>
  <w:style w:type="paragraph" w:customStyle="1" w:styleId="229">
    <w:name w:val="Char Char Char Char Char Char1 Char1"/>
    <w:basedOn w:val="1"/>
    <w:qFormat/>
    <w:uiPriority w:val="0"/>
    <w:pPr>
      <w:widowControl/>
      <w:spacing w:line="240" w:lineRule="exact"/>
      <w:jc w:val="left"/>
    </w:pPr>
    <w:rPr>
      <w:rFonts w:ascii="Verdana" w:hAnsi="Verdana"/>
      <w:kern w:val="0"/>
      <w:szCs w:val="20"/>
      <w:lang w:eastAsia="en-US"/>
    </w:rPr>
  </w:style>
  <w:style w:type="paragraph" w:customStyle="1" w:styleId="230">
    <w:name w:val="Default Paragraph Font Para Char Char Char Char Char Char"/>
    <w:basedOn w:val="1"/>
    <w:qFormat/>
    <w:uiPriority w:val="0"/>
    <w:pPr>
      <w:widowControl/>
      <w:spacing w:line="240" w:lineRule="exact"/>
      <w:jc w:val="left"/>
    </w:pPr>
    <w:rPr>
      <w:rFonts w:ascii="Verdana" w:hAnsi="Verdana"/>
      <w:kern w:val="0"/>
      <w:sz w:val="20"/>
      <w:szCs w:val="20"/>
      <w:lang w:eastAsia="en-US"/>
    </w:rPr>
  </w:style>
  <w:style w:type="paragraph" w:customStyle="1" w:styleId="231">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32">
    <w:name w:val="p0"/>
    <w:basedOn w:val="1"/>
    <w:qFormat/>
    <w:uiPriority w:val="0"/>
    <w:pPr>
      <w:widowControl/>
    </w:pPr>
    <w:rPr>
      <w:kern w:val="0"/>
      <w:szCs w:val="21"/>
    </w:rPr>
  </w:style>
  <w:style w:type="paragraph" w:customStyle="1" w:styleId="233">
    <w:name w:val="段"/>
    <w:link w:val="234"/>
    <w:qFormat/>
    <w:uiPriority w:val="0"/>
    <w:pPr>
      <w:autoSpaceDE w:val="0"/>
      <w:autoSpaceDN w:val="0"/>
      <w:spacing w:after="160" w:line="278" w:lineRule="auto"/>
      <w:ind w:firstLine="200" w:firstLineChars="200"/>
      <w:jc w:val="both"/>
    </w:pPr>
    <w:rPr>
      <w:rFonts w:ascii="宋体" w:hAnsi="Times New Roman" w:eastAsia="宋体" w:cs="Times New Roman"/>
      <w:sz w:val="21"/>
      <w:lang w:val="en-US" w:eastAsia="zh-CN" w:bidi="ar-SA"/>
    </w:rPr>
  </w:style>
  <w:style w:type="character" w:customStyle="1" w:styleId="234">
    <w:name w:val="段 Char Char"/>
    <w:link w:val="233"/>
    <w:qFormat/>
    <w:locked/>
    <w:uiPriority w:val="0"/>
    <w:rPr>
      <w:rFonts w:ascii="宋体"/>
      <w:sz w:val="21"/>
      <w:lang w:val="en-US" w:eastAsia="zh-CN" w:bidi="ar-SA"/>
    </w:rPr>
  </w:style>
  <w:style w:type="paragraph" w:customStyle="1" w:styleId="235">
    <w:name w:val="插图题注"/>
    <w:next w:val="1"/>
    <w:qFormat/>
    <w:uiPriority w:val="0"/>
    <w:pPr>
      <w:spacing w:after="312" w:afterLines="100" w:line="278" w:lineRule="auto"/>
      <w:ind w:left="1089" w:hanging="369"/>
      <w:jc w:val="center"/>
    </w:pPr>
    <w:rPr>
      <w:rFonts w:ascii="Arial" w:hAnsi="Arial" w:eastAsia="宋体" w:cs="Times New Roman"/>
      <w:sz w:val="18"/>
      <w:szCs w:val="18"/>
      <w:lang w:val="en-US" w:eastAsia="zh-CN" w:bidi="ar-SA"/>
    </w:rPr>
  </w:style>
  <w:style w:type="paragraph" w:customStyle="1" w:styleId="236">
    <w:name w:val="Char Char19 Char Char Char Char11"/>
    <w:basedOn w:val="16"/>
    <w:qFormat/>
    <w:uiPriority w:val="0"/>
    <w:pPr>
      <w:widowControl/>
      <w:ind w:firstLine="454"/>
      <w:jc w:val="left"/>
    </w:pPr>
  </w:style>
  <w:style w:type="paragraph" w:customStyle="1" w:styleId="237">
    <w:name w:val="文章总标题"/>
    <w:basedOn w:val="1"/>
    <w:next w:val="204"/>
    <w:qFormat/>
    <w:uiPriority w:val="0"/>
    <w:pPr>
      <w:widowControl/>
      <w:spacing w:before="566" w:after="544" w:line="566" w:lineRule="atLeast"/>
      <w:jc w:val="center"/>
      <w:textAlignment w:val="baseline"/>
    </w:pPr>
    <w:rPr>
      <w:rFonts w:ascii="Arial" w:eastAsia="黑体"/>
      <w:color w:val="000000"/>
      <w:kern w:val="0"/>
      <w:sz w:val="54"/>
      <w:szCs w:val="20"/>
    </w:rPr>
  </w:style>
  <w:style w:type="paragraph" w:customStyle="1" w:styleId="23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239">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240">
    <w:name w:val="4"/>
    <w:basedOn w:val="1"/>
    <w:next w:val="32"/>
    <w:qFormat/>
    <w:uiPriority w:val="0"/>
    <w:pPr>
      <w:spacing w:line="420" w:lineRule="exact"/>
      <w:ind w:firstLine="409" w:firstLineChars="195"/>
    </w:pPr>
  </w:style>
  <w:style w:type="paragraph" w:customStyle="1" w:styleId="241">
    <w:name w:val="pa-8"/>
    <w:basedOn w:val="1"/>
    <w:qFormat/>
    <w:uiPriority w:val="0"/>
    <w:pPr>
      <w:widowControl/>
      <w:spacing w:before="169" w:after="169"/>
      <w:jc w:val="left"/>
    </w:pPr>
    <w:rPr>
      <w:rFonts w:ascii="宋体" w:hAnsi="宋体" w:cs="宋体"/>
      <w:kern w:val="0"/>
      <w:sz w:val="24"/>
    </w:rPr>
  </w:style>
  <w:style w:type="paragraph" w:customStyle="1" w:styleId="242">
    <w:name w:val="Char Char Char Char"/>
    <w:basedOn w:val="16"/>
    <w:qFormat/>
    <w:uiPriority w:val="0"/>
    <w:pPr>
      <w:adjustRightInd w:val="0"/>
      <w:snapToGrid w:val="0"/>
      <w:spacing w:line="360" w:lineRule="auto"/>
    </w:pPr>
    <w:rPr>
      <w:rFonts w:ascii="Tahoma" w:hAnsi="Tahoma"/>
      <w:sz w:val="24"/>
    </w:rPr>
  </w:style>
  <w:style w:type="paragraph" w:customStyle="1" w:styleId="243">
    <w:name w:val="Char1"/>
    <w:basedOn w:val="1"/>
    <w:qFormat/>
    <w:uiPriority w:val="0"/>
    <w:pPr>
      <w:widowControl/>
      <w:spacing w:line="240" w:lineRule="exact"/>
      <w:jc w:val="left"/>
    </w:pPr>
    <w:rPr>
      <w:rFonts w:ascii="Verdana" w:hAnsi="Verdana" w:eastAsia="仿宋_GB2312"/>
      <w:kern w:val="0"/>
      <w:sz w:val="24"/>
      <w:szCs w:val="20"/>
      <w:lang w:eastAsia="en-US"/>
    </w:rPr>
  </w:style>
  <w:style w:type="paragraph" w:customStyle="1" w:styleId="244">
    <w:name w:val="表内文字"/>
    <w:basedOn w:val="1"/>
    <w:qFormat/>
    <w:uiPriority w:val="0"/>
    <w:pPr>
      <w:snapToGrid w:val="0"/>
      <w:spacing w:before="50" w:after="50" w:line="360" w:lineRule="exact"/>
    </w:pPr>
    <w:rPr>
      <w:rFonts w:ascii="宋体" w:hAnsi="宋体"/>
      <w:b/>
      <w:color w:val="0000FF"/>
      <w:szCs w:val="21"/>
    </w:rPr>
  </w:style>
  <w:style w:type="paragraph" w:customStyle="1" w:styleId="245">
    <w:name w:val="样式 正文文字 + 小四 段后: 0 磅 行距: 1.5 倍行距"/>
    <w:basedOn w:val="21"/>
    <w:qFormat/>
    <w:uiPriority w:val="0"/>
    <w:pPr>
      <w:spacing w:line="360" w:lineRule="auto"/>
      <w:ind w:firstLine="480" w:firstLineChars="200"/>
    </w:pPr>
    <w:rPr>
      <w:rFonts w:cs="宋体"/>
      <w:szCs w:val="20"/>
    </w:rPr>
  </w:style>
  <w:style w:type="paragraph" w:customStyle="1" w:styleId="246">
    <w:name w:val="No Spacing11"/>
    <w:link w:val="247"/>
    <w:qFormat/>
    <w:uiPriority w:val="0"/>
    <w:pPr>
      <w:widowControl w:val="0"/>
      <w:spacing w:after="160" w:line="278" w:lineRule="auto"/>
      <w:jc w:val="both"/>
    </w:pPr>
    <w:rPr>
      <w:rFonts w:ascii="Times New Roman" w:hAnsi="Times New Roman" w:eastAsia="宋体" w:cs="Times New Roman"/>
      <w:kern w:val="2"/>
      <w:sz w:val="21"/>
      <w:szCs w:val="22"/>
      <w:lang w:val="en-US" w:eastAsia="zh-CN" w:bidi="ar-SA"/>
    </w:rPr>
  </w:style>
  <w:style w:type="character" w:customStyle="1" w:styleId="247">
    <w:name w:val="No Spacing Char"/>
    <w:link w:val="246"/>
    <w:qFormat/>
    <w:locked/>
    <w:uiPriority w:val="0"/>
    <w:rPr>
      <w:kern w:val="2"/>
      <w:sz w:val="21"/>
      <w:szCs w:val="22"/>
      <w:lang w:val="en-US" w:eastAsia="zh-CN" w:bidi="ar-SA"/>
    </w:rPr>
  </w:style>
  <w:style w:type="paragraph" w:customStyle="1" w:styleId="248">
    <w:name w:val="Char21"/>
    <w:basedOn w:val="1"/>
    <w:qFormat/>
    <w:uiPriority w:val="0"/>
    <w:pPr>
      <w:widowControl/>
      <w:spacing w:line="240" w:lineRule="exact"/>
      <w:jc w:val="left"/>
    </w:pPr>
  </w:style>
  <w:style w:type="paragraph" w:customStyle="1" w:styleId="249">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250">
    <w:name w:val="默认段落字体 Para Char"/>
    <w:basedOn w:val="1"/>
    <w:qFormat/>
    <w:uiPriority w:val="0"/>
    <w:pPr>
      <w:adjustRightInd w:val="0"/>
      <w:spacing w:line="360" w:lineRule="auto"/>
    </w:pPr>
    <w:rPr>
      <w:szCs w:val="20"/>
    </w:rPr>
  </w:style>
  <w:style w:type="paragraph" w:customStyle="1" w:styleId="251">
    <w:name w:val="Char11"/>
    <w:basedOn w:val="16"/>
    <w:qFormat/>
    <w:uiPriority w:val="0"/>
    <w:pPr>
      <w:widowControl/>
      <w:ind w:firstLine="454"/>
      <w:jc w:val="left"/>
    </w:pPr>
    <w:rPr>
      <w:rFonts w:ascii="Tahoma" w:hAnsi="Tahoma" w:cs="宋体"/>
      <w:kern w:val="0"/>
      <w:sz w:val="24"/>
      <w:szCs w:val="20"/>
    </w:rPr>
  </w:style>
  <w:style w:type="paragraph" w:customStyle="1" w:styleId="252">
    <w:name w:val="pa-11"/>
    <w:basedOn w:val="1"/>
    <w:qFormat/>
    <w:uiPriority w:val="0"/>
    <w:pPr>
      <w:widowControl/>
      <w:spacing w:before="169" w:after="169"/>
      <w:jc w:val="left"/>
    </w:pPr>
    <w:rPr>
      <w:rFonts w:ascii="宋体" w:hAnsi="宋体" w:cs="宋体"/>
      <w:kern w:val="0"/>
      <w:sz w:val="24"/>
    </w:rPr>
  </w:style>
  <w:style w:type="paragraph" w:customStyle="1" w:styleId="253">
    <w:name w:val="Char"/>
    <w:basedOn w:val="16"/>
    <w:qFormat/>
    <w:uiPriority w:val="0"/>
    <w:pPr>
      <w:widowControl/>
      <w:ind w:firstLine="454"/>
      <w:jc w:val="left"/>
    </w:pPr>
    <w:rPr>
      <w:rFonts w:ascii="Tahoma" w:hAnsi="Tahoma" w:cs="宋体"/>
      <w:kern w:val="0"/>
      <w:sz w:val="24"/>
      <w:szCs w:val="20"/>
    </w:rPr>
  </w:style>
  <w:style w:type="paragraph" w:customStyle="1" w:styleId="254">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255">
    <w:name w:val="Char Char1 Char Char Char Char"/>
    <w:basedOn w:val="16"/>
    <w:qFormat/>
    <w:uiPriority w:val="0"/>
    <w:rPr>
      <w:rFonts w:ascii="Tahoma" w:hAnsi="Tahoma"/>
      <w:sz w:val="24"/>
    </w:rPr>
  </w:style>
  <w:style w:type="paragraph" w:customStyle="1" w:styleId="256">
    <w:name w:val="目录1"/>
    <w:basedOn w:val="1"/>
    <w:next w:val="1"/>
    <w:qFormat/>
    <w:uiPriority w:val="0"/>
    <w:pPr>
      <w:widowControl/>
      <w:tabs>
        <w:tab w:val="left" w:leader="dot" w:pos="8503"/>
      </w:tabs>
      <w:spacing w:after="136" w:line="289" w:lineRule="atLeast"/>
      <w:jc w:val="left"/>
      <w:textAlignment w:val="baseline"/>
    </w:pPr>
    <w:rPr>
      <w:rFonts w:ascii="Arial" w:eastAsia="黑体"/>
      <w:color w:val="000000"/>
      <w:kern w:val="0"/>
      <w:sz w:val="28"/>
      <w:szCs w:val="20"/>
    </w:rPr>
  </w:style>
  <w:style w:type="paragraph" w:customStyle="1" w:styleId="257">
    <w:name w:val="pa-12"/>
    <w:basedOn w:val="1"/>
    <w:qFormat/>
    <w:uiPriority w:val="0"/>
    <w:pPr>
      <w:widowControl/>
      <w:spacing w:before="169" w:after="169"/>
      <w:jc w:val="left"/>
    </w:pPr>
    <w:rPr>
      <w:rFonts w:ascii="宋体" w:hAnsi="宋体" w:cs="宋体"/>
      <w:kern w:val="0"/>
      <w:sz w:val="24"/>
    </w:rPr>
  </w:style>
  <w:style w:type="paragraph" w:customStyle="1" w:styleId="258">
    <w:name w:val="标题1"/>
    <w:basedOn w:val="3"/>
    <w:qFormat/>
    <w:uiPriority w:val="0"/>
    <w:pPr>
      <w:keepLines w:val="0"/>
      <w:widowControl/>
      <w:pBdr>
        <w:bottom w:val="single" w:color="auto" w:sz="8" w:space="6"/>
      </w:pBdr>
      <w:tabs>
        <w:tab w:val="left" w:pos="0"/>
      </w:tabs>
      <w:spacing w:before="480" w:after="240" w:line="360" w:lineRule="auto"/>
      <w:ind w:left="567" w:hanging="567"/>
      <w:jc w:val="left"/>
    </w:pPr>
    <w:rPr>
      <w:rFonts w:ascii="宋体" w:hAnsi="宋体"/>
      <w:smallCaps/>
      <w:color w:val="000000"/>
      <w:spacing w:val="10"/>
      <w:kern w:val="20"/>
      <w:sz w:val="21"/>
      <w:szCs w:val="21"/>
    </w:rPr>
  </w:style>
  <w:style w:type="paragraph" w:customStyle="1" w:styleId="259">
    <w:name w:val="2ji"/>
    <w:basedOn w:val="4"/>
    <w:qFormat/>
    <w:uiPriority w:val="0"/>
    <w:pPr>
      <w:adjustRightInd w:val="0"/>
      <w:spacing w:before="0" w:after="0" w:line="360" w:lineRule="auto"/>
      <w:textAlignment w:val="baseline"/>
    </w:pPr>
    <w:rPr>
      <w:rFonts w:ascii="宋体" w:hAnsi="宋体" w:eastAsia="宋体"/>
      <w:sz w:val="21"/>
      <w:szCs w:val="21"/>
    </w:rPr>
  </w:style>
  <w:style w:type="paragraph" w:customStyle="1" w:styleId="260">
    <w:name w:val="pa-9"/>
    <w:basedOn w:val="1"/>
    <w:qFormat/>
    <w:uiPriority w:val="0"/>
    <w:pPr>
      <w:widowControl/>
      <w:spacing w:before="169" w:after="169"/>
      <w:jc w:val="left"/>
    </w:pPr>
    <w:rPr>
      <w:rFonts w:ascii="宋体" w:hAnsi="宋体" w:cs="宋体"/>
      <w:kern w:val="0"/>
      <w:sz w:val="24"/>
    </w:rPr>
  </w:style>
  <w:style w:type="paragraph" w:customStyle="1" w:styleId="261">
    <w:name w:val="正文首行缩进两字符"/>
    <w:basedOn w:val="1"/>
    <w:qFormat/>
    <w:uiPriority w:val="0"/>
    <w:pPr>
      <w:spacing w:line="360" w:lineRule="auto"/>
      <w:ind w:firstLine="200" w:firstLineChars="200"/>
    </w:pPr>
  </w:style>
  <w:style w:type="paragraph" w:customStyle="1" w:styleId="262">
    <w:name w:val="Char Char Char1"/>
    <w:basedOn w:val="1"/>
    <w:qFormat/>
    <w:uiPriority w:val="0"/>
    <w:rPr>
      <w:rFonts w:ascii="Tahoma" w:hAnsi="Tahoma"/>
      <w:sz w:val="24"/>
      <w:szCs w:val="20"/>
    </w:rPr>
  </w:style>
  <w:style w:type="paragraph" w:customStyle="1" w:styleId="263">
    <w:name w:val="节标题"/>
    <w:basedOn w:val="1"/>
    <w:next w:val="225"/>
    <w:qFormat/>
    <w:uiPriority w:val="0"/>
    <w:pPr>
      <w:widowControl/>
      <w:spacing w:line="289" w:lineRule="atLeast"/>
      <w:jc w:val="center"/>
      <w:textAlignment w:val="baseline"/>
    </w:pPr>
    <w:rPr>
      <w:color w:val="000000"/>
      <w:kern w:val="0"/>
      <w:sz w:val="28"/>
      <w:szCs w:val="20"/>
    </w:rPr>
  </w:style>
  <w:style w:type="paragraph" w:customStyle="1" w:styleId="264">
    <w:name w:val="F2"/>
    <w:basedOn w:val="1"/>
    <w:qFormat/>
    <w:uiPriority w:val="0"/>
    <w:pPr>
      <w:autoSpaceDE w:val="0"/>
      <w:autoSpaceDN w:val="0"/>
      <w:adjustRightInd w:val="0"/>
      <w:ind w:firstLine="601"/>
    </w:pPr>
    <w:rPr>
      <w:kern w:val="0"/>
      <w:sz w:val="24"/>
      <w:szCs w:val="20"/>
    </w:rPr>
  </w:style>
  <w:style w:type="paragraph" w:customStyle="1" w:styleId="265">
    <w:name w:val="Char Char Char Char Char Char Char Char Char Char Char Char Char Char Char Char21"/>
    <w:basedOn w:val="1"/>
    <w:qFormat/>
    <w:uiPriority w:val="0"/>
    <w:pPr>
      <w:tabs>
        <w:tab w:val="left" w:pos="360"/>
      </w:tabs>
      <w:spacing w:line="360" w:lineRule="auto"/>
      <w:ind w:left="482" w:firstLine="200" w:firstLineChars="200"/>
    </w:pPr>
    <w:rPr>
      <w:rFonts w:ascii="宋体"/>
      <w:sz w:val="24"/>
    </w:rPr>
  </w:style>
  <w:style w:type="paragraph" w:customStyle="1" w:styleId="266">
    <w:name w:val="Char Char Char"/>
    <w:basedOn w:val="1"/>
    <w:qFormat/>
    <w:uiPriority w:val="0"/>
    <w:pPr>
      <w:widowControl/>
      <w:spacing w:line="240" w:lineRule="exact"/>
      <w:jc w:val="left"/>
    </w:pPr>
    <w:rPr>
      <w:rFonts w:ascii="Verdana" w:hAnsi="Verdana"/>
      <w:kern w:val="0"/>
      <w:sz w:val="20"/>
      <w:szCs w:val="20"/>
      <w:lang w:eastAsia="en-US"/>
    </w:rPr>
  </w:style>
  <w:style w:type="paragraph" w:customStyle="1" w:styleId="267">
    <w:name w:val="Char Char9 Char Char Char Char"/>
    <w:basedOn w:val="1"/>
    <w:qFormat/>
    <w:uiPriority w:val="0"/>
    <w:pPr>
      <w:widowControl/>
      <w:spacing w:line="240" w:lineRule="exact"/>
      <w:jc w:val="left"/>
    </w:pPr>
  </w:style>
  <w:style w:type="paragraph" w:customStyle="1" w:styleId="268">
    <w:name w:val="p16"/>
    <w:basedOn w:val="1"/>
    <w:qFormat/>
    <w:uiPriority w:val="0"/>
    <w:pPr>
      <w:widowControl/>
    </w:pPr>
    <w:rPr>
      <w:rFonts w:ascii="宋体" w:cs="宋体"/>
      <w:kern w:val="0"/>
      <w:sz w:val="20"/>
      <w:szCs w:val="20"/>
    </w:rPr>
  </w:style>
  <w:style w:type="paragraph" w:customStyle="1" w:styleId="269">
    <w:name w:val="Char Char Char1 Char Char Char Char Char Char Char Char Char Char Char Char Char Char Char"/>
    <w:basedOn w:val="1"/>
    <w:qFormat/>
    <w:uiPriority w:val="0"/>
    <w:pPr>
      <w:widowControl/>
      <w:adjustRightInd w:val="0"/>
      <w:spacing w:line="240" w:lineRule="exact"/>
      <w:jc w:val="left"/>
    </w:pPr>
    <w:rPr>
      <w:rFonts w:ascii="Verdana" w:hAnsi="Verdana"/>
      <w:kern w:val="0"/>
      <w:sz w:val="20"/>
      <w:szCs w:val="20"/>
      <w:lang w:eastAsia="en-US"/>
    </w:rPr>
  </w:style>
  <w:style w:type="paragraph" w:customStyle="1" w:styleId="270">
    <w:name w:val="_Style 35"/>
    <w:basedOn w:val="16"/>
    <w:qFormat/>
    <w:uiPriority w:val="0"/>
    <w:pPr>
      <w:widowControl/>
      <w:ind w:firstLine="454"/>
      <w:jc w:val="left"/>
    </w:pPr>
  </w:style>
  <w:style w:type="paragraph" w:customStyle="1" w:styleId="271">
    <w:name w:val="Body"/>
    <w:basedOn w:val="1"/>
    <w:qFormat/>
    <w:uiPriority w:val="0"/>
    <w:pPr>
      <w:widowControl/>
      <w:tabs>
        <w:tab w:val="left" w:pos="1980"/>
      </w:tabs>
      <w:spacing w:before="80" w:after="80" w:line="360" w:lineRule="auto"/>
      <w:jc w:val="center"/>
    </w:pPr>
    <w:rPr>
      <w:szCs w:val="21"/>
    </w:rPr>
  </w:style>
  <w:style w:type="paragraph" w:customStyle="1" w:styleId="272">
    <w:name w:val="列出段落11"/>
    <w:basedOn w:val="1"/>
    <w:qFormat/>
    <w:uiPriority w:val="0"/>
    <w:pPr>
      <w:ind w:firstLine="200" w:firstLineChars="200"/>
    </w:pPr>
    <w:rPr>
      <w:sz w:val="24"/>
    </w:rPr>
  </w:style>
  <w:style w:type="paragraph" w:customStyle="1" w:styleId="273">
    <w:name w:val="pa-7"/>
    <w:basedOn w:val="1"/>
    <w:qFormat/>
    <w:uiPriority w:val="0"/>
    <w:pPr>
      <w:widowControl/>
      <w:spacing w:before="169" w:after="169"/>
      <w:jc w:val="left"/>
    </w:pPr>
    <w:rPr>
      <w:rFonts w:ascii="宋体" w:hAnsi="宋体" w:cs="宋体"/>
      <w:kern w:val="0"/>
      <w:sz w:val="24"/>
    </w:rPr>
  </w:style>
  <w:style w:type="paragraph" w:customStyle="1" w:styleId="274">
    <w:name w:val="Char31"/>
    <w:basedOn w:val="16"/>
    <w:qFormat/>
    <w:uiPriority w:val="0"/>
    <w:pPr>
      <w:widowControl/>
      <w:ind w:firstLine="454"/>
      <w:jc w:val="left"/>
    </w:pPr>
    <w:rPr>
      <w:rFonts w:ascii="Tahoma" w:hAnsi="Tahoma" w:cs="宋体"/>
      <w:kern w:val="0"/>
      <w:sz w:val="24"/>
      <w:szCs w:val="20"/>
    </w:rPr>
  </w:style>
  <w:style w:type="paragraph" w:customStyle="1" w:styleId="275">
    <w:name w:val="pa-15"/>
    <w:basedOn w:val="1"/>
    <w:qFormat/>
    <w:uiPriority w:val="0"/>
    <w:pPr>
      <w:widowControl/>
      <w:spacing w:before="169" w:after="169"/>
      <w:jc w:val="left"/>
    </w:pPr>
    <w:rPr>
      <w:rFonts w:ascii="宋体" w:hAnsi="宋体" w:cs="宋体"/>
      <w:kern w:val="0"/>
      <w:sz w:val="24"/>
    </w:rPr>
  </w:style>
  <w:style w:type="paragraph" w:customStyle="1" w:styleId="276">
    <w:name w:val="表-标题"/>
    <w:basedOn w:val="1"/>
    <w:qFormat/>
    <w:uiPriority w:val="0"/>
    <w:pPr>
      <w:autoSpaceDE w:val="0"/>
      <w:autoSpaceDN w:val="0"/>
      <w:adjustRightInd w:val="0"/>
      <w:spacing w:line="288" w:lineRule="auto"/>
      <w:jc w:val="center"/>
    </w:pPr>
    <w:rPr>
      <w:rFonts w:ascii="汉仪大黑简 regular" w:hAnsi="Calibri" w:eastAsia="汉仪大黑简 regular" w:cs="汉仪大黑简 regular"/>
      <w:color w:val="000000"/>
      <w:kern w:val="0"/>
      <w:sz w:val="16"/>
      <w:szCs w:val="16"/>
      <w:lang w:val="zh-CN"/>
    </w:rPr>
  </w:style>
  <w:style w:type="paragraph" w:customStyle="1" w:styleId="277">
    <w:name w:val="表项"/>
    <w:next w:val="1"/>
    <w:qFormat/>
    <w:uiPriority w:val="0"/>
    <w:pPr>
      <w:keepNext/>
      <w:spacing w:after="160" w:line="300" w:lineRule="auto"/>
      <w:jc w:val="center"/>
      <w:textAlignment w:val="baseline"/>
    </w:pPr>
    <w:rPr>
      <w:rFonts w:ascii="Arial" w:hAnsi="Arial" w:eastAsia="黑体" w:cs="Times New Roman"/>
      <w:sz w:val="21"/>
      <w:lang w:val="en-US" w:eastAsia="zh-CN" w:bidi="ar-SA"/>
    </w:rPr>
  </w:style>
  <w:style w:type="paragraph" w:customStyle="1" w:styleId="278">
    <w:name w:val="List Paragraph1"/>
    <w:basedOn w:val="1"/>
    <w:qFormat/>
    <w:uiPriority w:val="0"/>
    <w:pPr>
      <w:ind w:firstLine="420" w:firstLineChars="200"/>
    </w:pPr>
  </w:style>
  <w:style w:type="paragraph" w:customStyle="1" w:styleId="279">
    <w:name w:val="Char Char Char Char Char Char1 Char"/>
    <w:basedOn w:val="1"/>
    <w:qFormat/>
    <w:uiPriority w:val="0"/>
    <w:pPr>
      <w:widowControl/>
      <w:spacing w:line="240" w:lineRule="exact"/>
      <w:jc w:val="left"/>
    </w:pPr>
    <w:rPr>
      <w:rFonts w:ascii="Verdana" w:hAnsi="Verdana"/>
      <w:kern w:val="0"/>
      <w:szCs w:val="20"/>
      <w:lang w:eastAsia="en-US"/>
    </w:rPr>
  </w:style>
  <w:style w:type="paragraph" w:customStyle="1" w:styleId="280">
    <w:name w:val="[基本段落]"/>
    <w:basedOn w:val="1"/>
    <w:qFormat/>
    <w:uiPriority w:val="0"/>
    <w:pPr>
      <w:autoSpaceDE w:val="0"/>
      <w:autoSpaceDN w:val="0"/>
      <w:adjustRightInd w:val="0"/>
      <w:spacing w:line="288" w:lineRule="auto"/>
    </w:pPr>
    <w:rPr>
      <w:rFonts w:ascii="汉仪大黑简 regular" w:hAnsi="Calibri" w:eastAsia="汉仪大黑简 regular"/>
      <w:color w:val="000000"/>
      <w:kern w:val="0"/>
      <w:sz w:val="24"/>
      <w:lang w:val="zh-CN"/>
    </w:rPr>
  </w:style>
  <w:style w:type="paragraph" w:customStyle="1" w:styleId="281">
    <w:name w:val="Char Char1 Char Char Char Char21"/>
    <w:basedOn w:val="16"/>
    <w:qFormat/>
    <w:uiPriority w:val="0"/>
    <w:rPr>
      <w:rFonts w:ascii="Tahoma" w:hAnsi="Tahoma"/>
      <w:sz w:val="24"/>
    </w:rPr>
  </w:style>
  <w:style w:type="paragraph" w:customStyle="1" w:styleId="282">
    <w:name w:val="默认段落字体 Para Char Char Char Char Char Char Char Char Char1 Char Char Char Char"/>
    <w:basedOn w:val="1"/>
    <w:qFormat/>
    <w:uiPriority w:val="0"/>
    <w:rPr>
      <w:rFonts w:ascii="Tahoma" w:hAnsi="Tahoma"/>
      <w:sz w:val="24"/>
      <w:szCs w:val="20"/>
    </w:rPr>
  </w:style>
  <w:style w:type="paragraph" w:customStyle="1" w:styleId="283">
    <w:name w:val="目录标题"/>
    <w:basedOn w:val="1"/>
    <w:next w:val="1"/>
    <w:qFormat/>
    <w:uiPriority w:val="0"/>
    <w:pPr>
      <w:widowControl/>
      <w:spacing w:before="566" w:after="544" w:line="566" w:lineRule="atLeast"/>
      <w:ind w:firstLine="419"/>
      <w:jc w:val="center"/>
      <w:textAlignment w:val="baseline"/>
    </w:pPr>
    <w:rPr>
      <w:rFonts w:ascii="Arial" w:eastAsia="黑体"/>
      <w:color w:val="000000"/>
      <w:spacing w:val="566"/>
      <w:kern w:val="0"/>
      <w:sz w:val="54"/>
      <w:szCs w:val="20"/>
    </w:rPr>
  </w:style>
  <w:style w:type="paragraph" w:customStyle="1" w:styleId="284">
    <w:name w:val="样式"/>
    <w:qFormat/>
    <w:uiPriority w:val="0"/>
    <w:pPr>
      <w:widowControl w:val="0"/>
      <w:autoSpaceDE w:val="0"/>
      <w:autoSpaceDN w:val="0"/>
      <w:adjustRightInd w:val="0"/>
      <w:spacing w:after="160" w:line="278" w:lineRule="auto"/>
    </w:pPr>
    <w:rPr>
      <w:rFonts w:ascii="宋体" w:hAnsi="宋体" w:eastAsia="宋体" w:cs="宋体"/>
      <w:sz w:val="24"/>
      <w:szCs w:val="24"/>
      <w:lang w:val="en-US" w:eastAsia="zh-CN" w:bidi="ar-SA"/>
    </w:rPr>
  </w:style>
  <w:style w:type="paragraph" w:customStyle="1" w:styleId="285">
    <w:name w:val="我的正文"/>
    <w:basedOn w:val="1"/>
    <w:qFormat/>
    <w:uiPriority w:val="0"/>
    <w:pPr>
      <w:spacing w:line="520" w:lineRule="exact"/>
      <w:ind w:firstLine="192" w:firstLineChars="192"/>
    </w:pPr>
    <w:rPr>
      <w:sz w:val="28"/>
      <w:szCs w:val="28"/>
    </w:rPr>
  </w:style>
  <w:style w:type="paragraph" w:customStyle="1" w:styleId="286">
    <w:name w:val="Char Char Char Char Char Char1 Char21"/>
    <w:basedOn w:val="1"/>
    <w:qFormat/>
    <w:uiPriority w:val="0"/>
    <w:pPr>
      <w:widowControl/>
      <w:spacing w:line="240" w:lineRule="exact"/>
      <w:jc w:val="left"/>
    </w:pPr>
    <w:rPr>
      <w:rFonts w:ascii="Verdana" w:hAnsi="Verdana" w:eastAsia="仿宋_GB2312"/>
      <w:kern w:val="0"/>
      <w:sz w:val="30"/>
      <w:szCs w:val="30"/>
      <w:lang w:eastAsia="en-US"/>
    </w:rPr>
  </w:style>
  <w:style w:type="paragraph" w:customStyle="1" w:styleId="287">
    <w:name w:val="Char221"/>
    <w:basedOn w:val="1"/>
    <w:qFormat/>
    <w:uiPriority w:val="0"/>
    <w:pPr>
      <w:widowControl/>
      <w:spacing w:line="240" w:lineRule="exact"/>
      <w:jc w:val="left"/>
    </w:pPr>
    <w:rPr>
      <w:rFonts w:ascii="Verdana" w:hAnsi="Verdana"/>
      <w:kern w:val="0"/>
      <w:szCs w:val="20"/>
      <w:lang w:eastAsia="en-US"/>
    </w:rPr>
  </w:style>
  <w:style w:type="paragraph" w:customStyle="1" w:styleId="288">
    <w:name w:val="Char12"/>
    <w:basedOn w:val="1"/>
    <w:qFormat/>
    <w:uiPriority w:val="0"/>
    <w:pPr>
      <w:widowControl/>
      <w:spacing w:line="240" w:lineRule="exact"/>
      <w:jc w:val="left"/>
    </w:pPr>
    <w:rPr>
      <w:rFonts w:ascii="Verdana" w:hAnsi="Verdana" w:eastAsia="仿宋_GB2312"/>
      <w:kern w:val="0"/>
      <w:sz w:val="24"/>
      <w:szCs w:val="20"/>
      <w:lang w:eastAsia="en-US"/>
    </w:rPr>
  </w:style>
  <w:style w:type="paragraph" w:customStyle="1" w:styleId="289">
    <w:name w:val="无间隔1"/>
    <w:qFormat/>
    <w:uiPriority w:val="0"/>
    <w:pPr>
      <w:widowControl w:val="0"/>
      <w:spacing w:after="160" w:line="278" w:lineRule="auto"/>
      <w:jc w:val="both"/>
    </w:pPr>
    <w:rPr>
      <w:rFonts w:ascii="Times New Roman" w:hAnsi="Times New Roman" w:eastAsia="宋体" w:cs="Times New Roman"/>
      <w:kern w:val="2"/>
      <w:sz w:val="21"/>
      <w:szCs w:val="22"/>
      <w:lang w:val="en-US" w:eastAsia="zh-CN" w:bidi="ar-SA"/>
    </w:rPr>
  </w:style>
  <w:style w:type="paragraph" w:customStyle="1" w:styleId="290">
    <w:name w:val="Char Char9 Char Char Char Char1"/>
    <w:basedOn w:val="1"/>
    <w:qFormat/>
    <w:uiPriority w:val="0"/>
    <w:pPr>
      <w:widowControl/>
      <w:spacing w:line="240" w:lineRule="exact"/>
      <w:jc w:val="left"/>
    </w:pPr>
  </w:style>
  <w:style w:type="paragraph" w:customStyle="1" w:styleId="291">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292">
    <w:name w:val="Char Char Char21"/>
    <w:basedOn w:val="1"/>
    <w:qFormat/>
    <w:uiPriority w:val="0"/>
    <w:pPr>
      <w:widowControl/>
      <w:spacing w:line="240" w:lineRule="exact"/>
      <w:jc w:val="left"/>
    </w:pPr>
    <w:rPr>
      <w:rFonts w:ascii="Verdana" w:hAnsi="Verdana"/>
      <w:kern w:val="0"/>
      <w:sz w:val="20"/>
      <w:szCs w:val="20"/>
      <w:lang w:eastAsia="en-US"/>
    </w:rPr>
  </w:style>
  <w:style w:type="paragraph" w:customStyle="1" w:styleId="293">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294">
    <w:name w:val="Bullets"/>
    <w:basedOn w:val="1"/>
    <w:qFormat/>
    <w:uiPriority w:val="0"/>
    <w:pPr>
      <w:widowControl/>
      <w:adjustRightInd w:val="0"/>
      <w:snapToGrid w:val="0"/>
      <w:spacing w:before="60" w:after="60"/>
    </w:pPr>
    <w:rPr>
      <w:kern w:val="0"/>
      <w:sz w:val="24"/>
      <w:lang w:val="en-GB"/>
    </w:rPr>
  </w:style>
  <w:style w:type="paragraph" w:customStyle="1" w:styleId="295">
    <w:name w:val="Char131"/>
    <w:basedOn w:val="1"/>
    <w:qFormat/>
    <w:uiPriority w:val="0"/>
    <w:rPr>
      <w:szCs w:val="21"/>
    </w:rPr>
  </w:style>
  <w:style w:type="paragraph" w:customStyle="1" w:styleId="296">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297">
    <w:name w:val="样式1"/>
    <w:basedOn w:val="1"/>
    <w:qFormat/>
    <w:uiPriority w:val="0"/>
    <w:pPr>
      <w:spacing w:before="120" w:after="120" w:line="300" w:lineRule="auto"/>
    </w:pPr>
    <w:rPr>
      <w:rFonts w:ascii="宋体" w:hAnsi="宋体"/>
      <w:b/>
      <w:sz w:val="24"/>
      <w:szCs w:val="20"/>
    </w:rPr>
  </w:style>
  <w:style w:type="paragraph" w:customStyle="1" w:styleId="298">
    <w:name w:val="列表段落1"/>
    <w:basedOn w:val="1"/>
    <w:qFormat/>
    <w:uiPriority w:val="34"/>
    <w:pPr>
      <w:ind w:firstLine="420" w:firstLineChars="200"/>
    </w:pPr>
    <w:rPr>
      <w:rFonts w:ascii="Calibri" w:hAnsi="Calibri"/>
      <w:szCs w:val="22"/>
    </w:rPr>
  </w:style>
  <w:style w:type="paragraph" w:customStyle="1" w:styleId="299">
    <w:name w:val="Char Char Char Char Char Char Char Char Char Char Char Char11"/>
    <w:basedOn w:val="1"/>
    <w:qFormat/>
    <w:uiPriority w:val="0"/>
    <w:pPr>
      <w:widowControl/>
      <w:spacing w:line="240" w:lineRule="exact"/>
      <w:jc w:val="left"/>
    </w:pPr>
    <w:rPr>
      <w:rFonts w:ascii="Verdana" w:hAnsi="Verdana"/>
      <w:kern w:val="0"/>
      <w:sz w:val="20"/>
      <w:szCs w:val="20"/>
      <w:lang w:eastAsia="en-US"/>
    </w:rPr>
  </w:style>
  <w:style w:type="paragraph" w:customStyle="1" w:styleId="300">
    <w:name w:val="444"/>
    <w:basedOn w:val="1"/>
    <w:qFormat/>
    <w:uiPriority w:val="0"/>
    <w:pPr>
      <w:adjustRightInd w:val="0"/>
      <w:spacing w:line="312" w:lineRule="atLeast"/>
      <w:jc w:val="center"/>
      <w:textAlignment w:val="baseline"/>
    </w:pPr>
    <w:rPr>
      <w:b/>
      <w:kern w:val="0"/>
      <w:sz w:val="36"/>
      <w:szCs w:val="36"/>
    </w:rPr>
  </w:style>
  <w:style w:type="paragraph" w:customStyle="1" w:styleId="301">
    <w:name w:val="Char Char9 Char Char Char Char21"/>
    <w:basedOn w:val="1"/>
    <w:qFormat/>
    <w:uiPriority w:val="0"/>
    <w:pPr>
      <w:widowControl/>
      <w:spacing w:line="240" w:lineRule="exact"/>
      <w:jc w:val="left"/>
    </w:pPr>
  </w:style>
  <w:style w:type="paragraph" w:customStyle="1" w:styleId="302">
    <w:name w:val="样式 标题 2 + (西文) 宋体 非加粗 居中"/>
    <w:basedOn w:val="4"/>
    <w:qFormat/>
    <w:uiPriority w:val="0"/>
    <w:pPr>
      <w:jc w:val="center"/>
    </w:pPr>
    <w:rPr>
      <w:rFonts w:ascii="宋体" w:hAnsi="宋体" w:cs="宋体"/>
      <w:b w:val="0"/>
      <w:bCs w:val="0"/>
      <w:spacing w:val="2"/>
      <w:sz w:val="28"/>
      <w:szCs w:val="20"/>
    </w:rPr>
  </w:style>
  <w:style w:type="paragraph" w:customStyle="1" w:styleId="303">
    <w:name w:val="2-2ji"/>
    <w:basedOn w:val="4"/>
    <w:qFormat/>
    <w:uiPriority w:val="0"/>
    <w:pPr>
      <w:adjustRightInd w:val="0"/>
      <w:spacing w:before="0" w:after="0" w:line="360" w:lineRule="auto"/>
      <w:jc w:val="center"/>
      <w:textAlignment w:val="baseline"/>
    </w:pPr>
    <w:rPr>
      <w:rFonts w:ascii="宋体" w:hAnsi="宋体" w:eastAsia="宋体"/>
      <w:bCs w:val="0"/>
      <w:sz w:val="36"/>
    </w:rPr>
  </w:style>
  <w:style w:type="table" w:customStyle="1" w:styleId="304">
    <w:name w:val="彩色列表 - 强调文字颜色 1111"/>
    <w:basedOn w:val="52"/>
    <w:qFormat/>
    <w:uiPriority w:val="34"/>
    <w:rPr>
      <w:rFonts w:ascii="Calibri" w:hAnsi="Calibri"/>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paragraph" w:customStyle="1" w:styleId="305">
    <w:name w:val="_Style 4"/>
    <w:basedOn w:val="1"/>
    <w:next w:val="298"/>
    <w:qFormat/>
    <w:uiPriority w:val="0"/>
    <w:pPr>
      <w:ind w:firstLine="420" w:firstLineChars="200"/>
    </w:pPr>
  </w:style>
  <w:style w:type="table" w:customStyle="1" w:styleId="306">
    <w:name w:val="彩色列表 - 强调文字颜色 11"/>
    <w:basedOn w:val="52"/>
    <w:qFormat/>
    <w:uiPriority w:val="0"/>
    <w:rPr>
      <w:rFonts w:ascii="Calibri" w:hAnsi="Calibri" w:eastAsia="等线"/>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character" w:customStyle="1" w:styleId="307">
    <w:name w:val="Header Char"/>
    <w:basedOn w:val="54"/>
    <w:qFormat/>
    <w:locked/>
    <w:uiPriority w:val="0"/>
    <w:rPr>
      <w:rFonts w:ascii="Calibri" w:hAnsi="Calibri" w:eastAsia="宋体"/>
      <w:kern w:val="2"/>
      <w:sz w:val="18"/>
      <w:szCs w:val="18"/>
      <w:lang w:val="en-US" w:eastAsia="zh-CN" w:bidi="ar-SA"/>
    </w:rPr>
  </w:style>
  <w:style w:type="character" w:customStyle="1" w:styleId="308">
    <w:name w:val="Footer Char"/>
    <w:basedOn w:val="54"/>
    <w:qFormat/>
    <w:locked/>
    <w:uiPriority w:val="0"/>
    <w:rPr>
      <w:rFonts w:ascii="Calibri" w:hAnsi="Calibri" w:eastAsia="宋体"/>
      <w:kern w:val="2"/>
      <w:sz w:val="18"/>
      <w:szCs w:val="18"/>
      <w:lang w:val="en-US" w:eastAsia="zh-CN" w:bidi="ar-SA"/>
    </w:rPr>
  </w:style>
  <w:style w:type="paragraph" w:customStyle="1" w:styleId="309">
    <w:name w:val="列表段落111"/>
    <w:basedOn w:val="1"/>
    <w:qFormat/>
    <w:uiPriority w:val="0"/>
    <w:pPr>
      <w:ind w:firstLine="420" w:firstLineChars="200"/>
    </w:pPr>
    <w:rPr>
      <w:rFonts w:ascii="Calibri" w:hAnsi="Calibri"/>
      <w:szCs w:val="22"/>
    </w:rPr>
  </w:style>
  <w:style w:type="character" w:customStyle="1" w:styleId="310">
    <w:name w:val="Heading 1 Char"/>
    <w:basedOn w:val="54"/>
    <w:qFormat/>
    <w:locked/>
    <w:uiPriority w:val="0"/>
    <w:rPr>
      <w:rFonts w:ascii="宋体" w:eastAsia="宋体"/>
      <w:b/>
      <w:bCs/>
      <w:kern w:val="44"/>
      <w:sz w:val="44"/>
      <w:szCs w:val="44"/>
      <w:lang w:val="en-US" w:eastAsia="zh-CN" w:bidi="ar-SA"/>
    </w:rPr>
  </w:style>
  <w:style w:type="character" w:customStyle="1" w:styleId="311">
    <w:name w:val="Heading 2 Char"/>
    <w:basedOn w:val="54"/>
    <w:qFormat/>
    <w:locked/>
    <w:uiPriority w:val="0"/>
    <w:rPr>
      <w:rFonts w:ascii="Arial" w:hAnsi="Arial" w:eastAsia="黑体"/>
      <w:b/>
      <w:bCs/>
      <w:kern w:val="21"/>
      <w:sz w:val="32"/>
      <w:szCs w:val="32"/>
      <w:lang w:val="en-US" w:eastAsia="zh-CN" w:bidi="ar-SA"/>
    </w:rPr>
  </w:style>
  <w:style w:type="character" w:customStyle="1" w:styleId="312">
    <w:name w:val="Heading 3 Char"/>
    <w:basedOn w:val="54"/>
    <w:qFormat/>
    <w:locked/>
    <w:uiPriority w:val="0"/>
    <w:rPr>
      <w:rFonts w:ascii="宋体" w:eastAsia="宋体"/>
      <w:b/>
      <w:bCs/>
      <w:kern w:val="21"/>
      <w:sz w:val="32"/>
      <w:szCs w:val="32"/>
      <w:lang w:val="en-US" w:eastAsia="zh-CN" w:bidi="ar-SA"/>
    </w:rPr>
  </w:style>
  <w:style w:type="character" w:customStyle="1" w:styleId="313">
    <w:name w:val="Heading 4 Char"/>
    <w:basedOn w:val="54"/>
    <w:qFormat/>
    <w:locked/>
    <w:uiPriority w:val="0"/>
    <w:rPr>
      <w:rFonts w:ascii="Arial" w:hAnsi="Arial" w:eastAsia="黑体"/>
      <w:b/>
      <w:bCs/>
      <w:kern w:val="21"/>
      <w:sz w:val="28"/>
      <w:szCs w:val="28"/>
      <w:lang w:val="en-US" w:eastAsia="zh-CN" w:bidi="ar-SA"/>
    </w:rPr>
  </w:style>
  <w:style w:type="character" w:customStyle="1" w:styleId="314">
    <w:name w:val="Heading 5 Char"/>
    <w:basedOn w:val="54"/>
    <w:qFormat/>
    <w:locked/>
    <w:uiPriority w:val="0"/>
    <w:rPr>
      <w:rFonts w:ascii="宋体" w:eastAsia="宋体"/>
      <w:b/>
      <w:bCs/>
      <w:kern w:val="21"/>
      <w:sz w:val="28"/>
      <w:szCs w:val="28"/>
      <w:lang w:val="en-US" w:eastAsia="zh-CN" w:bidi="ar-SA"/>
    </w:rPr>
  </w:style>
  <w:style w:type="character" w:customStyle="1" w:styleId="315">
    <w:name w:val="Heading 6 Char"/>
    <w:basedOn w:val="54"/>
    <w:qFormat/>
    <w:locked/>
    <w:uiPriority w:val="0"/>
    <w:rPr>
      <w:rFonts w:ascii="Arial" w:hAnsi="Arial" w:eastAsia="黑体"/>
      <w:b/>
      <w:bCs/>
      <w:kern w:val="21"/>
      <w:sz w:val="24"/>
      <w:szCs w:val="21"/>
      <w:lang w:val="en-US" w:eastAsia="zh-CN" w:bidi="ar-SA"/>
    </w:rPr>
  </w:style>
  <w:style w:type="character" w:customStyle="1" w:styleId="316">
    <w:name w:val="Heading 7 Char"/>
    <w:basedOn w:val="54"/>
    <w:qFormat/>
    <w:locked/>
    <w:uiPriority w:val="0"/>
    <w:rPr>
      <w:rFonts w:ascii="宋体" w:eastAsia="宋体"/>
      <w:b/>
      <w:bCs/>
      <w:kern w:val="21"/>
      <w:sz w:val="24"/>
      <w:szCs w:val="21"/>
      <w:lang w:val="en-US" w:eastAsia="zh-CN" w:bidi="ar-SA"/>
    </w:rPr>
  </w:style>
  <w:style w:type="character" w:customStyle="1" w:styleId="317">
    <w:name w:val="Heading 8 Char"/>
    <w:basedOn w:val="54"/>
    <w:qFormat/>
    <w:locked/>
    <w:uiPriority w:val="0"/>
    <w:rPr>
      <w:rFonts w:ascii="Arial" w:hAnsi="Arial" w:eastAsia="黑体"/>
      <w:kern w:val="21"/>
      <w:sz w:val="24"/>
      <w:szCs w:val="21"/>
      <w:lang w:val="en-US" w:eastAsia="zh-CN" w:bidi="ar-SA"/>
    </w:rPr>
  </w:style>
  <w:style w:type="character" w:customStyle="1" w:styleId="318">
    <w:name w:val="Heading 9 Char"/>
    <w:basedOn w:val="54"/>
    <w:qFormat/>
    <w:locked/>
    <w:uiPriority w:val="0"/>
    <w:rPr>
      <w:rFonts w:ascii="Arial" w:hAnsi="Arial" w:eastAsia="黑体"/>
      <w:kern w:val="21"/>
      <w:sz w:val="21"/>
      <w:szCs w:val="21"/>
      <w:lang w:val="en-US" w:eastAsia="zh-CN" w:bidi="ar-SA"/>
    </w:rPr>
  </w:style>
  <w:style w:type="character" w:customStyle="1" w:styleId="319">
    <w:name w:val="一级条标题 Char"/>
    <w:basedOn w:val="320"/>
    <w:qFormat/>
    <w:uiPriority w:val="0"/>
    <w:rPr>
      <w:rFonts w:ascii="黑体" w:eastAsia="黑体" w:cs="黑体"/>
      <w:sz w:val="21"/>
      <w:szCs w:val="21"/>
      <w:lang w:val="en-US" w:eastAsia="zh-CN" w:bidi="ar-SA"/>
    </w:rPr>
  </w:style>
  <w:style w:type="character" w:customStyle="1" w:styleId="320">
    <w:name w:val="章标题 Char"/>
    <w:qFormat/>
    <w:uiPriority w:val="0"/>
    <w:rPr>
      <w:rFonts w:ascii="黑体" w:eastAsia="黑体"/>
      <w:sz w:val="21"/>
      <w:lang w:val="en-US" w:eastAsia="zh-CN"/>
    </w:rPr>
  </w:style>
  <w:style w:type="character" w:customStyle="1" w:styleId="321">
    <w:name w:val="发布"/>
    <w:qFormat/>
    <w:uiPriority w:val="0"/>
    <w:rPr>
      <w:rFonts w:ascii="黑体" w:eastAsia="黑体"/>
      <w:spacing w:val="22"/>
      <w:w w:val="100"/>
      <w:position w:val="3"/>
      <w:sz w:val="28"/>
    </w:rPr>
  </w:style>
  <w:style w:type="character" w:customStyle="1" w:styleId="322">
    <w:name w:val="个人答复风格"/>
    <w:qFormat/>
    <w:uiPriority w:val="0"/>
    <w:rPr>
      <w:rFonts w:ascii="Arial" w:hAnsi="Arial" w:eastAsia="宋体"/>
      <w:color w:val="auto"/>
      <w:sz w:val="20"/>
    </w:rPr>
  </w:style>
  <w:style w:type="character" w:customStyle="1" w:styleId="323">
    <w:name w:val="三级条标题 Char"/>
    <w:basedOn w:val="324"/>
    <w:qFormat/>
    <w:uiPriority w:val="0"/>
    <w:rPr>
      <w:rFonts w:ascii="黑体" w:eastAsia="黑体" w:cs="黑体"/>
      <w:sz w:val="21"/>
      <w:szCs w:val="21"/>
      <w:lang w:val="en-US" w:eastAsia="zh-CN" w:bidi="ar-SA"/>
    </w:rPr>
  </w:style>
  <w:style w:type="character" w:customStyle="1" w:styleId="324">
    <w:name w:val="二级条标题 Char"/>
    <w:basedOn w:val="319"/>
    <w:qFormat/>
    <w:uiPriority w:val="0"/>
    <w:rPr>
      <w:rFonts w:ascii="黑体" w:eastAsia="黑体" w:cs="黑体"/>
      <w:sz w:val="21"/>
      <w:szCs w:val="21"/>
      <w:lang w:val="en-US" w:eastAsia="zh-CN" w:bidi="ar-SA"/>
    </w:rPr>
  </w:style>
  <w:style w:type="character" w:customStyle="1" w:styleId="325">
    <w:name w:val="章标题 Char Char"/>
    <w:link w:val="326"/>
    <w:qFormat/>
    <w:locked/>
    <w:uiPriority w:val="0"/>
    <w:rPr>
      <w:rFonts w:ascii="黑体" w:eastAsia="黑体"/>
      <w:kern w:val="2"/>
      <w:sz w:val="22"/>
      <w:lang w:val="en-US" w:eastAsia="zh-CN" w:bidi="ar-SA"/>
    </w:rPr>
  </w:style>
  <w:style w:type="paragraph" w:customStyle="1" w:styleId="326">
    <w:name w:val="章标题"/>
    <w:next w:val="233"/>
    <w:link w:val="325"/>
    <w:qFormat/>
    <w:uiPriority w:val="0"/>
    <w:pPr>
      <w:numPr>
        <w:ilvl w:val="1"/>
        <w:numId w:val="1"/>
      </w:numPr>
      <w:spacing w:beforeLines="50" w:after="160" w:afterLines="50" w:line="278" w:lineRule="auto"/>
      <w:jc w:val="both"/>
      <w:outlineLvl w:val="1"/>
    </w:pPr>
    <w:rPr>
      <w:rFonts w:ascii="黑体" w:hAnsi="Times New Roman" w:eastAsia="黑体" w:cs="Times New Roman"/>
      <w:kern w:val="2"/>
      <w:sz w:val="22"/>
      <w:lang w:val="en-US" w:eastAsia="zh-CN" w:bidi="ar-SA"/>
    </w:rPr>
  </w:style>
  <w:style w:type="character" w:customStyle="1" w:styleId="327">
    <w:name w:val="三级条标题 Char Char"/>
    <w:basedOn w:val="328"/>
    <w:link w:val="332"/>
    <w:qFormat/>
    <w:locked/>
    <w:uiPriority w:val="0"/>
    <w:rPr>
      <w:rFonts w:ascii="黑体" w:eastAsia="黑体"/>
      <w:kern w:val="2"/>
      <w:sz w:val="22"/>
      <w:szCs w:val="22"/>
      <w:lang w:val="en-US" w:eastAsia="zh-CN" w:bidi="ar-SA"/>
    </w:rPr>
  </w:style>
  <w:style w:type="character" w:customStyle="1" w:styleId="328">
    <w:name w:val="二级条标题 Char Char"/>
    <w:basedOn w:val="329"/>
    <w:link w:val="331"/>
    <w:qFormat/>
    <w:locked/>
    <w:uiPriority w:val="0"/>
    <w:rPr>
      <w:rFonts w:ascii="黑体" w:eastAsia="黑体"/>
      <w:kern w:val="2"/>
      <w:sz w:val="22"/>
      <w:szCs w:val="22"/>
      <w:lang w:val="en-US" w:eastAsia="zh-CN" w:bidi="ar-SA"/>
    </w:rPr>
  </w:style>
  <w:style w:type="character" w:customStyle="1" w:styleId="329">
    <w:name w:val="一级条标题 Char Char"/>
    <w:basedOn w:val="325"/>
    <w:link w:val="330"/>
    <w:qFormat/>
    <w:locked/>
    <w:uiPriority w:val="0"/>
    <w:rPr>
      <w:rFonts w:ascii="黑体" w:eastAsia="黑体"/>
      <w:kern w:val="2"/>
      <w:sz w:val="22"/>
      <w:szCs w:val="22"/>
      <w:lang w:val="en-US" w:eastAsia="zh-CN" w:bidi="ar-SA"/>
    </w:rPr>
  </w:style>
  <w:style w:type="paragraph" w:customStyle="1" w:styleId="330">
    <w:name w:val="一级条标题"/>
    <w:basedOn w:val="326"/>
    <w:next w:val="233"/>
    <w:link w:val="329"/>
    <w:qFormat/>
    <w:uiPriority w:val="0"/>
    <w:pPr>
      <w:numPr>
        <w:ilvl w:val="2"/>
      </w:numPr>
      <w:tabs>
        <w:tab w:val="left" w:pos="312"/>
        <w:tab w:val="left" w:pos="360"/>
      </w:tabs>
      <w:spacing w:beforeLines="0" w:afterLines="0"/>
      <w:ind w:left="0"/>
      <w:outlineLvl w:val="2"/>
    </w:pPr>
    <w:rPr>
      <w:szCs w:val="22"/>
    </w:rPr>
  </w:style>
  <w:style w:type="paragraph" w:customStyle="1" w:styleId="331">
    <w:name w:val="二级条标题"/>
    <w:basedOn w:val="330"/>
    <w:next w:val="233"/>
    <w:link w:val="328"/>
    <w:qFormat/>
    <w:uiPriority w:val="0"/>
    <w:pPr>
      <w:numPr>
        <w:ilvl w:val="3"/>
        <w:numId w:val="2"/>
      </w:numPr>
      <w:outlineLvl w:val="3"/>
    </w:pPr>
  </w:style>
  <w:style w:type="paragraph" w:customStyle="1" w:styleId="332">
    <w:name w:val="三级条标题"/>
    <w:basedOn w:val="331"/>
    <w:next w:val="233"/>
    <w:link w:val="327"/>
    <w:qFormat/>
    <w:uiPriority w:val="0"/>
  </w:style>
  <w:style w:type="character" w:customStyle="1" w:styleId="333">
    <w:name w:val="个人撰写风格"/>
    <w:qFormat/>
    <w:uiPriority w:val="0"/>
    <w:rPr>
      <w:rFonts w:ascii="Arial" w:hAnsi="Arial" w:eastAsia="宋体"/>
      <w:color w:val="auto"/>
      <w:sz w:val="20"/>
    </w:rPr>
  </w:style>
  <w:style w:type="paragraph" w:customStyle="1" w:styleId="334">
    <w:name w:val="其他发布部门"/>
    <w:basedOn w:val="335"/>
    <w:qFormat/>
    <w:uiPriority w:val="0"/>
    <w:pPr>
      <w:spacing w:line="240" w:lineRule="atLeast"/>
    </w:pPr>
    <w:rPr>
      <w:rFonts w:ascii="黑体" w:eastAsia="黑体"/>
      <w:b w:val="0"/>
    </w:rPr>
  </w:style>
  <w:style w:type="paragraph" w:customStyle="1" w:styleId="335">
    <w:name w:val="发布部门"/>
    <w:next w:val="233"/>
    <w:qFormat/>
    <w:uiPriority w:val="0"/>
    <w:pPr>
      <w:spacing w:after="160" w:line="278" w:lineRule="auto"/>
      <w:jc w:val="center"/>
    </w:pPr>
    <w:rPr>
      <w:rFonts w:ascii="宋体" w:hAnsi="Times New Roman" w:eastAsia="宋体" w:cs="Times New Roman"/>
      <w:b/>
      <w:spacing w:val="20"/>
      <w:w w:val="135"/>
      <w:sz w:val="36"/>
      <w:lang w:val="en-US" w:eastAsia="zh-CN" w:bidi="ar-SA"/>
    </w:rPr>
  </w:style>
  <w:style w:type="paragraph" w:customStyle="1" w:styleId="336">
    <w:name w:val="其他标准称谓"/>
    <w:qFormat/>
    <w:uiPriority w:val="0"/>
    <w:pPr>
      <w:spacing w:after="160" w:line="240" w:lineRule="atLeast"/>
      <w:jc w:val="distribute"/>
    </w:pPr>
    <w:rPr>
      <w:rFonts w:ascii="黑体" w:hAnsi="宋体" w:eastAsia="黑体" w:cs="Times New Roman"/>
      <w:sz w:val="52"/>
      <w:lang w:val="en-US" w:eastAsia="zh-CN" w:bidi="ar-SA"/>
    </w:rPr>
  </w:style>
  <w:style w:type="paragraph" w:customStyle="1" w:styleId="337">
    <w:name w:val="封面一致性程度标识"/>
    <w:qFormat/>
    <w:uiPriority w:val="0"/>
    <w:pPr>
      <w:spacing w:before="440" w:after="160" w:line="400" w:lineRule="exact"/>
      <w:jc w:val="center"/>
    </w:pPr>
    <w:rPr>
      <w:rFonts w:ascii="宋体" w:hAnsi="Times New Roman" w:eastAsia="宋体" w:cs="Times New Roman"/>
      <w:sz w:val="28"/>
      <w:lang w:val="en-US" w:eastAsia="zh-CN" w:bidi="ar-SA"/>
    </w:rPr>
  </w:style>
  <w:style w:type="paragraph" w:customStyle="1" w:styleId="338">
    <w:name w:val="文献分类号"/>
    <w:qFormat/>
    <w:uiPriority w:val="0"/>
    <w:pPr>
      <w:widowControl w:val="0"/>
      <w:spacing w:after="160" w:line="278" w:lineRule="auto"/>
      <w:jc w:val="both"/>
      <w:textAlignment w:val="center"/>
    </w:pPr>
    <w:rPr>
      <w:rFonts w:ascii="Times New Roman" w:hAnsi="Times New Roman" w:eastAsia="黑体" w:cs="Times New Roman"/>
      <w:sz w:val="21"/>
      <w:lang w:val="en-US" w:eastAsia="zh-CN" w:bidi="ar-SA"/>
    </w:rPr>
  </w:style>
  <w:style w:type="paragraph" w:customStyle="1" w:styleId="339">
    <w:name w:val="封面标准代替信息"/>
    <w:basedOn w:val="340"/>
    <w:qFormat/>
    <w:uiPriority w:val="0"/>
    <w:pPr>
      <w:spacing w:before="57"/>
    </w:pPr>
    <w:rPr>
      <w:rFonts w:ascii="宋体"/>
      <w:sz w:val="21"/>
    </w:rPr>
  </w:style>
  <w:style w:type="paragraph" w:customStyle="1" w:styleId="340">
    <w:name w:val="封面标准号2"/>
    <w:basedOn w:val="341"/>
    <w:qFormat/>
    <w:uiPriority w:val="0"/>
    <w:pPr>
      <w:adjustRightInd w:val="0"/>
      <w:spacing w:before="357" w:line="280" w:lineRule="exact"/>
    </w:pPr>
  </w:style>
  <w:style w:type="paragraph" w:customStyle="1" w:styleId="341">
    <w:name w:val="封面标准号1"/>
    <w:qFormat/>
    <w:uiPriority w:val="0"/>
    <w:pPr>
      <w:widowControl w:val="0"/>
      <w:kinsoku w:val="0"/>
      <w:overflowPunct w:val="0"/>
      <w:autoSpaceDE w:val="0"/>
      <w:autoSpaceDN w:val="0"/>
      <w:spacing w:before="308" w:after="160" w:line="278" w:lineRule="auto"/>
      <w:jc w:val="right"/>
      <w:textAlignment w:val="center"/>
    </w:pPr>
    <w:rPr>
      <w:rFonts w:ascii="Times New Roman" w:hAnsi="Times New Roman" w:eastAsia="宋体" w:cs="Times New Roman"/>
      <w:sz w:val="28"/>
      <w:lang w:val="en-US" w:eastAsia="zh-CN" w:bidi="ar-SA"/>
    </w:rPr>
  </w:style>
  <w:style w:type="paragraph" w:customStyle="1" w:styleId="342">
    <w:name w:val="前言、引言标题"/>
    <w:next w:val="1"/>
    <w:qFormat/>
    <w:uiPriority w:val="0"/>
    <w:pPr>
      <w:numPr>
        <w:ilvl w:val="0"/>
        <w:numId w:val="2"/>
      </w:numPr>
      <w:shd w:val="clear" w:color="FFFFFF" w:fill="FFFFFF"/>
      <w:spacing w:before="640" w:after="560" w:line="278" w:lineRule="auto"/>
      <w:jc w:val="center"/>
      <w:outlineLvl w:val="0"/>
    </w:pPr>
    <w:rPr>
      <w:rFonts w:ascii="黑体" w:hAnsi="Times New Roman" w:eastAsia="黑体" w:cs="Times New Roman"/>
      <w:sz w:val="32"/>
      <w:lang w:val="en-US" w:eastAsia="zh-CN" w:bidi="ar-SA"/>
    </w:rPr>
  </w:style>
  <w:style w:type="paragraph" w:customStyle="1" w:styleId="343">
    <w:name w:val="正文表标题"/>
    <w:next w:val="233"/>
    <w:qFormat/>
    <w:uiPriority w:val="0"/>
    <w:pPr>
      <w:numPr>
        <w:ilvl w:val="0"/>
        <w:numId w:val="1"/>
      </w:numPr>
      <w:spacing w:after="160" w:line="278" w:lineRule="auto"/>
      <w:jc w:val="center"/>
    </w:pPr>
    <w:rPr>
      <w:rFonts w:ascii="黑体" w:hAnsi="Times New Roman" w:eastAsia="黑体" w:cs="Times New Roman"/>
      <w:sz w:val="21"/>
      <w:lang w:val="en-US" w:eastAsia="zh-CN" w:bidi="ar-SA"/>
    </w:rPr>
  </w:style>
  <w:style w:type="paragraph" w:customStyle="1" w:styleId="344">
    <w:name w:val="附录章标题"/>
    <w:next w:val="233"/>
    <w:qFormat/>
    <w:uiPriority w:val="0"/>
    <w:pPr>
      <w:numPr>
        <w:ilvl w:val="1"/>
        <w:numId w:val="3"/>
      </w:numPr>
      <w:wordWrap w:val="0"/>
      <w:overflowPunct w:val="0"/>
      <w:autoSpaceDE w:val="0"/>
      <w:spacing w:beforeLines="50" w:after="160" w:afterLines="50" w:line="278" w:lineRule="auto"/>
      <w:jc w:val="both"/>
      <w:textAlignment w:val="baseline"/>
      <w:outlineLvl w:val="1"/>
    </w:pPr>
    <w:rPr>
      <w:rFonts w:ascii="黑体" w:hAnsi="Times New Roman" w:eastAsia="黑体" w:cs="Times New Roman"/>
      <w:kern w:val="21"/>
      <w:sz w:val="21"/>
      <w:lang w:val="en-US" w:eastAsia="zh-CN" w:bidi="ar-SA"/>
    </w:rPr>
  </w:style>
  <w:style w:type="paragraph" w:customStyle="1" w:styleId="345">
    <w:name w:val="五级无标题条"/>
    <w:basedOn w:val="1"/>
    <w:qFormat/>
    <w:uiPriority w:val="0"/>
    <w:pPr>
      <w:numPr>
        <w:ilvl w:val="6"/>
        <w:numId w:val="3"/>
      </w:numPr>
    </w:pPr>
    <w:rPr>
      <w:rFonts w:ascii="宋体"/>
      <w:kern w:val="21"/>
      <w:szCs w:val="21"/>
    </w:rPr>
  </w:style>
  <w:style w:type="paragraph" w:customStyle="1" w:styleId="346">
    <w:name w:val="三级无标题条"/>
    <w:basedOn w:val="1"/>
    <w:qFormat/>
    <w:uiPriority w:val="0"/>
    <w:pPr>
      <w:numPr>
        <w:ilvl w:val="4"/>
        <w:numId w:val="3"/>
      </w:numPr>
    </w:pPr>
    <w:rPr>
      <w:rFonts w:ascii="宋体"/>
      <w:kern w:val="21"/>
      <w:szCs w:val="21"/>
    </w:rPr>
  </w:style>
  <w:style w:type="character" w:customStyle="1" w:styleId="347">
    <w:name w:val="Document Map Char"/>
    <w:basedOn w:val="54"/>
    <w:qFormat/>
    <w:locked/>
    <w:uiPriority w:val="0"/>
    <w:rPr>
      <w:rFonts w:ascii="宋体" w:eastAsia="宋体"/>
      <w:kern w:val="21"/>
      <w:sz w:val="21"/>
      <w:szCs w:val="21"/>
      <w:lang w:val="en-US" w:eastAsia="zh-CN" w:bidi="ar-SA"/>
    </w:rPr>
  </w:style>
  <w:style w:type="paragraph" w:customStyle="1" w:styleId="348">
    <w:name w:val="数字编号列项（二级）"/>
    <w:qFormat/>
    <w:uiPriority w:val="0"/>
    <w:pPr>
      <w:spacing w:after="160" w:line="278" w:lineRule="auto"/>
      <w:ind w:left="1260" w:leftChars="400" w:hanging="420" w:hangingChars="200"/>
      <w:jc w:val="both"/>
    </w:pPr>
    <w:rPr>
      <w:rFonts w:ascii="宋体" w:hAnsi="Times New Roman" w:eastAsia="宋体" w:cs="Times New Roman"/>
      <w:sz w:val="21"/>
      <w:lang w:val="en-US" w:eastAsia="zh-CN" w:bidi="ar-SA"/>
    </w:rPr>
  </w:style>
  <w:style w:type="paragraph" w:customStyle="1" w:styleId="349">
    <w:name w:val="目次、标准名称标题"/>
    <w:basedOn w:val="342"/>
    <w:next w:val="233"/>
    <w:qFormat/>
    <w:uiPriority w:val="0"/>
    <w:pPr>
      <w:numPr>
        <w:numId w:val="0"/>
      </w:numPr>
      <w:spacing w:line="460" w:lineRule="exact"/>
    </w:pPr>
  </w:style>
  <w:style w:type="paragraph" w:customStyle="1" w:styleId="350">
    <w:name w:val="封面标准名称"/>
    <w:qFormat/>
    <w:uiPriority w:val="0"/>
    <w:pPr>
      <w:widowControl w:val="0"/>
      <w:spacing w:after="160" w:line="680" w:lineRule="exact"/>
      <w:jc w:val="center"/>
      <w:textAlignment w:val="center"/>
    </w:pPr>
    <w:rPr>
      <w:rFonts w:ascii="黑体" w:hAnsi="Times New Roman" w:eastAsia="黑体" w:cs="Times New Roman"/>
      <w:sz w:val="52"/>
      <w:lang w:val="en-US" w:eastAsia="zh-CN" w:bidi="ar-SA"/>
    </w:rPr>
  </w:style>
  <w:style w:type="paragraph" w:customStyle="1" w:styleId="351">
    <w:name w:val="二级无标题条"/>
    <w:basedOn w:val="1"/>
    <w:qFormat/>
    <w:uiPriority w:val="0"/>
    <w:pPr>
      <w:numPr>
        <w:ilvl w:val="3"/>
        <w:numId w:val="3"/>
      </w:numPr>
    </w:pPr>
    <w:rPr>
      <w:rFonts w:ascii="宋体"/>
      <w:kern w:val="21"/>
      <w:szCs w:val="21"/>
    </w:rPr>
  </w:style>
  <w:style w:type="paragraph" w:customStyle="1" w:styleId="352">
    <w:name w:val="条文脚注"/>
    <w:basedOn w:val="39"/>
    <w:qFormat/>
    <w:uiPriority w:val="0"/>
    <w:pPr>
      <w:ind w:left="780" w:leftChars="200" w:hanging="360" w:hangingChars="200"/>
      <w:jc w:val="both"/>
    </w:pPr>
  </w:style>
  <w:style w:type="character" w:customStyle="1" w:styleId="353">
    <w:name w:val="HTML Preformatted Char"/>
    <w:basedOn w:val="54"/>
    <w:qFormat/>
    <w:locked/>
    <w:uiPriority w:val="0"/>
    <w:rPr>
      <w:rFonts w:ascii="Courier New" w:hAnsi="Courier New" w:eastAsia="宋体" w:cs="Courier New"/>
      <w:kern w:val="21"/>
      <w:lang w:val="en-US" w:eastAsia="zh-CN" w:bidi="ar-SA"/>
    </w:rPr>
  </w:style>
  <w:style w:type="character" w:customStyle="1" w:styleId="354">
    <w:name w:val="Date Char"/>
    <w:basedOn w:val="54"/>
    <w:qFormat/>
    <w:locked/>
    <w:uiPriority w:val="0"/>
    <w:rPr>
      <w:rFonts w:ascii="宋体" w:eastAsia="宋体"/>
      <w:kern w:val="21"/>
      <w:sz w:val="24"/>
      <w:lang w:val="en-US" w:eastAsia="zh-CN" w:bidi="ar-SA"/>
    </w:rPr>
  </w:style>
  <w:style w:type="paragraph" w:customStyle="1" w:styleId="355">
    <w:name w:val="四级条标题"/>
    <w:basedOn w:val="332"/>
    <w:next w:val="233"/>
    <w:qFormat/>
    <w:uiPriority w:val="0"/>
    <w:pPr>
      <w:numPr>
        <w:ilvl w:val="5"/>
      </w:numPr>
      <w:ind w:left="2316"/>
      <w:outlineLvl w:val="5"/>
    </w:pPr>
  </w:style>
  <w:style w:type="character" w:customStyle="1" w:styleId="356">
    <w:name w:val="Title Char"/>
    <w:basedOn w:val="54"/>
    <w:qFormat/>
    <w:locked/>
    <w:uiPriority w:val="0"/>
    <w:rPr>
      <w:rFonts w:ascii="Arial" w:hAnsi="Arial" w:eastAsia="宋体" w:cs="Arial"/>
      <w:b/>
      <w:bCs/>
      <w:kern w:val="21"/>
      <w:sz w:val="32"/>
      <w:szCs w:val="32"/>
      <w:lang w:val="en-US" w:eastAsia="zh-CN" w:bidi="ar-SA"/>
    </w:rPr>
  </w:style>
  <w:style w:type="paragraph" w:customStyle="1" w:styleId="357">
    <w:name w:val="注："/>
    <w:next w:val="233"/>
    <w:qFormat/>
    <w:uiPriority w:val="0"/>
    <w:pPr>
      <w:widowControl w:val="0"/>
      <w:numPr>
        <w:ilvl w:val="0"/>
        <w:numId w:val="4"/>
      </w:numPr>
      <w:autoSpaceDE w:val="0"/>
      <w:autoSpaceDN w:val="0"/>
      <w:spacing w:after="160" w:line="278" w:lineRule="auto"/>
      <w:jc w:val="both"/>
    </w:pPr>
    <w:rPr>
      <w:rFonts w:ascii="宋体" w:hAnsi="Times New Roman" w:eastAsia="宋体" w:cs="Times New Roman"/>
      <w:sz w:val="18"/>
      <w:lang w:val="en-US" w:eastAsia="zh-CN" w:bidi="ar-SA"/>
    </w:rPr>
  </w:style>
  <w:style w:type="paragraph" w:customStyle="1" w:styleId="358">
    <w:name w:val="五级条标题"/>
    <w:basedOn w:val="355"/>
    <w:next w:val="233"/>
    <w:qFormat/>
    <w:uiPriority w:val="0"/>
    <w:pPr>
      <w:numPr>
        <w:ilvl w:val="6"/>
      </w:numPr>
      <w:outlineLvl w:val="6"/>
    </w:pPr>
  </w:style>
  <w:style w:type="paragraph" w:customStyle="1" w:styleId="359">
    <w:name w:val="附录表标题"/>
    <w:next w:val="233"/>
    <w:qFormat/>
    <w:uiPriority w:val="0"/>
    <w:pPr>
      <w:spacing w:after="160" w:line="278" w:lineRule="auto"/>
      <w:jc w:val="center"/>
      <w:textAlignment w:val="baseline"/>
    </w:pPr>
    <w:rPr>
      <w:rFonts w:ascii="黑体" w:hAnsi="Times New Roman" w:eastAsia="黑体" w:cs="Times New Roman"/>
      <w:kern w:val="21"/>
      <w:sz w:val="21"/>
      <w:lang w:val="en-US" w:eastAsia="zh-CN" w:bidi="ar-SA"/>
    </w:rPr>
  </w:style>
  <w:style w:type="paragraph" w:customStyle="1" w:styleId="360">
    <w:name w:val="正文图标题"/>
    <w:next w:val="233"/>
    <w:qFormat/>
    <w:uiPriority w:val="0"/>
    <w:pPr>
      <w:numPr>
        <w:ilvl w:val="0"/>
        <w:numId w:val="5"/>
      </w:numPr>
      <w:spacing w:after="160" w:line="278" w:lineRule="auto"/>
      <w:jc w:val="center"/>
    </w:pPr>
    <w:rPr>
      <w:rFonts w:ascii="黑体" w:hAnsi="Times New Roman" w:eastAsia="黑体" w:cs="Times New Roman"/>
      <w:sz w:val="21"/>
      <w:lang w:val="en-US" w:eastAsia="zh-CN" w:bidi="ar-SA"/>
    </w:rPr>
  </w:style>
  <w:style w:type="paragraph" w:customStyle="1" w:styleId="361">
    <w:name w:val="附录标识"/>
    <w:basedOn w:val="342"/>
    <w:qFormat/>
    <w:uiPriority w:val="0"/>
    <w:pPr>
      <w:numPr>
        <w:ilvl w:val="0"/>
        <w:numId w:val="6"/>
      </w:numPr>
      <w:tabs>
        <w:tab w:val="left" w:pos="6405"/>
      </w:tabs>
      <w:spacing w:after="200"/>
      <w:ind w:firstLine="0"/>
    </w:pPr>
    <w:rPr>
      <w:sz w:val="21"/>
    </w:rPr>
  </w:style>
  <w:style w:type="paragraph" w:customStyle="1" w:styleId="362">
    <w:name w:val="标准书眉_偶数页"/>
    <w:basedOn w:val="363"/>
    <w:next w:val="1"/>
    <w:qFormat/>
    <w:uiPriority w:val="0"/>
    <w:pPr>
      <w:tabs>
        <w:tab w:val="center" w:pos="4154"/>
        <w:tab w:val="right" w:pos="8306"/>
      </w:tabs>
      <w:jc w:val="left"/>
    </w:pPr>
  </w:style>
  <w:style w:type="paragraph" w:customStyle="1" w:styleId="363">
    <w:name w:val="标准书眉_奇数页"/>
    <w:next w:val="1"/>
    <w:qFormat/>
    <w:uiPriority w:val="0"/>
    <w:pPr>
      <w:tabs>
        <w:tab w:val="center" w:pos="4154"/>
        <w:tab w:val="right" w:pos="8306"/>
      </w:tabs>
      <w:spacing w:after="120" w:line="278" w:lineRule="auto"/>
      <w:jc w:val="right"/>
    </w:pPr>
    <w:rPr>
      <w:rFonts w:ascii="Times New Roman" w:hAnsi="Times New Roman" w:eastAsia="宋体" w:cs="Times New Roman"/>
      <w:sz w:val="21"/>
      <w:lang w:val="en-US" w:eastAsia="zh-CN" w:bidi="ar-SA"/>
    </w:rPr>
  </w:style>
  <w:style w:type="paragraph" w:customStyle="1" w:styleId="364">
    <w:name w:val="附录三级条标题"/>
    <w:basedOn w:val="365"/>
    <w:next w:val="233"/>
    <w:qFormat/>
    <w:uiPriority w:val="0"/>
    <w:pPr>
      <w:numPr>
        <w:ilvl w:val="4"/>
      </w:numPr>
      <w:tabs>
        <w:tab w:val="left" w:pos="1418"/>
      </w:tabs>
      <w:outlineLvl w:val="4"/>
    </w:pPr>
  </w:style>
  <w:style w:type="paragraph" w:customStyle="1" w:styleId="365">
    <w:name w:val="附录二级条标题"/>
    <w:basedOn w:val="366"/>
    <w:next w:val="233"/>
    <w:qFormat/>
    <w:uiPriority w:val="0"/>
    <w:pPr>
      <w:numPr>
        <w:ilvl w:val="3"/>
      </w:numPr>
      <w:tabs>
        <w:tab w:val="left" w:pos="1418"/>
      </w:tabs>
      <w:outlineLvl w:val="3"/>
    </w:pPr>
  </w:style>
  <w:style w:type="paragraph" w:customStyle="1" w:styleId="366">
    <w:name w:val="附录一级条标题"/>
    <w:basedOn w:val="344"/>
    <w:next w:val="233"/>
    <w:qFormat/>
    <w:uiPriority w:val="0"/>
    <w:pPr>
      <w:numPr>
        <w:ilvl w:val="2"/>
        <w:numId w:val="6"/>
      </w:numPr>
      <w:autoSpaceDN w:val="0"/>
      <w:spacing w:beforeLines="0" w:afterLines="0"/>
      <w:outlineLvl w:val="2"/>
    </w:pPr>
  </w:style>
  <w:style w:type="paragraph" w:customStyle="1" w:styleId="367">
    <w:name w:val="附录图标题"/>
    <w:next w:val="233"/>
    <w:qFormat/>
    <w:uiPriority w:val="0"/>
    <w:pPr>
      <w:spacing w:after="160" w:line="278" w:lineRule="auto"/>
      <w:jc w:val="center"/>
    </w:pPr>
    <w:rPr>
      <w:rFonts w:ascii="黑体" w:hAnsi="Times New Roman" w:eastAsia="黑体" w:cs="Times New Roman"/>
      <w:sz w:val="21"/>
      <w:lang w:val="en-US" w:eastAsia="zh-CN" w:bidi="ar-SA"/>
    </w:rPr>
  </w:style>
  <w:style w:type="paragraph" w:customStyle="1" w:styleId="368">
    <w:name w:val="四级无标题条"/>
    <w:basedOn w:val="1"/>
    <w:qFormat/>
    <w:uiPriority w:val="0"/>
    <w:pPr>
      <w:numPr>
        <w:ilvl w:val="5"/>
        <w:numId w:val="3"/>
      </w:numPr>
    </w:pPr>
    <w:rPr>
      <w:rFonts w:ascii="宋体"/>
      <w:kern w:val="21"/>
      <w:szCs w:val="21"/>
    </w:rPr>
  </w:style>
  <w:style w:type="paragraph" w:customStyle="1" w:styleId="369">
    <w:name w:val="字母编号列项（一级）"/>
    <w:qFormat/>
    <w:uiPriority w:val="0"/>
    <w:pPr>
      <w:spacing w:after="160" w:line="278" w:lineRule="auto"/>
      <w:ind w:left="840" w:leftChars="200" w:hanging="420" w:hangingChars="200"/>
      <w:jc w:val="both"/>
    </w:pPr>
    <w:rPr>
      <w:rFonts w:ascii="宋体" w:hAnsi="Times New Roman" w:eastAsia="宋体" w:cs="Times New Roman"/>
      <w:sz w:val="21"/>
      <w:lang w:val="en-US" w:eastAsia="zh-CN" w:bidi="ar-SA"/>
    </w:rPr>
  </w:style>
  <w:style w:type="paragraph" w:customStyle="1" w:styleId="370">
    <w:name w:val="封面正文"/>
    <w:qFormat/>
    <w:uiPriority w:val="0"/>
    <w:pPr>
      <w:spacing w:after="160" w:line="278" w:lineRule="auto"/>
      <w:jc w:val="both"/>
    </w:pPr>
    <w:rPr>
      <w:rFonts w:ascii="Times New Roman" w:hAnsi="Times New Roman" w:eastAsia="宋体" w:cs="Times New Roman"/>
      <w:lang w:val="en-US" w:eastAsia="zh-CN" w:bidi="ar-SA"/>
    </w:rPr>
  </w:style>
  <w:style w:type="character" w:customStyle="1" w:styleId="371">
    <w:name w:val="Balloon Text Char"/>
    <w:basedOn w:val="54"/>
    <w:qFormat/>
    <w:locked/>
    <w:uiPriority w:val="0"/>
    <w:rPr>
      <w:rFonts w:ascii="宋体" w:eastAsia="宋体"/>
      <w:kern w:val="21"/>
      <w:sz w:val="18"/>
      <w:szCs w:val="18"/>
      <w:lang w:val="en-US" w:eastAsia="zh-CN" w:bidi="ar-SA"/>
    </w:rPr>
  </w:style>
  <w:style w:type="paragraph" w:customStyle="1" w:styleId="372">
    <w:name w:val="实施日期"/>
    <w:basedOn w:val="373"/>
    <w:qFormat/>
    <w:uiPriority w:val="0"/>
    <w:pPr>
      <w:jc w:val="right"/>
    </w:pPr>
  </w:style>
  <w:style w:type="paragraph" w:customStyle="1" w:styleId="373">
    <w:name w:val="发布日期"/>
    <w:qFormat/>
    <w:uiPriority w:val="0"/>
    <w:pPr>
      <w:spacing w:after="160" w:line="278" w:lineRule="auto"/>
      <w:jc w:val="both"/>
    </w:pPr>
    <w:rPr>
      <w:rFonts w:ascii="Times New Roman" w:hAnsi="Times New Roman" w:eastAsia="黑体" w:cs="Times New Roman"/>
      <w:sz w:val="28"/>
      <w:lang w:val="en-US" w:eastAsia="zh-CN" w:bidi="ar-SA"/>
    </w:rPr>
  </w:style>
  <w:style w:type="paragraph" w:customStyle="1" w:styleId="374">
    <w:name w:val="列项——"/>
    <w:qFormat/>
    <w:uiPriority w:val="0"/>
    <w:pPr>
      <w:widowControl w:val="0"/>
      <w:numPr>
        <w:ilvl w:val="0"/>
        <w:numId w:val="7"/>
      </w:numPr>
      <w:tabs>
        <w:tab w:val="left" w:pos="854"/>
      </w:tabs>
      <w:spacing w:after="160" w:line="278" w:lineRule="auto"/>
      <w:ind w:left="200" w:leftChars="200" w:hanging="200" w:hangingChars="200"/>
      <w:jc w:val="both"/>
    </w:pPr>
    <w:rPr>
      <w:rFonts w:ascii="宋体" w:hAnsi="Times New Roman" w:eastAsia="宋体" w:cs="Times New Roman"/>
      <w:sz w:val="21"/>
      <w:lang w:val="en-US" w:eastAsia="zh-CN" w:bidi="ar-SA"/>
    </w:rPr>
  </w:style>
  <w:style w:type="paragraph" w:customStyle="1" w:styleId="375">
    <w:name w:val="示例"/>
    <w:next w:val="233"/>
    <w:qFormat/>
    <w:uiPriority w:val="0"/>
    <w:pPr>
      <w:numPr>
        <w:ilvl w:val="0"/>
        <w:numId w:val="8"/>
      </w:numPr>
      <w:tabs>
        <w:tab w:val="left" w:pos="816"/>
        <w:tab w:val="clear" w:pos="1140"/>
      </w:tabs>
      <w:spacing w:after="160" w:line="278" w:lineRule="auto"/>
      <w:ind w:firstLine="419" w:firstLineChars="233"/>
      <w:jc w:val="both"/>
    </w:pPr>
    <w:rPr>
      <w:rFonts w:ascii="宋体" w:hAnsi="Times New Roman" w:eastAsia="宋体" w:cs="Times New Roman"/>
      <w:sz w:val="18"/>
      <w:lang w:val="en-US" w:eastAsia="zh-CN" w:bidi="ar-SA"/>
    </w:rPr>
  </w:style>
  <w:style w:type="paragraph" w:customStyle="1" w:styleId="376">
    <w:name w:val="附录四级条标题"/>
    <w:basedOn w:val="364"/>
    <w:next w:val="233"/>
    <w:qFormat/>
    <w:uiPriority w:val="0"/>
    <w:pPr>
      <w:numPr>
        <w:ilvl w:val="5"/>
      </w:numPr>
      <w:outlineLvl w:val="5"/>
    </w:pPr>
  </w:style>
  <w:style w:type="paragraph" w:customStyle="1" w:styleId="377">
    <w:name w:val="列项·"/>
    <w:qFormat/>
    <w:uiPriority w:val="0"/>
    <w:pPr>
      <w:numPr>
        <w:ilvl w:val="0"/>
        <w:numId w:val="9"/>
      </w:numPr>
      <w:tabs>
        <w:tab w:val="left" w:pos="840"/>
        <w:tab w:val="clear" w:pos="1120"/>
      </w:tabs>
      <w:spacing w:after="160" w:line="278" w:lineRule="auto"/>
      <w:ind w:left="840" w:leftChars="200" w:hanging="420" w:hangingChars="200"/>
      <w:jc w:val="both"/>
    </w:pPr>
    <w:rPr>
      <w:rFonts w:ascii="宋体" w:hAnsi="Times New Roman" w:eastAsia="宋体" w:cs="Times New Roman"/>
      <w:sz w:val="21"/>
      <w:lang w:val="en-US" w:eastAsia="zh-CN" w:bidi="ar-SA"/>
    </w:rPr>
  </w:style>
  <w:style w:type="paragraph" w:customStyle="1" w:styleId="378">
    <w:name w:val="图表脚注"/>
    <w:next w:val="233"/>
    <w:qFormat/>
    <w:uiPriority w:val="0"/>
    <w:pPr>
      <w:spacing w:after="160" w:line="278" w:lineRule="auto"/>
      <w:ind w:left="300" w:leftChars="200" w:hanging="100" w:hangingChars="100"/>
      <w:jc w:val="both"/>
    </w:pPr>
    <w:rPr>
      <w:rFonts w:ascii="宋体" w:hAnsi="Times New Roman" w:eastAsia="宋体" w:cs="Times New Roman"/>
      <w:sz w:val="18"/>
      <w:lang w:val="en-US" w:eastAsia="zh-CN" w:bidi="ar-SA"/>
    </w:rPr>
  </w:style>
  <w:style w:type="paragraph" w:customStyle="1" w:styleId="379">
    <w:name w:val="封面标准文稿编辑信息"/>
    <w:qFormat/>
    <w:uiPriority w:val="0"/>
    <w:pPr>
      <w:spacing w:before="180" w:after="160" w:line="180" w:lineRule="exact"/>
      <w:jc w:val="center"/>
    </w:pPr>
    <w:rPr>
      <w:rFonts w:ascii="宋体" w:hAnsi="Times New Roman" w:eastAsia="宋体" w:cs="Times New Roman"/>
      <w:sz w:val="21"/>
      <w:lang w:val="en-US" w:eastAsia="zh-CN" w:bidi="ar-SA"/>
    </w:rPr>
  </w:style>
  <w:style w:type="paragraph" w:customStyle="1" w:styleId="380">
    <w:name w:val="一级无标题条"/>
    <w:basedOn w:val="1"/>
    <w:qFormat/>
    <w:uiPriority w:val="0"/>
    <w:pPr>
      <w:numPr>
        <w:ilvl w:val="2"/>
        <w:numId w:val="3"/>
      </w:numPr>
    </w:pPr>
    <w:rPr>
      <w:rFonts w:ascii="宋体"/>
      <w:kern w:val="21"/>
      <w:szCs w:val="21"/>
    </w:rPr>
  </w:style>
  <w:style w:type="paragraph" w:customStyle="1" w:styleId="381">
    <w:name w:val="目次、索引正文"/>
    <w:qFormat/>
    <w:uiPriority w:val="0"/>
    <w:pPr>
      <w:spacing w:after="160" w:line="320" w:lineRule="exact"/>
      <w:jc w:val="both"/>
    </w:pPr>
    <w:rPr>
      <w:rFonts w:ascii="宋体" w:hAnsi="Times New Roman" w:eastAsia="宋体" w:cs="Times New Roman"/>
      <w:sz w:val="21"/>
      <w:lang w:val="en-US" w:eastAsia="zh-CN" w:bidi="ar-SA"/>
    </w:rPr>
  </w:style>
  <w:style w:type="paragraph" w:customStyle="1" w:styleId="382">
    <w:name w:val="无标题条"/>
    <w:next w:val="233"/>
    <w:qFormat/>
    <w:uiPriority w:val="0"/>
    <w:pPr>
      <w:spacing w:after="160" w:line="278" w:lineRule="auto"/>
      <w:jc w:val="both"/>
    </w:pPr>
    <w:rPr>
      <w:rFonts w:ascii="Times New Roman" w:hAnsi="Times New Roman" w:eastAsia="宋体" w:cs="Times New Roman"/>
      <w:sz w:val="21"/>
      <w:lang w:val="en-US" w:eastAsia="zh-CN" w:bidi="ar-SA"/>
    </w:rPr>
  </w:style>
  <w:style w:type="paragraph" w:customStyle="1" w:styleId="383">
    <w:name w:val="标准书眉一"/>
    <w:qFormat/>
    <w:uiPriority w:val="0"/>
    <w:pPr>
      <w:spacing w:after="160" w:line="278" w:lineRule="auto"/>
      <w:jc w:val="both"/>
    </w:pPr>
    <w:rPr>
      <w:rFonts w:ascii="Times New Roman" w:hAnsi="Times New Roman" w:eastAsia="宋体" w:cs="Times New Roman"/>
      <w:lang w:val="en-US" w:eastAsia="zh-CN" w:bidi="ar-SA"/>
    </w:rPr>
  </w:style>
  <w:style w:type="paragraph" w:customStyle="1" w:styleId="384">
    <w:name w:val="封面标准英文名称"/>
    <w:qFormat/>
    <w:uiPriority w:val="0"/>
    <w:pPr>
      <w:widowControl w:val="0"/>
      <w:spacing w:before="370" w:after="160" w:line="400" w:lineRule="exact"/>
      <w:jc w:val="center"/>
    </w:pPr>
    <w:rPr>
      <w:rFonts w:ascii="Times New Roman" w:hAnsi="Times New Roman" w:eastAsia="宋体" w:cs="Times New Roman"/>
      <w:sz w:val="28"/>
      <w:lang w:val="en-US" w:eastAsia="zh-CN" w:bidi="ar-SA"/>
    </w:rPr>
  </w:style>
  <w:style w:type="paragraph" w:customStyle="1" w:styleId="385">
    <w:name w:val="标准称谓"/>
    <w:next w:val="1"/>
    <w:qFormat/>
    <w:uiPriority w:val="0"/>
    <w:pPr>
      <w:widowControl w:val="0"/>
      <w:kinsoku w:val="0"/>
      <w:overflowPunct w:val="0"/>
      <w:autoSpaceDE w:val="0"/>
      <w:autoSpaceDN w:val="0"/>
      <w:spacing w:after="160" w:line="240" w:lineRule="atLeast"/>
      <w:jc w:val="distribute"/>
    </w:pPr>
    <w:rPr>
      <w:rFonts w:ascii="宋体" w:hAnsi="Times New Roman" w:eastAsia="宋体" w:cs="Times New Roman"/>
      <w:b/>
      <w:bCs/>
      <w:spacing w:val="20"/>
      <w:w w:val="148"/>
      <w:sz w:val="52"/>
      <w:lang w:val="en-US" w:eastAsia="zh-CN" w:bidi="ar-SA"/>
    </w:rPr>
  </w:style>
  <w:style w:type="paragraph" w:customStyle="1" w:styleId="386">
    <w:name w:val="附录五级条标题"/>
    <w:basedOn w:val="376"/>
    <w:next w:val="233"/>
    <w:qFormat/>
    <w:uiPriority w:val="0"/>
    <w:pPr>
      <w:numPr>
        <w:ilvl w:val="6"/>
      </w:numPr>
      <w:outlineLvl w:val="6"/>
    </w:pPr>
  </w:style>
  <w:style w:type="paragraph" w:customStyle="1" w:styleId="387">
    <w:name w:val="注×："/>
    <w:qFormat/>
    <w:uiPriority w:val="0"/>
    <w:pPr>
      <w:widowControl w:val="0"/>
      <w:numPr>
        <w:ilvl w:val="0"/>
        <w:numId w:val="10"/>
      </w:numPr>
      <w:tabs>
        <w:tab w:val="left" w:pos="630"/>
      </w:tabs>
      <w:autoSpaceDE w:val="0"/>
      <w:autoSpaceDN w:val="0"/>
      <w:spacing w:after="160" w:line="278" w:lineRule="auto"/>
      <w:jc w:val="both"/>
    </w:pPr>
    <w:rPr>
      <w:rFonts w:ascii="宋体" w:hAnsi="Times New Roman" w:eastAsia="宋体" w:cs="Times New Roman"/>
      <w:sz w:val="18"/>
      <w:lang w:val="en-US" w:eastAsia="zh-CN" w:bidi="ar-SA"/>
    </w:rPr>
  </w:style>
  <w:style w:type="paragraph" w:customStyle="1" w:styleId="388">
    <w:name w:val="封面标准文稿类别"/>
    <w:qFormat/>
    <w:uiPriority w:val="0"/>
    <w:pPr>
      <w:spacing w:before="440" w:after="160" w:line="400" w:lineRule="exact"/>
      <w:jc w:val="center"/>
    </w:pPr>
    <w:rPr>
      <w:rFonts w:ascii="宋体" w:hAnsi="Times New Roman" w:eastAsia="宋体" w:cs="Times New Roman"/>
      <w:sz w:val="24"/>
      <w:lang w:val="en-US" w:eastAsia="zh-CN" w:bidi="ar-SA"/>
    </w:rPr>
  </w:style>
  <w:style w:type="paragraph" w:customStyle="1" w:styleId="389">
    <w:name w:val="标准书脚_奇数页"/>
    <w:qFormat/>
    <w:uiPriority w:val="0"/>
    <w:pPr>
      <w:spacing w:before="120" w:after="160" w:line="278" w:lineRule="auto"/>
      <w:jc w:val="right"/>
    </w:pPr>
    <w:rPr>
      <w:rFonts w:ascii="Times New Roman" w:hAnsi="Times New Roman" w:eastAsia="宋体" w:cs="Times New Roman"/>
      <w:sz w:val="18"/>
      <w:lang w:val="en-US" w:eastAsia="zh-CN" w:bidi="ar-SA"/>
    </w:rPr>
  </w:style>
  <w:style w:type="paragraph" w:customStyle="1" w:styleId="390">
    <w:name w:val="参考文献、索引标题"/>
    <w:basedOn w:val="342"/>
    <w:next w:val="1"/>
    <w:qFormat/>
    <w:uiPriority w:val="0"/>
    <w:pPr>
      <w:numPr>
        <w:numId w:val="0"/>
      </w:numPr>
      <w:spacing w:after="200"/>
    </w:pPr>
    <w:rPr>
      <w:sz w:val="21"/>
    </w:rPr>
  </w:style>
  <w:style w:type="paragraph" w:customStyle="1" w:styleId="391">
    <w:name w:val="标准书脚_偶数页"/>
    <w:qFormat/>
    <w:uiPriority w:val="0"/>
    <w:pPr>
      <w:spacing w:before="120" w:after="160" w:line="278" w:lineRule="auto"/>
      <w:jc w:val="both"/>
    </w:pPr>
    <w:rPr>
      <w:rFonts w:ascii="Times New Roman" w:hAnsi="Times New Roman" w:eastAsia="宋体" w:cs="Times New Roman"/>
      <w:sz w:val="18"/>
      <w:lang w:val="en-US" w:eastAsia="zh-CN" w:bidi="ar-SA"/>
    </w:rPr>
  </w:style>
  <w:style w:type="paragraph" w:customStyle="1" w:styleId="392">
    <w:name w:val="标准标志"/>
    <w:next w:val="1"/>
    <w:qFormat/>
    <w:uiPriority w:val="0"/>
    <w:pPr>
      <w:shd w:val="solid" w:color="FFFFFF" w:fill="FFFFFF"/>
      <w:spacing w:after="160" w:line="240" w:lineRule="atLeast"/>
      <w:jc w:val="right"/>
    </w:pPr>
    <w:rPr>
      <w:rFonts w:ascii="Times New Roman" w:hAnsi="Times New Roman" w:eastAsia="宋体" w:cs="Times New Roman"/>
      <w:b/>
      <w:w w:val="130"/>
      <w:sz w:val="96"/>
      <w:lang w:val="en-US" w:eastAsia="zh-CN" w:bidi="ar-SA"/>
    </w:rPr>
  </w:style>
  <w:style w:type="paragraph" w:customStyle="1" w:styleId="393">
    <w:name w:val="示例×："/>
    <w:basedOn w:val="1"/>
    <w:next w:val="1"/>
    <w:qFormat/>
    <w:uiPriority w:val="0"/>
    <w:pPr>
      <w:tabs>
        <w:tab w:val="left" w:pos="630"/>
        <w:tab w:val="left" w:pos="760"/>
      </w:tabs>
      <w:autoSpaceDE w:val="0"/>
      <w:autoSpaceDN w:val="0"/>
      <w:ind w:left="20" w:firstLine="380"/>
    </w:pPr>
    <w:rPr>
      <w:rFonts w:ascii="宋体"/>
      <w:kern w:val="0"/>
      <w:sz w:val="18"/>
      <w:szCs w:val="20"/>
    </w:rPr>
  </w:style>
  <w:style w:type="character" w:customStyle="1" w:styleId="394">
    <w:name w:val="Char Char33"/>
    <w:qFormat/>
    <w:uiPriority w:val="0"/>
    <w:rPr>
      <w:rFonts w:eastAsia="宋体"/>
      <w:b/>
      <w:bCs/>
      <w:kern w:val="44"/>
      <w:sz w:val="44"/>
      <w:szCs w:val="44"/>
      <w:lang w:val="en-US" w:eastAsia="zh-CN" w:bidi="ar-SA"/>
    </w:rPr>
  </w:style>
  <w:style w:type="character" w:customStyle="1" w:styleId="395">
    <w:name w:val="Char Char32"/>
    <w:qFormat/>
    <w:uiPriority w:val="0"/>
    <w:rPr>
      <w:rFonts w:ascii="Arial" w:hAnsi="Arial" w:eastAsia="黑体"/>
      <w:b/>
      <w:bCs/>
      <w:sz w:val="32"/>
      <w:szCs w:val="32"/>
      <w:lang w:bidi="ar-SA"/>
    </w:rPr>
  </w:style>
  <w:style w:type="character" w:customStyle="1" w:styleId="396">
    <w:name w:val="Char Char35"/>
    <w:qFormat/>
    <w:uiPriority w:val="0"/>
    <w:rPr>
      <w:rFonts w:eastAsia="宋体"/>
      <w:b/>
      <w:bCs/>
      <w:kern w:val="44"/>
      <w:sz w:val="44"/>
      <w:szCs w:val="44"/>
      <w:lang w:val="en-US" w:eastAsia="zh-CN" w:bidi="ar-SA"/>
    </w:rPr>
  </w:style>
  <w:style w:type="character" w:customStyle="1" w:styleId="397">
    <w:name w:val="Char Char34"/>
    <w:qFormat/>
    <w:uiPriority w:val="0"/>
    <w:rPr>
      <w:rFonts w:ascii="Arial" w:hAnsi="Arial" w:eastAsia="黑体"/>
      <w:b/>
      <w:bCs/>
      <w:sz w:val="32"/>
      <w:szCs w:val="32"/>
      <w:lang w:bidi="ar-SA"/>
    </w:rPr>
  </w:style>
  <w:style w:type="paragraph" w:customStyle="1" w:styleId="398">
    <w:name w:val="标准正文 S"/>
    <w:basedOn w:val="1"/>
    <w:qFormat/>
    <w:uiPriority w:val="0"/>
    <w:pPr>
      <w:spacing w:beforeLines="50" w:afterLines="50" w:line="360" w:lineRule="auto"/>
      <w:ind w:firstLine="480"/>
      <w:jc w:val="left"/>
    </w:pPr>
    <w:rPr>
      <w:rFonts w:ascii="Calibri" w:hAnsi="Calibri"/>
      <w:sz w:val="24"/>
    </w:rPr>
  </w:style>
  <w:style w:type="paragraph" w:customStyle="1" w:styleId="399">
    <w:name w:val="*正文"/>
    <w:basedOn w:val="1"/>
    <w:qFormat/>
    <w:uiPriority w:val="0"/>
    <w:pPr>
      <w:spacing w:line="360" w:lineRule="auto"/>
      <w:ind w:firstLine="482"/>
      <w:jc w:val="left"/>
    </w:pPr>
    <w:rPr>
      <w:rFonts w:ascii="宋体" w:hAnsi="宋体"/>
      <w:kern w:val="0"/>
      <w:sz w:val="24"/>
      <w:szCs w:val="20"/>
    </w:rPr>
  </w:style>
  <w:style w:type="character" w:customStyle="1" w:styleId="400">
    <w:name w:val="Body text|3_"/>
    <w:basedOn w:val="54"/>
    <w:link w:val="401"/>
    <w:qFormat/>
    <w:uiPriority w:val="0"/>
    <w:rPr>
      <w:rFonts w:ascii="宋体" w:hAnsi="宋体" w:eastAsia="宋体"/>
      <w:sz w:val="34"/>
      <w:szCs w:val="34"/>
      <w:lang w:bidi="ar-SA"/>
    </w:rPr>
  </w:style>
  <w:style w:type="paragraph" w:customStyle="1" w:styleId="401">
    <w:name w:val="Body text|3"/>
    <w:basedOn w:val="1"/>
    <w:link w:val="400"/>
    <w:qFormat/>
    <w:uiPriority w:val="0"/>
    <w:pPr>
      <w:spacing w:after="460"/>
      <w:jc w:val="center"/>
    </w:pPr>
    <w:rPr>
      <w:rFonts w:ascii="宋体" w:hAnsi="宋体"/>
      <w:kern w:val="0"/>
      <w:sz w:val="34"/>
      <w:szCs w:val="34"/>
    </w:rPr>
  </w:style>
  <w:style w:type="character" w:customStyle="1" w:styleId="402">
    <w:name w:val="Body text|1_"/>
    <w:basedOn w:val="54"/>
    <w:link w:val="403"/>
    <w:qFormat/>
    <w:uiPriority w:val="0"/>
    <w:rPr>
      <w:rFonts w:ascii="宋体" w:hAnsi="宋体" w:eastAsia="宋体"/>
      <w:sz w:val="30"/>
      <w:szCs w:val="30"/>
      <w:lang w:bidi="ar-SA"/>
    </w:rPr>
  </w:style>
  <w:style w:type="paragraph" w:customStyle="1" w:styleId="403">
    <w:name w:val="Body text|1"/>
    <w:basedOn w:val="1"/>
    <w:link w:val="402"/>
    <w:qFormat/>
    <w:uiPriority w:val="0"/>
    <w:pPr>
      <w:spacing w:line="353" w:lineRule="auto"/>
      <w:ind w:firstLine="400"/>
      <w:jc w:val="left"/>
    </w:pPr>
    <w:rPr>
      <w:rFonts w:ascii="宋体" w:hAnsi="宋体"/>
      <w:kern w:val="0"/>
      <w:sz w:val="30"/>
      <w:szCs w:val="30"/>
    </w:rPr>
  </w:style>
  <w:style w:type="character" w:customStyle="1" w:styleId="404">
    <w:name w:val="Char Char37"/>
    <w:qFormat/>
    <w:uiPriority w:val="0"/>
    <w:rPr>
      <w:rFonts w:eastAsia="宋体"/>
      <w:b/>
      <w:bCs/>
      <w:kern w:val="44"/>
      <w:sz w:val="44"/>
      <w:szCs w:val="44"/>
      <w:lang w:val="en-US" w:eastAsia="zh-CN" w:bidi="ar-SA"/>
    </w:rPr>
  </w:style>
  <w:style w:type="character" w:customStyle="1" w:styleId="405">
    <w:name w:val="Char Char36"/>
    <w:qFormat/>
    <w:uiPriority w:val="0"/>
    <w:rPr>
      <w:rFonts w:ascii="Arial" w:hAnsi="Arial" w:eastAsia="黑体"/>
      <w:b/>
      <w:bCs/>
      <w:sz w:val="32"/>
      <w:szCs w:val="32"/>
      <w:lang w:bidi="ar-SA"/>
    </w:rPr>
  </w:style>
  <w:style w:type="character" w:customStyle="1" w:styleId="406">
    <w:name w:val="无间隔 字符"/>
    <w:qFormat/>
    <w:uiPriority w:val="0"/>
    <w:rPr>
      <w:sz w:val="22"/>
      <w:szCs w:val="22"/>
      <w:lang w:val="en-US" w:eastAsia="zh-CN" w:bidi="ar-SA"/>
    </w:rPr>
  </w:style>
  <w:style w:type="character" w:customStyle="1" w:styleId="407">
    <w:name w:val="正文文本 2 字符"/>
    <w:qFormat/>
    <w:uiPriority w:val="0"/>
    <w:rPr>
      <w:rFonts w:eastAsia="宋体"/>
      <w:kern w:val="2"/>
      <w:sz w:val="21"/>
      <w:szCs w:val="24"/>
      <w:lang w:val="en-US" w:eastAsia="zh-CN" w:bidi="ar-SA"/>
    </w:rPr>
  </w:style>
  <w:style w:type="character" w:customStyle="1" w:styleId="408">
    <w:name w:val="HTML 地址 字符"/>
    <w:qFormat/>
    <w:locked/>
    <w:uiPriority w:val="0"/>
    <w:rPr>
      <w:rFonts w:ascii="宋体" w:eastAsia="宋体"/>
      <w:i/>
      <w:iCs/>
      <w:kern w:val="21"/>
      <w:sz w:val="21"/>
      <w:szCs w:val="21"/>
      <w:lang w:val="en-US" w:eastAsia="zh-CN" w:bidi="ar-SA"/>
    </w:rPr>
  </w:style>
  <w:style w:type="character" w:customStyle="1" w:styleId="409">
    <w:name w:val="标题 6 字符"/>
    <w:qFormat/>
    <w:uiPriority w:val="0"/>
    <w:rPr>
      <w:rFonts w:ascii="Arial" w:hAnsi="Arial" w:eastAsia="黑体"/>
      <w:b/>
      <w:kern w:val="2"/>
      <w:sz w:val="24"/>
      <w:szCs w:val="24"/>
      <w:lang w:val="en-US" w:eastAsia="zh-CN" w:bidi="ar-SA"/>
    </w:rPr>
  </w:style>
  <w:style w:type="character" w:customStyle="1" w:styleId="410">
    <w:name w:val="日期 字符"/>
    <w:qFormat/>
    <w:uiPriority w:val="0"/>
    <w:rPr>
      <w:rFonts w:ascii="宋体" w:hAnsi="Courier New" w:eastAsia="宋体" w:cs="Courier New"/>
      <w:kern w:val="2"/>
      <w:sz w:val="21"/>
      <w:szCs w:val="21"/>
      <w:lang w:val="en-US" w:eastAsia="zh-CN" w:bidi="ar-SA"/>
    </w:rPr>
  </w:style>
  <w:style w:type="character" w:customStyle="1" w:styleId="411">
    <w:name w:val="正文文本缩进 2 字符"/>
    <w:qFormat/>
    <w:uiPriority w:val="0"/>
    <w:rPr>
      <w:rFonts w:eastAsia="宋体"/>
      <w:kern w:val="2"/>
      <w:sz w:val="32"/>
      <w:lang w:val="en-US" w:eastAsia="zh-CN" w:bidi="ar-SA"/>
    </w:rPr>
  </w:style>
  <w:style w:type="character" w:customStyle="1" w:styleId="412">
    <w:name w:val="标题 1 字符"/>
    <w:qFormat/>
    <w:uiPriority w:val="0"/>
    <w:rPr>
      <w:rFonts w:eastAsia="宋体"/>
      <w:b/>
      <w:bCs/>
      <w:kern w:val="44"/>
      <w:sz w:val="44"/>
      <w:szCs w:val="44"/>
      <w:lang w:val="en-US" w:eastAsia="zh-CN" w:bidi="ar-SA"/>
    </w:rPr>
  </w:style>
  <w:style w:type="character" w:customStyle="1" w:styleId="413">
    <w:name w:val="正文文本缩进 3 字符"/>
    <w:qFormat/>
    <w:uiPriority w:val="0"/>
    <w:rPr>
      <w:rFonts w:eastAsia="宋体"/>
      <w:kern w:val="2"/>
      <w:sz w:val="16"/>
      <w:szCs w:val="16"/>
      <w:lang w:val="en-US" w:eastAsia="zh-CN" w:bidi="ar-SA"/>
    </w:rPr>
  </w:style>
  <w:style w:type="character" w:customStyle="1" w:styleId="414">
    <w:name w:val="标题 2 字符"/>
    <w:qFormat/>
    <w:uiPriority w:val="0"/>
    <w:rPr>
      <w:rFonts w:ascii="Arial" w:hAnsi="Arial" w:eastAsia="黑体"/>
      <w:b/>
      <w:bCs/>
      <w:sz w:val="32"/>
      <w:szCs w:val="32"/>
      <w:lang w:bidi="ar-SA"/>
    </w:rPr>
  </w:style>
  <w:style w:type="character" w:customStyle="1" w:styleId="415">
    <w:name w:val="标题 3 字符"/>
    <w:qFormat/>
    <w:uiPriority w:val="0"/>
    <w:rPr>
      <w:rFonts w:eastAsia="宋体"/>
      <w:b/>
      <w:bCs/>
      <w:sz w:val="32"/>
      <w:szCs w:val="32"/>
      <w:lang w:bidi="ar-SA"/>
    </w:rPr>
  </w:style>
  <w:style w:type="character" w:customStyle="1" w:styleId="416">
    <w:name w:val="标题 4 字符"/>
    <w:qFormat/>
    <w:uiPriority w:val="0"/>
    <w:rPr>
      <w:rFonts w:ascii="Arial" w:hAnsi="Arial" w:eastAsia="黑体"/>
      <w:sz w:val="28"/>
      <w:lang w:bidi="ar-SA"/>
    </w:rPr>
  </w:style>
  <w:style w:type="character" w:customStyle="1" w:styleId="417">
    <w:name w:val="标题 5 字符"/>
    <w:qFormat/>
    <w:uiPriority w:val="0"/>
    <w:rPr>
      <w:rFonts w:eastAsia="宋体"/>
      <w:b/>
      <w:kern w:val="2"/>
      <w:sz w:val="28"/>
      <w:szCs w:val="24"/>
      <w:lang w:val="en-US" w:eastAsia="zh-CN" w:bidi="ar-SA"/>
    </w:rPr>
  </w:style>
  <w:style w:type="character" w:customStyle="1" w:styleId="418">
    <w:name w:val="标题 7 字符"/>
    <w:qFormat/>
    <w:uiPriority w:val="0"/>
    <w:rPr>
      <w:rFonts w:eastAsia="宋体"/>
      <w:b/>
      <w:kern w:val="2"/>
      <w:sz w:val="24"/>
      <w:szCs w:val="24"/>
      <w:lang w:val="en-US" w:eastAsia="zh-CN" w:bidi="ar-SA"/>
    </w:rPr>
  </w:style>
  <w:style w:type="character" w:customStyle="1" w:styleId="419">
    <w:name w:val="标题 8 字符"/>
    <w:qFormat/>
    <w:uiPriority w:val="0"/>
    <w:rPr>
      <w:rFonts w:ascii="Arial" w:hAnsi="Arial" w:eastAsia="黑体"/>
      <w:kern w:val="2"/>
      <w:sz w:val="24"/>
      <w:szCs w:val="24"/>
      <w:lang w:val="en-US" w:eastAsia="zh-CN" w:bidi="ar-SA"/>
    </w:rPr>
  </w:style>
  <w:style w:type="character" w:customStyle="1" w:styleId="420">
    <w:name w:val="标题 9 字符"/>
    <w:qFormat/>
    <w:uiPriority w:val="0"/>
    <w:rPr>
      <w:rFonts w:ascii="Arial" w:hAnsi="Arial" w:eastAsia="黑体"/>
      <w:kern w:val="2"/>
      <w:sz w:val="21"/>
      <w:szCs w:val="24"/>
      <w:lang w:val="en-US" w:eastAsia="zh-CN" w:bidi="ar-SA"/>
    </w:rPr>
  </w:style>
  <w:style w:type="character" w:customStyle="1" w:styleId="421">
    <w:name w:val="正文文本 3 字符"/>
    <w:qFormat/>
    <w:uiPriority w:val="0"/>
    <w:rPr>
      <w:rFonts w:eastAsia="宋体"/>
      <w:b/>
      <w:bCs/>
      <w:kern w:val="2"/>
      <w:sz w:val="24"/>
      <w:szCs w:val="24"/>
      <w:lang w:val="en-US" w:eastAsia="zh-CN" w:bidi="ar-SA"/>
    </w:rPr>
  </w:style>
  <w:style w:type="character" w:customStyle="1" w:styleId="422">
    <w:name w:val="页眉 字符"/>
    <w:qFormat/>
    <w:uiPriority w:val="0"/>
    <w:rPr>
      <w:rFonts w:eastAsia="宋体"/>
      <w:kern w:val="2"/>
      <w:sz w:val="18"/>
      <w:szCs w:val="18"/>
      <w:lang w:val="en-US" w:eastAsia="zh-CN" w:bidi="ar-SA"/>
    </w:rPr>
  </w:style>
  <w:style w:type="character" w:customStyle="1" w:styleId="423">
    <w:name w:val="标题 字符"/>
    <w:qFormat/>
    <w:uiPriority w:val="10"/>
    <w:rPr>
      <w:rFonts w:ascii="Arial" w:hAnsi="Arial" w:eastAsia="宋体"/>
      <w:b/>
      <w:bCs/>
      <w:kern w:val="2"/>
      <w:sz w:val="32"/>
      <w:szCs w:val="32"/>
      <w:lang w:bidi="ar-SA"/>
    </w:rPr>
  </w:style>
  <w:style w:type="character" w:customStyle="1" w:styleId="424">
    <w:name w:val="称呼 字符"/>
    <w:qFormat/>
    <w:uiPriority w:val="0"/>
    <w:rPr>
      <w:kern w:val="2"/>
      <w:sz w:val="28"/>
      <w:szCs w:val="24"/>
    </w:rPr>
  </w:style>
  <w:style w:type="character" w:customStyle="1" w:styleId="425">
    <w:name w:val="尾注文本 字符"/>
    <w:qFormat/>
    <w:uiPriority w:val="0"/>
    <w:rPr>
      <w:rFonts w:ascii="Calibri" w:hAnsi="Calibri"/>
      <w:kern w:val="2"/>
      <w:sz w:val="21"/>
      <w:szCs w:val="22"/>
    </w:rPr>
  </w:style>
  <w:style w:type="character" w:customStyle="1" w:styleId="426">
    <w:name w:val="纯文本 字符1"/>
    <w:qFormat/>
    <w:uiPriority w:val="0"/>
    <w:rPr>
      <w:rFonts w:ascii="宋体" w:hAnsi="Courier New" w:eastAsia="宋体" w:cs="Courier New"/>
      <w:kern w:val="2"/>
      <w:sz w:val="21"/>
      <w:szCs w:val="21"/>
      <w:lang w:val="en-US" w:eastAsia="zh-CN" w:bidi="ar-SA"/>
    </w:rPr>
  </w:style>
  <w:style w:type="character" w:customStyle="1" w:styleId="427">
    <w:name w:val="页脚 字符"/>
    <w:qFormat/>
    <w:uiPriority w:val="0"/>
    <w:rPr>
      <w:rFonts w:eastAsia="宋体"/>
      <w:kern w:val="2"/>
      <w:sz w:val="18"/>
      <w:szCs w:val="18"/>
      <w:lang w:val="en-US" w:eastAsia="zh-CN" w:bidi="ar-SA"/>
    </w:rPr>
  </w:style>
  <w:style w:type="character" w:customStyle="1" w:styleId="428">
    <w:name w:val="正文文本 字符"/>
    <w:qFormat/>
    <w:uiPriority w:val="1"/>
    <w:rPr>
      <w:rFonts w:eastAsia="宋体"/>
      <w:kern w:val="2"/>
      <w:sz w:val="24"/>
      <w:szCs w:val="24"/>
      <w:lang w:val="en-US" w:eastAsia="zh-CN" w:bidi="ar-SA"/>
    </w:rPr>
  </w:style>
  <w:style w:type="character" w:customStyle="1" w:styleId="429">
    <w:name w:val="HTML 预设格式 字符"/>
    <w:qFormat/>
    <w:uiPriority w:val="0"/>
    <w:rPr>
      <w:rFonts w:ascii="黑体" w:hAnsi="Courier New" w:eastAsia="黑体" w:cs="Courier New"/>
      <w:lang w:val="en-US" w:eastAsia="zh-CN" w:bidi="ar-SA"/>
    </w:rPr>
  </w:style>
  <w:style w:type="character" w:customStyle="1" w:styleId="430">
    <w:name w:val="批注文字 字符"/>
    <w:qFormat/>
    <w:uiPriority w:val="0"/>
    <w:rPr>
      <w:rFonts w:eastAsia="宋体"/>
      <w:sz w:val="24"/>
      <w:lang w:bidi="ar-SA"/>
    </w:rPr>
  </w:style>
  <w:style w:type="character" w:customStyle="1" w:styleId="431">
    <w:name w:val="正文文本缩进 字符"/>
    <w:qFormat/>
    <w:uiPriority w:val="0"/>
    <w:rPr>
      <w:rFonts w:ascii="仿宋_GB2312" w:eastAsia="仿宋_GB2312"/>
      <w:kern w:val="2"/>
      <w:sz w:val="32"/>
      <w:lang w:val="en-US" w:eastAsia="zh-CN" w:bidi="ar-SA"/>
    </w:rPr>
  </w:style>
  <w:style w:type="character" w:customStyle="1" w:styleId="432">
    <w:name w:val="脚注文本 字符"/>
    <w:qFormat/>
    <w:locked/>
    <w:uiPriority w:val="0"/>
    <w:rPr>
      <w:rFonts w:ascii="宋体" w:eastAsia="宋体"/>
      <w:kern w:val="21"/>
      <w:sz w:val="18"/>
      <w:szCs w:val="18"/>
      <w:lang w:val="en-US" w:eastAsia="zh-CN" w:bidi="ar-SA"/>
    </w:rPr>
  </w:style>
  <w:style w:type="character" w:customStyle="1" w:styleId="433">
    <w:name w:val="文档结构图 字符"/>
    <w:qFormat/>
    <w:uiPriority w:val="0"/>
    <w:rPr>
      <w:rFonts w:eastAsia="宋体"/>
      <w:kern w:val="2"/>
      <w:sz w:val="21"/>
      <w:szCs w:val="24"/>
      <w:lang w:val="en-US" w:eastAsia="zh-CN" w:bidi="ar-SA"/>
    </w:rPr>
  </w:style>
  <w:style w:type="character" w:customStyle="1" w:styleId="434">
    <w:name w:val="标题 3 字符1"/>
    <w:qFormat/>
    <w:uiPriority w:val="0"/>
    <w:rPr>
      <w:rFonts w:eastAsia="宋体"/>
      <w:b/>
      <w:bCs/>
      <w:sz w:val="32"/>
      <w:szCs w:val="32"/>
      <w:lang w:bidi="ar-SA"/>
    </w:rPr>
  </w:style>
  <w:style w:type="character" w:customStyle="1" w:styleId="435">
    <w:name w:val="纯文本 字符2"/>
    <w:qFormat/>
    <w:uiPriority w:val="0"/>
    <w:rPr>
      <w:rFonts w:ascii="宋体" w:hAnsi="Courier New" w:eastAsia="宋体" w:cs="Courier New"/>
      <w:kern w:val="2"/>
      <w:sz w:val="21"/>
      <w:szCs w:val="21"/>
      <w:lang w:val="en-US" w:eastAsia="zh-CN" w:bidi="ar-SA"/>
    </w:rPr>
  </w:style>
  <w:style w:type="character" w:customStyle="1" w:styleId="436">
    <w:name w:val="标题 5 字符1"/>
    <w:qFormat/>
    <w:uiPriority w:val="0"/>
    <w:rPr>
      <w:rFonts w:eastAsia="宋体"/>
      <w:b/>
      <w:kern w:val="2"/>
      <w:sz w:val="28"/>
      <w:szCs w:val="24"/>
      <w:lang w:val="en-US" w:eastAsia="zh-CN" w:bidi="ar-SA"/>
    </w:rPr>
  </w:style>
  <w:style w:type="character" w:customStyle="1" w:styleId="437">
    <w:name w:val="标题 8 字符1"/>
    <w:qFormat/>
    <w:uiPriority w:val="0"/>
    <w:rPr>
      <w:rFonts w:ascii="Arial" w:hAnsi="Arial" w:eastAsia="黑体"/>
      <w:kern w:val="2"/>
      <w:sz w:val="24"/>
      <w:szCs w:val="24"/>
      <w:lang w:val="en-US" w:eastAsia="zh-CN" w:bidi="ar-SA"/>
    </w:rPr>
  </w:style>
  <w:style w:type="character" w:customStyle="1" w:styleId="438">
    <w:name w:val="文档结构图 字符1"/>
    <w:qFormat/>
    <w:uiPriority w:val="0"/>
    <w:rPr>
      <w:rFonts w:eastAsia="宋体"/>
      <w:kern w:val="2"/>
      <w:sz w:val="21"/>
      <w:szCs w:val="24"/>
      <w:lang w:val="en-US" w:eastAsia="zh-CN" w:bidi="ar-SA"/>
    </w:rPr>
  </w:style>
  <w:style w:type="character" w:customStyle="1" w:styleId="439">
    <w:name w:val="标题 1 字符1"/>
    <w:qFormat/>
    <w:uiPriority w:val="0"/>
    <w:rPr>
      <w:rFonts w:eastAsia="宋体"/>
      <w:b/>
      <w:bCs/>
      <w:kern w:val="44"/>
      <w:sz w:val="44"/>
      <w:szCs w:val="44"/>
      <w:lang w:val="en-US" w:eastAsia="zh-CN" w:bidi="ar-SA"/>
    </w:rPr>
  </w:style>
  <w:style w:type="character" w:customStyle="1" w:styleId="440">
    <w:name w:val="页眉 字符1"/>
    <w:qFormat/>
    <w:uiPriority w:val="0"/>
    <w:rPr>
      <w:rFonts w:eastAsia="宋体"/>
      <w:kern w:val="2"/>
      <w:sz w:val="18"/>
      <w:szCs w:val="18"/>
      <w:lang w:val="en-US" w:eastAsia="zh-CN" w:bidi="ar-SA"/>
    </w:rPr>
  </w:style>
  <w:style w:type="character" w:customStyle="1" w:styleId="441">
    <w:name w:val="正文文本缩进 3 字符1"/>
    <w:qFormat/>
    <w:uiPriority w:val="0"/>
    <w:rPr>
      <w:rFonts w:eastAsia="宋体"/>
      <w:kern w:val="2"/>
      <w:sz w:val="16"/>
      <w:szCs w:val="16"/>
      <w:lang w:val="en-US" w:eastAsia="zh-CN" w:bidi="ar-SA"/>
    </w:rPr>
  </w:style>
  <w:style w:type="character" w:customStyle="1" w:styleId="442">
    <w:name w:val="页脚 字符1"/>
    <w:qFormat/>
    <w:uiPriority w:val="0"/>
    <w:rPr>
      <w:rFonts w:eastAsia="宋体"/>
      <w:kern w:val="2"/>
      <w:sz w:val="18"/>
      <w:szCs w:val="18"/>
      <w:lang w:val="en-US" w:eastAsia="zh-CN" w:bidi="ar-SA"/>
    </w:rPr>
  </w:style>
  <w:style w:type="character" w:customStyle="1" w:styleId="443">
    <w:name w:val="正文文本缩进 字符1"/>
    <w:qFormat/>
    <w:uiPriority w:val="0"/>
    <w:rPr>
      <w:rFonts w:ascii="仿宋_GB2312" w:eastAsia="仿宋_GB2312"/>
      <w:kern w:val="2"/>
      <w:sz w:val="32"/>
      <w:lang w:val="en-US" w:eastAsia="zh-CN" w:bidi="ar-SA"/>
    </w:rPr>
  </w:style>
  <w:style w:type="character" w:customStyle="1" w:styleId="444">
    <w:name w:val="标题 9 字符1"/>
    <w:qFormat/>
    <w:uiPriority w:val="0"/>
    <w:rPr>
      <w:rFonts w:ascii="Arial" w:hAnsi="Arial" w:eastAsia="黑体"/>
      <w:kern w:val="2"/>
      <w:sz w:val="21"/>
      <w:szCs w:val="24"/>
      <w:lang w:val="en-US" w:eastAsia="zh-CN" w:bidi="ar-SA"/>
    </w:rPr>
  </w:style>
  <w:style w:type="character" w:customStyle="1" w:styleId="445">
    <w:name w:val="正文文本缩进 2 字符1"/>
    <w:qFormat/>
    <w:uiPriority w:val="0"/>
    <w:rPr>
      <w:rFonts w:eastAsia="宋体"/>
      <w:kern w:val="2"/>
      <w:sz w:val="32"/>
      <w:lang w:val="en-US" w:eastAsia="zh-CN" w:bidi="ar-SA"/>
    </w:rPr>
  </w:style>
  <w:style w:type="character" w:customStyle="1" w:styleId="446">
    <w:name w:val="HTML 预设格式 字符1"/>
    <w:qFormat/>
    <w:uiPriority w:val="0"/>
    <w:rPr>
      <w:rFonts w:ascii="黑体" w:hAnsi="Courier New" w:eastAsia="黑体" w:cs="Courier New"/>
      <w:lang w:val="en-US" w:eastAsia="zh-CN" w:bidi="ar-SA"/>
    </w:rPr>
  </w:style>
  <w:style w:type="character" w:customStyle="1" w:styleId="447">
    <w:name w:val="正文文本 2 字符1"/>
    <w:qFormat/>
    <w:uiPriority w:val="0"/>
    <w:rPr>
      <w:rFonts w:eastAsia="宋体"/>
      <w:kern w:val="2"/>
      <w:sz w:val="21"/>
      <w:szCs w:val="24"/>
      <w:lang w:val="en-US" w:eastAsia="zh-CN" w:bidi="ar-SA"/>
    </w:rPr>
  </w:style>
  <w:style w:type="character" w:customStyle="1" w:styleId="448">
    <w:name w:val="正文文本 字符1"/>
    <w:qFormat/>
    <w:uiPriority w:val="0"/>
    <w:rPr>
      <w:rFonts w:eastAsia="宋体"/>
      <w:kern w:val="2"/>
      <w:sz w:val="24"/>
      <w:szCs w:val="24"/>
      <w:lang w:val="en-US" w:eastAsia="zh-CN" w:bidi="ar-SA"/>
    </w:rPr>
  </w:style>
  <w:style w:type="character" w:customStyle="1" w:styleId="449">
    <w:name w:val="标题 6 字符1"/>
    <w:qFormat/>
    <w:uiPriority w:val="0"/>
    <w:rPr>
      <w:rFonts w:ascii="Arial" w:hAnsi="Arial" w:eastAsia="黑体"/>
      <w:b/>
      <w:kern w:val="2"/>
      <w:sz w:val="24"/>
      <w:szCs w:val="24"/>
      <w:lang w:val="en-US" w:eastAsia="zh-CN" w:bidi="ar-SA"/>
    </w:rPr>
  </w:style>
  <w:style w:type="character" w:customStyle="1" w:styleId="450">
    <w:name w:val="称呼 字符1"/>
    <w:qFormat/>
    <w:uiPriority w:val="0"/>
    <w:rPr>
      <w:kern w:val="2"/>
      <w:sz w:val="28"/>
      <w:szCs w:val="24"/>
    </w:rPr>
  </w:style>
  <w:style w:type="character" w:customStyle="1" w:styleId="451">
    <w:name w:val="标题 4 字符1"/>
    <w:qFormat/>
    <w:uiPriority w:val="0"/>
    <w:rPr>
      <w:rFonts w:ascii="Arial" w:hAnsi="Arial" w:eastAsia="黑体"/>
      <w:sz w:val="28"/>
      <w:lang w:bidi="ar-SA"/>
    </w:rPr>
  </w:style>
  <w:style w:type="character" w:customStyle="1" w:styleId="452">
    <w:name w:val="标题 2 字符1"/>
    <w:qFormat/>
    <w:uiPriority w:val="0"/>
    <w:rPr>
      <w:rFonts w:ascii="Arial" w:hAnsi="Arial" w:eastAsia="黑体"/>
      <w:b/>
      <w:bCs/>
      <w:sz w:val="32"/>
      <w:szCs w:val="32"/>
      <w:lang w:bidi="ar-SA"/>
    </w:rPr>
  </w:style>
  <w:style w:type="character" w:customStyle="1" w:styleId="453">
    <w:name w:val="尾注文本 字符1"/>
    <w:qFormat/>
    <w:uiPriority w:val="0"/>
    <w:rPr>
      <w:rFonts w:ascii="Calibri" w:hAnsi="Calibri"/>
      <w:kern w:val="2"/>
      <w:sz w:val="21"/>
      <w:szCs w:val="22"/>
    </w:rPr>
  </w:style>
  <w:style w:type="character" w:customStyle="1" w:styleId="454">
    <w:name w:val="正文文本 3 字符1"/>
    <w:qFormat/>
    <w:uiPriority w:val="0"/>
    <w:rPr>
      <w:rFonts w:eastAsia="宋体"/>
      <w:b/>
      <w:bCs/>
      <w:kern w:val="2"/>
      <w:sz w:val="24"/>
      <w:szCs w:val="24"/>
      <w:lang w:val="en-US" w:eastAsia="zh-CN" w:bidi="ar-SA"/>
    </w:rPr>
  </w:style>
  <w:style w:type="character" w:customStyle="1" w:styleId="455">
    <w:name w:val="日期 字符1"/>
    <w:qFormat/>
    <w:uiPriority w:val="0"/>
    <w:rPr>
      <w:rFonts w:ascii="宋体" w:hAnsi="Courier New" w:eastAsia="宋体" w:cs="Courier New"/>
      <w:kern w:val="2"/>
      <w:sz w:val="21"/>
      <w:szCs w:val="21"/>
      <w:lang w:val="en-US" w:eastAsia="zh-CN" w:bidi="ar-SA"/>
    </w:rPr>
  </w:style>
  <w:style w:type="character" w:customStyle="1" w:styleId="456">
    <w:name w:val="批注文字 字符1"/>
    <w:qFormat/>
    <w:uiPriority w:val="0"/>
    <w:rPr>
      <w:rFonts w:eastAsia="宋体"/>
      <w:sz w:val="24"/>
      <w:lang w:bidi="ar-SA"/>
    </w:rPr>
  </w:style>
  <w:style w:type="character" w:customStyle="1" w:styleId="457">
    <w:name w:val="标题 字符1"/>
    <w:qFormat/>
    <w:uiPriority w:val="0"/>
    <w:rPr>
      <w:rFonts w:ascii="Arial" w:hAnsi="Arial" w:eastAsia="宋体"/>
      <w:b/>
      <w:bCs/>
      <w:kern w:val="2"/>
      <w:sz w:val="32"/>
      <w:szCs w:val="32"/>
      <w:lang w:bidi="ar-SA"/>
    </w:rPr>
  </w:style>
  <w:style w:type="character" w:customStyle="1" w:styleId="458">
    <w:name w:val="标题 7 字符1"/>
    <w:qFormat/>
    <w:uiPriority w:val="0"/>
    <w:rPr>
      <w:rFonts w:eastAsia="宋体"/>
      <w:b/>
      <w:kern w:val="2"/>
      <w:sz w:val="24"/>
      <w:szCs w:val="24"/>
      <w:lang w:val="en-US" w:eastAsia="zh-CN" w:bidi="ar-SA"/>
    </w:rPr>
  </w:style>
  <w:style w:type="character" w:customStyle="1" w:styleId="459">
    <w:name w:val="HTML 地址 字符1"/>
    <w:qFormat/>
    <w:locked/>
    <w:uiPriority w:val="0"/>
    <w:rPr>
      <w:rFonts w:ascii="宋体" w:eastAsia="宋体"/>
      <w:i/>
      <w:iCs/>
      <w:kern w:val="21"/>
      <w:sz w:val="21"/>
      <w:szCs w:val="21"/>
      <w:lang w:val="en-US" w:eastAsia="zh-CN" w:bidi="ar-SA"/>
    </w:rPr>
  </w:style>
  <w:style w:type="character" w:customStyle="1" w:styleId="460">
    <w:name w:val="无间隔 字符1"/>
    <w:qFormat/>
    <w:uiPriority w:val="0"/>
    <w:rPr>
      <w:sz w:val="22"/>
      <w:szCs w:val="22"/>
      <w:lang w:val="en-US" w:eastAsia="zh-CN" w:bidi="ar-SA"/>
    </w:rPr>
  </w:style>
  <w:style w:type="character" w:customStyle="1" w:styleId="461">
    <w:name w:val="脚注文本 字符1"/>
    <w:qFormat/>
    <w:locked/>
    <w:uiPriority w:val="0"/>
    <w:rPr>
      <w:rFonts w:ascii="宋体" w:eastAsia="宋体"/>
      <w:kern w:val="21"/>
      <w:sz w:val="18"/>
      <w:szCs w:val="18"/>
      <w:lang w:val="en-US" w:eastAsia="zh-CN" w:bidi="ar-SA"/>
    </w:rPr>
  </w:style>
  <w:style w:type="character" w:customStyle="1" w:styleId="462">
    <w:name w:val="批注文字 字符2"/>
    <w:qFormat/>
    <w:uiPriority w:val="0"/>
    <w:rPr>
      <w:rFonts w:eastAsia="宋体"/>
      <w:sz w:val="24"/>
      <w:lang w:bidi="ar-SA"/>
    </w:rPr>
  </w:style>
  <w:style w:type="character" w:customStyle="1" w:styleId="463">
    <w:name w:val="HTML 预设格式 字符2"/>
    <w:qFormat/>
    <w:uiPriority w:val="0"/>
    <w:rPr>
      <w:rFonts w:ascii="黑体" w:hAnsi="Courier New" w:eastAsia="黑体" w:cs="Courier New"/>
      <w:lang w:val="en-US" w:eastAsia="zh-CN" w:bidi="ar-SA"/>
    </w:rPr>
  </w:style>
  <w:style w:type="character" w:customStyle="1" w:styleId="464">
    <w:name w:val="HTML 地址 字符2"/>
    <w:qFormat/>
    <w:locked/>
    <w:uiPriority w:val="0"/>
    <w:rPr>
      <w:rFonts w:ascii="宋体" w:eastAsia="宋体"/>
      <w:i/>
      <w:iCs/>
      <w:kern w:val="21"/>
      <w:sz w:val="21"/>
      <w:szCs w:val="21"/>
      <w:lang w:val="en-US" w:eastAsia="zh-CN" w:bidi="ar-SA"/>
    </w:rPr>
  </w:style>
  <w:style w:type="character" w:customStyle="1" w:styleId="465">
    <w:name w:val="页脚 字符2"/>
    <w:qFormat/>
    <w:uiPriority w:val="0"/>
    <w:rPr>
      <w:rFonts w:eastAsia="宋体"/>
      <w:kern w:val="2"/>
      <w:sz w:val="18"/>
      <w:szCs w:val="18"/>
      <w:lang w:val="en-US" w:eastAsia="zh-CN" w:bidi="ar-SA"/>
    </w:rPr>
  </w:style>
  <w:style w:type="character" w:customStyle="1" w:styleId="466">
    <w:name w:val="标题 5 字符2"/>
    <w:qFormat/>
    <w:uiPriority w:val="0"/>
    <w:rPr>
      <w:rFonts w:eastAsia="宋体"/>
      <w:b/>
      <w:kern w:val="2"/>
      <w:sz w:val="28"/>
      <w:szCs w:val="24"/>
      <w:lang w:val="en-US" w:eastAsia="zh-CN" w:bidi="ar-SA"/>
    </w:rPr>
  </w:style>
  <w:style w:type="character" w:customStyle="1" w:styleId="467">
    <w:name w:val="标题 8 字符2"/>
    <w:qFormat/>
    <w:uiPriority w:val="0"/>
    <w:rPr>
      <w:rFonts w:ascii="Arial" w:hAnsi="Arial" w:eastAsia="黑体"/>
      <w:kern w:val="2"/>
      <w:sz w:val="24"/>
      <w:szCs w:val="24"/>
      <w:lang w:val="en-US" w:eastAsia="zh-CN" w:bidi="ar-SA"/>
    </w:rPr>
  </w:style>
  <w:style w:type="character" w:customStyle="1" w:styleId="468">
    <w:name w:val="尾注文本 字符2"/>
    <w:qFormat/>
    <w:uiPriority w:val="0"/>
    <w:rPr>
      <w:rFonts w:ascii="Calibri" w:hAnsi="Calibri"/>
      <w:kern w:val="2"/>
      <w:sz w:val="21"/>
      <w:szCs w:val="22"/>
    </w:rPr>
  </w:style>
  <w:style w:type="character" w:customStyle="1" w:styleId="469">
    <w:name w:val="正文文本 2 字符2"/>
    <w:qFormat/>
    <w:uiPriority w:val="0"/>
    <w:rPr>
      <w:rFonts w:eastAsia="宋体"/>
      <w:kern w:val="2"/>
      <w:sz w:val="21"/>
      <w:szCs w:val="24"/>
      <w:lang w:val="en-US" w:eastAsia="zh-CN" w:bidi="ar-SA"/>
    </w:rPr>
  </w:style>
  <w:style w:type="character" w:customStyle="1" w:styleId="470">
    <w:name w:val="标题 1 字符2"/>
    <w:qFormat/>
    <w:uiPriority w:val="0"/>
    <w:rPr>
      <w:rFonts w:eastAsia="宋体"/>
      <w:b/>
      <w:bCs/>
      <w:kern w:val="44"/>
      <w:sz w:val="44"/>
      <w:szCs w:val="44"/>
      <w:lang w:val="en-US" w:eastAsia="zh-CN" w:bidi="ar-SA"/>
    </w:rPr>
  </w:style>
  <w:style w:type="character" w:customStyle="1" w:styleId="471">
    <w:name w:val="标题 9 字符2"/>
    <w:qFormat/>
    <w:uiPriority w:val="0"/>
    <w:rPr>
      <w:rFonts w:ascii="Arial" w:hAnsi="Arial" w:eastAsia="黑体"/>
      <w:kern w:val="2"/>
      <w:sz w:val="21"/>
      <w:szCs w:val="24"/>
      <w:lang w:val="en-US" w:eastAsia="zh-CN" w:bidi="ar-SA"/>
    </w:rPr>
  </w:style>
  <w:style w:type="character" w:customStyle="1" w:styleId="472">
    <w:name w:val="标题 6 字符2"/>
    <w:qFormat/>
    <w:uiPriority w:val="0"/>
    <w:rPr>
      <w:rFonts w:ascii="Arial" w:hAnsi="Arial" w:eastAsia="黑体"/>
      <w:b/>
      <w:kern w:val="2"/>
      <w:sz w:val="24"/>
      <w:szCs w:val="24"/>
      <w:lang w:val="en-US" w:eastAsia="zh-CN" w:bidi="ar-SA"/>
    </w:rPr>
  </w:style>
  <w:style w:type="character" w:customStyle="1" w:styleId="473">
    <w:name w:val="正文文本缩进 3 字符2"/>
    <w:qFormat/>
    <w:uiPriority w:val="0"/>
    <w:rPr>
      <w:rFonts w:eastAsia="宋体"/>
      <w:kern w:val="2"/>
      <w:sz w:val="16"/>
      <w:szCs w:val="16"/>
      <w:lang w:val="en-US" w:eastAsia="zh-CN" w:bidi="ar-SA"/>
    </w:rPr>
  </w:style>
  <w:style w:type="character" w:customStyle="1" w:styleId="474">
    <w:name w:val="标题 4 字符2"/>
    <w:qFormat/>
    <w:uiPriority w:val="0"/>
    <w:rPr>
      <w:rFonts w:ascii="Arial" w:hAnsi="Arial" w:eastAsia="黑体"/>
      <w:sz w:val="28"/>
      <w:lang w:bidi="ar-SA"/>
    </w:rPr>
  </w:style>
  <w:style w:type="character" w:customStyle="1" w:styleId="475">
    <w:name w:val="标题 字符2"/>
    <w:qFormat/>
    <w:uiPriority w:val="0"/>
    <w:rPr>
      <w:rFonts w:ascii="Arial" w:hAnsi="Arial" w:eastAsia="宋体"/>
      <w:b/>
      <w:bCs/>
      <w:kern w:val="2"/>
      <w:sz w:val="32"/>
      <w:szCs w:val="32"/>
      <w:lang w:bidi="ar-SA"/>
    </w:rPr>
  </w:style>
  <w:style w:type="character" w:customStyle="1" w:styleId="476">
    <w:name w:val="文档结构图 字符2"/>
    <w:qFormat/>
    <w:uiPriority w:val="0"/>
    <w:rPr>
      <w:rFonts w:eastAsia="宋体"/>
      <w:kern w:val="2"/>
      <w:sz w:val="21"/>
      <w:szCs w:val="24"/>
      <w:lang w:val="en-US" w:eastAsia="zh-CN" w:bidi="ar-SA"/>
    </w:rPr>
  </w:style>
  <w:style w:type="character" w:customStyle="1" w:styleId="477">
    <w:name w:val="正文文本 3 字符2"/>
    <w:qFormat/>
    <w:uiPriority w:val="0"/>
    <w:rPr>
      <w:rFonts w:eastAsia="宋体"/>
      <w:b/>
      <w:bCs/>
      <w:kern w:val="2"/>
      <w:sz w:val="24"/>
      <w:szCs w:val="24"/>
      <w:lang w:val="en-US" w:eastAsia="zh-CN" w:bidi="ar-SA"/>
    </w:rPr>
  </w:style>
  <w:style w:type="character" w:customStyle="1" w:styleId="478">
    <w:name w:val="正文文本 字符2"/>
    <w:qFormat/>
    <w:uiPriority w:val="0"/>
    <w:rPr>
      <w:rFonts w:eastAsia="宋体"/>
      <w:kern w:val="2"/>
      <w:sz w:val="24"/>
      <w:szCs w:val="24"/>
      <w:lang w:val="en-US" w:eastAsia="zh-CN" w:bidi="ar-SA"/>
    </w:rPr>
  </w:style>
  <w:style w:type="character" w:customStyle="1" w:styleId="479">
    <w:name w:val="无间隔 字符2"/>
    <w:qFormat/>
    <w:uiPriority w:val="0"/>
    <w:rPr>
      <w:sz w:val="22"/>
      <w:szCs w:val="22"/>
      <w:lang w:val="en-US" w:eastAsia="zh-CN" w:bidi="ar-SA"/>
    </w:rPr>
  </w:style>
  <w:style w:type="character" w:customStyle="1" w:styleId="480">
    <w:name w:val="正文文本缩进 字符2"/>
    <w:qFormat/>
    <w:uiPriority w:val="0"/>
    <w:rPr>
      <w:rFonts w:ascii="仿宋_GB2312" w:eastAsia="仿宋_GB2312"/>
      <w:kern w:val="2"/>
      <w:sz w:val="32"/>
      <w:lang w:val="en-US" w:eastAsia="zh-CN" w:bidi="ar-SA"/>
    </w:rPr>
  </w:style>
  <w:style w:type="character" w:customStyle="1" w:styleId="481">
    <w:name w:val="标题 2 字符2"/>
    <w:qFormat/>
    <w:uiPriority w:val="0"/>
    <w:rPr>
      <w:rFonts w:ascii="Arial" w:hAnsi="Arial" w:eastAsia="黑体"/>
      <w:b/>
      <w:bCs/>
      <w:sz w:val="32"/>
      <w:szCs w:val="32"/>
      <w:lang w:bidi="ar-SA"/>
    </w:rPr>
  </w:style>
  <w:style w:type="character" w:customStyle="1" w:styleId="482">
    <w:name w:val="标题 3 字符2"/>
    <w:qFormat/>
    <w:uiPriority w:val="0"/>
    <w:rPr>
      <w:rFonts w:eastAsia="宋体"/>
      <w:b/>
      <w:bCs/>
      <w:sz w:val="32"/>
      <w:szCs w:val="32"/>
      <w:lang w:bidi="ar-SA"/>
    </w:rPr>
  </w:style>
  <w:style w:type="character" w:customStyle="1" w:styleId="483">
    <w:name w:val="标题 7 字符2"/>
    <w:qFormat/>
    <w:uiPriority w:val="0"/>
    <w:rPr>
      <w:rFonts w:eastAsia="宋体"/>
      <w:b/>
      <w:kern w:val="2"/>
      <w:sz w:val="24"/>
      <w:szCs w:val="24"/>
      <w:lang w:val="en-US" w:eastAsia="zh-CN" w:bidi="ar-SA"/>
    </w:rPr>
  </w:style>
  <w:style w:type="character" w:customStyle="1" w:styleId="484">
    <w:name w:val="正文文本缩进 2 字符2"/>
    <w:qFormat/>
    <w:uiPriority w:val="0"/>
    <w:rPr>
      <w:rFonts w:eastAsia="宋体"/>
      <w:kern w:val="2"/>
      <w:sz w:val="32"/>
      <w:lang w:val="en-US" w:eastAsia="zh-CN" w:bidi="ar-SA"/>
    </w:rPr>
  </w:style>
  <w:style w:type="character" w:customStyle="1" w:styleId="485">
    <w:name w:val="称呼 字符2"/>
    <w:qFormat/>
    <w:uiPriority w:val="0"/>
    <w:rPr>
      <w:kern w:val="2"/>
      <w:sz w:val="28"/>
      <w:szCs w:val="24"/>
    </w:rPr>
  </w:style>
  <w:style w:type="character" w:customStyle="1" w:styleId="486">
    <w:name w:val="纯文本 字符3"/>
    <w:qFormat/>
    <w:uiPriority w:val="0"/>
    <w:rPr>
      <w:rFonts w:ascii="宋体" w:hAnsi="Courier New" w:eastAsia="宋体" w:cs="Courier New"/>
      <w:kern w:val="2"/>
      <w:sz w:val="21"/>
      <w:szCs w:val="21"/>
      <w:lang w:val="en-US" w:eastAsia="zh-CN" w:bidi="ar-SA"/>
    </w:rPr>
  </w:style>
  <w:style w:type="character" w:customStyle="1" w:styleId="487">
    <w:name w:val="日期 字符2"/>
    <w:qFormat/>
    <w:uiPriority w:val="0"/>
    <w:rPr>
      <w:rFonts w:ascii="宋体" w:hAnsi="Courier New" w:eastAsia="宋体" w:cs="Courier New"/>
      <w:kern w:val="2"/>
      <w:sz w:val="21"/>
      <w:szCs w:val="21"/>
      <w:lang w:val="en-US" w:eastAsia="zh-CN" w:bidi="ar-SA"/>
    </w:rPr>
  </w:style>
  <w:style w:type="character" w:customStyle="1" w:styleId="488">
    <w:name w:val="页眉 字符2"/>
    <w:qFormat/>
    <w:uiPriority w:val="0"/>
    <w:rPr>
      <w:rFonts w:eastAsia="宋体"/>
      <w:kern w:val="2"/>
      <w:sz w:val="18"/>
      <w:szCs w:val="18"/>
      <w:lang w:val="en-US" w:eastAsia="zh-CN" w:bidi="ar-SA"/>
    </w:rPr>
  </w:style>
  <w:style w:type="character" w:customStyle="1" w:styleId="489">
    <w:name w:val="脚注文本 字符2"/>
    <w:qFormat/>
    <w:locked/>
    <w:uiPriority w:val="0"/>
    <w:rPr>
      <w:rFonts w:ascii="宋体" w:eastAsia="宋体"/>
      <w:kern w:val="21"/>
      <w:sz w:val="18"/>
      <w:szCs w:val="18"/>
      <w:lang w:val="en-US" w:eastAsia="zh-CN" w:bidi="ar-SA"/>
    </w:rPr>
  </w:style>
  <w:style w:type="character" w:customStyle="1" w:styleId="490">
    <w:name w:val="Char Char39"/>
    <w:qFormat/>
    <w:uiPriority w:val="0"/>
    <w:rPr>
      <w:rFonts w:eastAsia="宋体"/>
      <w:b/>
      <w:bCs/>
      <w:kern w:val="44"/>
      <w:sz w:val="44"/>
      <w:szCs w:val="44"/>
      <w:lang w:val="en-US" w:eastAsia="zh-CN" w:bidi="ar-SA"/>
    </w:rPr>
  </w:style>
  <w:style w:type="character" w:customStyle="1" w:styleId="491">
    <w:name w:val="Char Char38"/>
    <w:qFormat/>
    <w:uiPriority w:val="0"/>
    <w:rPr>
      <w:rFonts w:ascii="Arial" w:hAnsi="Arial" w:eastAsia="黑体"/>
      <w:b/>
      <w:bCs/>
      <w:sz w:val="32"/>
      <w:szCs w:val="32"/>
      <w:lang w:bidi="ar-SA"/>
    </w:rPr>
  </w:style>
  <w:style w:type="character" w:customStyle="1" w:styleId="492">
    <w:name w:val="无间隔 字符3"/>
    <w:qFormat/>
    <w:uiPriority w:val="0"/>
    <w:rPr>
      <w:sz w:val="22"/>
      <w:szCs w:val="22"/>
      <w:lang w:val="en-US" w:eastAsia="zh-CN" w:bidi="ar-SA"/>
    </w:rPr>
  </w:style>
  <w:style w:type="character" w:customStyle="1" w:styleId="493">
    <w:name w:val="普通文字 Char Char6"/>
    <w:qFormat/>
    <w:uiPriority w:val="0"/>
    <w:rPr>
      <w:rFonts w:ascii="宋体" w:hAnsi="Courier New" w:eastAsia="宋体" w:cs="Courier New"/>
      <w:kern w:val="2"/>
      <w:sz w:val="21"/>
      <w:szCs w:val="21"/>
      <w:lang w:val="en-US" w:eastAsia="zh-CN" w:bidi="ar-SA"/>
    </w:rPr>
  </w:style>
  <w:style w:type="character" w:customStyle="1" w:styleId="494">
    <w:name w:val="页脚 Char2"/>
    <w:qFormat/>
    <w:locked/>
    <w:uiPriority w:val="0"/>
    <w:rPr>
      <w:rFonts w:hint="eastAsia" w:ascii="宋体" w:hAnsi="宋体" w:eastAsia="宋体"/>
      <w:kern w:val="2"/>
      <w:sz w:val="18"/>
      <w:szCs w:val="18"/>
    </w:rPr>
  </w:style>
  <w:style w:type="character" w:customStyle="1" w:styleId="495">
    <w:name w:val="font61"/>
    <w:basedOn w:val="54"/>
    <w:qFormat/>
    <w:uiPriority w:val="0"/>
    <w:rPr>
      <w:rFonts w:hint="eastAsia" w:ascii="宋体" w:hAnsi="宋体" w:eastAsia="宋体" w:cs="宋体"/>
      <w:color w:val="000000"/>
      <w:sz w:val="21"/>
      <w:szCs w:val="21"/>
      <w:u w:val="none"/>
    </w:rPr>
  </w:style>
  <w:style w:type="character" w:customStyle="1" w:styleId="496">
    <w:name w:val="font101"/>
    <w:basedOn w:val="54"/>
    <w:qFormat/>
    <w:uiPriority w:val="0"/>
    <w:rPr>
      <w:rFonts w:hint="eastAsia" w:ascii="宋体" w:hAnsi="宋体" w:eastAsia="宋体" w:cs="宋体"/>
      <w:color w:val="000000"/>
      <w:sz w:val="21"/>
      <w:szCs w:val="21"/>
      <w:u w:val="none"/>
    </w:rPr>
  </w:style>
  <w:style w:type="table" w:customStyle="1" w:styleId="497">
    <w:name w:val="彩色列表 - 着色 11"/>
    <w:qFormat/>
    <w:uiPriority w:val="0"/>
    <w:rPr>
      <w:rFonts w:ascii="Calibri" w:hAnsi="Calibri"/>
      <w:sz w:val="24"/>
      <w:szCs w:val="24"/>
      <w:lang w:eastAsia="en-US"/>
    </w:rPr>
    <w:tblPr>
      <w:tblCellMar>
        <w:top w:w="0" w:type="dxa"/>
        <w:left w:w="108" w:type="dxa"/>
        <w:bottom w:w="0" w:type="dxa"/>
        <w:right w:w="108" w:type="dxa"/>
      </w:tblCellMar>
    </w:tblPr>
    <w:tcPr>
      <w:shd w:val="clear" w:color="auto" w:fill="EDF2F8"/>
    </w:tcPr>
  </w:style>
  <w:style w:type="character" w:customStyle="1" w:styleId="498">
    <w:name w:val="Body Text Char1"/>
    <w:qFormat/>
    <w:locked/>
    <w:uiPriority w:val="0"/>
    <w:rPr>
      <w:rFonts w:eastAsia="宋体"/>
      <w:kern w:val="2"/>
      <w:sz w:val="24"/>
      <w:lang w:val="en-US" w:eastAsia="zh-CN"/>
    </w:rPr>
  </w:style>
  <w:style w:type="character" w:customStyle="1" w:styleId="499">
    <w:name w:val="Heading 1 Char1"/>
    <w:qFormat/>
    <w:locked/>
    <w:uiPriority w:val="0"/>
    <w:rPr>
      <w:rFonts w:eastAsia="宋体"/>
      <w:b/>
      <w:kern w:val="44"/>
      <w:sz w:val="44"/>
      <w:lang w:val="en-US" w:eastAsia="zh-CN"/>
    </w:rPr>
  </w:style>
  <w:style w:type="character" w:customStyle="1" w:styleId="500">
    <w:name w:val="Heading 2 Char1"/>
    <w:qFormat/>
    <w:locked/>
    <w:uiPriority w:val="0"/>
    <w:rPr>
      <w:rFonts w:ascii="Arial" w:hAnsi="Arial" w:eastAsia="黑体"/>
      <w:b/>
      <w:sz w:val="32"/>
    </w:rPr>
  </w:style>
  <w:style w:type="character" w:customStyle="1" w:styleId="501">
    <w:name w:val="Heading 3 Char1"/>
    <w:qFormat/>
    <w:locked/>
    <w:uiPriority w:val="0"/>
    <w:rPr>
      <w:rFonts w:eastAsia="宋体"/>
      <w:b/>
      <w:sz w:val="32"/>
    </w:rPr>
  </w:style>
  <w:style w:type="character" w:customStyle="1" w:styleId="502">
    <w:name w:val="Heading 4 Char1"/>
    <w:qFormat/>
    <w:locked/>
    <w:uiPriority w:val="0"/>
    <w:rPr>
      <w:rFonts w:ascii="Arial" w:hAnsi="Arial" w:eastAsia="黑体"/>
      <w:sz w:val="28"/>
    </w:rPr>
  </w:style>
  <w:style w:type="character" w:customStyle="1" w:styleId="503">
    <w:name w:val="Heading 5 Char1"/>
    <w:qFormat/>
    <w:locked/>
    <w:uiPriority w:val="0"/>
    <w:rPr>
      <w:rFonts w:eastAsia="宋体"/>
      <w:b/>
      <w:kern w:val="2"/>
      <w:sz w:val="24"/>
      <w:lang w:val="en-US" w:eastAsia="zh-CN"/>
    </w:rPr>
  </w:style>
  <w:style w:type="character" w:customStyle="1" w:styleId="504">
    <w:name w:val="Heading 6 Char1"/>
    <w:qFormat/>
    <w:locked/>
    <w:uiPriority w:val="0"/>
    <w:rPr>
      <w:rFonts w:ascii="Arial" w:hAnsi="Arial" w:eastAsia="黑体"/>
      <w:b/>
      <w:kern w:val="2"/>
      <w:sz w:val="24"/>
      <w:lang w:val="en-US" w:eastAsia="zh-CN"/>
    </w:rPr>
  </w:style>
  <w:style w:type="character" w:customStyle="1" w:styleId="505">
    <w:name w:val="Heading 7 Char1"/>
    <w:qFormat/>
    <w:locked/>
    <w:uiPriority w:val="0"/>
    <w:rPr>
      <w:rFonts w:eastAsia="宋体"/>
      <w:b/>
      <w:kern w:val="2"/>
      <w:sz w:val="24"/>
      <w:lang w:val="en-US" w:eastAsia="zh-CN"/>
    </w:rPr>
  </w:style>
  <w:style w:type="character" w:customStyle="1" w:styleId="506">
    <w:name w:val="Heading 8 Char1"/>
    <w:qFormat/>
    <w:locked/>
    <w:uiPriority w:val="0"/>
    <w:rPr>
      <w:rFonts w:ascii="Arial" w:hAnsi="Arial" w:eastAsia="黑体"/>
      <w:kern w:val="2"/>
      <w:sz w:val="24"/>
      <w:lang w:val="en-US" w:eastAsia="zh-CN"/>
    </w:rPr>
  </w:style>
  <w:style w:type="character" w:customStyle="1" w:styleId="507">
    <w:name w:val="Heading 9 Char1"/>
    <w:qFormat/>
    <w:locked/>
    <w:uiPriority w:val="0"/>
    <w:rPr>
      <w:rFonts w:ascii="Arial" w:hAnsi="Arial" w:eastAsia="黑体"/>
      <w:kern w:val="2"/>
      <w:sz w:val="24"/>
      <w:lang w:val="en-US" w:eastAsia="zh-CN"/>
    </w:rPr>
  </w:style>
  <w:style w:type="character" w:customStyle="1" w:styleId="508">
    <w:name w:val="Document Map Char1"/>
    <w:qFormat/>
    <w:locked/>
    <w:uiPriority w:val="0"/>
    <w:rPr>
      <w:rFonts w:eastAsia="宋体"/>
      <w:kern w:val="2"/>
      <w:sz w:val="24"/>
      <w:lang w:val="en-US" w:eastAsia="zh-CN"/>
    </w:rPr>
  </w:style>
  <w:style w:type="character" w:customStyle="1" w:styleId="509">
    <w:name w:val="Comment Text Char"/>
    <w:qFormat/>
    <w:locked/>
    <w:uiPriority w:val="0"/>
    <w:rPr>
      <w:rFonts w:eastAsia="宋体"/>
      <w:sz w:val="24"/>
    </w:rPr>
  </w:style>
  <w:style w:type="character" w:customStyle="1" w:styleId="510">
    <w:name w:val="Salutation Char"/>
    <w:qFormat/>
    <w:locked/>
    <w:uiPriority w:val="0"/>
    <w:rPr>
      <w:kern w:val="2"/>
      <w:sz w:val="24"/>
    </w:rPr>
  </w:style>
  <w:style w:type="character" w:customStyle="1" w:styleId="511">
    <w:name w:val="Body Text 3 Char"/>
    <w:qFormat/>
    <w:locked/>
    <w:uiPriority w:val="0"/>
    <w:rPr>
      <w:rFonts w:eastAsia="宋体"/>
      <w:b/>
      <w:kern w:val="2"/>
      <w:sz w:val="24"/>
      <w:lang w:val="en-US" w:eastAsia="zh-CN"/>
    </w:rPr>
  </w:style>
  <w:style w:type="character" w:customStyle="1" w:styleId="512">
    <w:name w:val="Body Text Indent Char"/>
    <w:qFormat/>
    <w:locked/>
    <w:uiPriority w:val="0"/>
    <w:rPr>
      <w:rFonts w:ascii="仿宋_GB2312" w:eastAsia="仿宋_GB2312"/>
      <w:kern w:val="2"/>
      <w:sz w:val="32"/>
      <w:lang w:val="en-US" w:eastAsia="zh-CN"/>
    </w:rPr>
  </w:style>
  <w:style w:type="character" w:customStyle="1" w:styleId="513">
    <w:name w:val="Plain Text Char1"/>
    <w:qFormat/>
    <w:locked/>
    <w:uiPriority w:val="0"/>
    <w:rPr>
      <w:rFonts w:ascii="宋体" w:hAnsi="Courier New" w:eastAsia="宋体"/>
      <w:kern w:val="2"/>
      <w:sz w:val="21"/>
      <w:lang w:val="en-US" w:eastAsia="zh-CN"/>
    </w:rPr>
  </w:style>
  <w:style w:type="character" w:customStyle="1" w:styleId="514">
    <w:name w:val="Date Char1"/>
    <w:qFormat/>
    <w:locked/>
    <w:uiPriority w:val="0"/>
    <w:rPr>
      <w:rFonts w:ascii="宋体" w:hAnsi="Courier New" w:eastAsia="宋体"/>
      <w:kern w:val="2"/>
      <w:sz w:val="21"/>
      <w:lang w:val="en-US" w:eastAsia="zh-CN"/>
    </w:rPr>
  </w:style>
  <w:style w:type="character" w:customStyle="1" w:styleId="515">
    <w:name w:val="Body Text Indent 2 Char"/>
    <w:qFormat/>
    <w:locked/>
    <w:uiPriority w:val="0"/>
    <w:rPr>
      <w:rFonts w:eastAsia="宋体"/>
      <w:kern w:val="2"/>
      <w:sz w:val="32"/>
      <w:lang w:val="en-US" w:eastAsia="zh-CN"/>
    </w:rPr>
  </w:style>
  <w:style w:type="character" w:customStyle="1" w:styleId="516">
    <w:name w:val="Endnote Text Char"/>
    <w:qFormat/>
    <w:locked/>
    <w:uiPriority w:val="0"/>
    <w:rPr>
      <w:rFonts w:ascii="Calibri" w:hAnsi="Calibri"/>
      <w:kern w:val="2"/>
      <w:sz w:val="22"/>
    </w:rPr>
  </w:style>
  <w:style w:type="character" w:customStyle="1" w:styleId="517">
    <w:name w:val="Balloon Text Char1"/>
    <w:semiHidden/>
    <w:qFormat/>
    <w:locked/>
    <w:uiPriority w:val="0"/>
    <w:rPr>
      <w:rFonts w:eastAsia="宋体"/>
      <w:kern w:val="2"/>
      <w:sz w:val="18"/>
      <w:lang w:val="en-US" w:eastAsia="zh-CN"/>
    </w:rPr>
  </w:style>
  <w:style w:type="character" w:customStyle="1" w:styleId="518">
    <w:name w:val="Footer Char1"/>
    <w:qFormat/>
    <w:locked/>
    <w:uiPriority w:val="0"/>
    <w:rPr>
      <w:rFonts w:eastAsia="宋体"/>
      <w:kern w:val="2"/>
      <w:sz w:val="18"/>
      <w:lang w:val="en-US" w:eastAsia="zh-CN"/>
    </w:rPr>
  </w:style>
  <w:style w:type="character" w:customStyle="1" w:styleId="519">
    <w:name w:val="Header Char1"/>
    <w:qFormat/>
    <w:locked/>
    <w:uiPriority w:val="0"/>
    <w:rPr>
      <w:rFonts w:eastAsia="宋体"/>
      <w:kern w:val="2"/>
      <w:sz w:val="18"/>
      <w:lang w:val="en-US" w:eastAsia="zh-CN"/>
    </w:rPr>
  </w:style>
  <w:style w:type="character" w:customStyle="1" w:styleId="520">
    <w:name w:val="Body Text Indent 3 Char"/>
    <w:qFormat/>
    <w:locked/>
    <w:uiPriority w:val="0"/>
    <w:rPr>
      <w:rFonts w:eastAsia="宋体"/>
      <w:kern w:val="2"/>
      <w:sz w:val="16"/>
      <w:lang w:val="en-US" w:eastAsia="zh-CN"/>
    </w:rPr>
  </w:style>
  <w:style w:type="character" w:customStyle="1" w:styleId="521">
    <w:name w:val="Body Text 2 Char"/>
    <w:qFormat/>
    <w:locked/>
    <w:uiPriority w:val="0"/>
    <w:rPr>
      <w:rFonts w:eastAsia="宋体"/>
      <w:kern w:val="2"/>
      <w:sz w:val="24"/>
      <w:lang w:val="en-US" w:eastAsia="zh-CN"/>
    </w:rPr>
  </w:style>
  <w:style w:type="character" w:customStyle="1" w:styleId="522">
    <w:name w:val="HTML Preformatted Char1"/>
    <w:qFormat/>
    <w:locked/>
    <w:uiPriority w:val="0"/>
    <w:rPr>
      <w:rFonts w:ascii="黑体" w:hAnsi="Courier New" w:eastAsia="黑体"/>
      <w:lang w:val="en-US" w:eastAsia="zh-CN"/>
    </w:rPr>
  </w:style>
  <w:style w:type="character" w:customStyle="1" w:styleId="523">
    <w:name w:val="Title Char1"/>
    <w:qFormat/>
    <w:locked/>
    <w:uiPriority w:val="0"/>
    <w:rPr>
      <w:rFonts w:ascii="Arial" w:hAnsi="Arial" w:eastAsia="宋体"/>
      <w:b/>
      <w:kern w:val="2"/>
      <w:sz w:val="32"/>
    </w:rPr>
  </w:style>
  <w:style w:type="character" w:customStyle="1" w:styleId="524">
    <w:name w:val="Comment Subject Char"/>
    <w:semiHidden/>
    <w:qFormat/>
    <w:locked/>
    <w:uiPriority w:val="0"/>
    <w:rPr>
      <w:b/>
      <w:kern w:val="2"/>
      <w:sz w:val="24"/>
    </w:rPr>
  </w:style>
  <w:style w:type="character" w:customStyle="1" w:styleId="525">
    <w:name w:val="Char Char101"/>
    <w:semiHidden/>
    <w:qFormat/>
    <w:uiPriority w:val="0"/>
    <w:rPr>
      <w:rFonts w:eastAsia="宋体"/>
      <w:kern w:val="2"/>
      <w:sz w:val="24"/>
      <w:lang w:val="en-US" w:eastAsia="zh-CN"/>
    </w:rPr>
  </w:style>
  <w:style w:type="character" w:customStyle="1" w:styleId="526">
    <w:name w:val="Char Char141"/>
    <w:qFormat/>
    <w:uiPriority w:val="0"/>
    <w:rPr>
      <w:sz w:val="18"/>
    </w:rPr>
  </w:style>
  <w:style w:type="character" w:customStyle="1" w:styleId="527">
    <w:name w:val="Char Char Char Char Char1"/>
    <w:qFormat/>
    <w:uiPriority w:val="0"/>
    <w:rPr>
      <w:rFonts w:eastAsia="宋体"/>
      <w:b/>
      <w:kern w:val="44"/>
      <w:sz w:val="44"/>
      <w:lang w:val="en-US" w:eastAsia="zh-CN"/>
    </w:rPr>
  </w:style>
  <w:style w:type="character" w:customStyle="1" w:styleId="528">
    <w:name w:val="Char Char231"/>
    <w:qFormat/>
    <w:uiPriority w:val="0"/>
    <w:rPr>
      <w:rFonts w:ascii="Times New Roman" w:hAnsi="Times New Roman" w:eastAsia="宋体"/>
      <w:b/>
      <w:kern w:val="44"/>
      <w:sz w:val="44"/>
    </w:rPr>
  </w:style>
  <w:style w:type="character" w:customStyle="1" w:styleId="529">
    <w:name w:val="Char Char151"/>
    <w:qFormat/>
    <w:uiPriority w:val="0"/>
    <w:rPr>
      <w:sz w:val="18"/>
    </w:rPr>
  </w:style>
  <w:style w:type="paragraph" w:customStyle="1" w:styleId="530">
    <w:name w:val="Char Char112"/>
    <w:basedOn w:val="1"/>
    <w:qFormat/>
    <w:uiPriority w:val="0"/>
    <w:pPr>
      <w:widowControl/>
      <w:spacing w:line="240" w:lineRule="exact"/>
      <w:jc w:val="left"/>
    </w:pPr>
    <w:rPr>
      <w:rFonts w:ascii="Verdana" w:hAnsi="Verdana" w:eastAsia="楷体_GB2312" w:cs="宋体"/>
      <w:b/>
      <w:i/>
      <w:iCs/>
      <w:color w:val="000000"/>
      <w:kern w:val="0"/>
      <w:sz w:val="20"/>
      <w:lang w:eastAsia="en-US"/>
    </w:rPr>
  </w:style>
  <w:style w:type="paragraph" w:customStyle="1" w:styleId="531">
    <w:name w:val="纯文本11"/>
    <w:basedOn w:val="1"/>
    <w:qFormat/>
    <w:uiPriority w:val="0"/>
    <w:rPr>
      <w:rFonts w:ascii="宋体"/>
      <w:szCs w:val="21"/>
    </w:rPr>
  </w:style>
  <w:style w:type="paragraph" w:customStyle="1" w:styleId="532">
    <w:name w:val="TOC 标题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533">
    <w:name w:val="修订1"/>
    <w:semiHidden/>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534">
    <w:name w:val="Char Char19 Char Char Char Char1"/>
    <w:basedOn w:val="16"/>
    <w:qFormat/>
    <w:uiPriority w:val="0"/>
    <w:pPr>
      <w:widowControl/>
      <w:ind w:firstLine="454"/>
      <w:jc w:val="left"/>
    </w:pPr>
  </w:style>
  <w:style w:type="paragraph" w:customStyle="1" w:styleId="535">
    <w:name w:val="No Spacing1"/>
    <w:qFormat/>
    <w:uiPriority w:val="0"/>
    <w:pPr>
      <w:widowControl w:val="0"/>
      <w:spacing w:after="160" w:line="278" w:lineRule="auto"/>
      <w:jc w:val="both"/>
    </w:pPr>
    <w:rPr>
      <w:rFonts w:ascii="Times New Roman" w:hAnsi="Times New Roman" w:eastAsia="宋体" w:cs="Times New Roman"/>
      <w:kern w:val="2"/>
      <w:sz w:val="21"/>
      <w:szCs w:val="22"/>
      <w:lang w:val="en-US" w:eastAsia="zh-CN" w:bidi="ar-SA"/>
    </w:rPr>
  </w:style>
  <w:style w:type="paragraph" w:customStyle="1" w:styleId="536">
    <w:name w:val="Char Char Char Char Char Char Char Char Char Char Char Char Char Char Char Char2"/>
    <w:basedOn w:val="1"/>
    <w:qFormat/>
    <w:uiPriority w:val="0"/>
    <w:pPr>
      <w:tabs>
        <w:tab w:val="left" w:pos="360"/>
      </w:tabs>
      <w:spacing w:line="360" w:lineRule="auto"/>
      <w:ind w:left="482" w:firstLine="200" w:firstLineChars="200"/>
    </w:pPr>
    <w:rPr>
      <w:rFonts w:ascii="宋体"/>
      <w:sz w:val="24"/>
    </w:rPr>
  </w:style>
  <w:style w:type="paragraph" w:customStyle="1" w:styleId="537">
    <w:name w:val="Char3"/>
    <w:basedOn w:val="16"/>
    <w:qFormat/>
    <w:uiPriority w:val="0"/>
    <w:pPr>
      <w:widowControl/>
      <w:ind w:firstLine="454"/>
      <w:jc w:val="left"/>
    </w:pPr>
    <w:rPr>
      <w:rFonts w:ascii="Tahoma" w:hAnsi="Tahoma" w:cs="宋体"/>
      <w:kern w:val="0"/>
      <w:sz w:val="24"/>
      <w:szCs w:val="20"/>
    </w:rPr>
  </w:style>
  <w:style w:type="paragraph" w:customStyle="1" w:styleId="538">
    <w:name w:val="Char Char1 Char Char Char Char2"/>
    <w:basedOn w:val="16"/>
    <w:qFormat/>
    <w:uiPriority w:val="0"/>
    <w:rPr>
      <w:rFonts w:ascii="Tahoma" w:hAnsi="Tahoma"/>
      <w:sz w:val="24"/>
    </w:rPr>
  </w:style>
  <w:style w:type="paragraph" w:customStyle="1" w:styleId="539">
    <w:name w:val="Char Char Char Char Char Char1 Char2"/>
    <w:basedOn w:val="1"/>
    <w:qFormat/>
    <w:uiPriority w:val="0"/>
    <w:pPr>
      <w:widowControl/>
      <w:spacing w:line="240" w:lineRule="exact"/>
      <w:jc w:val="left"/>
    </w:pPr>
    <w:rPr>
      <w:rFonts w:ascii="Verdana" w:hAnsi="Verdana" w:eastAsia="仿宋_GB2312"/>
      <w:kern w:val="0"/>
      <w:sz w:val="30"/>
      <w:szCs w:val="30"/>
      <w:lang w:eastAsia="en-US"/>
    </w:rPr>
  </w:style>
  <w:style w:type="paragraph" w:customStyle="1" w:styleId="540">
    <w:name w:val="Char22"/>
    <w:basedOn w:val="1"/>
    <w:qFormat/>
    <w:uiPriority w:val="0"/>
    <w:pPr>
      <w:widowControl/>
      <w:spacing w:line="240" w:lineRule="exact"/>
      <w:jc w:val="left"/>
    </w:pPr>
    <w:rPr>
      <w:rFonts w:ascii="Verdana" w:hAnsi="Verdana"/>
      <w:kern w:val="0"/>
      <w:szCs w:val="20"/>
      <w:lang w:eastAsia="en-US"/>
    </w:rPr>
  </w:style>
  <w:style w:type="paragraph" w:customStyle="1" w:styleId="541">
    <w:name w:val="Char Char Char2"/>
    <w:basedOn w:val="1"/>
    <w:qFormat/>
    <w:uiPriority w:val="0"/>
    <w:pPr>
      <w:widowControl/>
      <w:spacing w:line="240" w:lineRule="exact"/>
      <w:jc w:val="left"/>
    </w:pPr>
    <w:rPr>
      <w:rFonts w:ascii="Verdana" w:hAnsi="Verdana"/>
      <w:kern w:val="0"/>
      <w:sz w:val="20"/>
      <w:szCs w:val="20"/>
      <w:lang w:eastAsia="en-US"/>
    </w:rPr>
  </w:style>
  <w:style w:type="paragraph" w:customStyle="1" w:styleId="542">
    <w:name w:val="Char13"/>
    <w:basedOn w:val="1"/>
    <w:qFormat/>
    <w:uiPriority w:val="0"/>
    <w:rPr>
      <w:szCs w:val="21"/>
    </w:rPr>
  </w:style>
  <w:style w:type="paragraph" w:customStyle="1" w:styleId="543">
    <w:name w:val="列出段落4"/>
    <w:basedOn w:val="1"/>
    <w:qFormat/>
    <w:uiPriority w:val="0"/>
    <w:pPr>
      <w:ind w:firstLine="420" w:firstLineChars="200"/>
    </w:pPr>
    <w:rPr>
      <w:rFonts w:ascii="Calibri" w:hAnsi="Calibri"/>
      <w:szCs w:val="22"/>
    </w:rPr>
  </w:style>
  <w:style w:type="paragraph" w:customStyle="1" w:styleId="544">
    <w:name w:val="Char Char Char Char Char Char Char Char Char Char Char Char1"/>
    <w:basedOn w:val="1"/>
    <w:qFormat/>
    <w:uiPriority w:val="0"/>
    <w:pPr>
      <w:widowControl/>
      <w:spacing w:line="240" w:lineRule="exact"/>
      <w:jc w:val="left"/>
    </w:pPr>
    <w:rPr>
      <w:rFonts w:ascii="Verdana" w:hAnsi="Verdana"/>
      <w:kern w:val="0"/>
      <w:sz w:val="20"/>
      <w:szCs w:val="20"/>
      <w:lang w:eastAsia="en-US"/>
    </w:rPr>
  </w:style>
  <w:style w:type="paragraph" w:customStyle="1" w:styleId="545">
    <w:name w:val="Char Char9 Char Char Char Char2"/>
    <w:basedOn w:val="1"/>
    <w:qFormat/>
    <w:uiPriority w:val="0"/>
    <w:pPr>
      <w:widowControl/>
      <w:spacing w:line="240" w:lineRule="exact"/>
      <w:jc w:val="left"/>
    </w:pPr>
  </w:style>
  <w:style w:type="character" w:customStyle="1" w:styleId="546">
    <w:name w:val="Char Char331"/>
    <w:qFormat/>
    <w:uiPriority w:val="0"/>
    <w:rPr>
      <w:rFonts w:eastAsia="宋体"/>
      <w:b/>
      <w:kern w:val="44"/>
      <w:sz w:val="44"/>
      <w:lang w:val="en-US" w:eastAsia="zh-CN"/>
    </w:rPr>
  </w:style>
  <w:style w:type="character" w:customStyle="1" w:styleId="547">
    <w:name w:val="Char Char321"/>
    <w:qFormat/>
    <w:uiPriority w:val="0"/>
    <w:rPr>
      <w:rFonts w:ascii="Arial" w:hAnsi="Arial" w:eastAsia="黑体"/>
      <w:b/>
      <w:sz w:val="32"/>
    </w:rPr>
  </w:style>
  <w:style w:type="character" w:customStyle="1" w:styleId="548">
    <w:name w:val="Char Char351"/>
    <w:qFormat/>
    <w:uiPriority w:val="0"/>
    <w:rPr>
      <w:rFonts w:eastAsia="宋体"/>
      <w:b/>
      <w:kern w:val="44"/>
      <w:sz w:val="44"/>
      <w:lang w:val="en-US" w:eastAsia="zh-CN"/>
    </w:rPr>
  </w:style>
  <w:style w:type="character" w:customStyle="1" w:styleId="549">
    <w:name w:val="Char Char341"/>
    <w:qFormat/>
    <w:uiPriority w:val="0"/>
    <w:rPr>
      <w:rFonts w:ascii="Arial" w:hAnsi="Arial" w:eastAsia="黑体"/>
      <w:b/>
      <w:sz w:val="32"/>
    </w:rPr>
  </w:style>
  <w:style w:type="character" w:customStyle="1" w:styleId="550">
    <w:name w:val="Char Char371"/>
    <w:qFormat/>
    <w:uiPriority w:val="0"/>
    <w:rPr>
      <w:rFonts w:eastAsia="宋体"/>
      <w:b/>
      <w:kern w:val="44"/>
      <w:sz w:val="44"/>
      <w:lang w:val="en-US" w:eastAsia="zh-CN"/>
    </w:rPr>
  </w:style>
  <w:style w:type="character" w:customStyle="1" w:styleId="551">
    <w:name w:val="Char Char361"/>
    <w:qFormat/>
    <w:uiPriority w:val="0"/>
    <w:rPr>
      <w:rFonts w:ascii="Arial" w:hAnsi="Arial" w:eastAsia="黑体"/>
      <w:b/>
      <w:sz w:val="32"/>
    </w:rPr>
  </w:style>
  <w:style w:type="character" w:customStyle="1" w:styleId="552">
    <w:name w:val="Char Char391"/>
    <w:qFormat/>
    <w:uiPriority w:val="0"/>
    <w:rPr>
      <w:rFonts w:eastAsia="宋体"/>
      <w:b/>
      <w:kern w:val="44"/>
      <w:sz w:val="44"/>
      <w:lang w:val="en-US" w:eastAsia="zh-CN"/>
    </w:rPr>
  </w:style>
  <w:style w:type="character" w:customStyle="1" w:styleId="553">
    <w:name w:val="Char Char381"/>
    <w:qFormat/>
    <w:uiPriority w:val="0"/>
    <w:rPr>
      <w:rFonts w:ascii="Arial" w:hAnsi="Arial" w:eastAsia="黑体"/>
      <w:b/>
      <w:sz w:val="32"/>
    </w:rPr>
  </w:style>
  <w:style w:type="paragraph" w:customStyle="1" w:styleId="554">
    <w:name w:val="_Style 493"/>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customStyle="1" w:styleId="555">
    <w:name w:val="Char Char42"/>
    <w:qFormat/>
    <w:uiPriority w:val="0"/>
    <w:rPr>
      <w:rFonts w:eastAsia="宋体"/>
      <w:b/>
      <w:bCs/>
      <w:kern w:val="44"/>
      <w:sz w:val="44"/>
      <w:szCs w:val="44"/>
      <w:lang w:val="en-US" w:eastAsia="zh-CN" w:bidi="ar-SA"/>
    </w:rPr>
  </w:style>
  <w:style w:type="character" w:customStyle="1" w:styleId="556">
    <w:name w:val="Char Char41"/>
    <w:qFormat/>
    <w:uiPriority w:val="0"/>
    <w:rPr>
      <w:rFonts w:ascii="Arial" w:hAnsi="Arial" w:eastAsia="黑体"/>
      <w:b/>
      <w:bCs/>
      <w:sz w:val="32"/>
      <w:szCs w:val="32"/>
      <w:lang w:bidi="ar-SA"/>
    </w:rPr>
  </w:style>
  <w:style w:type="character" w:customStyle="1" w:styleId="557">
    <w:name w:val="Char Char40"/>
    <w:qFormat/>
    <w:uiPriority w:val="0"/>
    <w:rPr>
      <w:rFonts w:eastAsia="宋体"/>
      <w:b/>
      <w:bCs/>
      <w:sz w:val="32"/>
      <w:szCs w:val="32"/>
      <w:lang w:bidi="ar-SA"/>
    </w:rPr>
  </w:style>
  <w:style w:type="character" w:customStyle="1" w:styleId="558">
    <w:name w:val="Char Char45"/>
    <w:qFormat/>
    <w:uiPriority w:val="0"/>
    <w:rPr>
      <w:rFonts w:eastAsia="宋体"/>
      <w:b/>
      <w:bCs/>
      <w:kern w:val="44"/>
      <w:sz w:val="44"/>
      <w:szCs w:val="44"/>
      <w:lang w:val="en-US" w:eastAsia="zh-CN" w:bidi="ar-SA"/>
    </w:rPr>
  </w:style>
  <w:style w:type="character" w:customStyle="1" w:styleId="559">
    <w:name w:val="Char Char44"/>
    <w:qFormat/>
    <w:uiPriority w:val="0"/>
    <w:rPr>
      <w:rFonts w:ascii="Arial" w:hAnsi="Arial" w:eastAsia="黑体"/>
      <w:b/>
      <w:bCs/>
      <w:sz w:val="32"/>
      <w:szCs w:val="32"/>
      <w:lang w:bidi="ar-SA"/>
    </w:rPr>
  </w:style>
  <w:style w:type="character" w:customStyle="1" w:styleId="560">
    <w:name w:val="Char Char43"/>
    <w:qFormat/>
    <w:uiPriority w:val="0"/>
    <w:rPr>
      <w:rFonts w:eastAsia="宋体"/>
      <w:b/>
      <w:bCs/>
      <w:sz w:val="32"/>
      <w:szCs w:val="32"/>
      <w:lang w:bidi="ar-SA"/>
    </w:rPr>
  </w:style>
  <w:style w:type="table" w:customStyle="1" w:styleId="561">
    <w:name w:val="彩色列表 - 强调文字颜色 111"/>
    <w:basedOn w:val="52"/>
    <w:qFormat/>
    <w:uiPriority w:val="0"/>
    <w:rPr>
      <w:rFonts w:ascii="Calibri" w:hAnsi="Calibri"/>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character" w:customStyle="1" w:styleId="562">
    <w:name w:val="Char Char48"/>
    <w:qFormat/>
    <w:uiPriority w:val="0"/>
    <w:rPr>
      <w:rFonts w:eastAsia="宋体"/>
      <w:b/>
      <w:bCs/>
      <w:kern w:val="44"/>
      <w:sz w:val="44"/>
      <w:szCs w:val="44"/>
      <w:lang w:val="en-US" w:eastAsia="zh-CN" w:bidi="ar-SA"/>
    </w:rPr>
  </w:style>
  <w:style w:type="character" w:customStyle="1" w:styleId="563">
    <w:name w:val="Char Char47"/>
    <w:qFormat/>
    <w:uiPriority w:val="0"/>
    <w:rPr>
      <w:rFonts w:ascii="Arial" w:hAnsi="Arial" w:eastAsia="黑体"/>
      <w:b/>
      <w:bCs/>
      <w:sz w:val="32"/>
      <w:szCs w:val="32"/>
      <w:lang w:bidi="ar-SA"/>
    </w:rPr>
  </w:style>
  <w:style w:type="character" w:customStyle="1" w:styleId="564">
    <w:name w:val="Char Char46"/>
    <w:qFormat/>
    <w:uiPriority w:val="0"/>
    <w:rPr>
      <w:rFonts w:eastAsia="宋体"/>
      <w:b/>
      <w:bCs/>
      <w:sz w:val="32"/>
      <w:szCs w:val="32"/>
      <w:lang w:bidi="ar-SA"/>
    </w:rPr>
  </w:style>
  <w:style w:type="character" w:customStyle="1" w:styleId="565">
    <w:name w:val="普通文字 Char Char3"/>
    <w:qFormat/>
    <w:uiPriority w:val="0"/>
    <w:rPr>
      <w:rFonts w:ascii="宋体" w:hAnsi="Courier New" w:eastAsia="宋体" w:cs="Courier New"/>
      <w:kern w:val="2"/>
      <w:sz w:val="21"/>
      <w:szCs w:val="21"/>
      <w:lang w:val="en-US" w:eastAsia="zh-CN" w:bidi="ar-SA"/>
    </w:rPr>
  </w:style>
  <w:style w:type="character" w:customStyle="1" w:styleId="566">
    <w:name w:val="普通文字 Char Char5"/>
    <w:qFormat/>
    <w:uiPriority w:val="0"/>
    <w:rPr>
      <w:rFonts w:ascii="宋体" w:hAnsi="Courier New" w:eastAsia="宋体" w:cs="Courier New"/>
      <w:kern w:val="2"/>
      <w:sz w:val="21"/>
      <w:szCs w:val="21"/>
      <w:lang w:val="en-US" w:eastAsia="zh-CN" w:bidi="ar-SA"/>
    </w:rPr>
  </w:style>
  <w:style w:type="paragraph" w:customStyle="1" w:styleId="567">
    <w:name w:val="首行缩进"/>
    <w:basedOn w:val="1"/>
    <w:qFormat/>
    <w:uiPriority w:val="0"/>
    <w:pPr>
      <w:ind w:firstLine="480" w:firstLineChars="200"/>
    </w:pPr>
    <w:rPr>
      <w:sz w:val="24"/>
    </w:rPr>
  </w:style>
  <w:style w:type="paragraph" w:customStyle="1" w:styleId="568">
    <w:name w:val="_Style 1"/>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customStyle="1" w:styleId="569">
    <w:name w:val="称呼 字符3"/>
    <w:qFormat/>
    <w:uiPriority w:val="0"/>
    <w:rPr>
      <w:kern w:val="2"/>
      <w:sz w:val="28"/>
      <w:szCs w:val="24"/>
    </w:rPr>
  </w:style>
  <w:style w:type="character" w:customStyle="1" w:styleId="570">
    <w:name w:val="批注文字 字符3"/>
    <w:qFormat/>
    <w:uiPriority w:val="0"/>
    <w:rPr>
      <w:rFonts w:eastAsia="宋体"/>
      <w:sz w:val="24"/>
      <w:lang w:bidi="ar-SA"/>
    </w:rPr>
  </w:style>
  <w:style w:type="character" w:customStyle="1" w:styleId="571">
    <w:name w:val="正文文本缩进 2 字符3"/>
    <w:qFormat/>
    <w:uiPriority w:val="0"/>
    <w:rPr>
      <w:rFonts w:eastAsia="宋体"/>
      <w:kern w:val="2"/>
      <w:sz w:val="32"/>
      <w:lang w:val="en-US" w:eastAsia="zh-CN" w:bidi="ar-SA"/>
    </w:rPr>
  </w:style>
  <w:style w:type="character" w:customStyle="1" w:styleId="572">
    <w:name w:val="标题 5 字符3"/>
    <w:qFormat/>
    <w:uiPriority w:val="0"/>
    <w:rPr>
      <w:rFonts w:eastAsia="宋体"/>
      <w:b/>
      <w:kern w:val="2"/>
      <w:sz w:val="28"/>
      <w:szCs w:val="24"/>
      <w:lang w:val="en-US" w:eastAsia="zh-CN" w:bidi="ar-SA"/>
    </w:rPr>
  </w:style>
  <w:style w:type="character" w:customStyle="1" w:styleId="573">
    <w:name w:val="正文文本 3 字符3"/>
    <w:qFormat/>
    <w:uiPriority w:val="0"/>
    <w:rPr>
      <w:rFonts w:eastAsia="宋体"/>
      <w:b/>
      <w:bCs/>
      <w:kern w:val="2"/>
      <w:sz w:val="24"/>
      <w:szCs w:val="24"/>
      <w:lang w:val="en-US" w:eastAsia="zh-CN" w:bidi="ar-SA"/>
    </w:rPr>
  </w:style>
  <w:style w:type="character" w:customStyle="1" w:styleId="574">
    <w:name w:val="标题 8 字符3"/>
    <w:qFormat/>
    <w:uiPriority w:val="0"/>
    <w:rPr>
      <w:rFonts w:ascii="Arial" w:hAnsi="Arial" w:eastAsia="黑体"/>
      <w:kern w:val="2"/>
      <w:sz w:val="24"/>
      <w:szCs w:val="24"/>
      <w:lang w:val="en-US" w:eastAsia="zh-CN" w:bidi="ar-SA"/>
    </w:rPr>
  </w:style>
  <w:style w:type="character" w:customStyle="1" w:styleId="575">
    <w:name w:val="正文文本 字符3"/>
    <w:qFormat/>
    <w:uiPriority w:val="0"/>
    <w:rPr>
      <w:rFonts w:eastAsia="宋体"/>
      <w:kern w:val="2"/>
      <w:sz w:val="24"/>
      <w:szCs w:val="24"/>
      <w:lang w:val="en-US" w:eastAsia="zh-CN" w:bidi="ar-SA"/>
    </w:rPr>
  </w:style>
  <w:style w:type="character" w:customStyle="1" w:styleId="576">
    <w:name w:val="标题 1 字符3"/>
    <w:qFormat/>
    <w:uiPriority w:val="0"/>
    <w:rPr>
      <w:rFonts w:eastAsia="宋体"/>
      <w:b/>
      <w:bCs/>
      <w:kern w:val="44"/>
      <w:sz w:val="44"/>
      <w:szCs w:val="44"/>
      <w:lang w:val="en-US" w:eastAsia="zh-CN" w:bidi="ar-SA"/>
    </w:rPr>
  </w:style>
  <w:style w:type="character" w:customStyle="1" w:styleId="577">
    <w:name w:val="文档结构图 字符3"/>
    <w:qFormat/>
    <w:uiPriority w:val="0"/>
    <w:rPr>
      <w:rFonts w:eastAsia="宋体"/>
      <w:kern w:val="2"/>
      <w:sz w:val="21"/>
      <w:szCs w:val="24"/>
      <w:lang w:val="en-US" w:eastAsia="zh-CN" w:bidi="ar-SA"/>
    </w:rPr>
  </w:style>
  <w:style w:type="character" w:customStyle="1" w:styleId="578">
    <w:name w:val="标题 7 字符3"/>
    <w:qFormat/>
    <w:uiPriority w:val="0"/>
    <w:rPr>
      <w:rFonts w:eastAsia="宋体"/>
      <w:b/>
      <w:kern w:val="2"/>
      <w:sz w:val="24"/>
      <w:szCs w:val="24"/>
      <w:lang w:val="en-US" w:eastAsia="zh-CN" w:bidi="ar-SA"/>
    </w:rPr>
  </w:style>
  <w:style w:type="character" w:customStyle="1" w:styleId="579">
    <w:name w:val="标题 6 字符3"/>
    <w:qFormat/>
    <w:uiPriority w:val="0"/>
    <w:rPr>
      <w:rFonts w:ascii="Arial" w:hAnsi="Arial" w:eastAsia="黑体"/>
      <w:b/>
      <w:kern w:val="2"/>
      <w:sz w:val="24"/>
      <w:szCs w:val="24"/>
      <w:lang w:val="en-US" w:eastAsia="zh-CN" w:bidi="ar-SA"/>
    </w:rPr>
  </w:style>
  <w:style w:type="character" w:customStyle="1" w:styleId="580">
    <w:name w:val="标题 3 字符3"/>
    <w:qFormat/>
    <w:uiPriority w:val="0"/>
    <w:rPr>
      <w:rFonts w:eastAsia="宋体"/>
      <w:b/>
      <w:bCs/>
      <w:sz w:val="32"/>
      <w:szCs w:val="32"/>
      <w:lang w:bidi="ar-SA"/>
    </w:rPr>
  </w:style>
  <w:style w:type="character" w:customStyle="1" w:styleId="581">
    <w:name w:val="页脚 字符3"/>
    <w:qFormat/>
    <w:uiPriority w:val="0"/>
    <w:rPr>
      <w:rFonts w:eastAsia="宋体"/>
      <w:kern w:val="2"/>
      <w:sz w:val="18"/>
      <w:szCs w:val="18"/>
      <w:lang w:val="en-US" w:eastAsia="zh-CN" w:bidi="ar-SA"/>
    </w:rPr>
  </w:style>
  <w:style w:type="character" w:customStyle="1" w:styleId="582">
    <w:name w:val="尾注文本 字符3"/>
    <w:qFormat/>
    <w:uiPriority w:val="0"/>
    <w:rPr>
      <w:rFonts w:ascii="Calibri" w:hAnsi="Calibri"/>
      <w:kern w:val="2"/>
      <w:sz w:val="21"/>
      <w:szCs w:val="22"/>
    </w:rPr>
  </w:style>
  <w:style w:type="character" w:customStyle="1" w:styleId="583">
    <w:name w:val="日期 字符3"/>
    <w:qFormat/>
    <w:uiPriority w:val="0"/>
    <w:rPr>
      <w:rFonts w:ascii="宋体" w:hAnsi="Courier New" w:eastAsia="宋体" w:cs="Courier New"/>
      <w:kern w:val="2"/>
      <w:sz w:val="21"/>
      <w:szCs w:val="21"/>
      <w:lang w:val="en-US" w:eastAsia="zh-CN" w:bidi="ar-SA"/>
    </w:rPr>
  </w:style>
  <w:style w:type="character" w:customStyle="1" w:styleId="584">
    <w:name w:val="正文文本缩进 字符3"/>
    <w:qFormat/>
    <w:uiPriority w:val="0"/>
    <w:rPr>
      <w:rFonts w:ascii="仿宋_GB2312" w:eastAsia="仿宋_GB2312"/>
      <w:kern w:val="2"/>
      <w:sz w:val="32"/>
      <w:lang w:val="en-US" w:eastAsia="zh-CN" w:bidi="ar-SA"/>
    </w:rPr>
  </w:style>
  <w:style w:type="character" w:customStyle="1" w:styleId="585">
    <w:name w:val="标题 9 字符3"/>
    <w:qFormat/>
    <w:uiPriority w:val="0"/>
    <w:rPr>
      <w:rFonts w:ascii="Arial" w:hAnsi="Arial" w:eastAsia="黑体"/>
      <w:kern w:val="2"/>
      <w:sz w:val="21"/>
      <w:szCs w:val="24"/>
      <w:lang w:val="en-US" w:eastAsia="zh-CN" w:bidi="ar-SA"/>
    </w:rPr>
  </w:style>
  <w:style w:type="character" w:customStyle="1" w:styleId="586">
    <w:name w:val="正文文本缩进 3 字符3"/>
    <w:qFormat/>
    <w:uiPriority w:val="0"/>
    <w:rPr>
      <w:rFonts w:eastAsia="宋体"/>
      <w:kern w:val="2"/>
      <w:sz w:val="16"/>
      <w:szCs w:val="16"/>
      <w:lang w:val="en-US" w:eastAsia="zh-CN" w:bidi="ar-SA"/>
    </w:rPr>
  </w:style>
  <w:style w:type="character" w:customStyle="1" w:styleId="587">
    <w:name w:val="脚注文本 字符3"/>
    <w:qFormat/>
    <w:locked/>
    <w:uiPriority w:val="0"/>
    <w:rPr>
      <w:rFonts w:ascii="宋体" w:eastAsia="宋体"/>
      <w:kern w:val="21"/>
      <w:sz w:val="18"/>
      <w:szCs w:val="18"/>
      <w:lang w:val="en-US" w:eastAsia="zh-CN" w:bidi="ar-SA"/>
    </w:rPr>
  </w:style>
  <w:style w:type="character" w:customStyle="1" w:styleId="588">
    <w:name w:val="纯文本 字符4"/>
    <w:qFormat/>
    <w:uiPriority w:val="0"/>
    <w:rPr>
      <w:rFonts w:ascii="宋体" w:hAnsi="Courier New" w:eastAsia="宋体" w:cs="Courier New"/>
      <w:kern w:val="2"/>
      <w:sz w:val="21"/>
      <w:szCs w:val="21"/>
      <w:lang w:val="en-US" w:eastAsia="zh-CN" w:bidi="ar-SA"/>
    </w:rPr>
  </w:style>
  <w:style w:type="character" w:customStyle="1" w:styleId="589">
    <w:name w:val="HTML 预设格式 字符3"/>
    <w:qFormat/>
    <w:uiPriority w:val="0"/>
    <w:rPr>
      <w:rFonts w:ascii="黑体" w:hAnsi="Courier New" w:eastAsia="黑体" w:cs="Courier New"/>
      <w:lang w:val="en-US" w:eastAsia="zh-CN" w:bidi="ar-SA"/>
    </w:rPr>
  </w:style>
  <w:style w:type="character" w:customStyle="1" w:styleId="590">
    <w:name w:val="标题 2 字符3"/>
    <w:qFormat/>
    <w:uiPriority w:val="0"/>
    <w:rPr>
      <w:rFonts w:ascii="Arial" w:hAnsi="Arial" w:eastAsia="黑体"/>
      <w:b/>
      <w:bCs/>
      <w:sz w:val="32"/>
      <w:szCs w:val="32"/>
      <w:lang w:bidi="ar-SA"/>
    </w:rPr>
  </w:style>
  <w:style w:type="character" w:customStyle="1" w:styleId="591">
    <w:name w:val="HTML 地址 字符3"/>
    <w:qFormat/>
    <w:locked/>
    <w:uiPriority w:val="0"/>
    <w:rPr>
      <w:rFonts w:ascii="宋体" w:eastAsia="宋体"/>
      <w:i/>
      <w:iCs/>
      <w:kern w:val="21"/>
      <w:sz w:val="21"/>
      <w:szCs w:val="21"/>
      <w:lang w:val="en-US" w:eastAsia="zh-CN" w:bidi="ar-SA"/>
    </w:rPr>
  </w:style>
  <w:style w:type="character" w:customStyle="1" w:styleId="592">
    <w:name w:val="页眉 字符3"/>
    <w:qFormat/>
    <w:uiPriority w:val="0"/>
    <w:rPr>
      <w:rFonts w:eastAsia="宋体"/>
      <w:kern w:val="2"/>
      <w:sz w:val="18"/>
      <w:szCs w:val="18"/>
      <w:lang w:val="en-US" w:eastAsia="zh-CN" w:bidi="ar-SA"/>
    </w:rPr>
  </w:style>
  <w:style w:type="character" w:customStyle="1" w:styleId="593">
    <w:name w:val="无间隔 字符4"/>
    <w:qFormat/>
    <w:uiPriority w:val="0"/>
    <w:rPr>
      <w:sz w:val="22"/>
      <w:szCs w:val="22"/>
      <w:lang w:val="en-US" w:eastAsia="zh-CN" w:bidi="ar-SA"/>
    </w:rPr>
  </w:style>
  <w:style w:type="character" w:customStyle="1" w:styleId="594">
    <w:name w:val="正文文本 2 字符3"/>
    <w:qFormat/>
    <w:uiPriority w:val="0"/>
    <w:rPr>
      <w:rFonts w:eastAsia="宋体"/>
      <w:kern w:val="2"/>
      <w:sz w:val="21"/>
      <w:szCs w:val="24"/>
      <w:lang w:val="en-US" w:eastAsia="zh-CN" w:bidi="ar-SA"/>
    </w:rPr>
  </w:style>
  <w:style w:type="character" w:customStyle="1" w:styleId="595">
    <w:name w:val="标题 字符3"/>
    <w:qFormat/>
    <w:uiPriority w:val="0"/>
    <w:rPr>
      <w:rFonts w:ascii="Arial" w:hAnsi="Arial" w:eastAsia="宋体"/>
      <w:b/>
      <w:bCs/>
      <w:kern w:val="2"/>
      <w:sz w:val="32"/>
      <w:szCs w:val="32"/>
      <w:lang w:bidi="ar-SA"/>
    </w:rPr>
  </w:style>
  <w:style w:type="character" w:customStyle="1" w:styleId="596">
    <w:name w:val="标题 4 字符3"/>
    <w:qFormat/>
    <w:uiPriority w:val="0"/>
    <w:rPr>
      <w:rFonts w:ascii="Arial" w:hAnsi="Arial" w:eastAsia="黑体"/>
      <w:sz w:val="28"/>
      <w:lang w:bidi="ar-SA"/>
    </w:rPr>
  </w:style>
  <w:style w:type="character" w:customStyle="1" w:styleId="597">
    <w:name w:val="Char Char50"/>
    <w:qFormat/>
    <w:uiPriority w:val="0"/>
    <w:rPr>
      <w:rFonts w:eastAsia="宋体"/>
      <w:b/>
      <w:bCs/>
      <w:kern w:val="44"/>
      <w:sz w:val="44"/>
      <w:szCs w:val="44"/>
      <w:lang w:val="en-US" w:eastAsia="zh-CN" w:bidi="ar-SA"/>
    </w:rPr>
  </w:style>
  <w:style w:type="character" w:customStyle="1" w:styleId="598">
    <w:name w:val="Char Char49"/>
    <w:qFormat/>
    <w:uiPriority w:val="0"/>
    <w:rPr>
      <w:rFonts w:ascii="Arial" w:hAnsi="Arial" w:eastAsia="黑体"/>
      <w:b/>
      <w:bCs/>
      <w:sz w:val="32"/>
      <w:szCs w:val="32"/>
      <w:lang w:bidi="ar-SA"/>
    </w:rPr>
  </w:style>
  <w:style w:type="character" w:customStyle="1" w:styleId="599">
    <w:name w:val="普通文字 Char Char7"/>
    <w:qFormat/>
    <w:uiPriority w:val="0"/>
    <w:rPr>
      <w:rFonts w:ascii="宋体" w:hAnsi="Courier New" w:eastAsia="宋体" w:cs="Courier New"/>
      <w:kern w:val="2"/>
      <w:sz w:val="21"/>
      <w:szCs w:val="21"/>
      <w:lang w:val="en-US" w:eastAsia="zh-CN" w:bidi="ar-SA"/>
    </w:rPr>
  </w:style>
  <w:style w:type="paragraph" w:customStyle="1" w:styleId="600">
    <w:name w:val="Char Char Char3"/>
    <w:basedOn w:val="1"/>
    <w:qFormat/>
    <w:uiPriority w:val="0"/>
    <w:pPr>
      <w:widowControl/>
      <w:spacing w:line="240" w:lineRule="exact"/>
      <w:jc w:val="left"/>
    </w:pPr>
    <w:rPr>
      <w:rFonts w:ascii="Verdana" w:hAnsi="Verdana"/>
      <w:kern w:val="0"/>
      <w:sz w:val="20"/>
      <w:szCs w:val="20"/>
      <w:lang w:eastAsia="en-US"/>
    </w:rPr>
  </w:style>
  <w:style w:type="character" w:customStyle="1" w:styleId="601">
    <w:name w:val="普通文字 Char Char2 Char"/>
    <w:qFormat/>
    <w:locked/>
    <w:uiPriority w:val="0"/>
    <w:rPr>
      <w:rFonts w:ascii="宋体" w:hAnsi="Courier New" w:eastAsia="宋体"/>
      <w:kern w:val="2"/>
      <w:sz w:val="21"/>
      <w:lang w:val="en-US" w:eastAsia="zh-CN" w:bidi="ar-SA"/>
    </w:rPr>
  </w:style>
  <w:style w:type="character" w:customStyle="1" w:styleId="602">
    <w:name w:val="标题 1 字符4"/>
    <w:qFormat/>
    <w:uiPriority w:val="0"/>
    <w:rPr>
      <w:rFonts w:eastAsia="宋体"/>
      <w:b/>
      <w:bCs/>
      <w:kern w:val="44"/>
      <w:sz w:val="44"/>
      <w:szCs w:val="44"/>
      <w:lang w:val="en-US" w:eastAsia="zh-CN" w:bidi="ar-SA"/>
    </w:rPr>
  </w:style>
  <w:style w:type="character" w:customStyle="1" w:styleId="603">
    <w:name w:val="标题 2 字符4"/>
    <w:qFormat/>
    <w:uiPriority w:val="0"/>
    <w:rPr>
      <w:rFonts w:ascii="Arial" w:hAnsi="Arial" w:eastAsia="黑体"/>
      <w:b/>
      <w:bCs/>
      <w:sz w:val="32"/>
      <w:szCs w:val="32"/>
      <w:lang w:bidi="ar-SA"/>
    </w:rPr>
  </w:style>
  <w:style w:type="character" w:customStyle="1" w:styleId="604">
    <w:name w:val="标题 3 字符4"/>
    <w:qFormat/>
    <w:uiPriority w:val="0"/>
    <w:rPr>
      <w:rFonts w:eastAsia="宋体"/>
      <w:b/>
      <w:bCs/>
      <w:sz w:val="32"/>
      <w:szCs w:val="32"/>
      <w:lang w:bidi="ar-SA"/>
    </w:rPr>
  </w:style>
  <w:style w:type="character" w:customStyle="1" w:styleId="605">
    <w:name w:val="标题 4 字符4"/>
    <w:qFormat/>
    <w:uiPriority w:val="0"/>
    <w:rPr>
      <w:rFonts w:ascii="Arial" w:hAnsi="Arial" w:eastAsia="黑体"/>
      <w:sz w:val="28"/>
      <w:lang w:bidi="ar-SA"/>
    </w:rPr>
  </w:style>
  <w:style w:type="character" w:customStyle="1" w:styleId="606">
    <w:name w:val="标题 5 字符4"/>
    <w:qFormat/>
    <w:uiPriority w:val="0"/>
    <w:rPr>
      <w:rFonts w:eastAsia="宋体"/>
      <w:b/>
      <w:kern w:val="2"/>
      <w:sz w:val="28"/>
      <w:szCs w:val="24"/>
      <w:lang w:val="en-US" w:eastAsia="zh-CN" w:bidi="ar-SA"/>
    </w:rPr>
  </w:style>
  <w:style w:type="character" w:customStyle="1" w:styleId="607">
    <w:name w:val="标题 6 字符4"/>
    <w:qFormat/>
    <w:uiPriority w:val="0"/>
    <w:rPr>
      <w:rFonts w:ascii="Arial" w:hAnsi="Arial" w:eastAsia="黑体"/>
      <w:b/>
      <w:kern w:val="2"/>
      <w:sz w:val="24"/>
      <w:szCs w:val="24"/>
      <w:lang w:val="en-US" w:eastAsia="zh-CN" w:bidi="ar-SA"/>
    </w:rPr>
  </w:style>
  <w:style w:type="character" w:customStyle="1" w:styleId="608">
    <w:name w:val="标题 7 字符4"/>
    <w:qFormat/>
    <w:uiPriority w:val="0"/>
    <w:rPr>
      <w:rFonts w:eastAsia="宋体"/>
      <w:b/>
      <w:kern w:val="2"/>
      <w:sz w:val="24"/>
      <w:szCs w:val="24"/>
      <w:lang w:val="en-US" w:eastAsia="zh-CN" w:bidi="ar-SA"/>
    </w:rPr>
  </w:style>
  <w:style w:type="character" w:customStyle="1" w:styleId="609">
    <w:name w:val="标题 8 字符4"/>
    <w:qFormat/>
    <w:uiPriority w:val="0"/>
    <w:rPr>
      <w:rFonts w:ascii="Arial" w:hAnsi="Arial" w:eastAsia="黑体"/>
      <w:kern w:val="2"/>
      <w:sz w:val="24"/>
      <w:szCs w:val="24"/>
      <w:lang w:val="en-US" w:eastAsia="zh-CN" w:bidi="ar-SA"/>
    </w:rPr>
  </w:style>
  <w:style w:type="character" w:customStyle="1" w:styleId="610">
    <w:name w:val="标题 9 字符4"/>
    <w:qFormat/>
    <w:uiPriority w:val="0"/>
    <w:rPr>
      <w:rFonts w:ascii="Arial" w:hAnsi="Arial" w:eastAsia="黑体"/>
      <w:kern w:val="2"/>
      <w:sz w:val="21"/>
      <w:szCs w:val="24"/>
      <w:lang w:val="en-US" w:eastAsia="zh-CN" w:bidi="ar-SA"/>
    </w:rPr>
  </w:style>
  <w:style w:type="character" w:customStyle="1" w:styleId="611">
    <w:name w:val="文档结构图 字符4"/>
    <w:qFormat/>
    <w:uiPriority w:val="0"/>
    <w:rPr>
      <w:rFonts w:eastAsia="宋体"/>
      <w:kern w:val="2"/>
      <w:sz w:val="21"/>
      <w:szCs w:val="24"/>
      <w:lang w:val="en-US" w:eastAsia="zh-CN" w:bidi="ar-SA"/>
    </w:rPr>
  </w:style>
  <w:style w:type="character" w:customStyle="1" w:styleId="612">
    <w:name w:val="批注文字 字符4"/>
    <w:qFormat/>
    <w:uiPriority w:val="0"/>
    <w:rPr>
      <w:rFonts w:eastAsia="宋体"/>
      <w:sz w:val="24"/>
      <w:lang w:bidi="ar-SA"/>
    </w:rPr>
  </w:style>
  <w:style w:type="character" w:customStyle="1" w:styleId="613">
    <w:name w:val="称呼 字符4"/>
    <w:qFormat/>
    <w:uiPriority w:val="0"/>
    <w:rPr>
      <w:kern w:val="2"/>
      <w:sz w:val="28"/>
      <w:szCs w:val="24"/>
    </w:rPr>
  </w:style>
  <w:style w:type="character" w:customStyle="1" w:styleId="614">
    <w:name w:val="正文文本 3 字符4"/>
    <w:qFormat/>
    <w:uiPriority w:val="0"/>
    <w:rPr>
      <w:rFonts w:eastAsia="宋体"/>
      <w:b/>
      <w:bCs/>
      <w:kern w:val="2"/>
      <w:sz w:val="24"/>
      <w:szCs w:val="24"/>
      <w:lang w:val="en-US" w:eastAsia="zh-CN" w:bidi="ar-SA"/>
    </w:rPr>
  </w:style>
  <w:style w:type="character" w:customStyle="1" w:styleId="615">
    <w:name w:val="正文文本 字符4"/>
    <w:qFormat/>
    <w:uiPriority w:val="0"/>
    <w:rPr>
      <w:rFonts w:eastAsia="宋体"/>
      <w:kern w:val="2"/>
      <w:sz w:val="24"/>
      <w:szCs w:val="24"/>
      <w:lang w:val="en-US" w:eastAsia="zh-CN" w:bidi="ar-SA"/>
    </w:rPr>
  </w:style>
  <w:style w:type="character" w:customStyle="1" w:styleId="616">
    <w:name w:val="正文文本缩进 字符4"/>
    <w:qFormat/>
    <w:uiPriority w:val="0"/>
    <w:rPr>
      <w:rFonts w:ascii="仿宋_GB2312" w:eastAsia="仿宋_GB2312"/>
      <w:kern w:val="2"/>
      <w:sz w:val="32"/>
      <w:lang w:val="en-US" w:eastAsia="zh-CN" w:bidi="ar-SA"/>
    </w:rPr>
  </w:style>
  <w:style w:type="character" w:customStyle="1" w:styleId="617">
    <w:name w:val="HTML 地址 字符4"/>
    <w:qFormat/>
    <w:locked/>
    <w:uiPriority w:val="0"/>
    <w:rPr>
      <w:rFonts w:ascii="宋体" w:eastAsia="宋体"/>
      <w:i/>
      <w:iCs/>
      <w:kern w:val="21"/>
      <w:sz w:val="21"/>
      <w:szCs w:val="21"/>
      <w:lang w:val="en-US" w:eastAsia="zh-CN" w:bidi="ar-SA"/>
    </w:rPr>
  </w:style>
  <w:style w:type="character" w:customStyle="1" w:styleId="618">
    <w:name w:val="TOC 3 字符"/>
    <w:qFormat/>
    <w:locked/>
    <w:uiPriority w:val="0"/>
    <w:rPr>
      <w:rFonts w:eastAsia="宋体"/>
      <w:kern w:val="2"/>
      <w:sz w:val="21"/>
      <w:szCs w:val="24"/>
      <w:lang w:val="en-US" w:eastAsia="zh-CN" w:bidi="ar-SA"/>
    </w:rPr>
  </w:style>
  <w:style w:type="character" w:customStyle="1" w:styleId="619">
    <w:name w:val="纯文本 字符5"/>
    <w:qFormat/>
    <w:uiPriority w:val="0"/>
    <w:rPr>
      <w:rFonts w:ascii="宋体" w:hAnsi="Courier New" w:eastAsia="宋体" w:cs="Courier New"/>
      <w:kern w:val="2"/>
      <w:sz w:val="21"/>
      <w:szCs w:val="21"/>
      <w:lang w:val="en-US" w:eastAsia="zh-CN" w:bidi="ar-SA"/>
    </w:rPr>
  </w:style>
  <w:style w:type="character" w:customStyle="1" w:styleId="620">
    <w:name w:val="日期 字符4"/>
    <w:qFormat/>
    <w:uiPriority w:val="0"/>
    <w:rPr>
      <w:rFonts w:ascii="宋体" w:hAnsi="Courier New" w:eastAsia="宋体" w:cs="Courier New"/>
      <w:kern w:val="2"/>
      <w:sz w:val="21"/>
      <w:szCs w:val="21"/>
      <w:lang w:val="en-US" w:eastAsia="zh-CN" w:bidi="ar-SA"/>
    </w:rPr>
  </w:style>
  <w:style w:type="character" w:customStyle="1" w:styleId="621">
    <w:name w:val="正文文本缩进 2 字符4"/>
    <w:qFormat/>
    <w:uiPriority w:val="0"/>
    <w:rPr>
      <w:rFonts w:eastAsia="宋体"/>
      <w:kern w:val="2"/>
      <w:sz w:val="32"/>
      <w:lang w:val="en-US" w:eastAsia="zh-CN" w:bidi="ar-SA"/>
    </w:rPr>
  </w:style>
  <w:style w:type="character" w:customStyle="1" w:styleId="622">
    <w:name w:val="尾注文本 字符4"/>
    <w:qFormat/>
    <w:uiPriority w:val="0"/>
    <w:rPr>
      <w:rFonts w:ascii="Calibri" w:hAnsi="Calibri"/>
      <w:kern w:val="2"/>
      <w:sz w:val="21"/>
      <w:szCs w:val="22"/>
    </w:rPr>
  </w:style>
  <w:style w:type="character" w:customStyle="1" w:styleId="623">
    <w:name w:val="页脚 字符4"/>
    <w:qFormat/>
    <w:uiPriority w:val="0"/>
    <w:rPr>
      <w:rFonts w:eastAsia="宋体"/>
      <w:kern w:val="2"/>
      <w:sz w:val="18"/>
      <w:szCs w:val="18"/>
      <w:lang w:val="en-US" w:eastAsia="zh-CN" w:bidi="ar-SA"/>
    </w:rPr>
  </w:style>
  <w:style w:type="character" w:customStyle="1" w:styleId="624">
    <w:name w:val="页眉 字符4"/>
    <w:qFormat/>
    <w:uiPriority w:val="0"/>
    <w:rPr>
      <w:rFonts w:eastAsia="宋体"/>
      <w:kern w:val="2"/>
      <w:sz w:val="18"/>
      <w:szCs w:val="18"/>
      <w:lang w:val="en-US" w:eastAsia="zh-CN" w:bidi="ar-SA"/>
    </w:rPr>
  </w:style>
  <w:style w:type="character" w:customStyle="1" w:styleId="625">
    <w:name w:val="脚注文本 字符4"/>
    <w:qFormat/>
    <w:locked/>
    <w:uiPriority w:val="0"/>
    <w:rPr>
      <w:rFonts w:ascii="宋体" w:eastAsia="宋体"/>
      <w:kern w:val="21"/>
      <w:sz w:val="18"/>
      <w:szCs w:val="18"/>
      <w:lang w:val="en-US" w:eastAsia="zh-CN" w:bidi="ar-SA"/>
    </w:rPr>
  </w:style>
  <w:style w:type="character" w:customStyle="1" w:styleId="626">
    <w:name w:val="正文文本缩进 3 字符4"/>
    <w:qFormat/>
    <w:uiPriority w:val="0"/>
    <w:rPr>
      <w:rFonts w:eastAsia="宋体"/>
      <w:kern w:val="2"/>
      <w:sz w:val="16"/>
      <w:szCs w:val="16"/>
      <w:lang w:val="en-US" w:eastAsia="zh-CN" w:bidi="ar-SA"/>
    </w:rPr>
  </w:style>
  <w:style w:type="character" w:customStyle="1" w:styleId="627">
    <w:name w:val="正文文本 2 字符4"/>
    <w:qFormat/>
    <w:uiPriority w:val="0"/>
    <w:rPr>
      <w:rFonts w:eastAsia="宋体"/>
      <w:kern w:val="2"/>
      <w:sz w:val="21"/>
      <w:szCs w:val="24"/>
      <w:lang w:val="en-US" w:eastAsia="zh-CN" w:bidi="ar-SA"/>
    </w:rPr>
  </w:style>
  <w:style w:type="character" w:customStyle="1" w:styleId="628">
    <w:name w:val="HTML 预设格式 字符4"/>
    <w:qFormat/>
    <w:uiPriority w:val="0"/>
    <w:rPr>
      <w:rFonts w:ascii="黑体" w:hAnsi="Courier New" w:eastAsia="黑体" w:cs="Courier New"/>
      <w:lang w:val="en-US" w:eastAsia="zh-CN" w:bidi="ar-SA"/>
    </w:rPr>
  </w:style>
  <w:style w:type="character" w:customStyle="1" w:styleId="629">
    <w:name w:val="标题 字符4"/>
    <w:qFormat/>
    <w:uiPriority w:val="0"/>
    <w:rPr>
      <w:rFonts w:ascii="Arial" w:hAnsi="Arial" w:eastAsia="宋体"/>
      <w:b/>
      <w:bCs/>
      <w:kern w:val="2"/>
      <w:sz w:val="32"/>
      <w:szCs w:val="32"/>
      <w:lang w:bidi="ar-SA"/>
    </w:rPr>
  </w:style>
  <w:style w:type="character" w:customStyle="1" w:styleId="630">
    <w:name w:val="无间隔 字符5"/>
    <w:qFormat/>
    <w:uiPriority w:val="0"/>
    <w:rPr>
      <w:sz w:val="22"/>
      <w:szCs w:val="22"/>
      <w:lang w:val="en-US" w:eastAsia="zh-CN" w:bidi="ar-SA"/>
    </w:rPr>
  </w:style>
  <w:style w:type="character" w:customStyle="1" w:styleId="631">
    <w:name w:val="Char Char53"/>
    <w:qFormat/>
    <w:uiPriority w:val="0"/>
    <w:rPr>
      <w:rFonts w:eastAsia="宋体"/>
      <w:b/>
      <w:bCs/>
      <w:kern w:val="44"/>
      <w:sz w:val="44"/>
      <w:szCs w:val="44"/>
      <w:lang w:val="en-US" w:eastAsia="zh-CN" w:bidi="ar-SA"/>
    </w:rPr>
  </w:style>
  <w:style w:type="character" w:customStyle="1" w:styleId="632">
    <w:name w:val="Char Char52"/>
    <w:qFormat/>
    <w:uiPriority w:val="0"/>
    <w:rPr>
      <w:rFonts w:ascii="Arial" w:hAnsi="Arial" w:eastAsia="黑体"/>
      <w:b/>
      <w:bCs/>
      <w:sz w:val="32"/>
      <w:szCs w:val="32"/>
      <w:lang w:bidi="ar-SA"/>
    </w:rPr>
  </w:style>
  <w:style w:type="character" w:customStyle="1" w:styleId="633">
    <w:name w:val="Char Char51"/>
    <w:qFormat/>
    <w:uiPriority w:val="0"/>
    <w:rPr>
      <w:rFonts w:eastAsia="宋体"/>
      <w:b/>
      <w:bCs/>
      <w:sz w:val="32"/>
      <w:szCs w:val="32"/>
      <w:lang w:bidi="ar-SA"/>
    </w:rPr>
  </w:style>
  <w:style w:type="character" w:customStyle="1" w:styleId="634">
    <w:name w:val="无间隔 字符6"/>
    <w:qFormat/>
    <w:uiPriority w:val="0"/>
    <w:rPr>
      <w:sz w:val="22"/>
      <w:szCs w:val="22"/>
      <w:lang w:val="en-US" w:eastAsia="zh-CN" w:bidi="ar-SA"/>
    </w:rPr>
  </w:style>
  <w:style w:type="character" w:customStyle="1" w:styleId="635">
    <w:name w:val="普通文字 Char Char8"/>
    <w:qFormat/>
    <w:uiPriority w:val="0"/>
    <w:rPr>
      <w:rFonts w:ascii="宋体" w:hAnsi="Courier New" w:eastAsia="宋体" w:cs="Courier New"/>
      <w:kern w:val="2"/>
      <w:sz w:val="21"/>
      <w:szCs w:val="21"/>
      <w:lang w:val="en-US" w:eastAsia="zh-CN" w:bidi="ar-SA"/>
    </w:rPr>
  </w:style>
  <w:style w:type="character" w:customStyle="1" w:styleId="636">
    <w:name w:val="font81"/>
    <w:basedOn w:val="54"/>
    <w:qFormat/>
    <w:uiPriority w:val="0"/>
    <w:rPr>
      <w:rFonts w:ascii="微软雅黑" w:hAnsi="微软雅黑" w:eastAsia="微软雅黑" w:cs="微软雅黑"/>
      <w:color w:val="000000"/>
      <w:sz w:val="18"/>
      <w:szCs w:val="18"/>
      <w:u w:val="none"/>
    </w:rPr>
  </w:style>
  <w:style w:type="character" w:customStyle="1" w:styleId="637">
    <w:name w:val="Char Char57"/>
    <w:qFormat/>
    <w:uiPriority w:val="0"/>
    <w:rPr>
      <w:rFonts w:eastAsia="宋体"/>
      <w:b/>
      <w:bCs/>
      <w:kern w:val="44"/>
      <w:sz w:val="44"/>
      <w:szCs w:val="44"/>
      <w:lang w:val="en-US" w:eastAsia="zh-CN" w:bidi="ar-SA"/>
    </w:rPr>
  </w:style>
  <w:style w:type="character" w:customStyle="1" w:styleId="638">
    <w:name w:val="Char Char56"/>
    <w:qFormat/>
    <w:uiPriority w:val="0"/>
    <w:rPr>
      <w:rFonts w:ascii="Arial" w:hAnsi="Arial" w:eastAsia="黑体"/>
      <w:b/>
      <w:bCs/>
      <w:sz w:val="32"/>
      <w:szCs w:val="32"/>
      <w:lang w:bidi="ar-SA"/>
    </w:rPr>
  </w:style>
  <w:style w:type="character" w:customStyle="1" w:styleId="639">
    <w:name w:val="Char Char55"/>
    <w:qFormat/>
    <w:uiPriority w:val="0"/>
    <w:rPr>
      <w:rFonts w:eastAsia="宋体"/>
      <w:b/>
      <w:bCs/>
      <w:sz w:val="32"/>
      <w:szCs w:val="32"/>
      <w:lang w:bidi="ar-SA"/>
    </w:rPr>
  </w:style>
  <w:style w:type="character" w:customStyle="1" w:styleId="640">
    <w:name w:val="Char Char54"/>
    <w:qFormat/>
    <w:uiPriority w:val="0"/>
    <w:rPr>
      <w:rFonts w:ascii="Arial" w:hAnsi="Arial" w:eastAsia="黑体"/>
      <w:sz w:val="28"/>
      <w:lang w:bidi="ar-SA"/>
    </w:rPr>
  </w:style>
  <w:style w:type="character" w:customStyle="1" w:styleId="641">
    <w:name w:val="无间隔 字符7"/>
    <w:qFormat/>
    <w:uiPriority w:val="0"/>
    <w:rPr>
      <w:sz w:val="22"/>
      <w:szCs w:val="22"/>
      <w:lang w:val="en-US" w:eastAsia="zh-CN" w:bidi="ar-SA"/>
    </w:rPr>
  </w:style>
  <w:style w:type="paragraph" w:customStyle="1" w:styleId="642">
    <w:name w:val="_Style 637"/>
    <w:basedOn w:val="1"/>
    <w:next w:val="1"/>
    <w:qFormat/>
    <w:uiPriority w:val="0"/>
    <w:pPr>
      <w:tabs>
        <w:tab w:val="right" w:leader="dot" w:pos="9185"/>
      </w:tabs>
      <w:adjustRightInd w:val="0"/>
      <w:spacing w:line="312" w:lineRule="atLeast"/>
      <w:ind w:left="3360"/>
      <w:textAlignment w:val="baseline"/>
    </w:pPr>
    <w:rPr>
      <w:kern w:val="0"/>
      <w:szCs w:val="20"/>
    </w:rPr>
  </w:style>
  <w:style w:type="character" w:customStyle="1" w:styleId="643">
    <w:name w:val="Char Char61"/>
    <w:qFormat/>
    <w:uiPriority w:val="0"/>
    <w:rPr>
      <w:rFonts w:eastAsia="宋体"/>
      <w:b/>
      <w:bCs/>
      <w:kern w:val="44"/>
      <w:sz w:val="44"/>
      <w:szCs w:val="44"/>
      <w:lang w:val="en-US" w:eastAsia="zh-CN" w:bidi="ar-SA"/>
    </w:rPr>
  </w:style>
  <w:style w:type="character" w:customStyle="1" w:styleId="644">
    <w:name w:val="Char Char60"/>
    <w:qFormat/>
    <w:uiPriority w:val="0"/>
    <w:rPr>
      <w:rFonts w:ascii="Arial" w:hAnsi="Arial" w:eastAsia="黑体"/>
      <w:b/>
      <w:bCs/>
      <w:sz w:val="32"/>
      <w:szCs w:val="32"/>
      <w:lang w:bidi="ar-SA"/>
    </w:rPr>
  </w:style>
  <w:style w:type="character" w:customStyle="1" w:styleId="645">
    <w:name w:val="Char Char59"/>
    <w:qFormat/>
    <w:uiPriority w:val="0"/>
    <w:rPr>
      <w:rFonts w:eastAsia="宋体"/>
      <w:b/>
      <w:bCs/>
      <w:sz w:val="32"/>
      <w:szCs w:val="32"/>
      <w:lang w:bidi="ar-SA"/>
    </w:rPr>
  </w:style>
  <w:style w:type="character" w:customStyle="1" w:styleId="646">
    <w:name w:val="Char Char58"/>
    <w:qFormat/>
    <w:uiPriority w:val="0"/>
    <w:rPr>
      <w:rFonts w:ascii="Arial" w:hAnsi="Arial" w:eastAsia="黑体"/>
      <w:sz w:val="28"/>
      <w:lang w:bidi="ar-SA"/>
    </w:rPr>
  </w:style>
  <w:style w:type="character" w:customStyle="1" w:styleId="647">
    <w:name w:val="无间隔 字符8"/>
    <w:qFormat/>
    <w:uiPriority w:val="0"/>
    <w:rPr>
      <w:sz w:val="22"/>
      <w:szCs w:val="22"/>
      <w:lang w:val="en-US" w:eastAsia="zh-CN" w:bidi="ar-SA"/>
    </w:rPr>
  </w:style>
  <w:style w:type="character" w:customStyle="1" w:styleId="648">
    <w:name w:val="font121"/>
    <w:basedOn w:val="54"/>
    <w:qFormat/>
    <w:uiPriority w:val="0"/>
    <w:rPr>
      <w:rFonts w:hint="eastAsia" w:ascii="宋体" w:hAnsi="宋体" w:eastAsia="宋体" w:cs="宋体"/>
      <w:b/>
      <w:bCs/>
      <w:color w:val="000000"/>
      <w:sz w:val="12"/>
      <w:szCs w:val="12"/>
      <w:u w:val="none"/>
    </w:rPr>
  </w:style>
  <w:style w:type="paragraph" w:customStyle="1" w:styleId="649">
    <w:name w:val="Table Text"/>
    <w:basedOn w:val="1"/>
    <w:semiHidden/>
    <w:qFormat/>
    <w:uiPriority w:val="0"/>
    <w:rPr>
      <w:rFonts w:ascii="宋体" w:hAnsi="宋体" w:cs="宋体"/>
      <w:sz w:val="20"/>
      <w:szCs w:val="20"/>
    </w:rPr>
  </w:style>
  <w:style w:type="paragraph" w:customStyle="1" w:styleId="650">
    <w:name w:val="null3"/>
    <w:basedOn w:val="1"/>
    <w:unhideWhenUsed/>
    <w:qFormat/>
    <w:uiPriority w:val="99"/>
    <w:pPr>
      <w:widowControl/>
    </w:pPr>
    <w:rPr>
      <w:rFonts w:hint="eastAsia" w:ascii="Calibri" w:hAnsi="Calibri" w:cs="Calibri"/>
      <w:sz w:val="20"/>
      <w:szCs w:val="20"/>
    </w:rPr>
  </w:style>
  <w:style w:type="paragraph" w:customStyle="1" w:styleId="651">
    <w:name w:val="列表段落11"/>
    <w:basedOn w:val="1"/>
    <w:qFormat/>
    <w:uiPriority w:val="34"/>
    <w:pPr>
      <w:ind w:firstLine="420" w:firstLineChars="200"/>
    </w:pPr>
    <w:rPr>
      <w:rFonts w:ascii="Calibri" w:hAnsi="Calibri"/>
      <w:szCs w:val="22"/>
    </w:rPr>
  </w:style>
  <w:style w:type="paragraph" w:customStyle="1" w:styleId="652">
    <w:name w:val="正文格式"/>
    <w:qFormat/>
    <w:uiPriority w:val="0"/>
    <w:pPr>
      <w:adjustRightInd w:val="0"/>
      <w:snapToGrid w:val="0"/>
      <w:spacing w:after="160" w:line="400" w:lineRule="atLeast"/>
      <w:ind w:firstLine="482"/>
      <w:jc w:val="both"/>
      <w:textAlignment w:val="baseline"/>
    </w:pPr>
    <w:rPr>
      <w:rFonts w:ascii="Times New Roman" w:hAnsi="Times New Roman" w:eastAsia="宋体" w:cs="Times New Roman"/>
      <w:sz w:val="24"/>
      <w:szCs w:val="24"/>
      <w:lang w:val="en-US" w:eastAsia="zh-CN" w:bidi="ar-SA"/>
    </w:rPr>
  </w:style>
  <w:style w:type="paragraph" w:customStyle="1" w:styleId="653">
    <w:name w:val="正文 New"/>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customStyle="1" w:styleId="654">
    <w:name w:val="15"/>
    <w:basedOn w:val="54"/>
    <w:qFormat/>
    <w:uiPriority w:val="0"/>
    <w:rPr>
      <w:rFonts w:hint="default" w:ascii="Times New Roman" w:hAnsi="Times New Roman" w:eastAsia="宋体" w:cs="Times New Roman"/>
      <w:color w:val="FF0000"/>
      <w:u w:val="single"/>
    </w:rPr>
  </w:style>
  <w:style w:type="paragraph" w:customStyle="1" w:styleId="655">
    <w:name w:val="WPSOffice手动目录 1"/>
    <w:qFormat/>
    <w:uiPriority w:val="0"/>
    <w:pPr>
      <w:spacing w:after="160" w:line="278" w:lineRule="auto"/>
    </w:pPr>
    <w:rPr>
      <w:rFonts w:ascii="Times New Roman" w:hAnsi="Times New Roman" w:eastAsia="宋体" w:cs="Times New Roman"/>
      <w:lang w:val="en-US" w:eastAsia="zh-CN" w:bidi="ar-SA"/>
    </w:rPr>
  </w:style>
  <w:style w:type="paragraph" w:customStyle="1" w:styleId="656">
    <w:name w:val="修订2"/>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657">
    <w:name w:val="未处理的提及1"/>
    <w:basedOn w:val="5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glossaryDocument" Target="glossary/document.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jpe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90900d3-30dc-446c-80a1-0d70bd9ae101}"/>
        <w:style w:val=""/>
        <w:category>
          <w:name w:val="常规"/>
          <w:gallery w:val="placeholder"/>
        </w:category>
        <w:types>
          <w:type w:val="bbPlcHdr"/>
        </w:types>
        <w:behaviors>
          <w:behavior w:val="content"/>
        </w:behaviors>
        <w:description w:val=""/>
        <w:guid w:val="{490900D3-30DC-446C-80A1-0D70BD9AE101}"/>
      </w:docPartPr>
      <w:docPartBody>
        <w:p>
          <w:pPr>
            <w:rPr>
              <w:rFonts w:hint="eastAsia"/>
            </w:rPr>
          </w:pPr>
          <w:r>
            <w:rPr>
              <w:color w:val="808080"/>
            </w:rPr>
            <w:t>单击此处输入文字。</w:t>
          </w:r>
        </w:p>
      </w:docPartBody>
    </w:docPart>
    <w:docPart>
      <w:docPartPr>
        <w:name w:val="{b8ea237b-c1ae-4bcb-bc44-5b29a3e0fd30}"/>
        <w:style w:val=""/>
        <w:category>
          <w:name w:val="常规"/>
          <w:gallery w:val="placeholder"/>
        </w:category>
        <w:types>
          <w:type w:val="bbPlcHdr"/>
        </w:types>
        <w:behaviors>
          <w:behavior w:val="content"/>
        </w:behaviors>
        <w:description w:val=""/>
        <w:guid w:val="{B8EA237B-C1AE-4BCB-BC44-5B29A3E0FD30}"/>
      </w:docPartPr>
      <w:docPartBody>
        <w:p>
          <w:pPr>
            <w:rPr>
              <w:rFonts w:hint="eastAsia"/>
            </w:rPr>
          </w:pPr>
          <w:r>
            <w:rPr>
              <w:color w:val="808080"/>
            </w:rPr>
            <w:t>单击此处输入文字。</w:t>
          </w:r>
        </w:p>
      </w:docPartBody>
    </w:docPart>
    <w:docPart>
      <w:docPartPr>
        <w:name w:val="{de75a0df-69e8-419c-b7ec-36ce2e97e090}"/>
        <w:style w:val=""/>
        <w:category>
          <w:name w:val="常规"/>
          <w:gallery w:val="placeholder"/>
        </w:category>
        <w:types>
          <w:type w:val="bbPlcHdr"/>
        </w:types>
        <w:behaviors>
          <w:behavior w:val="content"/>
        </w:behaviors>
        <w:description w:val=""/>
        <w:guid w:val="{DE75A0DF-69E8-419C-B7EC-36CE2E97E090}"/>
      </w:docPartPr>
      <w:docPartBody>
        <w:p>
          <w:pPr>
            <w:rPr>
              <w:rFonts w:hint="eastAsia"/>
            </w:rPr>
          </w:pPr>
          <w:r>
            <w:rPr>
              <w:color w:val="808080"/>
            </w:rPr>
            <w:t>单击此处输入文字。</w:t>
          </w:r>
        </w:p>
      </w:docPartBody>
    </w:docPart>
    <w:docPart>
      <w:docPartPr>
        <w:name w:val="{c13b4044-f856-4d7f-af74-3bf0ed24b96e}"/>
        <w:style w:val=""/>
        <w:category>
          <w:name w:val="常规"/>
          <w:gallery w:val="placeholder"/>
        </w:category>
        <w:types>
          <w:type w:val="bbPlcHdr"/>
        </w:types>
        <w:behaviors>
          <w:behavior w:val="content"/>
        </w:behaviors>
        <w:description w:val=""/>
        <w:guid w:val="{C13B4044-F856-4D7F-AF74-3BF0ED24B96E}"/>
      </w:docPartPr>
      <w:docPartBody>
        <w:p>
          <w:pPr>
            <w:rPr>
              <w:rFonts w:hint="eastAsia"/>
            </w:rPr>
          </w:pPr>
          <w:r>
            <w:rPr>
              <w:color w:val="808080"/>
            </w:rPr>
            <w:t>单击此处输入文字。</w:t>
          </w:r>
        </w:p>
      </w:docPartBody>
    </w:docPart>
    <w:docPart>
      <w:docPartPr>
        <w:name w:val="{f4b58236-4bc4-4180-bc8d-0a82893c1a87}"/>
        <w:style w:val=""/>
        <w:category>
          <w:name w:val="常规"/>
          <w:gallery w:val="placeholder"/>
        </w:category>
        <w:types>
          <w:type w:val="bbPlcHdr"/>
        </w:types>
        <w:behaviors>
          <w:behavior w:val="content"/>
        </w:behaviors>
        <w:description w:val=""/>
        <w:guid w:val="{F4B58236-4BC4-4180-BC8D-0A82893C1A87}"/>
      </w:docPartPr>
      <w:docPartBody>
        <w:p>
          <w:pPr>
            <w:rPr>
              <w:rFonts w:hint="eastAsia"/>
            </w:rPr>
          </w:pPr>
          <w:r>
            <w:rPr>
              <w:color w:val="808080"/>
            </w:rPr>
            <w:t>单击此处输入文字。</w:t>
          </w:r>
        </w:p>
      </w:docPartBody>
    </w:docPart>
    <w:docPart>
      <w:docPartPr>
        <w:name w:val="{caddab5e-45f0-4cf0-85a9-be1ddeb20591}"/>
        <w:style w:val=""/>
        <w:category>
          <w:name w:val="常规"/>
          <w:gallery w:val="placeholder"/>
        </w:category>
        <w:types>
          <w:type w:val="bbPlcHdr"/>
        </w:types>
        <w:behaviors>
          <w:behavior w:val="content"/>
        </w:behaviors>
        <w:description w:val=""/>
        <w:guid w:val="{CADDAB5E-45F0-4CF0-85A9-BE1DDEB20591}"/>
      </w:docPartPr>
      <w:docPartBody>
        <w:p>
          <w:pPr>
            <w:rPr>
              <w:rFonts w:hint="eastAsia"/>
            </w:rPr>
          </w:pPr>
          <w:r>
            <w:rPr>
              <w:color w:val="808080"/>
            </w:rPr>
            <w:t>单击此处输入文字。</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footnotePr>
    <w:footnote w:id="0"/>
    <w:footnote w:id="1"/>
  </w:footnotePr>
  <w:endnotePr>
    <w:endnote w:id="0"/>
    <w:endnote w:id="1"/>
  </w:endnotePr>
  <w:compat>
    <w:useFELayout/>
    <w:splitPgBreakAndParaMark/>
    <w:compatSetting w:name="compatibilityMode" w:uri="http://schemas.microsoft.com/office/word" w:val="14"/>
  </w:compat>
  <w:rsids>
    <w:rsidRoot w:val="006E094F"/>
    <w:rsid w:val="002A7C6F"/>
    <w:rsid w:val="002D3769"/>
    <w:rsid w:val="003B2BC6"/>
    <w:rsid w:val="005C3D2E"/>
    <w:rsid w:val="00676C2E"/>
    <w:rsid w:val="006D3847"/>
    <w:rsid w:val="006D3EEF"/>
    <w:rsid w:val="006E094F"/>
    <w:rsid w:val="00816D5F"/>
    <w:rsid w:val="00BD5590"/>
    <w:rsid w:val="00C76766"/>
    <w:rsid w:val="00E46B89"/>
    <w:rsid w:val="00F573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spacing w:after="160" w:line="278" w:lineRule="auto"/>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74</Pages>
  <Words>11861</Words>
  <Characters>13279</Characters>
  <Lines>1348</Lines>
  <Paragraphs>1258</Paragraphs>
  <TotalTime>94</TotalTime>
  <ScaleCrop>false</ScaleCrop>
  <LinksUpToDate>false</LinksUpToDate>
  <CharactersWithSpaces>13744</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2022-06-01T19:06:00Z</dcterms:created>
  <dc:creator>聂泉源</dc:creator>
  <cp:lastModifiedBy>gxxc</cp:lastModifiedBy>
  <cp:lastPrinted>2026-02-09T16:29:00Z</cp:lastPrinted>
  <dcterms:modified xsi:type="dcterms:W3CDTF">2026-08-07T16:59:34Z</dcterms:modified>
  <dc:title>3</dc:title>
  <cp:revision>221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KSOTemplateDocerSaveRecord">
    <vt:lpwstr>eyJoZGlkIjoiMzVhMTA3NGIwZWU4MTMwOTY4OTZhZDU3MDY1ZjUyNTQiLCJ1c2VySWQiOiIxNzg5NTQ0MzU2In0=</vt:lpwstr>
  </property>
  <property fmtid="{D5CDD505-2E9C-101B-9397-08002B2CF9AE}" pid="4" name="ICV">
    <vt:lpwstr>A75BBF1BE42143D1978A4B44F0CADCE7_13</vt:lpwstr>
  </property>
</Properties>
</file>