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0C29E">
      <w:pPr>
        <w:spacing w:line="400" w:lineRule="exact"/>
        <w:rPr>
          <w:rFonts w:hint="eastAsia" w:ascii="宋体" w:hAnsi="宋体" w:cs="宋体"/>
          <w:color w:val="auto"/>
          <w:sz w:val="21"/>
          <w:szCs w:val="21"/>
          <w:highlight w:val="none"/>
        </w:rPr>
      </w:pPr>
    </w:p>
    <w:p w14:paraId="5F37A0F4">
      <w:pPr>
        <w:spacing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2643225C">
      <w:pPr>
        <w:spacing w:before="156"/>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竞争性磋商文件</w:t>
      </w:r>
    </w:p>
    <w:p w14:paraId="46DB17FE">
      <w:pPr>
        <w:spacing w:before="156"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7A58807B">
      <w:pPr>
        <w:pStyle w:val="11"/>
        <w:spacing w:before="120" w:after="120" w:line="360" w:lineRule="auto"/>
        <w:ind w:firstLine="1046" w:firstLineChars="496"/>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p>
    <w:p w14:paraId="7E4B52ED">
      <w:pPr>
        <w:pStyle w:val="11"/>
        <w:spacing w:before="120" w:after="120" w:line="360" w:lineRule="auto"/>
        <w:ind w:firstLine="1046" w:firstLineChars="496"/>
        <w:rPr>
          <w:rFonts w:hint="eastAsia" w:hAnsi="宋体" w:cs="宋体"/>
          <w:b/>
          <w:bCs/>
          <w:color w:val="auto"/>
          <w:sz w:val="21"/>
          <w:szCs w:val="21"/>
          <w:highlight w:val="none"/>
        </w:rPr>
      </w:pPr>
      <w:r>
        <w:rPr>
          <w:rFonts w:hint="eastAsia" w:hAnsi="宋体" w:cs="宋体"/>
          <w:b/>
          <w:bCs/>
          <w:color w:val="auto"/>
          <w:sz w:val="21"/>
          <w:szCs w:val="21"/>
          <w:highlight w:val="none"/>
        </w:rPr>
        <w:t xml:space="preserve"> </w:t>
      </w:r>
    </w:p>
    <w:p w14:paraId="49CBEB7A">
      <w:pPr>
        <w:spacing w:before="156" w:line="360" w:lineRule="auto"/>
        <w:ind w:firstLine="1274" w:firstLineChars="423"/>
        <w:rPr>
          <w:rFonts w:hint="eastAsia" w:ascii="宋体" w:hAnsi="宋体" w:cs="宋体"/>
          <w:b/>
          <w:bCs/>
          <w:color w:val="auto"/>
          <w:sz w:val="30"/>
          <w:szCs w:val="30"/>
          <w:highlight w:val="none"/>
          <w:lang w:val="en"/>
        </w:rPr>
      </w:pPr>
      <w:r>
        <w:rPr>
          <w:rFonts w:hint="eastAsia" w:ascii="宋体" w:hAnsi="宋体" w:cs="宋体"/>
          <w:b/>
          <w:bCs/>
          <w:color w:val="auto"/>
          <w:sz w:val="30"/>
          <w:szCs w:val="30"/>
          <w:highlight w:val="none"/>
        </w:rPr>
        <w:t>项目编号：</w:t>
      </w:r>
      <w:r>
        <w:rPr>
          <w:rFonts w:hint="eastAsia" w:ascii="宋体" w:hAnsi="宋体" w:eastAsia="宋体" w:cs="宋体"/>
          <w:b/>
          <w:bCs/>
          <w:color w:val="auto"/>
          <w:sz w:val="30"/>
          <w:szCs w:val="30"/>
          <w:highlight w:val="none"/>
        </w:rPr>
        <w:t>GXZC2026-C3-001485-CGZX</w:t>
      </w:r>
    </w:p>
    <w:p w14:paraId="1A0FAB82">
      <w:pPr>
        <w:spacing w:before="156" w:line="360" w:lineRule="auto"/>
        <w:ind w:firstLine="904" w:firstLineChars="300"/>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项目名称：广西壮族自治区</w:t>
      </w:r>
      <w:r>
        <w:rPr>
          <w:rFonts w:hint="eastAsia" w:ascii="宋体" w:hAnsi="宋体" w:cs="宋体"/>
          <w:b/>
          <w:bCs/>
          <w:color w:val="auto"/>
          <w:sz w:val="30"/>
          <w:szCs w:val="30"/>
          <w:highlight w:val="none"/>
          <w:lang w:eastAsia="zh-CN"/>
        </w:rPr>
        <w:t>卫</w:t>
      </w:r>
      <w:r>
        <w:rPr>
          <w:rFonts w:hint="eastAsia" w:ascii="宋体" w:hAnsi="宋体" w:cs="宋体"/>
          <w:b/>
          <w:bCs/>
          <w:color w:val="auto"/>
          <w:sz w:val="30"/>
          <w:szCs w:val="30"/>
          <w:highlight w:val="none"/>
          <w:lang w:val="en-US" w:eastAsia="zh-CN"/>
        </w:rPr>
        <w:t>生</w:t>
      </w:r>
      <w:r>
        <w:rPr>
          <w:rFonts w:hint="eastAsia" w:ascii="宋体" w:hAnsi="宋体" w:cs="宋体"/>
          <w:b/>
          <w:bCs/>
          <w:color w:val="auto"/>
          <w:sz w:val="30"/>
          <w:szCs w:val="30"/>
          <w:highlight w:val="none"/>
          <w:lang w:eastAsia="zh-CN"/>
        </w:rPr>
        <w:t>健</w:t>
      </w:r>
      <w:r>
        <w:rPr>
          <w:rFonts w:hint="eastAsia" w:ascii="宋体" w:hAnsi="宋体" w:cs="宋体"/>
          <w:b/>
          <w:bCs/>
          <w:color w:val="auto"/>
          <w:sz w:val="30"/>
          <w:szCs w:val="30"/>
          <w:highlight w:val="none"/>
          <w:lang w:val="en-US" w:eastAsia="zh-CN"/>
        </w:rPr>
        <w:t>康</w:t>
      </w:r>
      <w:r>
        <w:rPr>
          <w:rFonts w:hint="eastAsia" w:ascii="宋体" w:hAnsi="宋体" w:cs="宋体"/>
          <w:b/>
          <w:bCs/>
          <w:color w:val="auto"/>
          <w:sz w:val="30"/>
          <w:szCs w:val="30"/>
          <w:highlight w:val="none"/>
          <w:lang w:eastAsia="zh-CN"/>
        </w:rPr>
        <w:t>委</w:t>
      </w:r>
      <w:r>
        <w:rPr>
          <w:rFonts w:hint="eastAsia" w:ascii="宋体" w:hAnsi="宋体" w:cs="宋体"/>
          <w:b/>
          <w:bCs/>
          <w:color w:val="auto"/>
          <w:sz w:val="30"/>
          <w:szCs w:val="30"/>
          <w:highlight w:val="none"/>
          <w:lang w:val="en-US" w:eastAsia="zh-CN"/>
        </w:rPr>
        <w:t>员会</w:t>
      </w:r>
      <w:r>
        <w:rPr>
          <w:rFonts w:hint="eastAsia" w:ascii="宋体" w:hAnsi="宋体" w:cs="宋体"/>
          <w:b/>
          <w:bCs/>
          <w:color w:val="auto"/>
          <w:sz w:val="30"/>
          <w:szCs w:val="30"/>
          <w:highlight w:val="none"/>
          <w:lang w:eastAsia="zh-CN"/>
        </w:rPr>
        <w:t>幼儿园</w:t>
      </w:r>
      <w:r>
        <w:rPr>
          <w:rFonts w:hint="eastAsia" w:ascii="宋体" w:hAnsi="宋体" w:cs="宋体"/>
          <w:b/>
          <w:bCs/>
          <w:color w:val="auto"/>
          <w:sz w:val="30"/>
          <w:szCs w:val="30"/>
          <w:highlight w:val="none"/>
        </w:rPr>
        <w:t>物业</w:t>
      </w:r>
    </w:p>
    <w:p w14:paraId="267100F2">
      <w:pPr>
        <w:spacing w:before="156" w:line="360" w:lineRule="auto"/>
        <w:ind w:firstLine="904" w:firstLineChars="300"/>
        <w:rPr>
          <w:rFonts w:hint="eastAsia" w:ascii="宋体" w:hAnsi="宋体" w:cs="宋体"/>
          <w:b/>
          <w:bCs/>
          <w:color w:val="auto"/>
          <w:sz w:val="30"/>
          <w:szCs w:val="30"/>
          <w:highlight w:val="none"/>
          <w:lang w:val="en"/>
        </w:rPr>
      </w:pP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服务采购</w:t>
      </w:r>
    </w:p>
    <w:p w14:paraId="27710198">
      <w:pPr>
        <w:spacing w:before="156" w:line="360" w:lineRule="auto"/>
        <w:rPr>
          <w:rFonts w:hint="eastAsia"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rPr>
        <w:t xml:space="preserve">        采 购 人：广西壮族自治区</w:t>
      </w:r>
      <w:r>
        <w:rPr>
          <w:rFonts w:hint="eastAsia" w:ascii="宋体" w:hAnsi="宋体" w:cs="宋体"/>
          <w:b/>
          <w:bCs/>
          <w:color w:val="auto"/>
          <w:sz w:val="30"/>
          <w:szCs w:val="30"/>
          <w:highlight w:val="none"/>
          <w:lang w:eastAsia="zh-CN"/>
        </w:rPr>
        <w:t>卫生健康委员会</w:t>
      </w:r>
      <w:r>
        <w:rPr>
          <w:rFonts w:hint="eastAsia" w:ascii="宋体" w:hAnsi="宋体" w:cs="宋体"/>
          <w:b/>
          <w:bCs/>
          <w:color w:val="auto"/>
          <w:sz w:val="30"/>
          <w:szCs w:val="30"/>
          <w:highlight w:val="none"/>
          <w:lang w:val="en-US" w:eastAsia="zh-CN"/>
        </w:rPr>
        <w:t>幼儿园</w:t>
      </w:r>
    </w:p>
    <w:p w14:paraId="7A2D3B90">
      <w:pPr>
        <w:spacing w:before="156" w:line="360" w:lineRule="auto"/>
        <w:ind w:firstLine="1506" w:firstLineChars="500"/>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p w14:paraId="4D1A647F">
      <w:pPr>
        <w:spacing w:before="156" w:line="360" w:lineRule="auto"/>
        <w:ind w:firstLine="1506" w:firstLineChars="500"/>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p w14:paraId="438C513B">
      <w:pPr>
        <w:spacing w:before="156" w:line="360" w:lineRule="auto"/>
        <w:ind w:firstLine="1506" w:firstLineChars="500"/>
        <w:rPr>
          <w:rFonts w:hint="eastAsia" w:ascii="宋体" w:hAnsi="宋体" w:cs="宋体"/>
          <w:b/>
          <w:bCs/>
          <w:color w:val="auto"/>
          <w:sz w:val="30"/>
          <w:szCs w:val="30"/>
          <w:highlight w:val="none"/>
        </w:rPr>
      </w:pPr>
    </w:p>
    <w:p w14:paraId="7D2E2159">
      <w:pPr>
        <w:spacing w:before="156" w:line="360" w:lineRule="auto"/>
        <w:ind w:firstLine="1506" w:firstLineChars="500"/>
        <w:rPr>
          <w:rFonts w:hint="eastAsia" w:ascii="宋体" w:hAnsi="宋体" w:cs="宋体"/>
          <w:b/>
          <w:bCs/>
          <w:color w:val="auto"/>
          <w:sz w:val="30"/>
          <w:szCs w:val="30"/>
          <w:highlight w:val="none"/>
        </w:rPr>
      </w:pPr>
    </w:p>
    <w:p w14:paraId="499FA827">
      <w:pPr>
        <w:spacing w:before="156" w:line="360" w:lineRule="auto"/>
        <w:ind w:firstLine="1506" w:firstLineChars="500"/>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p w14:paraId="538423B6">
      <w:pPr>
        <w:spacing w:before="156" w:line="360" w:lineRule="auto"/>
        <w:ind w:firstLine="1506" w:firstLineChars="500"/>
        <w:rPr>
          <w:rFonts w:hint="eastAsia" w:ascii="宋体" w:hAnsi="宋体" w:cs="宋体"/>
          <w:b/>
          <w:bCs/>
          <w:color w:val="auto"/>
          <w:sz w:val="30"/>
          <w:szCs w:val="30"/>
          <w:highlight w:val="none"/>
        </w:rPr>
      </w:pPr>
    </w:p>
    <w:p w14:paraId="0ED97636">
      <w:pPr>
        <w:spacing w:before="156" w:line="360" w:lineRule="auto"/>
        <w:ind w:firstLine="1506" w:firstLineChars="500"/>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采购代理机构：广西壮族自治区政府采购中心</w:t>
      </w:r>
    </w:p>
    <w:p w14:paraId="3039CBEC">
      <w:pPr>
        <w:spacing w:before="156"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en"/>
        </w:rPr>
        <w:t>202</w:t>
      </w:r>
      <w:r>
        <w:rPr>
          <w:rFonts w:hint="eastAsia" w:ascii="宋体" w:hAnsi="宋体" w:cs="宋体"/>
          <w:b/>
          <w:bCs/>
          <w:color w:val="auto"/>
          <w:sz w:val="30"/>
          <w:szCs w:val="30"/>
          <w:highlight w:val="none"/>
          <w:lang w:val="en-US" w:eastAsia="zh-CN"/>
        </w:rPr>
        <w:t>6</w:t>
      </w:r>
      <w:r>
        <w:rPr>
          <w:rFonts w:hint="eastAsia" w:ascii="宋体" w:hAnsi="宋体" w:cs="宋体"/>
          <w:b/>
          <w:bCs/>
          <w:color w:val="auto"/>
          <w:sz w:val="30"/>
          <w:szCs w:val="30"/>
          <w:highlight w:val="none"/>
          <w:lang w:val="en"/>
        </w:rPr>
        <w:t>年</w:t>
      </w:r>
      <w:r>
        <w:rPr>
          <w:rFonts w:hint="eastAsia" w:ascii="宋体" w:hAnsi="宋体" w:cs="宋体"/>
          <w:b/>
          <w:bCs/>
          <w:color w:val="auto"/>
          <w:sz w:val="30"/>
          <w:szCs w:val="30"/>
          <w:highlight w:val="none"/>
          <w:lang w:val="en-US" w:eastAsia="zh-CN"/>
        </w:rPr>
        <w:t>5</w:t>
      </w:r>
      <w:r>
        <w:rPr>
          <w:rFonts w:hint="eastAsia" w:ascii="宋体" w:hAnsi="宋体" w:cs="宋体"/>
          <w:b/>
          <w:bCs/>
          <w:color w:val="auto"/>
          <w:sz w:val="30"/>
          <w:szCs w:val="30"/>
          <w:highlight w:val="none"/>
        </w:rPr>
        <w:t>月</w:t>
      </w:r>
    </w:p>
    <w:p w14:paraId="17A2E014">
      <w:pPr>
        <w:spacing w:line="400" w:lineRule="exact"/>
        <w:jc w:val="center"/>
        <w:rPr>
          <w:rFonts w:hint="eastAsia" w:ascii="宋体" w:hAnsi="宋体" w:cs="宋体"/>
          <w:b/>
          <w:bCs/>
          <w:color w:val="auto"/>
          <w:sz w:val="21"/>
          <w:szCs w:val="21"/>
          <w:highlight w:val="none"/>
        </w:rPr>
      </w:pPr>
    </w:p>
    <w:p w14:paraId="746A3475">
      <w:pPr>
        <w:spacing w:line="400" w:lineRule="exact"/>
        <w:jc w:val="both"/>
        <w:rPr>
          <w:rFonts w:hint="eastAsia" w:ascii="宋体" w:hAnsi="宋体" w:cs="宋体"/>
          <w:b/>
          <w:bCs/>
          <w:color w:val="auto"/>
          <w:sz w:val="21"/>
          <w:szCs w:val="21"/>
          <w:highlight w:val="none"/>
        </w:rPr>
      </w:pPr>
    </w:p>
    <w:p w14:paraId="512711A8">
      <w:pPr>
        <w:spacing w:line="400" w:lineRule="exact"/>
        <w:jc w:val="center"/>
        <w:rPr>
          <w:rFonts w:hint="eastAsia" w:ascii="宋体" w:hAnsi="宋体" w:cs="宋体"/>
          <w:b/>
          <w:bCs/>
          <w:color w:val="auto"/>
          <w:sz w:val="21"/>
          <w:szCs w:val="21"/>
          <w:highlight w:val="none"/>
        </w:rPr>
        <w:sectPr>
          <w:headerReference r:id="rId5" w:type="first"/>
          <w:headerReference r:id="rId3" w:type="default"/>
          <w:headerReference r:id="rId4" w:type="even"/>
          <w:footerReference r:id="rId6" w:type="even"/>
          <w:pgSz w:w="11906" w:h="16838"/>
          <w:pgMar w:top="1247" w:right="1247" w:bottom="1247" w:left="1247" w:header="851" w:footer="992" w:gutter="0"/>
          <w:cols w:space="720" w:num="1"/>
          <w:titlePg/>
          <w:docGrid w:type="lines" w:linePitch="312" w:charSpace="0"/>
        </w:sectPr>
      </w:pPr>
    </w:p>
    <w:p w14:paraId="2C7EB859">
      <w:pPr>
        <w:spacing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47264007">
      <w:pPr>
        <w:spacing w:line="400" w:lineRule="exact"/>
        <w:jc w:val="center"/>
        <w:rPr>
          <w:rFonts w:hint="eastAsia" w:ascii="宋体" w:hAnsi="宋体" w:cs="宋体"/>
          <w:b/>
          <w:bCs/>
          <w:color w:val="auto"/>
          <w:sz w:val="28"/>
          <w:szCs w:val="28"/>
          <w:highlight w:val="none"/>
        </w:rPr>
      </w:pPr>
    </w:p>
    <w:p w14:paraId="238474D5">
      <w:pPr>
        <w:pStyle w:val="15"/>
        <w:jc w:val="center"/>
        <w:rPr>
          <w:rFonts w:hint="eastAsia" w:ascii="宋体" w:hAnsi="宋体" w:cs="宋体"/>
          <w:b/>
          <w:bCs/>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 \l "_Toc18481384#_Toc18481384" </w:instrText>
      </w:r>
      <w:r>
        <w:rPr>
          <w:rFonts w:hint="eastAsia" w:ascii="宋体" w:hAnsi="宋体" w:cs="宋体"/>
          <w:color w:val="auto"/>
          <w:sz w:val="28"/>
          <w:szCs w:val="28"/>
          <w:highlight w:val="none"/>
        </w:rPr>
        <w:fldChar w:fldCharType="separate"/>
      </w:r>
      <w:r>
        <w:rPr>
          <w:rStyle w:val="54"/>
          <w:rFonts w:hint="eastAsia" w:ascii="宋体" w:hAnsi="宋体" w:cs="宋体"/>
          <w:b/>
          <w:bCs/>
          <w:color w:val="auto"/>
          <w:sz w:val="28"/>
          <w:szCs w:val="28"/>
          <w:highlight w:val="none"/>
          <w:u w:val="none"/>
        </w:rPr>
        <w:t>第一章  竞争性磋商公告</w:t>
      </w:r>
      <w:r>
        <w:rPr>
          <w:rStyle w:val="29"/>
          <w:rFonts w:hint="eastAsia" w:ascii="宋体" w:hAnsi="宋体" w:cs="宋体"/>
          <w:b/>
          <w:bCs/>
          <w:color w:val="auto"/>
          <w:sz w:val="28"/>
          <w:szCs w:val="28"/>
          <w:highlight w:val="none"/>
          <w:u w:val="none"/>
        </w:rPr>
        <w:t>………………………………………1</w:t>
      </w:r>
      <w:r>
        <w:rPr>
          <w:rFonts w:hint="eastAsia" w:ascii="宋体" w:hAnsi="宋体" w:cs="宋体"/>
          <w:color w:val="auto"/>
          <w:sz w:val="28"/>
          <w:szCs w:val="28"/>
          <w:highlight w:val="none"/>
        </w:rPr>
        <w:fldChar w:fldCharType="end"/>
      </w:r>
    </w:p>
    <w:p w14:paraId="769393F9">
      <w:pPr>
        <w:pStyle w:val="15"/>
        <w:jc w:val="center"/>
        <w:rPr>
          <w:rFonts w:hint="eastAsia" w:ascii="宋体" w:hAnsi="宋体" w:cs="宋体"/>
          <w:b/>
          <w:bCs/>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 \l "_Toc18481385#_Toc18481385" </w:instrText>
      </w:r>
      <w:r>
        <w:rPr>
          <w:rFonts w:hint="eastAsia" w:ascii="宋体" w:hAnsi="宋体" w:cs="宋体"/>
          <w:color w:val="auto"/>
          <w:sz w:val="28"/>
          <w:szCs w:val="28"/>
          <w:highlight w:val="none"/>
        </w:rPr>
        <w:fldChar w:fldCharType="separate"/>
      </w:r>
      <w:r>
        <w:rPr>
          <w:rStyle w:val="54"/>
          <w:rFonts w:hint="eastAsia" w:ascii="宋体" w:hAnsi="宋体" w:cs="宋体"/>
          <w:b/>
          <w:bCs/>
          <w:color w:val="auto"/>
          <w:sz w:val="28"/>
          <w:szCs w:val="28"/>
          <w:highlight w:val="none"/>
          <w:u w:val="none"/>
        </w:rPr>
        <w:t>第二章  供应商须知</w:t>
      </w:r>
      <w:r>
        <w:rPr>
          <w:rStyle w:val="29"/>
          <w:rFonts w:hint="eastAsia" w:ascii="宋体" w:hAnsi="宋体" w:cs="宋体"/>
          <w:b/>
          <w:bCs/>
          <w:color w:val="auto"/>
          <w:sz w:val="28"/>
          <w:szCs w:val="28"/>
          <w:highlight w:val="none"/>
          <w:u w:val="none"/>
        </w:rPr>
        <w:t>……………………………………………4</w:t>
      </w:r>
      <w:r>
        <w:rPr>
          <w:rFonts w:hint="eastAsia" w:ascii="宋体" w:hAnsi="宋体" w:cs="宋体"/>
          <w:color w:val="auto"/>
          <w:sz w:val="28"/>
          <w:szCs w:val="28"/>
          <w:highlight w:val="none"/>
        </w:rPr>
        <w:fldChar w:fldCharType="end"/>
      </w:r>
    </w:p>
    <w:p w14:paraId="6637BF5D">
      <w:pPr>
        <w:pStyle w:val="15"/>
        <w:jc w:val="center"/>
        <w:rPr>
          <w:rFonts w:hint="eastAsia" w:ascii="宋体" w:hAnsi="宋体" w:cs="宋体"/>
          <w:b/>
          <w:bCs/>
          <w:color w:val="auto"/>
          <w:sz w:val="28"/>
          <w:szCs w:val="28"/>
          <w:highlight w:val="none"/>
          <w:lang w:val="e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 \l "_Toc18481386#_Toc18481386" </w:instrText>
      </w:r>
      <w:r>
        <w:rPr>
          <w:rFonts w:hint="eastAsia" w:ascii="宋体" w:hAnsi="宋体" w:cs="宋体"/>
          <w:color w:val="auto"/>
          <w:sz w:val="28"/>
          <w:szCs w:val="28"/>
          <w:highlight w:val="none"/>
        </w:rPr>
        <w:fldChar w:fldCharType="separate"/>
      </w:r>
      <w:r>
        <w:rPr>
          <w:rStyle w:val="54"/>
          <w:rFonts w:hint="eastAsia" w:ascii="宋体" w:hAnsi="宋体" w:cs="宋体"/>
          <w:b/>
          <w:bCs/>
          <w:color w:val="auto"/>
          <w:sz w:val="28"/>
          <w:szCs w:val="28"/>
          <w:highlight w:val="none"/>
          <w:u w:val="none"/>
        </w:rPr>
        <w:t>第三章  采购需求</w:t>
      </w:r>
      <w:r>
        <w:rPr>
          <w:rStyle w:val="29"/>
          <w:rFonts w:hint="eastAsia" w:ascii="宋体" w:hAnsi="宋体" w:cs="宋体"/>
          <w:b/>
          <w:bCs/>
          <w:color w:val="auto"/>
          <w:sz w:val="28"/>
          <w:szCs w:val="28"/>
          <w:highlight w:val="none"/>
          <w:u w:val="none"/>
        </w:rPr>
        <w:t>………………………………………</w:t>
      </w:r>
      <w:bookmarkStart w:id="0" w:name="_Hlt100905227"/>
      <w:bookmarkStart w:id="1" w:name="_Hlt100905226"/>
      <w:r>
        <w:rPr>
          <w:rStyle w:val="29"/>
          <w:rFonts w:hint="eastAsia" w:ascii="宋体" w:hAnsi="宋体" w:cs="宋体"/>
          <w:b/>
          <w:bCs/>
          <w:color w:val="auto"/>
          <w:sz w:val="28"/>
          <w:szCs w:val="28"/>
          <w:highlight w:val="none"/>
          <w:u w:val="none"/>
        </w:rPr>
        <w:t>…</w:t>
      </w:r>
      <w:bookmarkEnd w:id="0"/>
      <w:bookmarkEnd w:id="1"/>
      <w:r>
        <w:rPr>
          <w:rStyle w:val="29"/>
          <w:rFonts w:hint="eastAsia" w:ascii="宋体" w:hAnsi="宋体" w:cs="宋体"/>
          <w:b/>
          <w:bCs/>
          <w:color w:val="auto"/>
          <w:sz w:val="28"/>
          <w:szCs w:val="28"/>
          <w:highlight w:val="none"/>
          <w:u w:val="none"/>
        </w:rPr>
        <w:t>……</w:t>
      </w:r>
      <w:r>
        <w:rPr>
          <w:rStyle w:val="29"/>
          <w:rFonts w:hint="eastAsia" w:ascii="宋体" w:hAnsi="宋体" w:cs="宋体"/>
          <w:b/>
          <w:bCs/>
          <w:color w:val="auto"/>
          <w:sz w:val="28"/>
          <w:szCs w:val="28"/>
          <w:highlight w:val="none"/>
          <w:u w:val="none"/>
          <w:lang w:val="en"/>
        </w:rPr>
        <w:t>1</w:t>
      </w:r>
      <w:r>
        <w:rPr>
          <w:rFonts w:hint="eastAsia" w:ascii="宋体" w:hAnsi="宋体" w:cs="宋体"/>
          <w:color w:val="auto"/>
          <w:sz w:val="28"/>
          <w:szCs w:val="28"/>
          <w:highlight w:val="none"/>
        </w:rPr>
        <w:fldChar w:fldCharType="end"/>
      </w:r>
      <w:r>
        <w:rPr>
          <w:rFonts w:hint="eastAsia" w:ascii="宋体" w:hAnsi="宋体" w:cs="宋体"/>
          <w:b/>
          <w:bCs/>
          <w:color w:val="auto"/>
          <w:sz w:val="28"/>
          <w:szCs w:val="28"/>
          <w:highlight w:val="none"/>
        </w:rPr>
        <w:t>6</w:t>
      </w:r>
    </w:p>
    <w:p w14:paraId="3999CA76">
      <w:pPr>
        <w:pStyle w:val="15"/>
        <w:jc w:val="center"/>
        <w:rPr>
          <w:rFonts w:hint="eastAsia" w:ascii="宋体" w:hAnsi="宋体" w:eastAsia="宋体" w:cs="宋体"/>
          <w:b/>
          <w:bCs/>
          <w:color w:val="auto"/>
          <w:sz w:val="28"/>
          <w:szCs w:val="28"/>
          <w:highlight w:val="none"/>
          <w:lang w:val="en-US" w:eastAsia="zh-C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 \l "_Toc18481387#_Toc18481387" </w:instrText>
      </w:r>
      <w:r>
        <w:rPr>
          <w:rFonts w:hint="eastAsia" w:ascii="宋体" w:hAnsi="宋体" w:cs="宋体"/>
          <w:color w:val="auto"/>
          <w:sz w:val="28"/>
          <w:szCs w:val="28"/>
          <w:highlight w:val="none"/>
        </w:rPr>
        <w:fldChar w:fldCharType="separate"/>
      </w:r>
      <w:r>
        <w:rPr>
          <w:rStyle w:val="54"/>
          <w:rFonts w:hint="eastAsia" w:ascii="宋体" w:hAnsi="宋体" w:cs="宋体"/>
          <w:b/>
          <w:bCs/>
          <w:color w:val="auto"/>
          <w:sz w:val="28"/>
          <w:szCs w:val="28"/>
          <w:highlight w:val="none"/>
          <w:u w:val="none"/>
        </w:rPr>
        <w:t>第四章  竞争性磋商响应</w:t>
      </w:r>
      <w:bookmarkStart w:id="2" w:name="_Hlt100905241"/>
      <w:r>
        <w:rPr>
          <w:rStyle w:val="54"/>
          <w:rFonts w:hint="eastAsia" w:ascii="宋体" w:hAnsi="宋体" w:cs="宋体"/>
          <w:b/>
          <w:bCs/>
          <w:color w:val="auto"/>
          <w:sz w:val="28"/>
          <w:szCs w:val="28"/>
          <w:highlight w:val="none"/>
          <w:u w:val="none"/>
        </w:rPr>
        <w:t>文</w:t>
      </w:r>
      <w:bookmarkEnd w:id="2"/>
      <w:r>
        <w:rPr>
          <w:rStyle w:val="54"/>
          <w:rFonts w:hint="eastAsia" w:ascii="宋体" w:hAnsi="宋体" w:cs="宋体"/>
          <w:b/>
          <w:bCs/>
          <w:color w:val="auto"/>
          <w:sz w:val="28"/>
          <w:szCs w:val="28"/>
          <w:highlight w:val="none"/>
          <w:u w:val="none"/>
        </w:rPr>
        <w:t>件格式</w:t>
      </w:r>
      <w:r>
        <w:rPr>
          <w:rStyle w:val="29"/>
          <w:rFonts w:hint="eastAsia" w:ascii="宋体" w:hAnsi="宋体" w:cs="宋体"/>
          <w:b/>
          <w:bCs/>
          <w:color w:val="auto"/>
          <w:sz w:val="28"/>
          <w:szCs w:val="28"/>
          <w:highlight w:val="none"/>
          <w:u w:val="none"/>
        </w:rPr>
        <w:t>……………</w:t>
      </w:r>
      <w:bookmarkStart w:id="3" w:name="_Hlt100905233"/>
      <w:r>
        <w:rPr>
          <w:rStyle w:val="29"/>
          <w:rFonts w:hint="eastAsia" w:ascii="宋体" w:hAnsi="宋体" w:cs="宋体"/>
          <w:b/>
          <w:bCs/>
          <w:color w:val="auto"/>
          <w:sz w:val="28"/>
          <w:szCs w:val="28"/>
          <w:highlight w:val="none"/>
          <w:u w:val="none"/>
        </w:rPr>
        <w:t>…</w:t>
      </w:r>
      <w:bookmarkEnd w:id="3"/>
      <w:r>
        <w:rPr>
          <w:rStyle w:val="29"/>
          <w:rFonts w:hint="eastAsia" w:ascii="宋体" w:hAnsi="宋体" w:cs="宋体"/>
          <w:b/>
          <w:bCs/>
          <w:color w:val="auto"/>
          <w:sz w:val="28"/>
          <w:szCs w:val="28"/>
          <w:highlight w:val="none"/>
          <w:u w:val="none"/>
        </w:rPr>
        <w:t>……………</w:t>
      </w:r>
      <w:r>
        <w:rPr>
          <w:rStyle w:val="29"/>
          <w:rFonts w:hint="eastAsia" w:ascii="宋体" w:hAnsi="宋体" w:cs="宋体"/>
          <w:b/>
          <w:bCs/>
          <w:color w:val="auto"/>
          <w:sz w:val="28"/>
          <w:szCs w:val="28"/>
          <w:highlight w:val="none"/>
          <w:u w:val="none"/>
          <w:lang w:val="en-US" w:eastAsia="zh-CN"/>
        </w:rPr>
        <w:t>3</w:t>
      </w:r>
      <w:r>
        <w:rPr>
          <w:rFonts w:hint="eastAsia" w:ascii="宋体" w:hAnsi="宋体" w:cs="宋体"/>
          <w:color w:val="auto"/>
          <w:sz w:val="28"/>
          <w:szCs w:val="28"/>
          <w:highlight w:val="none"/>
        </w:rPr>
        <w:fldChar w:fldCharType="end"/>
      </w:r>
      <w:r>
        <w:rPr>
          <w:rStyle w:val="29"/>
          <w:rFonts w:hint="eastAsia" w:ascii="宋体" w:hAnsi="宋体" w:eastAsia="宋体" w:cs="宋体"/>
          <w:b/>
          <w:bCs/>
          <w:color w:val="auto"/>
          <w:sz w:val="28"/>
          <w:szCs w:val="28"/>
          <w:highlight w:val="none"/>
          <w:u w:val="none"/>
          <w:lang w:val="en-US" w:eastAsia="zh-CN"/>
        </w:rPr>
        <w:t>2</w:t>
      </w:r>
    </w:p>
    <w:p w14:paraId="7D57057B">
      <w:pPr>
        <w:pStyle w:val="15"/>
        <w:jc w:val="center"/>
        <w:rPr>
          <w:rFonts w:hint="eastAsia" w:ascii="宋体" w:hAnsi="宋体" w:eastAsia="宋体" w:cs="宋体"/>
          <w:b/>
          <w:bCs/>
          <w:color w:val="auto"/>
          <w:sz w:val="28"/>
          <w:szCs w:val="28"/>
          <w:highlight w:val="none"/>
          <w:lang w:val="en-US" w:eastAsia="zh-CN"/>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 \l "_Toc18481388#_Toc18481388" </w:instrText>
      </w:r>
      <w:r>
        <w:rPr>
          <w:rFonts w:hint="eastAsia" w:ascii="宋体" w:hAnsi="宋体" w:cs="宋体"/>
          <w:color w:val="auto"/>
          <w:sz w:val="28"/>
          <w:szCs w:val="28"/>
          <w:highlight w:val="none"/>
        </w:rPr>
        <w:fldChar w:fldCharType="separate"/>
      </w:r>
      <w:r>
        <w:rPr>
          <w:rStyle w:val="54"/>
          <w:rFonts w:hint="eastAsia" w:ascii="宋体" w:hAnsi="宋体" w:cs="宋体"/>
          <w:b/>
          <w:bCs/>
          <w:color w:val="auto"/>
          <w:sz w:val="28"/>
          <w:szCs w:val="28"/>
          <w:highlight w:val="none"/>
          <w:u w:val="none"/>
        </w:rPr>
        <w:t>第五章  合同主要条款</w:t>
      </w:r>
      <w:r>
        <w:rPr>
          <w:rStyle w:val="29"/>
          <w:rFonts w:hint="eastAsia" w:ascii="宋体" w:hAnsi="宋体" w:cs="宋体"/>
          <w:b/>
          <w:bCs/>
          <w:color w:val="auto"/>
          <w:sz w:val="28"/>
          <w:szCs w:val="28"/>
          <w:highlight w:val="none"/>
          <w:u w:val="none"/>
        </w:rPr>
        <w:t>…………………………………………</w:t>
      </w:r>
      <w:r>
        <w:rPr>
          <w:rStyle w:val="29"/>
          <w:rFonts w:hint="eastAsia" w:ascii="宋体" w:hAnsi="宋体" w:cs="宋体"/>
          <w:b/>
          <w:bCs/>
          <w:color w:val="auto"/>
          <w:sz w:val="28"/>
          <w:szCs w:val="28"/>
          <w:highlight w:val="none"/>
          <w:u w:val="none"/>
          <w:lang w:val="en-US" w:eastAsia="zh-CN"/>
        </w:rPr>
        <w:t>4</w:t>
      </w:r>
      <w:r>
        <w:rPr>
          <w:rFonts w:hint="eastAsia" w:ascii="宋体" w:hAnsi="宋体" w:cs="宋体"/>
          <w:color w:val="auto"/>
          <w:sz w:val="28"/>
          <w:szCs w:val="28"/>
          <w:highlight w:val="none"/>
        </w:rPr>
        <w:fldChar w:fldCharType="end"/>
      </w:r>
      <w:r>
        <w:rPr>
          <w:rStyle w:val="29"/>
          <w:rFonts w:hint="eastAsia" w:ascii="宋体" w:hAnsi="宋体" w:eastAsia="宋体" w:cs="宋体"/>
          <w:b/>
          <w:bCs/>
          <w:color w:val="auto"/>
          <w:sz w:val="28"/>
          <w:szCs w:val="28"/>
          <w:highlight w:val="none"/>
          <w:u w:val="none"/>
          <w:lang w:val="en-US" w:eastAsia="zh-CN"/>
        </w:rPr>
        <w:t>0</w:t>
      </w:r>
    </w:p>
    <w:p w14:paraId="3D9E0CC1">
      <w:pPr>
        <w:pStyle w:val="15"/>
        <w:jc w:val="center"/>
        <w:rPr>
          <w:rFonts w:hint="eastAsia" w:ascii="宋体" w:hAnsi="宋体" w:cs="宋体"/>
          <w:b/>
          <w:bCs/>
          <w:color w:val="auto"/>
          <w:sz w:val="28"/>
          <w:szCs w:val="28"/>
          <w:highlight w:val="none"/>
        </w:rPr>
      </w:pPr>
      <w:r>
        <w:rPr>
          <w:rStyle w:val="29"/>
          <w:rFonts w:hint="eastAsia" w:ascii="宋体" w:hAnsi="宋体" w:cs="宋体"/>
          <w:b/>
          <w:bCs/>
          <w:color w:val="auto"/>
          <w:sz w:val="28"/>
          <w:szCs w:val="28"/>
          <w:highlight w:val="none"/>
          <w:u w:val="none"/>
        </w:rPr>
        <w:fldChar w:fldCharType="begin"/>
      </w:r>
      <w:r>
        <w:rPr>
          <w:rStyle w:val="29"/>
          <w:rFonts w:hint="eastAsia" w:ascii="宋体" w:hAnsi="宋体" w:cs="宋体"/>
          <w:b/>
          <w:bCs/>
          <w:color w:val="auto"/>
          <w:sz w:val="28"/>
          <w:szCs w:val="28"/>
          <w:highlight w:val="none"/>
          <w:u w:val="none"/>
        </w:rPr>
        <w:instrText xml:space="preserve"> HYPERLINK "" \l "_Toc18481389#_Toc18481389" </w:instrText>
      </w:r>
      <w:r>
        <w:rPr>
          <w:rStyle w:val="29"/>
          <w:rFonts w:hint="eastAsia" w:ascii="宋体" w:hAnsi="宋体" w:cs="宋体"/>
          <w:b/>
          <w:bCs/>
          <w:color w:val="auto"/>
          <w:sz w:val="28"/>
          <w:szCs w:val="28"/>
          <w:highlight w:val="none"/>
          <w:u w:val="none"/>
        </w:rPr>
        <w:fldChar w:fldCharType="separate"/>
      </w:r>
      <w:r>
        <w:rPr>
          <w:rStyle w:val="29"/>
          <w:rFonts w:hint="eastAsia" w:ascii="宋体" w:hAnsi="宋体" w:cs="宋体"/>
          <w:b/>
          <w:bCs/>
          <w:color w:val="auto"/>
          <w:sz w:val="28"/>
          <w:szCs w:val="28"/>
          <w:highlight w:val="none"/>
          <w:u w:val="none"/>
        </w:rPr>
        <w:t>第六章  评标方法及评分标准…………………………………</w:t>
      </w:r>
      <w:r>
        <w:rPr>
          <w:rStyle w:val="29"/>
          <w:rFonts w:hint="eastAsia" w:ascii="宋体" w:hAnsi="宋体" w:cs="宋体"/>
          <w:b/>
          <w:bCs/>
          <w:color w:val="auto"/>
          <w:sz w:val="28"/>
          <w:szCs w:val="28"/>
          <w:highlight w:val="none"/>
          <w:u w:val="none"/>
        </w:rPr>
        <w:fldChar w:fldCharType="end"/>
      </w:r>
      <w:r>
        <w:rPr>
          <w:rStyle w:val="29"/>
          <w:rFonts w:hint="eastAsia" w:ascii="宋体" w:hAnsi="宋体" w:cs="宋体"/>
          <w:b/>
          <w:bCs/>
          <w:color w:val="auto"/>
          <w:sz w:val="28"/>
          <w:szCs w:val="28"/>
          <w:highlight w:val="none"/>
          <w:u w:val="none"/>
          <w:lang w:val="en-US" w:eastAsia="zh-CN"/>
        </w:rPr>
        <w:t>45</w:t>
      </w:r>
      <w:r>
        <w:rPr>
          <w:rFonts w:hint="eastAsia" w:ascii="宋体" w:hAnsi="宋体" w:cs="宋体"/>
          <w:b/>
          <w:bCs/>
          <w:color w:val="auto"/>
          <w:sz w:val="28"/>
          <w:szCs w:val="28"/>
          <w:highlight w:val="none"/>
        </w:rPr>
        <w:t xml:space="preserve"> </w:t>
      </w:r>
    </w:p>
    <w:p w14:paraId="1F4AB9C3">
      <w:pPr>
        <w:rPr>
          <w:rFonts w:hint="eastAsia" w:ascii="宋体" w:hAnsi="宋体" w:cs="宋体"/>
          <w:color w:val="auto"/>
          <w:highlight w:val="none"/>
        </w:rPr>
      </w:pPr>
    </w:p>
    <w:p w14:paraId="6DF0493E">
      <w:pPr>
        <w:rPr>
          <w:rFonts w:hint="eastAsia" w:ascii="宋体" w:hAnsi="宋体" w:cs="宋体"/>
          <w:color w:val="auto"/>
          <w:highlight w:val="none"/>
        </w:rPr>
      </w:pPr>
    </w:p>
    <w:p w14:paraId="24A7C1A2">
      <w:pPr>
        <w:rPr>
          <w:rFonts w:hint="eastAsia" w:ascii="宋体" w:hAnsi="宋体" w:cs="宋体"/>
          <w:color w:val="auto"/>
          <w:highlight w:val="none"/>
        </w:rPr>
      </w:pPr>
    </w:p>
    <w:p w14:paraId="6EB8609F">
      <w:pPr>
        <w:tabs>
          <w:tab w:val="left" w:pos="3314"/>
        </w:tabs>
        <w:jc w:val="left"/>
        <w:rPr>
          <w:rFonts w:hint="eastAsia" w:ascii="宋体" w:hAnsi="宋体" w:cs="宋体"/>
          <w:color w:val="auto"/>
          <w:highlight w:val="none"/>
        </w:rPr>
      </w:pPr>
      <w:r>
        <w:rPr>
          <w:rFonts w:hint="eastAsia" w:ascii="宋体" w:hAnsi="宋体" w:cs="宋体"/>
          <w:color w:val="auto"/>
          <w:highlight w:val="none"/>
        </w:rPr>
        <w:tab/>
      </w:r>
    </w:p>
    <w:p w14:paraId="640AFCB1">
      <w:pPr>
        <w:pStyle w:val="3"/>
        <w:keepLines w:val="0"/>
        <w:pageBreakBefore/>
        <w:spacing w:line="280" w:lineRule="exact"/>
        <w:jc w:val="center"/>
        <w:rPr>
          <w:rFonts w:hint="eastAsia" w:ascii="宋体" w:hAnsi="宋体" w:cs="宋体"/>
          <w:color w:val="auto"/>
          <w:sz w:val="21"/>
          <w:szCs w:val="21"/>
          <w:highlight w:val="none"/>
        </w:rPr>
        <w:sectPr>
          <w:headerReference r:id="rId7" w:type="first"/>
          <w:footerReference r:id="rId9" w:type="first"/>
          <w:footerReference r:id="rId8" w:type="default"/>
          <w:pgSz w:w="11906" w:h="16838"/>
          <w:pgMar w:top="1247" w:right="1247" w:bottom="1247" w:left="1247" w:header="851" w:footer="992" w:gutter="0"/>
          <w:pgNumType w:start="1"/>
          <w:cols w:space="720" w:num="1"/>
          <w:titlePg/>
          <w:docGrid w:type="lines" w:linePitch="312" w:charSpace="0"/>
        </w:sectPr>
      </w:pPr>
      <w:bookmarkStart w:id="4" w:name="_Toc18481384"/>
      <w:bookmarkEnd w:id="4"/>
    </w:p>
    <w:p w14:paraId="5E81808E">
      <w:pPr>
        <w:pStyle w:val="3"/>
        <w:keepLines w:val="0"/>
        <w:pageBreakBefore/>
        <w:numPr>
          <w:ilvl w:val="0"/>
          <w:numId w:val="1"/>
        </w:num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 xml:space="preserve"> 竞争性磋商公告</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3C50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tcBorders>
              <w:top w:val="single" w:color="auto" w:sz="4" w:space="0"/>
              <w:left w:val="single" w:color="auto" w:sz="4" w:space="0"/>
              <w:bottom w:val="single" w:color="auto" w:sz="4" w:space="0"/>
              <w:right w:val="single" w:color="auto" w:sz="4" w:space="0"/>
            </w:tcBorders>
            <w:noWrap w:val="0"/>
            <w:vAlign w:val="top"/>
          </w:tcPr>
          <w:p w14:paraId="05A2974C">
            <w:pPr>
              <w:spacing w:line="380" w:lineRule="exact"/>
              <w:rPr>
                <w:rStyle w:val="45"/>
                <w:rFonts w:hint="eastAsia" w:ascii="宋体" w:hAnsi="宋体" w:cs="宋体"/>
                <w:color w:val="auto"/>
                <w:highlight w:val="none"/>
              </w:rPr>
            </w:pPr>
            <w:r>
              <w:rPr>
                <w:rStyle w:val="45"/>
                <w:rFonts w:hint="eastAsia" w:ascii="宋体" w:hAnsi="宋体" w:cs="宋体"/>
                <w:color w:val="auto"/>
                <w:highlight w:val="none"/>
              </w:rPr>
              <w:t xml:space="preserve">项目概况                                                    </w:t>
            </w:r>
          </w:p>
          <w:p w14:paraId="2C28033B">
            <w:pPr>
              <w:spacing w:line="380" w:lineRule="exact"/>
              <w:ind w:firstLine="420" w:firstLineChars="200"/>
              <w:rPr>
                <w:rFonts w:hint="eastAsia" w:ascii="宋体" w:hAnsi="宋体" w:cs="宋体"/>
                <w:bCs/>
                <w:color w:val="auto"/>
                <w:kern w:val="0"/>
                <w:highlight w:val="none"/>
              </w:rPr>
            </w:pPr>
            <w:r>
              <w:rPr>
                <w:rStyle w:val="45"/>
                <w:rFonts w:hint="eastAsia" w:ascii="宋体" w:hAnsi="宋体" w:cs="宋体"/>
                <w:color w:val="auto"/>
                <w:kern w:val="0"/>
                <w:sz w:val="21"/>
                <w:szCs w:val="21"/>
                <w:highlight w:val="none"/>
              </w:rPr>
              <w:t>广西壮族自治区</w:t>
            </w:r>
            <w:r>
              <w:rPr>
                <w:rStyle w:val="45"/>
                <w:rFonts w:hint="eastAsia" w:ascii="宋体" w:hAnsi="宋体" w:cs="宋体"/>
                <w:color w:val="auto"/>
                <w:kern w:val="0"/>
                <w:sz w:val="21"/>
                <w:szCs w:val="21"/>
                <w:highlight w:val="none"/>
                <w:lang w:eastAsia="zh-CN"/>
              </w:rPr>
              <w:t>卫</w:t>
            </w:r>
            <w:r>
              <w:rPr>
                <w:rStyle w:val="45"/>
                <w:rFonts w:hint="eastAsia" w:ascii="宋体" w:hAnsi="宋体" w:cs="宋体"/>
                <w:color w:val="auto"/>
                <w:kern w:val="0"/>
                <w:sz w:val="21"/>
                <w:szCs w:val="21"/>
                <w:highlight w:val="none"/>
                <w:lang w:val="en-US" w:eastAsia="zh-CN"/>
              </w:rPr>
              <w:t>生</w:t>
            </w:r>
            <w:r>
              <w:rPr>
                <w:rStyle w:val="45"/>
                <w:rFonts w:hint="eastAsia" w:ascii="宋体" w:hAnsi="宋体" w:cs="宋体"/>
                <w:color w:val="auto"/>
                <w:kern w:val="0"/>
                <w:sz w:val="21"/>
                <w:szCs w:val="21"/>
                <w:highlight w:val="none"/>
                <w:lang w:eastAsia="zh-CN"/>
              </w:rPr>
              <w:t>健</w:t>
            </w:r>
            <w:r>
              <w:rPr>
                <w:rStyle w:val="45"/>
                <w:rFonts w:hint="eastAsia" w:ascii="宋体" w:hAnsi="宋体" w:cs="宋体"/>
                <w:color w:val="auto"/>
                <w:kern w:val="0"/>
                <w:sz w:val="21"/>
                <w:szCs w:val="21"/>
                <w:highlight w:val="none"/>
                <w:lang w:val="en-US" w:eastAsia="zh-CN"/>
              </w:rPr>
              <w:t>康</w:t>
            </w:r>
            <w:r>
              <w:rPr>
                <w:rStyle w:val="45"/>
                <w:rFonts w:hint="eastAsia" w:ascii="宋体" w:hAnsi="宋体" w:cs="宋体"/>
                <w:color w:val="auto"/>
                <w:kern w:val="0"/>
                <w:sz w:val="21"/>
                <w:szCs w:val="21"/>
                <w:highlight w:val="none"/>
                <w:lang w:eastAsia="zh-CN"/>
              </w:rPr>
              <w:t>委</w:t>
            </w:r>
            <w:r>
              <w:rPr>
                <w:rStyle w:val="45"/>
                <w:rFonts w:hint="eastAsia" w:ascii="宋体" w:hAnsi="宋体" w:cs="宋体"/>
                <w:color w:val="auto"/>
                <w:kern w:val="0"/>
                <w:sz w:val="21"/>
                <w:szCs w:val="21"/>
                <w:highlight w:val="none"/>
                <w:lang w:val="en-US" w:eastAsia="zh-CN"/>
              </w:rPr>
              <w:t>员会</w:t>
            </w:r>
            <w:r>
              <w:rPr>
                <w:rStyle w:val="45"/>
                <w:rFonts w:hint="eastAsia" w:ascii="宋体" w:hAnsi="宋体" w:cs="宋体"/>
                <w:color w:val="auto"/>
                <w:kern w:val="0"/>
                <w:sz w:val="21"/>
                <w:szCs w:val="21"/>
                <w:highlight w:val="none"/>
                <w:lang w:eastAsia="zh-CN"/>
              </w:rPr>
              <w:t>幼儿园</w:t>
            </w:r>
            <w:r>
              <w:rPr>
                <w:rStyle w:val="45"/>
                <w:rFonts w:hint="eastAsia" w:ascii="宋体" w:hAnsi="宋体" w:cs="宋体"/>
                <w:color w:val="auto"/>
                <w:kern w:val="0"/>
                <w:sz w:val="21"/>
                <w:szCs w:val="21"/>
                <w:highlight w:val="none"/>
              </w:rPr>
              <w:t>物业服务采购</w:t>
            </w:r>
            <w:r>
              <w:rPr>
                <w:rStyle w:val="45"/>
                <w:rFonts w:hint="eastAsia" w:ascii="宋体" w:hAnsi="宋体" w:cs="宋体"/>
                <w:color w:val="auto"/>
                <w:highlight w:val="none"/>
              </w:rPr>
              <w:t xml:space="preserve">项目的潜在供应商在广西政府采购云平台（网址： </w:t>
            </w:r>
            <w:r>
              <w:rPr>
                <w:rStyle w:val="45"/>
                <w:rFonts w:hint="eastAsia" w:ascii="宋体" w:hAnsi="宋体" w:cs="宋体"/>
                <w:color w:val="auto"/>
                <w:highlight w:val="none"/>
              </w:rPr>
              <w:fldChar w:fldCharType="begin"/>
            </w:r>
            <w:r>
              <w:rPr>
                <w:rStyle w:val="45"/>
                <w:rFonts w:hint="eastAsia" w:ascii="宋体" w:hAnsi="宋体" w:cs="宋体"/>
                <w:color w:val="auto"/>
                <w:highlight w:val="none"/>
              </w:rPr>
              <w:instrText xml:space="preserve"> HYPERLINK "http://www.zcygov.cn）获取采购文件，并于2021年" </w:instrText>
            </w:r>
            <w:r>
              <w:rPr>
                <w:rStyle w:val="45"/>
                <w:rFonts w:hint="eastAsia" w:ascii="宋体" w:hAnsi="宋体" w:cs="宋体"/>
                <w:color w:val="auto"/>
                <w:highlight w:val="none"/>
              </w:rPr>
              <w:fldChar w:fldCharType="separate"/>
            </w:r>
            <w:r>
              <w:rPr>
                <w:rStyle w:val="45"/>
                <w:rFonts w:hint="eastAsia" w:ascii="宋体" w:hAnsi="宋体" w:cs="宋体"/>
                <w:color w:val="auto"/>
                <w:highlight w:val="none"/>
              </w:rPr>
              <w:t>http://www.gcy.</w:t>
            </w:r>
            <w:r>
              <w:rPr>
                <w:rStyle w:val="45"/>
                <w:rFonts w:hint="eastAsia" w:ascii="宋体" w:hAnsi="宋体" w:cs="宋体"/>
                <w:color w:val="auto"/>
                <w:highlight w:val="none"/>
                <w:lang w:val="en-US"/>
              </w:rPr>
              <w:t>zfcg.gxzf.gov.</w:t>
            </w:r>
            <w:r>
              <w:rPr>
                <w:rStyle w:val="45"/>
                <w:rFonts w:hint="eastAsia" w:ascii="宋体" w:hAnsi="宋体" w:cs="宋体"/>
                <w:color w:val="auto"/>
                <w:highlight w:val="none"/>
              </w:rPr>
              <w:t>cn</w:t>
            </w:r>
            <w:r>
              <w:rPr>
                <w:rStyle w:val="45"/>
                <w:rFonts w:hint="eastAsia" w:ascii="宋体" w:hAnsi="宋体" w:cs="宋体"/>
                <w:color w:val="auto"/>
                <w:highlight w:val="none"/>
                <w:lang w:val="en-US"/>
              </w:rPr>
              <w:t>/</w:t>
            </w:r>
            <w:r>
              <w:rPr>
                <w:rStyle w:val="45"/>
                <w:rFonts w:hint="eastAsia" w:ascii="宋体" w:hAnsi="宋体" w:cs="宋体"/>
                <w:color w:val="auto"/>
                <w:highlight w:val="none"/>
              </w:rPr>
              <w:t>）获取采购文件，并于2026年</w:t>
            </w:r>
            <w:r>
              <w:rPr>
                <w:rStyle w:val="45"/>
                <w:rFonts w:hint="eastAsia" w:ascii="宋体" w:hAnsi="宋体" w:cs="宋体"/>
                <w:color w:val="auto"/>
                <w:highlight w:val="none"/>
              </w:rPr>
              <w:fldChar w:fldCharType="end"/>
            </w:r>
            <w:r>
              <w:rPr>
                <w:rStyle w:val="45"/>
                <w:rFonts w:hint="eastAsia" w:ascii="宋体" w:hAnsi="宋体" w:cs="宋体"/>
                <w:color w:val="auto"/>
                <w:highlight w:val="none"/>
                <w:lang w:val="en-US" w:eastAsia="zh-CN"/>
              </w:rPr>
              <w:t>6</w:t>
            </w:r>
            <w:r>
              <w:rPr>
                <w:rStyle w:val="45"/>
                <w:rFonts w:hint="eastAsia" w:ascii="宋体" w:hAnsi="宋体" w:cs="宋体"/>
                <w:color w:val="auto"/>
                <w:highlight w:val="none"/>
              </w:rPr>
              <w:t>月</w:t>
            </w:r>
            <w:r>
              <w:rPr>
                <w:rStyle w:val="45"/>
                <w:rFonts w:hint="eastAsia" w:ascii="宋体" w:hAnsi="宋体" w:cs="宋体"/>
                <w:color w:val="auto"/>
                <w:highlight w:val="none"/>
                <w:lang w:val="en-US" w:eastAsia="zh-CN"/>
              </w:rPr>
              <w:t>8</w:t>
            </w:r>
            <w:r>
              <w:rPr>
                <w:rStyle w:val="45"/>
                <w:rFonts w:hint="eastAsia" w:ascii="宋体" w:hAnsi="宋体" w:cs="宋体"/>
                <w:color w:val="auto"/>
                <w:highlight w:val="none"/>
              </w:rPr>
              <w:t>日 10:00（北京时间）前提交响应文件。</w:t>
            </w:r>
          </w:p>
        </w:tc>
      </w:tr>
    </w:tbl>
    <w:p w14:paraId="0423FBD2">
      <w:pPr>
        <w:numPr>
          <w:ilvl w:val="-1"/>
          <w:numId w:val="0"/>
        </w:numPr>
        <w:rPr>
          <w:rFonts w:hint="eastAsia" w:ascii="宋体" w:hAnsi="宋体" w:cs="宋体"/>
          <w:color w:val="auto"/>
          <w:highlight w:val="none"/>
        </w:rPr>
      </w:pPr>
    </w:p>
    <w:p w14:paraId="48DECB69">
      <w:pPr>
        <w:pStyle w:val="18"/>
        <w:spacing w:before="50" w:beforeAutospacing="0" w:after="50" w:afterAutospacing="0" w:line="360" w:lineRule="exact"/>
        <w:rPr>
          <w:rFonts w:hint="eastAsia"/>
          <w:b/>
          <w:bCs/>
          <w:color w:val="auto"/>
          <w:sz w:val="21"/>
          <w:szCs w:val="21"/>
          <w:highlight w:val="none"/>
        </w:rPr>
      </w:pPr>
      <w:bookmarkStart w:id="5" w:name="_Toc28359012"/>
      <w:bookmarkEnd w:id="5"/>
      <w:bookmarkStart w:id="6" w:name="_Toc28359089"/>
      <w:bookmarkEnd w:id="6"/>
      <w:bookmarkStart w:id="7" w:name="_Toc35393629"/>
      <w:bookmarkEnd w:id="7"/>
      <w:bookmarkStart w:id="8" w:name="_Toc35393798"/>
      <w:bookmarkEnd w:id="8"/>
      <w:r>
        <w:rPr>
          <w:rStyle w:val="45"/>
          <w:rFonts w:hint="eastAsia"/>
          <w:b/>
          <w:bCs/>
          <w:color w:val="auto"/>
          <w:sz w:val="21"/>
          <w:szCs w:val="21"/>
          <w:highlight w:val="none"/>
        </w:rPr>
        <w:t>一、项目基本情况</w:t>
      </w:r>
    </w:p>
    <w:p w14:paraId="1F4E3D29">
      <w:pPr>
        <w:pStyle w:val="18"/>
        <w:spacing w:before="50" w:beforeAutospacing="0" w:after="50" w:afterAutospacing="0" w:line="360" w:lineRule="exact"/>
        <w:rPr>
          <w:color w:val="auto"/>
          <w:sz w:val="21"/>
          <w:szCs w:val="21"/>
          <w:highlight w:val="none"/>
        </w:rPr>
      </w:pPr>
      <w:r>
        <w:rPr>
          <w:rStyle w:val="45"/>
          <w:rFonts w:hint="eastAsia"/>
          <w:color w:val="auto"/>
          <w:sz w:val="21"/>
          <w:szCs w:val="21"/>
          <w:highlight w:val="none"/>
        </w:rPr>
        <w:t xml:space="preserve">    项目编号：</w:t>
      </w:r>
      <w:r>
        <w:rPr>
          <w:rStyle w:val="45"/>
          <w:rFonts w:ascii="宋体" w:hAnsi="宋体" w:cs="宋体"/>
        </w:rPr>
        <w:t>GXZC2026-C3-001485-CGZX</w:t>
      </w:r>
    </w:p>
    <w:p w14:paraId="5D06E6B1">
      <w:pPr>
        <w:pStyle w:val="18"/>
        <w:spacing w:before="50" w:beforeAutospacing="0" w:after="50" w:afterAutospacing="0" w:line="360" w:lineRule="exact"/>
        <w:rPr>
          <w:rFonts w:hint="eastAsia"/>
          <w:color w:val="auto"/>
          <w:sz w:val="21"/>
          <w:szCs w:val="21"/>
          <w:highlight w:val="none"/>
          <w:lang w:val="en"/>
        </w:rPr>
      </w:pPr>
      <w:r>
        <w:rPr>
          <w:rStyle w:val="45"/>
          <w:rFonts w:hint="eastAsia"/>
          <w:color w:val="auto"/>
          <w:sz w:val="21"/>
          <w:szCs w:val="21"/>
          <w:highlight w:val="none"/>
        </w:rPr>
        <w:t xml:space="preserve">    项目名称：广西壮族自治区</w:t>
      </w:r>
      <w:r>
        <w:rPr>
          <w:rStyle w:val="45"/>
          <w:rFonts w:hint="eastAsia"/>
          <w:color w:val="auto"/>
          <w:sz w:val="21"/>
          <w:szCs w:val="21"/>
          <w:highlight w:val="none"/>
          <w:lang w:eastAsia="zh-CN"/>
        </w:rPr>
        <w:t>卫</w:t>
      </w:r>
      <w:r>
        <w:rPr>
          <w:rStyle w:val="45"/>
          <w:rFonts w:hint="eastAsia"/>
          <w:color w:val="auto"/>
          <w:sz w:val="21"/>
          <w:szCs w:val="21"/>
          <w:highlight w:val="none"/>
          <w:lang w:val="en-US" w:eastAsia="zh-CN"/>
        </w:rPr>
        <w:t>生</w:t>
      </w:r>
      <w:r>
        <w:rPr>
          <w:rStyle w:val="45"/>
          <w:rFonts w:hint="eastAsia"/>
          <w:color w:val="auto"/>
          <w:sz w:val="21"/>
          <w:szCs w:val="21"/>
          <w:highlight w:val="none"/>
          <w:lang w:eastAsia="zh-CN"/>
        </w:rPr>
        <w:t>健</w:t>
      </w:r>
      <w:r>
        <w:rPr>
          <w:rStyle w:val="45"/>
          <w:rFonts w:hint="eastAsia"/>
          <w:color w:val="auto"/>
          <w:sz w:val="21"/>
          <w:szCs w:val="21"/>
          <w:highlight w:val="none"/>
          <w:lang w:val="en-US" w:eastAsia="zh-CN"/>
        </w:rPr>
        <w:t>康</w:t>
      </w:r>
      <w:r>
        <w:rPr>
          <w:rStyle w:val="45"/>
          <w:rFonts w:hint="eastAsia"/>
          <w:color w:val="auto"/>
          <w:sz w:val="21"/>
          <w:szCs w:val="21"/>
          <w:highlight w:val="none"/>
          <w:lang w:eastAsia="zh-CN"/>
        </w:rPr>
        <w:t>委</w:t>
      </w:r>
      <w:r>
        <w:rPr>
          <w:rStyle w:val="45"/>
          <w:rFonts w:hint="eastAsia"/>
          <w:color w:val="auto"/>
          <w:sz w:val="21"/>
          <w:szCs w:val="21"/>
          <w:highlight w:val="none"/>
          <w:lang w:val="en-US" w:eastAsia="zh-CN"/>
        </w:rPr>
        <w:t>员会</w:t>
      </w:r>
      <w:r>
        <w:rPr>
          <w:rStyle w:val="45"/>
          <w:rFonts w:hint="eastAsia"/>
          <w:color w:val="auto"/>
          <w:sz w:val="21"/>
          <w:szCs w:val="21"/>
          <w:highlight w:val="none"/>
          <w:lang w:eastAsia="zh-CN"/>
        </w:rPr>
        <w:t>幼儿园</w:t>
      </w:r>
      <w:r>
        <w:rPr>
          <w:rStyle w:val="45"/>
          <w:rFonts w:hint="eastAsia"/>
          <w:color w:val="auto"/>
          <w:sz w:val="21"/>
          <w:szCs w:val="21"/>
          <w:highlight w:val="none"/>
        </w:rPr>
        <w:t>物业服务采购</w:t>
      </w:r>
    </w:p>
    <w:p w14:paraId="6C2DCAF1">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采购方式：竞争性磋商 </w:t>
      </w:r>
    </w:p>
    <w:p w14:paraId="07137052">
      <w:pPr>
        <w:pStyle w:val="18"/>
        <w:spacing w:before="50" w:beforeAutospacing="0" w:after="50" w:afterAutospacing="0" w:line="360" w:lineRule="exact"/>
        <w:rPr>
          <w:rStyle w:val="45"/>
          <w:rFonts w:hint="eastAsia" w:ascii="宋体" w:hAnsi="宋体" w:cs="宋体"/>
          <w:color w:val="auto"/>
          <w:sz w:val="21"/>
          <w:szCs w:val="21"/>
          <w:highlight w:val="none"/>
        </w:rPr>
      </w:pPr>
      <w:r>
        <w:rPr>
          <w:rStyle w:val="45"/>
          <w:rFonts w:hint="eastAsia"/>
          <w:color w:val="auto"/>
          <w:sz w:val="21"/>
          <w:szCs w:val="21"/>
          <w:highlight w:val="none"/>
        </w:rPr>
        <w:t xml:space="preserve">    预算总金额（</w:t>
      </w:r>
      <w:r>
        <w:rPr>
          <w:rStyle w:val="45"/>
          <w:rFonts w:hint="eastAsia" w:ascii="宋体" w:hAnsi="宋体" w:cs="宋体"/>
          <w:color w:val="auto"/>
          <w:sz w:val="21"/>
          <w:szCs w:val="21"/>
          <w:highlight w:val="none"/>
        </w:rPr>
        <w:t>元）：</w:t>
      </w:r>
      <w:r>
        <w:rPr>
          <w:rStyle w:val="45"/>
          <w:rFonts w:hint="eastAsia"/>
          <w:color w:val="auto"/>
          <w:sz w:val="21"/>
          <w:szCs w:val="21"/>
          <w:highlight w:val="none"/>
          <w:lang w:val="en-US" w:eastAsia="zh-CN"/>
        </w:rPr>
        <w:t>1250000</w:t>
      </w:r>
      <w:r>
        <w:rPr>
          <w:rStyle w:val="45"/>
          <w:rFonts w:hint="eastAsia" w:ascii="宋体" w:hAnsi="宋体" w:cs="宋体"/>
          <w:color w:val="auto"/>
          <w:sz w:val="21"/>
          <w:szCs w:val="21"/>
          <w:highlight w:val="none"/>
        </w:rPr>
        <w:t>.00 </w:t>
      </w:r>
    </w:p>
    <w:p w14:paraId="5CDF3B0D">
      <w:pPr>
        <w:pStyle w:val="18"/>
        <w:spacing w:before="50" w:beforeAutospacing="0" w:after="50" w:afterAutospacing="0" w:line="360" w:lineRule="exact"/>
        <w:rPr>
          <w:rStyle w:val="45"/>
          <w:rFonts w:hint="eastAsia" w:ascii="宋体" w:hAnsi="宋体" w:cs="宋体"/>
          <w:color w:val="auto"/>
          <w:sz w:val="21"/>
          <w:szCs w:val="21"/>
          <w:highlight w:val="none"/>
        </w:rPr>
      </w:pPr>
      <w:r>
        <w:rPr>
          <w:rStyle w:val="45"/>
          <w:rFonts w:hint="eastAsia" w:ascii="宋体" w:hAnsi="宋体" w:cs="宋体"/>
          <w:color w:val="auto"/>
          <w:sz w:val="21"/>
          <w:szCs w:val="21"/>
          <w:highlight w:val="none"/>
        </w:rPr>
        <w:t xml:space="preserve">    采购需求：</w:t>
      </w:r>
    </w:p>
    <w:p w14:paraId="68EC0D5F">
      <w:pPr>
        <w:pStyle w:val="18"/>
        <w:spacing w:before="50" w:beforeAutospacing="0" w:after="50" w:afterAutospacing="0" w:line="360" w:lineRule="exact"/>
        <w:rPr>
          <w:rStyle w:val="45"/>
          <w:rFonts w:hint="eastAsia" w:ascii="宋体" w:hAnsi="宋体" w:cs="宋体"/>
          <w:color w:val="auto"/>
          <w:sz w:val="21"/>
          <w:szCs w:val="21"/>
          <w:highlight w:val="none"/>
        </w:rPr>
      </w:pPr>
      <w:r>
        <w:rPr>
          <w:rStyle w:val="45"/>
          <w:rFonts w:hint="eastAsia" w:ascii="宋体" w:hAnsi="宋体" w:cs="宋体"/>
          <w:color w:val="auto"/>
          <w:sz w:val="21"/>
          <w:szCs w:val="21"/>
          <w:highlight w:val="none"/>
        </w:rPr>
        <w:t xml:space="preserve">    标项名称:广西壮族自治区</w:t>
      </w:r>
      <w:r>
        <w:rPr>
          <w:rStyle w:val="45"/>
          <w:rFonts w:hint="eastAsia" w:ascii="宋体" w:hAnsi="宋体" w:cs="宋体"/>
          <w:color w:val="auto"/>
          <w:sz w:val="21"/>
          <w:szCs w:val="21"/>
          <w:highlight w:val="none"/>
          <w:lang w:eastAsia="zh-CN"/>
        </w:rPr>
        <w:t>卫</w:t>
      </w:r>
      <w:r>
        <w:rPr>
          <w:rStyle w:val="45"/>
          <w:rFonts w:hint="eastAsia"/>
          <w:color w:val="auto"/>
          <w:sz w:val="21"/>
          <w:szCs w:val="21"/>
          <w:highlight w:val="none"/>
          <w:lang w:val="en-US" w:eastAsia="zh-CN"/>
        </w:rPr>
        <w:t>生</w:t>
      </w:r>
      <w:r>
        <w:rPr>
          <w:rStyle w:val="45"/>
          <w:rFonts w:hint="eastAsia" w:ascii="宋体" w:hAnsi="宋体" w:cs="宋体"/>
          <w:color w:val="auto"/>
          <w:sz w:val="21"/>
          <w:szCs w:val="21"/>
          <w:highlight w:val="none"/>
          <w:lang w:eastAsia="zh-CN"/>
        </w:rPr>
        <w:t>健</w:t>
      </w:r>
      <w:r>
        <w:rPr>
          <w:rStyle w:val="45"/>
          <w:rFonts w:hint="eastAsia"/>
          <w:color w:val="auto"/>
          <w:sz w:val="21"/>
          <w:szCs w:val="21"/>
          <w:highlight w:val="none"/>
          <w:lang w:val="en-US" w:eastAsia="zh-CN"/>
        </w:rPr>
        <w:t>康</w:t>
      </w:r>
      <w:r>
        <w:rPr>
          <w:rStyle w:val="45"/>
          <w:rFonts w:hint="eastAsia" w:ascii="宋体" w:hAnsi="宋体" w:cs="宋体"/>
          <w:color w:val="auto"/>
          <w:sz w:val="21"/>
          <w:szCs w:val="21"/>
          <w:highlight w:val="none"/>
          <w:lang w:eastAsia="zh-CN"/>
        </w:rPr>
        <w:t>委</w:t>
      </w:r>
      <w:r>
        <w:rPr>
          <w:rStyle w:val="45"/>
          <w:rFonts w:hint="eastAsia"/>
          <w:color w:val="auto"/>
          <w:sz w:val="21"/>
          <w:szCs w:val="21"/>
          <w:highlight w:val="none"/>
          <w:lang w:val="en-US" w:eastAsia="zh-CN"/>
        </w:rPr>
        <w:t>员会</w:t>
      </w:r>
      <w:r>
        <w:rPr>
          <w:rStyle w:val="45"/>
          <w:rFonts w:hint="eastAsia" w:ascii="宋体" w:hAnsi="宋体" w:cs="宋体"/>
          <w:color w:val="auto"/>
          <w:sz w:val="21"/>
          <w:szCs w:val="21"/>
          <w:highlight w:val="none"/>
          <w:lang w:eastAsia="zh-CN"/>
        </w:rPr>
        <w:t>幼儿园</w:t>
      </w:r>
      <w:r>
        <w:rPr>
          <w:rStyle w:val="45"/>
          <w:rFonts w:hint="eastAsia" w:ascii="宋体" w:hAnsi="宋体" w:cs="宋体"/>
          <w:color w:val="auto"/>
          <w:sz w:val="21"/>
          <w:szCs w:val="21"/>
          <w:highlight w:val="none"/>
        </w:rPr>
        <w:t>物业服务采购</w:t>
      </w:r>
    </w:p>
    <w:p w14:paraId="0860542F">
      <w:pPr>
        <w:pStyle w:val="18"/>
        <w:spacing w:before="50" w:beforeAutospacing="0" w:after="50" w:afterAutospacing="0" w:line="360" w:lineRule="exact"/>
        <w:rPr>
          <w:rStyle w:val="45"/>
          <w:rFonts w:hint="eastAsia" w:ascii="宋体" w:hAnsi="宋体" w:cs="宋体"/>
          <w:color w:val="auto"/>
          <w:sz w:val="21"/>
          <w:szCs w:val="21"/>
          <w:highlight w:val="none"/>
        </w:rPr>
      </w:pPr>
      <w:r>
        <w:rPr>
          <w:rStyle w:val="45"/>
          <w:rFonts w:hint="eastAsia" w:ascii="宋体" w:hAnsi="宋体" w:cs="宋体"/>
          <w:color w:val="auto"/>
          <w:sz w:val="21"/>
          <w:szCs w:val="21"/>
          <w:highlight w:val="none"/>
        </w:rPr>
        <w:t xml:space="preserve">    数量:1</w:t>
      </w:r>
    </w:p>
    <w:p w14:paraId="49EB0FEB">
      <w:pPr>
        <w:pStyle w:val="18"/>
        <w:spacing w:before="50" w:beforeAutospacing="0" w:after="50" w:afterAutospacing="0" w:line="360" w:lineRule="exact"/>
        <w:ind w:firstLine="0"/>
        <w:rPr>
          <w:rStyle w:val="45"/>
          <w:rFonts w:hint="eastAsia" w:ascii="宋体" w:hAnsi="宋体" w:cs="宋体"/>
          <w:color w:val="auto"/>
          <w:sz w:val="21"/>
          <w:szCs w:val="21"/>
          <w:highlight w:val="none"/>
        </w:rPr>
      </w:pPr>
      <w:r>
        <w:rPr>
          <w:rStyle w:val="45"/>
          <w:rFonts w:hint="eastAsia" w:ascii="宋体" w:hAnsi="宋体" w:cs="宋体"/>
          <w:color w:val="auto"/>
          <w:sz w:val="21"/>
          <w:szCs w:val="21"/>
          <w:highlight w:val="none"/>
        </w:rPr>
        <w:t xml:space="preserve">预算金额（元）: </w:t>
      </w:r>
      <w:r>
        <w:rPr>
          <w:rStyle w:val="45"/>
          <w:rFonts w:hint="eastAsia"/>
          <w:color w:val="auto"/>
          <w:sz w:val="21"/>
          <w:szCs w:val="21"/>
          <w:highlight w:val="none"/>
          <w:lang w:val="en-US" w:eastAsia="zh-CN"/>
        </w:rPr>
        <w:t>1250000</w:t>
      </w:r>
      <w:r>
        <w:rPr>
          <w:rStyle w:val="45"/>
          <w:rFonts w:hint="eastAsia" w:ascii="宋体" w:hAnsi="宋体" w:cs="宋体"/>
          <w:color w:val="auto"/>
          <w:sz w:val="21"/>
          <w:szCs w:val="21"/>
          <w:highlight w:val="none"/>
        </w:rPr>
        <w:t>.00 </w:t>
      </w:r>
    </w:p>
    <w:p w14:paraId="12D0B83A">
      <w:pPr>
        <w:pStyle w:val="18"/>
        <w:spacing w:before="50" w:beforeAutospacing="0" w:after="50" w:afterAutospacing="0" w:line="360" w:lineRule="exact"/>
        <w:ind w:firstLine="420"/>
        <w:rPr>
          <w:rFonts w:hint="eastAsia"/>
          <w:color w:val="auto"/>
          <w:sz w:val="21"/>
          <w:szCs w:val="21"/>
          <w:highlight w:val="none"/>
        </w:rPr>
      </w:pPr>
      <w:r>
        <w:rPr>
          <w:rStyle w:val="45"/>
          <w:rFonts w:hint="eastAsia"/>
          <w:color w:val="auto"/>
          <w:sz w:val="21"/>
          <w:szCs w:val="21"/>
          <w:highlight w:val="none"/>
        </w:rPr>
        <w:t>简要规格描述或项目基本概况介绍、用途：广西壮族自治区</w:t>
      </w:r>
      <w:r>
        <w:rPr>
          <w:rStyle w:val="45"/>
          <w:rFonts w:hint="eastAsia"/>
          <w:color w:val="auto"/>
          <w:sz w:val="21"/>
          <w:szCs w:val="21"/>
          <w:highlight w:val="none"/>
          <w:lang w:eastAsia="zh-CN"/>
        </w:rPr>
        <w:t>卫</w:t>
      </w:r>
      <w:r>
        <w:rPr>
          <w:rStyle w:val="45"/>
          <w:rFonts w:hint="eastAsia"/>
          <w:color w:val="auto"/>
          <w:sz w:val="21"/>
          <w:szCs w:val="21"/>
          <w:highlight w:val="none"/>
          <w:lang w:val="en-US" w:eastAsia="zh-CN"/>
        </w:rPr>
        <w:t>生</w:t>
      </w:r>
      <w:r>
        <w:rPr>
          <w:rStyle w:val="45"/>
          <w:rFonts w:hint="eastAsia"/>
          <w:color w:val="auto"/>
          <w:sz w:val="21"/>
          <w:szCs w:val="21"/>
          <w:highlight w:val="none"/>
          <w:lang w:eastAsia="zh-CN"/>
        </w:rPr>
        <w:t>健</w:t>
      </w:r>
      <w:r>
        <w:rPr>
          <w:rStyle w:val="45"/>
          <w:rFonts w:hint="eastAsia"/>
          <w:color w:val="auto"/>
          <w:sz w:val="21"/>
          <w:szCs w:val="21"/>
          <w:highlight w:val="none"/>
          <w:lang w:val="en-US" w:eastAsia="zh-CN"/>
        </w:rPr>
        <w:t>康</w:t>
      </w:r>
      <w:r>
        <w:rPr>
          <w:rStyle w:val="45"/>
          <w:rFonts w:hint="eastAsia"/>
          <w:color w:val="auto"/>
          <w:sz w:val="21"/>
          <w:szCs w:val="21"/>
          <w:highlight w:val="none"/>
          <w:lang w:eastAsia="zh-CN"/>
        </w:rPr>
        <w:t>委</w:t>
      </w:r>
      <w:r>
        <w:rPr>
          <w:rStyle w:val="45"/>
          <w:rFonts w:hint="eastAsia"/>
          <w:color w:val="auto"/>
          <w:sz w:val="21"/>
          <w:szCs w:val="21"/>
          <w:highlight w:val="none"/>
          <w:lang w:val="en-US" w:eastAsia="zh-CN"/>
        </w:rPr>
        <w:t>员会</w:t>
      </w:r>
      <w:r>
        <w:rPr>
          <w:rStyle w:val="45"/>
          <w:rFonts w:hint="eastAsia"/>
          <w:color w:val="auto"/>
          <w:sz w:val="21"/>
          <w:szCs w:val="21"/>
          <w:highlight w:val="none"/>
          <w:lang w:eastAsia="zh-CN"/>
        </w:rPr>
        <w:t>幼儿园</w:t>
      </w:r>
      <w:r>
        <w:rPr>
          <w:rStyle w:val="45"/>
          <w:rFonts w:hint="eastAsia"/>
          <w:color w:val="auto"/>
          <w:sz w:val="21"/>
          <w:szCs w:val="21"/>
          <w:highlight w:val="none"/>
        </w:rPr>
        <w:t>物业服务</w:t>
      </w:r>
      <w:r>
        <w:rPr>
          <w:rStyle w:val="45"/>
          <w:rFonts w:hint="eastAsia"/>
          <w:b/>
          <w:bCs/>
          <w:color w:val="auto"/>
          <w:sz w:val="21"/>
          <w:szCs w:val="21"/>
          <w:highlight w:val="none"/>
        </w:rPr>
        <w:t>1项</w:t>
      </w:r>
      <w:r>
        <w:rPr>
          <w:rStyle w:val="45"/>
          <w:rFonts w:hint="eastAsia"/>
          <w:color w:val="auto"/>
          <w:sz w:val="21"/>
          <w:szCs w:val="21"/>
          <w:highlight w:val="none"/>
        </w:rPr>
        <w:t>。</w:t>
      </w:r>
    </w:p>
    <w:p w14:paraId="70C8BCE4">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最高限价（如有）：/</w:t>
      </w:r>
    </w:p>
    <w:p w14:paraId="760EF269">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合同履约期限：自合同签订之日起至项目完成。</w:t>
      </w:r>
    </w:p>
    <w:p w14:paraId="5BBBAB69">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本标项（否）接受联合体投标</w:t>
      </w:r>
    </w:p>
    <w:p w14:paraId="031BDF6D">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备注：本项目为线上电子招标项目，有意向参与本项目的供应商应当做好参与全流程电子招投标交易的充分准备。</w:t>
      </w:r>
    </w:p>
    <w:p w14:paraId="304C5348">
      <w:pPr>
        <w:pStyle w:val="18"/>
        <w:spacing w:before="50" w:beforeAutospacing="0" w:after="50" w:afterAutospacing="0" w:line="360" w:lineRule="exact"/>
        <w:rPr>
          <w:rFonts w:hint="eastAsia"/>
          <w:b/>
          <w:bCs/>
          <w:color w:val="auto"/>
          <w:sz w:val="21"/>
          <w:szCs w:val="21"/>
          <w:highlight w:val="none"/>
        </w:rPr>
      </w:pPr>
      <w:r>
        <w:rPr>
          <w:rStyle w:val="45"/>
          <w:rFonts w:hint="eastAsia"/>
          <w:b/>
          <w:bCs/>
          <w:color w:val="auto"/>
          <w:sz w:val="21"/>
          <w:szCs w:val="21"/>
          <w:highlight w:val="none"/>
        </w:rPr>
        <w:t>二、申请人的资格要求：</w:t>
      </w:r>
    </w:p>
    <w:p w14:paraId="2FAB9E9C">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1.满足《中华人民共和国政府采购法》第二十二条规定；</w:t>
      </w:r>
    </w:p>
    <w:p w14:paraId="09FCB0B0">
      <w:pPr>
        <w:pStyle w:val="8"/>
        <w:spacing w:line="360" w:lineRule="exact"/>
        <w:rPr>
          <w:rFonts w:hint="eastAsia" w:ascii="宋体" w:hAnsi="宋体" w:cs="宋体"/>
          <w:color w:val="auto"/>
          <w:highlight w:val="none"/>
          <w:lang w:val="en" w:eastAsia="zh-CN"/>
        </w:rPr>
      </w:pPr>
      <w:r>
        <w:rPr>
          <w:rStyle w:val="45"/>
          <w:rFonts w:hint="eastAsia" w:ascii="宋体" w:hAnsi="宋体" w:cs="宋体"/>
          <w:color w:val="auto"/>
          <w:highlight w:val="none"/>
        </w:rPr>
        <w:t xml:space="preserve">    2.落实政府采购政策需满足的资格要求：分标1</w:t>
      </w:r>
      <w:r>
        <w:rPr>
          <w:rStyle w:val="45"/>
          <w:rFonts w:hint="eastAsia" w:ascii="宋体" w:hAnsi="宋体" w:cs="宋体"/>
          <w:color w:val="auto"/>
          <w:highlight w:val="none"/>
          <w:lang w:val="en" w:eastAsia="zh-CN"/>
        </w:rPr>
        <w:t>：</w:t>
      </w:r>
      <w:r>
        <w:rPr>
          <w:rStyle w:val="45"/>
          <w:rFonts w:hint="eastAsia" w:ascii="宋体" w:hAnsi="宋体" w:cs="宋体"/>
          <w:b/>
          <w:bCs/>
          <w:color w:val="auto"/>
          <w:highlight w:val="none"/>
          <w:lang w:val="en" w:eastAsia="zh-CN"/>
        </w:rPr>
        <w:t>本项目专门面向小</w:t>
      </w:r>
      <w:r>
        <w:rPr>
          <w:rStyle w:val="45"/>
          <w:rFonts w:hint="eastAsia" w:ascii="宋体" w:hAnsi="宋体" w:cs="宋体"/>
          <w:b/>
          <w:bCs/>
          <w:color w:val="auto"/>
          <w:highlight w:val="none"/>
          <w:lang w:val="en-US" w:eastAsia="zh-CN"/>
        </w:rPr>
        <w:t>微</w:t>
      </w:r>
      <w:r>
        <w:rPr>
          <w:rStyle w:val="45"/>
          <w:rFonts w:hint="eastAsia" w:ascii="宋体" w:hAnsi="宋体" w:cs="宋体"/>
          <w:b/>
          <w:bCs/>
          <w:color w:val="auto"/>
          <w:highlight w:val="none"/>
          <w:lang w:val="en" w:eastAsia="zh-CN"/>
        </w:rPr>
        <w:t>企业。</w:t>
      </w:r>
    </w:p>
    <w:p w14:paraId="5A8175A5">
      <w:pPr>
        <w:pStyle w:val="18"/>
        <w:spacing w:before="50" w:beforeAutospacing="0" w:after="50" w:afterAutospacing="0" w:line="360" w:lineRule="exact"/>
        <w:rPr>
          <w:rFonts w:hint="eastAsia" w:eastAsia="宋体"/>
          <w:color w:val="auto"/>
          <w:sz w:val="21"/>
          <w:szCs w:val="21"/>
          <w:highlight w:val="none"/>
          <w:lang w:val="en-US" w:eastAsia="zh-CN"/>
        </w:rPr>
      </w:pPr>
      <w:r>
        <w:rPr>
          <w:rStyle w:val="45"/>
          <w:rFonts w:hint="eastAsia"/>
          <w:color w:val="auto"/>
          <w:sz w:val="21"/>
          <w:szCs w:val="21"/>
          <w:highlight w:val="none"/>
        </w:rPr>
        <w:t xml:space="preserve">    3.本项目的特定资格要求：无。 </w:t>
      </w:r>
      <w:r>
        <w:rPr>
          <w:rStyle w:val="45"/>
          <w:rFonts w:hint="eastAsia"/>
          <w:color w:val="auto"/>
          <w:sz w:val="21"/>
          <w:szCs w:val="21"/>
          <w:highlight w:val="none"/>
          <w:lang w:val="en-US" w:eastAsia="zh-CN"/>
        </w:rPr>
        <w:t xml:space="preserve"> </w:t>
      </w:r>
    </w:p>
    <w:p w14:paraId="5830151B">
      <w:pPr>
        <w:pStyle w:val="18"/>
        <w:spacing w:before="50" w:beforeAutospacing="0" w:after="50" w:afterAutospacing="0" w:line="360" w:lineRule="exact"/>
        <w:rPr>
          <w:rFonts w:hint="eastAsia"/>
          <w:b/>
          <w:bCs/>
          <w:color w:val="auto"/>
          <w:sz w:val="21"/>
          <w:szCs w:val="21"/>
          <w:highlight w:val="none"/>
        </w:rPr>
      </w:pPr>
      <w:r>
        <w:rPr>
          <w:rStyle w:val="45"/>
          <w:rFonts w:hint="eastAsia"/>
          <w:b/>
          <w:bCs/>
          <w:color w:val="auto"/>
          <w:sz w:val="21"/>
          <w:szCs w:val="21"/>
          <w:highlight w:val="none"/>
        </w:rPr>
        <w:t>三、获取采购文件</w:t>
      </w:r>
    </w:p>
    <w:p w14:paraId="0B1C8A56">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时间：</w:t>
      </w:r>
      <w:r>
        <w:rPr>
          <w:rStyle w:val="45"/>
          <w:rFonts w:hint="eastAsia"/>
          <w:b/>
          <w:bCs/>
          <w:color w:val="auto"/>
          <w:sz w:val="21"/>
          <w:szCs w:val="21"/>
          <w:highlight w:val="none"/>
        </w:rPr>
        <w:t>202</w:t>
      </w:r>
      <w:r>
        <w:rPr>
          <w:rStyle w:val="45"/>
          <w:rFonts w:hint="eastAsia"/>
          <w:b/>
          <w:bCs/>
          <w:color w:val="auto"/>
          <w:sz w:val="21"/>
          <w:szCs w:val="21"/>
          <w:highlight w:val="none"/>
          <w:lang w:val="en-US" w:eastAsia="zh-CN"/>
        </w:rPr>
        <w:t>6年5</w:t>
      </w:r>
      <w:r>
        <w:rPr>
          <w:rStyle w:val="45"/>
          <w:rFonts w:hint="eastAsia"/>
          <w:b/>
          <w:bCs/>
          <w:color w:val="auto"/>
          <w:sz w:val="21"/>
          <w:szCs w:val="21"/>
          <w:highlight w:val="none"/>
        </w:rPr>
        <w:t>月</w:t>
      </w:r>
      <w:r>
        <w:rPr>
          <w:rStyle w:val="45"/>
          <w:rFonts w:hint="eastAsia"/>
          <w:b/>
          <w:bCs/>
          <w:color w:val="auto"/>
          <w:sz w:val="21"/>
          <w:szCs w:val="21"/>
          <w:highlight w:val="none"/>
          <w:lang w:val="en-US" w:eastAsia="zh-CN"/>
        </w:rPr>
        <w:t>29</w:t>
      </w:r>
      <w:r>
        <w:rPr>
          <w:rStyle w:val="45"/>
          <w:rFonts w:hint="eastAsia"/>
          <w:b/>
          <w:bCs/>
          <w:color w:val="auto"/>
          <w:sz w:val="21"/>
          <w:szCs w:val="21"/>
          <w:highlight w:val="none"/>
        </w:rPr>
        <w:t>日至202</w:t>
      </w:r>
      <w:r>
        <w:rPr>
          <w:rStyle w:val="45"/>
          <w:rFonts w:hint="eastAsia"/>
          <w:b/>
          <w:bCs/>
          <w:color w:val="auto"/>
          <w:sz w:val="21"/>
          <w:szCs w:val="21"/>
          <w:highlight w:val="none"/>
          <w:lang w:val="en-US" w:eastAsia="zh-CN"/>
        </w:rPr>
        <w:t>6</w:t>
      </w:r>
      <w:r>
        <w:rPr>
          <w:rStyle w:val="45"/>
          <w:rFonts w:hint="eastAsia"/>
          <w:b/>
          <w:bCs/>
          <w:color w:val="auto"/>
          <w:sz w:val="21"/>
          <w:szCs w:val="21"/>
          <w:highlight w:val="none"/>
        </w:rPr>
        <w:t>年</w:t>
      </w:r>
      <w:r>
        <w:rPr>
          <w:rStyle w:val="45"/>
          <w:rFonts w:hint="eastAsia"/>
          <w:b/>
          <w:bCs/>
          <w:color w:val="auto"/>
          <w:sz w:val="21"/>
          <w:szCs w:val="21"/>
          <w:highlight w:val="none"/>
          <w:lang w:val="en-US" w:eastAsia="zh-CN"/>
        </w:rPr>
        <w:t>6</w:t>
      </w:r>
      <w:r>
        <w:rPr>
          <w:rStyle w:val="45"/>
          <w:rFonts w:hint="eastAsia"/>
          <w:b/>
          <w:bCs/>
          <w:color w:val="auto"/>
          <w:sz w:val="21"/>
          <w:szCs w:val="21"/>
          <w:highlight w:val="none"/>
        </w:rPr>
        <w:t>月</w:t>
      </w:r>
      <w:r>
        <w:rPr>
          <w:rStyle w:val="45"/>
          <w:rFonts w:hint="eastAsia"/>
          <w:b/>
          <w:bCs/>
          <w:color w:val="auto"/>
          <w:sz w:val="21"/>
          <w:szCs w:val="21"/>
          <w:highlight w:val="none"/>
          <w:lang w:val="en-US" w:eastAsia="zh-CN"/>
        </w:rPr>
        <w:t>5</w:t>
      </w:r>
      <w:r>
        <w:rPr>
          <w:rStyle w:val="45"/>
          <w:rFonts w:hint="eastAsia"/>
          <w:b/>
          <w:bCs/>
          <w:color w:val="auto"/>
          <w:sz w:val="21"/>
          <w:szCs w:val="21"/>
          <w:highlight w:val="none"/>
        </w:rPr>
        <w:t>日，每天上午00:00至12:00，下午12:00至23:59（北京时间，法定节假日除外）</w:t>
      </w:r>
    </w:p>
    <w:p w14:paraId="7790EE91">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地点（网址）：广西政府采购云平台（网址：http://www.gcy.zfcg.gxzf.gov.cn） </w:t>
      </w:r>
    </w:p>
    <w:p w14:paraId="4325302C">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方式：登录广西政府采购云平台（网址：http://www.gcy.zfcg.gxzf.gov.cn）进行报名并获取采购文件；未注册的供应商可在广西政府采购云平台完成注册后再行报名。如在操作过程中遇到问题或需技术支持，请致电广西政府采购云平台客服热线：95763。</w:t>
      </w:r>
    </w:p>
    <w:p w14:paraId="74D187B0">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提示：竞争性磋商公告附件内的采购文件仅供阅览使用；供应商只有在“政府采购云平台”完成获取采购文件申请并下载了采购文件后才视作依法获取采购文件（法律法规所指的供应商获取采购文件时间以供应商完成获取采购文件申请后下载采购文件的时间为准）。  </w:t>
      </w:r>
    </w:p>
    <w:p w14:paraId="37F69D5B">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售价（元）：0 </w:t>
      </w:r>
    </w:p>
    <w:p w14:paraId="2E7109B0">
      <w:pPr>
        <w:pStyle w:val="18"/>
        <w:spacing w:before="50" w:beforeAutospacing="0" w:after="50" w:afterAutospacing="0" w:line="360" w:lineRule="exact"/>
        <w:rPr>
          <w:rFonts w:hint="eastAsia"/>
          <w:b/>
          <w:bCs/>
          <w:color w:val="auto"/>
          <w:sz w:val="21"/>
          <w:szCs w:val="21"/>
          <w:highlight w:val="none"/>
        </w:rPr>
      </w:pPr>
      <w:r>
        <w:rPr>
          <w:rStyle w:val="45"/>
          <w:rFonts w:hint="eastAsia"/>
          <w:b/>
          <w:bCs/>
          <w:color w:val="auto"/>
          <w:sz w:val="21"/>
          <w:szCs w:val="21"/>
          <w:highlight w:val="none"/>
        </w:rPr>
        <w:t xml:space="preserve">四、响应文件提交 </w:t>
      </w:r>
    </w:p>
    <w:p w14:paraId="73ADC78A">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w:t>
      </w:r>
      <w:r>
        <w:rPr>
          <w:rStyle w:val="45"/>
          <w:rFonts w:hint="eastAsia"/>
          <w:b/>
          <w:bCs/>
          <w:color w:val="auto"/>
          <w:sz w:val="21"/>
          <w:szCs w:val="21"/>
          <w:highlight w:val="none"/>
        </w:rPr>
        <w:t>截止时间：202</w:t>
      </w:r>
      <w:r>
        <w:rPr>
          <w:rStyle w:val="45"/>
          <w:rFonts w:hint="eastAsia"/>
          <w:b/>
          <w:bCs/>
          <w:color w:val="auto"/>
          <w:sz w:val="21"/>
          <w:szCs w:val="21"/>
          <w:highlight w:val="none"/>
          <w:lang w:val="en-US" w:eastAsia="zh-CN"/>
        </w:rPr>
        <w:t>6</w:t>
      </w:r>
      <w:r>
        <w:rPr>
          <w:rStyle w:val="45"/>
          <w:rFonts w:hint="eastAsia"/>
          <w:b/>
          <w:bCs/>
          <w:color w:val="auto"/>
          <w:sz w:val="21"/>
          <w:szCs w:val="21"/>
          <w:highlight w:val="none"/>
        </w:rPr>
        <w:t>年</w:t>
      </w:r>
      <w:r>
        <w:rPr>
          <w:rStyle w:val="45"/>
          <w:rFonts w:hint="eastAsia"/>
          <w:b/>
          <w:bCs/>
          <w:color w:val="auto"/>
          <w:sz w:val="21"/>
          <w:szCs w:val="21"/>
          <w:highlight w:val="none"/>
          <w:lang w:val="en-US" w:eastAsia="zh-CN"/>
        </w:rPr>
        <w:t>6</w:t>
      </w:r>
      <w:r>
        <w:rPr>
          <w:rStyle w:val="45"/>
          <w:rFonts w:hint="eastAsia"/>
          <w:b/>
          <w:bCs/>
          <w:color w:val="auto"/>
          <w:sz w:val="21"/>
          <w:szCs w:val="21"/>
          <w:highlight w:val="none"/>
        </w:rPr>
        <w:t>月</w:t>
      </w:r>
      <w:r>
        <w:rPr>
          <w:rStyle w:val="45"/>
          <w:rFonts w:hint="eastAsia"/>
          <w:b/>
          <w:bCs/>
          <w:color w:val="auto"/>
          <w:sz w:val="21"/>
          <w:szCs w:val="21"/>
          <w:highlight w:val="none"/>
          <w:lang w:val="en-US" w:eastAsia="zh-CN"/>
        </w:rPr>
        <w:t>8</w:t>
      </w:r>
      <w:r>
        <w:rPr>
          <w:rStyle w:val="45"/>
          <w:rFonts w:hint="eastAsia"/>
          <w:b/>
          <w:bCs/>
          <w:color w:val="auto"/>
          <w:sz w:val="21"/>
          <w:szCs w:val="21"/>
          <w:highlight w:val="none"/>
        </w:rPr>
        <w:t>日 10:00（北京时间）</w:t>
      </w:r>
    </w:p>
    <w:p w14:paraId="51055ECF">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地点（网址）：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 </w:t>
      </w:r>
    </w:p>
    <w:p w14:paraId="12A58DBF">
      <w:pPr>
        <w:pStyle w:val="18"/>
        <w:spacing w:before="50" w:beforeAutospacing="0" w:after="50" w:afterAutospacing="0" w:line="360" w:lineRule="exact"/>
        <w:rPr>
          <w:rFonts w:hint="eastAsia"/>
          <w:b/>
          <w:bCs/>
          <w:color w:val="auto"/>
          <w:sz w:val="21"/>
          <w:szCs w:val="21"/>
          <w:highlight w:val="none"/>
        </w:rPr>
      </w:pPr>
      <w:r>
        <w:rPr>
          <w:rStyle w:val="45"/>
          <w:rFonts w:hint="eastAsia"/>
          <w:b/>
          <w:bCs/>
          <w:color w:val="auto"/>
          <w:sz w:val="21"/>
          <w:szCs w:val="21"/>
          <w:highlight w:val="none"/>
        </w:rPr>
        <w:t xml:space="preserve">五、响应文件开启 </w:t>
      </w:r>
    </w:p>
    <w:p w14:paraId="2B992F96">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w:t>
      </w:r>
      <w:r>
        <w:rPr>
          <w:rStyle w:val="45"/>
          <w:rFonts w:hint="eastAsia"/>
          <w:b/>
          <w:bCs/>
          <w:color w:val="auto"/>
          <w:sz w:val="21"/>
          <w:szCs w:val="21"/>
          <w:highlight w:val="none"/>
        </w:rPr>
        <w:t>开启时间：202</w:t>
      </w:r>
      <w:r>
        <w:rPr>
          <w:rStyle w:val="45"/>
          <w:rFonts w:hint="eastAsia"/>
          <w:b/>
          <w:bCs/>
          <w:color w:val="auto"/>
          <w:sz w:val="21"/>
          <w:szCs w:val="21"/>
          <w:highlight w:val="none"/>
          <w:lang w:val="en-US" w:eastAsia="zh-CN"/>
        </w:rPr>
        <w:t>6</w:t>
      </w:r>
      <w:r>
        <w:rPr>
          <w:rStyle w:val="45"/>
          <w:rFonts w:hint="eastAsia"/>
          <w:b/>
          <w:bCs/>
          <w:color w:val="auto"/>
          <w:sz w:val="21"/>
          <w:szCs w:val="21"/>
          <w:highlight w:val="none"/>
        </w:rPr>
        <w:t>年</w:t>
      </w:r>
      <w:r>
        <w:rPr>
          <w:rStyle w:val="45"/>
          <w:rFonts w:hint="eastAsia"/>
          <w:b/>
          <w:bCs/>
          <w:color w:val="auto"/>
          <w:sz w:val="21"/>
          <w:szCs w:val="21"/>
          <w:highlight w:val="none"/>
          <w:lang w:val="en-US" w:eastAsia="zh-CN"/>
        </w:rPr>
        <w:t>6</w:t>
      </w:r>
      <w:r>
        <w:rPr>
          <w:rStyle w:val="45"/>
          <w:rFonts w:hint="eastAsia"/>
          <w:b/>
          <w:bCs/>
          <w:color w:val="auto"/>
          <w:sz w:val="21"/>
          <w:szCs w:val="21"/>
          <w:highlight w:val="none"/>
        </w:rPr>
        <w:t>月</w:t>
      </w:r>
      <w:r>
        <w:rPr>
          <w:rStyle w:val="45"/>
          <w:rFonts w:hint="eastAsia"/>
          <w:b/>
          <w:bCs/>
          <w:color w:val="auto"/>
          <w:sz w:val="21"/>
          <w:szCs w:val="21"/>
          <w:highlight w:val="none"/>
          <w:lang w:val="en-US" w:eastAsia="zh-CN"/>
        </w:rPr>
        <w:t>8</w:t>
      </w:r>
      <w:r>
        <w:rPr>
          <w:rStyle w:val="45"/>
          <w:rFonts w:hint="eastAsia"/>
          <w:b/>
          <w:bCs/>
          <w:color w:val="auto"/>
          <w:sz w:val="21"/>
          <w:szCs w:val="21"/>
          <w:highlight w:val="none"/>
        </w:rPr>
        <w:t>日 10:00 （北京时间）</w:t>
      </w:r>
    </w:p>
    <w:p w14:paraId="388B91C7">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地点：青秀区广西政府采购云平台开标大厅 </w:t>
      </w:r>
    </w:p>
    <w:p w14:paraId="69AD313B">
      <w:pPr>
        <w:pStyle w:val="18"/>
        <w:spacing w:before="50" w:beforeAutospacing="0" w:after="50" w:afterAutospacing="0" w:line="360" w:lineRule="exact"/>
        <w:rPr>
          <w:rFonts w:hint="eastAsia"/>
          <w:b/>
          <w:bCs/>
          <w:color w:val="auto"/>
          <w:sz w:val="21"/>
          <w:szCs w:val="21"/>
          <w:highlight w:val="none"/>
        </w:rPr>
      </w:pPr>
      <w:r>
        <w:rPr>
          <w:rStyle w:val="45"/>
          <w:rFonts w:hint="eastAsia"/>
          <w:b/>
          <w:bCs/>
          <w:color w:val="auto"/>
          <w:sz w:val="21"/>
          <w:szCs w:val="21"/>
          <w:highlight w:val="none"/>
        </w:rPr>
        <w:t>六、公告期限</w:t>
      </w:r>
    </w:p>
    <w:p w14:paraId="2C3387AB">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自本公告发布之日起</w:t>
      </w:r>
      <w:r>
        <w:rPr>
          <w:rStyle w:val="45"/>
          <w:rFonts w:hint="eastAsia"/>
          <w:color w:val="auto"/>
          <w:sz w:val="21"/>
          <w:szCs w:val="21"/>
          <w:highlight w:val="none"/>
          <w:lang w:val="en-US" w:eastAsia="zh-CN"/>
        </w:rPr>
        <w:t>5</w:t>
      </w:r>
      <w:r>
        <w:rPr>
          <w:rStyle w:val="45"/>
          <w:rFonts w:hint="eastAsia"/>
          <w:color w:val="auto"/>
          <w:sz w:val="21"/>
          <w:szCs w:val="21"/>
          <w:highlight w:val="none"/>
        </w:rPr>
        <w:t>个工作日。</w:t>
      </w:r>
    </w:p>
    <w:p w14:paraId="2F06AA3A">
      <w:pPr>
        <w:pStyle w:val="18"/>
        <w:spacing w:before="50" w:beforeAutospacing="0" w:after="50" w:afterAutospacing="0" w:line="360" w:lineRule="exact"/>
        <w:rPr>
          <w:rFonts w:hint="eastAsia"/>
          <w:b/>
          <w:bCs/>
          <w:color w:val="auto"/>
          <w:sz w:val="21"/>
          <w:szCs w:val="21"/>
          <w:highlight w:val="none"/>
        </w:rPr>
      </w:pPr>
      <w:r>
        <w:rPr>
          <w:rStyle w:val="45"/>
          <w:rFonts w:hint="eastAsia"/>
          <w:b/>
          <w:bCs/>
          <w:color w:val="auto"/>
          <w:sz w:val="21"/>
          <w:szCs w:val="21"/>
          <w:highlight w:val="none"/>
        </w:rPr>
        <w:t xml:space="preserve">七、其他补充事宜 </w:t>
      </w:r>
    </w:p>
    <w:p w14:paraId="0D471B29">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w:t>
      </w:r>
      <w:r>
        <w:rPr>
          <w:rStyle w:val="45"/>
          <w:rFonts w:hint="eastAsia"/>
          <w:b/>
          <w:bCs/>
          <w:color w:val="auto"/>
          <w:sz w:val="21"/>
          <w:szCs w:val="21"/>
          <w:highlight w:val="none"/>
        </w:rPr>
        <w:t xml:space="preserve">   1.磋商保证金（人民币）：</w:t>
      </w:r>
      <w:r>
        <w:rPr>
          <w:rStyle w:val="45"/>
          <w:rFonts w:hint="eastAsia"/>
          <w:b/>
          <w:bCs/>
          <w:color w:val="auto"/>
          <w:sz w:val="21"/>
          <w:szCs w:val="21"/>
          <w:highlight w:val="none"/>
          <w:u w:val="single"/>
        </w:rPr>
        <w:t xml:space="preserve">  </w:t>
      </w:r>
      <w:r>
        <w:rPr>
          <w:rStyle w:val="45"/>
          <w:b/>
          <w:bCs/>
          <w:color w:val="auto"/>
          <w:sz w:val="21"/>
          <w:szCs w:val="21"/>
          <w:highlight w:val="none"/>
          <w:u w:val="single"/>
          <w:lang w:val="en"/>
        </w:rPr>
        <w:t>1</w:t>
      </w:r>
      <w:r>
        <w:rPr>
          <w:rStyle w:val="45"/>
          <w:rFonts w:hint="eastAsia"/>
          <w:b/>
          <w:bCs/>
          <w:color w:val="auto"/>
          <w:sz w:val="21"/>
          <w:szCs w:val="21"/>
          <w:highlight w:val="none"/>
          <w:u w:val="single"/>
        </w:rPr>
        <w:t xml:space="preserve">    </w:t>
      </w:r>
      <w:r>
        <w:rPr>
          <w:rStyle w:val="45"/>
          <w:rFonts w:hint="eastAsia"/>
          <w:b/>
          <w:bCs/>
          <w:color w:val="auto"/>
          <w:sz w:val="21"/>
          <w:szCs w:val="21"/>
          <w:highlight w:val="none"/>
        </w:rPr>
        <w:t xml:space="preserve">万。(必须足额交纳) </w:t>
      </w:r>
    </w:p>
    <w:p w14:paraId="384BACEE">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（1）磋商保证金交纳形式：支票、汇票、本票、网上银行或者金融、担保机构出具的保函等非现金形式。</w:t>
      </w:r>
    </w:p>
    <w:p w14:paraId="5028391C">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（2）采用网上银行转账形式的，供应商应于提交</w:t>
      </w:r>
      <w:r>
        <w:rPr>
          <w:rStyle w:val="45"/>
          <w:color w:val="auto"/>
          <w:sz w:val="21"/>
          <w:szCs w:val="21"/>
          <w:highlight w:val="none"/>
          <w:lang w:val="en"/>
        </w:rPr>
        <w:t>响应文件</w:t>
      </w:r>
      <w:r>
        <w:rPr>
          <w:rStyle w:val="45"/>
          <w:rFonts w:hint="eastAsia"/>
          <w:color w:val="auto"/>
          <w:sz w:val="21"/>
          <w:szCs w:val="21"/>
          <w:highlight w:val="none"/>
        </w:rPr>
        <w:t>截止时间前将投标保证金交至以下账户。开户名称：广西壮族自治区政府采购中心； 开户银行：中国农业银行股份有限公司南宁市古城支行；银行账号：20009101040051648。</w:t>
      </w:r>
    </w:p>
    <w:p w14:paraId="4557CBB5">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（3）采用支票、汇票、本票或者保函（电子保函除外）等形式的，磋商供应商应于提交磋商响应文件截止时间前递交单独密封的支票、汇票、本票或者保函原件至我中心财务处。</w:t>
      </w:r>
    </w:p>
    <w:p w14:paraId="6230ACD3">
      <w:pPr>
        <w:pStyle w:val="18"/>
        <w:spacing w:before="50" w:beforeAutospacing="0" w:after="50" w:afterAutospacing="0" w:line="360" w:lineRule="exact"/>
        <w:rPr>
          <w:rFonts w:hint="eastAsia" w:ascii="宋体" w:hAnsi="宋体" w:cs="宋体"/>
          <w:color w:val="auto"/>
          <w:sz w:val="21"/>
          <w:szCs w:val="21"/>
          <w:highlight w:val="none"/>
        </w:rPr>
      </w:pPr>
      <w:r>
        <w:rPr>
          <w:rStyle w:val="45"/>
          <w:rFonts w:hint="eastAsia"/>
          <w:color w:val="auto"/>
          <w:sz w:val="21"/>
          <w:szCs w:val="21"/>
          <w:highlight w:val="none"/>
        </w:rPr>
        <w:t>（4）本中心财务处联系方式： 地址：</w:t>
      </w:r>
      <w:r>
        <w:rPr>
          <w:rStyle w:val="45"/>
          <w:rFonts w:hint="eastAsia" w:ascii="宋体" w:hAnsi="宋体" w:cs="宋体"/>
          <w:color w:val="auto"/>
          <w:sz w:val="21"/>
          <w:szCs w:val="21"/>
          <w:highlight w:val="none"/>
        </w:rPr>
        <w:t>广西南宁市星湖路22号广西壮族自治区政府采购中心综合楼3楼306室； 电话：0771-8600309。</w:t>
      </w:r>
    </w:p>
    <w:p w14:paraId="0B91D3BF">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2.本项目需要落实的政府采购政策 政府采购促进小</w:t>
      </w:r>
      <w:r>
        <w:rPr>
          <w:rStyle w:val="45"/>
          <w:rFonts w:hint="eastAsia"/>
          <w:color w:val="auto"/>
          <w:sz w:val="21"/>
          <w:szCs w:val="21"/>
          <w:highlight w:val="none"/>
          <w:lang w:val="en-US" w:eastAsia="zh-CN"/>
        </w:rPr>
        <w:t>微</w:t>
      </w:r>
      <w:r>
        <w:rPr>
          <w:rStyle w:val="45"/>
          <w:rFonts w:hint="eastAsia"/>
          <w:color w:val="auto"/>
          <w:sz w:val="21"/>
          <w:szCs w:val="21"/>
          <w:highlight w:val="none"/>
        </w:rPr>
        <w:t>企业发展；强制采购节能产品；优先采购节能产品、环境标志产品；政府采购促进残疾人就业政策；政府采购支持监狱企业发展；政府采购扶持不发达地区和少数民族地区等。</w:t>
      </w:r>
    </w:p>
    <w:p w14:paraId="51760506">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3.网上公告媒体查询 中国政府采购网（www.ccgp.gov.cn）、广西壮族自治区政府采购网（zfcg.gxzf.gov.cn）、广西壮族自治区公共资源交易中心网站（gxggzy.gxzf.gov.cn）。</w:t>
      </w:r>
    </w:p>
    <w:p w14:paraId="64567A0C">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4.其他注意事项 </w:t>
      </w:r>
    </w:p>
    <w:p w14:paraId="3FCD2871">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p>
    <w:p w14:paraId="4941576D">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（2）供应商应及时熟悉掌握电子标系统操作指南（见广西政府采购云平台电子卖场首页右上角—服务中心—帮助文档—项目采购）：https://helpcenter.zcygov.cn/document/#/document/dashboard?siteCode=gx。</w:t>
      </w:r>
    </w:p>
    <w:p w14:paraId="63C55794">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（3）供应商应及时完成CA申领和绑定（见广西壮族自治区政府采购网—办事服务—下载专区-广西政府采购云平台CA证书办理操作指南） </w:t>
      </w:r>
    </w:p>
    <w:p w14:paraId="1CD071A9">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4）供应商通过广西政府采购云平台投标客户端软件制作响应文件，广西政府采购云平台投标客户端软件请供应商自行前往下载并安装（见广西壮族自治区政府采购网—办事服务—下载专区-广西壮族自治区全流程电子招投标项目管理系统--供应商客户端）。</w:t>
      </w:r>
    </w:p>
    <w:p w14:paraId="246E92B7">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（5）因未注册入库、未办理CA数字证书、CA证书故障、操作不当等原因造成无法参与或磋商失败等后果由供应商自行承担。</w:t>
      </w:r>
    </w:p>
    <w:p w14:paraId="5F1C6CB2">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6）响应文件网上递交截止后，广西政府采购云平台（电子标系统）自动提取所有响应文件，各供应商须在开启程序开始后30分钟内对上传广西政府采购云平台的响应文件进行解密，所有供应商在规定的解密时限内解密完成或解密时限结束后，我中心开启响应文件；供应商超过解密时限的，系统默认自动放弃。</w:t>
      </w:r>
    </w:p>
    <w:p w14:paraId="7265F961">
      <w:pPr>
        <w:pStyle w:val="18"/>
        <w:spacing w:before="50" w:beforeAutospacing="0" w:after="50" w:afterAutospacing="0" w:line="360" w:lineRule="exact"/>
        <w:rPr>
          <w:rFonts w:hint="eastAsia"/>
          <w:b/>
          <w:bCs/>
          <w:color w:val="auto"/>
          <w:sz w:val="21"/>
          <w:szCs w:val="21"/>
          <w:highlight w:val="none"/>
        </w:rPr>
      </w:pPr>
      <w:r>
        <w:rPr>
          <w:rStyle w:val="45"/>
          <w:rFonts w:hint="eastAsia"/>
          <w:b/>
          <w:bCs/>
          <w:color w:val="auto"/>
          <w:sz w:val="21"/>
          <w:szCs w:val="21"/>
          <w:highlight w:val="none"/>
        </w:rPr>
        <w:t>八、凡对本次招标提出询问，请按以下方式联系</w:t>
      </w:r>
    </w:p>
    <w:p w14:paraId="1B23466A">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1.采购人信息</w:t>
      </w:r>
    </w:p>
    <w:p w14:paraId="322C9D13">
      <w:pPr>
        <w:pStyle w:val="19"/>
        <w:ind w:firstLineChars="200"/>
        <w:rPr>
          <w:rFonts w:hint="eastAsia" w:ascii="宋体" w:hAnsi="宋体" w:eastAsia="宋体" w:cs="宋体"/>
          <w:b w:val="0"/>
          <w:color w:val="auto"/>
          <w:kern w:val="0"/>
          <w:sz w:val="21"/>
          <w:szCs w:val="21"/>
          <w:highlight w:val="none"/>
        </w:rPr>
      </w:pPr>
      <w:r>
        <w:rPr>
          <w:rStyle w:val="45"/>
          <w:rFonts w:hint="eastAsia" w:ascii="宋体" w:hAnsi="宋体" w:eastAsia="宋体" w:cs="宋体"/>
          <w:b w:val="0"/>
          <w:color w:val="auto"/>
          <w:kern w:val="0"/>
          <w:sz w:val="21"/>
          <w:szCs w:val="21"/>
          <w:highlight w:val="none"/>
        </w:rPr>
        <w:t>名    称：</w:t>
      </w:r>
      <w:r>
        <w:rPr>
          <w:rStyle w:val="45"/>
          <w:rFonts w:hint="eastAsia" w:ascii="宋体" w:hAnsi="宋体" w:cs="宋体"/>
          <w:b w:val="0"/>
          <w:color w:val="auto"/>
          <w:szCs w:val="21"/>
          <w:highlight w:val="none"/>
        </w:rPr>
        <w:t>广西壮族自治区卫生健康委员会幼儿园</w:t>
      </w:r>
    </w:p>
    <w:p w14:paraId="24E87EC6">
      <w:pPr>
        <w:pStyle w:val="19"/>
        <w:ind w:firstLineChars="200"/>
        <w:rPr>
          <w:rFonts w:hint="eastAsia" w:ascii="宋体" w:hAnsi="宋体" w:eastAsia="宋体" w:cs="宋体"/>
          <w:b w:val="0"/>
          <w:color w:val="auto"/>
          <w:kern w:val="0"/>
          <w:sz w:val="21"/>
          <w:szCs w:val="21"/>
          <w:highlight w:val="none"/>
        </w:rPr>
      </w:pPr>
      <w:r>
        <w:rPr>
          <w:rStyle w:val="45"/>
          <w:rFonts w:hint="eastAsia" w:ascii="宋体" w:hAnsi="宋体" w:eastAsia="宋体" w:cs="宋体"/>
          <w:b w:val="0"/>
          <w:color w:val="auto"/>
          <w:kern w:val="0"/>
          <w:sz w:val="21"/>
          <w:szCs w:val="21"/>
          <w:highlight w:val="none"/>
        </w:rPr>
        <w:t>地    址：</w:t>
      </w:r>
      <w:r>
        <w:rPr>
          <w:rStyle w:val="45"/>
          <w:rFonts w:hint="eastAsia" w:ascii="宋体" w:hAnsi="宋体" w:eastAsia="宋体" w:cs="宋体"/>
          <w:b w:val="0"/>
          <w:color w:val="auto"/>
          <w:kern w:val="0"/>
          <w:sz w:val="21"/>
          <w:szCs w:val="21"/>
          <w:highlight w:val="none"/>
          <w:lang w:val="en-US" w:eastAsia="zh-CN"/>
        </w:rPr>
        <w:t>南宁市青秀区双拥路14号</w:t>
      </w:r>
    </w:p>
    <w:p w14:paraId="54141223">
      <w:pPr>
        <w:pStyle w:val="18"/>
        <w:spacing w:before="50" w:beforeAutospacing="0" w:after="50" w:afterAutospacing="0" w:line="360" w:lineRule="exact"/>
        <w:ind w:firstLine="420"/>
        <w:rPr>
          <w:rFonts w:hint="eastAsia" w:ascii="宋体" w:hAnsi="宋体" w:eastAsia="宋体" w:cs="宋体"/>
          <w:color w:val="auto"/>
          <w:sz w:val="21"/>
          <w:szCs w:val="21"/>
          <w:highlight w:val="none"/>
          <w:lang w:val="en-US"/>
        </w:rPr>
      </w:pPr>
      <w:r>
        <w:rPr>
          <w:rStyle w:val="45"/>
          <w:rFonts w:hint="eastAsia" w:ascii="宋体" w:hAnsi="宋体" w:eastAsia="宋体" w:cs="宋体"/>
          <w:color w:val="auto"/>
          <w:sz w:val="21"/>
          <w:szCs w:val="21"/>
          <w:highlight w:val="none"/>
        </w:rPr>
        <w:t>项目联</w:t>
      </w:r>
      <w:r>
        <w:rPr>
          <w:rStyle w:val="45"/>
          <w:rFonts w:hint="eastAsia" w:ascii="宋体" w:hAnsi="宋体" w:cs="宋体"/>
          <w:color w:val="auto"/>
          <w:sz w:val="21"/>
          <w:szCs w:val="21"/>
          <w:highlight w:val="none"/>
          <w:lang w:val="en-US"/>
        </w:rPr>
        <w:t>系人：</w:t>
      </w:r>
      <w:r>
        <w:rPr>
          <w:rStyle w:val="45"/>
          <w:rFonts w:hint="eastAsia" w:ascii="宋体" w:hAnsi="宋体" w:cs="宋体"/>
          <w:color w:val="auto"/>
          <w:sz w:val="21"/>
          <w:szCs w:val="21"/>
          <w:highlight w:val="none"/>
          <w:lang w:val="en-US" w:eastAsia="zh-CN"/>
        </w:rPr>
        <w:t>杨涛</w:t>
      </w:r>
    </w:p>
    <w:p w14:paraId="672149F2">
      <w:pPr>
        <w:pStyle w:val="18"/>
        <w:spacing w:before="50" w:beforeAutospacing="0" w:after="50" w:afterAutospacing="0" w:line="360" w:lineRule="exact"/>
        <w:rPr>
          <w:rFonts w:hint="eastAsia" w:eastAsia="宋体"/>
          <w:color w:val="auto"/>
          <w:sz w:val="21"/>
          <w:szCs w:val="21"/>
          <w:highlight w:val="none"/>
          <w:lang w:val="en"/>
        </w:rPr>
      </w:pPr>
      <w:r>
        <w:rPr>
          <w:rFonts w:hint="eastAsia" w:eastAsia="宋体"/>
          <w:color w:val="auto"/>
          <w:sz w:val="21"/>
          <w:szCs w:val="21"/>
          <w:highlight w:val="none"/>
          <w:lang w:val="en"/>
        </w:rPr>
        <w:t xml:space="preserve">    项目联系方式： </w:t>
      </w:r>
      <w:r>
        <w:rPr>
          <w:rFonts w:hint="eastAsia" w:cs="宋体"/>
          <w:b w:val="0"/>
          <w:color w:val="auto"/>
          <w:kern w:val="0"/>
          <w:sz w:val="21"/>
          <w:szCs w:val="21"/>
          <w:highlight w:val="none"/>
        </w:rPr>
        <w:t>0771</w:t>
      </w:r>
      <w:r>
        <w:rPr>
          <w:rFonts w:hint="eastAsia" w:cs="宋体"/>
          <w:b w:val="0"/>
          <w:color w:val="auto"/>
          <w:kern w:val="0"/>
          <w:sz w:val="21"/>
          <w:szCs w:val="21"/>
          <w:highlight w:val="none"/>
          <w:lang w:eastAsia="zh-CN"/>
        </w:rPr>
        <w:t>—</w:t>
      </w:r>
      <w:r>
        <w:rPr>
          <w:rFonts w:hint="eastAsia" w:cs="宋体"/>
          <w:b w:val="0"/>
          <w:color w:val="auto"/>
          <w:kern w:val="0"/>
          <w:sz w:val="21"/>
          <w:szCs w:val="21"/>
          <w:highlight w:val="none"/>
        </w:rPr>
        <w:t>5384675</w:t>
      </w:r>
    </w:p>
    <w:p w14:paraId="2BD6BB75">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2.采购代理机构信息</w:t>
      </w:r>
    </w:p>
    <w:p w14:paraId="07A9C195">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名    称：广西壮族自治区政府采购中心 </w:t>
      </w:r>
    </w:p>
    <w:p w14:paraId="30EDEC65">
      <w:pPr>
        <w:pStyle w:val="18"/>
        <w:spacing w:before="50" w:beforeAutospacing="0" w:after="50" w:afterAutospacing="0" w:line="360" w:lineRule="exact"/>
        <w:rPr>
          <w:color w:val="auto"/>
          <w:sz w:val="21"/>
          <w:szCs w:val="21"/>
          <w:highlight w:val="none"/>
          <w:lang w:val="en"/>
        </w:rPr>
      </w:pPr>
      <w:r>
        <w:rPr>
          <w:rStyle w:val="45"/>
          <w:rFonts w:hint="eastAsia"/>
          <w:color w:val="auto"/>
          <w:sz w:val="21"/>
          <w:szCs w:val="21"/>
          <w:highlight w:val="none"/>
        </w:rPr>
        <w:t xml:space="preserve">    地    址：南宁市星湖路</w:t>
      </w:r>
      <w:r>
        <w:rPr>
          <w:rStyle w:val="45"/>
          <w:color w:val="auto"/>
          <w:sz w:val="21"/>
          <w:szCs w:val="21"/>
          <w:highlight w:val="none"/>
          <w:lang w:val="en"/>
        </w:rPr>
        <w:t>22</w:t>
      </w:r>
      <w:r>
        <w:rPr>
          <w:rStyle w:val="45"/>
          <w:rFonts w:hint="eastAsia"/>
          <w:color w:val="auto"/>
          <w:sz w:val="21"/>
          <w:szCs w:val="21"/>
          <w:highlight w:val="none"/>
          <w:lang w:val="en"/>
        </w:rPr>
        <w:t>号</w:t>
      </w:r>
    </w:p>
    <w:p w14:paraId="48C2BFCC">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项目联系人：陈立斌</w:t>
      </w:r>
    </w:p>
    <w:p w14:paraId="071B10CF">
      <w:pPr>
        <w:pStyle w:val="18"/>
        <w:spacing w:before="50" w:beforeAutospacing="0" w:after="50" w:afterAutospacing="0" w:line="360" w:lineRule="exact"/>
        <w:rPr>
          <w:rFonts w:hint="eastAsia"/>
          <w:color w:val="auto"/>
          <w:sz w:val="21"/>
          <w:szCs w:val="21"/>
          <w:highlight w:val="none"/>
        </w:rPr>
      </w:pPr>
      <w:r>
        <w:rPr>
          <w:rStyle w:val="45"/>
          <w:rFonts w:hint="eastAsia"/>
          <w:color w:val="auto"/>
          <w:sz w:val="21"/>
          <w:szCs w:val="21"/>
          <w:highlight w:val="none"/>
        </w:rPr>
        <w:t xml:space="preserve">    项目联系方式：0771-8600</w:t>
      </w:r>
      <w:r>
        <w:rPr>
          <w:rStyle w:val="45"/>
          <w:rFonts w:hint="eastAsia"/>
          <w:color w:val="auto"/>
          <w:sz w:val="21"/>
          <w:szCs w:val="21"/>
          <w:highlight w:val="none"/>
          <w:lang w:val="en"/>
        </w:rPr>
        <w:t>433</w:t>
      </w:r>
    </w:p>
    <w:p w14:paraId="6C3BA4EB">
      <w:pPr>
        <w:pStyle w:val="18"/>
        <w:spacing w:before="50" w:beforeAutospacing="0" w:after="50" w:afterAutospacing="0" w:line="360" w:lineRule="exact"/>
        <w:rPr>
          <w:rFonts w:hint="eastAsia"/>
          <w:color w:val="auto"/>
          <w:sz w:val="21"/>
          <w:szCs w:val="21"/>
          <w:highlight w:val="none"/>
        </w:rPr>
      </w:pPr>
    </w:p>
    <w:p w14:paraId="38C5F0BE">
      <w:pPr>
        <w:pStyle w:val="18"/>
        <w:spacing w:before="50" w:beforeAutospacing="0" w:after="50" w:afterAutospacing="0" w:line="360" w:lineRule="exact"/>
        <w:rPr>
          <w:rFonts w:hint="eastAsia"/>
          <w:color w:val="auto"/>
          <w:sz w:val="21"/>
          <w:szCs w:val="21"/>
          <w:highlight w:val="none"/>
        </w:rPr>
      </w:pPr>
    </w:p>
    <w:p w14:paraId="676CB7FA">
      <w:pPr>
        <w:pStyle w:val="18"/>
        <w:spacing w:before="50" w:beforeAutospacing="0" w:after="50" w:afterAutospacing="0" w:line="360" w:lineRule="exact"/>
        <w:rPr>
          <w:rFonts w:hint="eastAsia"/>
          <w:color w:val="auto"/>
          <w:sz w:val="21"/>
          <w:szCs w:val="21"/>
          <w:highlight w:val="none"/>
        </w:rPr>
      </w:pPr>
    </w:p>
    <w:p w14:paraId="4EE5AB21">
      <w:pPr>
        <w:pStyle w:val="18"/>
        <w:spacing w:before="47" w:beforeAutospacing="0" w:after="47" w:afterAutospacing="0" w:line="360" w:lineRule="exact"/>
        <w:rPr>
          <w:color w:val="auto"/>
          <w:sz w:val="21"/>
          <w:szCs w:val="21"/>
          <w:highlight w:val="none"/>
        </w:rPr>
      </w:pPr>
    </w:p>
    <w:p w14:paraId="01EE8860">
      <w:pPr>
        <w:widowControl/>
        <w:spacing w:line="360" w:lineRule="exact"/>
        <w:ind w:left="240"/>
        <w:jc w:val="right"/>
        <w:rPr>
          <w:rFonts w:hint="eastAsia" w:ascii="宋体" w:hAnsi="宋体" w:cs="宋体"/>
          <w:color w:val="auto"/>
          <w:highlight w:val="none"/>
        </w:rPr>
      </w:pPr>
      <w:bookmarkStart w:id="9" w:name="_Toc28359020"/>
      <w:bookmarkEnd w:id="9"/>
      <w:bookmarkStart w:id="10" w:name="_Toc28359097"/>
      <w:bookmarkEnd w:id="10"/>
      <w:bookmarkStart w:id="11" w:name="_Toc35393638"/>
      <w:bookmarkEnd w:id="11"/>
      <w:bookmarkStart w:id="12" w:name="_Toc35393807"/>
      <w:bookmarkEnd w:id="12"/>
      <w:r>
        <w:rPr>
          <w:rFonts w:hint="eastAsia" w:ascii="宋体" w:hAnsi="宋体" w:cs="宋体"/>
          <w:color w:val="auto"/>
          <w:kern w:val="0"/>
          <w:highlight w:val="none"/>
        </w:rPr>
        <w:t xml:space="preserve">                                                 广西壮族自治区政府采购中心</w:t>
      </w:r>
    </w:p>
    <w:p w14:paraId="5BEC6333">
      <w:pPr>
        <w:widowControl/>
        <w:spacing w:line="360" w:lineRule="exact"/>
        <w:ind w:left="240"/>
        <w:jc w:val="center"/>
        <w:rPr>
          <w:rFonts w:hint="eastAsia" w:ascii="宋体" w:hAnsi="宋体" w:cs="宋体"/>
          <w:color w:val="auto"/>
          <w:kern w:val="0"/>
          <w:highlight w:val="none"/>
        </w:rPr>
      </w:pPr>
      <w:r>
        <w:rPr>
          <w:rFonts w:hint="eastAsia" w:ascii="宋体" w:hAnsi="宋体" w:cs="宋体"/>
          <w:bCs/>
          <w:color w:val="auto"/>
          <w:kern w:val="0"/>
          <w:highlight w:val="none"/>
        </w:rPr>
        <w:t xml:space="preserve">                                                        </w:t>
      </w:r>
      <w:r>
        <w:rPr>
          <w:rFonts w:hint="eastAsia" w:ascii="宋体" w:hAnsi="宋体" w:cs="宋体"/>
          <w:bCs/>
          <w:color w:val="auto"/>
          <w:kern w:val="0"/>
          <w:highlight w:val="none"/>
          <w:lang w:val="en"/>
        </w:rPr>
        <w:t>202</w:t>
      </w:r>
      <w:r>
        <w:rPr>
          <w:rFonts w:hint="eastAsia" w:ascii="宋体" w:hAnsi="宋体" w:cs="宋体"/>
          <w:bCs/>
          <w:color w:val="auto"/>
          <w:kern w:val="0"/>
          <w:highlight w:val="none"/>
          <w:lang w:val="en-US" w:eastAsia="zh-CN"/>
        </w:rPr>
        <w:t>6</w:t>
      </w:r>
      <w:r>
        <w:rPr>
          <w:rFonts w:hint="eastAsia" w:ascii="宋体" w:hAnsi="宋体" w:cs="宋体"/>
          <w:bCs/>
          <w:color w:val="auto"/>
          <w:kern w:val="0"/>
          <w:highlight w:val="none"/>
          <w:lang w:val="en"/>
        </w:rPr>
        <w:t>年</w:t>
      </w:r>
      <w:r>
        <w:rPr>
          <w:rFonts w:hint="eastAsia" w:ascii="宋体" w:hAnsi="宋体" w:cs="宋体"/>
          <w:bCs/>
          <w:color w:val="auto"/>
          <w:kern w:val="0"/>
          <w:highlight w:val="none"/>
          <w:lang w:val="en-US" w:eastAsia="zh-CN"/>
        </w:rPr>
        <w:t>5</w:t>
      </w:r>
      <w:r>
        <w:rPr>
          <w:rFonts w:hint="eastAsia" w:ascii="宋体" w:hAnsi="宋体" w:cs="宋体"/>
          <w:bCs/>
          <w:color w:val="auto"/>
          <w:kern w:val="0"/>
          <w:highlight w:val="none"/>
        </w:rPr>
        <w:t>月</w:t>
      </w:r>
      <w:r>
        <w:rPr>
          <w:rFonts w:hint="eastAsia" w:ascii="宋体" w:hAnsi="宋体" w:cs="宋体"/>
          <w:bCs/>
          <w:color w:val="auto"/>
          <w:kern w:val="0"/>
          <w:highlight w:val="none"/>
          <w:lang w:val="en-US" w:eastAsia="zh-CN"/>
        </w:rPr>
        <w:t>29</w:t>
      </w:r>
      <w:r>
        <w:rPr>
          <w:rFonts w:hint="eastAsia" w:ascii="宋体" w:hAnsi="宋体" w:cs="宋体"/>
          <w:bCs/>
          <w:color w:val="auto"/>
          <w:kern w:val="0"/>
          <w:highlight w:val="none"/>
        </w:rPr>
        <w:t>日</w:t>
      </w:r>
    </w:p>
    <w:p w14:paraId="62491D8F">
      <w:pPr>
        <w:widowControl/>
        <w:spacing w:line="380" w:lineRule="exact"/>
        <w:ind w:left="240"/>
        <w:jc w:val="right"/>
        <w:rPr>
          <w:rFonts w:hint="eastAsia" w:ascii="宋体" w:hAnsi="宋体" w:cs="宋体"/>
          <w:b/>
          <w:bCs/>
          <w:color w:val="auto"/>
          <w:highlight w:val="none"/>
        </w:rPr>
      </w:pPr>
      <w:r>
        <w:rPr>
          <w:rFonts w:hint="eastAsia" w:ascii="宋体" w:hAnsi="宋体" w:cs="宋体"/>
          <w:b/>
          <w:bCs/>
          <w:color w:val="auto"/>
          <w:highlight w:val="none"/>
        </w:rPr>
        <w:t xml:space="preserve"> </w:t>
      </w:r>
    </w:p>
    <w:p w14:paraId="4ADA5A79">
      <w:pPr>
        <w:spacing w:line="380" w:lineRule="exact"/>
        <w:jc w:val="center"/>
        <w:rPr>
          <w:rFonts w:hint="eastAsia" w:ascii="宋体" w:hAnsi="宋体" w:cs="宋体"/>
          <w:b/>
          <w:bCs/>
          <w:color w:val="auto"/>
          <w:highlight w:val="none"/>
        </w:rPr>
      </w:pPr>
      <w:r>
        <w:rPr>
          <w:rFonts w:hint="eastAsia" w:ascii="宋体" w:hAnsi="宋体" w:cs="宋体"/>
          <w:b/>
          <w:bCs/>
          <w:color w:val="auto"/>
          <w:highlight w:val="none"/>
        </w:rPr>
        <w:t xml:space="preserve"> </w:t>
      </w:r>
    </w:p>
    <w:p w14:paraId="4E024F0F">
      <w:pPr>
        <w:spacing w:line="380" w:lineRule="exact"/>
        <w:jc w:val="center"/>
        <w:rPr>
          <w:rFonts w:hint="eastAsia" w:ascii="宋体" w:hAnsi="宋体" w:cs="宋体"/>
          <w:b/>
          <w:bCs/>
          <w:color w:val="auto"/>
          <w:highlight w:val="none"/>
        </w:rPr>
      </w:pPr>
      <w:r>
        <w:rPr>
          <w:rFonts w:hint="eastAsia" w:ascii="宋体" w:hAnsi="宋体" w:cs="宋体"/>
          <w:b/>
          <w:bCs/>
          <w:color w:val="auto"/>
          <w:highlight w:val="none"/>
        </w:rPr>
        <w:t xml:space="preserve"> </w:t>
      </w:r>
    </w:p>
    <w:p w14:paraId="3618C682">
      <w:pPr>
        <w:spacing w:line="380" w:lineRule="exact"/>
        <w:jc w:val="center"/>
        <w:rPr>
          <w:rFonts w:hint="eastAsia" w:ascii="宋体" w:hAnsi="宋体" w:cs="宋体"/>
          <w:b/>
          <w:bCs/>
          <w:color w:val="auto"/>
          <w:highlight w:val="none"/>
        </w:rPr>
      </w:pPr>
      <w:r>
        <w:rPr>
          <w:rFonts w:hint="eastAsia" w:ascii="宋体" w:hAnsi="宋体" w:cs="宋体"/>
          <w:b/>
          <w:bCs/>
          <w:color w:val="auto"/>
          <w:highlight w:val="none"/>
        </w:rPr>
        <w:t xml:space="preserve"> </w:t>
      </w:r>
    </w:p>
    <w:p w14:paraId="0FA309F1">
      <w:pPr>
        <w:spacing w:line="400" w:lineRule="exact"/>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 </w:t>
      </w:r>
    </w:p>
    <w:p w14:paraId="1EC44F88">
      <w:pPr>
        <w:spacing w:line="400" w:lineRule="exact"/>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 </w:t>
      </w:r>
    </w:p>
    <w:p w14:paraId="38BDC8CF">
      <w:pPr>
        <w:pStyle w:val="2"/>
        <w:rPr>
          <w:rFonts w:hint="eastAsia" w:ascii="宋体" w:hAnsi="宋体" w:cs="宋体"/>
          <w:b/>
          <w:bCs/>
          <w:color w:val="auto"/>
          <w:sz w:val="21"/>
          <w:szCs w:val="21"/>
          <w:highlight w:val="none"/>
        </w:rPr>
      </w:pPr>
    </w:p>
    <w:p w14:paraId="42BF51EF">
      <w:pPr>
        <w:pStyle w:val="2"/>
        <w:rPr>
          <w:rFonts w:hint="eastAsia" w:ascii="宋体" w:hAnsi="宋体" w:cs="宋体"/>
          <w:b/>
          <w:bCs/>
          <w:color w:val="auto"/>
          <w:sz w:val="21"/>
          <w:szCs w:val="21"/>
          <w:highlight w:val="none"/>
        </w:rPr>
      </w:pPr>
    </w:p>
    <w:p w14:paraId="54097969">
      <w:pPr>
        <w:pStyle w:val="2"/>
        <w:rPr>
          <w:rFonts w:hint="eastAsia" w:ascii="宋体" w:hAnsi="宋体" w:cs="宋体"/>
          <w:b/>
          <w:bCs/>
          <w:color w:val="auto"/>
          <w:sz w:val="21"/>
          <w:szCs w:val="21"/>
          <w:highlight w:val="none"/>
        </w:rPr>
      </w:pPr>
    </w:p>
    <w:p w14:paraId="2EF03865">
      <w:pPr>
        <w:pStyle w:val="2"/>
        <w:rPr>
          <w:rFonts w:hint="eastAsia" w:ascii="宋体" w:hAnsi="宋体" w:cs="宋体"/>
          <w:b/>
          <w:bCs/>
          <w:color w:val="auto"/>
          <w:sz w:val="21"/>
          <w:szCs w:val="21"/>
          <w:highlight w:val="none"/>
        </w:rPr>
      </w:pPr>
    </w:p>
    <w:p w14:paraId="11A92163">
      <w:pPr>
        <w:pStyle w:val="2"/>
        <w:rPr>
          <w:rFonts w:hint="eastAsia" w:ascii="宋体" w:hAnsi="宋体" w:cs="宋体"/>
          <w:b/>
          <w:bCs/>
          <w:color w:val="auto"/>
          <w:sz w:val="21"/>
          <w:szCs w:val="21"/>
          <w:highlight w:val="none"/>
        </w:rPr>
      </w:pPr>
    </w:p>
    <w:p w14:paraId="27ECC879">
      <w:pPr>
        <w:pStyle w:val="2"/>
        <w:rPr>
          <w:rFonts w:hint="eastAsia" w:ascii="宋体" w:hAnsi="宋体" w:cs="宋体"/>
          <w:b/>
          <w:bCs/>
          <w:color w:val="auto"/>
          <w:sz w:val="21"/>
          <w:szCs w:val="21"/>
          <w:highlight w:val="none"/>
        </w:rPr>
      </w:pPr>
    </w:p>
    <w:p w14:paraId="77BCCD12">
      <w:pPr>
        <w:pStyle w:val="2"/>
        <w:rPr>
          <w:rFonts w:hint="eastAsia" w:ascii="宋体" w:hAnsi="宋体" w:cs="宋体"/>
          <w:b/>
          <w:bCs/>
          <w:color w:val="auto"/>
          <w:sz w:val="21"/>
          <w:szCs w:val="21"/>
          <w:highlight w:val="none"/>
        </w:rPr>
      </w:pPr>
    </w:p>
    <w:p w14:paraId="0FFB40BE">
      <w:pPr>
        <w:pStyle w:val="3"/>
        <w:jc w:val="center"/>
        <w:rPr>
          <w:rFonts w:hint="eastAsia" w:ascii="宋体" w:hAnsi="宋体" w:cs="宋体"/>
          <w:color w:val="auto"/>
          <w:sz w:val="21"/>
          <w:szCs w:val="21"/>
          <w:highlight w:val="none"/>
        </w:rPr>
      </w:pPr>
      <w:bookmarkStart w:id="13" w:name="_Toc18481385"/>
      <w:bookmarkEnd w:id="13"/>
    </w:p>
    <w:p w14:paraId="3ACF358F">
      <w:pPr>
        <w:rPr>
          <w:rFonts w:hint="eastAsia" w:ascii="宋体" w:hAnsi="宋体" w:cs="宋体"/>
          <w:color w:val="auto"/>
          <w:highlight w:val="none"/>
        </w:rPr>
      </w:pPr>
    </w:p>
    <w:p w14:paraId="4A78E9DB">
      <w:pPr>
        <w:pStyle w:val="3"/>
        <w:jc w:val="center"/>
        <w:rPr>
          <w:rFonts w:hint="eastAsia" w:ascii="宋体" w:hAnsi="宋体" w:cs="宋体"/>
          <w:color w:val="auto"/>
          <w:sz w:val="21"/>
          <w:szCs w:val="21"/>
          <w:highlight w:val="none"/>
        </w:rPr>
      </w:pPr>
    </w:p>
    <w:p w14:paraId="3DAAB375">
      <w:pPr>
        <w:pStyle w:val="3"/>
        <w:jc w:val="center"/>
        <w:rPr>
          <w:rFonts w:hint="eastAsia" w:ascii="宋体" w:hAnsi="宋体" w:cs="宋体"/>
          <w:color w:val="auto"/>
          <w:sz w:val="21"/>
          <w:szCs w:val="21"/>
          <w:highlight w:val="none"/>
        </w:rPr>
      </w:pPr>
    </w:p>
    <w:p w14:paraId="7D199C0A">
      <w:pPr>
        <w:pStyle w:val="3"/>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第二章  供应商须知</w:t>
      </w:r>
    </w:p>
    <w:p w14:paraId="71EC1D61">
      <w:pPr>
        <w:spacing w:line="400" w:lineRule="exact"/>
        <w:ind w:firstLine="2530" w:firstLineChars="1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 </w:t>
      </w:r>
    </w:p>
    <w:p w14:paraId="6C827E9B">
      <w:pPr>
        <w:spacing w:line="400" w:lineRule="exact"/>
        <w:ind w:firstLine="2530" w:firstLineChars="1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 </w:t>
      </w:r>
    </w:p>
    <w:p w14:paraId="363BB59C">
      <w:pPr>
        <w:pageBreakBefore/>
        <w:spacing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供应商须知前附表</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8365"/>
      </w:tblGrid>
      <w:tr w14:paraId="3CE22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vAlign w:val="top"/>
          </w:tcPr>
          <w:p w14:paraId="0172DA5E">
            <w:pPr>
              <w:pStyle w:val="60"/>
              <w:spacing w:line="440" w:lineRule="exact"/>
              <w:jc w:val="center"/>
              <w:rPr>
                <w:rFonts w:hint="eastAsia" w:hAnsi="宋体" w:cs="宋体"/>
                <w:color w:val="auto"/>
                <w:highlight w:val="none"/>
              </w:rPr>
            </w:pPr>
            <w:r>
              <w:rPr>
                <w:rFonts w:hint="eastAsia" w:hAnsi="宋体" w:cs="宋体"/>
                <w:color w:val="auto"/>
                <w:highlight w:val="none"/>
              </w:rPr>
              <w:t>序号</w:t>
            </w:r>
          </w:p>
        </w:tc>
        <w:tc>
          <w:tcPr>
            <w:tcW w:w="8365" w:type="dxa"/>
            <w:tcBorders>
              <w:top w:val="single" w:color="auto" w:sz="4" w:space="0"/>
              <w:left w:val="nil"/>
              <w:bottom w:val="single" w:color="auto" w:sz="4" w:space="0"/>
              <w:right w:val="single" w:color="auto" w:sz="4" w:space="0"/>
            </w:tcBorders>
            <w:vAlign w:val="top"/>
          </w:tcPr>
          <w:p w14:paraId="5165508D">
            <w:pPr>
              <w:pStyle w:val="60"/>
              <w:spacing w:line="440" w:lineRule="exact"/>
              <w:jc w:val="center"/>
              <w:rPr>
                <w:rFonts w:hint="eastAsia" w:hAnsi="宋体" w:cs="宋体"/>
                <w:color w:val="auto"/>
                <w:highlight w:val="none"/>
              </w:rPr>
            </w:pPr>
            <w:r>
              <w:rPr>
                <w:rFonts w:hint="eastAsia" w:hAnsi="宋体" w:cs="宋体"/>
                <w:color w:val="auto"/>
                <w:highlight w:val="none"/>
              </w:rPr>
              <w:t>内    容</w:t>
            </w:r>
          </w:p>
        </w:tc>
      </w:tr>
      <w:tr w14:paraId="78275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EC23E3C">
            <w:pPr>
              <w:pStyle w:val="60"/>
              <w:spacing w:line="440" w:lineRule="exact"/>
              <w:jc w:val="center"/>
              <w:rPr>
                <w:rFonts w:hint="eastAsia" w:hAnsi="宋体" w:cs="宋体"/>
                <w:color w:val="auto"/>
                <w:highlight w:val="none"/>
              </w:rPr>
            </w:pPr>
            <w:r>
              <w:rPr>
                <w:rFonts w:hint="eastAsia" w:hAnsi="宋体" w:cs="宋体"/>
                <w:color w:val="auto"/>
                <w:highlight w:val="none"/>
              </w:rPr>
              <w:t>1</w:t>
            </w:r>
          </w:p>
        </w:tc>
        <w:tc>
          <w:tcPr>
            <w:tcW w:w="8365" w:type="dxa"/>
            <w:tcBorders>
              <w:top w:val="single" w:color="auto" w:sz="4" w:space="0"/>
              <w:left w:val="nil"/>
              <w:bottom w:val="single" w:color="auto" w:sz="4" w:space="0"/>
              <w:right w:val="single" w:color="auto" w:sz="4" w:space="0"/>
            </w:tcBorders>
            <w:vAlign w:val="center"/>
          </w:tcPr>
          <w:p w14:paraId="191E76CC">
            <w:pPr>
              <w:pStyle w:val="60"/>
              <w:spacing w:line="440" w:lineRule="exact"/>
              <w:rPr>
                <w:rFonts w:hint="eastAsia" w:hAnsi="宋体" w:eastAsia="宋体" w:cs="宋体"/>
                <w:bCs/>
                <w:color w:val="auto"/>
                <w:highlight w:val="none"/>
                <w:lang w:val="en-US" w:eastAsia="zh-CN"/>
              </w:rPr>
            </w:pPr>
            <w:r>
              <w:rPr>
                <w:rFonts w:hint="eastAsia" w:hAnsi="宋体" w:cs="宋体"/>
                <w:color w:val="auto"/>
                <w:highlight w:val="none"/>
              </w:rPr>
              <w:t>项目名称：</w:t>
            </w:r>
            <w:r>
              <w:rPr>
                <w:rFonts w:hint="eastAsia" w:hAnsi="宋体" w:cs="宋体"/>
                <w:color w:val="auto"/>
                <w:highlight w:val="none"/>
                <w:lang w:val="en-US" w:eastAsia="zh-CN"/>
              </w:rPr>
              <w:t>广西壮族自治区卫生健康委员会幼儿园物业服务采购</w:t>
            </w:r>
          </w:p>
          <w:p w14:paraId="045B5722">
            <w:pPr>
              <w:pStyle w:val="60"/>
              <w:spacing w:line="440" w:lineRule="exact"/>
              <w:rPr>
                <w:rFonts w:hint="eastAsia" w:hAnsi="宋体" w:cs="宋体"/>
                <w:b/>
                <w:bCs/>
                <w:color w:val="auto"/>
                <w:highlight w:val="none"/>
              </w:rPr>
            </w:pPr>
            <w:r>
              <w:rPr>
                <w:rFonts w:hint="eastAsia" w:hAnsi="宋体" w:cs="宋体"/>
                <w:color w:val="auto"/>
                <w:highlight w:val="none"/>
              </w:rPr>
              <w:t>项目编号：</w:t>
            </w:r>
            <w:r>
              <w:rPr>
                <w:rFonts w:hint="eastAsia" w:ascii="宋体" w:hAnsi="宋体" w:eastAsia="宋体" w:cs="宋体"/>
                <w:i w:val="0"/>
                <w:iCs w:val="0"/>
                <w:caps w:val="0"/>
                <w:color w:val="000000" w:themeColor="text1"/>
                <w:spacing w:val="0"/>
                <w:sz w:val="21"/>
                <w:szCs w:val="21"/>
                <w:highlight w:val="none"/>
                <w:shd w:val="clear" w:fill="EBF4FF"/>
              </w:rPr>
              <w:t>GXZC2026-C3-001485-CGZX</w:t>
            </w:r>
            <w:r>
              <w:rPr>
                <w:rFonts w:hint="eastAsia" w:hAnsi="宋体" w:eastAsia="宋体"/>
                <w:color w:val="000000" w:themeColor="text1"/>
                <w:highlight w:val="none"/>
              </w:rPr>
              <w:t xml:space="preserve">    </w:t>
            </w:r>
            <w:r>
              <w:rPr>
                <w:rFonts w:hint="eastAsia" w:hAnsi="宋体" w:eastAsia="宋体"/>
                <w:color w:val="auto"/>
                <w:highlight w:val="none"/>
              </w:rPr>
              <w:t xml:space="preserve">     </w:t>
            </w:r>
            <w:r>
              <w:rPr>
                <w:rFonts w:hint="eastAsia" w:hAnsi="宋体"/>
                <w:color w:val="auto"/>
                <w:sz w:val="21"/>
                <w:szCs w:val="21"/>
                <w:highlight w:val="none"/>
              </w:rPr>
              <w:t xml:space="preserve">       </w:t>
            </w:r>
          </w:p>
        </w:tc>
      </w:tr>
      <w:tr w14:paraId="5845D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C7673A8">
            <w:pPr>
              <w:pStyle w:val="60"/>
              <w:spacing w:line="440" w:lineRule="exact"/>
              <w:jc w:val="center"/>
              <w:rPr>
                <w:rFonts w:hint="eastAsia" w:hAnsi="宋体" w:cs="宋体"/>
                <w:color w:val="auto"/>
                <w:highlight w:val="none"/>
              </w:rPr>
            </w:pPr>
            <w:r>
              <w:rPr>
                <w:rFonts w:hint="eastAsia" w:hAnsi="宋体" w:cs="宋体"/>
                <w:color w:val="auto"/>
                <w:highlight w:val="none"/>
              </w:rPr>
              <w:t>2</w:t>
            </w:r>
          </w:p>
        </w:tc>
        <w:tc>
          <w:tcPr>
            <w:tcW w:w="8365" w:type="dxa"/>
            <w:tcBorders>
              <w:top w:val="single" w:color="auto" w:sz="4" w:space="0"/>
              <w:left w:val="nil"/>
              <w:bottom w:val="single" w:color="auto" w:sz="4" w:space="0"/>
              <w:right w:val="single" w:color="auto" w:sz="4" w:space="0"/>
            </w:tcBorders>
            <w:vAlign w:val="center"/>
          </w:tcPr>
          <w:p w14:paraId="41412311">
            <w:pPr>
              <w:pStyle w:val="60"/>
              <w:spacing w:line="440" w:lineRule="exact"/>
              <w:ind w:left="-36" w:firstLine="36"/>
              <w:rPr>
                <w:rFonts w:hint="eastAsia" w:hAnsi="宋体" w:cs="宋体"/>
                <w:color w:val="auto"/>
                <w:highlight w:val="none"/>
              </w:rPr>
            </w:pPr>
            <w:r>
              <w:rPr>
                <w:rFonts w:hint="eastAsia" w:hAnsi="宋体" w:cs="宋体"/>
                <w:color w:val="auto"/>
                <w:highlight w:val="none"/>
              </w:rPr>
              <w:t>供应商资格：具备《中华人民共和国政府采购法》第二十二条规定的条件。</w:t>
            </w:r>
          </w:p>
        </w:tc>
      </w:tr>
      <w:tr w14:paraId="04BC2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67C1A80">
            <w:pPr>
              <w:pStyle w:val="60"/>
              <w:spacing w:line="440" w:lineRule="exact"/>
              <w:jc w:val="center"/>
              <w:rPr>
                <w:rFonts w:hint="eastAsia" w:hAnsi="宋体" w:cs="宋体"/>
                <w:color w:val="auto"/>
                <w:highlight w:val="none"/>
              </w:rPr>
            </w:pPr>
            <w:r>
              <w:rPr>
                <w:rFonts w:hint="eastAsia" w:hAnsi="宋体" w:cs="宋体"/>
                <w:color w:val="auto"/>
                <w:highlight w:val="none"/>
              </w:rPr>
              <w:t>3</w:t>
            </w:r>
          </w:p>
        </w:tc>
        <w:tc>
          <w:tcPr>
            <w:tcW w:w="8365" w:type="dxa"/>
            <w:tcBorders>
              <w:top w:val="single" w:color="auto" w:sz="4" w:space="0"/>
              <w:left w:val="nil"/>
              <w:bottom w:val="single" w:color="auto" w:sz="4" w:space="0"/>
              <w:right w:val="single" w:color="auto" w:sz="4" w:space="0"/>
            </w:tcBorders>
            <w:vAlign w:val="center"/>
          </w:tcPr>
          <w:p w14:paraId="4F2B5E24">
            <w:pPr>
              <w:spacing w:line="440" w:lineRule="exact"/>
              <w:rPr>
                <w:rFonts w:hint="eastAsia" w:ascii="宋体" w:hAnsi="宋体" w:cs="宋体"/>
                <w:color w:val="auto"/>
                <w:highlight w:val="none"/>
              </w:rPr>
            </w:pPr>
            <w:r>
              <w:rPr>
                <w:rFonts w:hint="eastAsia" w:ascii="宋体" w:hAnsi="宋体" w:cs="宋体"/>
                <w:color w:val="auto"/>
                <w:highlight w:val="none"/>
              </w:rPr>
              <w:t>报价：磋商供应商就《采购需求》中的服务内容作完整唯一报价。</w:t>
            </w:r>
          </w:p>
        </w:tc>
      </w:tr>
      <w:tr w14:paraId="49E26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C095E3C">
            <w:pPr>
              <w:pStyle w:val="60"/>
              <w:spacing w:line="440" w:lineRule="exact"/>
              <w:jc w:val="center"/>
              <w:rPr>
                <w:rFonts w:hint="eastAsia" w:hAnsi="宋体" w:cs="宋体"/>
                <w:color w:val="auto"/>
                <w:highlight w:val="none"/>
              </w:rPr>
            </w:pPr>
            <w:r>
              <w:rPr>
                <w:rFonts w:hint="eastAsia" w:hAnsi="宋体" w:cs="宋体"/>
                <w:color w:val="auto"/>
                <w:highlight w:val="none"/>
              </w:rPr>
              <w:t>4</w:t>
            </w:r>
          </w:p>
        </w:tc>
        <w:tc>
          <w:tcPr>
            <w:tcW w:w="8365" w:type="dxa"/>
            <w:tcBorders>
              <w:top w:val="single" w:color="auto" w:sz="4" w:space="0"/>
              <w:left w:val="nil"/>
              <w:bottom w:val="single" w:color="auto" w:sz="4" w:space="0"/>
              <w:right w:val="single" w:color="auto" w:sz="4" w:space="0"/>
            </w:tcBorders>
            <w:vAlign w:val="center"/>
          </w:tcPr>
          <w:p w14:paraId="72F3EC10">
            <w:pPr>
              <w:pStyle w:val="11"/>
              <w:spacing w:line="440" w:lineRule="exact"/>
              <w:rPr>
                <w:rFonts w:hint="eastAsia" w:hAnsi="宋体" w:cs="宋体"/>
                <w:color w:val="auto"/>
                <w:szCs w:val="21"/>
                <w:highlight w:val="none"/>
              </w:rPr>
            </w:pPr>
            <w:r>
              <w:rPr>
                <w:rFonts w:hint="eastAsia" w:hAnsi="宋体" w:cs="宋体"/>
                <w:color w:val="auto"/>
                <w:szCs w:val="21"/>
                <w:highlight w:val="none"/>
              </w:rPr>
              <w:t>响应文件的上传和提交：</w:t>
            </w:r>
          </w:p>
          <w:p w14:paraId="7EFB414A">
            <w:pPr>
              <w:pStyle w:val="11"/>
              <w:spacing w:line="440" w:lineRule="exact"/>
              <w:rPr>
                <w:rFonts w:hint="eastAsia" w:hAnsi="宋体" w:cs="宋体"/>
                <w:color w:val="auto"/>
                <w:szCs w:val="21"/>
                <w:highlight w:val="none"/>
              </w:rPr>
            </w:pPr>
            <w:r>
              <w:rPr>
                <w:rFonts w:hint="eastAsia" w:hAnsi="宋体" w:cs="宋体"/>
                <w:color w:val="auto"/>
                <w:szCs w:val="21"/>
                <w:highlight w:val="none"/>
              </w:rPr>
              <w:t xml:space="preserve">    本项目通过“</w:t>
            </w:r>
            <w:r>
              <w:rPr>
                <w:rFonts w:hint="eastAsia" w:hAnsi="宋体" w:cs="宋体"/>
                <w:color w:val="auto"/>
                <w:szCs w:val="21"/>
                <w:highlight w:val="none"/>
                <w:lang w:val="en"/>
              </w:rPr>
              <w:t>广西政府采购云平台</w:t>
            </w:r>
            <w:r>
              <w:rPr>
                <w:rFonts w:hint="eastAsia" w:hAnsi="宋体" w:cs="宋体"/>
                <w:color w:val="auto"/>
                <w:szCs w:val="21"/>
                <w:highlight w:val="none"/>
              </w:rPr>
              <w:t>（</w:t>
            </w:r>
            <w:r>
              <w:rPr>
                <w:rStyle w:val="45"/>
                <w:rFonts w:hint="eastAsia" w:hAnsi="宋体" w:cs="宋体"/>
                <w:color w:val="auto"/>
                <w:szCs w:val="21"/>
                <w:highlight w:val="none"/>
              </w:rPr>
              <w:t>www.gcy.zfcg.gxzf.gov.cn</w:t>
            </w:r>
            <w:r>
              <w:rPr>
                <w:rFonts w:hint="eastAsia" w:hAnsi="宋体" w:cs="宋体"/>
                <w:color w:val="auto"/>
                <w:szCs w:val="21"/>
                <w:highlight w:val="none"/>
              </w:rPr>
              <w:t>）”实行在线磋商响应（电子标），磋商供应商应当在</w:t>
            </w:r>
            <w:r>
              <w:rPr>
                <w:rFonts w:hint="eastAsia" w:hAnsi="宋体" w:cs="宋体"/>
                <w:b/>
                <w:color w:val="auto"/>
                <w:szCs w:val="21"/>
                <w:highlight w:val="none"/>
              </w:rPr>
              <w:t>上传响应文件截止时间</w:t>
            </w:r>
            <w:r>
              <w:rPr>
                <w:rFonts w:hint="eastAsia" w:hAnsi="宋体" w:cs="宋体"/>
                <w:color w:val="auto"/>
                <w:szCs w:val="21"/>
                <w:highlight w:val="none"/>
              </w:rPr>
              <w:t>前，将生成的“电子加密响应文件”上传提交至“</w:t>
            </w:r>
            <w:r>
              <w:rPr>
                <w:rFonts w:hint="eastAsia" w:hAnsi="宋体" w:cs="宋体"/>
                <w:color w:val="auto"/>
                <w:szCs w:val="21"/>
                <w:highlight w:val="none"/>
                <w:lang w:val="en"/>
              </w:rPr>
              <w:t>广西政府采购云平台</w:t>
            </w:r>
            <w:r>
              <w:rPr>
                <w:rFonts w:hint="eastAsia" w:hAnsi="宋体" w:cs="宋体"/>
                <w:color w:val="auto"/>
                <w:szCs w:val="21"/>
                <w:highlight w:val="none"/>
              </w:rPr>
              <w:t>”。</w:t>
            </w:r>
          </w:p>
          <w:p w14:paraId="200B21C2">
            <w:pPr>
              <w:pStyle w:val="11"/>
              <w:spacing w:line="440" w:lineRule="exact"/>
              <w:rPr>
                <w:rFonts w:hint="eastAsia" w:hAnsi="宋体" w:cs="宋体"/>
                <w:color w:val="auto"/>
                <w:szCs w:val="21"/>
                <w:highlight w:val="none"/>
              </w:rPr>
            </w:pPr>
            <w:r>
              <w:rPr>
                <w:rFonts w:hint="eastAsia" w:hAnsi="宋体" w:cs="宋体"/>
                <w:color w:val="auto"/>
                <w:szCs w:val="21"/>
                <w:highlight w:val="none"/>
              </w:rPr>
              <w:t>“电子加密响应文件”的上传、提交：</w:t>
            </w:r>
          </w:p>
          <w:p w14:paraId="0B73A4C0">
            <w:pPr>
              <w:pStyle w:val="11"/>
              <w:spacing w:line="440" w:lineRule="exact"/>
              <w:rPr>
                <w:rFonts w:hint="eastAsia" w:hAnsi="宋体" w:cs="宋体"/>
                <w:color w:val="auto"/>
                <w:szCs w:val="21"/>
                <w:highlight w:val="none"/>
              </w:rPr>
            </w:pPr>
            <w:r>
              <w:rPr>
                <w:rFonts w:hint="eastAsia" w:hAnsi="宋体" w:cs="宋体"/>
                <w:color w:val="auto"/>
                <w:szCs w:val="21"/>
                <w:highlight w:val="none"/>
              </w:rPr>
              <w:t>a.磋商供应商应在</w:t>
            </w:r>
            <w:r>
              <w:rPr>
                <w:rFonts w:hint="eastAsia" w:hAnsi="宋体" w:cs="宋体"/>
                <w:b/>
                <w:color w:val="auto"/>
                <w:szCs w:val="21"/>
                <w:highlight w:val="none"/>
              </w:rPr>
              <w:t>上传响应文件截止时间</w:t>
            </w:r>
            <w:r>
              <w:rPr>
                <w:rFonts w:hint="eastAsia" w:hAnsi="宋体" w:cs="宋体"/>
                <w:color w:val="auto"/>
                <w:szCs w:val="21"/>
                <w:highlight w:val="none"/>
              </w:rPr>
              <w:t>前将“电子加密响应文件”成功上传提交至“</w:t>
            </w:r>
            <w:r>
              <w:rPr>
                <w:rFonts w:hint="eastAsia" w:hAnsi="宋体" w:cs="宋体"/>
                <w:color w:val="auto"/>
                <w:szCs w:val="21"/>
                <w:highlight w:val="none"/>
                <w:lang w:val="en"/>
              </w:rPr>
              <w:t>广西政府采购云平台</w:t>
            </w:r>
            <w:r>
              <w:rPr>
                <w:rFonts w:hint="eastAsia" w:hAnsi="宋体" w:cs="宋体"/>
                <w:color w:val="auto"/>
                <w:szCs w:val="21"/>
                <w:highlight w:val="none"/>
              </w:rPr>
              <w:t>”，否则磋商无效。</w:t>
            </w:r>
          </w:p>
          <w:p w14:paraId="49404AE5">
            <w:pPr>
              <w:pStyle w:val="11"/>
              <w:spacing w:line="440" w:lineRule="exact"/>
              <w:rPr>
                <w:rFonts w:hint="eastAsia" w:hAnsi="宋体" w:cs="宋体"/>
                <w:color w:val="auto"/>
                <w:szCs w:val="21"/>
                <w:highlight w:val="none"/>
              </w:rPr>
            </w:pPr>
            <w:r>
              <w:rPr>
                <w:rFonts w:hint="eastAsia" w:hAnsi="宋体" w:cs="宋体"/>
                <w:color w:val="auto"/>
                <w:szCs w:val="21"/>
                <w:highlight w:val="none"/>
              </w:rPr>
              <w:t>b.“电子加密磋商响应文件”成功上传提交后，供应商可自行打印响应文件接收回执。</w:t>
            </w:r>
          </w:p>
        </w:tc>
      </w:tr>
      <w:tr w14:paraId="25B0C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371124B">
            <w:pPr>
              <w:pStyle w:val="60"/>
              <w:spacing w:line="440" w:lineRule="exact"/>
              <w:jc w:val="center"/>
              <w:rPr>
                <w:rFonts w:hint="eastAsia" w:hAnsi="宋体" w:cs="宋体"/>
                <w:color w:val="auto"/>
                <w:highlight w:val="none"/>
              </w:rPr>
            </w:pPr>
            <w:r>
              <w:rPr>
                <w:rFonts w:hint="eastAsia" w:hAnsi="宋体" w:cs="宋体"/>
                <w:color w:val="auto"/>
                <w:highlight w:val="none"/>
              </w:rPr>
              <w:t>5</w:t>
            </w:r>
          </w:p>
        </w:tc>
        <w:tc>
          <w:tcPr>
            <w:tcW w:w="8365" w:type="dxa"/>
            <w:tcBorders>
              <w:top w:val="single" w:color="auto" w:sz="4" w:space="0"/>
              <w:left w:val="nil"/>
              <w:bottom w:val="single" w:color="auto" w:sz="4" w:space="0"/>
              <w:right w:val="single" w:color="auto" w:sz="4" w:space="0"/>
            </w:tcBorders>
            <w:vAlign w:val="center"/>
          </w:tcPr>
          <w:p w14:paraId="6398225B">
            <w:pPr>
              <w:pStyle w:val="60"/>
              <w:spacing w:line="440" w:lineRule="exact"/>
              <w:rPr>
                <w:rFonts w:hint="eastAsia" w:hAnsi="宋体"/>
                <w:color w:val="auto"/>
                <w:highlight w:val="none"/>
              </w:rPr>
            </w:pPr>
            <w:r>
              <w:rPr>
                <w:rFonts w:hint="eastAsia" w:hAnsi="宋体"/>
                <w:color w:val="auto"/>
                <w:highlight w:val="none"/>
              </w:rPr>
              <w:t>提交响应文件截止时间：见竞争性磋商公告</w:t>
            </w:r>
          </w:p>
        </w:tc>
      </w:tr>
      <w:tr w14:paraId="3842B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7E0628F">
            <w:pPr>
              <w:pStyle w:val="60"/>
              <w:spacing w:line="440" w:lineRule="exact"/>
              <w:jc w:val="center"/>
              <w:rPr>
                <w:rFonts w:hint="eastAsia" w:hAnsi="宋体" w:cs="宋体"/>
                <w:color w:val="auto"/>
                <w:highlight w:val="none"/>
              </w:rPr>
            </w:pPr>
            <w:r>
              <w:rPr>
                <w:rFonts w:hint="eastAsia" w:hAnsi="宋体" w:cs="宋体"/>
                <w:color w:val="auto"/>
                <w:highlight w:val="none"/>
              </w:rPr>
              <w:t>6</w:t>
            </w:r>
          </w:p>
        </w:tc>
        <w:tc>
          <w:tcPr>
            <w:tcW w:w="8365" w:type="dxa"/>
            <w:tcBorders>
              <w:top w:val="single" w:color="auto" w:sz="4" w:space="0"/>
              <w:left w:val="nil"/>
              <w:bottom w:val="single" w:color="auto" w:sz="4" w:space="0"/>
              <w:right w:val="single" w:color="auto" w:sz="4" w:space="0"/>
            </w:tcBorders>
            <w:vAlign w:val="center"/>
          </w:tcPr>
          <w:p w14:paraId="702BBD85">
            <w:pPr>
              <w:pStyle w:val="60"/>
              <w:spacing w:line="440" w:lineRule="exact"/>
              <w:rPr>
                <w:rFonts w:hint="eastAsia" w:hAnsi="宋体" w:cs="宋体"/>
                <w:color w:val="auto"/>
                <w:highlight w:val="none"/>
              </w:rPr>
            </w:pPr>
            <w:r>
              <w:rPr>
                <w:rFonts w:hint="eastAsia" w:hAnsi="宋体" w:cs="宋体"/>
                <w:color w:val="auto"/>
                <w:highlight w:val="none"/>
              </w:rPr>
              <w:t>响应文件有效期：响应文件提交截止日期后六十日。</w:t>
            </w:r>
          </w:p>
        </w:tc>
      </w:tr>
      <w:tr w14:paraId="6CF31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77748CB">
            <w:pPr>
              <w:pStyle w:val="60"/>
              <w:spacing w:line="440" w:lineRule="exact"/>
              <w:jc w:val="center"/>
              <w:rPr>
                <w:rFonts w:hint="eastAsia" w:hAnsi="宋体" w:cs="宋体"/>
                <w:color w:val="auto"/>
                <w:highlight w:val="none"/>
              </w:rPr>
            </w:pPr>
            <w:r>
              <w:rPr>
                <w:rFonts w:hint="eastAsia" w:hAnsi="宋体" w:cs="宋体"/>
                <w:color w:val="auto"/>
                <w:highlight w:val="none"/>
              </w:rPr>
              <w:t>7</w:t>
            </w:r>
          </w:p>
        </w:tc>
        <w:tc>
          <w:tcPr>
            <w:tcW w:w="8365" w:type="dxa"/>
            <w:tcBorders>
              <w:top w:val="single" w:color="auto" w:sz="4" w:space="0"/>
              <w:left w:val="nil"/>
              <w:bottom w:val="single" w:color="auto" w:sz="4" w:space="0"/>
              <w:right w:val="single" w:color="auto" w:sz="4" w:space="0"/>
            </w:tcBorders>
            <w:vAlign w:val="center"/>
          </w:tcPr>
          <w:p w14:paraId="11FAB298">
            <w:pPr>
              <w:pStyle w:val="11"/>
              <w:spacing w:line="440" w:lineRule="exact"/>
              <w:rPr>
                <w:rFonts w:hint="eastAsia" w:hAnsi="宋体" w:cs="宋体"/>
                <w:color w:val="auto"/>
                <w:szCs w:val="21"/>
                <w:highlight w:val="none"/>
              </w:rPr>
            </w:pPr>
            <w:r>
              <w:rPr>
                <w:rFonts w:hint="eastAsia" w:hAnsi="宋体" w:cs="宋体"/>
                <w:color w:val="auto"/>
                <w:szCs w:val="21"/>
                <w:highlight w:val="none"/>
              </w:rPr>
              <w:t>保证金：见竞争性磋商公告。</w:t>
            </w:r>
          </w:p>
        </w:tc>
      </w:tr>
      <w:tr w14:paraId="04E43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E37B322">
            <w:pPr>
              <w:pStyle w:val="60"/>
              <w:spacing w:line="440" w:lineRule="exact"/>
              <w:jc w:val="center"/>
              <w:rPr>
                <w:rFonts w:hint="eastAsia" w:hAnsi="宋体" w:cs="宋体"/>
                <w:color w:val="auto"/>
                <w:highlight w:val="none"/>
              </w:rPr>
            </w:pPr>
            <w:r>
              <w:rPr>
                <w:rFonts w:hint="eastAsia" w:hAnsi="宋体" w:cs="宋体"/>
                <w:color w:val="auto"/>
                <w:highlight w:val="none"/>
              </w:rPr>
              <w:t>8</w:t>
            </w:r>
          </w:p>
        </w:tc>
        <w:tc>
          <w:tcPr>
            <w:tcW w:w="8365" w:type="dxa"/>
            <w:tcBorders>
              <w:top w:val="single" w:color="auto" w:sz="4" w:space="0"/>
              <w:left w:val="nil"/>
              <w:bottom w:val="single" w:color="auto" w:sz="4" w:space="0"/>
              <w:right w:val="single" w:color="auto" w:sz="4" w:space="0"/>
            </w:tcBorders>
            <w:vAlign w:val="center"/>
          </w:tcPr>
          <w:p w14:paraId="76DC79DE">
            <w:pPr>
              <w:pStyle w:val="60"/>
              <w:spacing w:line="440" w:lineRule="exact"/>
              <w:rPr>
                <w:rFonts w:hint="eastAsia" w:hAnsi="宋体" w:cs="宋体"/>
                <w:b/>
                <w:bCs/>
                <w:color w:val="auto"/>
                <w:highlight w:val="none"/>
              </w:rPr>
            </w:pPr>
            <w:r>
              <w:rPr>
                <w:rFonts w:hint="eastAsia" w:hAnsi="宋体" w:cs="宋体"/>
                <w:b/>
                <w:bCs/>
                <w:color w:val="auto"/>
                <w:highlight w:val="none"/>
              </w:rPr>
              <w:t>磋商时间：</w:t>
            </w:r>
            <w:r>
              <w:rPr>
                <w:rFonts w:hint="eastAsia" w:hAnsi="宋体" w:cs="宋体"/>
                <w:b/>
                <w:bCs/>
                <w:color w:val="auto"/>
                <w:highlight w:val="none"/>
                <w:u w:val="single"/>
                <w:lang w:val="en"/>
              </w:rPr>
              <w:t>202</w:t>
            </w:r>
            <w:r>
              <w:rPr>
                <w:rFonts w:hint="eastAsia" w:hAnsi="宋体" w:cs="宋体"/>
                <w:b/>
                <w:bCs/>
                <w:color w:val="auto"/>
                <w:highlight w:val="none"/>
                <w:u w:val="single"/>
                <w:lang w:val="en-US" w:eastAsia="zh-CN"/>
              </w:rPr>
              <w:t>6</w:t>
            </w:r>
            <w:r>
              <w:rPr>
                <w:rFonts w:hint="eastAsia" w:hAnsi="宋体" w:cs="宋体"/>
                <w:b/>
                <w:bCs/>
                <w:color w:val="auto"/>
                <w:highlight w:val="none"/>
                <w:u w:val="single"/>
                <w:lang w:val="en"/>
              </w:rPr>
              <w:t>年</w:t>
            </w:r>
            <w:r>
              <w:rPr>
                <w:rFonts w:hint="eastAsia" w:hAnsi="宋体" w:cs="宋体"/>
                <w:b/>
                <w:bCs/>
                <w:color w:val="auto"/>
                <w:highlight w:val="none"/>
                <w:u w:val="single"/>
                <w:lang w:val="en-US" w:eastAsia="zh-CN"/>
              </w:rPr>
              <w:t>6</w:t>
            </w:r>
            <w:r>
              <w:rPr>
                <w:rFonts w:hint="eastAsia" w:hAnsi="宋体" w:cs="宋体"/>
                <w:b/>
                <w:bCs/>
                <w:color w:val="auto"/>
                <w:highlight w:val="none"/>
                <w:u w:val="single"/>
              </w:rPr>
              <w:t>月</w:t>
            </w:r>
            <w:r>
              <w:rPr>
                <w:rFonts w:hint="eastAsia" w:hAnsi="宋体" w:cs="宋体"/>
                <w:b/>
                <w:bCs/>
                <w:color w:val="auto"/>
                <w:highlight w:val="none"/>
                <w:u w:val="single"/>
                <w:lang w:val="en-US" w:eastAsia="zh-CN"/>
              </w:rPr>
              <w:t>8</w:t>
            </w:r>
            <w:r>
              <w:rPr>
                <w:rFonts w:hint="eastAsia" w:hAnsi="宋体" w:cs="宋体"/>
                <w:b/>
                <w:bCs/>
                <w:color w:val="auto"/>
                <w:highlight w:val="none"/>
                <w:u w:val="single"/>
              </w:rPr>
              <w:t>日</w:t>
            </w:r>
            <w:r>
              <w:rPr>
                <w:rFonts w:hint="eastAsia" w:hAnsi="宋体" w:cs="宋体"/>
                <w:b/>
                <w:bCs/>
                <w:color w:val="auto"/>
                <w:highlight w:val="none"/>
              </w:rPr>
              <w:t>10时整截标后（如有变动，具体时间由广西壮族自治区政府采购中心另行通知）</w:t>
            </w:r>
          </w:p>
          <w:p w14:paraId="44EA9F4B">
            <w:pPr>
              <w:pStyle w:val="60"/>
              <w:spacing w:line="440" w:lineRule="exact"/>
              <w:rPr>
                <w:rFonts w:hint="eastAsia" w:hAnsi="宋体" w:cs="宋体"/>
                <w:b/>
                <w:bCs/>
                <w:color w:val="auto"/>
                <w:highlight w:val="none"/>
              </w:rPr>
            </w:pPr>
            <w:r>
              <w:rPr>
                <w:rFonts w:hint="eastAsia" w:hAnsi="宋体" w:cs="宋体"/>
                <w:b/>
                <w:bCs/>
                <w:color w:val="auto"/>
                <w:highlight w:val="none"/>
              </w:rPr>
              <w:t>磋商地点：南宁市星湖路22号广西壮族自治区政府采购中心</w:t>
            </w:r>
          </w:p>
          <w:p w14:paraId="709AE157">
            <w:pPr>
              <w:pStyle w:val="60"/>
              <w:spacing w:line="440" w:lineRule="exact"/>
              <w:rPr>
                <w:rFonts w:hint="eastAsia" w:hAnsi="宋体" w:cs="宋体"/>
                <w:color w:val="auto"/>
                <w:kern w:val="0"/>
                <w:highlight w:val="none"/>
              </w:rPr>
            </w:pPr>
            <w:r>
              <w:rPr>
                <w:rFonts w:hint="eastAsia" w:hAnsi="宋体"/>
                <w:color w:val="auto"/>
                <w:highlight w:val="none"/>
              </w:rPr>
              <w:t>（本项目实施电子标，不要求供应商到达磋商现场）</w:t>
            </w:r>
          </w:p>
        </w:tc>
      </w:tr>
      <w:tr w14:paraId="6F94A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7E5D6B4">
            <w:pPr>
              <w:pStyle w:val="60"/>
              <w:spacing w:line="440" w:lineRule="exact"/>
              <w:jc w:val="center"/>
              <w:rPr>
                <w:rFonts w:hint="eastAsia" w:hAnsi="宋体" w:cs="宋体"/>
                <w:color w:val="auto"/>
                <w:highlight w:val="none"/>
              </w:rPr>
            </w:pPr>
            <w:r>
              <w:rPr>
                <w:rFonts w:hint="eastAsia" w:hAnsi="宋体" w:cs="宋体"/>
                <w:color w:val="auto"/>
                <w:highlight w:val="none"/>
              </w:rPr>
              <w:t>9</w:t>
            </w:r>
          </w:p>
        </w:tc>
        <w:tc>
          <w:tcPr>
            <w:tcW w:w="8365" w:type="dxa"/>
            <w:tcBorders>
              <w:top w:val="single" w:color="auto" w:sz="4" w:space="0"/>
              <w:left w:val="nil"/>
              <w:bottom w:val="single" w:color="auto" w:sz="4" w:space="0"/>
              <w:right w:val="single" w:color="auto" w:sz="4" w:space="0"/>
            </w:tcBorders>
            <w:vAlign w:val="center"/>
          </w:tcPr>
          <w:p w14:paraId="10A6BE8F">
            <w:pPr>
              <w:pStyle w:val="60"/>
              <w:spacing w:line="440" w:lineRule="exact"/>
              <w:rPr>
                <w:rFonts w:hint="eastAsia" w:hAnsi="宋体" w:cs="宋体"/>
                <w:color w:val="auto"/>
                <w:highlight w:val="none"/>
              </w:rPr>
            </w:pPr>
            <w:r>
              <w:rPr>
                <w:rFonts w:hint="eastAsia" w:hAnsi="宋体" w:cs="宋体"/>
                <w:color w:val="auto"/>
                <w:highlight w:val="none"/>
              </w:rPr>
              <w:t>评审方法：综合评分法（详细见第六章）</w:t>
            </w:r>
          </w:p>
        </w:tc>
      </w:tr>
      <w:tr w14:paraId="5AFFD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94F187C">
            <w:pPr>
              <w:pStyle w:val="60"/>
              <w:spacing w:line="440" w:lineRule="exact"/>
              <w:jc w:val="center"/>
              <w:rPr>
                <w:rFonts w:hint="eastAsia" w:hAnsi="宋体" w:cs="宋体"/>
                <w:color w:val="auto"/>
                <w:highlight w:val="none"/>
              </w:rPr>
            </w:pPr>
            <w:r>
              <w:rPr>
                <w:rFonts w:hint="eastAsia" w:hAnsi="宋体" w:cs="宋体"/>
                <w:color w:val="auto"/>
                <w:highlight w:val="none"/>
              </w:rPr>
              <w:t>10</w:t>
            </w:r>
          </w:p>
        </w:tc>
        <w:tc>
          <w:tcPr>
            <w:tcW w:w="8365" w:type="dxa"/>
            <w:tcBorders>
              <w:top w:val="single" w:color="auto" w:sz="4" w:space="0"/>
              <w:left w:val="nil"/>
              <w:bottom w:val="single" w:color="auto" w:sz="4" w:space="0"/>
              <w:right w:val="single" w:color="auto" w:sz="4" w:space="0"/>
            </w:tcBorders>
            <w:vAlign w:val="center"/>
          </w:tcPr>
          <w:p w14:paraId="4699A6FE">
            <w:pPr>
              <w:spacing w:line="440" w:lineRule="exact"/>
              <w:rPr>
                <w:rFonts w:hint="eastAsia" w:ascii="宋体" w:hAnsi="宋体" w:cs="宋体"/>
                <w:snapToGrid w:val="0"/>
                <w:color w:val="auto"/>
                <w:highlight w:val="none"/>
              </w:rPr>
            </w:pPr>
            <w:r>
              <w:rPr>
                <w:rFonts w:hint="eastAsia" w:ascii="宋体" w:hAnsi="宋体" w:cs="宋体"/>
                <w:color w:val="auto"/>
                <w:highlight w:val="none"/>
              </w:rPr>
              <w:t>响应文件形式：</w:t>
            </w:r>
            <w:r>
              <w:rPr>
                <w:rFonts w:hint="eastAsia" w:ascii="宋体" w:hAnsi="宋体" w:cs="宋体"/>
                <w:snapToGrid w:val="0"/>
                <w:color w:val="auto"/>
                <w:highlight w:val="none"/>
              </w:rPr>
              <w:t>磋商供应商应准备电子响应文件。</w:t>
            </w:r>
          </w:p>
          <w:p w14:paraId="78F14B0E">
            <w:pPr>
              <w:pStyle w:val="60"/>
              <w:spacing w:line="440" w:lineRule="exact"/>
              <w:rPr>
                <w:rFonts w:hint="eastAsia" w:hAnsi="宋体"/>
                <w:color w:val="auto"/>
                <w:highlight w:val="none"/>
              </w:rPr>
            </w:pPr>
            <w:r>
              <w:rPr>
                <w:rFonts w:hint="eastAsia" w:hAnsi="宋体"/>
                <w:snapToGrid w:val="0"/>
                <w:color w:val="auto"/>
                <w:highlight w:val="none"/>
              </w:rPr>
              <w:t>电子响应文件是指通过“</w:t>
            </w:r>
            <w:r>
              <w:rPr>
                <w:rFonts w:hint="eastAsia" w:hAnsi="宋体"/>
                <w:snapToGrid w:val="0"/>
                <w:color w:val="auto"/>
                <w:highlight w:val="none"/>
                <w:lang w:val="en"/>
              </w:rPr>
              <w:t>广西政府采购云平台</w:t>
            </w:r>
            <w:r>
              <w:rPr>
                <w:rFonts w:hint="eastAsia" w:hAnsi="宋体"/>
                <w:snapToGrid w:val="0"/>
                <w:color w:val="auto"/>
                <w:highlight w:val="none"/>
              </w:rPr>
              <w:t>电子投标客户端”完成响应文件编制后生成并加密的数据电文形式的电子加密响应文件。</w:t>
            </w:r>
          </w:p>
        </w:tc>
      </w:tr>
      <w:tr w14:paraId="25A67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25E97CF4">
            <w:pPr>
              <w:pStyle w:val="60"/>
              <w:spacing w:line="440" w:lineRule="exact"/>
              <w:jc w:val="center"/>
              <w:rPr>
                <w:rFonts w:hint="eastAsia" w:hAnsi="宋体" w:cs="宋体"/>
                <w:color w:val="auto"/>
                <w:highlight w:val="none"/>
              </w:rPr>
            </w:pPr>
            <w:r>
              <w:rPr>
                <w:rFonts w:hint="eastAsia" w:hAnsi="宋体" w:cs="宋体"/>
                <w:color w:val="auto"/>
                <w:highlight w:val="none"/>
              </w:rPr>
              <w:t>11</w:t>
            </w:r>
          </w:p>
        </w:tc>
        <w:tc>
          <w:tcPr>
            <w:tcW w:w="8365" w:type="dxa"/>
            <w:tcBorders>
              <w:top w:val="single" w:color="auto" w:sz="4" w:space="0"/>
              <w:left w:val="nil"/>
              <w:bottom w:val="single" w:color="auto" w:sz="4" w:space="0"/>
              <w:right w:val="single" w:color="auto" w:sz="4" w:space="0"/>
            </w:tcBorders>
            <w:vAlign w:val="center"/>
          </w:tcPr>
          <w:p w14:paraId="6CB5505E">
            <w:pPr>
              <w:pStyle w:val="60"/>
              <w:spacing w:line="440" w:lineRule="exact"/>
              <w:rPr>
                <w:rFonts w:hint="eastAsia" w:hAnsi="宋体"/>
                <w:color w:val="auto"/>
                <w:highlight w:val="none"/>
              </w:rPr>
            </w:pPr>
            <w:r>
              <w:rPr>
                <w:rFonts w:hint="eastAsia" w:hAnsi="宋体"/>
                <w:snapToGrid w:val="0"/>
                <w:color w:val="auto"/>
                <w:highlight w:val="none"/>
              </w:rPr>
              <w:t>响应文件的编制：供应商应先安装“</w:t>
            </w:r>
            <w:r>
              <w:rPr>
                <w:rFonts w:hint="eastAsia" w:hAnsi="宋体"/>
                <w:snapToGrid w:val="0"/>
                <w:color w:val="auto"/>
                <w:highlight w:val="none"/>
                <w:lang w:val="en"/>
              </w:rPr>
              <w:t>广西政府采购云平台</w:t>
            </w:r>
            <w:r>
              <w:rPr>
                <w:rFonts w:hint="eastAsia" w:hAnsi="宋体"/>
                <w:snapToGrid w:val="0"/>
                <w:color w:val="auto"/>
                <w:highlight w:val="none"/>
              </w:rPr>
              <w:t>电子投标客户端”，并按照本竞争性磋商文件和“</w:t>
            </w:r>
            <w:r>
              <w:rPr>
                <w:rFonts w:hint="eastAsia" w:hAnsi="宋体"/>
                <w:snapToGrid w:val="0"/>
                <w:color w:val="auto"/>
                <w:highlight w:val="none"/>
                <w:lang w:val="en"/>
              </w:rPr>
              <w:t>广西政府采购云平台</w:t>
            </w:r>
            <w:r>
              <w:rPr>
                <w:rFonts w:hint="eastAsia" w:hAnsi="宋体"/>
                <w:snapToGrid w:val="0"/>
                <w:color w:val="auto"/>
                <w:highlight w:val="none"/>
              </w:rPr>
              <w:t>”的要求，通过“</w:t>
            </w:r>
            <w:r>
              <w:rPr>
                <w:rFonts w:hint="eastAsia" w:hAnsi="宋体"/>
                <w:snapToGrid w:val="0"/>
                <w:color w:val="auto"/>
                <w:highlight w:val="none"/>
                <w:lang w:val="en"/>
              </w:rPr>
              <w:t>广西政府采购云平台</w:t>
            </w:r>
            <w:r>
              <w:rPr>
                <w:rFonts w:hint="eastAsia" w:hAnsi="宋体"/>
                <w:snapToGrid w:val="0"/>
                <w:color w:val="auto"/>
                <w:highlight w:val="none"/>
              </w:rPr>
              <w:t>电子投标客户端”编制并加密响应文件。</w:t>
            </w:r>
          </w:p>
        </w:tc>
      </w:tr>
      <w:tr w14:paraId="21348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D222473">
            <w:pPr>
              <w:pStyle w:val="60"/>
              <w:spacing w:line="440" w:lineRule="exact"/>
              <w:jc w:val="center"/>
              <w:rPr>
                <w:rFonts w:hint="eastAsia" w:hAnsi="宋体" w:cs="宋体"/>
                <w:color w:val="auto"/>
                <w:highlight w:val="none"/>
              </w:rPr>
            </w:pPr>
            <w:r>
              <w:rPr>
                <w:rFonts w:hint="eastAsia" w:hAnsi="宋体" w:cs="宋体"/>
                <w:color w:val="auto"/>
                <w:highlight w:val="none"/>
              </w:rPr>
              <w:t>12</w:t>
            </w:r>
          </w:p>
        </w:tc>
        <w:tc>
          <w:tcPr>
            <w:tcW w:w="8365" w:type="dxa"/>
            <w:tcBorders>
              <w:top w:val="single" w:color="auto" w:sz="4" w:space="0"/>
              <w:left w:val="nil"/>
              <w:bottom w:val="single" w:color="auto" w:sz="4" w:space="0"/>
              <w:right w:val="single" w:color="auto" w:sz="4" w:space="0"/>
            </w:tcBorders>
            <w:vAlign w:val="center"/>
          </w:tcPr>
          <w:p w14:paraId="5F44C641">
            <w:pPr>
              <w:pStyle w:val="60"/>
              <w:spacing w:line="440" w:lineRule="exact"/>
              <w:rPr>
                <w:rFonts w:hint="eastAsia" w:hAnsi="宋体"/>
                <w:color w:val="auto"/>
                <w:highlight w:val="none"/>
              </w:rPr>
            </w:pPr>
            <w:r>
              <w:rPr>
                <w:rFonts w:hint="eastAsia" w:hAnsi="宋体"/>
                <w:snapToGrid w:val="0"/>
                <w:color w:val="auto"/>
                <w:highlight w:val="none"/>
              </w:rPr>
              <w:t>响应文件的盖章：响应文件中所涉及的加盖公章均采用CA电子签章。</w:t>
            </w:r>
          </w:p>
        </w:tc>
      </w:tr>
      <w:tr w14:paraId="6280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3B8B81F2">
            <w:pPr>
              <w:pStyle w:val="60"/>
              <w:spacing w:line="440" w:lineRule="exact"/>
              <w:jc w:val="center"/>
              <w:rPr>
                <w:rFonts w:hint="eastAsia" w:hAnsi="宋体" w:cs="宋体"/>
                <w:color w:val="auto"/>
                <w:highlight w:val="none"/>
              </w:rPr>
            </w:pPr>
            <w:r>
              <w:rPr>
                <w:rFonts w:hint="eastAsia" w:hAnsi="宋体" w:cs="宋体"/>
                <w:color w:val="auto"/>
                <w:highlight w:val="none"/>
              </w:rPr>
              <w:t>13</w:t>
            </w:r>
          </w:p>
        </w:tc>
        <w:tc>
          <w:tcPr>
            <w:tcW w:w="8365" w:type="dxa"/>
            <w:tcBorders>
              <w:top w:val="single" w:color="auto" w:sz="4" w:space="0"/>
              <w:left w:val="nil"/>
              <w:bottom w:val="single" w:color="auto" w:sz="4" w:space="0"/>
              <w:right w:val="single" w:color="auto" w:sz="4" w:space="0"/>
            </w:tcBorders>
            <w:vAlign w:val="center"/>
          </w:tcPr>
          <w:p w14:paraId="1673BFAF">
            <w:pPr>
              <w:pStyle w:val="60"/>
              <w:spacing w:line="440" w:lineRule="exact"/>
              <w:rPr>
                <w:rFonts w:hint="eastAsia" w:hAnsi="宋体"/>
                <w:color w:val="auto"/>
                <w:highlight w:val="none"/>
              </w:rPr>
            </w:pPr>
            <w:r>
              <w:rPr>
                <w:rFonts w:hint="eastAsia" w:hAnsi="宋体"/>
                <w:snapToGrid w:val="0"/>
                <w:color w:val="auto"/>
                <w:highlight w:val="none"/>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14:paraId="27D5F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1D87C4E1">
            <w:pPr>
              <w:pStyle w:val="60"/>
              <w:spacing w:line="440" w:lineRule="exact"/>
              <w:jc w:val="center"/>
              <w:rPr>
                <w:rFonts w:hint="eastAsia" w:hAnsi="宋体" w:cs="宋体"/>
                <w:color w:val="auto"/>
                <w:highlight w:val="none"/>
              </w:rPr>
            </w:pPr>
            <w:r>
              <w:rPr>
                <w:rFonts w:hint="eastAsia" w:hAnsi="宋体" w:cs="宋体"/>
                <w:color w:val="auto"/>
                <w:highlight w:val="none"/>
              </w:rPr>
              <w:t>14</w:t>
            </w:r>
          </w:p>
        </w:tc>
        <w:tc>
          <w:tcPr>
            <w:tcW w:w="8365" w:type="dxa"/>
            <w:tcBorders>
              <w:top w:val="single" w:color="auto" w:sz="4" w:space="0"/>
              <w:left w:val="nil"/>
              <w:bottom w:val="single" w:color="auto" w:sz="4" w:space="0"/>
              <w:right w:val="single" w:color="auto" w:sz="4" w:space="0"/>
            </w:tcBorders>
            <w:vAlign w:val="center"/>
          </w:tcPr>
          <w:p w14:paraId="22DFDE5C">
            <w:pPr>
              <w:pStyle w:val="60"/>
              <w:spacing w:line="440" w:lineRule="exact"/>
              <w:rPr>
                <w:rFonts w:hint="eastAsia" w:hAnsi="宋体"/>
                <w:color w:val="auto"/>
                <w:highlight w:val="none"/>
              </w:rPr>
            </w:pPr>
            <w:r>
              <w:rPr>
                <w:rFonts w:hint="eastAsia" w:hAnsi="宋体"/>
                <w:snapToGrid w:val="0"/>
                <w:color w:val="auto"/>
                <w:highlight w:val="none"/>
              </w:rPr>
              <w:t>响应文件份数：电子加密响应文件在线上传提交一份。</w:t>
            </w:r>
          </w:p>
        </w:tc>
      </w:tr>
      <w:tr w14:paraId="49F0B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0A718C2">
            <w:pPr>
              <w:pStyle w:val="60"/>
              <w:spacing w:line="440" w:lineRule="exact"/>
              <w:jc w:val="center"/>
              <w:rPr>
                <w:rFonts w:hint="eastAsia" w:hAnsi="宋体" w:cs="宋体"/>
                <w:color w:val="auto"/>
                <w:highlight w:val="none"/>
              </w:rPr>
            </w:pPr>
            <w:r>
              <w:rPr>
                <w:rFonts w:hint="eastAsia" w:hAnsi="宋体" w:cs="宋体"/>
                <w:color w:val="auto"/>
                <w:highlight w:val="none"/>
              </w:rPr>
              <w:t>15</w:t>
            </w:r>
          </w:p>
        </w:tc>
        <w:tc>
          <w:tcPr>
            <w:tcW w:w="8365" w:type="dxa"/>
            <w:tcBorders>
              <w:top w:val="single" w:color="auto" w:sz="4" w:space="0"/>
              <w:left w:val="nil"/>
              <w:bottom w:val="single" w:color="auto" w:sz="4" w:space="0"/>
              <w:right w:val="single" w:color="auto" w:sz="4" w:space="0"/>
            </w:tcBorders>
            <w:vAlign w:val="center"/>
          </w:tcPr>
          <w:p w14:paraId="3E9B1C10">
            <w:pPr>
              <w:pStyle w:val="60"/>
              <w:spacing w:line="440" w:lineRule="exact"/>
              <w:rPr>
                <w:rFonts w:hint="eastAsia" w:hAnsi="宋体"/>
                <w:snapToGrid w:val="0"/>
                <w:color w:val="auto"/>
                <w:highlight w:val="none"/>
              </w:rPr>
            </w:pPr>
            <w:r>
              <w:rPr>
                <w:rFonts w:hint="eastAsia" w:hAnsi="宋体"/>
                <w:snapToGrid w:val="0"/>
                <w:color w:val="auto"/>
                <w:highlight w:val="none"/>
              </w:rPr>
              <w:t>电子加密响应文件的解密：</w:t>
            </w:r>
          </w:p>
          <w:p w14:paraId="566A59B0">
            <w:pPr>
              <w:pStyle w:val="60"/>
              <w:spacing w:line="440" w:lineRule="exact"/>
              <w:rPr>
                <w:rFonts w:hint="eastAsia" w:hAnsi="宋体"/>
                <w:color w:val="auto"/>
                <w:highlight w:val="none"/>
              </w:rPr>
            </w:pPr>
            <w:r>
              <w:rPr>
                <w:rFonts w:hint="eastAsia" w:hAnsi="宋体"/>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tc>
      </w:tr>
      <w:tr w14:paraId="4A7ED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vAlign w:val="center"/>
          </w:tcPr>
          <w:p w14:paraId="3A88719C">
            <w:pPr>
              <w:pStyle w:val="60"/>
              <w:spacing w:line="440" w:lineRule="exact"/>
              <w:jc w:val="center"/>
              <w:rPr>
                <w:rFonts w:hint="eastAsia" w:hAnsi="宋体" w:cs="宋体"/>
                <w:color w:val="auto"/>
                <w:highlight w:val="none"/>
              </w:rPr>
            </w:pPr>
            <w:r>
              <w:rPr>
                <w:rFonts w:hint="eastAsia" w:hAnsi="宋体" w:cs="宋体"/>
                <w:color w:val="auto"/>
                <w:highlight w:val="none"/>
              </w:rPr>
              <w:t>16</w:t>
            </w:r>
          </w:p>
        </w:tc>
        <w:tc>
          <w:tcPr>
            <w:tcW w:w="8365" w:type="dxa"/>
            <w:tcBorders>
              <w:top w:val="single" w:color="auto" w:sz="4" w:space="0"/>
              <w:left w:val="nil"/>
              <w:bottom w:val="single" w:color="auto" w:sz="4" w:space="0"/>
              <w:right w:val="single" w:color="auto" w:sz="4" w:space="0"/>
            </w:tcBorders>
            <w:vAlign w:val="center"/>
          </w:tcPr>
          <w:p w14:paraId="7A73EAB0">
            <w:pPr>
              <w:pStyle w:val="60"/>
              <w:spacing w:line="440" w:lineRule="exact"/>
              <w:rPr>
                <w:rFonts w:hint="eastAsia" w:hAnsi="宋体"/>
                <w:snapToGrid w:val="0"/>
                <w:color w:val="auto"/>
                <w:highlight w:val="none"/>
              </w:rPr>
            </w:pPr>
            <w:r>
              <w:rPr>
                <w:rFonts w:hint="eastAsia" w:hAnsi="宋体"/>
                <w:b/>
                <w:bCs/>
                <w:color w:val="auto"/>
                <w:highlight w:val="none"/>
              </w:rPr>
              <w:t>对竞争性磋商文件、采购过程或者成交结果的质疑由采购人接收或采购代理机构代为接收，由采购人负责答复。</w:t>
            </w:r>
          </w:p>
        </w:tc>
      </w:tr>
      <w:tr w14:paraId="66500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14:paraId="1DCC0251">
            <w:pPr>
              <w:pStyle w:val="6"/>
              <w:tabs>
                <w:tab w:val="clear" w:pos="2155"/>
              </w:tabs>
              <w:rPr>
                <w:rFonts w:hint="eastAsia" w:ascii="宋体" w:hAnsi="宋体" w:eastAsia="宋体" w:cs="宋体"/>
                <w:color w:val="auto"/>
                <w:sz w:val="21"/>
                <w:szCs w:val="21"/>
                <w:highlight w:val="none"/>
              </w:rPr>
            </w:pPr>
          </w:p>
        </w:tc>
        <w:tc>
          <w:tcPr>
            <w:tcW w:w="8365" w:type="dxa"/>
            <w:tcBorders>
              <w:top w:val="single" w:color="auto" w:sz="4" w:space="0"/>
              <w:left w:val="nil"/>
              <w:bottom w:val="single" w:color="auto" w:sz="4" w:space="0"/>
              <w:right w:val="single" w:color="auto" w:sz="4" w:space="0"/>
            </w:tcBorders>
            <w:vAlign w:val="center"/>
          </w:tcPr>
          <w:p w14:paraId="2A35C120">
            <w:pPr>
              <w:pStyle w:val="60"/>
              <w:spacing w:line="440" w:lineRule="exact"/>
              <w:rPr>
                <w:rFonts w:hint="eastAsia" w:hAnsi="宋体"/>
                <w:snapToGrid w:val="0"/>
                <w:color w:val="auto"/>
                <w:highlight w:val="none"/>
              </w:rPr>
            </w:pPr>
            <w:r>
              <w:rPr>
                <w:rFonts w:hint="eastAsia" w:hAnsi="宋体"/>
                <w:color w:val="auto"/>
                <w:highlight w:val="none"/>
              </w:rPr>
              <w:t>接收质疑函方式：以书面形式。</w:t>
            </w:r>
          </w:p>
        </w:tc>
      </w:tr>
      <w:tr w14:paraId="59C11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vAlign w:val="center"/>
          </w:tcPr>
          <w:p w14:paraId="01CB6EBB">
            <w:pPr>
              <w:pStyle w:val="6"/>
              <w:tabs>
                <w:tab w:val="clear" w:pos="2155"/>
              </w:tabs>
              <w:rPr>
                <w:rFonts w:hint="eastAsia" w:ascii="宋体" w:hAnsi="宋体" w:eastAsia="宋体" w:cs="宋体"/>
                <w:color w:val="auto"/>
                <w:sz w:val="21"/>
                <w:szCs w:val="21"/>
                <w:highlight w:val="none"/>
              </w:rPr>
            </w:pPr>
          </w:p>
        </w:tc>
        <w:tc>
          <w:tcPr>
            <w:tcW w:w="8365" w:type="dxa"/>
            <w:tcBorders>
              <w:top w:val="single" w:color="auto" w:sz="4" w:space="0"/>
              <w:left w:val="nil"/>
              <w:bottom w:val="single" w:color="auto" w:sz="4" w:space="0"/>
              <w:right w:val="single" w:color="auto" w:sz="4" w:space="0"/>
            </w:tcBorders>
            <w:vAlign w:val="center"/>
          </w:tcPr>
          <w:p w14:paraId="23099A14">
            <w:pPr>
              <w:spacing w:line="360" w:lineRule="exact"/>
              <w:rPr>
                <w:rFonts w:hint="eastAsia" w:ascii="宋体" w:hAnsi="宋体" w:cs="宋体"/>
                <w:color w:val="auto"/>
                <w:highlight w:val="none"/>
              </w:rPr>
            </w:pPr>
            <w:r>
              <w:rPr>
                <w:rFonts w:hint="eastAsia" w:ascii="宋体" w:hAnsi="宋体" w:cs="宋体"/>
                <w:color w:val="auto"/>
                <w:highlight w:val="none"/>
              </w:rPr>
              <w:t>质疑联系部门及联系方式：</w:t>
            </w:r>
          </w:p>
          <w:p w14:paraId="29AA95D1">
            <w:pPr>
              <w:spacing w:line="360" w:lineRule="exact"/>
              <w:rPr>
                <w:rFonts w:hint="eastAsia" w:ascii="宋体" w:hAnsi="宋体" w:cs="宋体"/>
                <w:color w:val="auto"/>
                <w:highlight w:val="none"/>
              </w:rPr>
            </w:pPr>
            <w:r>
              <w:rPr>
                <w:rFonts w:hint="eastAsia" w:ascii="宋体" w:hAnsi="宋体" w:cs="宋体"/>
                <w:color w:val="auto"/>
                <w:highlight w:val="none"/>
              </w:rPr>
              <w:t xml:space="preserve">（1）广西壮族自治区政府采购中心内审科     </w:t>
            </w:r>
          </w:p>
          <w:p w14:paraId="375249B5">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电话：0771-8600453</w:t>
            </w:r>
          </w:p>
          <w:p w14:paraId="3B8610A9">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地址：广西南宁市星湖路22号</w:t>
            </w:r>
          </w:p>
          <w:p w14:paraId="1FC57046">
            <w:pPr>
              <w:spacing w:line="360" w:lineRule="exact"/>
              <w:rPr>
                <w:rFonts w:hint="eastAsia" w:ascii="宋体" w:hAnsi="宋体" w:eastAsia="宋体" w:cs="宋体"/>
                <w:b/>
                <w:bCs/>
                <w:color w:val="auto"/>
                <w:highlight w:val="none"/>
                <w:lang w:val="en-US" w:eastAsia="zh-CN"/>
              </w:rPr>
            </w:pPr>
            <w:r>
              <w:rPr>
                <w:rFonts w:hint="eastAsia" w:ascii="宋体" w:hAnsi="宋体" w:cs="宋体"/>
                <w:b/>
                <w:bCs/>
                <w:color w:val="auto"/>
                <w:highlight w:val="none"/>
              </w:rPr>
              <w:t>（2）</w:t>
            </w:r>
            <w:r>
              <w:rPr>
                <w:rFonts w:hint="eastAsia" w:ascii="宋体" w:hAnsi="宋体" w:cs="宋体"/>
                <w:b/>
                <w:bCs/>
                <w:color w:val="auto"/>
                <w:highlight w:val="none"/>
                <w:lang w:val="en"/>
              </w:rPr>
              <w:t>广西壮族自治区</w:t>
            </w:r>
            <w:r>
              <w:rPr>
                <w:rFonts w:hint="eastAsia" w:ascii="宋体" w:hAnsi="宋体" w:cs="宋体"/>
                <w:b/>
                <w:bCs/>
                <w:color w:val="auto"/>
                <w:highlight w:val="none"/>
                <w:lang w:val="en" w:eastAsia="zh-CN"/>
              </w:rPr>
              <w:t>卫生健康委员会</w:t>
            </w:r>
            <w:r>
              <w:rPr>
                <w:rFonts w:hint="eastAsia" w:ascii="宋体" w:hAnsi="宋体" w:cs="宋体"/>
                <w:b/>
                <w:bCs/>
                <w:color w:val="auto"/>
                <w:highlight w:val="none"/>
                <w:lang w:val="en-US" w:eastAsia="zh-CN"/>
              </w:rPr>
              <w:t>幼儿园</w:t>
            </w:r>
          </w:p>
          <w:p w14:paraId="39A205A0">
            <w:pPr>
              <w:spacing w:line="360" w:lineRule="exact"/>
              <w:ind w:firstLine="422" w:firstLineChars="200"/>
              <w:rPr>
                <w:rFonts w:hint="eastAsia" w:ascii="宋体" w:hAnsi="宋体" w:eastAsia="宋体" w:cs="宋体"/>
                <w:b/>
                <w:bCs/>
                <w:color w:val="auto"/>
                <w:highlight w:val="none"/>
                <w:lang w:val="en-US" w:eastAsia="zh-CN"/>
              </w:rPr>
            </w:pPr>
            <w:r>
              <w:rPr>
                <w:rFonts w:hint="eastAsia" w:ascii="宋体" w:hAnsi="宋体" w:cs="宋体"/>
                <w:b/>
                <w:bCs/>
                <w:color w:val="auto"/>
                <w:highlight w:val="none"/>
              </w:rPr>
              <w:t xml:space="preserve">电话： </w:t>
            </w:r>
            <w:r>
              <w:rPr>
                <w:rFonts w:hint="eastAsia" w:ascii="宋体" w:hAnsi="宋体" w:cs="宋体"/>
                <w:b/>
                <w:bCs/>
                <w:color w:val="auto"/>
                <w:highlight w:val="none"/>
                <w:lang w:val="en-US" w:eastAsia="zh-CN"/>
              </w:rPr>
              <w:t>0771-5384675</w:t>
            </w:r>
          </w:p>
          <w:p w14:paraId="21B314C3">
            <w:pPr>
              <w:pStyle w:val="60"/>
              <w:spacing w:line="440" w:lineRule="exact"/>
              <w:ind w:firstLine="422" w:firstLineChars="200"/>
              <w:rPr>
                <w:rFonts w:hint="eastAsia" w:hAnsi="宋体" w:eastAsia="宋体"/>
                <w:snapToGrid w:val="0"/>
                <w:color w:val="auto"/>
                <w:highlight w:val="none"/>
                <w:lang w:val="en-US" w:eastAsia="zh-CN"/>
              </w:rPr>
            </w:pPr>
            <w:r>
              <w:rPr>
                <w:rFonts w:hint="eastAsia" w:hAnsi="宋体"/>
                <w:b/>
                <w:bCs/>
                <w:color w:val="auto"/>
                <w:highlight w:val="none"/>
              </w:rPr>
              <w:t>地址：</w:t>
            </w:r>
            <w:r>
              <w:rPr>
                <w:rFonts w:hint="eastAsia" w:hAnsi="宋体"/>
                <w:b/>
                <w:bCs/>
                <w:color w:val="auto"/>
                <w:highlight w:val="none"/>
                <w:lang w:val="en-US" w:eastAsia="zh-CN"/>
              </w:rPr>
              <w:t>南宁市青秀区双拥路14号</w:t>
            </w:r>
          </w:p>
        </w:tc>
      </w:tr>
      <w:tr w14:paraId="277A9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vAlign w:val="center"/>
          </w:tcPr>
          <w:p w14:paraId="28C93BEC">
            <w:pPr>
              <w:pStyle w:val="6"/>
              <w:tabs>
                <w:tab w:val="clear" w:pos="2155"/>
              </w:tabs>
              <w:rPr>
                <w:rFonts w:hint="eastAsia" w:ascii="宋体" w:hAnsi="宋体" w:eastAsia="宋体" w:cs="宋体"/>
                <w:color w:val="auto"/>
                <w:sz w:val="21"/>
                <w:szCs w:val="21"/>
                <w:highlight w:val="none"/>
              </w:rPr>
            </w:pPr>
          </w:p>
        </w:tc>
        <w:tc>
          <w:tcPr>
            <w:tcW w:w="8365" w:type="dxa"/>
            <w:tcBorders>
              <w:top w:val="single" w:color="auto" w:sz="4" w:space="0"/>
              <w:left w:val="nil"/>
              <w:bottom w:val="single" w:color="auto" w:sz="4" w:space="0"/>
              <w:right w:val="single" w:color="auto" w:sz="4" w:space="0"/>
            </w:tcBorders>
            <w:vAlign w:val="center"/>
          </w:tcPr>
          <w:p w14:paraId="49A838F3">
            <w:pPr>
              <w:pStyle w:val="60"/>
              <w:spacing w:line="440" w:lineRule="exact"/>
              <w:rPr>
                <w:rFonts w:hint="eastAsia" w:hAnsi="宋体"/>
                <w:snapToGrid w:val="0"/>
                <w:color w:val="auto"/>
                <w:highlight w:val="none"/>
              </w:rPr>
            </w:pPr>
            <w:r>
              <w:rPr>
                <w:rFonts w:hint="eastAsia" w:hAnsi="宋体"/>
                <w:color w:val="auto"/>
                <w:highlight w:val="none"/>
              </w:rPr>
              <w:t>现场提交质疑办理业务时间：质疑期内每个工作日采购人或采购代理机构正常工作时间（其中采购代理机构为9：00到12：00，14：00到17：00）</w:t>
            </w:r>
          </w:p>
        </w:tc>
      </w:tr>
    </w:tbl>
    <w:p w14:paraId="62A8F10F">
      <w:pPr>
        <w:pageBreakBefore/>
        <w:spacing w:line="44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供应商须知</w:t>
      </w:r>
    </w:p>
    <w:p w14:paraId="67550DEF">
      <w:pPr>
        <w:spacing w:line="44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一、总 则</w:t>
      </w:r>
    </w:p>
    <w:p w14:paraId="461CD1FD">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1. 适用范围</w:t>
      </w:r>
    </w:p>
    <w:p w14:paraId="1CE47B77">
      <w:pPr>
        <w:pStyle w:val="11"/>
        <w:spacing w:line="440" w:lineRule="exact"/>
        <w:ind w:firstLine="411" w:firstLineChars="196"/>
        <w:rPr>
          <w:rFonts w:hint="eastAsia" w:hAnsi="宋体" w:cs="宋体"/>
          <w:b/>
          <w:bCs/>
          <w:color w:val="auto"/>
          <w:szCs w:val="21"/>
          <w:highlight w:val="none"/>
          <w:lang w:val="en"/>
        </w:rPr>
      </w:pPr>
      <w:r>
        <w:rPr>
          <w:rFonts w:hint="eastAsia" w:hAnsi="宋体" w:cs="宋体"/>
          <w:color w:val="auto"/>
          <w:szCs w:val="21"/>
          <w:highlight w:val="none"/>
        </w:rPr>
        <w:t>1.1项目名称：</w:t>
      </w:r>
      <w:r>
        <w:rPr>
          <w:rFonts w:hint="eastAsia" w:hAnsi="宋体" w:cs="宋体"/>
          <w:color w:val="auto"/>
          <w:szCs w:val="21"/>
          <w:highlight w:val="none"/>
          <w:lang w:val="en-US" w:eastAsia="zh-CN"/>
        </w:rPr>
        <w:t>广西壮族自治区卫生健康委员会幼儿园物业服务采购</w:t>
      </w:r>
    </w:p>
    <w:p w14:paraId="61766C1B">
      <w:pPr>
        <w:spacing w:line="440" w:lineRule="exact"/>
        <w:rPr>
          <w:rFonts w:hint="eastAsia" w:ascii="宋体" w:hAnsi="宋体" w:cs="宋体"/>
          <w:color w:val="auto"/>
          <w:highlight w:val="none"/>
        </w:rPr>
      </w:pPr>
      <w:r>
        <w:rPr>
          <w:rFonts w:hint="eastAsia" w:ascii="宋体" w:hAnsi="宋体" w:cs="宋体"/>
          <w:color w:val="auto"/>
          <w:highlight w:val="none"/>
        </w:rPr>
        <w:t xml:space="preserve">       本文件仅适用于本文件中所叙述的服务类政府采购项目。</w:t>
      </w:r>
    </w:p>
    <w:p w14:paraId="4ADADF4D">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2. 定义</w:t>
      </w:r>
    </w:p>
    <w:p w14:paraId="26AFB42E">
      <w:pPr>
        <w:spacing w:line="44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rPr>
        <w:t>2.1“采购人”是指：</w:t>
      </w:r>
      <w:r>
        <w:rPr>
          <w:rFonts w:hint="eastAsia" w:ascii="宋体" w:hAnsi="宋体" w:cs="宋体"/>
          <w:color w:val="auto"/>
          <w:highlight w:val="none"/>
          <w:lang w:val="en-US" w:eastAsia="zh-CN"/>
        </w:rPr>
        <w:t>广西壮族自治区卫生健康委员会幼儿园</w:t>
      </w:r>
    </w:p>
    <w:p w14:paraId="0E8D8808">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2.2“采购代理机构”是指：广西壮族自治区政府采购中心(以下简称“本中心”)。</w:t>
      </w:r>
    </w:p>
    <w:p w14:paraId="5A19552E">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2.3“供应商”是指响应本文件要求，参加磋商的法人或者其他组织和自然人。如果该供应商在本次磋商中成交,即成为“成交供应商”。</w:t>
      </w:r>
    </w:p>
    <w:p w14:paraId="45E1034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2.4“货物”是指各种形态和种类的物品，包括原材料、燃料、设备、产品等。</w:t>
      </w:r>
    </w:p>
    <w:p w14:paraId="39D9C784">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2.5“服务”是指除货物和工程以外的其他政府采购对象。</w:t>
      </w:r>
    </w:p>
    <w:p w14:paraId="3ED945DA">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2.6“竞争性磋商响应文件”是指：供应商根据本文件要求，编制包含报价、技术和服务等所有内容的文件。</w:t>
      </w:r>
    </w:p>
    <w:p w14:paraId="53211423">
      <w:pPr>
        <w:spacing w:line="44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3. 供应商的基本条件</w:t>
      </w:r>
    </w:p>
    <w:p w14:paraId="41849EC7">
      <w:pPr>
        <w:spacing w:line="440" w:lineRule="exact"/>
        <w:ind w:firstLine="424" w:firstLineChars="202"/>
        <w:rPr>
          <w:rFonts w:hint="eastAsia" w:ascii="宋体" w:hAnsi="宋体" w:cs="宋体"/>
          <w:color w:val="auto"/>
          <w:highlight w:val="none"/>
        </w:rPr>
      </w:pPr>
      <w:r>
        <w:rPr>
          <w:rFonts w:hint="eastAsia" w:ascii="宋体" w:hAnsi="宋体" w:cs="宋体"/>
          <w:color w:val="auto"/>
          <w:highlight w:val="none"/>
        </w:rPr>
        <w:t>3.1供应商资格：具备《中华人民共和国政府采购法》第二十二条规定的条件。</w:t>
      </w:r>
    </w:p>
    <w:p w14:paraId="123F7330">
      <w:pPr>
        <w:spacing w:line="440" w:lineRule="exact"/>
        <w:ind w:firstLine="424" w:firstLineChars="202"/>
        <w:rPr>
          <w:rFonts w:hint="eastAsia" w:ascii="宋体" w:hAnsi="宋体" w:cs="宋体"/>
          <w:color w:val="auto"/>
          <w:highlight w:val="none"/>
        </w:rPr>
      </w:pPr>
      <w:r>
        <w:rPr>
          <w:rFonts w:hint="eastAsia" w:ascii="宋体" w:hAnsi="宋体" w:cs="宋体"/>
          <w:color w:val="auto"/>
          <w:highlight w:val="none"/>
        </w:rPr>
        <w:t>3.2参加政府采购活动前三年内，在经营活动中没有重大违法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09CD4CCD">
      <w:pPr>
        <w:spacing w:line="440" w:lineRule="exact"/>
        <w:ind w:firstLine="424" w:firstLineChars="201"/>
        <w:rPr>
          <w:rFonts w:hint="eastAsia" w:ascii="宋体" w:hAnsi="宋体" w:cs="宋体"/>
          <w:b/>
          <w:bCs/>
          <w:color w:val="auto"/>
          <w:highlight w:val="none"/>
        </w:rPr>
      </w:pPr>
      <w:r>
        <w:rPr>
          <w:rFonts w:hint="eastAsia" w:ascii="宋体" w:hAnsi="宋体" w:cs="宋体"/>
          <w:b/>
          <w:bCs/>
          <w:color w:val="auto"/>
          <w:highlight w:val="none"/>
        </w:rPr>
        <w:t>4. 磋商费用、竞争性磋商公告、竞争性磋商文件的澄清和修改</w:t>
      </w:r>
    </w:p>
    <w:p w14:paraId="6AE8AF11">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4.1磋商费用：供应商应自行承担所有与编写和提交竞争性磋商响应文件有关的费用，不论磋商结果如何，采购人和本中心在任何情况下无义务和责任承担此类费用。</w:t>
      </w:r>
    </w:p>
    <w:p w14:paraId="0E27DB9F">
      <w:pPr>
        <w:pStyle w:val="11"/>
        <w:spacing w:line="440" w:lineRule="exact"/>
        <w:ind w:firstLine="420"/>
        <w:rPr>
          <w:rFonts w:hint="eastAsia" w:hAnsi="宋体" w:cs="宋体"/>
          <w:color w:val="auto"/>
          <w:szCs w:val="21"/>
          <w:highlight w:val="none"/>
        </w:rPr>
      </w:pPr>
      <w:r>
        <w:rPr>
          <w:rFonts w:hint="eastAsia" w:hAnsi="宋体" w:cs="宋体"/>
          <w:color w:val="auto"/>
          <w:szCs w:val="21"/>
          <w:highlight w:val="none"/>
        </w:rPr>
        <w:t>4.2</w:t>
      </w:r>
      <w:r>
        <w:rPr>
          <w:rFonts w:hint="eastAsia" w:hAnsi="宋体" w:cs="宋体"/>
          <w:b/>
          <w:bCs/>
          <w:color w:val="auto"/>
          <w:szCs w:val="21"/>
          <w:highlight w:val="none"/>
        </w:rPr>
        <w:t>竞争性磋商公告</w:t>
      </w:r>
      <w:r>
        <w:rPr>
          <w:rFonts w:hint="eastAsia" w:hAnsi="宋体" w:cs="宋体"/>
          <w:color w:val="auto"/>
          <w:szCs w:val="21"/>
          <w:highlight w:val="none"/>
        </w:rPr>
        <w:t>：见中国政府采购网(www.ccgp.gov.cn)、广西政府采购网（http://zfcg.gxzf.gov.cn）及本中心网站（http://gxggzy.gxzf.gov.cn/）。</w:t>
      </w:r>
    </w:p>
    <w:p w14:paraId="77868D40">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4.3竞争性磋商文件的澄清和修改：</w:t>
      </w:r>
    </w:p>
    <w:p w14:paraId="0B609D77">
      <w:pPr>
        <w:pStyle w:val="11"/>
        <w:spacing w:line="440" w:lineRule="exact"/>
        <w:ind w:firstLine="420"/>
        <w:rPr>
          <w:rFonts w:hint="eastAsia" w:hAnsi="宋体" w:cs="宋体"/>
          <w:color w:val="auto"/>
          <w:szCs w:val="21"/>
          <w:highlight w:val="none"/>
        </w:rPr>
      </w:pPr>
      <w:r>
        <w:rPr>
          <w:rFonts w:hint="eastAsia" w:hAnsi="宋体" w:cs="宋体"/>
          <w:color w:val="auto"/>
          <w:szCs w:val="21"/>
          <w:highlight w:val="none"/>
        </w:rPr>
        <w:t>4.3.1供应商应认真审核《采购需求》中的技术参数、配置及要求，如发现采购需求中技术参数、配置有误或要求不合理的，供应商必须在规定的时间前要求澄清，否则，由此产生的后果由供应商负责。</w:t>
      </w:r>
    </w:p>
    <w:p w14:paraId="0CCC9F78">
      <w:pPr>
        <w:pStyle w:val="11"/>
        <w:spacing w:line="440" w:lineRule="exact"/>
        <w:ind w:firstLine="420"/>
        <w:rPr>
          <w:rFonts w:hint="eastAsia" w:hAnsi="宋体" w:cs="宋体"/>
          <w:color w:val="auto"/>
          <w:szCs w:val="21"/>
          <w:highlight w:val="none"/>
        </w:rPr>
      </w:pPr>
      <w:r>
        <w:rPr>
          <w:rFonts w:hint="eastAsia" w:hAnsi="宋体" w:cs="宋体"/>
          <w:color w:val="auto"/>
          <w:szCs w:val="21"/>
          <w:highlight w:val="none"/>
        </w:rPr>
        <w:t>4.3.2任何要求澄清竞争性磋商文件的供应商，均应在响应文件递交截止日期三日前的正常工作时间以传真等书面形式通知本中心，同时认定其他澄清方式为无效。本中心将以书面形式予以答复。</w:t>
      </w:r>
    </w:p>
    <w:p w14:paraId="6AC21FF6">
      <w:pPr>
        <w:widowControl/>
        <w:spacing w:line="440" w:lineRule="exact"/>
        <w:ind w:firstLine="420"/>
        <w:jc w:val="left"/>
        <w:rPr>
          <w:rFonts w:hint="eastAsia" w:ascii="宋体" w:hAnsi="宋体" w:cs="宋体"/>
          <w:color w:val="auto"/>
          <w:highlight w:val="none"/>
        </w:rPr>
      </w:pPr>
      <w:r>
        <w:rPr>
          <w:rFonts w:hint="eastAsia" w:ascii="宋体" w:hAnsi="宋体" w:cs="宋体"/>
          <w:color w:val="auto"/>
          <w:highlight w:val="none"/>
        </w:rPr>
        <w:t>4.3.3本中心对已发出的磋商文件进行必要澄清或者修改的，澄清和修改对供应商编制响应文件造成实质影响的，在竞争性磋商文件要求提交竞争性磋商响应文件截止时间五日前（不足五日顺延），在中国政府采购网</w:t>
      </w:r>
      <w:r>
        <w:rPr>
          <w:rFonts w:hint="eastAsia" w:ascii="宋体" w:hAnsi="宋体" w:cs="宋体"/>
          <w:color w:val="auto"/>
          <w:highlight w:val="none"/>
          <w:u w:val="single"/>
        </w:rPr>
        <w:t>(www.ccgp.gov.cn)</w:t>
      </w:r>
      <w:r>
        <w:rPr>
          <w:rFonts w:hint="eastAsia" w:ascii="宋体" w:hAnsi="宋体" w:cs="宋体"/>
          <w:color w:val="auto"/>
          <w:highlight w:val="none"/>
        </w:rPr>
        <w:t>、广西政府采购网(http://zfcg.gxzf.gov.cn）及本中心网站（http://</w:t>
      </w:r>
      <w:r>
        <w:rPr>
          <w:rFonts w:hint="eastAsia" w:ascii="宋体" w:hAnsi="宋体" w:cs="宋体"/>
          <w:bCs/>
          <w:color w:val="auto"/>
          <w:highlight w:val="none"/>
        </w:rPr>
        <w:t>gxggzy.gxzf.gov.cn</w:t>
      </w:r>
      <w:r>
        <w:rPr>
          <w:rFonts w:hint="eastAsia" w:ascii="宋体" w:hAnsi="宋体" w:cs="宋体"/>
          <w:color w:val="auto"/>
          <w:highlight w:val="none"/>
        </w:rPr>
        <w:t>）上发布更正公告，并通知所有竞争性磋商文件收受人。该澄清或者修改的内容为竞争性磋商文件的组成部分。</w:t>
      </w:r>
    </w:p>
    <w:p w14:paraId="4D5F901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本中心网站（http://</w:t>
      </w:r>
      <w:r>
        <w:rPr>
          <w:rFonts w:hint="eastAsia" w:ascii="宋体" w:hAnsi="宋体" w:cs="宋体"/>
          <w:bCs/>
          <w:color w:val="auto"/>
          <w:highlight w:val="none"/>
        </w:rPr>
        <w:t>gxggzy.gxzf.gov.cn</w:t>
      </w:r>
      <w:r>
        <w:rPr>
          <w:rFonts w:hint="eastAsia" w:ascii="宋体" w:hAnsi="宋体" w:cs="宋体"/>
          <w:color w:val="auto"/>
          <w:highlight w:val="none"/>
        </w:rPr>
        <w:t>）上发布变更公告。</w:t>
      </w:r>
    </w:p>
    <w:p w14:paraId="321004B8">
      <w:pPr>
        <w:spacing w:before="156" w:line="360" w:lineRule="exact"/>
        <w:ind w:firstLine="413" w:firstLineChars="196"/>
        <w:jc w:val="left"/>
        <w:outlineLvl w:val="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lang w:val="en-US" w:eastAsia="zh-CN"/>
        </w:rPr>
        <w:t>5.</w:t>
      </w:r>
      <w:r>
        <w:rPr>
          <w:rFonts w:hint="eastAsia" w:ascii="宋体" w:hAnsi="宋体" w:cs="宋体"/>
          <w:b/>
          <w:color w:val="auto"/>
          <w:szCs w:val="21"/>
          <w:highlight w:val="none"/>
          <w:shd w:val="clear" w:color="auto" w:fill="auto"/>
        </w:rPr>
        <w:t>特别说明：</w:t>
      </w:r>
    </w:p>
    <w:p w14:paraId="7771555D">
      <w:pPr>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lang w:val="en-US" w:eastAsia="zh-CN"/>
        </w:rPr>
        <w:t>5.</w:t>
      </w:r>
      <w:r>
        <w:rPr>
          <w:rFonts w:hint="eastAsia" w:ascii="宋体" w:hAnsi="宋体" w:cs="宋体"/>
          <w:color w:val="auto"/>
          <w:kern w:val="0"/>
          <w:szCs w:val="21"/>
          <w:highlight w:val="none"/>
          <w:shd w:val="clear" w:color="auto" w:fill="auto"/>
        </w:rPr>
        <w:t>1</w:t>
      </w:r>
      <w:r>
        <w:rPr>
          <w:rFonts w:hint="eastAsia" w:ascii="宋体" w:hAnsi="宋体" w:cs="宋体"/>
          <w:color w:val="auto"/>
          <w:kern w:val="0"/>
          <w:szCs w:val="21"/>
          <w:highlight w:val="none"/>
          <w:shd w:val="clear" w:color="auto" w:fill="auto"/>
          <w:lang w:val="en-US" w:eastAsia="zh-CN"/>
        </w:rPr>
        <w:t xml:space="preserve"> </w:t>
      </w:r>
      <w:r>
        <w:rPr>
          <w:rFonts w:hint="eastAsia" w:ascii="宋体" w:hAnsi="宋体" w:cs="宋体"/>
          <w:color w:val="auto"/>
          <w:kern w:val="0"/>
          <w:szCs w:val="21"/>
          <w:highlight w:val="none"/>
          <w:shd w:val="clear" w:color="auto" w:fill="auto"/>
        </w:rPr>
        <w:t>单位负责人为同一人或者存在直接控股、管理关系的不同供应商，不得参加同一合同项下的政府采购活动。</w:t>
      </w:r>
    </w:p>
    <w:p w14:paraId="661383F9">
      <w:pPr>
        <w:spacing w:line="360" w:lineRule="exact"/>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lang w:val="en-US" w:eastAsia="zh-CN"/>
        </w:rPr>
        <w:t>5.2</w:t>
      </w:r>
      <w:r>
        <w:rPr>
          <w:rFonts w:hint="eastAsia" w:ascii="宋体" w:hAnsi="宋体" w:eastAsia="宋体" w:cs="宋体"/>
          <w:color w:val="auto"/>
          <w:kern w:val="0"/>
          <w:szCs w:val="21"/>
          <w:highlight w:val="none"/>
          <w:shd w:val="clear" w:color="auto" w:fill="auto"/>
        </w:rPr>
        <w:t>供应商在</w:t>
      </w:r>
      <w:r>
        <w:rPr>
          <w:rFonts w:hint="eastAsia" w:ascii="宋体" w:hAnsi="宋体" w:eastAsia="宋体" w:cs="宋体"/>
          <w:color w:val="auto"/>
          <w:kern w:val="0"/>
          <w:szCs w:val="21"/>
          <w:highlight w:val="none"/>
          <w:shd w:val="clear" w:color="auto" w:fill="auto"/>
          <w:lang w:eastAsia="zh-CN"/>
        </w:rPr>
        <w:t>磋商响应</w:t>
      </w:r>
      <w:r>
        <w:rPr>
          <w:rFonts w:hint="eastAsia" w:ascii="宋体" w:hAnsi="宋体" w:cs="宋体"/>
          <w:color w:val="auto"/>
          <w:kern w:val="0"/>
          <w:szCs w:val="21"/>
          <w:highlight w:val="none"/>
          <w:shd w:val="clear" w:color="auto" w:fill="auto"/>
        </w:rPr>
        <w:t>活动中</w:t>
      </w:r>
      <w:r>
        <w:rPr>
          <w:rFonts w:hint="eastAsia" w:ascii="宋体" w:hAnsi="宋体" w:eastAsia="宋体" w:cs="宋体"/>
          <w:color w:val="auto"/>
          <w:kern w:val="0"/>
          <w:szCs w:val="21"/>
          <w:highlight w:val="none"/>
          <w:shd w:val="clear" w:color="auto" w:fill="auto"/>
        </w:rPr>
        <w:t>提供任何虚假材料</w:t>
      </w:r>
      <w:r>
        <w:rPr>
          <w:rFonts w:hint="eastAsia" w:ascii="宋体" w:hAnsi="宋体" w:cs="宋体"/>
          <w:color w:val="auto"/>
          <w:kern w:val="0"/>
          <w:szCs w:val="21"/>
          <w:highlight w:val="none"/>
          <w:shd w:val="clear" w:color="auto" w:fill="auto"/>
        </w:rPr>
        <w:t>、互相串通投标，其</w:t>
      </w:r>
      <w:r>
        <w:rPr>
          <w:rFonts w:hint="eastAsia" w:ascii="宋体" w:hAnsi="宋体" w:cs="宋体"/>
          <w:color w:val="auto"/>
          <w:kern w:val="0"/>
          <w:szCs w:val="21"/>
          <w:highlight w:val="none"/>
          <w:shd w:val="clear" w:color="auto" w:fill="auto"/>
          <w:lang w:eastAsia="zh-CN"/>
        </w:rPr>
        <w:t>响应</w:t>
      </w:r>
      <w:r>
        <w:rPr>
          <w:rFonts w:hint="eastAsia" w:ascii="宋体" w:hAnsi="宋体" w:cs="宋体"/>
          <w:color w:val="auto"/>
          <w:kern w:val="0"/>
          <w:szCs w:val="21"/>
          <w:highlight w:val="none"/>
          <w:shd w:val="clear" w:color="auto" w:fill="auto"/>
        </w:rPr>
        <w:t>无效，并报监管部门查处。</w:t>
      </w:r>
    </w:p>
    <w:p w14:paraId="684567E7">
      <w:pPr>
        <w:spacing w:line="360" w:lineRule="exact"/>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5.3中小企业价格评审优惠：根据《政府采购促进中小企业发展管理办法》（财库〔2020〕46号）的规定，本项目为专门面向</w:t>
      </w:r>
      <w:r>
        <w:rPr>
          <w:rFonts w:hint="eastAsia" w:ascii="宋体" w:hAnsi="宋体" w:cs="宋体"/>
          <w:color w:val="auto"/>
          <w:kern w:val="0"/>
          <w:szCs w:val="21"/>
          <w:highlight w:val="none"/>
          <w:shd w:val="clear" w:color="auto" w:fill="auto"/>
          <w:lang w:val="en-US" w:eastAsia="zh-CN"/>
        </w:rPr>
        <w:t>小微</w:t>
      </w:r>
      <w:r>
        <w:rPr>
          <w:rFonts w:hint="eastAsia" w:ascii="宋体" w:hAnsi="宋体" w:eastAsia="宋体" w:cs="宋体"/>
          <w:color w:val="auto"/>
          <w:kern w:val="0"/>
          <w:szCs w:val="21"/>
          <w:highlight w:val="none"/>
          <w:shd w:val="clear" w:color="auto" w:fill="auto"/>
          <w:lang w:val="en-US" w:eastAsia="zh-CN"/>
        </w:rPr>
        <w:t>企业采购，投标人（服务项目）/投标人所供产品生产厂家（货物）须为中小企业，并按要求提交《中小企业声明函》。在此情况下，不执行价格扣除优惠，所有合格投标人均按其原报价计算价格分。</w:t>
      </w:r>
    </w:p>
    <w:p w14:paraId="1007EA31">
      <w:pPr>
        <w:spacing w:line="360" w:lineRule="exact"/>
        <w:ind w:firstLine="420" w:firstLineChars="200"/>
        <w:rPr>
          <w:rFonts w:hint="eastAsia" w:ascii="宋体" w:hAnsi="宋体" w:cs="宋体"/>
          <w:b/>
          <w:color w:val="auto"/>
          <w:szCs w:val="21"/>
          <w:highlight w:val="none"/>
        </w:rPr>
      </w:pPr>
      <w:r>
        <w:rPr>
          <w:rFonts w:hint="eastAsia" w:ascii="宋体" w:hAnsi="宋体" w:eastAsia="宋体" w:cs="宋体"/>
          <w:color w:val="auto"/>
          <w:kern w:val="0"/>
          <w:szCs w:val="21"/>
          <w:highlight w:val="none"/>
          <w:shd w:val="clear" w:color="auto" w:fill="auto"/>
          <w:lang w:val="en-US" w:eastAsia="zh-CN"/>
        </w:rPr>
        <w:t>▲5.4 异常低价响应的风险警示：为维护公平竞争和项目质量，磋商小组将对疑似异常低价的响应进行认定。若供应商的最后报价被认定为异常低价且无法在合理期限内证明其报价合理性的，其报价将被视为无效。具体认定标准和处理程序，详见“磋商程序”及“</w:t>
      </w:r>
      <w:r>
        <w:rPr>
          <w:rFonts w:hint="eastAsia" w:ascii="宋体" w:hAnsi="宋体" w:eastAsia="宋体" w:cs="宋体"/>
          <w:color w:val="auto"/>
          <w:kern w:val="0"/>
          <w:sz w:val="21"/>
          <w:szCs w:val="21"/>
          <w:highlight w:val="none"/>
          <w:shd w:val="clear" w:color="auto" w:fill="auto"/>
          <w:lang w:val="en-US" w:eastAsia="zh-CN" w:bidi="ar-SA"/>
        </w:rPr>
        <w:t>评审方法及评分标准</w:t>
      </w:r>
      <w:r>
        <w:rPr>
          <w:rFonts w:hint="eastAsia" w:ascii="宋体" w:hAnsi="宋体" w:eastAsia="宋体" w:cs="宋体"/>
          <w:color w:val="auto"/>
          <w:kern w:val="0"/>
          <w:szCs w:val="21"/>
          <w:highlight w:val="none"/>
          <w:shd w:val="clear" w:color="auto" w:fill="auto"/>
          <w:lang w:val="en-US" w:eastAsia="zh-CN"/>
        </w:rPr>
        <w:t>”。</w:t>
      </w:r>
    </w:p>
    <w:p w14:paraId="4ED0BF86">
      <w:pPr>
        <w:spacing w:line="44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二、竞争性磋商响应文件的编制</w:t>
      </w:r>
    </w:p>
    <w:p w14:paraId="77666785">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 竞争性磋商响应文件编制基本要求</w:t>
      </w:r>
    </w:p>
    <w:p w14:paraId="5F6A21AF">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54660C83">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.2响应文件须由磋商供应商在规定位置盖章并由法定代表人或法定代表人的授权委托人签署，磋商供应商应写全称。</w:t>
      </w:r>
    </w:p>
    <w:p w14:paraId="0A612874">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.3响应文件不得涂改，若有修改错漏处，须加盖单位公章或者法定代表人或授权委托人签字或盖章。响应文件因扫描不清晰或乱码或表达不清所引起的后果由磋商供应商负责。</w:t>
      </w:r>
    </w:p>
    <w:p w14:paraId="2CA443DD">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.4竞争性磋商响应文件的组成：竞争性磋商响应文件应分为价格文件和商务技术文件两个部分组成。</w:t>
      </w:r>
    </w:p>
    <w:p w14:paraId="2ACD3406">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6</w:t>
      </w:r>
      <w:r>
        <w:rPr>
          <w:rFonts w:hint="eastAsia" w:ascii="宋体" w:hAnsi="宋体" w:cs="宋体"/>
          <w:bCs/>
          <w:color w:val="auto"/>
          <w:highlight w:val="none"/>
        </w:rPr>
        <w:t>.5.1价格文件</w:t>
      </w:r>
    </w:p>
    <w:p w14:paraId="6691DDD1">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1）报价表；（附件二）[</w:t>
      </w:r>
      <w:r>
        <w:rPr>
          <w:rFonts w:hint="eastAsia" w:ascii="宋体" w:hAnsi="宋体" w:cs="宋体"/>
          <w:b/>
          <w:color w:val="auto"/>
          <w:highlight w:val="none"/>
        </w:rPr>
        <w:t>必须提供</w:t>
      </w:r>
      <w:r>
        <w:rPr>
          <w:rFonts w:hint="eastAsia" w:ascii="宋体" w:hAnsi="宋体" w:cs="宋体"/>
          <w:bCs/>
          <w:color w:val="auto"/>
          <w:highlight w:val="none"/>
        </w:rPr>
        <w:t>]</w:t>
      </w:r>
    </w:p>
    <w:p w14:paraId="68D2FF06">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lang w:val="en-US" w:eastAsia="zh-CN"/>
        </w:rPr>
        <w:t>6</w:t>
      </w:r>
      <w:r>
        <w:rPr>
          <w:rFonts w:hint="eastAsia" w:ascii="宋体" w:hAnsi="宋体" w:cs="宋体"/>
          <w:bCs/>
          <w:color w:val="auto"/>
          <w:highlight w:val="none"/>
        </w:rPr>
        <w:t>.5.2 商务技术文件（应该有的必须提供,如未提供,磋商小组有权拒绝其竞争性磋商响应文件）</w:t>
      </w:r>
    </w:p>
    <w:p w14:paraId="5E63EE48">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eastAsia="zh-CN"/>
        </w:rPr>
        <w:t>磋商响应函</w:t>
      </w:r>
      <w:r>
        <w:rPr>
          <w:rFonts w:hint="eastAsia" w:ascii="宋体" w:hAnsi="宋体" w:cs="宋体"/>
          <w:bCs/>
          <w:color w:val="auto"/>
          <w:highlight w:val="none"/>
        </w:rPr>
        <w:t>；（附件一）[</w:t>
      </w:r>
      <w:r>
        <w:rPr>
          <w:rFonts w:hint="eastAsia" w:ascii="宋体" w:hAnsi="宋体" w:cs="宋体"/>
          <w:b/>
          <w:color w:val="auto"/>
          <w:highlight w:val="none"/>
        </w:rPr>
        <w:t>必须提供</w:t>
      </w:r>
      <w:r>
        <w:rPr>
          <w:rFonts w:hint="eastAsia" w:ascii="宋体" w:hAnsi="宋体" w:cs="宋体"/>
          <w:bCs/>
          <w:color w:val="auto"/>
          <w:highlight w:val="none"/>
        </w:rPr>
        <w:t>]</w:t>
      </w:r>
    </w:p>
    <w:p w14:paraId="54BF5E59">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2）商务、技术响应、偏离情况说明表（附件三）；[</w:t>
      </w:r>
      <w:r>
        <w:rPr>
          <w:rFonts w:hint="eastAsia" w:ascii="宋体" w:hAnsi="宋体" w:cs="宋体"/>
          <w:b/>
          <w:color w:val="auto"/>
          <w:highlight w:val="none"/>
        </w:rPr>
        <w:t>必须提供</w:t>
      </w:r>
      <w:r>
        <w:rPr>
          <w:rFonts w:hint="eastAsia" w:ascii="宋体" w:hAnsi="宋体" w:cs="宋体"/>
          <w:bCs/>
          <w:color w:val="auto"/>
          <w:highlight w:val="none"/>
        </w:rPr>
        <w:t>]</w:t>
      </w:r>
    </w:p>
    <w:p w14:paraId="2C5A3C3A">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3）法定代表人(负责人)授权委托书原件和委托代理人身份证扫描件或其他电子文件[</w:t>
      </w:r>
      <w:r>
        <w:rPr>
          <w:rFonts w:hint="eastAsia" w:ascii="宋体" w:hAnsi="宋体" w:cs="宋体"/>
          <w:b/>
          <w:color w:val="auto"/>
          <w:highlight w:val="none"/>
        </w:rPr>
        <w:t>委托代理时必须提供</w:t>
      </w:r>
      <w:r>
        <w:rPr>
          <w:rFonts w:hint="eastAsia" w:ascii="宋体" w:hAnsi="宋体" w:cs="宋体"/>
          <w:bCs/>
          <w:color w:val="auto"/>
          <w:highlight w:val="none"/>
        </w:rPr>
        <w:t>]；[附件四]；</w:t>
      </w:r>
    </w:p>
    <w:p w14:paraId="18354F3B">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4）法定代表人(负责人)身份证扫描件或其他电子文件；[</w:t>
      </w:r>
      <w:r>
        <w:rPr>
          <w:rFonts w:hint="eastAsia" w:ascii="宋体" w:hAnsi="宋体" w:cs="宋体"/>
          <w:bCs/>
          <w:color w:val="auto"/>
          <w:highlight w:val="none"/>
          <w:lang w:eastAsia="zh-CN"/>
        </w:rPr>
        <w:t>当</w:t>
      </w:r>
      <w:r>
        <w:rPr>
          <w:rFonts w:hint="eastAsia" w:ascii="宋体" w:hAnsi="宋体" w:cs="宋体"/>
          <w:bCs/>
          <w:color w:val="auto"/>
          <w:highlight w:val="none"/>
        </w:rPr>
        <w:t>法定代表人(负责人)参加磋商时，</w:t>
      </w:r>
      <w:r>
        <w:rPr>
          <w:rFonts w:hint="eastAsia" w:ascii="宋体" w:hAnsi="宋体" w:cs="宋体"/>
          <w:b/>
          <w:color w:val="auto"/>
          <w:highlight w:val="none"/>
        </w:rPr>
        <w:t>必须提供</w:t>
      </w:r>
      <w:r>
        <w:rPr>
          <w:rFonts w:hint="eastAsia" w:ascii="宋体" w:hAnsi="宋体" w:cs="宋体"/>
          <w:bCs/>
          <w:color w:val="auto"/>
          <w:highlight w:val="none"/>
        </w:rPr>
        <w:t>]</w:t>
      </w:r>
    </w:p>
    <w:p w14:paraId="15E9AC48">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5）有效的营业执照等证明文件扫描件或其他电子文件；</w:t>
      </w:r>
    </w:p>
    <w:p w14:paraId="7925B1AD">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供应商有效的“营业执照”等证明文件扫描件或其他电子文件。[</w:t>
      </w:r>
      <w:r>
        <w:rPr>
          <w:rFonts w:hint="eastAsia" w:ascii="宋体" w:hAnsi="宋体" w:cs="宋体"/>
          <w:b/>
          <w:color w:val="auto"/>
          <w:highlight w:val="none"/>
        </w:rPr>
        <w:t>必须提供</w:t>
      </w:r>
      <w:r>
        <w:rPr>
          <w:rFonts w:hint="eastAsia" w:ascii="宋体" w:hAnsi="宋体" w:cs="宋体"/>
          <w:bCs/>
          <w:color w:val="auto"/>
          <w:highlight w:val="none"/>
        </w:rPr>
        <w:t>]；</w:t>
      </w:r>
    </w:p>
    <w:p w14:paraId="6AD122E7">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6)财务状况报告[格式自拟，</w:t>
      </w:r>
      <w:r>
        <w:rPr>
          <w:rFonts w:hint="eastAsia" w:ascii="宋体" w:hAnsi="宋体" w:cs="宋体"/>
          <w:b/>
          <w:color w:val="auto"/>
          <w:highlight w:val="none"/>
        </w:rPr>
        <w:t>必须提供]</w:t>
      </w:r>
      <w:r>
        <w:rPr>
          <w:rFonts w:hint="eastAsia" w:ascii="宋体" w:hAnsi="宋体" w:cs="宋体"/>
          <w:bCs/>
          <w:color w:val="auto"/>
          <w:highlight w:val="none"/>
        </w:rPr>
        <w:t>；</w:t>
      </w:r>
    </w:p>
    <w:p w14:paraId="23BA9978">
      <w:pPr>
        <w:spacing w:line="44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7）响应文件递交截止之日前半年内供应商连续三个月的依法缴纳税费或依法免缴税费的证明[扫描件或其他电子文件，格式自拟，</w:t>
      </w:r>
      <w:r>
        <w:rPr>
          <w:rFonts w:hint="eastAsia" w:ascii="宋体" w:hAnsi="宋体" w:cs="宋体"/>
          <w:b/>
          <w:color w:val="auto"/>
          <w:highlight w:val="none"/>
        </w:rPr>
        <w:t>必须提供</w:t>
      </w:r>
      <w:r>
        <w:rPr>
          <w:rFonts w:hint="eastAsia" w:ascii="宋体" w:hAnsi="宋体" w:cs="宋体"/>
          <w:bCs/>
          <w:color w:val="auto"/>
          <w:highlight w:val="none"/>
        </w:rPr>
        <w:t>]；无纳税记录的，应提供由供应商所在地主管国税或地税部门出具的《依法纳税或依法免税证明》[格式自拟，扫描件或其他电子文件]。</w:t>
      </w:r>
    </w:p>
    <w:p w14:paraId="35C5702D">
      <w:pPr>
        <w:spacing w:line="440" w:lineRule="exact"/>
        <w:ind w:firstLine="420" w:firstLineChars="200"/>
        <w:rPr>
          <w:rFonts w:hint="eastAsia" w:ascii="宋体" w:hAnsi="宋体" w:cs="宋体"/>
          <w:color w:val="auto"/>
          <w:highlight w:val="none"/>
        </w:rPr>
      </w:pPr>
      <w:r>
        <w:rPr>
          <w:rFonts w:hint="eastAsia" w:ascii="宋体" w:hAnsi="宋体" w:cs="宋体"/>
          <w:bCs/>
          <w:color w:val="auto"/>
          <w:highlight w:val="none"/>
        </w:rPr>
        <w:t>8）响应文件递交截止之日前半年内供应商连续三个月的依法缴纳社保费的缴费凭证（扫描件或其他电子文件，格式自拟）[</w:t>
      </w:r>
      <w:r>
        <w:rPr>
          <w:rFonts w:hint="eastAsia" w:ascii="宋体" w:hAnsi="宋体" w:cs="宋体"/>
          <w:b/>
          <w:color w:val="auto"/>
          <w:highlight w:val="none"/>
        </w:rPr>
        <w:t>必须提供</w:t>
      </w:r>
      <w:r>
        <w:rPr>
          <w:rFonts w:hint="eastAsia" w:ascii="宋体" w:hAnsi="宋体" w:cs="宋体"/>
          <w:bCs/>
          <w:color w:val="auto"/>
          <w:highlight w:val="none"/>
        </w:rPr>
        <w:t>]；无缴费记录的，应提供由供应商所在地社保部门出具的《依法缴纳或依法免缴社保费证明》[格式自拟，扫描件或其他电子文件]。</w:t>
      </w:r>
    </w:p>
    <w:p w14:paraId="123E6CD7">
      <w:pPr>
        <w:spacing w:line="440" w:lineRule="exact"/>
        <w:ind w:firstLine="411" w:firstLineChars="196"/>
        <w:jc w:val="left"/>
        <w:rPr>
          <w:rFonts w:hint="eastAsia" w:ascii="宋体" w:hAnsi="宋体" w:cs="宋体"/>
          <w:color w:val="auto"/>
          <w:kern w:val="0"/>
          <w:highlight w:val="none"/>
        </w:rPr>
      </w:pPr>
      <w:r>
        <w:rPr>
          <w:rFonts w:hint="eastAsia" w:ascii="宋体" w:hAnsi="宋体" w:cs="宋体"/>
          <w:color w:val="auto"/>
          <w:kern w:val="0"/>
          <w:highlight w:val="none"/>
        </w:rPr>
        <w:t>9）</w:t>
      </w:r>
      <w:r>
        <w:rPr>
          <w:rFonts w:hint="eastAsia" w:ascii="宋体" w:hAnsi="宋体" w:cs="宋体"/>
          <w:color w:val="auto"/>
          <w:highlight w:val="none"/>
        </w:rPr>
        <w:t>具备履行合同所必需的设备和专业技术能力的证明材料</w:t>
      </w:r>
      <w:r>
        <w:rPr>
          <w:rFonts w:hint="eastAsia" w:ascii="宋体" w:hAnsi="宋体" w:cs="宋体"/>
          <w:color w:val="auto"/>
          <w:kern w:val="0"/>
          <w:highlight w:val="none"/>
        </w:rPr>
        <w:t>；</w:t>
      </w:r>
      <w:r>
        <w:rPr>
          <w:rFonts w:hint="eastAsia" w:ascii="宋体" w:hAnsi="宋体" w:cs="宋体"/>
          <w:color w:val="auto"/>
          <w:highlight w:val="none"/>
        </w:rPr>
        <w:t>[格式自拟，</w:t>
      </w:r>
      <w:r>
        <w:rPr>
          <w:rFonts w:hint="eastAsia" w:ascii="宋体" w:hAnsi="宋体" w:cs="宋体"/>
          <w:b/>
          <w:bCs/>
          <w:color w:val="auto"/>
          <w:highlight w:val="none"/>
        </w:rPr>
        <w:t>必须提供</w:t>
      </w:r>
      <w:r>
        <w:rPr>
          <w:rFonts w:hint="eastAsia" w:ascii="宋体" w:hAnsi="宋体" w:cs="宋体"/>
          <w:color w:val="auto"/>
          <w:highlight w:val="none"/>
        </w:rPr>
        <w:t>]</w:t>
      </w:r>
    </w:p>
    <w:p w14:paraId="65BEB934">
      <w:pPr>
        <w:spacing w:line="440" w:lineRule="exact"/>
        <w:ind w:firstLine="424" w:firstLineChars="202"/>
        <w:jc w:val="left"/>
        <w:rPr>
          <w:rFonts w:hint="eastAsia" w:ascii="宋体" w:hAnsi="宋体" w:cs="宋体"/>
          <w:color w:val="auto"/>
          <w:kern w:val="0"/>
          <w:highlight w:val="none"/>
        </w:rPr>
      </w:pPr>
      <w:r>
        <w:rPr>
          <w:rFonts w:hint="eastAsia" w:ascii="宋体" w:hAnsi="宋体" w:cs="宋体"/>
          <w:color w:val="auto"/>
          <w:highlight w:val="none"/>
        </w:rPr>
        <w:t>10）</w:t>
      </w:r>
      <w:r>
        <w:rPr>
          <w:rFonts w:hint="eastAsia" w:ascii="宋体" w:hAnsi="宋体" w:cs="宋体"/>
          <w:color w:val="auto"/>
          <w:kern w:val="0"/>
          <w:highlight w:val="none"/>
        </w:rPr>
        <w:t>参加政府采购活动前三年内在经营活动中没有重大违法记录的书面声明；（附件五）【格式自拟，</w:t>
      </w:r>
      <w:r>
        <w:rPr>
          <w:rFonts w:hint="eastAsia" w:ascii="宋体" w:hAnsi="宋体" w:cs="宋体"/>
          <w:b/>
          <w:bCs/>
          <w:color w:val="auto"/>
          <w:kern w:val="0"/>
          <w:highlight w:val="none"/>
        </w:rPr>
        <w:t>必须提供</w:t>
      </w:r>
      <w:r>
        <w:rPr>
          <w:rFonts w:hint="eastAsia" w:ascii="宋体" w:hAnsi="宋体" w:cs="宋体"/>
          <w:color w:val="auto"/>
          <w:kern w:val="0"/>
          <w:highlight w:val="none"/>
        </w:rPr>
        <w:t>】</w:t>
      </w:r>
    </w:p>
    <w:p w14:paraId="5F00B071">
      <w:pPr>
        <w:spacing w:line="44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（供应商可在“信用中国”网站（www.creditchina.gov.cn）、中国政府采购网（www.ccgp.gov.cn）查询相关供应商主体信用记录。 </w:t>
      </w:r>
    </w:p>
    <w:p w14:paraId="2406D2EE">
      <w:pPr>
        <w:spacing w:line="44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“信用中国”网站查询方法：供应商在本项目磋商截止时间前10日内,进入供应商基本信息页面，点击“下载信用报告”后点击“下载”。</w:t>
      </w:r>
    </w:p>
    <w:p w14:paraId="39F178B6">
      <w:pPr>
        <w:spacing w:line="44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“中国政府采购网”的查询方法：点击“政府采购严重违法失信行为记录名单”进行查询。截止时间为本项目磋商截止时间前10日至磋商截止时间中任意一天。</w:t>
      </w:r>
    </w:p>
    <w:p w14:paraId="5E271808">
      <w:pPr>
        <w:spacing w:line="44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40AB9019">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11）服务承诺书（内容可以是提供的切实可行的服务和承诺）</w:t>
      </w:r>
      <w:r>
        <w:rPr>
          <w:rFonts w:hint="eastAsia" w:ascii="宋体" w:hAnsi="宋体" w:cs="宋体"/>
          <w:b/>
          <w:bCs/>
          <w:color w:val="auto"/>
          <w:highlight w:val="none"/>
        </w:rPr>
        <w:t>[格式自拟，必须提供]</w:t>
      </w:r>
      <w:r>
        <w:rPr>
          <w:rFonts w:hint="eastAsia" w:ascii="宋体" w:hAnsi="宋体" w:cs="宋体"/>
          <w:color w:val="auto"/>
          <w:highlight w:val="none"/>
        </w:rPr>
        <w:t>；</w:t>
      </w:r>
    </w:p>
    <w:p w14:paraId="2B426161">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12）服务检验、测试、验收执行的标准；</w:t>
      </w:r>
    </w:p>
    <w:p w14:paraId="24B2537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13）服务获奖证书； </w:t>
      </w:r>
    </w:p>
    <w:p w14:paraId="4DFA67A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14）服务保证措施；</w:t>
      </w:r>
    </w:p>
    <w:p w14:paraId="11554391">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15）供应商认为需要提供的有关资料。</w:t>
      </w:r>
    </w:p>
    <w:p w14:paraId="0B88D04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16）中小型企业声明函/监狱企业证明/残疾人福利性单位声明函（附件六）</w:t>
      </w:r>
      <w:r>
        <w:rPr>
          <w:rFonts w:hint="eastAsia" w:ascii="宋体" w:hAnsi="宋体" w:cs="宋体"/>
          <w:b/>
          <w:color w:val="auto"/>
          <w:highlight w:val="none"/>
        </w:rPr>
        <w:t>[</w:t>
      </w:r>
      <w:r>
        <w:rPr>
          <w:rFonts w:hint="eastAsia" w:ascii="宋体" w:hAnsi="宋体" w:cs="宋体"/>
          <w:b/>
          <w:color w:val="auto"/>
          <w:highlight w:val="none"/>
          <w:lang w:eastAsia="zh-CN"/>
        </w:rPr>
        <w:t>必须</w:t>
      </w:r>
      <w:r>
        <w:rPr>
          <w:rFonts w:hint="eastAsia" w:ascii="宋体" w:hAnsi="宋体" w:cs="宋体"/>
          <w:b/>
          <w:bCs/>
          <w:color w:val="auto"/>
          <w:highlight w:val="none"/>
        </w:rPr>
        <w:t>提供</w:t>
      </w:r>
      <w:r>
        <w:rPr>
          <w:rFonts w:hint="eastAsia" w:ascii="宋体" w:hAnsi="宋体" w:cs="宋体"/>
          <w:b/>
          <w:color w:val="auto"/>
          <w:highlight w:val="none"/>
        </w:rPr>
        <w:t>]</w:t>
      </w:r>
      <w:r>
        <w:rPr>
          <w:rFonts w:hint="eastAsia" w:ascii="宋体" w:hAnsi="宋体" w:cs="宋体"/>
          <w:color w:val="auto"/>
          <w:highlight w:val="none"/>
        </w:rPr>
        <w:t>。</w:t>
      </w:r>
    </w:p>
    <w:p w14:paraId="452E7ECB">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 计量单位</w:t>
      </w:r>
    </w:p>
    <w:p w14:paraId="5D23FED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.1除技术要求中另有规定外，本文件所要求使用的计量单位均应采用国家法定计量单位。</w:t>
      </w:r>
    </w:p>
    <w:p w14:paraId="49280C24">
      <w:pPr>
        <w:spacing w:line="44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三、报价要求</w:t>
      </w:r>
    </w:p>
    <w:p w14:paraId="1911B017">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.1对于本文件中未列明，而供应商认为必需的费用也需列入总报价。在合同实施时，采购人将不予支付成交供应商没有列入的项目费用，并认为此项目的费用已包括在总报价中。</w:t>
      </w:r>
    </w:p>
    <w:p w14:paraId="21786186">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.2成交供应商负责本项目所需服务的全部工作。</w:t>
      </w:r>
    </w:p>
    <w:p w14:paraId="677E9025">
      <w:pPr>
        <w:pStyle w:val="11"/>
        <w:spacing w:line="440" w:lineRule="exact"/>
        <w:ind w:firstLine="420"/>
        <w:rPr>
          <w:rFonts w:hint="eastAsia" w:hAnsi="宋体" w:cs="宋体"/>
          <w:color w:val="auto"/>
          <w:szCs w:val="21"/>
          <w:highlight w:val="none"/>
        </w:rPr>
      </w:pPr>
      <w:r>
        <w:rPr>
          <w:rFonts w:hint="eastAsia" w:hAnsi="宋体" w:cs="宋体"/>
          <w:color w:val="auto"/>
          <w:szCs w:val="21"/>
          <w:highlight w:val="none"/>
          <w:lang w:val="en-US" w:eastAsia="zh-CN"/>
        </w:rPr>
        <w:t>8</w:t>
      </w:r>
      <w:r>
        <w:rPr>
          <w:rFonts w:hint="eastAsia" w:hAnsi="宋体" w:cs="宋体"/>
          <w:color w:val="auto"/>
          <w:szCs w:val="21"/>
          <w:highlight w:val="none"/>
        </w:rPr>
        <w:t>.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6EEF2FC4">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.4报价：供应商就《采购需求》中的服务内容作完整唯一报价。</w:t>
      </w:r>
    </w:p>
    <w:p w14:paraId="67B60CDB">
      <w:pPr>
        <w:widowControl/>
        <w:spacing w:line="440" w:lineRule="exact"/>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四、竞争性磋商响应文件的上传、提交、修改、撤回和解密</w:t>
      </w:r>
    </w:p>
    <w:p w14:paraId="03A7BA1E">
      <w:pPr>
        <w:widowControl/>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lang w:val="en-US" w:eastAsia="zh-CN"/>
        </w:rPr>
        <w:t xml:space="preserve"> 9</w:t>
      </w:r>
      <w:r>
        <w:rPr>
          <w:rFonts w:hint="eastAsia" w:ascii="宋体" w:hAnsi="宋体" w:cs="宋体"/>
          <w:bCs/>
          <w:color w:val="auto"/>
          <w:highlight w:val="none"/>
        </w:rPr>
        <w:t>. 竞争性磋商响应文件的上传和提交</w:t>
      </w:r>
    </w:p>
    <w:p w14:paraId="2B077A68">
      <w:pPr>
        <w:widowControl/>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见须知前附表。</w:t>
      </w:r>
    </w:p>
    <w:p w14:paraId="6807E91B">
      <w:pPr>
        <w:widowControl/>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lang w:val="en-US" w:eastAsia="zh-CN"/>
        </w:rPr>
        <w:t>10</w:t>
      </w:r>
      <w:r>
        <w:rPr>
          <w:rFonts w:hint="eastAsia" w:ascii="宋体" w:hAnsi="宋体" w:cs="宋体"/>
          <w:bCs/>
          <w:color w:val="auto"/>
          <w:highlight w:val="none"/>
        </w:rPr>
        <w:t>. 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5DA31B82">
      <w:pPr>
        <w:widowControl/>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电子加密响应文件的解密：见须知前附表。</w:t>
      </w:r>
    </w:p>
    <w:p w14:paraId="1A7B4F9E">
      <w:pPr>
        <w:widowControl/>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val="en-US" w:eastAsia="zh-CN"/>
        </w:rPr>
        <w:t>1</w:t>
      </w:r>
      <w:r>
        <w:rPr>
          <w:rFonts w:hint="eastAsia" w:ascii="宋体" w:hAnsi="宋体" w:cs="宋体"/>
          <w:bCs/>
          <w:color w:val="auto"/>
          <w:highlight w:val="none"/>
        </w:rPr>
        <w:t>.保证金说明及要求</w:t>
      </w:r>
    </w:p>
    <w:p w14:paraId="698B2DF2">
      <w:pPr>
        <w:widowControl/>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val="en-US" w:eastAsia="zh-CN"/>
        </w:rPr>
        <w:t>1</w:t>
      </w:r>
      <w:r>
        <w:rPr>
          <w:rFonts w:hint="eastAsia" w:ascii="宋体" w:hAnsi="宋体" w:cs="宋体"/>
          <w:bCs/>
          <w:color w:val="auto"/>
          <w:highlight w:val="none"/>
        </w:rPr>
        <w:t>.1保证金应用人民币：具体金额详见采购公告。</w:t>
      </w:r>
    </w:p>
    <w:p w14:paraId="6CD87476">
      <w:pPr>
        <w:widowControl/>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val="en-US" w:eastAsia="zh-CN"/>
        </w:rPr>
        <w:t>1</w:t>
      </w:r>
      <w:r>
        <w:rPr>
          <w:rFonts w:hint="eastAsia" w:ascii="宋体" w:hAnsi="宋体" w:cs="宋体"/>
          <w:bCs/>
          <w:color w:val="auto"/>
          <w:highlight w:val="none"/>
        </w:rPr>
        <w:t>.2 保证金交纳方式：支票、汇票、本票或者金融机构、担保机构出具的保函等非现金形式交纳。</w:t>
      </w:r>
    </w:p>
    <w:p w14:paraId="36A09BB3">
      <w:pPr>
        <w:widowControl/>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val="en-US" w:eastAsia="zh-CN"/>
        </w:rPr>
        <w:t>1</w:t>
      </w:r>
      <w:r>
        <w:rPr>
          <w:rFonts w:hint="eastAsia" w:ascii="宋体" w:hAnsi="宋体" w:cs="宋体"/>
          <w:bCs/>
          <w:color w:val="auto"/>
          <w:highlight w:val="none"/>
        </w:rPr>
        <w:t>.3办理保证金手续时，请务必在银行相关票据（非现金）或凭证的用途或空白栏上注明项目名称及项目编号，以免耽误竞争性磋商。</w:t>
      </w:r>
    </w:p>
    <w:p w14:paraId="6F0EEF05">
      <w:pPr>
        <w:widowControl/>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val="en-US" w:eastAsia="zh-CN"/>
        </w:rPr>
        <w:t>1</w:t>
      </w:r>
      <w:r>
        <w:rPr>
          <w:rFonts w:hint="eastAsia" w:ascii="宋体" w:hAnsi="宋体" w:cs="宋体"/>
          <w:bCs/>
          <w:color w:val="auto"/>
          <w:highlight w:val="none"/>
        </w:rPr>
        <w:t>.4保证金相关事宜：电话：0771-8600309，地址：南宁市星湖路22号。</w:t>
      </w:r>
    </w:p>
    <w:p w14:paraId="2B34B10D">
      <w:pPr>
        <w:widowControl/>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val="en-US" w:eastAsia="zh-CN"/>
        </w:rPr>
        <w:t>1</w:t>
      </w:r>
      <w:r>
        <w:rPr>
          <w:rFonts w:hint="eastAsia" w:ascii="宋体" w:hAnsi="宋体" w:cs="宋体"/>
          <w:bCs/>
          <w:color w:val="auto"/>
          <w:highlight w:val="none"/>
        </w:rPr>
        <w:t>.5未成交供应商的保证金，将在成交通知书发出后4个工作日内予以退还，不计利息。</w:t>
      </w:r>
    </w:p>
    <w:p w14:paraId="0EB9A8B1">
      <w:pPr>
        <w:widowControl/>
        <w:spacing w:line="44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成交人的保证金在合同签订后4个工作日内退还（合同签订后送达本中心），不计利息。</w:t>
      </w:r>
    </w:p>
    <w:p w14:paraId="2D909097">
      <w:pPr>
        <w:widowControl/>
        <w:spacing w:line="440" w:lineRule="exact"/>
        <w:ind w:firstLine="420" w:firstLineChars="200"/>
        <w:jc w:val="left"/>
        <w:rPr>
          <w:rFonts w:hint="eastAsia" w:ascii="宋体" w:hAnsi="宋体" w:cs="宋体"/>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val="en-US" w:eastAsia="zh-CN"/>
        </w:rPr>
        <w:t>1</w:t>
      </w:r>
      <w:r>
        <w:rPr>
          <w:rFonts w:hint="eastAsia" w:ascii="宋体" w:hAnsi="宋体" w:cs="宋体"/>
          <w:bCs/>
          <w:color w:val="auto"/>
          <w:highlight w:val="none"/>
        </w:rPr>
        <w:t>.6对应交未交保证金的竞争性磋商响应文件，将会在评审中按照无效竞争性磋商响应文件处理。</w:t>
      </w:r>
    </w:p>
    <w:p w14:paraId="45723567">
      <w:pPr>
        <w:spacing w:line="440" w:lineRule="exact"/>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（说明：评审时，磋商小组将以本中心财务室编制的《竞争性磋商文件报名登记名单及保证金收缴情况表》作为评审依据）。</w:t>
      </w:r>
    </w:p>
    <w:p w14:paraId="731EC0A1">
      <w:pPr>
        <w:spacing w:line="440" w:lineRule="exact"/>
        <w:ind w:firstLine="413" w:firstLineChars="196"/>
        <w:jc w:val="left"/>
        <w:rPr>
          <w:rFonts w:hint="eastAsia" w:ascii="宋体" w:hAnsi="宋体" w:cs="宋体"/>
          <w:b/>
          <w:bCs/>
          <w:color w:val="auto"/>
          <w:highlight w:val="none"/>
        </w:rPr>
      </w:pPr>
      <w:r>
        <w:rPr>
          <w:rFonts w:hint="eastAsia" w:ascii="宋体" w:hAnsi="宋体" w:cs="宋体"/>
          <w:b/>
          <w:bCs/>
          <w:color w:val="auto"/>
          <w:highlight w:val="none"/>
        </w:rPr>
        <w:t>1</w:t>
      </w:r>
      <w:r>
        <w:rPr>
          <w:rFonts w:hint="eastAsia" w:ascii="宋体" w:hAnsi="宋体" w:cs="宋体"/>
          <w:b/>
          <w:bCs/>
          <w:color w:val="auto"/>
          <w:highlight w:val="none"/>
          <w:lang w:val="en-US" w:eastAsia="zh-CN"/>
        </w:rPr>
        <w:t>1</w:t>
      </w:r>
      <w:r>
        <w:rPr>
          <w:rFonts w:hint="eastAsia" w:ascii="宋体" w:hAnsi="宋体" w:cs="宋体"/>
          <w:b/>
          <w:bCs/>
          <w:color w:val="auto"/>
          <w:highlight w:val="none"/>
        </w:rPr>
        <w:t>.7供应商有下列情形之一的，保证金将不予退还：</w:t>
      </w:r>
    </w:p>
    <w:p w14:paraId="532D4964">
      <w:pPr>
        <w:spacing w:line="44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（1）供应商在竞争性磋商有效期内撤回竞争性磋商响应文件的；</w:t>
      </w:r>
    </w:p>
    <w:p w14:paraId="25E435B2">
      <w:pPr>
        <w:spacing w:line="44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（2）供应商在竞争性磋商响应文件中提供虚假材料的；</w:t>
      </w:r>
    </w:p>
    <w:p w14:paraId="5E72748A">
      <w:pPr>
        <w:spacing w:line="44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（3）除因不可抗力或竞争性磋商文件认可的情形以外，成交供应商不与采购人签订合同的；</w:t>
      </w:r>
    </w:p>
    <w:p w14:paraId="3528312C">
      <w:pPr>
        <w:spacing w:line="44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（4）供应商与采购人、其他供应商或者采购代理机构恶意串通的；</w:t>
      </w:r>
    </w:p>
    <w:p w14:paraId="3F096ABF">
      <w:pPr>
        <w:spacing w:line="44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（5） 磋商文件规定的其他情形。</w:t>
      </w:r>
    </w:p>
    <w:p w14:paraId="79AB334C">
      <w:pPr>
        <w:spacing w:line="44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注：供应商已经被推荐为第一成交候选供应商后撤回竞争性磋商响应文件或拒绝签订政府采购合同的，其保证金将不予退还，并上缴国库，给采购人造成其损失的，还应当赔偿损失，并作为不良行为记录在案。</w:t>
      </w:r>
    </w:p>
    <w:p w14:paraId="1CA51FC6">
      <w:pPr>
        <w:spacing w:line="44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五</w:t>
      </w:r>
      <w:r>
        <w:rPr>
          <w:rFonts w:hint="eastAsia" w:ascii="宋体" w:hAnsi="宋体" w:cs="宋体"/>
          <w:color w:val="auto"/>
          <w:highlight w:val="none"/>
        </w:rPr>
        <w:t>、</w:t>
      </w:r>
      <w:r>
        <w:rPr>
          <w:rFonts w:hint="eastAsia" w:ascii="宋体" w:hAnsi="宋体" w:cs="宋体"/>
          <w:b/>
          <w:bCs/>
          <w:color w:val="auto"/>
          <w:highlight w:val="none"/>
        </w:rPr>
        <w:t>磋商程序及评审方法</w:t>
      </w:r>
    </w:p>
    <w:p w14:paraId="3498E1B4">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lang w:val="en-US" w:eastAsia="zh-CN"/>
        </w:rPr>
        <w:t>12.1</w:t>
      </w:r>
      <w:r>
        <w:rPr>
          <w:rFonts w:hint="eastAsia" w:ascii="宋体" w:hAnsi="宋体" w:cs="宋体"/>
          <w:color w:val="auto"/>
          <w:kern w:val="0"/>
          <w:highlight w:val="none"/>
        </w:rPr>
        <w:t>未实质性响应竞争性磋商文件的竞争性磋商响应文件按无效处理。</w:t>
      </w:r>
    </w:p>
    <w:p w14:paraId="33804326">
      <w:pPr>
        <w:widowControl/>
        <w:spacing w:line="38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12.2 </w:t>
      </w:r>
      <w:r>
        <w:rPr>
          <w:rFonts w:hint="eastAsia" w:ascii="宋体" w:hAnsi="宋体" w:cs="宋体"/>
          <w:color w:val="auto"/>
          <w:szCs w:val="21"/>
          <w:highlight w:val="none"/>
          <w:lang w:eastAsia="zh-CN"/>
        </w:rPr>
        <w:t>最后报价超</w:t>
      </w:r>
      <w:r>
        <w:rPr>
          <w:rFonts w:hint="eastAsia" w:ascii="宋体" w:hAnsi="宋体" w:eastAsia="宋体" w:cs="宋体"/>
          <w:color w:val="auto"/>
          <w:szCs w:val="21"/>
          <w:highlight w:val="none"/>
          <w:lang w:eastAsia="zh-CN"/>
        </w:rPr>
        <w:t>过采购预算、最高限价或</w:t>
      </w:r>
      <w:r>
        <w:rPr>
          <w:rFonts w:hint="eastAsia" w:ascii="宋体" w:hAnsi="宋体" w:eastAsia="宋体" w:cs="宋体"/>
          <w:color w:val="auto"/>
          <w:szCs w:val="21"/>
          <w:highlight w:val="none"/>
          <w:lang w:val="en-US" w:eastAsia="zh-CN"/>
        </w:rPr>
        <w:t>经启动异常低价响应审查程序后，供应商不能证明其最后报价合理性的，其响应文件按无效处理。</w:t>
      </w:r>
    </w:p>
    <w:p w14:paraId="78DC3B3F">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lang w:val="en-US" w:eastAsia="zh-CN"/>
        </w:rPr>
        <w:t>12.3</w:t>
      </w:r>
      <w:r>
        <w:rPr>
          <w:rFonts w:hint="eastAsia" w:ascii="宋体" w:hAnsi="宋体" w:cs="宋体"/>
          <w:color w:val="auto"/>
          <w:kern w:val="0"/>
          <w:highlight w:val="none"/>
        </w:rPr>
        <w:t>有下列情形之一的视为供应商相互串通参与磋商活动，竞争性磋商响应文件将被视为无效：</w:t>
      </w:r>
    </w:p>
    <w:p w14:paraId="741A391F">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（1）不同供应商的竞争性磋商响应文件由同一单位或者个人编制；或不同供应商报名的IP地址一致的；</w:t>
      </w:r>
    </w:p>
    <w:p w14:paraId="55D98CFA">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（2）不同供应商委托同一单位或者个人办理磋商活动事宜；</w:t>
      </w:r>
    </w:p>
    <w:p w14:paraId="105DE96C">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（3）不同的供应商的竞争性磋商响应文件载明的项目管理员为同一个人；</w:t>
      </w:r>
    </w:p>
    <w:p w14:paraId="16AD9A08">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（4）不同供应商的竞争性磋商响应文件异常一致或磋商报价呈规律性差异；</w:t>
      </w:r>
    </w:p>
    <w:p w14:paraId="7D50BA65">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（5）不同供应商的竞争性磋商响应文件相互混装；</w:t>
      </w:r>
    </w:p>
    <w:p w14:paraId="0690080D">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（6）不同供应商的保证金从同一单位或者个人账户转出。</w:t>
      </w:r>
    </w:p>
    <w:p w14:paraId="077615A6">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lang w:val="en-US" w:eastAsia="zh-CN"/>
        </w:rPr>
        <w:t>12.4</w:t>
      </w:r>
      <w:r>
        <w:rPr>
          <w:rFonts w:hint="eastAsia" w:ascii="宋体" w:hAnsi="宋体" w:cs="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1DEB6E83">
      <w:pPr>
        <w:widowControl/>
        <w:spacing w:line="400" w:lineRule="exact"/>
        <w:ind w:firstLine="420" w:firstLineChars="200"/>
        <w:jc w:val="left"/>
        <w:rPr>
          <w:rFonts w:hint="eastAsia" w:ascii="宋体" w:hAnsi="宋体" w:cs="宋体"/>
          <w:bCs/>
          <w:color w:val="auto"/>
          <w:kern w:val="0"/>
          <w:highlight w:val="none"/>
        </w:rPr>
      </w:pPr>
      <w:r>
        <w:rPr>
          <w:rFonts w:hint="eastAsia" w:ascii="宋体" w:hAnsi="宋体" w:cs="宋体"/>
          <w:bCs/>
          <w:color w:val="auto"/>
          <w:kern w:val="0"/>
          <w:highlight w:val="none"/>
          <w:lang w:val="en-US" w:eastAsia="zh-CN"/>
        </w:rPr>
        <w:t>12.5</w:t>
      </w:r>
      <w:r>
        <w:rPr>
          <w:rFonts w:hint="eastAsia" w:ascii="宋体" w:hAnsi="宋体" w:cs="宋体"/>
          <w:bCs/>
          <w:color w:val="auto"/>
          <w:kern w:val="0"/>
          <w:highlight w:val="none"/>
        </w:rPr>
        <w:t>其他投标无效的情形：</w:t>
      </w:r>
    </w:p>
    <w:p w14:paraId="66D6EEEA">
      <w:pPr>
        <w:widowControl/>
        <w:spacing w:line="400" w:lineRule="exact"/>
        <w:ind w:firstLine="422" w:firstLineChars="200"/>
        <w:jc w:val="left"/>
        <w:rPr>
          <w:rFonts w:hint="eastAsia" w:ascii="宋体" w:hAnsi="宋体" w:cs="宋体"/>
          <w:b/>
          <w:bCs/>
          <w:color w:val="auto"/>
          <w:kern w:val="0"/>
          <w:highlight w:val="none"/>
        </w:rPr>
      </w:pPr>
      <w:r>
        <w:rPr>
          <w:rFonts w:hint="eastAsia" w:ascii="宋体" w:hAnsi="宋体" w:cs="宋体"/>
          <w:b/>
          <w:bCs/>
          <w:color w:val="auto"/>
          <w:kern w:val="0"/>
          <w:highlight w:val="none"/>
        </w:rPr>
        <w:t>（1）竞争性磋商响应文件未按竞争性磋商文件要求签署或CA电子签章的；</w:t>
      </w:r>
    </w:p>
    <w:p w14:paraId="51914081">
      <w:pPr>
        <w:widowControl/>
        <w:spacing w:line="400" w:lineRule="exact"/>
        <w:ind w:firstLine="422" w:firstLineChars="200"/>
        <w:jc w:val="left"/>
        <w:rPr>
          <w:rFonts w:hint="eastAsia" w:ascii="宋体" w:hAnsi="宋体" w:cs="宋体"/>
          <w:b/>
          <w:bCs/>
          <w:color w:val="auto"/>
          <w:kern w:val="0"/>
          <w:highlight w:val="none"/>
        </w:rPr>
      </w:pPr>
      <w:r>
        <w:rPr>
          <w:rFonts w:hint="eastAsia" w:ascii="宋体" w:hAnsi="宋体" w:cs="宋体"/>
          <w:b/>
          <w:bCs/>
          <w:color w:val="auto"/>
          <w:kern w:val="0"/>
          <w:highlight w:val="none"/>
        </w:rPr>
        <w:t>（2）供应商提交两份或两份以上内容不同的竞争性磋商响应文件的；</w:t>
      </w:r>
    </w:p>
    <w:p w14:paraId="4EBB89E7">
      <w:pPr>
        <w:widowControl/>
        <w:spacing w:line="400" w:lineRule="exact"/>
        <w:ind w:firstLine="422" w:firstLineChars="200"/>
        <w:jc w:val="left"/>
        <w:rPr>
          <w:rFonts w:hint="eastAsia" w:ascii="宋体" w:hAnsi="宋体" w:cs="宋体"/>
          <w:b/>
          <w:bCs/>
          <w:color w:val="auto"/>
          <w:kern w:val="0"/>
          <w:highlight w:val="none"/>
        </w:rPr>
      </w:pPr>
      <w:r>
        <w:rPr>
          <w:rFonts w:hint="eastAsia" w:ascii="宋体" w:hAnsi="宋体" w:cs="宋体"/>
          <w:b/>
          <w:bCs/>
          <w:color w:val="auto"/>
          <w:kern w:val="0"/>
          <w:highlight w:val="none"/>
        </w:rPr>
        <w:t>（3）磋商供应商在线制作竞争性磋商响应文件时填写的报价金额与解密后“电子加密响应文件”中《报价文件》填写的金额不一致并拒绝按采购文件要求接受调整的；</w:t>
      </w:r>
    </w:p>
    <w:p w14:paraId="73DDAB97">
      <w:pPr>
        <w:widowControl/>
        <w:spacing w:line="400" w:lineRule="exact"/>
        <w:ind w:firstLine="422" w:firstLineChars="200"/>
        <w:jc w:val="left"/>
        <w:rPr>
          <w:rFonts w:hint="eastAsia" w:ascii="宋体" w:hAnsi="宋体" w:cs="宋体"/>
          <w:color w:val="auto"/>
          <w:kern w:val="0"/>
          <w:highlight w:val="none"/>
        </w:rPr>
      </w:pPr>
      <w:r>
        <w:rPr>
          <w:rFonts w:hint="eastAsia" w:ascii="宋体" w:hAnsi="宋体" w:cs="宋体"/>
          <w:b/>
          <w:bCs/>
          <w:color w:val="auto"/>
          <w:kern w:val="0"/>
          <w:highlight w:val="none"/>
        </w:rPr>
        <w:t>（4）法律、法规和招标文件规定的其他无效情形（或出现重大偏差）。</w:t>
      </w:r>
    </w:p>
    <w:p w14:paraId="5019C543">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lang w:val="en-US" w:eastAsia="zh-CN"/>
        </w:rPr>
        <w:t>12.6</w:t>
      </w:r>
      <w:r>
        <w:rPr>
          <w:rFonts w:hint="eastAsia" w:ascii="宋体" w:hAnsi="宋体" w:cs="宋体"/>
          <w:color w:val="auto"/>
          <w:kern w:val="0"/>
          <w:highlight w:val="none"/>
        </w:rPr>
        <w:t>被拒绝的响应文件为无效。</w:t>
      </w:r>
    </w:p>
    <w:p w14:paraId="6C02B4EC">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供应商竞争性磋商响应文件无效的，磋商小组应当告知有关供应商。</w:t>
      </w:r>
    </w:p>
    <w:p w14:paraId="44C6113D">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.1</w:t>
      </w:r>
      <w:r>
        <w:rPr>
          <w:rFonts w:hint="eastAsia" w:ascii="宋体" w:hAnsi="宋体" w:cs="宋体"/>
          <w:b/>
          <w:color w:val="auto"/>
          <w:kern w:val="0"/>
          <w:highlight w:val="none"/>
        </w:rPr>
        <w:t>第一轮磋商</w:t>
      </w:r>
    </w:p>
    <w:p w14:paraId="5E593AA1">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b/>
          <w:color w:val="auto"/>
          <w:kern w:val="0"/>
          <w:highlight w:val="none"/>
        </w:rPr>
        <w:t>磋商准备</w:t>
      </w:r>
    </w:p>
    <w:p w14:paraId="6EDC235C">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本中心将在规定的时间和地点进行电子磋商，磋商供应商的法定代表人或其委托代理人应做好磋商准备，准时在线参加电子磋商会议，随时关注磋商进度。</w:t>
      </w:r>
    </w:p>
    <w:p w14:paraId="2B12B14B">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（二）</w:t>
      </w:r>
      <w:r>
        <w:rPr>
          <w:rFonts w:hint="eastAsia" w:ascii="宋体" w:hAnsi="宋体" w:cs="宋体"/>
          <w:b/>
          <w:color w:val="auto"/>
          <w:kern w:val="0"/>
          <w:highlight w:val="none"/>
        </w:rPr>
        <w:t xml:space="preserve"> 第一轮磋商程序：</w:t>
      </w:r>
    </w:p>
    <w:p w14:paraId="638C5751">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1.磋商会由本中心主持，主持人宣布磋商会议开始；</w:t>
      </w:r>
    </w:p>
    <w:p w14:paraId="6C9708FE">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 xml:space="preserve">2.主持人介绍参加磋商会的人员名单； </w:t>
      </w:r>
    </w:p>
    <w:p w14:paraId="2574DBF3">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3.主持人宣布磋商会议纪律及评审期间的有关事项；告知应当回避的情形,提请有关人员回避；</w:t>
      </w:r>
    </w:p>
    <w:p w14:paraId="1DB70F0A">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4.磋商及评审程序</w:t>
      </w:r>
    </w:p>
    <w:p w14:paraId="32B62B37">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（1）在磋商开始时间截止后30分钟内由各供应商自行对磋商响应文件进行解密；</w:t>
      </w:r>
    </w:p>
    <w:p w14:paraId="579AF869">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（2）由磋商小组进行资格审查和符合性审查，审查结束后，在线通知无效磋商供应商磋商响应文件无效理由，有效磋商供应商进入磋商程序。</w:t>
      </w:r>
    </w:p>
    <w:p w14:paraId="13BC24B8">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（3）系统对各供应商的商务技术进行汇总；</w:t>
      </w:r>
    </w:p>
    <w:p w14:paraId="14F61F42">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（4）磋商小组所有成员应当集中与单一供应商分别进行在线磋商，并给予所有参加磋商的供应商平等的磋商机会。</w:t>
      </w:r>
    </w:p>
    <w:p w14:paraId="7328228A">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5）当磋商小组一致确定供应商的竞争性磋商响应文件能够详细列明采购标的的技术、服务要求且符合竞争性磋商文件要求，无需再磋商的，磋商小组按竞争性磋商文件设定的程序和综合评分法确定成交候选供应商。第一轮磋商后竞争性磋商文件有实质性变动或仍需磋商的，磋商小组对竞争性磋商文件变动或提出磋商意见后进行第二轮磋商。</w:t>
      </w:r>
    </w:p>
    <w:p w14:paraId="6E42DF41">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.2竞争性磋商文件变动</w:t>
      </w:r>
    </w:p>
    <w:p w14:paraId="2765939A">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88CE4A3">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14:paraId="4F5556FD">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.3第二轮磋商</w:t>
      </w:r>
    </w:p>
    <w:p w14:paraId="0DDE9152">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磋商小组集中就重新递交的响应材料或磋商小组提出的磋商意见与单一响应供应商分别进行在线磋商。</w:t>
      </w:r>
    </w:p>
    <w:p w14:paraId="150C78CB">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磋商后，在询标规定时间内供应商根据磋商小组统一整理的磋商记录要求做出承诺（需盖CA电子签章）。</w:t>
      </w:r>
    </w:p>
    <w:p w14:paraId="787BBB75">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当磋商小组一致确定供应商的竞争性磋商响应文件能够详细列明采购标的的技术、服务要求且符合竞争性磋商文件要求，无需再磋商的，磋商小组按竞争性磋商文件设定的程序和综合评分法确定成交候选供应商。第二轮磋商后竞争性磋商文件仍有实质性变动的或仍需磋商的，磋商小组对竞争性磋商文件变动或提出磋商意见后进行第三轮磋商。以此类推。</w:t>
      </w:r>
    </w:p>
    <w:p w14:paraId="0C61F3ED">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特别说明：</w:t>
      </w:r>
    </w:p>
    <w:p w14:paraId="289C0AD3">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政采云公司如对电子化开标及评审程序有调整的，按调整后的程序操作。</w:t>
      </w:r>
    </w:p>
    <w:p w14:paraId="4419B651">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磋商评审在严格保密的情况下进行，磋商的任何一方不得透露与磋商有关的其他供应商的技术资料、价格和其他信息。</w:t>
      </w:r>
    </w:p>
    <w:p w14:paraId="1B351CB6">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电子磋商过程中需要供应商在线确认的所有内容，供应商不予确认的应说明理由，超过规定时间未确认的，将被视为放弃确认或者无异议。</w:t>
      </w:r>
    </w:p>
    <w:p w14:paraId="6B99D73B">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1AA67069">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.4最后报价及成交候选供应商推荐</w:t>
      </w:r>
    </w:p>
    <w:p w14:paraId="5165EBD5">
      <w:pPr>
        <w:widowControl/>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 最后报价</w:t>
      </w:r>
    </w:p>
    <w:p w14:paraId="0B066F64">
      <w:pPr>
        <w:widowControl/>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结束后，</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小组应要求所有实质性响应</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文件且继续参加</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的供应商，在规定时间内通过</w:t>
      </w:r>
      <w:r>
        <w:rPr>
          <w:rFonts w:hint="eastAsia" w:ascii="宋体" w:hAnsi="宋体" w:cs="宋体"/>
          <w:color w:val="auto"/>
          <w:szCs w:val="21"/>
          <w:highlight w:val="none"/>
          <w:shd w:val="clear" w:color="auto" w:fill="auto"/>
        </w:rPr>
        <w:t>广西政府采购云平台</w:t>
      </w:r>
      <w:r>
        <w:rPr>
          <w:rFonts w:hint="eastAsia" w:ascii="宋体" w:hAnsi="宋体" w:cs="宋体"/>
          <w:color w:val="auto"/>
          <w:szCs w:val="21"/>
          <w:highlight w:val="none"/>
        </w:rPr>
        <w:t>提交最终、不可更改的最后报价。该报价须由供应商的法定代表人或其授权代表进行CA电子签章确认方为有效。</w:t>
      </w:r>
    </w:p>
    <w:p w14:paraId="5571FD0C">
      <w:pPr>
        <w:widowControl/>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供应商提交的最后报价，自动成为其竞争性</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响应文件的组成部分。</w:t>
      </w:r>
    </w:p>
    <w:p w14:paraId="30C109AC">
      <w:pPr>
        <w:widowControl/>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 异常低价审查</w:t>
      </w:r>
    </w:p>
    <w:p w14:paraId="35E8D2EC">
      <w:pPr>
        <w:widowControl/>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供应商的最后报价如触发下列任一情形，</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小组应当启动异常低价审查程序：</w:t>
      </w:r>
    </w:p>
    <w:p w14:paraId="15E7CD4C">
      <w:pPr>
        <w:spacing w:line="360" w:lineRule="exact"/>
        <w:ind w:firstLine="630" w:firstLineChars="3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１）报价</w:t>
      </w:r>
      <w:r>
        <w:rPr>
          <w:rFonts w:hint="eastAsia" w:ascii="宋体" w:hAnsi="宋体" w:cs="宋体"/>
          <w:color w:val="auto"/>
          <w:szCs w:val="21"/>
          <w:highlight w:val="none"/>
          <w:shd w:val="clear" w:color="auto" w:fill="auto"/>
        </w:rPr>
        <w:t>低于全部通过符合性审查</w:t>
      </w:r>
      <w:r>
        <w:rPr>
          <w:rFonts w:hint="eastAsia" w:ascii="宋体" w:hAnsi="宋体" w:cs="宋体"/>
          <w:color w:val="auto"/>
          <w:szCs w:val="21"/>
          <w:highlight w:val="none"/>
          <w:shd w:val="clear" w:color="auto" w:fill="auto"/>
          <w:lang w:eastAsia="zh-CN"/>
        </w:rPr>
        <w:t>供应商响应</w:t>
      </w:r>
      <w:r>
        <w:rPr>
          <w:rFonts w:hint="eastAsia" w:ascii="宋体" w:hAnsi="宋体" w:cs="宋体"/>
          <w:color w:val="auto"/>
          <w:szCs w:val="21"/>
          <w:highlight w:val="none"/>
          <w:shd w:val="clear" w:color="auto" w:fill="auto"/>
        </w:rPr>
        <w:t>报价平均值50%的；</w:t>
      </w:r>
    </w:p>
    <w:p w14:paraId="565654A2">
      <w:pPr>
        <w:spacing w:line="36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　２）报价</w:t>
      </w:r>
      <w:r>
        <w:rPr>
          <w:rFonts w:hint="eastAsia" w:ascii="宋体" w:hAnsi="宋体" w:cs="宋体"/>
          <w:color w:val="auto"/>
          <w:szCs w:val="21"/>
          <w:highlight w:val="none"/>
          <w:shd w:val="clear" w:color="auto" w:fill="auto"/>
        </w:rPr>
        <w:t>低于通过符合性审查的次低报价</w:t>
      </w:r>
      <w:r>
        <w:rPr>
          <w:rFonts w:hint="eastAsia" w:ascii="宋体" w:hAnsi="宋体" w:cs="宋体"/>
          <w:color w:val="auto"/>
          <w:szCs w:val="21"/>
          <w:highlight w:val="none"/>
          <w:shd w:val="clear" w:color="auto" w:fill="auto"/>
          <w:lang w:eastAsia="zh-CN"/>
        </w:rPr>
        <w:t>供应商响应报价</w:t>
      </w:r>
      <w:r>
        <w:rPr>
          <w:rFonts w:hint="eastAsia" w:ascii="宋体" w:hAnsi="宋体" w:cs="宋体"/>
          <w:color w:val="auto"/>
          <w:szCs w:val="21"/>
          <w:highlight w:val="none"/>
          <w:shd w:val="clear" w:color="auto" w:fill="auto"/>
        </w:rPr>
        <w:t>50%的；</w:t>
      </w:r>
    </w:p>
    <w:p w14:paraId="787EA878">
      <w:pPr>
        <w:spacing w:line="36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　３）报价</w:t>
      </w:r>
      <w:r>
        <w:rPr>
          <w:rFonts w:hint="eastAsia" w:ascii="宋体" w:hAnsi="宋体" w:cs="宋体"/>
          <w:color w:val="auto"/>
          <w:szCs w:val="21"/>
          <w:highlight w:val="none"/>
          <w:shd w:val="clear" w:color="auto" w:fill="auto"/>
        </w:rPr>
        <w:t>低于采购项目最高限价45%的；</w:t>
      </w:r>
    </w:p>
    <w:p w14:paraId="15D165D5">
      <w:pPr>
        <w:widowControl/>
        <w:spacing w:line="380" w:lineRule="exact"/>
        <w:ind w:firstLine="42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　４）</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小组</w:t>
      </w:r>
      <w:r>
        <w:rPr>
          <w:rFonts w:hint="eastAsia" w:ascii="宋体" w:hAnsi="宋体" w:cs="宋体"/>
          <w:color w:val="auto"/>
          <w:szCs w:val="21"/>
          <w:highlight w:val="none"/>
          <w:shd w:val="clear" w:color="auto" w:fill="auto"/>
        </w:rPr>
        <w:t>基于专业判断，认为</w:t>
      </w:r>
      <w:r>
        <w:rPr>
          <w:rFonts w:hint="eastAsia" w:ascii="宋体" w:hAnsi="宋体" w:cs="宋体"/>
          <w:color w:val="auto"/>
          <w:szCs w:val="21"/>
          <w:highlight w:val="none"/>
          <w:shd w:val="clear" w:color="auto" w:fill="auto"/>
          <w:lang w:eastAsia="zh-CN"/>
        </w:rPr>
        <w:t>供应商报价过低，有</w:t>
      </w:r>
      <w:r>
        <w:rPr>
          <w:rFonts w:hint="eastAsia" w:ascii="宋体" w:hAnsi="宋体" w:cs="宋体"/>
          <w:color w:val="auto"/>
          <w:szCs w:val="21"/>
          <w:highlight w:val="none"/>
          <w:shd w:val="clear" w:color="auto" w:fill="auto"/>
        </w:rPr>
        <w:t>可能影响</w:t>
      </w:r>
      <w:r>
        <w:rPr>
          <w:rFonts w:hint="eastAsia" w:ascii="宋体" w:hAnsi="宋体" w:cs="宋体"/>
          <w:color w:val="auto"/>
          <w:szCs w:val="21"/>
          <w:highlight w:val="none"/>
          <w:shd w:val="clear" w:color="auto" w:fill="auto"/>
          <w:lang w:eastAsia="zh-CN"/>
        </w:rPr>
        <w:t>产品</w:t>
      </w:r>
      <w:r>
        <w:rPr>
          <w:rFonts w:hint="eastAsia" w:ascii="宋体" w:hAnsi="宋体" w:cs="宋体"/>
          <w:color w:val="auto"/>
          <w:szCs w:val="21"/>
          <w:highlight w:val="none"/>
          <w:shd w:val="clear" w:color="auto" w:fill="auto"/>
        </w:rPr>
        <w:t>质量或</w:t>
      </w:r>
      <w:r>
        <w:rPr>
          <w:rFonts w:hint="eastAsia" w:ascii="宋体" w:hAnsi="宋体" w:cs="宋体"/>
          <w:color w:val="auto"/>
          <w:szCs w:val="21"/>
          <w:highlight w:val="none"/>
          <w:shd w:val="clear" w:color="auto" w:fill="auto"/>
          <w:lang w:eastAsia="zh-CN"/>
        </w:rPr>
        <w:t>者不能诚信</w:t>
      </w:r>
      <w:r>
        <w:rPr>
          <w:rFonts w:hint="eastAsia" w:ascii="宋体" w:hAnsi="宋体" w:cs="宋体"/>
          <w:color w:val="auto"/>
          <w:szCs w:val="21"/>
          <w:highlight w:val="none"/>
          <w:shd w:val="clear" w:color="auto" w:fill="auto"/>
        </w:rPr>
        <w:t>履约的其他情形。</w:t>
      </w:r>
    </w:p>
    <w:p w14:paraId="539CFF4A">
      <w:pPr>
        <w:spacing w:line="36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小组</w:t>
      </w:r>
      <w:r>
        <w:rPr>
          <w:rFonts w:hint="eastAsia" w:ascii="宋体" w:hAnsi="宋体" w:cs="宋体"/>
          <w:color w:val="auto"/>
          <w:szCs w:val="21"/>
          <w:highlight w:val="none"/>
          <w:shd w:val="clear" w:color="auto" w:fill="auto"/>
        </w:rPr>
        <w:t>通过电子询标方式，要求相关</w:t>
      </w:r>
      <w:r>
        <w:rPr>
          <w:rFonts w:hint="eastAsia" w:ascii="宋体" w:hAnsi="宋体" w:cs="宋体"/>
          <w:color w:val="auto"/>
          <w:szCs w:val="21"/>
          <w:highlight w:val="none"/>
          <w:shd w:val="clear" w:color="auto" w:fill="auto"/>
          <w:lang w:eastAsia="zh-CN"/>
        </w:rPr>
        <w:t>供应商</w:t>
      </w:r>
      <w:r>
        <w:rPr>
          <w:rFonts w:hint="eastAsia" w:ascii="宋体" w:hAnsi="宋体" w:cs="宋体"/>
          <w:color w:val="auto"/>
          <w:szCs w:val="21"/>
          <w:highlight w:val="none"/>
          <w:shd w:val="clear" w:color="auto" w:fill="auto"/>
        </w:rPr>
        <w:t>在规定时间内提供</w:t>
      </w:r>
      <w:r>
        <w:rPr>
          <w:rFonts w:hint="eastAsia" w:ascii="宋体" w:hAnsi="宋体" w:cs="宋体"/>
          <w:color w:val="auto"/>
          <w:szCs w:val="21"/>
          <w:highlight w:val="none"/>
          <w:shd w:val="clear" w:color="auto" w:fill="auto"/>
          <w:lang w:eastAsia="zh-CN"/>
        </w:rPr>
        <w:t>有关</w:t>
      </w:r>
      <w:r>
        <w:rPr>
          <w:rFonts w:hint="eastAsia" w:ascii="宋体" w:hAnsi="宋体" w:cs="宋体"/>
          <w:color w:val="auto"/>
          <w:szCs w:val="21"/>
          <w:highlight w:val="none"/>
          <w:shd w:val="clear" w:color="auto" w:fill="auto"/>
        </w:rPr>
        <w:t>书面说明及</w:t>
      </w:r>
      <w:r>
        <w:rPr>
          <w:rFonts w:hint="eastAsia" w:ascii="宋体" w:hAnsi="宋体" w:cs="宋体"/>
          <w:color w:val="auto"/>
          <w:szCs w:val="21"/>
          <w:highlight w:val="none"/>
          <w:shd w:val="clear" w:color="auto" w:fill="auto"/>
          <w:lang w:eastAsia="zh-CN"/>
        </w:rPr>
        <w:t>必要的</w:t>
      </w:r>
      <w:r>
        <w:rPr>
          <w:rFonts w:hint="eastAsia" w:ascii="宋体" w:hAnsi="宋体" w:cs="宋体"/>
          <w:color w:val="auto"/>
          <w:szCs w:val="21"/>
          <w:highlight w:val="none"/>
          <w:shd w:val="clear" w:color="auto" w:fill="auto"/>
        </w:rPr>
        <w:t>证明材料。</w:t>
      </w:r>
      <w:r>
        <w:rPr>
          <w:rFonts w:hint="eastAsia" w:ascii="宋体" w:hAnsi="宋体" w:cs="宋体"/>
          <w:color w:val="auto"/>
          <w:szCs w:val="21"/>
          <w:highlight w:val="none"/>
          <w:shd w:val="clear" w:color="auto" w:fill="auto"/>
          <w:lang w:eastAsia="zh-CN"/>
        </w:rPr>
        <w:t>供应商不能提供书面说明、证明材料，或者提供的提供书面说明、证明材料不能</w:t>
      </w:r>
      <w:r>
        <w:rPr>
          <w:rFonts w:hint="eastAsia" w:ascii="宋体" w:hAnsi="宋体" w:cs="宋体"/>
          <w:color w:val="auto"/>
          <w:szCs w:val="21"/>
          <w:highlight w:val="none"/>
          <w:shd w:val="clear" w:color="auto" w:fill="auto"/>
        </w:rPr>
        <w:t>证明其报价合理性的，</w:t>
      </w:r>
      <w:r>
        <w:rPr>
          <w:rFonts w:hint="eastAsia" w:ascii="宋体" w:hAnsi="宋体" w:cs="宋体"/>
          <w:color w:val="auto"/>
          <w:szCs w:val="21"/>
          <w:highlight w:val="none"/>
          <w:shd w:val="clear" w:color="auto" w:fill="auto"/>
          <w:lang w:eastAsia="zh-CN"/>
        </w:rPr>
        <w:t>谈判小组</w:t>
      </w:r>
      <w:r>
        <w:rPr>
          <w:rFonts w:hint="eastAsia" w:ascii="宋体" w:hAnsi="宋体" w:eastAsia="宋体" w:cs="宋体"/>
          <w:color w:val="auto"/>
          <w:szCs w:val="21"/>
          <w:highlight w:val="none"/>
          <w:shd w:val="clear" w:color="auto" w:fill="auto"/>
        </w:rPr>
        <w:t>应</w:t>
      </w:r>
      <w:r>
        <w:rPr>
          <w:rFonts w:hint="eastAsia" w:ascii="宋体" w:hAnsi="宋体" w:eastAsia="宋体" w:cs="宋体"/>
          <w:color w:val="auto"/>
          <w:szCs w:val="21"/>
          <w:highlight w:val="none"/>
          <w:shd w:val="clear" w:color="auto" w:fill="auto"/>
          <w:lang w:val="en-US" w:eastAsia="zh-CN"/>
        </w:rPr>
        <w:t>将其作为无效响应处理。</w:t>
      </w:r>
    </w:p>
    <w:p w14:paraId="71FB814B">
      <w:pPr>
        <w:widowControl/>
        <w:spacing w:line="38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.3 </w:t>
      </w:r>
      <w:r>
        <w:rPr>
          <w:rFonts w:hint="eastAsia" w:ascii="宋体" w:hAnsi="宋体" w:cs="宋体"/>
          <w:color w:val="auto"/>
          <w:szCs w:val="21"/>
          <w:highlight w:val="none"/>
          <w:lang w:eastAsia="zh-CN"/>
        </w:rPr>
        <w:t>成交候选供应商推荐</w:t>
      </w:r>
    </w:p>
    <w:p w14:paraId="547DDB05">
      <w:pPr>
        <w:widowControl/>
        <w:spacing w:line="400" w:lineRule="exact"/>
        <w:ind w:firstLine="420" w:firstLineChars="200"/>
        <w:jc w:val="left"/>
        <w:rPr>
          <w:rFonts w:hint="eastAsia" w:ascii="宋体" w:hAnsi="宋体" w:eastAsia="宋体" w:cs="宋体"/>
          <w:color w:val="auto"/>
          <w:kern w:val="2"/>
          <w:highlight w:val="none"/>
        </w:rPr>
      </w:pPr>
      <w:r>
        <w:rPr>
          <w:rFonts w:hint="eastAsia" w:ascii="宋体" w:hAnsi="宋体" w:cs="宋体"/>
          <w:color w:val="auto"/>
          <w:szCs w:val="21"/>
          <w:highlight w:val="none"/>
        </w:rPr>
        <w:t>在完成符合性审查、详细评审及异常低价审查后，</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小组应</w:t>
      </w:r>
      <w:r>
        <w:rPr>
          <w:rFonts w:hint="eastAsia" w:ascii="宋体" w:hAnsi="宋体" w:eastAsia="宋体" w:cs="宋体"/>
          <w:i w:val="0"/>
          <w:caps w:val="0"/>
          <w:color w:val="auto"/>
          <w:spacing w:val="0"/>
          <w:sz w:val="21"/>
          <w:szCs w:val="21"/>
          <w:highlight w:val="none"/>
          <w:shd w:val="clear" w:color="auto" w:fill="auto"/>
        </w:rPr>
        <w:t>根据综合评分情况，按照评审得分由高到低顺序推荐3名以上成交候选供应商，</w:t>
      </w:r>
      <w:r>
        <w:rPr>
          <w:rFonts w:hint="eastAsia" w:ascii="宋体" w:hAnsi="宋体" w:cs="宋体"/>
          <w:color w:val="auto"/>
          <w:szCs w:val="21"/>
          <w:highlight w:val="none"/>
          <w:shd w:val="clear" w:color="auto" w:fill="auto"/>
        </w:rPr>
        <w:t>并</w:t>
      </w:r>
      <w:r>
        <w:rPr>
          <w:rFonts w:hint="eastAsia" w:ascii="宋体" w:hAnsi="宋体" w:cs="宋体"/>
          <w:color w:val="auto"/>
          <w:szCs w:val="21"/>
          <w:highlight w:val="none"/>
          <w:shd w:val="clear" w:color="auto" w:fill="auto"/>
          <w:lang w:eastAsia="zh-CN"/>
        </w:rPr>
        <w:t>对</w:t>
      </w:r>
      <w:r>
        <w:rPr>
          <w:rFonts w:hint="eastAsia" w:ascii="宋体" w:hAnsi="宋体" w:cs="宋体"/>
          <w:color w:val="auto"/>
          <w:szCs w:val="21"/>
          <w:highlight w:val="none"/>
          <w:shd w:val="clear" w:color="auto" w:fill="auto"/>
        </w:rPr>
        <w:t>《评</w:t>
      </w:r>
      <w:r>
        <w:rPr>
          <w:rFonts w:hint="eastAsia" w:ascii="宋体" w:hAnsi="宋体" w:cs="宋体"/>
          <w:color w:val="auto"/>
          <w:szCs w:val="21"/>
          <w:highlight w:val="none"/>
          <w:shd w:val="clear" w:color="auto" w:fill="auto"/>
          <w:lang w:eastAsia="zh-CN"/>
        </w:rPr>
        <w:t>审</w:t>
      </w:r>
      <w:r>
        <w:rPr>
          <w:rFonts w:hint="eastAsia" w:ascii="宋体" w:hAnsi="宋体" w:cs="宋体"/>
          <w:color w:val="auto"/>
          <w:szCs w:val="21"/>
          <w:highlight w:val="none"/>
          <w:shd w:val="clear" w:color="auto" w:fill="auto"/>
        </w:rPr>
        <w:t>报告》予以确认</w:t>
      </w:r>
      <w:r>
        <w:rPr>
          <w:rFonts w:hint="eastAsia" w:ascii="宋体" w:hAnsi="宋体" w:cs="宋体"/>
          <w:color w:val="auto"/>
          <w:szCs w:val="21"/>
          <w:highlight w:val="none"/>
        </w:rPr>
        <w:t>。</w:t>
      </w:r>
      <w:r>
        <w:rPr>
          <w:rFonts w:hint="eastAsia" w:ascii="宋体" w:hAnsi="宋体" w:eastAsia="宋体" w:cs="宋体"/>
          <w:color w:val="auto"/>
          <w:kern w:val="2"/>
          <w:highlight w:val="none"/>
        </w:rPr>
        <w:t>市场竞争不充分的科研项目，以及需要扶持的科技成果转化项目，可以推荐2家成交候选供应商。评审得分相同的，按照</w:t>
      </w:r>
      <w:r>
        <w:rPr>
          <w:rFonts w:hint="eastAsia" w:ascii="宋体" w:hAnsi="宋体" w:eastAsia="宋体" w:cs="宋体"/>
          <w:color w:val="auto"/>
          <w:kern w:val="2"/>
          <w:highlight w:val="none"/>
          <w:lang w:val="en-US" w:eastAsia="zh-CN"/>
        </w:rPr>
        <w:t>评审价</w:t>
      </w:r>
      <w:r>
        <w:rPr>
          <w:rFonts w:hint="eastAsia" w:ascii="宋体" w:hAnsi="宋体" w:eastAsia="宋体" w:cs="宋体"/>
          <w:color w:val="auto"/>
          <w:kern w:val="2"/>
          <w:highlight w:val="none"/>
        </w:rPr>
        <w:t>由低到高的顺序推荐。评审得分且</w:t>
      </w:r>
      <w:r>
        <w:rPr>
          <w:rFonts w:hint="eastAsia" w:ascii="宋体" w:hAnsi="宋体" w:eastAsia="宋体" w:cs="宋体"/>
          <w:color w:val="auto"/>
          <w:kern w:val="2"/>
          <w:highlight w:val="none"/>
          <w:lang w:eastAsia="zh-CN"/>
        </w:rPr>
        <w:t>评审价</w:t>
      </w:r>
      <w:r>
        <w:rPr>
          <w:rFonts w:hint="eastAsia" w:ascii="宋体" w:hAnsi="宋体" w:eastAsia="宋体" w:cs="宋体"/>
          <w:color w:val="auto"/>
          <w:kern w:val="2"/>
          <w:highlight w:val="none"/>
        </w:rPr>
        <w:t>相同的，按照</w:t>
      </w:r>
      <w:r>
        <w:rPr>
          <w:rFonts w:hint="eastAsia" w:ascii="宋体" w:hAnsi="宋体" w:eastAsia="宋体" w:cs="宋体"/>
          <w:color w:val="auto"/>
          <w:kern w:val="2"/>
          <w:highlight w:val="none"/>
          <w:lang w:eastAsia="zh-CN"/>
        </w:rPr>
        <w:t>服务方案</w:t>
      </w:r>
      <w:r>
        <w:rPr>
          <w:rFonts w:hint="eastAsia" w:ascii="宋体" w:hAnsi="宋体" w:eastAsia="宋体" w:cs="宋体"/>
          <w:color w:val="auto"/>
          <w:kern w:val="2"/>
          <w:highlight w:val="none"/>
        </w:rPr>
        <w:t>优劣顺序推荐。</w:t>
      </w:r>
    </w:p>
    <w:p w14:paraId="6D28B164">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3D791FCC">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.5供应商的报价均超过了政府采购最高限价，采购人不能支付的，磋商活动终止。</w:t>
      </w:r>
    </w:p>
    <w:p w14:paraId="16633A7C">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.6本采购项目的评审依据为竞争性磋商文件和竞争性磋商响应文件，采用的评审方法为综合评分法。</w:t>
      </w:r>
    </w:p>
    <w:p w14:paraId="5EF8A8D3">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.7 可中止电子交易活动的情形</w:t>
      </w:r>
    </w:p>
    <w:p w14:paraId="1376F507">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采购过程中出现以下情形，导致电子交易平台无法正常运行，或者无法保证电子交易的公平、公正和安全时，本中心可中止电子交易活动：</w:t>
      </w:r>
    </w:p>
    <w:p w14:paraId="338FC2C7">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(1)电子交易平台发生故障而无法登录访问的；</w:t>
      </w:r>
    </w:p>
    <w:p w14:paraId="0371E4C3">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(2)电子交易平台应用或数据库出现错误，不能进行正常操作的；</w:t>
      </w:r>
    </w:p>
    <w:p w14:paraId="10C592EE">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(3)电子交易平台发现严重安全漏洞，有潜在泄密危险的；</w:t>
      </w:r>
    </w:p>
    <w:p w14:paraId="30382546">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(4)病毒发作导致不能进行正常操作的；</w:t>
      </w:r>
    </w:p>
    <w:p w14:paraId="4BE5805F">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(5)其他无法保证电子交易的公平、公正和安全的情况。</w:t>
      </w:r>
    </w:p>
    <w:p w14:paraId="4CE8CA85">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出现前款规定情形，不影响采购公平、公正性的，本中心待上述情形消除后继续组织电子交易活动；影响或可能影响采购公平、公正性的，重新组织采购活动。</w:t>
      </w:r>
    </w:p>
    <w:p w14:paraId="62049949">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.8.终止竞争性磋商采购活动</w:t>
      </w:r>
    </w:p>
    <w:p w14:paraId="35D3447A">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在竞争性磋商采购活动过程中，出现下列情形之一的，采购人或者本中心将终止竞争性磋商采购活动，发布项目终止公告并说明原因，重新开展采购活动：</w:t>
      </w:r>
    </w:p>
    <w:p w14:paraId="5A8E1FED">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(1)因情况变化，不再符合规定的竞争性磋商采购方式适用情形的；</w:t>
      </w:r>
    </w:p>
    <w:p w14:paraId="1CAC8B1B">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(2)出现影响采购公正的违法、违规行为的；</w:t>
      </w:r>
    </w:p>
    <w:p w14:paraId="4A1C0B9C">
      <w:pPr>
        <w:widowControl/>
        <w:spacing w:line="400" w:lineRule="exact"/>
        <w:ind w:firstLine="420" w:firstLineChars="200"/>
        <w:jc w:val="left"/>
        <w:rPr>
          <w:rFonts w:hint="eastAsia" w:ascii="宋体" w:hAnsi="宋体" w:cs="宋体"/>
          <w:color w:val="auto"/>
          <w:kern w:val="0"/>
          <w:highlight w:val="none"/>
        </w:rPr>
      </w:pPr>
      <w:r>
        <w:rPr>
          <w:rFonts w:hint="eastAsia" w:ascii="宋体" w:hAnsi="宋体" w:cs="宋体"/>
          <w:color w:val="auto"/>
          <w:kern w:val="0"/>
          <w:highlight w:val="none"/>
        </w:rPr>
        <w:t>(3)在采购过程中符合要求的供应商或者报价未超过采购预算的供应商不足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5919CD2A">
      <w:pPr>
        <w:widowControl/>
        <w:spacing w:line="400" w:lineRule="exact"/>
        <w:ind w:firstLine="420" w:firstLineChars="200"/>
        <w:jc w:val="left"/>
        <w:rPr>
          <w:rFonts w:hint="eastAsia" w:ascii="宋体" w:hAnsi="宋体" w:cs="宋体"/>
          <w:color w:val="auto"/>
          <w:highlight w:val="none"/>
        </w:rPr>
      </w:pPr>
      <w:r>
        <w:rPr>
          <w:rFonts w:hint="eastAsia" w:ascii="宋体" w:hAnsi="宋体" w:cs="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12D81949">
      <w:pPr>
        <w:spacing w:line="44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六、确定成交供应商办法</w:t>
      </w:r>
    </w:p>
    <w:p w14:paraId="7C0E4284">
      <w:pPr>
        <w:widowControl/>
        <w:spacing w:line="440" w:lineRule="exact"/>
        <w:ind w:firstLine="525" w:firstLineChars="250"/>
        <w:jc w:val="left"/>
        <w:rPr>
          <w:rFonts w:hint="eastAsia" w:ascii="宋体" w:hAnsi="宋体" w:cs="宋体"/>
          <w:color w:val="auto"/>
          <w:kern w:val="0"/>
          <w:highlight w:val="none"/>
        </w:rPr>
      </w:pPr>
      <w:r>
        <w:rPr>
          <w:rFonts w:hint="eastAsia" w:ascii="宋体" w:hAnsi="宋体" w:cs="宋体"/>
          <w:color w:val="auto"/>
          <w:kern w:val="0"/>
          <w:highlight w:val="none"/>
        </w:rPr>
        <w:t>13.1 根据以下原则确定成交供应商：</w:t>
      </w:r>
    </w:p>
    <w:p w14:paraId="442C1F8E">
      <w:pPr>
        <w:pStyle w:val="11"/>
        <w:spacing w:line="440" w:lineRule="exact"/>
        <w:ind w:firstLine="525" w:firstLineChars="250"/>
        <w:rPr>
          <w:rFonts w:hint="eastAsia" w:hAnsi="宋体" w:cs="宋体"/>
          <w:color w:val="auto"/>
          <w:kern w:val="0"/>
          <w:sz w:val="21"/>
          <w:szCs w:val="21"/>
          <w:highlight w:val="none"/>
        </w:rPr>
      </w:pPr>
      <w:r>
        <w:rPr>
          <w:rFonts w:hint="eastAsia" w:hAnsi="宋体" w:cs="宋体"/>
          <w:color w:val="auto"/>
          <w:kern w:val="0"/>
          <w:szCs w:val="21"/>
          <w:highlight w:val="none"/>
        </w:rPr>
        <w:t>13.2响应文件满足磋商文件全部实质性要求且按评审因素的量化指标评审得分最高的供应商为成交供应商。</w:t>
      </w:r>
    </w:p>
    <w:p w14:paraId="7EDF5EA3">
      <w:pPr>
        <w:pStyle w:val="11"/>
        <w:spacing w:line="440" w:lineRule="exact"/>
        <w:ind w:firstLine="413" w:firstLineChars="196"/>
        <w:rPr>
          <w:rFonts w:hint="eastAsia" w:hAnsi="宋体" w:cs="宋体"/>
          <w:b/>
          <w:bCs/>
          <w:color w:val="auto"/>
          <w:szCs w:val="21"/>
          <w:highlight w:val="none"/>
        </w:rPr>
      </w:pPr>
      <w:r>
        <w:rPr>
          <w:rFonts w:hint="eastAsia" w:hAnsi="宋体" w:cs="宋体"/>
          <w:b/>
          <w:bCs/>
          <w:color w:val="auto"/>
          <w:szCs w:val="21"/>
          <w:highlight w:val="none"/>
        </w:rPr>
        <w:t>七、成交结果公告</w:t>
      </w:r>
    </w:p>
    <w:p w14:paraId="17E7DDE8">
      <w:pPr>
        <w:pStyle w:val="11"/>
        <w:spacing w:line="440" w:lineRule="exact"/>
        <w:ind w:firstLine="420"/>
        <w:rPr>
          <w:rFonts w:hint="eastAsia" w:hAnsi="宋体" w:cs="宋体"/>
          <w:color w:val="auto"/>
          <w:szCs w:val="21"/>
          <w:highlight w:val="none"/>
        </w:rPr>
      </w:pPr>
      <w:r>
        <w:rPr>
          <w:rFonts w:hint="eastAsia" w:hAnsi="宋体" w:cs="宋体"/>
          <w:color w:val="auto"/>
          <w:szCs w:val="21"/>
          <w:highlight w:val="none"/>
        </w:rPr>
        <w:t>14.1本中心在评审结束后二个工作日内将磋商评审报告送采购人确认，</w:t>
      </w:r>
      <w:r>
        <w:rPr>
          <w:rFonts w:hint="eastAsia" w:hAnsi="宋体" w:cs="宋体"/>
          <w:color w:val="auto"/>
          <w:kern w:val="0"/>
          <w:szCs w:val="21"/>
          <w:highlight w:val="none"/>
        </w:rPr>
        <w:t>成交供应商确定后</w:t>
      </w:r>
      <w:r>
        <w:rPr>
          <w:rFonts w:hint="eastAsia" w:hAnsi="宋体" w:cs="宋体"/>
          <w:color w:val="auto"/>
          <w:szCs w:val="21"/>
          <w:highlight w:val="none"/>
        </w:rPr>
        <w:t>二个工作日内，</w:t>
      </w:r>
      <w:r>
        <w:rPr>
          <w:rFonts w:hint="eastAsia" w:hAnsi="宋体" w:cs="宋体"/>
          <w:b/>
          <w:bCs/>
          <w:color w:val="auto"/>
          <w:szCs w:val="21"/>
          <w:highlight w:val="none"/>
        </w:rPr>
        <w:t>成交结果公告</w:t>
      </w:r>
      <w:r>
        <w:rPr>
          <w:rFonts w:hint="eastAsia" w:hAnsi="宋体" w:cs="宋体"/>
          <w:color w:val="auto"/>
          <w:szCs w:val="21"/>
          <w:highlight w:val="none"/>
        </w:rPr>
        <w:t>将在中国政府采购网(www.ccgp.gov.cn)、广西政府采购网（http://zfcg.gxzf.gov.cn）及本中心网站（http://gxzfcg.gxzf.gov.cn）上发布，</w:t>
      </w:r>
      <w:r>
        <w:rPr>
          <w:rFonts w:hint="eastAsia" w:hAnsi="宋体" w:cs="宋体"/>
          <w:color w:val="auto"/>
          <w:kern w:val="0"/>
          <w:szCs w:val="21"/>
          <w:highlight w:val="none"/>
        </w:rPr>
        <w:t>同时向成交供应商发出成交通知书</w:t>
      </w:r>
      <w:r>
        <w:rPr>
          <w:rFonts w:hint="eastAsia" w:hAnsi="宋体" w:cs="宋体"/>
          <w:color w:val="auto"/>
          <w:szCs w:val="21"/>
          <w:highlight w:val="none"/>
        </w:rPr>
        <w:t>。</w:t>
      </w:r>
    </w:p>
    <w:p w14:paraId="69713B1A">
      <w:pPr>
        <w:spacing w:line="440" w:lineRule="exact"/>
        <w:ind w:left="420" w:leftChars="200" w:firstLine="105" w:firstLineChars="50"/>
        <w:rPr>
          <w:rFonts w:hint="eastAsia" w:ascii="宋体" w:hAnsi="宋体" w:cs="宋体"/>
          <w:b/>
          <w:bCs/>
          <w:color w:val="auto"/>
          <w:highlight w:val="none"/>
        </w:rPr>
      </w:pPr>
      <w:r>
        <w:rPr>
          <w:rFonts w:hint="eastAsia" w:ascii="宋体" w:hAnsi="宋体" w:cs="宋体"/>
          <w:b/>
          <w:bCs/>
          <w:color w:val="auto"/>
          <w:highlight w:val="none"/>
        </w:rPr>
        <w:t>八、签订合同</w:t>
      </w:r>
    </w:p>
    <w:p w14:paraId="63D32E49">
      <w:pPr>
        <w:spacing w:line="440" w:lineRule="exact"/>
        <w:ind w:firstLine="472" w:firstLineChars="225"/>
        <w:rPr>
          <w:rFonts w:hint="eastAsia" w:ascii="宋体" w:hAnsi="宋体" w:cs="宋体"/>
          <w:color w:val="auto"/>
          <w:highlight w:val="none"/>
        </w:rPr>
      </w:pPr>
      <w:r>
        <w:rPr>
          <w:rFonts w:hint="eastAsia" w:ascii="宋体" w:hAnsi="宋体" w:cs="宋体"/>
          <w:color w:val="auto"/>
          <w:highlight w:val="none"/>
        </w:rPr>
        <w:t>15.1</w:t>
      </w:r>
      <w:r>
        <w:rPr>
          <w:rFonts w:hint="eastAsia" w:ascii="宋体" w:hAnsi="宋体" w:cs="宋体"/>
          <w:b/>
          <w:bCs/>
          <w:color w:val="auto"/>
          <w:highlight w:val="none"/>
        </w:rPr>
        <w:t>成交供应商自成交通知书发出之日起二十五日内与采购人签订合同</w:t>
      </w:r>
      <w:r>
        <w:rPr>
          <w:rFonts w:hint="eastAsia" w:ascii="宋体" w:hAnsi="宋体" w:cs="宋体"/>
          <w:color w:val="auto"/>
          <w:highlight w:val="none"/>
        </w:rPr>
        <w:t>。采购人另有要求的，按要求执行。</w:t>
      </w:r>
    </w:p>
    <w:p w14:paraId="1FD8CBFF">
      <w:pPr>
        <w:spacing w:line="440" w:lineRule="exact"/>
        <w:ind w:firstLine="472" w:firstLineChars="225"/>
        <w:rPr>
          <w:rFonts w:hint="eastAsia" w:ascii="宋体" w:hAnsi="宋体" w:cs="宋体"/>
          <w:color w:val="auto"/>
          <w:highlight w:val="none"/>
        </w:rPr>
      </w:pPr>
      <w:r>
        <w:rPr>
          <w:rFonts w:hint="eastAsia" w:ascii="宋体" w:hAnsi="宋体" w:cs="宋体"/>
          <w:color w:val="auto"/>
          <w:highlight w:val="none"/>
        </w:rPr>
        <w:t>15.2</w:t>
      </w:r>
      <w:r>
        <w:rPr>
          <w:rFonts w:hint="eastAsia" w:ascii="宋体" w:hAnsi="宋体" w:cs="宋体"/>
          <w:color w:val="auto"/>
          <w:kern w:val="0"/>
          <w:highlight w:val="none"/>
        </w:rPr>
        <w:t>成交供应商拒绝签订政府采购合同的</w:t>
      </w:r>
      <w:r>
        <w:rPr>
          <w:rFonts w:hint="eastAsia" w:ascii="宋体" w:hAnsi="宋体" w:cs="宋体"/>
          <w:color w:val="auto"/>
          <w:highlight w:val="none"/>
        </w:rPr>
        <w:t>，采购人可以根据磋商评审报告确定成交供应商之后排名第一的成交候选供应商</w:t>
      </w:r>
      <w:r>
        <w:rPr>
          <w:rFonts w:hint="eastAsia" w:ascii="宋体" w:hAnsi="宋体" w:cs="宋体"/>
          <w:color w:val="auto"/>
          <w:kern w:val="0"/>
          <w:highlight w:val="none"/>
        </w:rPr>
        <w:t>作为</w:t>
      </w:r>
      <w:r>
        <w:rPr>
          <w:rFonts w:hint="eastAsia" w:ascii="宋体" w:hAnsi="宋体" w:cs="宋体"/>
          <w:color w:val="auto"/>
          <w:highlight w:val="none"/>
        </w:rPr>
        <w:t>成交供应商</w:t>
      </w:r>
      <w:r>
        <w:rPr>
          <w:rFonts w:hint="eastAsia" w:ascii="宋体" w:hAnsi="宋体" w:cs="宋体"/>
          <w:color w:val="auto"/>
          <w:kern w:val="0"/>
          <w:highlight w:val="none"/>
        </w:rPr>
        <w:t>并签订政府采购合同。拒绝签订政府采购合同的成交供应商不得参加对该项目重新开展的采购活动。</w:t>
      </w:r>
    </w:p>
    <w:p w14:paraId="0467ECFA">
      <w:pPr>
        <w:spacing w:line="44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15.3</w:t>
      </w:r>
      <w:r>
        <w:rPr>
          <w:rFonts w:hint="eastAsia" w:ascii="宋体" w:hAnsi="宋体" w:cs="宋体"/>
          <w:color w:val="auto"/>
          <w:kern w:val="0"/>
          <w:highlight w:val="none"/>
        </w:rPr>
        <w:t>成交供应商拒绝签订政府采购合同的</w:t>
      </w:r>
      <w:r>
        <w:rPr>
          <w:rFonts w:hint="eastAsia" w:ascii="宋体" w:hAnsi="宋体" w:cs="宋体"/>
          <w:b/>
          <w:bCs/>
          <w:color w:val="auto"/>
          <w:highlight w:val="none"/>
        </w:rPr>
        <w:t>，其保证金将不予退还，并上缴国库，给采购人造成其损失的，还应当赔偿损失，并作为不良行为记录在案。</w:t>
      </w:r>
    </w:p>
    <w:p w14:paraId="79550139">
      <w:pPr>
        <w:pStyle w:val="11"/>
        <w:spacing w:line="360" w:lineRule="exact"/>
        <w:ind w:firstLine="310" w:firstLineChars="147"/>
        <w:outlineLvl w:val="0"/>
        <w:rPr>
          <w:rFonts w:hint="eastAsia" w:hAnsi="宋体" w:cs="宋体"/>
          <w:b/>
          <w:bCs/>
          <w:color w:val="auto"/>
          <w:szCs w:val="21"/>
          <w:highlight w:val="none"/>
        </w:rPr>
      </w:pPr>
      <w:r>
        <w:rPr>
          <w:rFonts w:hint="eastAsia" w:hAnsi="宋体" w:cs="宋体"/>
          <w:b/>
          <w:bCs/>
          <w:color w:val="auto"/>
          <w:szCs w:val="21"/>
          <w:highlight w:val="none"/>
        </w:rPr>
        <w:t>九、</w:t>
      </w:r>
      <w:r>
        <w:rPr>
          <w:rFonts w:hint="eastAsia" w:hAnsi="宋体" w:cs="宋体"/>
          <w:b/>
          <w:color w:val="auto"/>
          <w:szCs w:val="21"/>
          <w:highlight w:val="none"/>
        </w:rPr>
        <w:t>询问、质疑和投诉</w:t>
      </w:r>
    </w:p>
    <w:p w14:paraId="1EB747C5">
      <w:pPr>
        <w:pStyle w:val="11"/>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val="en-US" w:eastAsia="zh-CN"/>
        </w:rPr>
        <w:t>6</w:t>
      </w:r>
      <w:r>
        <w:rPr>
          <w:rFonts w:hint="eastAsia" w:hAnsi="宋体" w:cs="宋体"/>
          <w:color w:val="auto"/>
          <w:szCs w:val="21"/>
          <w:highlight w:val="none"/>
        </w:rPr>
        <w:t>.1 供应商对政府采购活动事项有疑问的，可以向采购人、采购代理机构提出询问。</w:t>
      </w:r>
    </w:p>
    <w:p w14:paraId="6D7B4AC8">
      <w:pPr>
        <w:pStyle w:val="11"/>
        <w:spacing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val="en-US" w:eastAsia="zh-CN"/>
        </w:rPr>
        <w:t>6</w:t>
      </w:r>
      <w:r>
        <w:rPr>
          <w:rFonts w:hint="eastAsia" w:hAnsi="宋体" w:cs="宋体"/>
          <w:color w:val="auto"/>
          <w:szCs w:val="21"/>
          <w:highlight w:val="none"/>
        </w:rPr>
        <w:t>.2 供应商认为</w:t>
      </w:r>
      <w:r>
        <w:rPr>
          <w:rFonts w:hint="eastAsia" w:hAnsi="宋体" w:cs="宋体"/>
          <w:b/>
          <w:bCs/>
          <w:color w:val="auto"/>
          <w:szCs w:val="21"/>
          <w:highlight w:val="none"/>
        </w:rPr>
        <w:t>竞争性磋商文件</w:t>
      </w:r>
      <w:r>
        <w:rPr>
          <w:rFonts w:hint="eastAsia" w:hAnsi="宋体" w:cs="宋体"/>
          <w:color w:val="auto"/>
          <w:szCs w:val="21"/>
          <w:highlight w:val="none"/>
        </w:rPr>
        <w:t>、采购过程或成交结果使自己的合法权益受到损害的，应当在知道或者应知其权益受到损害之日起七个工作日内，以书面形式向</w:t>
      </w:r>
      <w:r>
        <w:rPr>
          <w:rFonts w:hint="eastAsia" w:hAnsi="宋体" w:cs="宋体"/>
          <w:b/>
          <w:bCs/>
          <w:color w:val="auto"/>
          <w:szCs w:val="21"/>
          <w:highlight w:val="none"/>
        </w:rPr>
        <w:t>采购人</w:t>
      </w:r>
      <w:r>
        <w:rPr>
          <w:rFonts w:hint="eastAsia" w:hAnsi="宋体" w:cs="宋体"/>
          <w:color w:val="auto"/>
          <w:szCs w:val="21"/>
          <w:highlight w:val="none"/>
        </w:rPr>
        <w:t>提出质疑。具体计算时间如下：</w:t>
      </w:r>
    </w:p>
    <w:p w14:paraId="675E6D7B">
      <w:pPr>
        <w:pStyle w:val="11"/>
        <w:spacing w:line="360" w:lineRule="exact"/>
        <w:ind w:firstLine="310" w:firstLineChars="147"/>
        <w:rPr>
          <w:rFonts w:hint="eastAsia" w:hAnsi="宋体" w:cs="宋体"/>
          <w:bCs/>
          <w:color w:val="auto"/>
          <w:szCs w:val="21"/>
          <w:highlight w:val="none"/>
        </w:rPr>
      </w:pPr>
      <w:r>
        <w:rPr>
          <w:rFonts w:hint="eastAsia" w:hAnsi="宋体" w:cs="宋体"/>
          <w:b/>
          <w:color w:val="auto"/>
          <w:szCs w:val="21"/>
          <w:highlight w:val="none"/>
        </w:rPr>
        <w:t>（1）对可以质疑的</w:t>
      </w:r>
      <w:r>
        <w:rPr>
          <w:rFonts w:hint="eastAsia" w:hAnsi="宋体" w:cs="宋体"/>
          <w:b/>
          <w:bCs/>
          <w:color w:val="auto"/>
          <w:szCs w:val="21"/>
          <w:highlight w:val="none"/>
        </w:rPr>
        <w:t>竞争性磋商文件</w:t>
      </w:r>
      <w:r>
        <w:rPr>
          <w:rFonts w:hint="eastAsia" w:hAnsi="宋体" w:cs="宋体"/>
          <w:b/>
          <w:color w:val="auto"/>
          <w:szCs w:val="21"/>
          <w:highlight w:val="none"/>
        </w:rPr>
        <w:t>提出质疑的，为收到</w:t>
      </w:r>
      <w:r>
        <w:rPr>
          <w:rFonts w:hint="eastAsia" w:hAnsi="宋体" w:cs="宋体"/>
          <w:b/>
          <w:bCs/>
          <w:color w:val="auto"/>
          <w:szCs w:val="21"/>
          <w:highlight w:val="none"/>
        </w:rPr>
        <w:t>竞争性磋商文件</w:t>
      </w:r>
      <w:r>
        <w:rPr>
          <w:rFonts w:hint="eastAsia" w:hAnsi="宋体" w:cs="宋体"/>
          <w:b/>
          <w:color w:val="auto"/>
          <w:szCs w:val="21"/>
          <w:highlight w:val="none"/>
        </w:rPr>
        <w:t>之日；</w:t>
      </w:r>
    </w:p>
    <w:p w14:paraId="58078AC5">
      <w:pPr>
        <w:widowControl/>
        <w:spacing w:line="360" w:lineRule="exact"/>
        <w:jc w:val="left"/>
        <w:rPr>
          <w:rFonts w:hint="eastAsia" w:ascii="宋体" w:hAnsi="宋体" w:cs="宋体"/>
          <w:b/>
          <w:color w:val="auto"/>
          <w:highlight w:val="none"/>
        </w:rPr>
      </w:pPr>
      <w:r>
        <w:rPr>
          <w:rFonts w:hint="eastAsia" w:ascii="宋体" w:hAnsi="宋体" w:cs="宋体"/>
          <w:color w:val="auto"/>
          <w:highlight w:val="none"/>
        </w:rPr>
        <w:t xml:space="preserve">　 </w:t>
      </w:r>
      <w:r>
        <w:rPr>
          <w:rFonts w:hint="eastAsia" w:ascii="宋体" w:hAnsi="宋体" w:cs="宋体"/>
          <w:b/>
          <w:color w:val="auto"/>
          <w:highlight w:val="none"/>
        </w:rPr>
        <w:t>（2）对招标采购过程提出质疑的，为各采购程序环节结束之日；</w:t>
      </w:r>
    </w:p>
    <w:p w14:paraId="5ADA1A1D">
      <w:pPr>
        <w:widowControl/>
        <w:spacing w:line="360" w:lineRule="exact"/>
        <w:ind w:firstLine="310" w:firstLineChars="147"/>
        <w:jc w:val="left"/>
        <w:rPr>
          <w:rFonts w:hint="eastAsia" w:ascii="宋体" w:hAnsi="宋体" w:cs="宋体"/>
          <w:b/>
          <w:color w:val="auto"/>
          <w:highlight w:val="none"/>
        </w:rPr>
      </w:pPr>
      <w:r>
        <w:rPr>
          <w:rFonts w:hint="eastAsia" w:ascii="宋体" w:hAnsi="宋体" w:cs="宋体"/>
          <w:b/>
          <w:color w:val="auto"/>
          <w:highlight w:val="none"/>
        </w:rPr>
        <w:t>（3）对成交结果提出质疑的，为成交结果公告期限届满之日。供应商对采购人的质疑答复不满意或者采购人未在规定时间内作出答复的，可以在答复期满后十五个工作日内向同级采购监管部门投诉。</w:t>
      </w:r>
    </w:p>
    <w:p w14:paraId="04FB8D51">
      <w:pPr>
        <w:pStyle w:val="11"/>
        <w:spacing w:line="360" w:lineRule="exact"/>
        <w:ind w:firstLine="420" w:firstLineChars="200"/>
        <w:rPr>
          <w:rFonts w:hint="eastAsia" w:hAnsi="宋体" w:cs="宋体"/>
          <w:bCs/>
          <w:color w:val="auto"/>
          <w:szCs w:val="21"/>
          <w:highlight w:val="none"/>
        </w:rPr>
      </w:pPr>
      <w:r>
        <w:rPr>
          <w:rFonts w:hint="eastAsia" w:hAnsi="宋体" w:cs="宋体"/>
          <w:bCs/>
          <w:color w:val="auto"/>
          <w:szCs w:val="21"/>
          <w:highlight w:val="none"/>
        </w:rPr>
        <w:t>1</w:t>
      </w:r>
      <w:r>
        <w:rPr>
          <w:rFonts w:hint="eastAsia" w:hAnsi="宋体" w:cs="宋体"/>
          <w:bCs/>
          <w:color w:val="auto"/>
          <w:szCs w:val="21"/>
          <w:highlight w:val="none"/>
          <w:lang w:val="en-US" w:eastAsia="zh-CN"/>
        </w:rPr>
        <w:t>6</w:t>
      </w:r>
      <w:r>
        <w:rPr>
          <w:rFonts w:hint="eastAsia" w:hAnsi="宋体" w:cs="宋体"/>
          <w:bCs/>
          <w:color w:val="auto"/>
          <w:szCs w:val="21"/>
          <w:highlight w:val="none"/>
        </w:rPr>
        <w:t>.3 质疑、投诉应当采用书面形式，质疑函、投诉书均应明确阐述采购文件、采购过程、成交结果中使自己合法权益受到损害的实质性内容，提供相关事实、明确的请求、必要的证明材料，便于有关单位调查、答复和处理。</w:t>
      </w:r>
    </w:p>
    <w:p w14:paraId="17DF7184">
      <w:pPr>
        <w:pStyle w:val="11"/>
        <w:ind w:firstLine="420" w:firstLineChars="200"/>
        <w:rPr>
          <w:rFonts w:hint="eastAsia" w:hAnsi="宋体" w:cs="宋体"/>
          <w:bCs/>
          <w:color w:val="auto"/>
          <w:szCs w:val="21"/>
          <w:highlight w:val="none"/>
        </w:rPr>
      </w:pPr>
      <w:r>
        <w:rPr>
          <w:rFonts w:hint="eastAsia" w:hAnsi="宋体" w:cs="宋体"/>
          <w:bCs/>
          <w:color w:val="auto"/>
          <w:szCs w:val="21"/>
          <w:highlight w:val="none"/>
        </w:rPr>
        <w:t>1</w:t>
      </w:r>
      <w:r>
        <w:rPr>
          <w:rFonts w:hint="eastAsia" w:hAnsi="宋体" w:cs="宋体"/>
          <w:bCs/>
          <w:color w:val="auto"/>
          <w:szCs w:val="21"/>
          <w:highlight w:val="none"/>
          <w:lang w:val="en-US" w:eastAsia="zh-CN"/>
        </w:rPr>
        <w:t>6</w:t>
      </w:r>
      <w:r>
        <w:rPr>
          <w:rFonts w:hint="eastAsia" w:hAnsi="宋体" w:cs="宋体"/>
          <w:bCs/>
          <w:color w:val="auto"/>
          <w:szCs w:val="21"/>
          <w:highlight w:val="none"/>
        </w:rPr>
        <w:t>.4采购人、采购代理机构接收质疑函的方式、联系部门、联系电话和地址等信息详见“供应商须知前附表”。</w:t>
      </w:r>
    </w:p>
    <w:p w14:paraId="017A960B">
      <w:pPr>
        <w:spacing w:line="440" w:lineRule="exact"/>
        <w:ind w:left="420" w:leftChars="200" w:firstLine="105" w:firstLineChars="50"/>
        <w:rPr>
          <w:rFonts w:hint="eastAsia" w:ascii="宋体" w:hAnsi="宋体" w:cs="宋体"/>
          <w:b/>
          <w:color w:val="auto"/>
          <w:highlight w:val="none"/>
        </w:rPr>
      </w:pPr>
      <w:r>
        <w:rPr>
          <w:rFonts w:hint="eastAsia" w:ascii="宋体" w:hAnsi="宋体" w:cs="宋体"/>
          <w:b/>
          <w:color w:val="auto"/>
          <w:highlight w:val="none"/>
        </w:rPr>
        <w:t>十、适用法律</w:t>
      </w:r>
    </w:p>
    <w:p w14:paraId="54549FAB">
      <w:pPr>
        <w:spacing w:line="440" w:lineRule="exact"/>
        <w:ind w:left="420" w:leftChars="200" w:firstLine="105" w:firstLineChars="5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7</w:t>
      </w:r>
      <w:r>
        <w:rPr>
          <w:rFonts w:hint="eastAsia" w:ascii="宋体" w:hAnsi="宋体" w:cs="宋体"/>
          <w:color w:val="auto"/>
          <w:highlight w:val="none"/>
        </w:rPr>
        <w:t>.采购当事人的一切活动均适用于《中华人民共和国政府采购法》及相关规定。最终磋商结束后，</w:t>
      </w:r>
    </w:p>
    <w:p w14:paraId="10A44A2B">
      <w:pPr>
        <w:spacing w:line="440" w:lineRule="exact"/>
        <w:rPr>
          <w:rFonts w:hint="eastAsia" w:ascii="宋体" w:hAnsi="宋体" w:cs="宋体"/>
          <w:color w:val="auto"/>
          <w:highlight w:val="none"/>
        </w:rPr>
      </w:pPr>
      <w:r>
        <w:rPr>
          <w:rFonts w:hint="eastAsia" w:ascii="宋体" w:hAnsi="宋体" w:cs="宋体"/>
          <w:color w:val="auto"/>
          <w:highlight w:val="none"/>
        </w:rPr>
        <w:t>磋商小组不得再与供应商进行任何形式的磋商。</w:t>
      </w:r>
    </w:p>
    <w:p w14:paraId="672DEFE3">
      <w:pPr>
        <w:spacing w:line="440" w:lineRule="exact"/>
        <w:ind w:left="420" w:leftChars="200"/>
        <w:rPr>
          <w:rFonts w:hint="eastAsia" w:ascii="宋体" w:hAnsi="宋体" w:cs="宋体"/>
          <w:b/>
          <w:bCs/>
          <w:color w:val="auto"/>
          <w:highlight w:val="none"/>
        </w:rPr>
      </w:pPr>
      <w:r>
        <w:rPr>
          <w:rFonts w:hint="eastAsia" w:ascii="宋体" w:hAnsi="宋体" w:cs="宋体"/>
          <w:b/>
          <w:bCs/>
          <w:color w:val="auto"/>
          <w:highlight w:val="none"/>
        </w:rPr>
        <w:t>十一、其他事项</w:t>
      </w:r>
    </w:p>
    <w:p w14:paraId="1A6061AF">
      <w:pPr>
        <w:spacing w:line="440" w:lineRule="exact"/>
        <w:ind w:firstLine="472" w:firstLineChars="225"/>
        <w:rPr>
          <w:rFonts w:hint="eastAsia" w:ascii="宋体" w:hAnsi="宋体" w:cs="宋体"/>
          <w:b/>
          <w:bCs/>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8</w:t>
      </w:r>
      <w:r>
        <w:rPr>
          <w:rFonts w:hint="eastAsia" w:ascii="宋体" w:hAnsi="宋体" w:cs="宋体"/>
          <w:color w:val="auto"/>
          <w:highlight w:val="none"/>
        </w:rPr>
        <w:t>.1</w:t>
      </w:r>
      <w:r>
        <w:rPr>
          <w:rFonts w:hint="eastAsia" w:ascii="宋体" w:hAnsi="宋体" w:cs="宋体"/>
          <w:b/>
          <w:bCs/>
          <w:color w:val="auto"/>
          <w:highlight w:val="none"/>
        </w:rPr>
        <w:t>解释权</w:t>
      </w:r>
    </w:p>
    <w:p w14:paraId="66035E91">
      <w:pPr>
        <w:pStyle w:val="11"/>
        <w:spacing w:line="340" w:lineRule="exact"/>
        <w:ind w:firstLine="454" w:firstLineChars="225"/>
        <w:rPr>
          <w:rFonts w:hint="eastAsia" w:hAnsi="宋体" w:cs="宋体"/>
          <w:color w:val="auto"/>
          <w:spacing w:val="-4"/>
          <w:szCs w:val="21"/>
          <w:highlight w:val="none"/>
        </w:rPr>
      </w:pPr>
      <w:r>
        <w:rPr>
          <w:rFonts w:hint="eastAsia" w:hAnsi="宋体" w:cs="宋体"/>
          <w:color w:val="auto"/>
          <w:spacing w:val="-4"/>
          <w:szCs w:val="21"/>
          <w:highlight w:val="none"/>
        </w:rPr>
        <w:t>本</w:t>
      </w:r>
      <w:r>
        <w:rPr>
          <w:rFonts w:hint="eastAsia" w:hAnsi="宋体" w:cs="宋体"/>
          <w:color w:val="auto"/>
          <w:szCs w:val="21"/>
          <w:highlight w:val="none"/>
        </w:rPr>
        <w:t>竞争性磋商</w:t>
      </w:r>
      <w:r>
        <w:rPr>
          <w:rFonts w:hint="eastAsia" w:hAnsi="宋体" w:cs="宋体"/>
          <w:color w:val="auto"/>
          <w:spacing w:val="-4"/>
          <w:szCs w:val="21"/>
          <w:highlight w:val="none"/>
        </w:rPr>
        <w:t>文件解释权属本中心。</w:t>
      </w:r>
    </w:p>
    <w:p w14:paraId="4F48E054">
      <w:pPr>
        <w:pStyle w:val="11"/>
        <w:spacing w:line="440" w:lineRule="exact"/>
        <w:ind w:firstLine="474" w:firstLineChars="225"/>
        <w:rPr>
          <w:rFonts w:hint="eastAsia" w:hAnsi="宋体" w:cs="宋体"/>
          <w:color w:val="auto"/>
          <w:szCs w:val="21"/>
          <w:highlight w:val="none"/>
        </w:rPr>
      </w:pPr>
      <w:r>
        <w:rPr>
          <w:rFonts w:hint="eastAsia" w:hAnsi="宋体" w:cs="宋体"/>
          <w:b/>
          <w:bCs/>
          <w:color w:val="auto"/>
          <w:szCs w:val="21"/>
          <w:highlight w:val="none"/>
        </w:rPr>
        <w:t>1</w:t>
      </w:r>
      <w:r>
        <w:rPr>
          <w:rFonts w:hint="eastAsia" w:hAnsi="宋体" w:cs="宋体"/>
          <w:b/>
          <w:bCs/>
          <w:color w:val="auto"/>
          <w:szCs w:val="21"/>
          <w:highlight w:val="none"/>
          <w:lang w:val="en-US" w:eastAsia="zh-CN"/>
        </w:rPr>
        <w:t>8</w:t>
      </w:r>
      <w:r>
        <w:rPr>
          <w:rFonts w:hint="eastAsia" w:hAnsi="宋体" w:cs="宋体"/>
          <w:b/>
          <w:bCs/>
          <w:color w:val="auto"/>
          <w:szCs w:val="21"/>
          <w:highlight w:val="none"/>
        </w:rPr>
        <w:t>.2 有关事宜</w:t>
      </w:r>
    </w:p>
    <w:p w14:paraId="56F613CF">
      <w:pPr>
        <w:spacing w:line="440" w:lineRule="exact"/>
        <w:ind w:left="420" w:leftChars="200" w:firstLine="105" w:firstLineChars="50"/>
        <w:rPr>
          <w:rFonts w:hint="eastAsia" w:ascii="宋体" w:hAnsi="宋体" w:cs="宋体"/>
          <w:color w:val="auto"/>
          <w:highlight w:val="none"/>
        </w:rPr>
      </w:pPr>
      <w:r>
        <w:rPr>
          <w:rFonts w:hint="eastAsia" w:ascii="宋体" w:hAnsi="宋体" w:cs="宋体"/>
          <w:color w:val="auto"/>
          <w:highlight w:val="none"/>
        </w:rPr>
        <w:t>所有与本竞争性磋商文件有关的函件请按下列通讯地址联系：</w:t>
      </w:r>
    </w:p>
    <w:p w14:paraId="182F88C9">
      <w:pPr>
        <w:spacing w:line="440" w:lineRule="exact"/>
        <w:ind w:left="420" w:leftChars="200" w:firstLine="105" w:firstLineChars="50"/>
        <w:rPr>
          <w:rFonts w:hint="eastAsia" w:ascii="宋体" w:hAnsi="宋体" w:cs="宋体"/>
          <w:color w:val="auto"/>
          <w:highlight w:val="none"/>
        </w:rPr>
      </w:pPr>
      <w:r>
        <w:rPr>
          <w:rFonts w:hint="eastAsia" w:ascii="宋体" w:hAnsi="宋体" w:cs="宋体"/>
          <w:color w:val="auto"/>
          <w:highlight w:val="none"/>
        </w:rPr>
        <w:t>广西壮族自治区政府采购中心</w:t>
      </w:r>
    </w:p>
    <w:p w14:paraId="499C463A">
      <w:pPr>
        <w:spacing w:line="440" w:lineRule="exact"/>
        <w:ind w:left="420" w:leftChars="200" w:firstLine="105" w:firstLineChars="50"/>
        <w:rPr>
          <w:rFonts w:hint="eastAsia" w:ascii="宋体" w:hAnsi="宋体" w:cs="宋体"/>
          <w:color w:val="auto"/>
          <w:highlight w:val="none"/>
        </w:rPr>
      </w:pPr>
      <w:r>
        <w:rPr>
          <w:rFonts w:hint="eastAsia" w:ascii="宋体" w:hAnsi="宋体" w:cs="宋体"/>
          <w:color w:val="auto"/>
          <w:highlight w:val="none"/>
        </w:rPr>
        <w:t>邮政编码：530011</w:t>
      </w:r>
    </w:p>
    <w:p w14:paraId="239F0EB0">
      <w:pPr>
        <w:spacing w:line="440" w:lineRule="exact"/>
        <w:ind w:left="420" w:leftChars="200" w:firstLine="105" w:firstLineChars="50"/>
        <w:rPr>
          <w:rFonts w:hint="eastAsia" w:ascii="宋体" w:hAnsi="宋体" w:cs="宋体"/>
          <w:color w:val="auto"/>
          <w:highlight w:val="none"/>
          <w:lang w:val="en"/>
        </w:rPr>
      </w:pPr>
      <w:r>
        <w:rPr>
          <w:rFonts w:hint="eastAsia" w:ascii="宋体" w:hAnsi="宋体" w:cs="宋体"/>
          <w:color w:val="auto"/>
          <w:highlight w:val="none"/>
        </w:rPr>
        <w:t>通讯地址：</w:t>
      </w:r>
      <w:r>
        <w:rPr>
          <w:rFonts w:hint="eastAsia" w:ascii="宋体" w:hAnsi="宋体" w:cs="宋体"/>
          <w:color w:val="auto"/>
          <w:highlight w:val="none"/>
          <w:lang w:val="en"/>
        </w:rPr>
        <w:t>南宁市星湖路22号</w:t>
      </w:r>
    </w:p>
    <w:p w14:paraId="4ADDE0CA">
      <w:pPr>
        <w:spacing w:line="440" w:lineRule="exact"/>
        <w:ind w:left="420" w:leftChars="200" w:firstLine="105" w:firstLineChars="50"/>
        <w:rPr>
          <w:rFonts w:hint="eastAsia" w:ascii="宋体" w:hAnsi="宋体" w:cs="宋体"/>
          <w:color w:val="auto"/>
          <w:highlight w:val="none"/>
          <w:lang w:val="en"/>
        </w:rPr>
      </w:pPr>
      <w:r>
        <w:rPr>
          <w:rFonts w:hint="eastAsia" w:ascii="宋体" w:hAnsi="宋体" w:cs="宋体"/>
          <w:color w:val="auto"/>
          <w:highlight w:val="none"/>
        </w:rPr>
        <w:t>电    话：0771-</w:t>
      </w:r>
      <w:r>
        <w:rPr>
          <w:rFonts w:hint="eastAsia" w:ascii="宋体" w:hAnsi="宋体" w:cs="宋体"/>
          <w:color w:val="auto"/>
          <w:highlight w:val="none"/>
          <w:lang w:val="en"/>
        </w:rPr>
        <w:t>8600</w:t>
      </w:r>
      <w:r>
        <w:rPr>
          <w:rFonts w:hint="eastAsia" w:ascii="宋体" w:hAnsi="宋体" w:cs="宋体"/>
          <w:color w:val="auto"/>
          <w:highlight w:val="none"/>
          <w:lang w:val="en-US" w:eastAsia="zh-CN"/>
        </w:rPr>
        <w:t>433</w:t>
      </w:r>
      <w:r>
        <w:rPr>
          <w:rFonts w:hint="eastAsia" w:ascii="宋体" w:hAnsi="宋体" w:cs="宋体"/>
          <w:color w:val="auto"/>
          <w:highlight w:val="none"/>
          <w:lang w:val="en" w:eastAsia="zh-CN"/>
        </w:rPr>
        <w:t>；</w:t>
      </w:r>
      <w:r>
        <w:rPr>
          <w:rFonts w:hint="eastAsia" w:ascii="宋体" w:hAnsi="宋体" w:cs="宋体"/>
          <w:color w:val="auto"/>
          <w:highlight w:val="none"/>
        </w:rPr>
        <w:t>传真：0771-</w:t>
      </w:r>
      <w:r>
        <w:rPr>
          <w:rFonts w:hint="eastAsia" w:ascii="宋体" w:hAnsi="宋体" w:cs="宋体"/>
          <w:color w:val="auto"/>
          <w:highlight w:val="none"/>
          <w:lang w:val="en"/>
        </w:rPr>
        <w:t>8600305</w:t>
      </w:r>
    </w:p>
    <w:p w14:paraId="2BD8C330">
      <w:pPr>
        <w:spacing w:line="500" w:lineRule="exact"/>
        <w:rPr>
          <w:rFonts w:hint="eastAsia" w:ascii="宋体" w:hAnsi="宋体" w:cs="宋体"/>
          <w:color w:val="auto"/>
          <w:highlight w:val="none"/>
        </w:rPr>
      </w:pPr>
      <w:r>
        <w:rPr>
          <w:rFonts w:hint="eastAsia" w:ascii="宋体" w:hAnsi="宋体" w:cs="宋体"/>
          <w:b/>
          <w:bCs/>
          <w:color w:val="auto"/>
          <w:sz w:val="21"/>
          <w:szCs w:val="21"/>
          <w:highlight w:val="none"/>
        </w:rPr>
        <w:t xml:space="preserve"> </w:t>
      </w:r>
    </w:p>
    <w:p w14:paraId="5CA159E3">
      <w:pPr>
        <w:pStyle w:val="2"/>
        <w:rPr>
          <w:rFonts w:hint="eastAsia" w:ascii="宋体" w:hAnsi="宋体" w:cs="宋体"/>
          <w:color w:val="auto"/>
          <w:sz w:val="21"/>
          <w:szCs w:val="21"/>
          <w:highlight w:val="none"/>
        </w:rPr>
      </w:pPr>
    </w:p>
    <w:p w14:paraId="4F82A1DB">
      <w:pPr>
        <w:pStyle w:val="2"/>
        <w:rPr>
          <w:rFonts w:hint="eastAsia" w:ascii="宋体" w:hAnsi="宋体" w:cs="宋体"/>
          <w:color w:val="auto"/>
          <w:sz w:val="21"/>
          <w:szCs w:val="21"/>
          <w:highlight w:val="none"/>
        </w:rPr>
      </w:pPr>
    </w:p>
    <w:p w14:paraId="252E618E">
      <w:pPr>
        <w:pStyle w:val="2"/>
        <w:rPr>
          <w:rFonts w:hint="eastAsia" w:ascii="宋体" w:hAnsi="宋体" w:cs="宋体"/>
          <w:color w:val="auto"/>
          <w:sz w:val="21"/>
          <w:szCs w:val="21"/>
          <w:highlight w:val="none"/>
        </w:rPr>
      </w:pPr>
    </w:p>
    <w:p w14:paraId="6492C7D2">
      <w:pPr>
        <w:pStyle w:val="2"/>
        <w:rPr>
          <w:rFonts w:hint="eastAsia" w:ascii="宋体" w:hAnsi="宋体" w:cs="宋体"/>
          <w:color w:val="auto"/>
          <w:sz w:val="21"/>
          <w:szCs w:val="21"/>
          <w:highlight w:val="none"/>
        </w:rPr>
      </w:pPr>
    </w:p>
    <w:p w14:paraId="0EAE0D57">
      <w:pPr>
        <w:pStyle w:val="2"/>
        <w:rPr>
          <w:rFonts w:hint="eastAsia" w:ascii="宋体" w:hAnsi="宋体" w:cs="宋体"/>
          <w:color w:val="auto"/>
          <w:sz w:val="21"/>
          <w:szCs w:val="21"/>
          <w:highlight w:val="none"/>
        </w:rPr>
      </w:pPr>
    </w:p>
    <w:p w14:paraId="17C44717">
      <w:pPr>
        <w:pStyle w:val="2"/>
        <w:rPr>
          <w:rFonts w:hint="eastAsia" w:ascii="宋体" w:hAnsi="宋体" w:cs="宋体"/>
          <w:color w:val="auto"/>
          <w:sz w:val="21"/>
          <w:szCs w:val="21"/>
          <w:highlight w:val="none"/>
        </w:rPr>
      </w:pPr>
    </w:p>
    <w:p w14:paraId="1B5786E2">
      <w:pPr>
        <w:pStyle w:val="2"/>
        <w:rPr>
          <w:rFonts w:hint="eastAsia" w:ascii="宋体" w:hAnsi="宋体" w:cs="宋体"/>
          <w:color w:val="auto"/>
          <w:sz w:val="21"/>
          <w:szCs w:val="21"/>
          <w:highlight w:val="none"/>
        </w:rPr>
      </w:pPr>
    </w:p>
    <w:p w14:paraId="051F6E0E">
      <w:pPr>
        <w:pStyle w:val="2"/>
        <w:rPr>
          <w:rFonts w:hint="eastAsia" w:ascii="宋体" w:hAnsi="宋体" w:cs="宋体"/>
          <w:color w:val="auto"/>
          <w:sz w:val="21"/>
          <w:szCs w:val="21"/>
          <w:highlight w:val="none"/>
        </w:rPr>
      </w:pPr>
    </w:p>
    <w:p w14:paraId="0F1A4D1E">
      <w:pPr>
        <w:rPr>
          <w:rFonts w:hint="eastAsia" w:ascii="宋体" w:hAnsi="宋体" w:cs="宋体"/>
          <w:color w:val="auto"/>
          <w:highlight w:val="none"/>
        </w:rPr>
      </w:pPr>
    </w:p>
    <w:p w14:paraId="18B17E8B">
      <w:pPr>
        <w:spacing w:line="500" w:lineRule="exact"/>
        <w:rPr>
          <w:rFonts w:hint="eastAsia" w:ascii="宋体" w:hAnsi="宋体" w:cs="宋体"/>
          <w:b/>
          <w:bCs/>
          <w:color w:val="auto"/>
          <w:sz w:val="21"/>
          <w:szCs w:val="21"/>
          <w:highlight w:val="none"/>
        </w:rPr>
      </w:pPr>
    </w:p>
    <w:p w14:paraId="29815199">
      <w:pPr>
        <w:pStyle w:val="19"/>
        <w:rPr>
          <w:rFonts w:hint="eastAsia" w:hAnsi="宋体" w:cs="宋体"/>
          <w:color w:val="auto"/>
          <w:szCs w:val="21"/>
          <w:highlight w:val="none"/>
        </w:rPr>
      </w:pPr>
    </w:p>
    <w:p w14:paraId="36F796A5">
      <w:pPr>
        <w:spacing w:line="500" w:lineRule="exact"/>
        <w:rPr>
          <w:rFonts w:hint="eastAsia" w:ascii="宋体" w:hAnsi="宋体" w:cs="宋体"/>
          <w:b/>
          <w:bCs/>
          <w:color w:val="auto"/>
          <w:sz w:val="21"/>
          <w:szCs w:val="21"/>
          <w:highlight w:val="none"/>
        </w:rPr>
      </w:pPr>
    </w:p>
    <w:p w14:paraId="7A005905">
      <w:pPr>
        <w:pStyle w:val="20"/>
        <w:rPr>
          <w:rFonts w:hint="eastAsia" w:ascii="宋体" w:hAnsi="宋体" w:cs="宋体"/>
          <w:b/>
          <w:bCs/>
          <w:color w:val="auto"/>
          <w:sz w:val="21"/>
          <w:szCs w:val="21"/>
          <w:highlight w:val="none"/>
        </w:rPr>
      </w:pPr>
    </w:p>
    <w:p w14:paraId="712E30AD">
      <w:pPr>
        <w:pStyle w:val="20"/>
        <w:rPr>
          <w:rFonts w:hint="eastAsia" w:ascii="宋体" w:hAnsi="宋体" w:cs="宋体"/>
          <w:b/>
          <w:bCs/>
          <w:color w:val="auto"/>
          <w:sz w:val="21"/>
          <w:szCs w:val="21"/>
          <w:highlight w:val="none"/>
        </w:rPr>
      </w:pPr>
    </w:p>
    <w:p w14:paraId="0AB1BE63">
      <w:pPr>
        <w:pStyle w:val="20"/>
        <w:rPr>
          <w:rFonts w:hint="eastAsia" w:ascii="宋体" w:hAnsi="宋体" w:cs="宋体"/>
          <w:b/>
          <w:bCs/>
          <w:color w:val="auto"/>
          <w:sz w:val="21"/>
          <w:szCs w:val="21"/>
          <w:highlight w:val="none"/>
        </w:rPr>
      </w:pPr>
    </w:p>
    <w:p w14:paraId="0E51FCF6">
      <w:pPr>
        <w:spacing w:line="500" w:lineRule="exac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 </w:t>
      </w:r>
    </w:p>
    <w:p w14:paraId="5C596ACB">
      <w:pPr>
        <w:pStyle w:val="3"/>
        <w:jc w:val="center"/>
        <w:rPr>
          <w:rFonts w:hint="eastAsia" w:ascii="宋体" w:hAnsi="宋体" w:cs="宋体"/>
          <w:color w:val="auto"/>
          <w:highlight w:val="none"/>
        </w:rPr>
      </w:pPr>
      <w:r>
        <w:rPr>
          <w:rFonts w:hint="eastAsia" w:ascii="宋体" w:hAnsi="宋体" w:cs="宋体"/>
          <w:b w:val="0"/>
          <w:bCs w:val="0"/>
          <w:color w:val="auto"/>
          <w:sz w:val="44"/>
          <w:szCs w:val="44"/>
          <w:highlight w:val="none"/>
        </w:rPr>
        <w:t xml:space="preserve"> </w:t>
      </w:r>
      <w:bookmarkStart w:id="14" w:name="_Toc18481386"/>
      <w:bookmarkEnd w:id="14"/>
      <w:r>
        <w:rPr>
          <w:rFonts w:hint="eastAsia" w:ascii="宋体" w:hAnsi="宋体" w:cs="宋体"/>
          <w:color w:val="auto"/>
          <w:highlight w:val="none"/>
        </w:rPr>
        <w:t>第三章  采购需求</w:t>
      </w:r>
    </w:p>
    <w:p w14:paraId="36A60387">
      <w:pPr>
        <w:rPr>
          <w:rFonts w:hint="eastAsia" w:ascii="宋体" w:hAnsi="宋体" w:cs="宋体"/>
          <w:color w:val="auto"/>
          <w:highlight w:val="none"/>
        </w:rPr>
      </w:pPr>
    </w:p>
    <w:p w14:paraId="732065D5">
      <w:pPr>
        <w:pStyle w:val="6"/>
        <w:tabs>
          <w:tab w:val="clear" w:pos="2155"/>
        </w:tabs>
        <w:rPr>
          <w:rFonts w:hint="eastAsia" w:ascii="宋体" w:hAnsi="宋体" w:eastAsia="宋体" w:cs="宋体"/>
          <w:color w:val="auto"/>
          <w:sz w:val="21"/>
          <w:szCs w:val="21"/>
          <w:highlight w:val="none"/>
        </w:rPr>
      </w:pPr>
    </w:p>
    <w:p w14:paraId="11B17C32">
      <w:pPr>
        <w:rPr>
          <w:rFonts w:hint="eastAsia" w:ascii="宋体" w:hAnsi="宋体" w:cs="宋体"/>
          <w:color w:val="auto"/>
          <w:highlight w:val="none"/>
        </w:rPr>
      </w:pPr>
    </w:p>
    <w:p w14:paraId="0C4A78CB">
      <w:pPr>
        <w:pStyle w:val="6"/>
        <w:tabs>
          <w:tab w:val="clear" w:pos="2155"/>
        </w:tabs>
        <w:rPr>
          <w:rFonts w:hint="eastAsia" w:ascii="宋体" w:hAnsi="宋体" w:eastAsia="宋体" w:cs="宋体"/>
          <w:color w:val="auto"/>
          <w:sz w:val="21"/>
          <w:szCs w:val="21"/>
          <w:highlight w:val="none"/>
        </w:rPr>
      </w:pPr>
    </w:p>
    <w:p w14:paraId="384B574A">
      <w:pPr>
        <w:rPr>
          <w:rFonts w:hint="eastAsia" w:ascii="宋体" w:hAnsi="宋体" w:cs="宋体"/>
          <w:color w:val="auto"/>
          <w:highlight w:val="none"/>
        </w:rPr>
      </w:pPr>
    </w:p>
    <w:p w14:paraId="78269E09">
      <w:pPr>
        <w:pStyle w:val="6"/>
        <w:tabs>
          <w:tab w:val="clear" w:pos="2155"/>
        </w:tabs>
        <w:rPr>
          <w:rFonts w:hint="eastAsia" w:ascii="宋体" w:hAnsi="宋体" w:eastAsia="宋体" w:cs="宋体"/>
          <w:color w:val="auto"/>
          <w:sz w:val="21"/>
          <w:szCs w:val="21"/>
          <w:highlight w:val="none"/>
        </w:rPr>
      </w:pPr>
    </w:p>
    <w:p w14:paraId="65EC440F">
      <w:pPr>
        <w:rPr>
          <w:rFonts w:hint="eastAsia" w:ascii="宋体" w:hAnsi="宋体" w:cs="宋体"/>
          <w:color w:val="auto"/>
          <w:highlight w:val="none"/>
        </w:rPr>
      </w:pPr>
    </w:p>
    <w:p w14:paraId="0B36C182">
      <w:pPr>
        <w:pStyle w:val="6"/>
        <w:tabs>
          <w:tab w:val="clear" w:pos="2155"/>
        </w:tabs>
        <w:rPr>
          <w:rFonts w:hint="eastAsia" w:ascii="宋体" w:hAnsi="宋体" w:eastAsia="宋体" w:cs="宋体"/>
          <w:color w:val="auto"/>
          <w:sz w:val="21"/>
          <w:szCs w:val="21"/>
          <w:highlight w:val="none"/>
        </w:rPr>
      </w:pPr>
    </w:p>
    <w:p w14:paraId="5C59CB96">
      <w:pPr>
        <w:rPr>
          <w:rFonts w:hint="eastAsia" w:ascii="宋体" w:hAnsi="宋体" w:cs="宋体"/>
          <w:color w:val="auto"/>
          <w:highlight w:val="none"/>
        </w:rPr>
      </w:pPr>
    </w:p>
    <w:p w14:paraId="1EBDA645">
      <w:pPr>
        <w:pStyle w:val="6"/>
        <w:tabs>
          <w:tab w:val="clear" w:pos="2155"/>
        </w:tabs>
        <w:rPr>
          <w:rFonts w:hint="eastAsia" w:ascii="宋体" w:hAnsi="宋体" w:eastAsia="宋体" w:cs="宋体"/>
          <w:color w:val="auto"/>
          <w:sz w:val="21"/>
          <w:szCs w:val="21"/>
          <w:highlight w:val="none"/>
        </w:rPr>
      </w:pPr>
    </w:p>
    <w:p w14:paraId="70F7CA0D">
      <w:pPr>
        <w:rPr>
          <w:rFonts w:hint="eastAsia" w:ascii="宋体" w:hAnsi="宋体" w:cs="宋体"/>
          <w:color w:val="auto"/>
          <w:highlight w:val="none"/>
        </w:rPr>
      </w:pPr>
    </w:p>
    <w:p w14:paraId="1A286C65">
      <w:pPr>
        <w:pStyle w:val="6"/>
        <w:tabs>
          <w:tab w:val="clear" w:pos="2155"/>
        </w:tabs>
        <w:rPr>
          <w:rFonts w:hint="eastAsia" w:ascii="宋体" w:hAnsi="宋体" w:eastAsia="宋体" w:cs="宋体"/>
          <w:color w:val="auto"/>
          <w:sz w:val="21"/>
          <w:szCs w:val="21"/>
          <w:highlight w:val="none"/>
        </w:rPr>
      </w:pPr>
    </w:p>
    <w:p w14:paraId="2A6B72A9">
      <w:pPr>
        <w:spacing w:line="500" w:lineRule="exact"/>
        <w:jc w:val="center"/>
        <w:rPr>
          <w:rFonts w:hint="eastAsia" w:ascii="宋体" w:hAnsi="宋体" w:cs="宋体"/>
          <w:b/>
          <w:bCs/>
          <w:color w:val="auto"/>
          <w:sz w:val="21"/>
          <w:szCs w:val="21"/>
          <w:highlight w:val="none"/>
          <w:lang w:val="en"/>
        </w:rPr>
      </w:pPr>
      <w:bookmarkStart w:id="15" w:name="_Toc18481387"/>
      <w:bookmarkEnd w:id="15"/>
    </w:p>
    <w:p w14:paraId="48B5B18F">
      <w:pPr>
        <w:pStyle w:val="20"/>
        <w:rPr>
          <w:rFonts w:hint="eastAsia" w:ascii="宋体" w:hAnsi="宋体" w:cs="宋体"/>
          <w:b/>
          <w:bCs/>
          <w:color w:val="auto"/>
          <w:sz w:val="21"/>
          <w:szCs w:val="21"/>
          <w:highlight w:val="none"/>
          <w:lang w:val="en"/>
        </w:rPr>
      </w:pPr>
    </w:p>
    <w:p w14:paraId="1EBF2EE6">
      <w:pPr>
        <w:spacing w:line="500" w:lineRule="exact"/>
        <w:jc w:val="center"/>
        <w:rPr>
          <w:rFonts w:ascii="宋体" w:hAnsi="宋体" w:cs="宋体"/>
          <w:b/>
          <w:bCs/>
          <w:color w:val="auto"/>
          <w:sz w:val="21"/>
          <w:szCs w:val="21"/>
          <w:highlight w:val="none"/>
          <w:lang w:val="en"/>
        </w:rPr>
      </w:pPr>
    </w:p>
    <w:p w14:paraId="0360DF61">
      <w:pPr>
        <w:spacing w:line="500" w:lineRule="exact"/>
        <w:jc w:val="center"/>
        <w:rPr>
          <w:rFonts w:ascii="宋体" w:hAnsi="宋体" w:cs="宋体"/>
          <w:b/>
          <w:bCs/>
          <w:color w:val="auto"/>
          <w:sz w:val="21"/>
          <w:szCs w:val="21"/>
          <w:highlight w:val="none"/>
          <w:lang w:val="en"/>
        </w:rPr>
      </w:pPr>
    </w:p>
    <w:p w14:paraId="3AEAEB6D">
      <w:pPr>
        <w:spacing w:line="500" w:lineRule="exact"/>
        <w:jc w:val="center"/>
        <w:rPr>
          <w:rFonts w:ascii="宋体" w:hAnsi="宋体" w:cs="宋体"/>
          <w:b/>
          <w:bCs/>
          <w:color w:val="auto"/>
          <w:sz w:val="21"/>
          <w:szCs w:val="21"/>
          <w:highlight w:val="none"/>
          <w:lang w:val="en"/>
        </w:rPr>
      </w:pPr>
    </w:p>
    <w:p w14:paraId="7BC1D2B7">
      <w:pPr>
        <w:spacing w:line="500" w:lineRule="exact"/>
        <w:jc w:val="center"/>
        <w:rPr>
          <w:rFonts w:ascii="宋体" w:hAnsi="宋体" w:cs="宋体"/>
          <w:b/>
          <w:bCs/>
          <w:color w:val="auto"/>
          <w:sz w:val="21"/>
          <w:szCs w:val="21"/>
          <w:highlight w:val="none"/>
          <w:lang w:val="en"/>
        </w:rPr>
      </w:pPr>
    </w:p>
    <w:p w14:paraId="7B7229CD">
      <w:pPr>
        <w:spacing w:line="500" w:lineRule="exact"/>
        <w:jc w:val="center"/>
        <w:rPr>
          <w:rFonts w:ascii="宋体" w:hAnsi="宋体" w:cs="宋体"/>
          <w:b/>
          <w:bCs/>
          <w:color w:val="auto"/>
          <w:sz w:val="21"/>
          <w:szCs w:val="21"/>
          <w:highlight w:val="none"/>
          <w:lang w:val="en"/>
        </w:rPr>
      </w:pPr>
    </w:p>
    <w:p w14:paraId="6A2343BE">
      <w:pPr>
        <w:spacing w:line="500" w:lineRule="exact"/>
        <w:jc w:val="center"/>
        <w:rPr>
          <w:rFonts w:ascii="宋体" w:hAnsi="宋体" w:cs="宋体"/>
          <w:b/>
          <w:bCs/>
          <w:color w:val="auto"/>
          <w:sz w:val="21"/>
          <w:szCs w:val="21"/>
          <w:highlight w:val="none"/>
          <w:lang w:val="en"/>
        </w:rPr>
      </w:pPr>
    </w:p>
    <w:p w14:paraId="22C696EE">
      <w:pPr>
        <w:spacing w:line="500" w:lineRule="exact"/>
        <w:jc w:val="center"/>
        <w:rPr>
          <w:rFonts w:hint="eastAsia" w:ascii="宋体" w:hAnsi="宋体" w:cs="宋体"/>
          <w:b/>
          <w:color w:val="auto"/>
          <w:sz w:val="32"/>
          <w:szCs w:val="32"/>
          <w:highlight w:val="none"/>
        </w:rPr>
      </w:pPr>
      <w:r>
        <w:rPr>
          <w:rFonts w:ascii="宋体" w:hAnsi="宋体" w:cs="宋体"/>
          <w:b/>
          <w:bCs/>
          <w:color w:val="auto"/>
          <w:sz w:val="32"/>
          <w:szCs w:val="32"/>
          <w:highlight w:val="none"/>
          <w:lang w:val="en"/>
        </w:rPr>
        <w:t>采购</w:t>
      </w:r>
      <w:r>
        <w:rPr>
          <w:rFonts w:hint="eastAsia" w:ascii="宋体" w:hAnsi="宋体" w:cs="宋体"/>
          <w:b/>
          <w:bCs/>
          <w:color w:val="auto"/>
          <w:sz w:val="32"/>
          <w:szCs w:val="32"/>
          <w:highlight w:val="none"/>
        </w:rPr>
        <w:t>需求</w:t>
      </w:r>
    </w:p>
    <w:p w14:paraId="2B8ACB78">
      <w:pPr>
        <w:widowControl/>
        <w:ind w:firstLine="283" w:firstLineChars="135"/>
        <w:jc w:val="left"/>
        <w:rPr>
          <w:rFonts w:hint="eastAsia" w:ascii="宋体" w:hAnsi="宋体" w:cs="宋体"/>
          <w:color w:val="auto"/>
          <w:highlight w:val="none"/>
        </w:rPr>
      </w:pPr>
    </w:p>
    <w:p w14:paraId="1C5BD0F0">
      <w:pPr>
        <w:widowControl/>
        <w:shd w:val="clear" w:color="auto" w:fill="FFFFFF"/>
        <w:spacing w:line="400" w:lineRule="exact"/>
        <w:ind w:firstLine="480"/>
        <w:rPr>
          <w:rFonts w:hint="eastAsia" w:ascii="宋体" w:hAnsi="宋体" w:eastAsia="宋体" w:cs="宋体"/>
          <w:b/>
          <w:bCs/>
          <w:color w:val="auto"/>
          <w:kern w:val="0"/>
          <w:highlight w:val="none"/>
          <w:lang w:val="en-US" w:eastAsia="zh-CN"/>
        </w:rPr>
      </w:pPr>
      <w:r>
        <w:rPr>
          <w:rFonts w:hint="eastAsia" w:ascii="宋体" w:hAnsi="宋体" w:eastAsia="宋体" w:cs="宋体"/>
          <w:b/>
          <w:bCs/>
          <w:color w:val="auto"/>
          <w:kern w:val="0"/>
          <w:highlight w:val="none"/>
          <w:lang w:val="en-US" w:eastAsia="zh-CN"/>
        </w:rPr>
        <w:t>一、采购项目概况</w:t>
      </w:r>
    </w:p>
    <w:p w14:paraId="60B7648F">
      <w:pPr>
        <w:widowControl/>
        <w:shd w:val="clear" w:color="auto" w:fill="FFFFFF"/>
        <w:spacing w:line="400" w:lineRule="exact"/>
        <w:ind w:firstLine="480"/>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b/>
          <w:bCs/>
          <w:color w:val="auto"/>
          <w:spacing w:val="-2"/>
          <w:kern w:val="2"/>
          <w:sz w:val="21"/>
          <w:szCs w:val="21"/>
          <w:highlight w:val="none"/>
          <w:lang w:val="en-US" w:eastAsia="zh-CN" w:bidi="ar-SA"/>
        </w:rPr>
        <w:t>（一）物业管理服务概况</w:t>
      </w:r>
    </w:p>
    <w:p w14:paraId="37F64E68">
      <w:pPr>
        <w:keepNext w:val="0"/>
        <w:keepLines w:val="0"/>
        <w:pageBreakBefore w:val="0"/>
        <w:widowControl w:val="0"/>
        <w:kinsoku/>
        <w:wordWrap/>
        <w:overflowPunct/>
        <w:autoSpaceDE/>
        <w:autoSpaceDN/>
        <w:bidi w:val="0"/>
        <w:spacing w:line="480" w:lineRule="auto"/>
        <w:ind w:firstLine="411" w:firstLineChars="196"/>
        <w:rPr>
          <w:rFonts w:hint="eastAsia" w:ascii="宋体" w:hAnsi="宋体" w:eastAsia="宋体" w:cs="宋体"/>
          <w:b/>
          <w:bCs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bidi="ar-SA"/>
        </w:rPr>
        <w:t>广西壮族自治区卫生健康委员会幼儿园</w:t>
      </w:r>
      <w:r>
        <w:rPr>
          <w:rFonts w:hint="eastAsia" w:ascii="宋体" w:hAnsi="宋体" w:cs="宋体"/>
          <w:b w:val="0"/>
          <w:color w:val="auto"/>
          <w:sz w:val="21"/>
          <w:szCs w:val="21"/>
          <w:highlight w:val="none"/>
          <w:lang w:val="en-US" w:eastAsia="zh-CN" w:bidi="ar-SA"/>
        </w:rPr>
        <w:t>（青秀区双拥路14号）、</w:t>
      </w:r>
      <w:r>
        <w:rPr>
          <w:rFonts w:hint="eastAsia" w:ascii="宋体" w:hAnsi="宋体" w:eastAsia="宋体" w:cs="宋体"/>
          <w:b w:val="0"/>
          <w:color w:val="auto"/>
          <w:sz w:val="21"/>
          <w:szCs w:val="21"/>
          <w:highlight w:val="none"/>
          <w:lang w:val="en-US" w:eastAsia="zh-CN" w:bidi="ar-SA"/>
        </w:rPr>
        <w:t>广西壮族自治区卫生健康委员会幼儿园</w:t>
      </w:r>
      <w:r>
        <w:rPr>
          <w:rFonts w:hint="eastAsia" w:ascii="宋体" w:hAnsi="宋体" w:cs="宋体"/>
          <w:b w:val="0"/>
          <w:color w:val="auto"/>
          <w:sz w:val="21"/>
          <w:szCs w:val="21"/>
          <w:highlight w:val="none"/>
          <w:lang w:val="en-US" w:eastAsia="zh-CN" w:bidi="ar-SA"/>
        </w:rPr>
        <w:t>托育分园（青秀区凌铁村105-1号）、</w:t>
      </w:r>
      <w:r>
        <w:rPr>
          <w:rFonts w:hint="eastAsia" w:ascii="宋体" w:hAnsi="宋体" w:eastAsia="宋体" w:cs="宋体"/>
          <w:b w:val="0"/>
          <w:color w:val="auto"/>
          <w:sz w:val="21"/>
          <w:szCs w:val="21"/>
          <w:highlight w:val="none"/>
          <w:lang w:val="en-US" w:eastAsia="zh-CN" w:bidi="ar-SA"/>
        </w:rPr>
        <w:t>广西壮族自治区卫生健康委员会幼儿园</w:t>
      </w:r>
      <w:r>
        <w:rPr>
          <w:rFonts w:hint="eastAsia" w:ascii="宋体" w:hAnsi="宋体" w:cs="宋体"/>
          <w:b w:val="0"/>
          <w:color w:val="auto"/>
          <w:sz w:val="21"/>
          <w:szCs w:val="21"/>
          <w:highlight w:val="none"/>
          <w:lang w:val="en-US" w:eastAsia="zh-CN" w:bidi="ar-SA"/>
        </w:rPr>
        <w:t>卫职分园（</w:t>
      </w:r>
      <w:r>
        <w:rPr>
          <w:rFonts w:hint="eastAsia" w:ascii="宋体" w:hAnsi="宋体" w:eastAsia="宋体" w:cs="宋体"/>
          <w:color w:val="auto"/>
          <w:sz w:val="21"/>
          <w:szCs w:val="21"/>
          <w:highlight w:val="none"/>
        </w:rPr>
        <w:t>兴宁区昆仑大道 8 号</w:t>
      </w:r>
      <w:r>
        <w:rPr>
          <w:rFonts w:hint="eastAsia" w:ascii="宋体" w:hAnsi="宋体" w:cs="宋体"/>
          <w:b w:val="0"/>
          <w:color w:val="auto"/>
          <w:sz w:val="21"/>
          <w:szCs w:val="21"/>
          <w:highlight w:val="none"/>
          <w:lang w:val="en-US" w:eastAsia="zh-CN" w:bidi="ar-SA"/>
        </w:rPr>
        <w:t>）</w:t>
      </w:r>
      <w:r>
        <w:rPr>
          <w:rFonts w:hint="eastAsia" w:ascii="宋体" w:hAnsi="宋体" w:eastAsia="宋体" w:cs="宋体"/>
          <w:b w:val="0"/>
          <w:color w:val="auto"/>
          <w:sz w:val="21"/>
          <w:szCs w:val="21"/>
          <w:highlight w:val="none"/>
          <w:lang w:val="en-US" w:eastAsia="zh-CN" w:bidi="ar-SA"/>
        </w:rPr>
        <w:t>，总占地面积</w:t>
      </w:r>
      <w:r>
        <w:rPr>
          <w:rFonts w:hint="eastAsia" w:ascii="宋体" w:hAnsi="宋体" w:cs="宋体"/>
          <w:b w:val="0"/>
          <w:color w:val="auto"/>
          <w:sz w:val="21"/>
          <w:szCs w:val="21"/>
          <w:highlight w:val="none"/>
          <w:lang w:val="en-US" w:eastAsia="zh-CN" w:bidi="ar-SA"/>
        </w:rPr>
        <w:t>约9695.95</w:t>
      </w:r>
      <w:r>
        <w:rPr>
          <w:rFonts w:hint="eastAsia" w:ascii="宋体" w:hAnsi="宋体" w:eastAsia="宋体" w:cs="宋体"/>
          <w:b w:val="0"/>
          <w:color w:val="auto"/>
          <w:sz w:val="21"/>
          <w:szCs w:val="21"/>
          <w:highlight w:val="none"/>
          <w:lang w:val="en-US" w:eastAsia="zh-CN" w:bidi="ar-SA"/>
        </w:rPr>
        <w:t xml:space="preserve"> ㎡，总建筑面积</w:t>
      </w:r>
      <w:r>
        <w:rPr>
          <w:rFonts w:hint="eastAsia" w:ascii="宋体" w:hAnsi="宋体" w:cs="宋体"/>
          <w:b w:val="0"/>
          <w:color w:val="auto"/>
          <w:sz w:val="21"/>
          <w:szCs w:val="21"/>
          <w:highlight w:val="none"/>
          <w:lang w:val="en-US" w:eastAsia="zh-CN" w:bidi="ar-SA"/>
        </w:rPr>
        <w:t>约</w:t>
      </w:r>
      <w:r>
        <w:rPr>
          <w:rFonts w:hint="eastAsia" w:ascii="宋体" w:hAnsi="宋体" w:eastAsia="宋体" w:cs="宋体"/>
          <w:b w:val="0"/>
          <w:color w:val="auto"/>
          <w:sz w:val="21"/>
          <w:szCs w:val="21"/>
          <w:highlight w:val="none"/>
          <w:lang w:val="en-US" w:eastAsia="zh-CN" w:bidi="ar-SA"/>
        </w:rPr>
        <w:t>1</w:t>
      </w:r>
      <w:r>
        <w:rPr>
          <w:rFonts w:hint="eastAsia" w:ascii="宋体" w:hAnsi="宋体" w:cs="宋体"/>
          <w:b w:val="0"/>
          <w:color w:val="auto"/>
          <w:sz w:val="21"/>
          <w:szCs w:val="21"/>
          <w:highlight w:val="none"/>
          <w:lang w:val="en-US" w:eastAsia="zh-CN" w:bidi="ar-SA"/>
        </w:rPr>
        <w:t>3</w:t>
      </w:r>
      <w:r>
        <w:rPr>
          <w:rFonts w:hint="eastAsia" w:ascii="宋体" w:hAnsi="宋体" w:eastAsia="宋体" w:cs="宋体"/>
          <w:b w:val="0"/>
          <w:color w:val="auto"/>
          <w:sz w:val="21"/>
          <w:szCs w:val="21"/>
          <w:highlight w:val="none"/>
          <w:lang w:val="en-US" w:eastAsia="zh-CN" w:bidi="ar-SA"/>
        </w:rPr>
        <w:t>487㎡。园区师生约600人。</w:t>
      </w:r>
    </w:p>
    <w:p w14:paraId="2021D1CE">
      <w:pPr>
        <w:widowControl/>
        <w:shd w:val="clear" w:color="auto" w:fill="FFFFFF"/>
        <w:spacing w:line="480" w:lineRule="auto"/>
        <w:ind w:firstLine="480"/>
        <w:rPr>
          <w:rFonts w:hint="eastAsia" w:ascii="宋体" w:hAnsi="宋体" w:eastAsia="宋体" w:cs="宋体"/>
          <w:b/>
          <w:bCs/>
          <w:color w:val="auto"/>
          <w:spacing w:val="-2"/>
          <w:kern w:val="2"/>
          <w:sz w:val="21"/>
          <w:szCs w:val="21"/>
          <w:highlight w:val="none"/>
          <w:lang w:val="en-US" w:eastAsia="zh-CN" w:bidi="ar-SA"/>
        </w:rPr>
      </w:pPr>
      <w:r>
        <w:rPr>
          <w:rFonts w:hint="eastAsia" w:ascii="宋体" w:hAnsi="宋体" w:eastAsia="宋体" w:cs="宋体"/>
          <w:b/>
          <w:bCs/>
          <w:color w:val="auto"/>
          <w:spacing w:val="-2"/>
          <w:kern w:val="2"/>
          <w:sz w:val="21"/>
          <w:szCs w:val="21"/>
          <w:highlight w:val="none"/>
          <w:lang w:val="en-US" w:eastAsia="zh-CN" w:bidi="ar-SA"/>
        </w:rPr>
        <w:t>（二）物业管理服务内容</w:t>
      </w:r>
    </w:p>
    <w:p w14:paraId="60453589">
      <w:pPr>
        <w:keepNext w:val="0"/>
        <w:keepLines w:val="0"/>
        <w:widowControl w:val="0"/>
        <w:suppressLineNumbers w:val="0"/>
        <w:topLinePunct/>
        <w:spacing w:before="0" w:beforeAutospacing="0" w:after="0" w:afterAutospacing="0" w:line="480" w:lineRule="auto"/>
        <w:ind w:left="0" w:right="0" w:firstLine="420" w:firstLineChars="200"/>
        <w:jc w:val="left"/>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color w:val="auto"/>
          <w:sz w:val="21"/>
          <w:szCs w:val="21"/>
          <w:highlight w:val="none"/>
          <w:lang w:val="en-US" w:eastAsia="zh-CN" w:bidi="ar-SA"/>
        </w:rPr>
        <w:t>广西壮族自治区卫生健康委员会幼儿园</w:t>
      </w:r>
      <w:r>
        <w:rPr>
          <w:rFonts w:hint="eastAsia" w:ascii="宋体" w:hAnsi="宋体" w:cs="宋体"/>
          <w:b w:val="0"/>
          <w:color w:val="auto"/>
          <w:sz w:val="21"/>
          <w:szCs w:val="21"/>
          <w:highlight w:val="none"/>
          <w:lang w:val="en-US" w:eastAsia="zh-CN" w:bidi="ar-SA"/>
        </w:rPr>
        <w:t>及其分园</w:t>
      </w:r>
      <w:r>
        <w:rPr>
          <w:rFonts w:hint="eastAsia" w:ascii="宋体" w:hAnsi="宋体" w:eastAsia="宋体" w:cs="宋体"/>
          <w:color w:val="auto"/>
          <w:sz w:val="21"/>
          <w:szCs w:val="21"/>
          <w:highlight w:val="none"/>
        </w:rPr>
        <w:t>物业</w:t>
      </w:r>
      <w:r>
        <w:rPr>
          <w:rFonts w:hint="eastAsia" w:ascii="宋体" w:hAnsi="宋体" w:eastAsia="宋体" w:cs="宋体"/>
          <w:color w:val="auto"/>
          <w:sz w:val="21"/>
          <w:szCs w:val="21"/>
          <w:highlight w:val="none"/>
          <w:lang w:val="en-US" w:eastAsia="zh-CN"/>
        </w:rPr>
        <w:t>管理</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项目内容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zh-CN" w:eastAsia="zh-CN"/>
        </w:rPr>
        <w:t>校园保洁</w:t>
      </w:r>
      <w:r>
        <w:rPr>
          <w:rFonts w:hint="eastAsia" w:ascii="宋体" w:hAnsi="宋体" w:eastAsia="宋体" w:cs="宋体"/>
          <w:b/>
          <w:bCs/>
          <w:color w:val="auto"/>
          <w:sz w:val="21"/>
          <w:szCs w:val="21"/>
          <w:highlight w:val="none"/>
          <w:lang w:val="en-US" w:eastAsia="zh-CN"/>
        </w:rPr>
        <w:t>绿化</w:t>
      </w:r>
      <w:r>
        <w:rPr>
          <w:rFonts w:hint="eastAsia" w:ascii="宋体" w:hAnsi="宋体" w:eastAsia="宋体" w:cs="宋体"/>
          <w:b/>
          <w:bCs/>
          <w:color w:val="auto"/>
          <w:sz w:val="21"/>
          <w:szCs w:val="21"/>
          <w:highlight w:val="none"/>
          <w:lang w:val="zh-CN" w:eastAsia="zh-CN"/>
        </w:rPr>
        <w:t>服务；</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eastAsia="zh-CN"/>
        </w:rPr>
        <w:t>校园</w:t>
      </w:r>
      <w:r>
        <w:rPr>
          <w:rFonts w:hint="eastAsia" w:ascii="宋体" w:hAnsi="宋体" w:eastAsia="宋体" w:cs="宋体"/>
          <w:b/>
          <w:bCs/>
          <w:color w:val="auto"/>
          <w:sz w:val="21"/>
          <w:szCs w:val="21"/>
          <w:highlight w:val="none"/>
          <w:lang w:val="en-US" w:eastAsia="zh-CN"/>
        </w:rPr>
        <w:t>安全保卫服务</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bidi="ar-SA"/>
        </w:rPr>
        <w:t>水电物（零星）维修服务</w:t>
      </w:r>
      <w:r>
        <w:rPr>
          <w:rFonts w:hint="eastAsia" w:ascii="宋体" w:hAnsi="宋体" w:eastAsia="宋体" w:cs="宋体"/>
          <w:b/>
          <w:bCs/>
          <w:color w:val="auto"/>
          <w:sz w:val="21"/>
          <w:szCs w:val="21"/>
          <w:highlight w:val="none"/>
          <w:lang w:val="zh-CN" w:eastAsia="zh-CN"/>
        </w:rPr>
        <w:t>。</w:t>
      </w:r>
    </w:p>
    <w:p w14:paraId="75A8EAB6">
      <w:pPr>
        <w:keepNext w:val="0"/>
        <w:keepLines w:val="0"/>
        <w:pageBreakBefore w:val="0"/>
        <w:widowControl w:val="0"/>
        <w:kinsoku/>
        <w:wordWrap/>
        <w:overflowPunct/>
        <w:topLinePunct/>
        <w:autoSpaceDE/>
        <w:autoSpaceDN/>
        <w:bidi w:val="0"/>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lang w:val="en-US" w:eastAsia="zh-CN" w:bidi="ar-SA"/>
        </w:rPr>
        <w:t>幼儿园将对本项目校园保洁绿化管理服务、安保管理服务、消杀消毒管理服务等具体服务项的服务质量进行全过程监控，如成交人日常工作不到位、不达标、或有违约现象，将依据幼儿园《校园保洁服务要求与标准》、《校园绿化服务要求与标准》、《校园安全保卫服务要求标准》、《消杀、消毒管理要求与标准》、《校园水电物（零星）维修服务要求与标准》等的管理标准内容做出相应的处理与处罚。</w:t>
      </w:r>
    </w:p>
    <w:p w14:paraId="38562E4C">
      <w:pPr>
        <w:widowControl/>
        <w:shd w:val="clear" w:color="auto" w:fill="FFFFFF"/>
        <w:spacing w:line="480" w:lineRule="auto"/>
        <w:ind w:firstLine="480"/>
        <w:rPr>
          <w:rFonts w:hint="eastAsia" w:ascii="宋体" w:hAnsi="宋体" w:eastAsia="宋体" w:cs="宋体"/>
          <w:b/>
          <w:bCs/>
          <w:color w:val="auto"/>
          <w:kern w:val="0"/>
          <w:highlight w:val="none"/>
          <w:lang w:val="en-US" w:eastAsia="zh-CN"/>
        </w:rPr>
      </w:pPr>
      <w:r>
        <w:rPr>
          <w:rFonts w:hint="eastAsia" w:ascii="宋体" w:hAnsi="宋体" w:eastAsia="宋体" w:cs="宋体"/>
          <w:b/>
          <w:bCs/>
          <w:color w:val="auto"/>
          <w:kern w:val="0"/>
          <w:highlight w:val="none"/>
          <w:lang w:val="en-US" w:eastAsia="zh-CN"/>
        </w:rPr>
        <w:t>二、服务形式</w:t>
      </w:r>
    </w:p>
    <w:p w14:paraId="2E735DE1">
      <w:pPr>
        <w:widowControl/>
        <w:shd w:val="clear" w:color="auto" w:fill="FFFFFF"/>
        <w:spacing w:line="480" w:lineRule="auto"/>
        <w:ind w:firstLine="480"/>
        <w:rPr>
          <w:rFonts w:hint="eastAsia" w:ascii="宋体" w:hAnsi="宋体" w:eastAsia="宋体" w:cs="宋体"/>
          <w:color w:val="auto"/>
          <w:spacing w:val="-2"/>
          <w:kern w:val="2"/>
          <w:sz w:val="21"/>
          <w:szCs w:val="21"/>
          <w:highlight w:val="none"/>
          <w:lang w:val="en-US" w:eastAsia="zh-CN" w:bidi="ar-SA"/>
        </w:rPr>
      </w:pPr>
      <w:r>
        <w:rPr>
          <w:rFonts w:hint="eastAsia" w:ascii="宋体" w:hAnsi="宋体" w:cs="宋体"/>
          <w:color w:val="auto"/>
          <w:spacing w:val="-2"/>
          <w:kern w:val="2"/>
          <w:sz w:val="21"/>
          <w:szCs w:val="21"/>
          <w:highlight w:val="none"/>
          <w:lang w:val="en-US" w:eastAsia="zh-CN" w:bidi="ar-SA"/>
        </w:rPr>
        <w:t>成交</w:t>
      </w:r>
      <w:r>
        <w:rPr>
          <w:rFonts w:hint="eastAsia" w:ascii="宋体" w:hAnsi="宋体" w:eastAsia="宋体" w:cs="宋体"/>
          <w:color w:val="auto"/>
          <w:spacing w:val="-2"/>
          <w:kern w:val="2"/>
          <w:sz w:val="21"/>
          <w:szCs w:val="21"/>
          <w:highlight w:val="none"/>
          <w:lang w:val="en-US" w:eastAsia="zh-CN" w:bidi="ar-SA"/>
        </w:rPr>
        <w:t>方需派驻专业团队，全面负责本单位办公区“六位一体”物业管理服务。建立完善物业管理各项制度、工作流程和工作计划，在业务上接受采购单位的监督和检查，服从本单位对物业管理服务工作的统筹部署。</w:t>
      </w:r>
    </w:p>
    <w:p w14:paraId="736C7054">
      <w:pPr>
        <w:pStyle w:val="43"/>
        <w:ind w:firstLine="416"/>
        <w:rPr>
          <w:rFonts w:hint="eastAsia" w:ascii="宋体" w:hAnsi="宋体" w:eastAsia="宋体" w:cs="宋体"/>
          <w:b/>
          <w:bCs/>
          <w:color w:val="auto"/>
          <w:spacing w:val="-1"/>
          <w:szCs w:val="21"/>
          <w:highlight w:val="none"/>
        </w:rPr>
      </w:pPr>
      <w:r>
        <w:rPr>
          <w:rFonts w:hint="eastAsia" w:ascii="宋体" w:hAnsi="宋体" w:eastAsia="宋体" w:cs="宋体"/>
          <w:b/>
          <w:bCs/>
          <w:color w:val="auto"/>
          <w:spacing w:val="-1"/>
          <w:szCs w:val="21"/>
          <w:highlight w:val="none"/>
        </w:rPr>
        <w:t>三、服务内容、要求和标准</w:t>
      </w:r>
    </w:p>
    <w:p w14:paraId="6A2FF0B7">
      <w:pPr>
        <w:pStyle w:val="43"/>
        <w:keepNext w:val="0"/>
        <w:keepLines w:val="0"/>
        <w:pageBreakBefore w:val="0"/>
        <w:widowControl w:val="0"/>
        <w:kinsoku/>
        <w:wordWrap/>
        <w:overflowPunct/>
        <w:topLinePunct w:val="0"/>
        <w:autoSpaceDE/>
        <w:autoSpaceDN/>
        <w:bidi w:val="0"/>
        <w:spacing w:line="240" w:lineRule="auto"/>
        <w:ind w:firstLine="416"/>
        <w:rPr>
          <w:rFonts w:hint="eastAsia" w:ascii="宋体" w:hAnsi="宋体" w:eastAsia="宋体" w:cs="宋体"/>
          <w:b/>
          <w:bCs/>
          <w:color w:val="auto"/>
          <w:spacing w:val="-1"/>
          <w:szCs w:val="21"/>
          <w:highlight w:val="none"/>
        </w:rPr>
      </w:pPr>
      <w:r>
        <w:rPr>
          <w:rFonts w:hint="eastAsia" w:ascii="宋体" w:hAnsi="宋体" w:eastAsia="宋体" w:cs="宋体"/>
          <w:b/>
          <w:bCs/>
          <w:color w:val="auto"/>
          <w:spacing w:val="-1"/>
          <w:szCs w:val="21"/>
          <w:highlight w:val="none"/>
        </w:rPr>
        <w:t>（一）</w:t>
      </w:r>
      <w:r>
        <w:rPr>
          <w:rFonts w:hint="eastAsia" w:ascii="宋体" w:hAnsi="宋体" w:eastAsia="宋体" w:cs="宋体"/>
          <w:b/>
          <w:bCs/>
          <w:color w:val="auto"/>
          <w:spacing w:val="-1"/>
          <w:szCs w:val="21"/>
          <w:highlight w:val="none"/>
          <w:lang w:val="en-US" w:eastAsia="zh-CN"/>
        </w:rPr>
        <w:t>校园保洁绿化</w:t>
      </w:r>
      <w:r>
        <w:rPr>
          <w:rFonts w:hint="eastAsia" w:ascii="宋体" w:hAnsi="宋体" w:eastAsia="宋体" w:cs="宋体"/>
          <w:b/>
          <w:bCs/>
          <w:color w:val="auto"/>
          <w:spacing w:val="-1"/>
          <w:szCs w:val="21"/>
          <w:highlight w:val="none"/>
        </w:rPr>
        <w:t>服务</w:t>
      </w:r>
    </w:p>
    <w:p w14:paraId="55F5C877">
      <w:pPr>
        <w:pStyle w:val="43"/>
        <w:ind w:firstLine="416"/>
        <w:rPr>
          <w:rFonts w:hint="eastAsia" w:ascii="宋体" w:hAnsi="宋体" w:eastAsia="宋体" w:cs="宋体"/>
          <w:b/>
          <w:bCs/>
          <w:color w:val="auto"/>
          <w:spacing w:val="-2"/>
          <w:kern w:val="2"/>
          <w:sz w:val="21"/>
          <w:szCs w:val="21"/>
          <w:highlight w:val="none"/>
          <w:lang w:val="en-US" w:eastAsia="zh-CN" w:bidi="ar-SA"/>
        </w:rPr>
      </w:pPr>
      <w:r>
        <w:rPr>
          <w:rFonts w:hint="eastAsia" w:ascii="宋体" w:hAnsi="宋体" w:eastAsia="宋体" w:cs="宋体"/>
          <w:b/>
          <w:bCs/>
          <w:color w:val="auto"/>
          <w:spacing w:val="-2"/>
          <w:kern w:val="2"/>
          <w:sz w:val="21"/>
          <w:szCs w:val="21"/>
          <w:highlight w:val="none"/>
          <w:lang w:val="en-US" w:eastAsia="zh-CN" w:bidi="ar-SA"/>
        </w:rPr>
        <w:t>1、服务内容</w:t>
      </w:r>
    </w:p>
    <w:p w14:paraId="30152C29">
      <w:pPr>
        <w:keepNext w:val="0"/>
        <w:keepLines w:val="0"/>
        <w:widowControl w:val="0"/>
        <w:suppressLineNumbers w:val="0"/>
        <w:spacing w:before="0" w:beforeAutospacing="0" w:after="0" w:afterAutospacing="0" w:line="560" w:lineRule="exact"/>
        <w:ind w:left="0" w:right="0" w:firstLine="420" w:firstLineChars="20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须配备一支高素质的专业的稳定的管理队伍和服务团队。管理人员要有物业管理经验，保洁、绿化及动物养护要有3年以上相关工作的工作经验，保洁、绿化</w:t>
      </w:r>
      <w:r>
        <w:rPr>
          <w:rFonts w:hint="eastAsia" w:ascii="宋体" w:hAnsi="宋体" w:eastAsia="宋体" w:cs="宋体"/>
          <w:b w:val="0"/>
          <w:strike w:val="0"/>
          <w:dstrike w:val="0"/>
          <w:color w:val="auto"/>
          <w:sz w:val="21"/>
          <w:szCs w:val="21"/>
          <w:highlight w:val="none"/>
          <w:lang w:val="en-US" w:eastAsia="zh-CN" w:bidi="ar-SA"/>
        </w:rPr>
        <w:t>及动物养护</w:t>
      </w:r>
      <w:r>
        <w:rPr>
          <w:rFonts w:hint="eastAsia" w:ascii="宋体" w:hAnsi="宋体" w:eastAsia="宋体" w:cs="宋体"/>
          <w:b w:val="0"/>
          <w:color w:val="auto"/>
          <w:sz w:val="21"/>
          <w:szCs w:val="21"/>
          <w:highlight w:val="none"/>
          <w:lang w:val="en-US" w:eastAsia="zh-CN" w:bidi="ar-SA"/>
        </w:rPr>
        <w:t>服务人员要求：男女不限，年龄55岁以下。</w:t>
      </w:r>
    </w:p>
    <w:p w14:paraId="2D080D7C">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公共场所环境卫生保洁：包括教学楼、综合楼、教学场馆和图书馆、行政办公区、托育区等楼道、过道、走廊、楼梯、电梯轿厢、门窗、扶手、护栏、公共卫生间及公共道路、教学活动场所、运动场、绿化带及路面两边公共设施（宣传栏、指路牌、招牌、垃圾桶、垃圾池周边等）等所有公共区域的卫生保洁及学校公共区域和重点场所的传染病防控保洁消杀。</w:t>
      </w:r>
    </w:p>
    <w:p w14:paraId="66B90ABF">
      <w:pPr>
        <w:keepNext w:val="0"/>
        <w:keepLines w:val="0"/>
        <w:widowControl w:val="0"/>
        <w:suppressLineNumbers w:val="0"/>
        <w:topLinePunct/>
        <w:spacing w:before="0" w:beforeAutospacing="0" w:after="0" w:afterAutospacing="0" w:line="560" w:lineRule="exact"/>
        <w:ind w:left="0" w:right="0" w:firstLine="420" w:firstLineChars="20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园林绿化养护管理。花草树木除杂草、松土、淋水、施肥、喷药除虫；草坪修剪，景观榕树、绿篱等修剪整形；树木断枝和寄生枝清理，树木涂白，每季度清除枯枝败叶等一系列养护管理。盆花的养护，甲方景点盆花的摆放、布置、管护和更换，甲方节假日盆花摆放和养护。</w:t>
      </w:r>
    </w:p>
    <w:p w14:paraId="7DF28880">
      <w:pPr>
        <w:keepNext w:val="0"/>
        <w:keepLines w:val="0"/>
        <w:widowControl w:val="0"/>
        <w:suppressLineNumbers w:val="0"/>
        <w:topLinePunct/>
        <w:spacing w:before="0" w:beforeAutospacing="0" w:after="0" w:afterAutospacing="0" w:line="560" w:lineRule="exact"/>
        <w:ind w:left="0" w:right="0" w:firstLine="420" w:firstLineChars="20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动物养护。对校园内的动物进行科学饲养和日常管理，包括但不限于动物的喂食、清洁、健康监测及疾病预防。对于动物的活动区域，要定期进行清洁消毒，确保动物生活环境的卫生与安全。同时，需关注动物的孵化、繁殖和幼崽的抚育工作，确保动物种群的健康与繁衍。在动物出现异常行为或健康问题时，应及时采取相应措施，必要时联系专业兽医进行诊疗，确保动物得到及时有效的治疗与护理。此外，还需对动物进行行为训练，使其适应校园环境，减少对师生的干扰，同时增强动物与师生的互动体验，营造和谐共生的校园环境。</w:t>
      </w:r>
    </w:p>
    <w:p w14:paraId="60099BF6">
      <w:pPr>
        <w:keepNext w:val="0"/>
        <w:keepLines w:val="0"/>
        <w:widowControl w:val="0"/>
        <w:suppressLineNumbers w:val="0"/>
        <w:spacing w:before="0" w:beforeAutospacing="0" w:after="0" w:afterAutospacing="0" w:line="560" w:lineRule="exact"/>
        <w:ind w:left="0" w:right="0" w:firstLine="316" w:firstLineChars="15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2、管理岗位需求及条件</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471"/>
        <w:gridCol w:w="3350"/>
        <w:gridCol w:w="608"/>
        <w:gridCol w:w="3129"/>
      </w:tblGrid>
      <w:tr w14:paraId="19DB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68" w:type="dxa"/>
            <w:tcBorders>
              <w:top w:val="single" w:color="000000" w:sz="4" w:space="0"/>
              <w:left w:val="single" w:color="000000" w:sz="4" w:space="0"/>
              <w:bottom w:val="single" w:color="000000" w:sz="4" w:space="0"/>
              <w:right w:val="single" w:color="000000" w:sz="4" w:space="0"/>
            </w:tcBorders>
            <w:vAlign w:val="top"/>
          </w:tcPr>
          <w:p w14:paraId="5F10FD85">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岗位名称</w:t>
            </w:r>
          </w:p>
        </w:tc>
        <w:tc>
          <w:tcPr>
            <w:tcW w:w="1471" w:type="dxa"/>
            <w:tcBorders>
              <w:top w:val="single" w:color="000000" w:sz="4" w:space="0"/>
              <w:left w:val="single" w:color="000000" w:sz="4" w:space="0"/>
              <w:bottom w:val="single" w:color="000000" w:sz="4" w:space="0"/>
              <w:right w:val="single" w:color="000000" w:sz="4" w:space="0"/>
            </w:tcBorders>
            <w:vAlign w:val="top"/>
          </w:tcPr>
          <w:p w14:paraId="78353E3E">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人数（人）</w:t>
            </w:r>
          </w:p>
        </w:tc>
        <w:tc>
          <w:tcPr>
            <w:tcW w:w="3350" w:type="dxa"/>
            <w:tcBorders>
              <w:top w:val="single" w:color="000000" w:sz="4" w:space="0"/>
              <w:left w:val="single" w:color="000000" w:sz="4" w:space="0"/>
              <w:bottom w:val="single" w:color="000000" w:sz="4" w:space="0"/>
              <w:right w:val="single" w:color="000000" w:sz="4" w:space="0"/>
            </w:tcBorders>
            <w:vAlign w:val="top"/>
          </w:tcPr>
          <w:p w14:paraId="7F99CDA9">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服务内容</w:t>
            </w:r>
          </w:p>
        </w:tc>
        <w:tc>
          <w:tcPr>
            <w:tcW w:w="3737" w:type="dxa"/>
            <w:gridSpan w:val="2"/>
            <w:tcBorders>
              <w:top w:val="single" w:color="000000" w:sz="4" w:space="0"/>
              <w:left w:val="single" w:color="000000" w:sz="4" w:space="0"/>
              <w:bottom w:val="single" w:color="000000" w:sz="4" w:space="0"/>
              <w:right w:val="single" w:color="000000" w:sz="4" w:space="0"/>
            </w:tcBorders>
            <w:vAlign w:val="top"/>
          </w:tcPr>
          <w:p w14:paraId="3D881F10">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岗位条件及工作时间</w:t>
            </w:r>
          </w:p>
        </w:tc>
      </w:tr>
      <w:tr w14:paraId="2CA8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8" w:type="dxa"/>
            <w:tcBorders>
              <w:top w:val="single" w:color="000000" w:sz="4" w:space="0"/>
              <w:left w:val="single" w:color="000000" w:sz="4" w:space="0"/>
              <w:bottom w:val="nil"/>
              <w:right w:val="single" w:color="000000" w:sz="4" w:space="0"/>
            </w:tcBorders>
            <w:vAlign w:val="top"/>
          </w:tcPr>
          <w:p w14:paraId="6732B43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物业主管</w:t>
            </w:r>
          </w:p>
        </w:tc>
        <w:tc>
          <w:tcPr>
            <w:tcW w:w="1471" w:type="dxa"/>
            <w:tcBorders>
              <w:top w:val="single" w:color="000000" w:sz="4" w:space="0"/>
              <w:left w:val="single" w:color="000000" w:sz="4" w:space="0"/>
              <w:bottom w:val="single" w:color="000000" w:sz="4" w:space="0"/>
              <w:right w:val="single" w:color="000000" w:sz="4" w:space="0"/>
            </w:tcBorders>
            <w:vAlign w:val="top"/>
          </w:tcPr>
          <w:p w14:paraId="03709CAB">
            <w:pPr>
              <w:keepNext w:val="0"/>
              <w:keepLines w:val="0"/>
              <w:widowControl w:val="0"/>
              <w:suppressLineNumbers w:val="0"/>
              <w:spacing w:before="0" w:beforeAutospacing="0" w:after="0" w:afterAutospacing="0" w:line="560" w:lineRule="exact"/>
              <w:ind w:left="0" w:right="0" w:firstLine="210" w:firstLineChars="100"/>
              <w:jc w:val="both"/>
              <w:rPr>
                <w:rFonts w:hint="eastAsia" w:ascii="宋体" w:hAnsi="宋体" w:eastAsia="宋体" w:cs="宋体"/>
                <w:b w:val="0"/>
                <w:color w:val="auto"/>
                <w:sz w:val="21"/>
                <w:szCs w:val="21"/>
                <w:highlight w:val="none"/>
                <w:lang w:val="en-US" w:eastAsia="zh-CN" w:bidi="ar-SA"/>
              </w:rPr>
            </w:pPr>
            <w:r>
              <w:rPr>
                <w:rFonts w:hint="eastAsia" w:ascii="宋体" w:hAnsi="宋体" w:cs="宋体"/>
                <w:b w:val="0"/>
                <w:color w:val="auto"/>
                <w:sz w:val="21"/>
                <w:szCs w:val="21"/>
                <w:highlight w:val="none"/>
                <w:lang w:val="en-US" w:eastAsia="zh-CN" w:bidi="ar-SA"/>
              </w:rPr>
              <w:t>不少于</w:t>
            </w:r>
            <w:r>
              <w:rPr>
                <w:rFonts w:hint="eastAsia" w:ascii="宋体" w:hAnsi="宋体" w:eastAsia="宋体" w:cs="宋体"/>
                <w:b w:val="0"/>
                <w:color w:val="auto"/>
                <w:sz w:val="21"/>
                <w:szCs w:val="21"/>
                <w:highlight w:val="none"/>
                <w:lang w:val="en-US" w:eastAsia="zh-CN" w:bidi="ar-SA"/>
              </w:rPr>
              <w:t>2人</w:t>
            </w:r>
          </w:p>
          <w:p w14:paraId="261489B1">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c>
          <w:tcPr>
            <w:tcW w:w="3350" w:type="dxa"/>
            <w:tcBorders>
              <w:top w:val="single" w:color="000000" w:sz="4" w:space="0"/>
              <w:left w:val="single" w:color="000000" w:sz="4" w:space="0"/>
              <w:bottom w:val="single" w:color="000000" w:sz="4" w:space="0"/>
              <w:right w:val="single" w:color="000000" w:sz="4" w:space="0"/>
            </w:tcBorders>
            <w:vAlign w:val="top"/>
          </w:tcPr>
          <w:p w14:paraId="1705B39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负责统筹实施物业管理工作，做好校园所有物业工作的开展并与幼儿园对接、汇报工作。</w:t>
            </w:r>
          </w:p>
        </w:tc>
        <w:tc>
          <w:tcPr>
            <w:tcW w:w="3737" w:type="dxa"/>
            <w:gridSpan w:val="2"/>
            <w:tcBorders>
              <w:top w:val="single" w:color="000000" w:sz="4" w:space="0"/>
              <w:left w:val="single" w:color="000000" w:sz="4" w:space="0"/>
              <w:bottom w:val="single" w:color="000000" w:sz="4" w:space="0"/>
              <w:right w:val="single" w:color="000000" w:sz="4" w:space="0"/>
            </w:tcBorders>
            <w:vAlign w:val="top"/>
          </w:tcPr>
          <w:p w14:paraId="7CDBDBF2">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45周岁以下，</w:t>
            </w:r>
            <w:r>
              <w:rPr>
                <w:rFonts w:hint="eastAsia" w:ascii="宋体" w:hAnsi="宋体" w:eastAsia="宋体" w:cs="宋体"/>
                <w:b/>
                <w:bCs/>
                <w:color w:val="auto"/>
                <w:sz w:val="21"/>
                <w:szCs w:val="21"/>
                <w:highlight w:val="none"/>
                <w:lang w:val="en-US" w:eastAsia="zh-CN" w:bidi="ar-SA"/>
              </w:rPr>
              <w:t>大专</w:t>
            </w:r>
            <w:r>
              <w:rPr>
                <w:rFonts w:hint="eastAsia" w:ascii="宋体" w:hAnsi="宋体" w:cs="宋体"/>
                <w:b/>
                <w:bCs/>
                <w:color w:val="auto"/>
                <w:sz w:val="21"/>
                <w:szCs w:val="21"/>
                <w:highlight w:val="none"/>
                <w:lang w:val="en-US" w:eastAsia="zh-CN" w:bidi="ar-SA"/>
              </w:rPr>
              <w:t>及以上</w:t>
            </w:r>
            <w:r>
              <w:rPr>
                <w:rFonts w:hint="eastAsia" w:ascii="宋体" w:hAnsi="宋体" w:eastAsia="宋体" w:cs="宋体"/>
                <w:b/>
                <w:bCs/>
                <w:color w:val="auto"/>
                <w:sz w:val="21"/>
                <w:szCs w:val="21"/>
                <w:highlight w:val="none"/>
                <w:lang w:val="en-US" w:eastAsia="zh-CN" w:bidi="ar-SA"/>
              </w:rPr>
              <w:t>学历</w:t>
            </w:r>
            <w:r>
              <w:rPr>
                <w:rFonts w:hint="eastAsia" w:ascii="宋体" w:hAnsi="宋体" w:eastAsia="宋体" w:cs="宋体"/>
                <w:b w:val="0"/>
                <w:color w:val="auto"/>
                <w:sz w:val="21"/>
                <w:szCs w:val="21"/>
                <w:highlight w:val="none"/>
                <w:lang w:val="en-US" w:eastAsia="zh-CN" w:bidi="ar-SA"/>
              </w:rPr>
              <w:t>，经过消防专业培训，并持有应急管理部门颁发的</w:t>
            </w:r>
            <w:r>
              <w:rPr>
                <w:rFonts w:hint="eastAsia" w:ascii="宋体" w:hAnsi="宋体" w:eastAsia="宋体" w:cs="宋体"/>
                <w:b/>
                <w:bCs/>
                <w:color w:val="auto"/>
                <w:sz w:val="21"/>
                <w:szCs w:val="21"/>
                <w:highlight w:val="none"/>
                <w:lang w:val="en-US" w:eastAsia="zh-CN" w:bidi="ar-SA"/>
              </w:rPr>
              <w:t>中级消防设施操作员证书</w:t>
            </w:r>
            <w:r>
              <w:rPr>
                <w:rFonts w:hint="eastAsia" w:ascii="宋体" w:hAnsi="宋体" w:eastAsia="宋体" w:cs="宋体"/>
                <w:b w:val="0"/>
                <w:color w:val="auto"/>
                <w:sz w:val="21"/>
                <w:szCs w:val="21"/>
                <w:highlight w:val="none"/>
                <w:lang w:val="en-US" w:eastAsia="zh-CN" w:bidi="ar-SA"/>
              </w:rPr>
              <w:t>。较强的沟通协调能力和执行能力，工作责任心强、服务态度好，品行端正，身心健康，在本投标公司从事物业管理工作3年以上。</w:t>
            </w:r>
          </w:p>
          <w:p w14:paraId="74BFB336">
            <w:pPr>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行政班，24小时电话值班（须提供身份证、学历、相关证书复印件）</w:t>
            </w:r>
          </w:p>
          <w:p w14:paraId="728A9369">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val="0"/>
                <w:color w:val="auto"/>
                <w:sz w:val="21"/>
                <w:szCs w:val="21"/>
                <w:highlight w:val="none"/>
                <w:lang w:val="en-US" w:eastAsia="zh-CN" w:bidi="ar-SA"/>
              </w:rPr>
            </w:pPr>
          </w:p>
        </w:tc>
      </w:tr>
      <w:tr w14:paraId="38F2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Borders>
              <w:top w:val="single" w:color="000000" w:sz="4" w:space="0"/>
              <w:left w:val="single" w:color="000000" w:sz="4" w:space="0"/>
              <w:bottom w:val="single" w:color="000000" w:sz="4" w:space="0"/>
              <w:right w:val="single" w:color="000000" w:sz="4" w:space="0"/>
            </w:tcBorders>
            <w:vAlign w:val="top"/>
          </w:tcPr>
          <w:p w14:paraId="05285E5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小计</w:t>
            </w:r>
          </w:p>
        </w:tc>
        <w:tc>
          <w:tcPr>
            <w:tcW w:w="1471" w:type="dxa"/>
            <w:tcBorders>
              <w:top w:val="single" w:color="000000" w:sz="4" w:space="0"/>
              <w:left w:val="single" w:color="000000" w:sz="4" w:space="0"/>
              <w:bottom w:val="single" w:color="000000" w:sz="4" w:space="0"/>
              <w:right w:val="single" w:color="000000" w:sz="4" w:space="0"/>
            </w:tcBorders>
            <w:vAlign w:val="top"/>
          </w:tcPr>
          <w:p w14:paraId="7C29323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cs="宋体"/>
                <w:b w:val="0"/>
                <w:color w:val="auto"/>
                <w:sz w:val="21"/>
                <w:szCs w:val="21"/>
                <w:highlight w:val="none"/>
                <w:lang w:val="en-US" w:eastAsia="zh-CN" w:bidi="ar-SA"/>
              </w:rPr>
              <w:t>不少于</w:t>
            </w:r>
            <w:r>
              <w:rPr>
                <w:rFonts w:hint="eastAsia" w:ascii="宋体" w:hAnsi="宋体" w:eastAsia="宋体" w:cs="宋体"/>
                <w:b w:val="0"/>
                <w:color w:val="auto"/>
                <w:sz w:val="21"/>
                <w:szCs w:val="21"/>
                <w:highlight w:val="none"/>
                <w:lang w:val="en-US" w:eastAsia="zh-CN" w:bidi="ar-SA"/>
              </w:rPr>
              <w:t>2</w:t>
            </w:r>
            <w:r>
              <w:rPr>
                <w:rFonts w:hint="eastAsia" w:ascii="宋体" w:hAnsi="宋体" w:cs="宋体"/>
                <w:b w:val="0"/>
                <w:color w:val="auto"/>
                <w:sz w:val="21"/>
                <w:szCs w:val="21"/>
                <w:highlight w:val="none"/>
                <w:lang w:val="en-US" w:eastAsia="zh-CN" w:bidi="ar-SA"/>
              </w:rPr>
              <w:t>人</w:t>
            </w:r>
          </w:p>
        </w:tc>
        <w:tc>
          <w:tcPr>
            <w:tcW w:w="3350" w:type="dxa"/>
            <w:tcBorders>
              <w:top w:val="single" w:color="000000" w:sz="4" w:space="0"/>
              <w:left w:val="single" w:color="000000" w:sz="4" w:space="0"/>
              <w:bottom w:val="single" w:color="000000" w:sz="4" w:space="0"/>
              <w:right w:val="single" w:color="000000" w:sz="4" w:space="0"/>
            </w:tcBorders>
            <w:vAlign w:val="top"/>
          </w:tcPr>
          <w:p w14:paraId="312E2B7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c>
          <w:tcPr>
            <w:tcW w:w="3737" w:type="dxa"/>
            <w:gridSpan w:val="2"/>
            <w:tcBorders>
              <w:top w:val="single" w:color="000000" w:sz="4" w:space="0"/>
              <w:left w:val="single" w:color="000000" w:sz="4" w:space="0"/>
              <w:bottom w:val="single" w:color="000000" w:sz="4" w:space="0"/>
              <w:right w:val="single" w:color="000000" w:sz="4" w:space="0"/>
            </w:tcBorders>
            <w:vAlign w:val="top"/>
          </w:tcPr>
          <w:p w14:paraId="644140C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r>
      <w:tr w14:paraId="4832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26" w:type="dxa"/>
            <w:gridSpan w:val="5"/>
            <w:tcBorders>
              <w:top w:val="single" w:color="000000" w:sz="4" w:space="0"/>
              <w:left w:val="nil"/>
              <w:bottom w:val="single" w:color="000000" w:sz="4" w:space="0"/>
              <w:right w:val="nil"/>
            </w:tcBorders>
            <w:vAlign w:val="top"/>
          </w:tcPr>
          <w:p w14:paraId="6EA7DBD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p w14:paraId="7BA86F1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bCs/>
                <w:color w:val="auto"/>
                <w:sz w:val="21"/>
                <w:szCs w:val="21"/>
                <w:highlight w:val="none"/>
                <w:lang w:val="en-US" w:eastAsia="zh-CN" w:bidi="ar-SA"/>
              </w:rPr>
            </w:pPr>
          </w:p>
          <w:p w14:paraId="58A7DC0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3、校园保洁绿化岗位需求及条件</w:t>
            </w:r>
          </w:p>
        </w:tc>
      </w:tr>
      <w:tr w14:paraId="7A7D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Borders>
              <w:top w:val="single" w:color="000000" w:sz="4" w:space="0"/>
              <w:left w:val="single" w:color="000000" w:sz="4" w:space="0"/>
              <w:bottom w:val="single" w:color="000000" w:sz="4" w:space="0"/>
              <w:right w:val="single" w:color="000000" w:sz="4" w:space="0"/>
            </w:tcBorders>
            <w:vAlign w:val="top"/>
          </w:tcPr>
          <w:p w14:paraId="57E77EAC">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岗位名称</w:t>
            </w:r>
          </w:p>
        </w:tc>
        <w:tc>
          <w:tcPr>
            <w:tcW w:w="1471" w:type="dxa"/>
            <w:tcBorders>
              <w:top w:val="single" w:color="000000" w:sz="4" w:space="0"/>
              <w:left w:val="single" w:color="000000" w:sz="4" w:space="0"/>
              <w:bottom w:val="single" w:color="000000" w:sz="4" w:space="0"/>
              <w:right w:val="single" w:color="000000" w:sz="4" w:space="0"/>
            </w:tcBorders>
            <w:vAlign w:val="top"/>
          </w:tcPr>
          <w:p w14:paraId="311A5E37">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人数（人）</w:t>
            </w:r>
          </w:p>
        </w:tc>
        <w:tc>
          <w:tcPr>
            <w:tcW w:w="3958" w:type="dxa"/>
            <w:gridSpan w:val="2"/>
            <w:tcBorders>
              <w:top w:val="single" w:color="000000" w:sz="4" w:space="0"/>
              <w:left w:val="single" w:color="000000" w:sz="4" w:space="0"/>
              <w:bottom w:val="single" w:color="000000" w:sz="4" w:space="0"/>
              <w:right w:val="single" w:color="000000" w:sz="4" w:space="0"/>
            </w:tcBorders>
            <w:vAlign w:val="top"/>
          </w:tcPr>
          <w:p w14:paraId="1ADE7D6D">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服务内容</w:t>
            </w:r>
          </w:p>
        </w:tc>
        <w:tc>
          <w:tcPr>
            <w:tcW w:w="3129" w:type="dxa"/>
            <w:tcBorders>
              <w:top w:val="single" w:color="000000" w:sz="4" w:space="0"/>
              <w:left w:val="single" w:color="000000" w:sz="4" w:space="0"/>
              <w:bottom w:val="single" w:color="000000" w:sz="4" w:space="0"/>
              <w:right w:val="single" w:color="000000" w:sz="4" w:space="0"/>
            </w:tcBorders>
            <w:vAlign w:val="top"/>
          </w:tcPr>
          <w:p w14:paraId="0E5495D9">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岗位条件及工作时间</w:t>
            </w:r>
          </w:p>
        </w:tc>
      </w:tr>
      <w:tr w14:paraId="5D18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1068" w:type="dxa"/>
            <w:tcBorders>
              <w:top w:val="single" w:color="000000" w:sz="4" w:space="0"/>
              <w:left w:val="single" w:color="000000" w:sz="4" w:space="0"/>
              <w:bottom w:val="single" w:color="000000" w:sz="4" w:space="0"/>
              <w:right w:val="single" w:color="000000" w:sz="4" w:space="0"/>
            </w:tcBorders>
            <w:vAlign w:val="top"/>
          </w:tcPr>
          <w:p w14:paraId="2BE5E0D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保洁员</w:t>
            </w:r>
          </w:p>
        </w:tc>
        <w:tc>
          <w:tcPr>
            <w:tcW w:w="1471" w:type="dxa"/>
            <w:tcBorders>
              <w:top w:val="single" w:color="000000" w:sz="4" w:space="0"/>
              <w:left w:val="single" w:color="000000" w:sz="4" w:space="0"/>
              <w:bottom w:val="single" w:color="000000" w:sz="4" w:space="0"/>
              <w:right w:val="single" w:color="000000" w:sz="4" w:space="0"/>
            </w:tcBorders>
            <w:vAlign w:val="top"/>
          </w:tcPr>
          <w:p w14:paraId="23E4114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不少于7人</w:t>
            </w:r>
          </w:p>
          <w:p w14:paraId="760369BC">
            <w:pPr>
              <w:pStyle w:val="18"/>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b w:val="0"/>
                <w:color w:val="auto"/>
                <w:sz w:val="21"/>
                <w:szCs w:val="21"/>
                <w:highlight w:val="none"/>
                <w:lang w:val="en-US" w:eastAsia="zh-CN" w:bidi="ar-SA"/>
              </w:rPr>
            </w:pPr>
          </w:p>
        </w:tc>
        <w:tc>
          <w:tcPr>
            <w:tcW w:w="3958" w:type="dxa"/>
            <w:gridSpan w:val="2"/>
            <w:tcBorders>
              <w:top w:val="single" w:color="000000" w:sz="4" w:space="0"/>
              <w:left w:val="single" w:color="000000" w:sz="4" w:space="0"/>
              <w:bottom w:val="single" w:color="000000" w:sz="4" w:space="0"/>
              <w:right w:val="single" w:color="000000" w:sz="4" w:space="0"/>
            </w:tcBorders>
            <w:vAlign w:val="top"/>
          </w:tcPr>
          <w:p w14:paraId="0F8FD50A">
            <w:pPr>
              <w:keepNext w:val="0"/>
              <w:keepLines w:val="0"/>
              <w:widowControl w:val="0"/>
              <w:suppressLineNumbers w:val="0"/>
              <w:spacing w:before="0" w:beforeAutospacing="0" w:after="0" w:afterAutospacing="0" w:line="560" w:lineRule="exact"/>
              <w:ind w:left="0" w:right="0" w:firstLine="210" w:firstLineChars="1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1.园所办公区、及公共区域等地面、天面、楼梯、电梯、轿厢、扶手、护栏及卫生间保洁、垃圾分类处理、清运；</w:t>
            </w:r>
          </w:p>
          <w:p w14:paraId="3A733FF2">
            <w:pPr>
              <w:keepNext w:val="0"/>
              <w:keepLines w:val="0"/>
              <w:widowControl w:val="0"/>
              <w:suppressLineNumbers w:val="0"/>
              <w:spacing w:before="0" w:beforeAutospacing="0" w:after="0" w:afterAutospacing="0" w:line="560" w:lineRule="exact"/>
              <w:ind w:left="0" w:right="0" w:firstLine="315" w:firstLineChars="15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2.教学活动区域内（各种教学活动场馆和户外活动场地）地面、花园、宣传栏、水沟、道路、鱼池等保洁、垃圾分类处理、清运；</w:t>
            </w:r>
          </w:p>
          <w:p w14:paraId="3927AA83">
            <w:pPr>
              <w:keepNext w:val="0"/>
              <w:keepLines w:val="0"/>
              <w:widowControl w:val="0"/>
              <w:suppressLineNumbers w:val="0"/>
              <w:spacing w:before="0" w:beforeAutospacing="0" w:after="0" w:afterAutospacing="0" w:line="560" w:lineRule="exact"/>
              <w:ind w:left="0" w:right="0" w:firstLine="315" w:firstLineChars="15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3.校园围墙周边临街道路、墙面、护栏保洁，垃圾分类处理、清运；</w:t>
            </w:r>
          </w:p>
          <w:p w14:paraId="7CDDCBFC">
            <w:pPr>
              <w:keepNext w:val="0"/>
              <w:keepLines w:val="0"/>
              <w:widowControl w:val="0"/>
              <w:suppressLineNumbers w:val="0"/>
              <w:spacing w:before="0" w:beforeAutospacing="0" w:after="0" w:afterAutospacing="0" w:line="560" w:lineRule="exact"/>
              <w:ind w:left="0" w:right="0" w:firstLine="315" w:firstLineChars="15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4.门卫室、监控室、值班室、毛巾消毒间保洁，垃圾分类处理、清运；</w:t>
            </w:r>
          </w:p>
          <w:p w14:paraId="17CAD9E0">
            <w:pPr>
              <w:pStyle w:val="18"/>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5.日常校园消杀、传染病防控等保洁消杀；</w:t>
            </w:r>
          </w:p>
          <w:p w14:paraId="085947C3">
            <w:pPr>
              <w:pStyle w:val="18"/>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6.班级幼儿毛巾清洗、消毒、折叠整理，24小时值班室卧具、教室、寝室、办公区域等窗帘的清洗等。</w:t>
            </w:r>
          </w:p>
        </w:tc>
        <w:tc>
          <w:tcPr>
            <w:tcW w:w="3129" w:type="dxa"/>
            <w:tcBorders>
              <w:top w:val="single" w:color="000000" w:sz="4" w:space="0"/>
              <w:left w:val="single" w:color="000000" w:sz="4" w:space="0"/>
              <w:bottom w:val="single" w:color="auto" w:sz="4" w:space="0"/>
              <w:right w:val="single" w:color="000000" w:sz="4" w:space="0"/>
            </w:tcBorders>
            <w:vAlign w:val="top"/>
          </w:tcPr>
          <w:p w14:paraId="36FE0B46">
            <w:pPr>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1.其中设立一名保洁领班，年龄50岁（含）以下，大专及以上学历，熟悉物业保洁工作，工作责任心强、服务态度好，品行端正，身体健康，符合岗位及其他要求。（须提供身份证、学历、相关证书复印件）</w:t>
            </w:r>
          </w:p>
          <w:p w14:paraId="612C5CB2">
            <w:pPr>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1"/>
                <w:szCs w:val="21"/>
                <w:highlight w:val="none"/>
                <w:lang w:val="en-US" w:eastAsia="zh-CN" w:bidi="ar-SA"/>
              </w:rPr>
            </w:pPr>
          </w:p>
          <w:p w14:paraId="4127318F">
            <w:pPr>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2.其余人员年龄在55岁（含）以下，身体健康，符合岗位及其他要求。</w:t>
            </w:r>
          </w:p>
          <w:p w14:paraId="3B2AC80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r>
      <w:tr w14:paraId="2086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8" w:type="dxa"/>
            <w:tcBorders>
              <w:top w:val="single" w:color="000000" w:sz="4" w:space="0"/>
              <w:left w:val="single" w:color="000000" w:sz="4" w:space="0"/>
              <w:bottom w:val="single" w:color="000000" w:sz="4" w:space="0"/>
              <w:right w:val="single" w:color="000000" w:sz="4" w:space="0"/>
            </w:tcBorders>
            <w:vAlign w:val="top"/>
          </w:tcPr>
          <w:p w14:paraId="103A854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绿化、动物养护员</w:t>
            </w:r>
          </w:p>
        </w:tc>
        <w:tc>
          <w:tcPr>
            <w:tcW w:w="1471" w:type="dxa"/>
            <w:tcBorders>
              <w:top w:val="single" w:color="000000" w:sz="4" w:space="0"/>
              <w:left w:val="single" w:color="000000" w:sz="4" w:space="0"/>
              <w:bottom w:val="single" w:color="000000" w:sz="4" w:space="0"/>
              <w:right w:val="single" w:color="000000" w:sz="4" w:space="0"/>
            </w:tcBorders>
            <w:vAlign w:val="top"/>
          </w:tcPr>
          <w:p w14:paraId="3C302386">
            <w:pPr>
              <w:keepNext w:val="0"/>
              <w:keepLines w:val="0"/>
              <w:widowControl w:val="0"/>
              <w:suppressLineNumbers w:val="0"/>
              <w:spacing w:before="0" w:beforeAutospacing="0" w:after="0" w:afterAutospacing="0" w:line="560" w:lineRule="exact"/>
              <w:ind w:left="0" w:right="0" w:firstLine="210" w:firstLineChars="100"/>
              <w:jc w:val="both"/>
              <w:rPr>
                <w:rFonts w:hint="eastAsia" w:ascii="宋体" w:hAnsi="宋体" w:eastAsia="宋体" w:cs="宋体"/>
                <w:b w:val="0"/>
                <w:color w:val="auto"/>
                <w:sz w:val="21"/>
                <w:szCs w:val="21"/>
                <w:highlight w:val="none"/>
                <w:lang w:val="en-US" w:eastAsia="zh-CN" w:bidi="ar-SA"/>
              </w:rPr>
            </w:pPr>
            <w:r>
              <w:rPr>
                <w:rFonts w:hint="eastAsia" w:ascii="宋体" w:hAnsi="宋体" w:cs="宋体"/>
                <w:b w:val="0"/>
                <w:color w:val="auto"/>
                <w:sz w:val="21"/>
                <w:szCs w:val="21"/>
                <w:highlight w:val="none"/>
                <w:lang w:val="en-US" w:eastAsia="zh-CN" w:bidi="ar-SA"/>
              </w:rPr>
              <w:t>不少于</w:t>
            </w:r>
            <w:r>
              <w:rPr>
                <w:rFonts w:hint="eastAsia" w:ascii="宋体" w:hAnsi="宋体" w:eastAsia="宋体" w:cs="宋体"/>
                <w:b w:val="0"/>
                <w:color w:val="auto"/>
                <w:sz w:val="21"/>
                <w:szCs w:val="21"/>
                <w:highlight w:val="none"/>
                <w:lang w:val="en-US" w:eastAsia="zh-CN" w:bidi="ar-SA"/>
              </w:rPr>
              <w:t>2人</w:t>
            </w:r>
          </w:p>
          <w:p w14:paraId="75EC7B5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c>
          <w:tcPr>
            <w:tcW w:w="3958" w:type="dxa"/>
            <w:gridSpan w:val="2"/>
            <w:tcBorders>
              <w:top w:val="single" w:color="000000" w:sz="4" w:space="0"/>
              <w:left w:val="single" w:color="000000" w:sz="4" w:space="0"/>
              <w:bottom w:val="single" w:color="000000" w:sz="4" w:space="0"/>
              <w:right w:val="single" w:color="000000" w:sz="4" w:space="0"/>
            </w:tcBorders>
            <w:vAlign w:val="top"/>
          </w:tcPr>
          <w:p w14:paraId="53A5F04A">
            <w:pPr>
              <w:pStyle w:val="18"/>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绿化、动物养护员主要负责校园动植物养护,根据季节负责校园内动物笼舍的清洁与消毒，确保动物的健康生活环境。对于季节性花卉的种植与更换，绿化、动物养护员还需根据校园美化需求进行合理安排，使校园四季常青，花香四溢。此外，还需定期巡查园内的绿化区域，及时发现并解决植物生长中的问题，如病虫害、营养不良等，确保校园绿化工作的顺利进行。</w:t>
            </w:r>
          </w:p>
        </w:tc>
        <w:tc>
          <w:tcPr>
            <w:tcW w:w="3129" w:type="dxa"/>
            <w:tcBorders>
              <w:top w:val="single" w:color="auto" w:sz="4" w:space="0"/>
              <w:left w:val="single" w:color="000000" w:sz="4" w:space="0"/>
              <w:bottom w:val="single" w:color="000000" w:sz="4" w:space="0"/>
              <w:right w:val="single" w:color="000000" w:sz="4" w:space="0"/>
            </w:tcBorders>
            <w:vAlign w:val="top"/>
          </w:tcPr>
          <w:p w14:paraId="5771DEE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要求年龄50岁以下，大专及以上学历，具备绿化技能，工作责任心强、服务态度好，品行端正，身体健康，符合岗位及其他要求。（须提供身份证、学历、相关证书复印件）</w:t>
            </w:r>
          </w:p>
        </w:tc>
      </w:tr>
      <w:tr w14:paraId="5B40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 w:type="dxa"/>
            <w:tcBorders>
              <w:top w:val="single" w:color="000000" w:sz="4" w:space="0"/>
              <w:left w:val="single" w:color="000000" w:sz="4" w:space="0"/>
              <w:bottom w:val="single" w:color="000000" w:sz="4" w:space="0"/>
              <w:right w:val="single" w:color="000000" w:sz="4" w:space="0"/>
            </w:tcBorders>
            <w:vAlign w:val="top"/>
          </w:tcPr>
          <w:p w14:paraId="5877873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小计</w:t>
            </w:r>
          </w:p>
        </w:tc>
        <w:tc>
          <w:tcPr>
            <w:tcW w:w="1471" w:type="dxa"/>
            <w:tcBorders>
              <w:top w:val="single" w:color="000000" w:sz="4" w:space="0"/>
              <w:left w:val="single" w:color="000000" w:sz="4" w:space="0"/>
              <w:bottom w:val="single" w:color="000000" w:sz="4" w:space="0"/>
              <w:right w:val="single" w:color="000000" w:sz="4" w:space="0"/>
            </w:tcBorders>
            <w:vAlign w:val="top"/>
          </w:tcPr>
          <w:p w14:paraId="6E51CE1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不少于9人</w:t>
            </w:r>
          </w:p>
        </w:tc>
        <w:tc>
          <w:tcPr>
            <w:tcW w:w="3958" w:type="dxa"/>
            <w:gridSpan w:val="2"/>
            <w:tcBorders>
              <w:top w:val="single" w:color="000000" w:sz="4" w:space="0"/>
              <w:left w:val="single" w:color="000000" w:sz="4" w:space="0"/>
              <w:bottom w:val="single" w:color="000000" w:sz="4" w:space="0"/>
              <w:right w:val="single" w:color="000000" w:sz="4" w:space="0"/>
            </w:tcBorders>
            <w:vAlign w:val="top"/>
          </w:tcPr>
          <w:p w14:paraId="29452AB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c>
          <w:tcPr>
            <w:tcW w:w="3129" w:type="dxa"/>
            <w:tcBorders>
              <w:top w:val="single" w:color="000000" w:sz="4" w:space="0"/>
              <w:left w:val="single" w:color="000000" w:sz="4" w:space="0"/>
              <w:bottom w:val="single" w:color="000000" w:sz="4" w:space="0"/>
              <w:right w:val="single" w:color="000000" w:sz="4" w:space="0"/>
            </w:tcBorders>
            <w:vAlign w:val="top"/>
          </w:tcPr>
          <w:p w14:paraId="6D32771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r>
    </w:tbl>
    <w:p w14:paraId="2F684B96">
      <w:pPr>
        <w:keepNext w:val="0"/>
        <w:keepLines w:val="0"/>
        <w:widowControl w:val="0"/>
        <w:suppressLineNumbers w:val="0"/>
        <w:spacing w:before="120" w:beforeAutospacing="0" w:after="120" w:afterAutospacing="0" w:line="560" w:lineRule="exact"/>
        <w:ind w:left="0" w:right="0" w:firstLine="413" w:firstLineChars="196"/>
        <w:jc w:val="left"/>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4、校园保洁服务要求与标准</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4"/>
        <w:gridCol w:w="1260"/>
        <w:gridCol w:w="3908"/>
        <w:gridCol w:w="3490"/>
      </w:tblGrid>
      <w:tr w14:paraId="21EAC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vAlign w:val="top"/>
          </w:tcPr>
          <w:p w14:paraId="2BD68D11">
            <w:pPr>
              <w:keepNext w:val="0"/>
              <w:keepLines w:val="0"/>
              <w:widowControl w:val="0"/>
              <w:suppressLineNumbers w:val="0"/>
              <w:spacing w:before="0" w:beforeAutospacing="0" w:after="0" w:afterAutospacing="0" w:line="560" w:lineRule="exact"/>
              <w:ind w:left="-141" w:leftChars="-67" w:right="-46" w:rightChars="-22"/>
              <w:jc w:val="center"/>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序号</w:t>
            </w:r>
          </w:p>
        </w:tc>
        <w:tc>
          <w:tcPr>
            <w:tcW w:w="1260" w:type="dxa"/>
            <w:tcBorders>
              <w:top w:val="single" w:color="auto" w:sz="4" w:space="0"/>
              <w:left w:val="single" w:color="auto" w:sz="4" w:space="0"/>
              <w:bottom w:val="single" w:color="auto" w:sz="4" w:space="0"/>
              <w:right w:val="single" w:color="auto" w:sz="4" w:space="0"/>
            </w:tcBorders>
            <w:vAlign w:val="top"/>
          </w:tcPr>
          <w:p w14:paraId="67613AB8">
            <w:pPr>
              <w:keepNext w:val="0"/>
              <w:keepLines w:val="0"/>
              <w:widowControl w:val="0"/>
              <w:suppressLineNumbers w:val="0"/>
              <w:spacing w:before="0" w:beforeAutospacing="0" w:after="0" w:afterAutospacing="0" w:line="560" w:lineRule="exact"/>
              <w:ind w:left="0" w:right="-46" w:rightChars="-22"/>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en-US" w:bidi="ar-SA"/>
              </w:rPr>
              <w:t>服务</w:t>
            </w:r>
            <w:r>
              <w:rPr>
                <w:rFonts w:hint="eastAsia" w:ascii="宋体" w:hAnsi="宋体" w:eastAsia="宋体" w:cs="宋体"/>
                <w:b w:val="0"/>
                <w:color w:val="auto"/>
                <w:sz w:val="21"/>
                <w:szCs w:val="21"/>
                <w:highlight w:val="none"/>
                <w:lang w:val="en-US" w:eastAsia="zh-CN" w:bidi="ar-SA"/>
              </w:rPr>
              <w:t>项目</w:t>
            </w:r>
          </w:p>
        </w:tc>
        <w:tc>
          <w:tcPr>
            <w:tcW w:w="3908" w:type="dxa"/>
            <w:tcBorders>
              <w:top w:val="single" w:color="auto" w:sz="4" w:space="0"/>
              <w:left w:val="single" w:color="auto" w:sz="4" w:space="0"/>
              <w:bottom w:val="single" w:color="auto" w:sz="4" w:space="0"/>
              <w:right w:val="single" w:color="auto" w:sz="4" w:space="0"/>
            </w:tcBorders>
            <w:vAlign w:val="top"/>
          </w:tcPr>
          <w:p w14:paraId="5D4B1F91">
            <w:pPr>
              <w:keepNext w:val="0"/>
              <w:keepLines w:val="0"/>
              <w:widowControl w:val="0"/>
              <w:suppressLineNumbers w:val="0"/>
              <w:spacing w:before="0" w:beforeAutospacing="0" w:after="0" w:afterAutospacing="0" w:line="560" w:lineRule="exact"/>
              <w:ind w:left="0" w:right="-46" w:rightChars="-22"/>
              <w:jc w:val="center"/>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服务要求</w:t>
            </w:r>
          </w:p>
        </w:tc>
        <w:tc>
          <w:tcPr>
            <w:tcW w:w="3490" w:type="dxa"/>
            <w:tcBorders>
              <w:top w:val="single" w:color="auto" w:sz="4" w:space="0"/>
              <w:left w:val="single" w:color="auto" w:sz="4" w:space="0"/>
              <w:bottom w:val="single" w:color="auto" w:sz="4" w:space="0"/>
              <w:right w:val="single" w:color="auto" w:sz="4" w:space="0"/>
            </w:tcBorders>
            <w:vAlign w:val="top"/>
          </w:tcPr>
          <w:p w14:paraId="145434E2">
            <w:pPr>
              <w:keepNext w:val="0"/>
              <w:keepLines w:val="0"/>
              <w:widowControl w:val="0"/>
              <w:suppressLineNumbers w:val="0"/>
              <w:spacing w:before="0" w:beforeAutospacing="0" w:after="0" w:afterAutospacing="0" w:line="560" w:lineRule="exact"/>
              <w:ind w:left="0" w:right="-46" w:rightChars="-22"/>
              <w:jc w:val="center"/>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服务标准</w:t>
            </w:r>
          </w:p>
        </w:tc>
      </w:tr>
      <w:tr w14:paraId="271DB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vAlign w:val="top"/>
          </w:tcPr>
          <w:p w14:paraId="023D9CEA">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en-US" w:bidi="ar-SA"/>
              </w:rPr>
              <w:t>（一）</w:t>
            </w:r>
          </w:p>
          <w:p w14:paraId="10A1554D">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p>
          <w:p w14:paraId="00A7948B">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p>
          <w:p w14:paraId="6892E3CC">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p>
          <w:p w14:paraId="1F183A4E">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p>
          <w:p w14:paraId="48A04260">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p>
          <w:p w14:paraId="5AE5B1C4">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p>
          <w:p w14:paraId="34D79E5A">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p>
          <w:p w14:paraId="7C256C7A">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p>
          <w:p w14:paraId="3A155C0A">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p>
          <w:p w14:paraId="7A70370A">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p>
          <w:p w14:paraId="3D6A1BF9">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p>
          <w:p w14:paraId="356B22A2">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p>
        </w:tc>
        <w:tc>
          <w:tcPr>
            <w:tcW w:w="1260" w:type="dxa"/>
            <w:tcBorders>
              <w:top w:val="single" w:color="auto" w:sz="4" w:space="0"/>
              <w:left w:val="single" w:color="auto" w:sz="4" w:space="0"/>
              <w:bottom w:val="single" w:color="auto" w:sz="4" w:space="0"/>
              <w:right w:val="single" w:color="auto" w:sz="4" w:space="0"/>
            </w:tcBorders>
            <w:vAlign w:val="top"/>
          </w:tcPr>
          <w:p w14:paraId="1C217E69">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室内外保洁</w:t>
            </w:r>
          </w:p>
        </w:tc>
        <w:tc>
          <w:tcPr>
            <w:tcW w:w="3908" w:type="dxa"/>
            <w:tcBorders>
              <w:top w:val="single" w:color="auto" w:sz="4" w:space="0"/>
              <w:left w:val="single" w:color="auto" w:sz="4" w:space="0"/>
              <w:bottom w:val="single" w:color="auto" w:sz="4" w:space="0"/>
              <w:right w:val="single" w:color="auto" w:sz="4" w:space="0"/>
            </w:tcBorders>
            <w:vAlign w:val="top"/>
          </w:tcPr>
          <w:p w14:paraId="7DFD2746">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天全面清扫2次（早上、下午），包括收集垃圾；每天早上拖地板干净；公共大厅所属玻璃门窗、楼梯扶手及护栏，每日用干净布清擦不少于1次；各办公室、公共区域门窗、天花板每月除尘不少于1次，传染病高发期间按规定消杀。</w:t>
            </w:r>
          </w:p>
          <w:p w14:paraId="2A0E70E9">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p>
        </w:tc>
        <w:tc>
          <w:tcPr>
            <w:tcW w:w="3490" w:type="dxa"/>
            <w:tcBorders>
              <w:top w:val="single" w:color="auto" w:sz="4" w:space="0"/>
              <w:left w:val="single" w:color="auto" w:sz="4" w:space="0"/>
              <w:bottom w:val="single" w:color="auto" w:sz="4" w:space="0"/>
              <w:right w:val="single" w:color="auto" w:sz="4" w:space="0"/>
            </w:tcBorders>
            <w:vAlign w:val="top"/>
          </w:tcPr>
          <w:p w14:paraId="46F5D34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硬质地面目视干净无污渍、无垃圾、无灰尘、无烟蒂、无纸屑，瓷砖地面光亮洁净、台阶及其接缝洁净、踢脚线等地方无积尘、杂物、污渍；天花板、日光灯管、指示牌、消防器具等设施干净、无尘、无蜘蛛网。门窗及窗台无灰尘及附着物；走廊、楼梯及扶栏无灰尘沉积，楼梯无杂物堆放；保持教学、办公区域及教学活动区域等基础设施干净整洁。</w:t>
            </w:r>
          </w:p>
        </w:tc>
      </w:tr>
      <w:tr w14:paraId="1CAB1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vAlign w:val="top"/>
          </w:tcPr>
          <w:p w14:paraId="244D80EE">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（二）</w:t>
            </w:r>
          </w:p>
        </w:tc>
        <w:tc>
          <w:tcPr>
            <w:tcW w:w="1260" w:type="dxa"/>
            <w:tcBorders>
              <w:top w:val="single" w:color="auto" w:sz="4" w:space="0"/>
              <w:left w:val="single" w:color="auto" w:sz="4" w:space="0"/>
              <w:bottom w:val="single" w:color="auto" w:sz="4" w:space="0"/>
              <w:right w:val="single" w:color="auto" w:sz="4" w:space="0"/>
            </w:tcBorders>
            <w:vAlign w:val="top"/>
          </w:tcPr>
          <w:p w14:paraId="1800AA44">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教学区及户外公共区域的保洁 维护</w:t>
            </w:r>
          </w:p>
        </w:tc>
        <w:tc>
          <w:tcPr>
            <w:tcW w:w="3908" w:type="dxa"/>
            <w:tcBorders>
              <w:top w:val="single" w:color="auto" w:sz="4" w:space="0"/>
              <w:left w:val="single" w:color="auto" w:sz="4" w:space="0"/>
              <w:bottom w:val="single" w:color="auto" w:sz="4" w:space="0"/>
              <w:right w:val="single" w:color="auto" w:sz="4" w:space="0"/>
            </w:tcBorders>
            <w:vAlign w:val="top"/>
          </w:tcPr>
          <w:p w14:paraId="1536CA3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每天全面清扫2次（早上、下午），不限于高处地、操场、楼顶、鱼池及公共通道等户外区域的保洁 鱼池、荷花缸、鱼缸和雨水收集器保洁、维护等。工作时间内巡回保洁，保持地面无垃圾杂物；宣传栏、垃圾桶周围、及其他设施每天及时保洁,传染病高发期间按规定消杀；及时清理鱼池并每月换1次水、荷花缸、鱼缸垃圾杂物，及时清理雨水收集器排水闸门垃圾，遇台风、汛期、雨天及时做好开关闸、负责排水防汛管理；</w:t>
            </w:r>
          </w:p>
        </w:tc>
        <w:tc>
          <w:tcPr>
            <w:tcW w:w="3490" w:type="dxa"/>
            <w:tcBorders>
              <w:top w:val="single" w:color="auto" w:sz="4" w:space="0"/>
              <w:left w:val="single" w:color="auto" w:sz="4" w:space="0"/>
              <w:bottom w:val="single" w:color="auto" w:sz="4" w:space="0"/>
              <w:right w:val="single" w:color="auto" w:sz="4" w:space="0"/>
            </w:tcBorders>
            <w:vAlign w:val="top"/>
          </w:tcPr>
          <w:p w14:paraId="6D61036C">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地面干净、无烟蒂、果皮、纸屑等杂物；无痰迹、无尘土堆积、无砖瓦石块、无明显污渍和泥沙；宣传栏、垃圾桶、路灯及其他公共基础设施表面无灰尘污迹。保持鱼池、荷花缸、鱼缸和雨水收集器周边环境干净整洁，遇台风、汛期等强降雨天气确保排水畅通、无内涝情况；</w:t>
            </w:r>
          </w:p>
        </w:tc>
      </w:tr>
      <w:tr w14:paraId="1DF7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vAlign w:val="top"/>
          </w:tcPr>
          <w:p w14:paraId="6300B29F">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（三）</w:t>
            </w:r>
          </w:p>
        </w:tc>
        <w:tc>
          <w:tcPr>
            <w:tcW w:w="1260" w:type="dxa"/>
            <w:tcBorders>
              <w:top w:val="single" w:color="auto" w:sz="4" w:space="0"/>
              <w:left w:val="single" w:color="auto" w:sz="4" w:space="0"/>
              <w:bottom w:val="single" w:color="auto" w:sz="4" w:space="0"/>
              <w:right w:val="single" w:color="auto" w:sz="4" w:space="0"/>
            </w:tcBorders>
            <w:vAlign w:val="top"/>
          </w:tcPr>
          <w:p w14:paraId="10F0FC2E">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园内主干道、宣传栏、路牌、水沟等保洁</w:t>
            </w:r>
          </w:p>
        </w:tc>
        <w:tc>
          <w:tcPr>
            <w:tcW w:w="3908" w:type="dxa"/>
            <w:tcBorders>
              <w:top w:val="single" w:color="auto" w:sz="4" w:space="0"/>
              <w:left w:val="single" w:color="auto" w:sz="4" w:space="0"/>
              <w:bottom w:val="single" w:color="auto" w:sz="4" w:space="0"/>
              <w:right w:val="single" w:color="auto" w:sz="4" w:space="0"/>
            </w:tcBorders>
            <w:vAlign w:val="top"/>
          </w:tcPr>
          <w:p w14:paraId="3A3EF40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每天全面清扫2次（早上、下午），工作时间巡回保洁，其中主干道及运动场每天7:40和14:30之前全面清扫,确保不影响教学；室外宣传栏、路牌每天擦拭干净1次。</w:t>
            </w:r>
          </w:p>
          <w:p w14:paraId="250091D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每天清扫1次明沟；每周冲冼1次暗沟；做到干净无积水；每季度疏通1次所有管道（特殊情况立即处理），每月清理楼栋天面杂物和垃圾；</w:t>
            </w:r>
          </w:p>
        </w:tc>
        <w:tc>
          <w:tcPr>
            <w:tcW w:w="3490" w:type="dxa"/>
            <w:tcBorders>
              <w:top w:val="single" w:color="auto" w:sz="4" w:space="0"/>
              <w:left w:val="single" w:color="auto" w:sz="4" w:space="0"/>
              <w:bottom w:val="single" w:color="auto" w:sz="4" w:space="0"/>
              <w:right w:val="single" w:color="auto" w:sz="4" w:space="0"/>
            </w:tcBorders>
            <w:vAlign w:val="top"/>
          </w:tcPr>
          <w:p w14:paraId="65379C3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地面干净、无烟蒂、无纸屑、无明显污渍、泥沙及其它无杂物垃圾；宣传栏、路牌目视无污渍；果皮箱、垃圾桶、路牌及其他公共基础设施表面无灰尘污迹；水沟无明显堵塞和杂物；绿化带内无杂物。</w:t>
            </w:r>
          </w:p>
        </w:tc>
      </w:tr>
      <w:tr w14:paraId="486B4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4" w:type="dxa"/>
            <w:tcBorders>
              <w:top w:val="single" w:color="auto" w:sz="4" w:space="0"/>
              <w:left w:val="single" w:color="auto" w:sz="4" w:space="0"/>
              <w:bottom w:val="single" w:color="auto" w:sz="4" w:space="0"/>
              <w:right w:val="single" w:color="auto" w:sz="4" w:space="0"/>
            </w:tcBorders>
            <w:vAlign w:val="top"/>
          </w:tcPr>
          <w:p w14:paraId="753C9B59">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w:t>
            </w:r>
            <w:r>
              <w:rPr>
                <w:rFonts w:hint="eastAsia" w:ascii="宋体" w:hAnsi="宋体" w:eastAsia="宋体" w:cs="宋体"/>
                <w:b w:val="0"/>
                <w:color w:val="auto"/>
                <w:sz w:val="21"/>
                <w:szCs w:val="21"/>
                <w:highlight w:val="none"/>
                <w:lang w:val="en-US" w:eastAsia="zh-CN" w:bidi="ar-SA"/>
              </w:rPr>
              <w:t>四</w:t>
            </w:r>
            <w:r>
              <w:rPr>
                <w:rFonts w:hint="eastAsia" w:ascii="宋体" w:hAnsi="宋体" w:eastAsia="宋体" w:cs="宋体"/>
                <w:b w:val="0"/>
                <w:color w:val="auto"/>
                <w:sz w:val="21"/>
                <w:szCs w:val="21"/>
                <w:highlight w:val="none"/>
                <w:lang w:val="en-US" w:eastAsia="en-US" w:bidi="ar-SA"/>
              </w:rPr>
              <w:t>）</w:t>
            </w:r>
          </w:p>
        </w:tc>
        <w:tc>
          <w:tcPr>
            <w:tcW w:w="1260" w:type="dxa"/>
            <w:tcBorders>
              <w:top w:val="single" w:color="auto" w:sz="4" w:space="0"/>
              <w:left w:val="single" w:color="auto" w:sz="4" w:space="0"/>
              <w:bottom w:val="single" w:color="auto" w:sz="4" w:space="0"/>
              <w:right w:val="single" w:color="auto" w:sz="4" w:space="0"/>
            </w:tcBorders>
            <w:vAlign w:val="top"/>
          </w:tcPr>
          <w:p w14:paraId="14D03857">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卫生间清理保洁（包括办公区及教学区内的所有公共卫生间）</w:t>
            </w:r>
          </w:p>
        </w:tc>
        <w:tc>
          <w:tcPr>
            <w:tcW w:w="3908" w:type="dxa"/>
            <w:tcBorders>
              <w:top w:val="single" w:color="auto" w:sz="4" w:space="0"/>
              <w:left w:val="single" w:color="auto" w:sz="4" w:space="0"/>
              <w:bottom w:val="single" w:color="auto" w:sz="4" w:space="0"/>
              <w:right w:val="single" w:color="auto" w:sz="4" w:space="0"/>
            </w:tcBorders>
            <w:vAlign w:val="top"/>
          </w:tcPr>
          <w:p w14:paraId="46BD3F3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教学区每天上、下午各打扫一次，2小时巡回保洁一次，第一次必须在上午7:30前完成，办公区卫生间保洁一天不少于4次，如有大型活动需增加保洁次数，同时根据卫生间不同的设施进行保洁，包括用水及时冲洗大小便器，擦拭洗手盆、水龙头、台面、镜面、排风扇等；地面用干拖把拖干，保持地面干燥、干净；门窗、窗台及墙角，天花板等及时保洁，同时每天喷撒适量的除臭味的清新剂及消毒药液等物品。每学期用酸性清洁剂清洗1次，每周用洁厕剂清洗1次。卫生间的门框，每月消毒不少于2次。</w:t>
            </w:r>
          </w:p>
        </w:tc>
        <w:tc>
          <w:tcPr>
            <w:tcW w:w="3490" w:type="dxa"/>
            <w:tcBorders>
              <w:top w:val="single" w:color="auto" w:sz="4" w:space="0"/>
              <w:left w:val="single" w:color="auto" w:sz="4" w:space="0"/>
              <w:bottom w:val="single" w:color="auto" w:sz="4" w:space="0"/>
              <w:right w:val="single" w:color="auto" w:sz="4" w:space="0"/>
            </w:tcBorders>
            <w:vAlign w:val="top"/>
          </w:tcPr>
          <w:p w14:paraId="5354FC57">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公共卫生间内空气无异味，地面、墙面、镜面、洗手盆、便斗、厕位等无污渍，无灰尘，排污管道畅通；天花板无蜘蛛网、门窗及窗台无灰尘及附着物。</w:t>
            </w:r>
          </w:p>
          <w:p w14:paraId="3C52FE49">
            <w:pPr>
              <w:pStyle w:val="18"/>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p>
        </w:tc>
      </w:tr>
      <w:tr w14:paraId="48308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964" w:type="dxa"/>
            <w:tcBorders>
              <w:top w:val="nil"/>
              <w:left w:val="single" w:color="auto" w:sz="4" w:space="0"/>
              <w:bottom w:val="single" w:color="auto" w:sz="4" w:space="0"/>
              <w:right w:val="single" w:color="auto" w:sz="4" w:space="0"/>
            </w:tcBorders>
            <w:vAlign w:val="top"/>
          </w:tcPr>
          <w:p w14:paraId="4ADF13A7">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w:t>
            </w:r>
            <w:r>
              <w:rPr>
                <w:rFonts w:hint="eastAsia" w:ascii="宋体" w:hAnsi="宋体" w:eastAsia="宋体" w:cs="宋体"/>
                <w:b w:val="0"/>
                <w:color w:val="auto"/>
                <w:sz w:val="21"/>
                <w:szCs w:val="21"/>
                <w:highlight w:val="none"/>
                <w:lang w:val="en-US" w:eastAsia="zh-CN" w:bidi="ar-SA"/>
              </w:rPr>
              <w:t>五</w:t>
            </w:r>
            <w:r>
              <w:rPr>
                <w:rFonts w:hint="eastAsia" w:ascii="宋体" w:hAnsi="宋体" w:eastAsia="宋体" w:cs="宋体"/>
                <w:b w:val="0"/>
                <w:color w:val="auto"/>
                <w:sz w:val="21"/>
                <w:szCs w:val="21"/>
                <w:highlight w:val="none"/>
                <w:lang w:val="en-US" w:eastAsia="en-US" w:bidi="ar-SA"/>
              </w:rPr>
              <w:t>）</w:t>
            </w:r>
          </w:p>
        </w:tc>
        <w:tc>
          <w:tcPr>
            <w:tcW w:w="1260" w:type="dxa"/>
            <w:tcBorders>
              <w:top w:val="nil"/>
              <w:left w:val="single" w:color="auto" w:sz="4" w:space="0"/>
              <w:bottom w:val="single" w:color="auto" w:sz="4" w:space="0"/>
              <w:right w:val="single" w:color="auto" w:sz="4" w:space="0"/>
            </w:tcBorders>
            <w:vAlign w:val="top"/>
          </w:tcPr>
          <w:p w14:paraId="39E10058">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清理各类张贴及悬挂物</w:t>
            </w:r>
          </w:p>
        </w:tc>
        <w:tc>
          <w:tcPr>
            <w:tcW w:w="3908" w:type="dxa"/>
            <w:tcBorders>
              <w:top w:val="nil"/>
              <w:left w:val="single" w:color="auto" w:sz="4" w:space="0"/>
              <w:bottom w:val="single" w:color="auto" w:sz="4" w:space="0"/>
              <w:right w:val="single" w:color="auto" w:sz="4" w:space="0"/>
            </w:tcBorders>
            <w:vAlign w:val="top"/>
          </w:tcPr>
          <w:p w14:paraId="296CE90B">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每周清除1次校园内乱张贴和书写的广告以及悬挂物。</w:t>
            </w:r>
          </w:p>
        </w:tc>
        <w:tc>
          <w:tcPr>
            <w:tcW w:w="3490" w:type="dxa"/>
            <w:tcBorders>
              <w:top w:val="nil"/>
              <w:left w:val="single" w:color="auto" w:sz="4" w:space="0"/>
              <w:bottom w:val="single" w:color="auto" w:sz="4" w:space="0"/>
              <w:right w:val="single" w:color="auto" w:sz="4" w:space="0"/>
            </w:tcBorders>
            <w:vAlign w:val="top"/>
          </w:tcPr>
          <w:p w14:paraId="1B2F2CB3">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保持校园环境整洁。</w:t>
            </w:r>
          </w:p>
        </w:tc>
      </w:tr>
      <w:tr w14:paraId="546B9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7" w:hRule="atLeast"/>
          <w:jc w:val="center"/>
        </w:trPr>
        <w:tc>
          <w:tcPr>
            <w:tcW w:w="964" w:type="dxa"/>
            <w:tcBorders>
              <w:top w:val="single" w:color="auto" w:sz="4" w:space="0"/>
              <w:left w:val="single" w:color="auto" w:sz="4" w:space="0"/>
              <w:bottom w:val="single" w:color="auto" w:sz="4" w:space="0"/>
              <w:right w:val="single" w:color="auto" w:sz="4" w:space="0"/>
            </w:tcBorders>
            <w:vAlign w:val="top"/>
          </w:tcPr>
          <w:p w14:paraId="71CF46F4">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w:t>
            </w:r>
            <w:r>
              <w:rPr>
                <w:rFonts w:hint="eastAsia" w:ascii="宋体" w:hAnsi="宋体" w:eastAsia="宋体" w:cs="宋体"/>
                <w:b w:val="0"/>
                <w:color w:val="auto"/>
                <w:sz w:val="21"/>
                <w:szCs w:val="21"/>
                <w:highlight w:val="none"/>
                <w:lang w:val="en-US" w:eastAsia="zh-CN" w:bidi="ar-SA"/>
              </w:rPr>
              <w:t>六</w:t>
            </w:r>
            <w:r>
              <w:rPr>
                <w:rFonts w:hint="eastAsia" w:ascii="宋体" w:hAnsi="宋体" w:eastAsia="宋体" w:cs="宋体"/>
                <w:b w:val="0"/>
                <w:color w:val="auto"/>
                <w:sz w:val="21"/>
                <w:szCs w:val="21"/>
                <w:highlight w:val="none"/>
                <w:lang w:val="en-US" w:eastAsia="en-US" w:bidi="ar-SA"/>
              </w:rPr>
              <w:t>）</w:t>
            </w:r>
          </w:p>
        </w:tc>
        <w:tc>
          <w:tcPr>
            <w:tcW w:w="1260" w:type="dxa"/>
            <w:tcBorders>
              <w:top w:val="single" w:color="auto" w:sz="4" w:space="0"/>
              <w:left w:val="single" w:color="auto" w:sz="4" w:space="0"/>
              <w:bottom w:val="single" w:color="auto" w:sz="4" w:space="0"/>
              <w:right w:val="single" w:color="auto" w:sz="4" w:space="0"/>
            </w:tcBorders>
            <w:vAlign w:val="top"/>
          </w:tcPr>
          <w:p w14:paraId="1558D797">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毛巾清洗、消毒，值班室卧具、教室、寝室、水箱、办公区域等窗帘的清洗等。</w:t>
            </w:r>
          </w:p>
        </w:tc>
        <w:tc>
          <w:tcPr>
            <w:tcW w:w="3908" w:type="dxa"/>
            <w:tcBorders>
              <w:top w:val="single" w:color="auto" w:sz="4" w:space="0"/>
              <w:left w:val="single" w:color="auto" w:sz="4" w:space="0"/>
              <w:bottom w:val="single" w:color="auto" w:sz="4" w:space="0"/>
              <w:right w:val="single" w:color="auto" w:sz="4" w:space="0"/>
            </w:tcBorders>
            <w:vAlign w:val="top"/>
          </w:tcPr>
          <w:p w14:paraId="7FC42FBF">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负责所有班级毛巾的清洗、折叠和消毒，每次节假日前清洗24小时值班室卧具，水箱、窗帘每学期必须清洗1次（不提供洗衣机）。</w:t>
            </w:r>
          </w:p>
        </w:tc>
        <w:tc>
          <w:tcPr>
            <w:tcW w:w="3490" w:type="dxa"/>
            <w:tcBorders>
              <w:top w:val="single" w:color="auto" w:sz="4" w:space="0"/>
              <w:left w:val="single" w:color="auto" w:sz="4" w:space="0"/>
              <w:bottom w:val="single" w:color="auto" w:sz="4" w:space="0"/>
              <w:right w:val="single" w:color="auto" w:sz="4" w:space="0"/>
            </w:tcBorders>
            <w:vAlign w:val="top"/>
          </w:tcPr>
          <w:p w14:paraId="428141F0">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毛巾必须达到消毒标准，24小时值班室卧具清洁无异味，窗帘无尘沫飞扬。</w:t>
            </w:r>
          </w:p>
        </w:tc>
      </w:tr>
      <w:tr w14:paraId="0C5E5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jc w:val="center"/>
        </w:trPr>
        <w:tc>
          <w:tcPr>
            <w:tcW w:w="964" w:type="dxa"/>
            <w:tcBorders>
              <w:top w:val="single" w:color="auto" w:sz="4" w:space="0"/>
              <w:left w:val="single" w:color="auto" w:sz="4" w:space="0"/>
              <w:bottom w:val="single" w:color="auto" w:sz="4" w:space="0"/>
              <w:right w:val="single" w:color="auto" w:sz="4" w:space="0"/>
            </w:tcBorders>
            <w:vAlign w:val="top"/>
          </w:tcPr>
          <w:p w14:paraId="72646744">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（七）</w:t>
            </w:r>
          </w:p>
        </w:tc>
        <w:tc>
          <w:tcPr>
            <w:tcW w:w="1260" w:type="dxa"/>
            <w:tcBorders>
              <w:top w:val="single" w:color="auto" w:sz="4" w:space="0"/>
              <w:left w:val="single" w:color="auto" w:sz="4" w:space="0"/>
              <w:bottom w:val="single" w:color="auto" w:sz="4" w:space="0"/>
              <w:right w:val="single" w:color="auto" w:sz="4" w:space="0"/>
            </w:tcBorders>
            <w:vAlign w:val="top"/>
          </w:tcPr>
          <w:p w14:paraId="26E779DC">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其他保洁服务</w:t>
            </w:r>
          </w:p>
        </w:tc>
        <w:tc>
          <w:tcPr>
            <w:tcW w:w="3908" w:type="dxa"/>
            <w:tcBorders>
              <w:top w:val="single" w:color="auto" w:sz="4" w:space="0"/>
              <w:left w:val="single" w:color="auto" w:sz="4" w:space="0"/>
              <w:bottom w:val="single" w:color="auto" w:sz="4" w:space="0"/>
              <w:right w:val="single" w:color="auto" w:sz="4" w:space="0"/>
            </w:tcBorders>
            <w:vAlign w:val="top"/>
          </w:tcPr>
          <w:p w14:paraId="3D85340D">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化粪池每季度检查1次，每年清理2次，发现异常则及时清掏。每日做好垃圾分类，每月2次的“四害消杀”（出现鼠患、蚂蚁、蟑螂、蚊子等虫害情况接到业主报告2小时内派人处置消杀到位）。</w:t>
            </w:r>
          </w:p>
        </w:tc>
        <w:tc>
          <w:tcPr>
            <w:tcW w:w="3490" w:type="dxa"/>
            <w:tcBorders>
              <w:top w:val="single" w:color="auto" w:sz="4" w:space="0"/>
              <w:left w:val="single" w:color="auto" w:sz="4" w:space="0"/>
              <w:bottom w:val="single" w:color="auto" w:sz="4" w:space="0"/>
              <w:right w:val="single" w:color="auto" w:sz="4" w:space="0"/>
            </w:tcBorders>
            <w:vAlign w:val="top"/>
          </w:tcPr>
          <w:p w14:paraId="31FCB22C">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保持校园环境卫生、整洁，按要求做到垃圾分类。</w:t>
            </w:r>
          </w:p>
        </w:tc>
      </w:tr>
      <w:tr w14:paraId="1130C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jc w:val="center"/>
        </w:trPr>
        <w:tc>
          <w:tcPr>
            <w:tcW w:w="964" w:type="dxa"/>
            <w:tcBorders>
              <w:top w:val="single" w:color="auto" w:sz="4" w:space="0"/>
              <w:left w:val="single" w:color="auto" w:sz="4" w:space="0"/>
              <w:bottom w:val="single" w:color="auto" w:sz="4" w:space="0"/>
              <w:right w:val="single" w:color="auto" w:sz="4" w:space="0"/>
            </w:tcBorders>
            <w:vAlign w:val="top"/>
          </w:tcPr>
          <w:p w14:paraId="1D596163">
            <w:pPr>
              <w:keepNext w:val="0"/>
              <w:keepLines w:val="0"/>
              <w:widowControl w:val="0"/>
              <w:suppressLineNumbers w:val="0"/>
              <w:spacing w:before="0" w:beforeAutospacing="0" w:after="0" w:afterAutospacing="0" w:line="560" w:lineRule="exact"/>
              <w:ind w:left="-141" w:leftChars="-67"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（八）</w:t>
            </w:r>
          </w:p>
        </w:tc>
        <w:tc>
          <w:tcPr>
            <w:tcW w:w="1260" w:type="dxa"/>
            <w:tcBorders>
              <w:top w:val="single" w:color="auto" w:sz="4" w:space="0"/>
              <w:left w:val="single" w:color="auto" w:sz="4" w:space="0"/>
              <w:bottom w:val="single" w:color="auto" w:sz="4" w:space="0"/>
              <w:right w:val="single" w:color="auto" w:sz="4" w:space="0"/>
            </w:tcBorders>
            <w:vAlign w:val="top"/>
          </w:tcPr>
          <w:p w14:paraId="427434C6">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校园垃圾分类管理</w:t>
            </w:r>
          </w:p>
        </w:tc>
        <w:tc>
          <w:tcPr>
            <w:tcW w:w="3908" w:type="dxa"/>
            <w:tcBorders>
              <w:top w:val="single" w:color="auto" w:sz="4" w:space="0"/>
              <w:left w:val="single" w:color="auto" w:sz="4" w:space="0"/>
              <w:bottom w:val="single" w:color="auto" w:sz="4" w:space="0"/>
              <w:right w:val="single" w:color="auto" w:sz="4" w:space="0"/>
            </w:tcBorders>
            <w:vAlign w:val="top"/>
          </w:tcPr>
          <w:p w14:paraId="13C8B913">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宣传、实施、信息更新及上传、红黑榜管理。保持设施设备环境卫生干净整洁。</w:t>
            </w:r>
          </w:p>
        </w:tc>
        <w:tc>
          <w:tcPr>
            <w:tcW w:w="3490" w:type="dxa"/>
            <w:tcBorders>
              <w:top w:val="single" w:color="auto" w:sz="4" w:space="0"/>
              <w:left w:val="single" w:color="auto" w:sz="4" w:space="0"/>
              <w:bottom w:val="single" w:color="auto" w:sz="4" w:space="0"/>
              <w:right w:val="single" w:color="auto" w:sz="4" w:space="0"/>
            </w:tcBorders>
            <w:vAlign w:val="top"/>
          </w:tcPr>
          <w:p w14:paraId="1F1C5DAD">
            <w:pPr>
              <w:keepNext w:val="0"/>
              <w:keepLines w:val="0"/>
              <w:widowControl w:val="0"/>
              <w:suppressLineNumbers w:val="0"/>
              <w:spacing w:before="0" w:beforeAutospacing="0" w:after="0" w:afterAutospacing="0" w:line="560" w:lineRule="exact"/>
              <w:ind w:left="0" w:right="-46" w:rightChars="-22"/>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物业主管负责</w:t>
            </w:r>
          </w:p>
        </w:tc>
      </w:tr>
    </w:tbl>
    <w:p w14:paraId="37885187">
      <w:pPr>
        <w:keepNext w:val="0"/>
        <w:keepLines w:val="0"/>
        <w:widowControl w:val="0"/>
        <w:suppressLineNumbers w:val="0"/>
        <w:spacing w:before="120" w:beforeAutospacing="0" w:after="120" w:afterAutospacing="0" w:line="560" w:lineRule="exact"/>
        <w:ind w:left="0" w:right="0" w:firstLine="422" w:firstLineChars="200"/>
        <w:jc w:val="left"/>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5、校园绿化动物养护服务要求与标准</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4"/>
        <w:gridCol w:w="1644"/>
        <w:gridCol w:w="6896"/>
      </w:tblGrid>
      <w:tr w14:paraId="11BE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vAlign w:val="top"/>
          </w:tcPr>
          <w:p w14:paraId="7FBEF3F6">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序号</w:t>
            </w:r>
          </w:p>
        </w:tc>
        <w:tc>
          <w:tcPr>
            <w:tcW w:w="1644" w:type="dxa"/>
            <w:tcBorders>
              <w:top w:val="single" w:color="auto" w:sz="4" w:space="0"/>
              <w:left w:val="single" w:color="auto" w:sz="4" w:space="0"/>
              <w:bottom w:val="single" w:color="auto" w:sz="4" w:space="0"/>
              <w:right w:val="single" w:color="auto" w:sz="4" w:space="0"/>
            </w:tcBorders>
            <w:vAlign w:val="top"/>
          </w:tcPr>
          <w:p w14:paraId="13D11ED8">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en-US" w:bidi="ar-SA"/>
              </w:rPr>
              <w:t>服务</w:t>
            </w:r>
            <w:r>
              <w:rPr>
                <w:rFonts w:hint="eastAsia" w:ascii="宋体" w:hAnsi="宋体" w:eastAsia="宋体" w:cs="宋体"/>
                <w:b w:val="0"/>
                <w:color w:val="auto"/>
                <w:sz w:val="21"/>
                <w:szCs w:val="21"/>
                <w:highlight w:val="none"/>
                <w:lang w:val="en-US" w:eastAsia="zh-CN" w:bidi="ar-SA"/>
              </w:rPr>
              <w:t>项目</w:t>
            </w:r>
          </w:p>
        </w:tc>
        <w:tc>
          <w:tcPr>
            <w:tcW w:w="6896" w:type="dxa"/>
            <w:tcBorders>
              <w:top w:val="single" w:color="auto" w:sz="4" w:space="0"/>
              <w:left w:val="single" w:color="auto" w:sz="4" w:space="0"/>
              <w:bottom w:val="single" w:color="auto" w:sz="4" w:space="0"/>
              <w:right w:val="single" w:color="auto" w:sz="4" w:space="0"/>
            </w:tcBorders>
            <w:vAlign w:val="top"/>
          </w:tcPr>
          <w:p w14:paraId="02695659">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服务要求和标准</w:t>
            </w:r>
          </w:p>
        </w:tc>
      </w:tr>
      <w:tr w14:paraId="3A543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vAlign w:val="top"/>
          </w:tcPr>
          <w:p w14:paraId="29AAB9F6">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（一）</w:t>
            </w:r>
          </w:p>
        </w:tc>
        <w:tc>
          <w:tcPr>
            <w:tcW w:w="1644" w:type="dxa"/>
            <w:tcBorders>
              <w:top w:val="single" w:color="auto" w:sz="4" w:space="0"/>
              <w:left w:val="single" w:color="auto" w:sz="4" w:space="0"/>
              <w:bottom w:val="single" w:color="auto" w:sz="4" w:space="0"/>
              <w:right w:val="single" w:color="auto" w:sz="4" w:space="0"/>
            </w:tcBorders>
            <w:vAlign w:val="top"/>
          </w:tcPr>
          <w:p w14:paraId="6A6406BF">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花坛及乔、灌木养护</w:t>
            </w:r>
          </w:p>
        </w:tc>
        <w:tc>
          <w:tcPr>
            <w:tcW w:w="6896" w:type="dxa"/>
            <w:tcBorders>
              <w:top w:val="single" w:color="auto" w:sz="4" w:space="0"/>
              <w:left w:val="single" w:color="auto" w:sz="4" w:space="0"/>
              <w:bottom w:val="single" w:color="auto" w:sz="4" w:space="0"/>
              <w:right w:val="single" w:color="auto" w:sz="4" w:space="0"/>
            </w:tcBorders>
            <w:vAlign w:val="top"/>
          </w:tcPr>
          <w:p w14:paraId="75D8A222">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1.明显枯枝、死枝，有蛀干虫害的株数在2%以下（包括2%，下同），随时清理枯枝败叶。</w:t>
            </w:r>
          </w:p>
          <w:p w14:paraId="6BC0A42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2.定期安排专业人员修剪树木，树型美观，球状灌木、带状绿篱徒长枝不超过5厘米。及时解决园内树木影响电线、交通、建筑物的问题。文明施工，修枝作业中产生的树枝及时清理，不影响交通，不影响校容。</w:t>
            </w:r>
          </w:p>
          <w:p w14:paraId="655E3A93">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3.对于生长过程中严重歪斜的树木要及时采取扶正、加固措施。</w:t>
            </w:r>
          </w:p>
          <w:p w14:paraId="253842FC">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4.科学养护、每年立冬前开始对树干用石灰按技术要求涂白，消灭过冬虫害。</w:t>
            </w:r>
          </w:p>
          <w:p w14:paraId="2E4E1EA6">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5加强对自然绿地、绿篱等的巡查，防止松毛虫、寄生藤的产生和蔓延。按植物生长规律对各种植物进行松土、施肥、淋水等养护作业。</w:t>
            </w:r>
          </w:p>
        </w:tc>
      </w:tr>
      <w:tr w14:paraId="18A25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vAlign w:val="top"/>
          </w:tcPr>
          <w:p w14:paraId="37C89391">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（二）</w:t>
            </w:r>
          </w:p>
        </w:tc>
        <w:tc>
          <w:tcPr>
            <w:tcW w:w="1644" w:type="dxa"/>
            <w:tcBorders>
              <w:top w:val="single" w:color="auto" w:sz="4" w:space="0"/>
              <w:left w:val="single" w:color="auto" w:sz="4" w:space="0"/>
              <w:bottom w:val="single" w:color="auto" w:sz="4" w:space="0"/>
              <w:right w:val="single" w:color="auto" w:sz="4" w:space="0"/>
            </w:tcBorders>
            <w:vAlign w:val="top"/>
          </w:tcPr>
          <w:p w14:paraId="79A39507">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草坪、盆花及其他植被养护</w:t>
            </w:r>
          </w:p>
        </w:tc>
        <w:tc>
          <w:tcPr>
            <w:tcW w:w="6896" w:type="dxa"/>
            <w:tcBorders>
              <w:top w:val="single" w:color="auto" w:sz="4" w:space="0"/>
              <w:left w:val="single" w:color="auto" w:sz="4" w:space="0"/>
              <w:bottom w:val="single" w:color="auto" w:sz="4" w:space="0"/>
              <w:right w:val="single" w:color="auto" w:sz="4" w:space="0"/>
            </w:tcBorders>
            <w:vAlign w:val="top"/>
          </w:tcPr>
          <w:p w14:paraId="341E01D8">
            <w:pPr>
              <w:keepNext w:val="0"/>
              <w:keepLines w:val="0"/>
              <w:widowControl w:val="0"/>
              <w:numPr>
                <w:ilvl w:val="0"/>
                <w:numId w:val="2"/>
              </w:numPr>
              <w:suppressLineNumbers w:val="0"/>
              <w:tabs>
                <w:tab w:val="clear" w:pos="312"/>
              </w:tabs>
              <w:spacing w:before="0" w:beforeAutospacing="0" w:after="0" w:afterAutospacing="0" w:line="560" w:lineRule="exact"/>
              <w:ind w:left="0" w:right="0" w:firstLine="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根据草坪种类、季节、天气、土质、生长周期等情况，实施淋水、施肥、修剪和灭虫，草坪虫害以防为主，虫害面积不超过草坪面积1％。</w:t>
            </w:r>
          </w:p>
          <w:p w14:paraId="1893CF4D">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2.及时清除杂草，草坪草生长均匀、草地清洁，无垃圾沉积，无黄土裸露现象，杂草占有率不超过草坪面积的10%，杂草高度不超过种植草；</w:t>
            </w:r>
          </w:p>
          <w:p w14:paraId="4BD8D77C">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3.保持草坪四季常绿，草坪内的点缀植物保持良好的生长型态，养护要求按照乔、灌木养护标准实行。</w:t>
            </w:r>
          </w:p>
          <w:p w14:paraId="1D60AAD7">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4.对盆花要加强管理，每天淋水、施肥，保证达到植株满盆、均匀，花多色艳，对已经凋谢或损坏的盆花要及时更换。花盆统一颜色盆套装，并把花盆擦拭干净。</w:t>
            </w:r>
          </w:p>
          <w:p w14:paraId="74DD3EA6">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5.对草坪每天喷淋和维护。</w:t>
            </w:r>
          </w:p>
        </w:tc>
      </w:tr>
      <w:tr w14:paraId="32048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vAlign w:val="top"/>
          </w:tcPr>
          <w:p w14:paraId="41EA3814">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w:t>
            </w:r>
            <w:r>
              <w:rPr>
                <w:rFonts w:hint="eastAsia" w:ascii="宋体" w:hAnsi="宋体" w:eastAsia="宋体" w:cs="宋体"/>
                <w:b w:val="0"/>
                <w:color w:val="auto"/>
                <w:sz w:val="21"/>
                <w:szCs w:val="21"/>
                <w:highlight w:val="none"/>
                <w:lang w:val="en-US" w:eastAsia="zh-CN" w:bidi="ar-SA"/>
              </w:rPr>
              <w:t>三</w:t>
            </w:r>
            <w:r>
              <w:rPr>
                <w:rFonts w:hint="eastAsia" w:ascii="宋体" w:hAnsi="宋体" w:eastAsia="宋体" w:cs="宋体"/>
                <w:b w:val="0"/>
                <w:color w:val="auto"/>
                <w:sz w:val="21"/>
                <w:szCs w:val="21"/>
                <w:highlight w:val="none"/>
                <w:lang w:val="en-US" w:eastAsia="en-US" w:bidi="ar-SA"/>
              </w:rPr>
              <w:t>）</w:t>
            </w:r>
          </w:p>
        </w:tc>
        <w:tc>
          <w:tcPr>
            <w:tcW w:w="1644" w:type="dxa"/>
            <w:tcBorders>
              <w:top w:val="single" w:color="auto" w:sz="4" w:space="0"/>
              <w:left w:val="single" w:color="auto" w:sz="4" w:space="0"/>
              <w:bottom w:val="single" w:color="auto" w:sz="4" w:space="0"/>
              <w:right w:val="single" w:color="auto" w:sz="4" w:space="0"/>
            </w:tcBorders>
            <w:vAlign w:val="top"/>
          </w:tcPr>
          <w:p w14:paraId="453079FE">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绿化过程产生垃圾的处理</w:t>
            </w:r>
          </w:p>
        </w:tc>
        <w:tc>
          <w:tcPr>
            <w:tcW w:w="6896" w:type="dxa"/>
            <w:tcBorders>
              <w:top w:val="single" w:color="auto" w:sz="4" w:space="0"/>
              <w:left w:val="single" w:color="auto" w:sz="4" w:space="0"/>
              <w:bottom w:val="single" w:color="auto" w:sz="4" w:space="0"/>
              <w:right w:val="single" w:color="auto" w:sz="4" w:space="0"/>
            </w:tcBorders>
            <w:vAlign w:val="top"/>
          </w:tcPr>
          <w:p w14:paraId="766747F9">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绿化产生的垃圾(如砖头瓦块、箩筐、树枝、树叶、草沫等)做到随产随清，不得焚烧或随意倒放，以防火灾事故发生。</w:t>
            </w:r>
          </w:p>
        </w:tc>
      </w:tr>
      <w:tr w14:paraId="0A76E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vAlign w:val="top"/>
          </w:tcPr>
          <w:p w14:paraId="79B3D80F">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w:t>
            </w:r>
            <w:r>
              <w:rPr>
                <w:rFonts w:hint="eastAsia" w:ascii="宋体" w:hAnsi="宋体" w:eastAsia="宋体" w:cs="宋体"/>
                <w:b w:val="0"/>
                <w:color w:val="auto"/>
                <w:sz w:val="21"/>
                <w:szCs w:val="21"/>
                <w:highlight w:val="none"/>
                <w:lang w:val="en-US" w:eastAsia="zh-CN" w:bidi="ar-SA"/>
              </w:rPr>
              <w:t>四</w:t>
            </w:r>
            <w:r>
              <w:rPr>
                <w:rFonts w:hint="eastAsia" w:ascii="宋体" w:hAnsi="宋体" w:eastAsia="宋体" w:cs="宋体"/>
                <w:b w:val="0"/>
                <w:color w:val="auto"/>
                <w:sz w:val="21"/>
                <w:szCs w:val="21"/>
                <w:highlight w:val="none"/>
                <w:lang w:val="en-US" w:eastAsia="en-US" w:bidi="ar-SA"/>
              </w:rPr>
              <w:t>）</w:t>
            </w:r>
          </w:p>
        </w:tc>
        <w:tc>
          <w:tcPr>
            <w:tcW w:w="1644" w:type="dxa"/>
            <w:tcBorders>
              <w:top w:val="single" w:color="auto" w:sz="4" w:space="0"/>
              <w:left w:val="single" w:color="auto" w:sz="4" w:space="0"/>
              <w:bottom w:val="single" w:color="auto" w:sz="4" w:space="0"/>
              <w:right w:val="single" w:color="auto" w:sz="4" w:space="0"/>
            </w:tcBorders>
            <w:vAlign w:val="top"/>
          </w:tcPr>
          <w:p w14:paraId="1E1A723A">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绿化养护用的水电</w:t>
            </w:r>
          </w:p>
        </w:tc>
        <w:tc>
          <w:tcPr>
            <w:tcW w:w="6896" w:type="dxa"/>
            <w:tcBorders>
              <w:top w:val="single" w:color="auto" w:sz="4" w:space="0"/>
              <w:left w:val="single" w:color="auto" w:sz="4" w:space="0"/>
              <w:bottom w:val="single" w:color="auto" w:sz="4" w:space="0"/>
              <w:right w:val="single" w:color="auto" w:sz="4" w:space="0"/>
            </w:tcBorders>
            <w:vAlign w:val="top"/>
          </w:tcPr>
          <w:p w14:paraId="22AD3F48">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绿化养护所需的水电，除了洒水设备无法到达的绿地或建筑物内的绿化景点可以使用经甲方同意提供的自来水以外，其它绿地养护用水尽量用收集的雨水。</w:t>
            </w:r>
          </w:p>
        </w:tc>
      </w:tr>
      <w:tr w14:paraId="265D5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4" w:type="dxa"/>
            <w:tcBorders>
              <w:top w:val="single" w:color="auto" w:sz="4" w:space="0"/>
              <w:left w:val="single" w:color="auto" w:sz="4" w:space="0"/>
              <w:bottom w:val="single" w:color="auto" w:sz="4" w:space="0"/>
              <w:right w:val="single" w:color="auto" w:sz="4" w:space="0"/>
            </w:tcBorders>
            <w:vAlign w:val="top"/>
          </w:tcPr>
          <w:p w14:paraId="6986D288">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（五）</w:t>
            </w:r>
          </w:p>
        </w:tc>
        <w:tc>
          <w:tcPr>
            <w:tcW w:w="1644" w:type="dxa"/>
            <w:tcBorders>
              <w:top w:val="single" w:color="auto" w:sz="4" w:space="0"/>
              <w:left w:val="single" w:color="auto" w:sz="4" w:space="0"/>
              <w:bottom w:val="single" w:color="auto" w:sz="4" w:space="0"/>
              <w:right w:val="single" w:color="auto" w:sz="4" w:space="0"/>
            </w:tcBorders>
            <w:vAlign w:val="top"/>
          </w:tcPr>
          <w:p w14:paraId="26520ADD">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动物养护</w:t>
            </w:r>
          </w:p>
        </w:tc>
        <w:tc>
          <w:tcPr>
            <w:tcW w:w="6896" w:type="dxa"/>
            <w:tcBorders>
              <w:top w:val="single" w:color="auto" w:sz="4" w:space="0"/>
              <w:left w:val="single" w:color="auto" w:sz="4" w:space="0"/>
              <w:bottom w:val="single" w:color="auto" w:sz="4" w:space="0"/>
              <w:right w:val="single" w:color="auto" w:sz="4" w:space="0"/>
            </w:tcBorders>
            <w:vAlign w:val="top"/>
          </w:tcPr>
          <w:p w14:paraId="58AD36E3">
            <w:pPr>
              <w:keepNext w:val="0"/>
              <w:keepLines w:val="0"/>
              <w:widowControl w:val="0"/>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负责所有小动物的喂养，小动物喂养得当、生长状况良好。动物养护确保动物笼舍干净、整洁，定期消毒，每天清理动物笼，每周对动物笼大扫除一次，预防疾病传播。动物饲料新鲜、营养全面，根据动物种类和生长阶段合理投喂，避免浪费和污染。定期观察动物健康状况，发现异常及时处理，确保动物健康成长。孵化管理也是动物养护的重要环节，对于需要孵化的动物，应确保孵化环境的适宜性，包括温度、湿度、光照等条件的精准控制。孵化期间，需定期检查孵化设备，确保设备的正常运行，同时记录孵化过程中的关键数据，以便分析和优化孵化流程。对于新孵化的幼小动物，应加强护理，提供适宜的生长环境和营养支持，提高其成活率。此外，对于动物园舍的设施设备，应定期进行检查和维护，确保其安全性和功能性，为动物的健康成长提供良好的物质保障。同时，加强动物安全防护，防止逃逸或意外事件发生。</w:t>
            </w:r>
          </w:p>
        </w:tc>
      </w:tr>
    </w:tbl>
    <w:p w14:paraId="7C0221B9">
      <w:pPr>
        <w:keepNext w:val="0"/>
        <w:keepLines w:val="0"/>
        <w:widowControl w:val="0"/>
        <w:suppressLineNumbers w:val="0"/>
        <w:topLinePunct/>
        <w:spacing w:before="120" w:beforeAutospacing="0" w:after="120" w:afterAutospacing="0" w:line="560" w:lineRule="exact"/>
        <w:ind w:left="0" w:right="0" w:firstLine="422" w:firstLineChars="200"/>
        <w:jc w:val="left"/>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6、保洁绿化动物养护其他服务要求</w:t>
      </w:r>
    </w:p>
    <w:p w14:paraId="0D681F5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（1）完成甲方重要会议活动及其他检查的卫生突击任务、重点区域传染病防控消杀工作任务、会场布置（包括桌椅摆放、会议茶水准备、茶歇准备、会议结束后茶杯回收消毒等）。</w:t>
      </w:r>
    </w:p>
    <w:p w14:paraId="4CB6C0A1">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（2）根据校园传染病防控工作要求，做好校园内的教学楼、办公楼、综合楼、门卫室等公共区域和重点场所的清洁消毒工作。</w:t>
      </w:r>
    </w:p>
    <w:p w14:paraId="3EBFC25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为确保动物得到妥善照顾，需制定并执行严格的动物养护标准。这包括但不限于动物的日常饲养管理、健康监测、疾病防控以及行为训练等方面。同时，应建立动物养护档案，详细记录动物的饲养、健康及治疗情况，以便及时发现问题并采取相应的处理措施。</w:t>
      </w:r>
    </w:p>
    <w:p w14:paraId="7CB1CD1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合同期间，上级主管部门、卫生部门组织的各种评比活动或卫生检查，特别是重要检查及大型庆典活动，按照学校的标准、时限等要求进行布置，做好合同约定区域内的保洁及垃圾清运（生活垃圾及非生活垃圾）服务，确保校园环境卫生整洁。</w:t>
      </w:r>
    </w:p>
    <w:p w14:paraId="544F53FB">
      <w:pPr>
        <w:keepNext w:val="0"/>
        <w:keepLines w:val="0"/>
        <w:widowControl w:val="0"/>
        <w:suppressLineNumbers w:val="0"/>
        <w:spacing w:before="0" w:beforeAutospacing="0" w:after="0" w:afterAutospacing="0" w:line="560" w:lineRule="exact"/>
        <w:ind w:left="0" w:right="0" w:firstLine="315" w:firstLineChars="15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（5）保洁工作按照学校的工作时间表进行，双休日、节假日仍按合同约定执行清洁卫生标准。</w:t>
      </w:r>
    </w:p>
    <w:p w14:paraId="582843C5">
      <w:pPr>
        <w:keepNext w:val="0"/>
        <w:keepLines w:val="0"/>
        <w:widowControl w:val="0"/>
        <w:suppressLineNumbers w:val="0"/>
        <w:spacing w:before="0" w:beforeAutospacing="0" w:after="0" w:afterAutospacing="0" w:line="560" w:lineRule="exact"/>
        <w:ind w:left="0" w:right="0" w:firstLine="315" w:firstLineChars="15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6）工作人员在工作期间必须统一穿工作服、佩戴明显标志，在冲洗厕所时要对外设置告示牌。对不胜任工作者，应告知甲方，并在两天内及时更换人员。对违规操作，或在没有警示的情况下开展工作，造成学校人员伤害的负管理责任并做相应赔偿。</w:t>
      </w:r>
    </w:p>
    <w:p w14:paraId="27929834">
      <w:pPr>
        <w:keepNext w:val="0"/>
        <w:keepLines w:val="0"/>
        <w:widowControl w:val="0"/>
        <w:suppressLineNumbers w:val="0"/>
        <w:spacing w:before="0" w:beforeAutospacing="0" w:after="0" w:afterAutospacing="0" w:line="560" w:lineRule="exact"/>
        <w:ind w:left="0" w:right="0" w:firstLine="315" w:firstLineChars="150"/>
        <w:jc w:val="both"/>
        <w:rPr>
          <w:rFonts w:hint="eastAsia" w:ascii="宋体" w:hAnsi="宋体" w:eastAsia="宋体" w:cs="宋体"/>
          <w:b w:val="0"/>
          <w:color w:val="auto"/>
          <w:sz w:val="21"/>
          <w:szCs w:val="21"/>
          <w:highlight w:val="none"/>
          <w:lang w:val="zh-TW" w:eastAsia="zh-TW" w:bidi="ar-SA"/>
        </w:rPr>
      </w:pPr>
      <w:r>
        <w:rPr>
          <w:rFonts w:hint="eastAsia" w:ascii="宋体" w:hAnsi="宋体" w:eastAsia="宋体" w:cs="宋体"/>
          <w:b w:val="0"/>
          <w:color w:val="auto"/>
          <w:sz w:val="21"/>
          <w:szCs w:val="21"/>
          <w:highlight w:val="none"/>
          <w:lang w:val="en-US" w:eastAsia="zh-CN" w:bidi="ar-SA"/>
        </w:rPr>
        <w:t>（7）及时处理和整改师生员工投诉的问题，并将处理结果向幼儿园报告。接到幼儿园检查不合格的通知2天内必须整改完毕。在幼儿园的检查考核中，有3次以上（含3次）不合格的，幼儿园有权解除合同。</w:t>
      </w:r>
    </w:p>
    <w:p w14:paraId="2DF63906">
      <w:pPr>
        <w:keepNext w:val="0"/>
        <w:keepLines w:val="0"/>
        <w:widowControl w:val="0"/>
        <w:suppressLineNumbers w:val="0"/>
        <w:spacing w:before="120" w:beforeAutospacing="0" w:after="120" w:afterAutospacing="0" w:line="560" w:lineRule="exact"/>
        <w:ind w:left="0" w:right="0" w:firstLine="422" w:firstLineChars="200"/>
        <w:jc w:val="both"/>
        <w:rPr>
          <w:rFonts w:hint="eastAsia" w:ascii="宋体" w:hAnsi="宋体" w:eastAsia="宋体" w:cs="宋体"/>
          <w:b/>
          <w:bCs/>
          <w:color w:val="auto"/>
          <w:sz w:val="21"/>
          <w:szCs w:val="21"/>
          <w:highlight w:val="none"/>
          <w:lang w:val="zh-TW" w:eastAsia="zh-TW" w:bidi="ar-SA"/>
        </w:rPr>
      </w:pPr>
      <w:r>
        <w:rPr>
          <w:rFonts w:hint="eastAsia" w:ascii="宋体" w:hAnsi="宋体" w:eastAsia="宋体" w:cs="宋体"/>
          <w:b/>
          <w:bCs/>
          <w:color w:val="auto"/>
          <w:sz w:val="21"/>
          <w:szCs w:val="21"/>
          <w:highlight w:val="none"/>
          <w:lang w:val="en-US" w:eastAsia="zh-CN" w:bidi="ar-SA"/>
        </w:rPr>
        <w:t>(二)校园安全保卫服务</w:t>
      </w:r>
    </w:p>
    <w:p w14:paraId="25224042">
      <w:pPr>
        <w:keepNext w:val="0"/>
        <w:keepLines w:val="0"/>
        <w:widowControl w:val="0"/>
        <w:suppressLineNumbers w:val="0"/>
        <w:spacing w:before="0" w:beforeAutospacing="0" w:after="0" w:afterAutospacing="0" w:line="560" w:lineRule="exact"/>
        <w:ind w:left="0" w:right="0" w:firstLine="527" w:firstLineChars="25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1、校园安全保卫服务</w:t>
      </w:r>
    </w:p>
    <w:p w14:paraId="49E202C9">
      <w:pPr>
        <w:keepNext w:val="0"/>
        <w:keepLines w:val="0"/>
        <w:widowControl w:val="0"/>
        <w:suppressLineNumbers w:val="0"/>
        <w:spacing w:before="0" w:beforeAutospacing="0" w:after="0" w:afterAutospacing="0" w:line="560" w:lineRule="exact"/>
        <w:ind w:left="0" w:right="0" w:firstLine="411" w:firstLineChars="196"/>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 w:eastAsia="zh-CN" w:bidi="ar-SA"/>
        </w:rPr>
        <w:t xml:space="preserve"> </w:t>
      </w:r>
      <w:r>
        <w:rPr>
          <w:rFonts w:hint="eastAsia" w:ascii="宋体" w:hAnsi="宋体" w:eastAsia="宋体" w:cs="宋体"/>
          <w:b w:val="0"/>
          <w:color w:val="auto"/>
          <w:sz w:val="21"/>
          <w:szCs w:val="21"/>
          <w:highlight w:val="none"/>
          <w:lang w:val="en-US" w:eastAsia="zh-CN" w:bidi="ar-SA"/>
        </w:rPr>
        <w:t>须配备一支高素质的专业的稳定的安全保卫管理队伍和服务团队。安保人员要求男性、50岁以下、取得保安员证书、提供无犯罪记录，有2年以上相关工作经验。</w:t>
      </w:r>
    </w:p>
    <w:p w14:paraId="1262B3EF">
      <w:pPr>
        <w:keepNext w:val="0"/>
        <w:keepLines w:val="0"/>
        <w:widowControl w:val="0"/>
        <w:suppressLineNumbers w:val="0"/>
        <w:spacing w:before="0" w:beforeAutospacing="0" w:after="0" w:afterAutospacing="0" w:line="560" w:lineRule="exact"/>
        <w:ind w:left="0" w:right="0" w:firstLine="525" w:firstLineChars="25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（1）学校门岗值勤、来访登记、人员和物资的进出校园管理，校区门前“三包”及公共秩序管理，疏导交通、车辆停放管理等。</w:t>
      </w:r>
    </w:p>
    <w:p w14:paraId="561D4D12">
      <w:pPr>
        <w:keepNext w:val="0"/>
        <w:keepLines w:val="0"/>
        <w:widowControl w:val="0"/>
        <w:suppressLineNumbers w:val="0"/>
        <w:spacing w:before="0" w:beforeAutospacing="0" w:after="0" w:afterAutospacing="0" w:line="560" w:lineRule="exact"/>
        <w:ind w:left="0" w:right="0" w:firstLine="525" w:firstLineChars="250"/>
        <w:jc w:val="both"/>
        <w:rPr>
          <w:rFonts w:hint="eastAsia" w:ascii="宋体" w:hAnsi="宋体" w:eastAsia="宋体" w:cs="宋体"/>
          <w:b w:val="0"/>
          <w:color w:val="auto"/>
          <w:sz w:val="21"/>
          <w:szCs w:val="21"/>
          <w:highlight w:val="none"/>
          <w:lang w:val="en" w:eastAsia="zh-CN" w:bidi="ar-SA"/>
        </w:rPr>
      </w:pPr>
      <w:r>
        <w:rPr>
          <w:rFonts w:hint="eastAsia" w:ascii="宋体" w:hAnsi="宋体" w:eastAsia="宋体" w:cs="宋体"/>
          <w:b w:val="0"/>
          <w:color w:val="auto"/>
          <w:sz w:val="21"/>
          <w:szCs w:val="21"/>
          <w:highlight w:val="none"/>
          <w:lang w:val="en-US" w:eastAsia="zh-CN" w:bidi="ar-SA"/>
        </w:rPr>
        <w:t>（2）校园治安、消防安全巡查，处理纠纷和突发事件，协助学校相关部门做好重点部位安全防范、交通秩序、安全环境排查整治等工作</w:t>
      </w:r>
      <w:r>
        <w:rPr>
          <w:rFonts w:hint="eastAsia" w:ascii="宋体" w:hAnsi="宋体" w:eastAsia="宋体" w:cs="宋体"/>
          <w:b w:val="0"/>
          <w:color w:val="auto"/>
          <w:sz w:val="21"/>
          <w:szCs w:val="21"/>
          <w:highlight w:val="none"/>
          <w:lang w:val="en" w:eastAsia="zh-CN" w:bidi="ar-SA"/>
        </w:rPr>
        <w:t>。</w:t>
      </w:r>
    </w:p>
    <w:p w14:paraId="17312B45">
      <w:pPr>
        <w:keepNext w:val="0"/>
        <w:keepLines w:val="0"/>
        <w:widowControl w:val="0"/>
        <w:suppressLineNumbers w:val="0"/>
        <w:spacing w:before="0" w:beforeAutospacing="0" w:after="0" w:afterAutospacing="0" w:line="500" w:lineRule="exact"/>
        <w:ind w:left="0" w:right="0" w:firstLine="525" w:firstLineChars="25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（3）负责学校24小时消防、安全监控管理，监控校园安全及消防情况，并能做出应急处置。</w:t>
      </w:r>
    </w:p>
    <w:p w14:paraId="39E127D0">
      <w:pPr>
        <w:keepNext w:val="0"/>
        <w:keepLines w:val="0"/>
        <w:widowControl w:val="0"/>
        <w:suppressLineNumbers w:val="0"/>
        <w:spacing w:before="0" w:beforeAutospacing="0" w:after="0" w:afterAutospacing="0" w:line="500" w:lineRule="exact"/>
        <w:ind w:left="0" w:right="0" w:firstLine="525" w:firstLineChars="25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 xml:space="preserve">（4）需对校舍进行日常安全防范管理、治安巡查、消防安全巡查等；并做好记录。 </w:t>
      </w:r>
    </w:p>
    <w:p w14:paraId="791932E5">
      <w:pPr>
        <w:keepNext w:val="0"/>
        <w:keepLines w:val="0"/>
        <w:widowControl w:val="0"/>
        <w:suppressLineNumbers w:val="0"/>
        <w:spacing w:before="0" w:beforeAutospacing="0" w:after="0" w:afterAutospacing="0" w:line="500" w:lineRule="exact"/>
        <w:ind w:left="0" w:right="0" w:firstLine="525" w:firstLineChars="25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（5）做好校区内重大活动期间的公共安全防范与秩序维护。</w:t>
      </w:r>
    </w:p>
    <w:p w14:paraId="261D7198">
      <w:pPr>
        <w:keepNext w:val="0"/>
        <w:keepLines w:val="0"/>
        <w:widowControl w:val="0"/>
        <w:suppressLineNumbers w:val="0"/>
        <w:spacing w:before="120" w:beforeAutospacing="0" w:after="120" w:afterAutospacing="0" w:line="560" w:lineRule="exact"/>
        <w:ind w:left="0" w:right="0" w:firstLine="316" w:firstLineChars="150"/>
        <w:jc w:val="both"/>
        <w:rPr>
          <w:rFonts w:hint="eastAsia" w:ascii="宋体" w:hAnsi="宋体" w:eastAsia="宋体" w:cs="宋体"/>
          <w:b/>
          <w:bCs w:val="0"/>
          <w:color w:val="auto"/>
          <w:sz w:val="21"/>
          <w:szCs w:val="21"/>
          <w:highlight w:val="none"/>
          <w:lang w:val="en-US" w:eastAsia="zh-CN" w:bidi="ar-SA"/>
        </w:rPr>
      </w:pPr>
      <w:r>
        <w:rPr>
          <w:rFonts w:ascii="宋体" w:hAnsi="宋体" w:eastAsia="宋体" w:cs="宋体"/>
          <w:b/>
          <w:bCs w:val="0"/>
          <w:color w:val="auto"/>
          <w:sz w:val="21"/>
          <w:szCs w:val="21"/>
          <w:highlight w:val="none"/>
          <w:lang w:val="en" w:eastAsia="zh-CN"/>
        </w:rPr>
        <w:t xml:space="preserve"> </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bidi="ar-SA"/>
        </w:rPr>
        <w:t>校园安全保卫服务岗位需求</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231"/>
        <w:gridCol w:w="4218"/>
        <w:gridCol w:w="3078"/>
      </w:tblGrid>
      <w:tr w14:paraId="3D2C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tcBorders>
              <w:top w:val="single" w:color="000000" w:sz="4" w:space="0"/>
              <w:left w:val="single" w:color="000000" w:sz="4" w:space="0"/>
              <w:bottom w:val="single" w:color="000000" w:sz="4" w:space="0"/>
              <w:right w:val="single" w:color="000000" w:sz="4" w:space="0"/>
            </w:tcBorders>
            <w:vAlign w:val="top"/>
          </w:tcPr>
          <w:p w14:paraId="327F7FC4">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岗位名称</w:t>
            </w:r>
          </w:p>
        </w:tc>
        <w:tc>
          <w:tcPr>
            <w:tcW w:w="1231" w:type="dxa"/>
            <w:tcBorders>
              <w:top w:val="single" w:color="000000" w:sz="4" w:space="0"/>
              <w:left w:val="single" w:color="000000" w:sz="4" w:space="0"/>
              <w:bottom w:val="single" w:color="000000" w:sz="4" w:space="0"/>
              <w:right w:val="single" w:color="000000" w:sz="4" w:space="0"/>
            </w:tcBorders>
            <w:vAlign w:val="top"/>
          </w:tcPr>
          <w:p w14:paraId="6F9F4BE8">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人数（人）</w:t>
            </w:r>
          </w:p>
        </w:tc>
        <w:tc>
          <w:tcPr>
            <w:tcW w:w="4218" w:type="dxa"/>
            <w:tcBorders>
              <w:top w:val="single" w:color="000000" w:sz="4" w:space="0"/>
              <w:left w:val="single" w:color="000000" w:sz="4" w:space="0"/>
              <w:bottom w:val="single" w:color="000000" w:sz="4" w:space="0"/>
              <w:right w:val="single" w:color="000000" w:sz="4" w:space="0"/>
            </w:tcBorders>
            <w:vAlign w:val="top"/>
          </w:tcPr>
          <w:p w14:paraId="331FD7F6">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服务内容</w:t>
            </w:r>
          </w:p>
        </w:tc>
        <w:tc>
          <w:tcPr>
            <w:tcW w:w="3078" w:type="dxa"/>
            <w:tcBorders>
              <w:top w:val="single" w:color="000000" w:sz="4" w:space="0"/>
              <w:left w:val="single" w:color="000000" w:sz="4" w:space="0"/>
              <w:bottom w:val="single" w:color="000000" w:sz="4" w:space="0"/>
              <w:right w:val="single" w:color="000000" w:sz="4" w:space="0"/>
            </w:tcBorders>
            <w:vAlign w:val="top"/>
          </w:tcPr>
          <w:p w14:paraId="054142D1">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岗位条件</w:t>
            </w:r>
          </w:p>
        </w:tc>
      </w:tr>
      <w:tr w14:paraId="3EA0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tcBorders>
              <w:top w:val="single" w:color="000000" w:sz="4" w:space="0"/>
              <w:left w:val="single" w:color="000000" w:sz="4" w:space="0"/>
              <w:bottom w:val="single" w:color="000000" w:sz="4" w:space="0"/>
              <w:right w:val="single" w:color="000000" w:sz="4" w:space="0"/>
            </w:tcBorders>
            <w:vAlign w:val="top"/>
          </w:tcPr>
          <w:p w14:paraId="4B6ADDF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安全监控岗</w:t>
            </w:r>
          </w:p>
        </w:tc>
        <w:tc>
          <w:tcPr>
            <w:tcW w:w="1231" w:type="dxa"/>
            <w:tcBorders>
              <w:top w:val="single" w:color="000000" w:sz="4" w:space="0"/>
              <w:left w:val="single" w:color="000000" w:sz="4" w:space="0"/>
              <w:bottom w:val="single" w:color="000000" w:sz="4" w:space="0"/>
              <w:right w:val="single" w:color="000000" w:sz="4" w:space="0"/>
            </w:tcBorders>
            <w:vAlign w:val="top"/>
          </w:tcPr>
          <w:p w14:paraId="080D7F2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不少于4人</w:t>
            </w:r>
          </w:p>
          <w:p w14:paraId="2D6ED53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c>
          <w:tcPr>
            <w:tcW w:w="4218" w:type="dxa"/>
            <w:tcBorders>
              <w:top w:val="single" w:color="000000" w:sz="4" w:space="0"/>
              <w:left w:val="single" w:color="000000" w:sz="4" w:space="0"/>
              <w:bottom w:val="single" w:color="000000" w:sz="4" w:space="0"/>
              <w:right w:val="single" w:color="000000" w:sz="4" w:space="0"/>
            </w:tcBorders>
            <w:vAlign w:val="top"/>
          </w:tcPr>
          <w:p w14:paraId="53E6D678">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负责监控室值班，监控校园安全及消防控制室显示系统。全面掌握各个区域的治安、消防动态，发现情况及时汇报；负责对重点部位和可疑情况的录像工作等。</w:t>
            </w:r>
          </w:p>
          <w:p w14:paraId="12514DFC">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每月组织一次演练活动（消防、防暴、防震）。</w:t>
            </w:r>
            <w:r>
              <w:rPr>
                <w:rFonts w:hint="eastAsia" w:ascii="宋体" w:hAnsi="宋体" w:eastAsia="宋体" w:cs="宋体"/>
                <w:b w:val="0"/>
                <w:color w:val="auto"/>
                <w:sz w:val="21"/>
                <w:szCs w:val="21"/>
                <w:highlight w:val="none"/>
                <w:lang w:val="en-US" w:eastAsia="zh-CN" w:bidi="ar-SA"/>
              </w:rPr>
              <w:br w:type="textWrapping" w:clear="all"/>
            </w:r>
            <w:r>
              <w:rPr>
                <w:rFonts w:hint="eastAsia" w:ascii="宋体" w:hAnsi="宋体" w:eastAsia="宋体" w:cs="宋体"/>
                <w:b w:val="0"/>
                <w:color w:val="auto"/>
                <w:sz w:val="21"/>
                <w:szCs w:val="21"/>
                <w:highlight w:val="none"/>
                <w:lang w:val="en-US" w:eastAsia="zh-CN" w:bidi="ar-SA"/>
              </w:rPr>
              <w:t xml:space="preserve">3.定期组织及安排对一键报警系统，消防器材、设施、安全器械进行检查。 </w:t>
            </w:r>
          </w:p>
          <w:p w14:paraId="6C29A5A3">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4.负责外来人员出入管理、公共秩序维护、巡逻，突发公共安全事件的处理、消防、电梯安全管理，确保安全稳定。</w:t>
            </w:r>
          </w:p>
          <w:p w14:paraId="57DF57F1">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w:t>
            </w:r>
          </w:p>
          <w:p w14:paraId="6533F959">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做好晚间巡更记录（晚间24:00至次日上午7:30每2小时巡更一次）。</w:t>
            </w:r>
          </w:p>
        </w:tc>
        <w:tc>
          <w:tcPr>
            <w:tcW w:w="3078" w:type="dxa"/>
            <w:tcBorders>
              <w:top w:val="single" w:color="000000" w:sz="4" w:space="0"/>
              <w:left w:val="single" w:color="000000" w:sz="4" w:space="0"/>
              <w:bottom w:val="single" w:color="000000" w:sz="4" w:space="0"/>
              <w:right w:val="single" w:color="000000" w:sz="4" w:space="0"/>
            </w:tcBorders>
            <w:vAlign w:val="top"/>
          </w:tcPr>
          <w:p w14:paraId="738D08C0">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50岁以下，大专及以上学历，</w:t>
            </w:r>
            <w:r>
              <w:rPr>
                <w:rFonts w:hint="eastAsia" w:ascii="宋体" w:hAnsi="宋体" w:eastAsia="宋体" w:cs="宋体"/>
                <w:b/>
                <w:bCs/>
                <w:color w:val="auto"/>
                <w:sz w:val="21"/>
                <w:szCs w:val="21"/>
                <w:highlight w:val="none"/>
                <w:lang w:val="en-US" w:eastAsia="zh-CN" w:bidi="ar-SA"/>
              </w:rPr>
              <w:t>具有消防设施操作员（或建构筑物消防员）初级及以上证书</w:t>
            </w:r>
            <w:r>
              <w:rPr>
                <w:rFonts w:hint="eastAsia" w:ascii="宋体" w:hAnsi="宋体" w:eastAsia="宋体" w:cs="宋体"/>
                <w:b w:val="0"/>
                <w:color w:val="auto"/>
                <w:sz w:val="21"/>
                <w:szCs w:val="21"/>
                <w:highlight w:val="none"/>
                <w:lang w:val="en-US" w:eastAsia="zh-CN" w:bidi="ar-SA"/>
              </w:rPr>
              <w:t>，熟练计算机操作，掌握监控设备功能和使用程序和方法。工作责任心强、品行端正，身体健康，符合岗位及其他要求。有保安员证，无犯罪记录（需提供无犯罪记录证明），24小时值班。（需提供身份证、无犯罪记录证明、学历以及相关证书复印件）</w:t>
            </w:r>
          </w:p>
        </w:tc>
      </w:tr>
      <w:tr w14:paraId="4EF3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tcBorders>
              <w:top w:val="single" w:color="000000" w:sz="4" w:space="0"/>
              <w:left w:val="single" w:color="000000" w:sz="4" w:space="0"/>
              <w:bottom w:val="single" w:color="000000" w:sz="4" w:space="0"/>
              <w:right w:val="single" w:color="000000" w:sz="4" w:space="0"/>
            </w:tcBorders>
            <w:vAlign w:val="top"/>
          </w:tcPr>
          <w:p w14:paraId="7F87BD4E">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门岗</w:t>
            </w:r>
          </w:p>
        </w:tc>
        <w:tc>
          <w:tcPr>
            <w:tcW w:w="1231" w:type="dxa"/>
            <w:tcBorders>
              <w:top w:val="single" w:color="000000" w:sz="4" w:space="0"/>
              <w:left w:val="single" w:color="000000" w:sz="4" w:space="0"/>
              <w:bottom w:val="single" w:color="000000" w:sz="4" w:space="0"/>
              <w:right w:val="single" w:color="000000" w:sz="4" w:space="0"/>
            </w:tcBorders>
            <w:vAlign w:val="top"/>
          </w:tcPr>
          <w:p w14:paraId="3181006F">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不少于6人</w:t>
            </w:r>
          </w:p>
          <w:p w14:paraId="5216133B">
            <w:pPr>
              <w:pStyle w:val="18"/>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b w:val="0"/>
                <w:color w:val="auto"/>
                <w:sz w:val="21"/>
                <w:szCs w:val="21"/>
                <w:highlight w:val="none"/>
                <w:lang w:val="en-US" w:eastAsia="zh-CN" w:bidi="ar-SA"/>
              </w:rPr>
            </w:pPr>
          </w:p>
        </w:tc>
        <w:tc>
          <w:tcPr>
            <w:tcW w:w="4218" w:type="dxa"/>
            <w:tcBorders>
              <w:top w:val="single" w:color="000000" w:sz="4" w:space="0"/>
              <w:left w:val="single" w:color="000000" w:sz="4" w:space="0"/>
              <w:bottom w:val="single" w:color="000000" w:sz="4" w:space="0"/>
              <w:right w:val="single" w:color="000000" w:sz="4" w:space="0"/>
            </w:tcBorders>
            <w:vAlign w:val="top"/>
          </w:tcPr>
          <w:p w14:paraId="449DFCF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1.正大门岗（除幼儿来、离园时段）一人门岗，一人流动岗；</w:t>
            </w:r>
          </w:p>
          <w:p w14:paraId="739F316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2.幼儿来、离园时段人员安排（7:30-8:30，16:30-17:30）：</w:t>
            </w:r>
          </w:p>
          <w:p w14:paraId="689FF48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（1）来园：正大门双人双岗，其中1人为护学岗；托育门双人双岗，其中1人为护学岗；</w:t>
            </w:r>
          </w:p>
          <w:p w14:paraId="3382E8C3">
            <w:pPr>
              <w:pStyle w:val="18"/>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（2）离园：正大门双人双岗，其中1人为护学岗；侧门及托育门双人双岗，其中托育门值岗时间为16:30-17：00，侧门值岗时间为17:00-18:00。</w:t>
            </w:r>
          </w:p>
          <w:p w14:paraId="43F38082">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3.负责校门人员出入、来访检查登记、禁止闲杂人员进入校园、处置应急突发事件，维护校园安全稳定；按规定做好传染病防控工作。</w:t>
            </w:r>
          </w:p>
          <w:p w14:paraId="649FB85F">
            <w:pPr>
              <w:pStyle w:val="18"/>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4.负责管理警务室设施设备，熟悉设备的存放地点及正确使用方法，能做好应急处置。</w:t>
            </w:r>
          </w:p>
          <w:p w14:paraId="54E60E02">
            <w:pPr>
              <w:pStyle w:val="18"/>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5.做好晚间巡更记录（晚间24:00至次日上午7:30每2小时巡更一次）。</w:t>
            </w:r>
          </w:p>
        </w:tc>
        <w:tc>
          <w:tcPr>
            <w:tcW w:w="3078" w:type="dxa"/>
            <w:tcBorders>
              <w:top w:val="single" w:color="000000" w:sz="4" w:space="0"/>
              <w:left w:val="single" w:color="000000" w:sz="4" w:space="0"/>
              <w:bottom w:val="single" w:color="000000" w:sz="4" w:space="0"/>
              <w:right w:val="single" w:color="000000" w:sz="4" w:space="0"/>
            </w:tcBorders>
            <w:vAlign w:val="top"/>
          </w:tcPr>
          <w:p w14:paraId="1C29BD9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要求其中设立1人为班长，50岁以下，本科及以上学历，持有保安员资格证，经过专业消防培训并持有消防设施操作员证书。工作责任心强、服务态度好，品行端正，身体健康，无犯罪记录行政班，24小时电话值班。（需提供身份证、</w:t>
            </w:r>
            <w:r>
              <w:rPr>
                <w:rFonts w:hint="eastAsia" w:ascii="宋体" w:hAnsi="宋体" w:eastAsia="宋体" w:cs="宋体"/>
                <w:b w:val="0"/>
                <w:strike w:val="0"/>
                <w:dstrike w:val="0"/>
                <w:color w:val="auto"/>
                <w:sz w:val="21"/>
                <w:szCs w:val="21"/>
                <w:highlight w:val="none"/>
                <w:lang w:val="en-US" w:eastAsia="zh-CN" w:bidi="ar-SA"/>
              </w:rPr>
              <w:t>无犯罪记录证明、</w:t>
            </w:r>
            <w:r>
              <w:rPr>
                <w:rFonts w:hint="eastAsia" w:ascii="宋体" w:hAnsi="宋体" w:eastAsia="宋体" w:cs="宋体"/>
                <w:b w:val="0"/>
                <w:color w:val="auto"/>
                <w:sz w:val="21"/>
                <w:szCs w:val="21"/>
                <w:highlight w:val="none"/>
                <w:lang w:val="en-US" w:eastAsia="zh-CN" w:bidi="ar-SA"/>
              </w:rPr>
              <w:t>学历以及相关证书复印件）。</w:t>
            </w:r>
          </w:p>
          <w:p w14:paraId="24E5E6C4">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2、其余人员要求年龄在50岁以下，持保安员证，无犯罪记录（需提供无犯罪记录证明），身体健康。</w:t>
            </w:r>
          </w:p>
          <w:p w14:paraId="6D7C5A21">
            <w:pPr>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1"/>
                <w:szCs w:val="21"/>
                <w:highlight w:val="none"/>
                <w:lang w:val="en-US" w:eastAsia="zh-CN" w:bidi="ar-SA"/>
              </w:rPr>
            </w:pPr>
          </w:p>
        </w:tc>
      </w:tr>
      <w:tr w14:paraId="226D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dxa"/>
            <w:tcBorders>
              <w:top w:val="single" w:color="000000" w:sz="4" w:space="0"/>
              <w:left w:val="single" w:color="000000" w:sz="4" w:space="0"/>
              <w:bottom w:val="single" w:color="000000" w:sz="4" w:space="0"/>
              <w:right w:val="single" w:color="000000" w:sz="4" w:space="0"/>
            </w:tcBorders>
            <w:vAlign w:val="top"/>
          </w:tcPr>
          <w:p w14:paraId="165BE363">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综合安保岗</w:t>
            </w:r>
          </w:p>
        </w:tc>
        <w:tc>
          <w:tcPr>
            <w:tcW w:w="1231" w:type="dxa"/>
            <w:tcBorders>
              <w:top w:val="single" w:color="000000" w:sz="4" w:space="0"/>
              <w:left w:val="single" w:color="000000" w:sz="4" w:space="0"/>
              <w:bottom w:val="single" w:color="000000" w:sz="4" w:space="0"/>
              <w:right w:val="single" w:color="000000" w:sz="4" w:space="0"/>
            </w:tcBorders>
            <w:vAlign w:val="top"/>
          </w:tcPr>
          <w:p w14:paraId="631677A3">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不少于4人</w:t>
            </w:r>
          </w:p>
        </w:tc>
        <w:tc>
          <w:tcPr>
            <w:tcW w:w="4218" w:type="dxa"/>
            <w:tcBorders>
              <w:top w:val="single" w:color="000000" w:sz="4" w:space="0"/>
              <w:left w:val="single" w:color="000000" w:sz="4" w:space="0"/>
              <w:bottom w:val="single" w:color="000000" w:sz="4" w:space="0"/>
              <w:right w:val="single" w:color="000000" w:sz="4" w:space="0"/>
            </w:tcBorders>
            <w:vAlign w:val="top"/>
          </w:tcPr>
          <w:p w14:paraId="7921201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1.巡查校园治安及园舍安全（配电房所在区域、电梯、消防设备房及食堂）等重点场所安防及消防情况；</w:t>
            </w:r>
          </w:p>
          <w:p w14:paraId="642DFFD7">
            <w:pPr>
              <w:keepNext w:val="0"/>
              <w:keepLines w:val="0"/>
              <w:widowControl/>
              <w:suppressLineNumbers w:val="0"/>
              <w:spacing w:before="0" w:beforeAutospacing="0" w:after="0" w:afterAutospacing="0" w:line="560" w:lineRule="exact"/>
              <w:ind w:left="0" w:right="0" w:firstLine="420" w:firstLineChars="20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2.负责管理进入校园、校门区域车辆通行、停放等公共秩序，确保安全出口和消防通道的畅通；</w:t>
            </w:r>
          </w:p>
          <w:p w14:paraId="45B9806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3.负责幼儿来离园护学岗工作；</w:t>
            </w:r>
          </w:p>
          <w:p w14:paraId="427EE98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4.负责校园日间安全巡逻并做好记录，时间：上9:30-10:30、下午：15:30-16:30晚间00:00-7:30期间每两小时一次；</w:t>
            </w:r>
          </w:p>
          <w:p w14:paraId="22E268A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5.负责所有安全事务管理、突发情况应急处理，加强与甲方沟通汇报安全管理工作。</w:t>
            </w:r>
          </w:p>
          <w:p w14:paraId="5BC45887">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p>
        </w:tc>
        <w:tc>
          <w:tcPr>
            <w:tcW w:w="3078" w:type="dxa"/>
            <w:tcBorders>
              <w:top w:val="single" w:color="000000" w:sz="4" w:space="0"/>
              <w:left w:val="single" w:color="000000" w:sz="4" w:space="0"/>
              <w:bottom w:val="single" w:color="000000" w:sz="4" w:space="0"/>
              <w:right w:val="single" w:color="000000" w:sz="4" w:space="0"/>
            </w:tcBorders>
            <w:vAlign w:val="top"/>
          </w:tcPr>
          <w:p w14:paraId="023DAF71">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男性，50岁以下，身高165厘米以上、初中及以上文化，形象良好，工作责任心强、服务态度好，品行端正，身体健康。有保安员证，无犯罪记录（需提供无犯罪记录证明）。行政班，</w:t>
            </w:r>
          </w:p>
          <w:p w14:paraId="253F52D1">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24小时电话值班。</w:t>
            </w:r>
          </w:p>
        </w:tc>
      </w:tr>
      <w:tr w14:paraId="2F5D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tcBorders>
              <w:top w:val="single" w:color="000000" w:sz="4" w:space="0"/>
              <w:left w:val="single" w:color="000000" w:sz="4" w:space="0"/>
              <w:bottom w:val="single" w:color="000000" w:sz="4" w:space="0"/>
              <w:right w:val="single" w:color="000000" w:sz="4" w:space="0"/>
            </w:tcBorders>
            <w:vAlign w:val="top"/>
          </w:tcPr>
          <w:p w14:paraId="5F7ADCB3">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小计</w:t>
            </w:r>
          </w:p>
        </w:tc>
        <w:tc>
          <w:tcPr>
            <w:tcW w:w="1231" w:type="dxa"/>
            <w:tcBorders>
              <w:top w:val="single" w:color="000000" w:sz="4" w:space="0"/>
              <w:left w:val="single" w:color="000000" w:sz="4" w:space="0"/>
              <w:bottom w:val="single" w:color="000000" w:sz="4" w:space="0"/>
              <w:right w:val="single" w:color="000000" w:sz="4" w:space="0"/>
            </w:tcBorders>
            <w:vAlign w:val="top"/>
          </w:tcPr>
          <w:p w14:paraId="53CE7812">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不少于14人</w:t>
            </w:r>
          </w:p>
        </w:tc>
        <w:tc>
          <w:tcPr>
            <w:tcW w:w="4218" w:type="dxa"/>
            <w:tcBorders>
              <w:top w:val="single" w:color="000000" w:sz="4" w:space="0"/>
              <w:left w:val="single" w:color="000000" w:sz="4" w:space="0"/>
              <w:bottom w:val="single" w:color="000000" w:sz="4" w:space="0"/>
              <w:right w:val="single" w:color="000000" w:sz="4" w:space="0"/>
            </w:tcBorders>
            <w:vAlign w:val="top"/>
          </w:tcPr>
          <w:p w14:paraId="2EAA939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c>
          <w:tcPr>
            <w:tcW w:w="3078" w:type="dxa"/>
            <w:tcBorders>
              <w:top w:val="single" w:color="000000" w:sz="4" w:space="0"/>
              <w:left w:val="single" w:color="000000" w:sz="4" w:space="0"/>
              <w:bottom w:val="single" w:color="000000" w:sz="4" w:space="0"/>
              <w:right w:val="single" w:color="000000" w:sz="4" w:space="0"/>
            </w:tcBorders>
            <w:vAlign w:val="top"/>
          </w:tcPr>
          <w:p w14:paraId="5CF6961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r>
    </w:tbl>
    <w:p w14:paraId="046B3941">
      <w:pPr>
        <w:keepNext w:val="0"/>
        <w:keepLines w:val="0"/>
        <w:widowControl w:val="0"/>
        <w:suppressLineNumbers w:val="0"/>
        <w:spacing w:before="120" w:beforeAutospacing="0" w:after="120" w:afterAutospacing="0" w:line="560" w:lineRule="exact"/>
        <w:ind w:left="0" w:right="0" w:firstLine="0" w:firstLineChars="0"/>
        <w:jc w:val="both"/>
        <w:rPr>
          <w:rFonts w:hint="eastAsia" w:ascii="宋体" w:hAnsi="宋体" w:eastAsia="宋体" w:cs="宋体"/>
          <w:b/>
          <w:bCs/>
          <w:color w:val="auto"/>
          <w:sz w:val="21"/>
          <w:szCs w:val="21"/>
          <w:highlight w:val="none"/>
          <w:lang w:val="en-US" w:eastAsia="zh-CN" w:bidi="ar-SA"/>
        </w:rPr>
      </w:pPr>
    </w:p>
    <w:p w14:paraId="44482AE0">
      <w:pPr>
        <w:pStyle w:val="2"/>
        <w:rPr>
          <w:rFonts w:hint="eastAsia" w:ascii="宋体" w:hAnsi="宋体" w:eastAsia="宋体" w:cs="宋体"/>
          <w:b/>
          <w:bCs/>
          <w:color w:val="auto"/>
          <w:sz w:val="21"/>
          <w:szCs w:val="21"/>
          <w:highlight w:val="none"/>
          <w:lang w:val="en-US" w:eastAsia="zh-CN" w:bidi="ar-SA"/>
        </w:rPr>
      </w:pPr>
    </w:p>
    <w:p w14:paraId="4C9F2A55">
      <w:pPr>
        <w:pStyle w:val="2"/>
        <w:rPr>
          <w:rFonts w:hint="eastAsia" w:ascii="宋体" w:hAnsi="宋体" w:eastAsia="宋体" w:cs="宋体"/>
          <w:b/>
          <w:bCs/>
          <w:color w:val="auto"/>
          <w:sz w:val="21"/>
          <w:szCs w:val="21"/>
          <w:highlight w:val="none"/>
          <w:lang w:val="en-US" w:eastAsia="zh-CN" w:bidi="ar-SA"/>
        </w:rPr>
      </w:pPr>
    </w:p>
    <w:p w14:paraId="2562DC45">
      <w:pPr>
        <w:pStyle w:val="2"/>
        <w:rPr>
          <w:rFonts w:hint="eastAsia" w:ascii="宋体" w:hAnsi="宋体" w:eastAsia="宋体" w:cs="宋体"/>
          <w:b/>
          <w:bCs/>
          <w:color w:val="auto"/>
          <w:sz w:val="21"/>
          <w:szCs w:val="21"/>
          <w:highlight w:val="none"/>
          <w:lang w:val="en-US" w:eastAsia="zh-CN" w:bidi="ar-SA"/>
        </w:rPr>
      </w:pPr>
    </w:p>
    <w:p w14:paraId="3653ECD3">
      <w:pPr>
        <w:pStyle w:val="2"/>
        <w:rPr>
          <w:rFonts w:hint="eastAsia" w:ascii="宋体" w:hAnsi="宋体" w:eastAsia="宋体" w:cs="宋体"/>
          <w:b/>
          <w:bCs/>
          <w:color w:val="auto"/>
          <w:sz w:val="21"/>
          <w:szCs w:val="21"/>
          <w:highlight w:val="none"/>
          <w:lang w:val="en-US" w:eastAsia="zh-CN" w:bidi="ar-SA"/>
        </w:rPr>
      </w:pPr>
    </w:p>
    <w:p w14:paraId="73D7A4C8">
      <w:pPr>
        <w:pStyle w:val="2"/>
        <w:rPr>
          <w:rFonts w:hint="eastAsia" w:ascii="宋体" w:hAnsi="宋体" w:eastAsia="宋体" w:cs="宋体"/>
          <w:b/>
          <w:bCs/>
          <w:color w:val="auto"/>
          <w:sz w:val="21"/>
          <w:szCs w:val="21"/>
          <w:highlight w:val="none"/>
          <w:lang w:val="en-US" w:eastAsia="zh-CN" w:bidi="ar-SA"/>
        </w:rPr>
      </w:pPr>
    </w:p>
    <w:p w14:paraId="2F2DC698">
      <w:pPr>
        <w:pStyle w:val="2"/>
        <w:rPr>
          <w:rFonts w:hint="eastAsia" w:ascii="宋体" w:hAnsi="宋体" w:eastAsia="宋体" w:cs="宋体"/>
          <w:b/>
          <w:bCs/>
          <w:color w:val="auto"/>
          <w:sz w:val="21"/>
          <w:szCs w:val="21"/>
          <w:highlight w:val="none"/>
          <w:lang w:val="en-US" w:eastAsia="zh-CN" w:bidi="ar-SA"/>
        </w:rPr>
      </w:pPr>
    </w:p>
    <w:p w14:paraId="5E1DF595">
      <w:pPr>
        <w:pStyle w:val="2"/>
        <w:rPr>
          <w:rFonts w:hint="eastAsia" w:ascii="宋体" w:hAnsi="宋体" w:eastAsia="宋体" w:cs="宋体"/>
          <w:b/>
          <w:bCs/>
          <w:color w:val="auto"/>
          <w:sz w:val="21"/>
          <w:szCs w:val="21"/>
          <w:highlight w:val="none"/>
          <w:lang w:val="en-US" w:eastAsia="zh-CN" w:bidi="ar-SA"/>
        </w:rPr>
      </w:pPr>
    </w:p>
    <w:p w14:paraId="6A9D6776">
      <w:pPr>
        <w:pStyle w:val="2"/>
        <w:rPr>
          <w:rFonts w:hint="eastAsia" w:ascii="宋体" w:hAnsi="宋体" w:eastAsia="宋体" w:cs="宋体"/>
          <w:b/>
          <w:bCs/>
          <w:color w:val="auto"/>
          <w:sz w:val="21"/>
          <w:szCs w:val="21"/>
          <w:highlight w:val="none"/>
          <w:lang w:val="en-US" w:eastAsia="zh-CN" w:bidi="ar-SA"/>
        </w:rPr>
      </w:pPr>
    </w:p>
    <w:p w14:paraId="7D56CD3E">
      <w:pPr>
        <w:pStyle w:val="2"/>
        <w:rPr>
          <w:rFonts w:hint="eastAsia" w:ascii="宋体" w:hAnsi="宋体" w:eastAsia="宋体" w:cs="宋体"/>
          <w:b/>
          <w:bCs/>
          <w:color w:val="auto"/>
          <w:sz w:val="21"/>
          <w:szCs w:val="21"/>
          <w:highlight w:val="none"/>
          <w:lang w:val="en-US" w:eastAsia="zh-CN" w:bidi="ar-SA"/>
        </w:rPr>
      </w:pPr>
    </w:p>
    <w:p w14:paraId="4611C06C">
      <w:pPr>
        <w:keepNext w:val="0"/>
        <w:keepLines w:val="0"/>
        <w:widowControl w:val="0"/>
        <w:suppressLineNumbers w:val="0"/>
        <w:spacing w:before="120" w:beforeAutospacing="0" w:after="120" w:afterAutospacing="0" w:line="560" w:lineRule="exact"/>
        <w:ind w:left="0" w:right="0" w:firstLine="0" w:firstLineChars="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3、校园安全保卫服务要求与标准</w:t>
      </w:r>
    </w:p>
    <w:tbl>
      <w:tblPr>
        <w:tblStyle w:val="22"/>
        <w:tblpPr w:leftFromText="180" w:rightFromText="180" w:vertAnchor="text" w:horzAnchor="page" w:tblpX="1396" w:tblpY="81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290"/>
        <w:gridCol w:w="6988"/>
      </w:tblGrid>
      <w:tr w14:paraId="26EF6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top"/>
          </w:tcPr>
          <w:p w14:paraId="07AB8D77">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000000" w:themeColor="text1"/>
                <w:sz w:val="21"/>
                <w:szCs w:val="21"/>
                <w:highlight w:val="none"/>
                <w:lang w:val="en-US" w:eastAsia="zh-CN" w:bidi="ar-SA"/>
              </w:rPr>
            </w:pPr>
            <w:r>
              <w:rPr>
                <w:rFonts w:hint="eastAsia" w:ascii="宋体" w:hAnsi="宋体" w:eastAsia="宋体" w:cs="宋体"/>
                <w:b w:val="0"/>
                <w:color w:val="000000" w:themeColor="text1"/>
                <w:sz w:val="21"/>
                <w:szCs w:val="21"/>
                <w:highlight w:val="none"/>
                <w:lang w:val="en-US" w:eastAsia="en-US" w:bidi="ar-SA"/>
              </w:rPr>
              <w:t>序号</w:t>
            </w:r>
          </w:p>
        </w:tc>
        <w:tc>
          <w:tcPr>
            <w:tcW w:w="1290" w:type="dxa"/>
            <w:tcBorders>
              <w:top w:val="single" w:color="auto" w:sz="4" w:space="0"/>
              <w:left w:val="single" w:color="auto" w:sz="4" w:space="0"/>
              <w:bottom w:val="single" w:color="auto" w:sz="4" w:space="0"/>
              <w:right w:val="single" w:color="auto" w:sz="4" w:space="0"/>
            </w:tcBorders>
            <w:vAlign w:val="top"/>
          </w:tcPr>
          <w:p w14:paraId="1BC96746">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000000" w:themeColor="text1"/>
                <w:sz w:val="21"/>
                <w:szCs w:val="21"/>
                <w:highlight w:val="none"/>
                <w:lang w:val="en-US" w:eastAsia="zh-CN" w:bidi="ar-SA"/>
              </w:rPr>
            </w:pPr>
            <w:r>
              <w:rPr>
                <w:rFonts w:hint="eastAsia" w:ascii="宋体" w:hAnsi="宋体" w:eastAsia="宋体" w:cs="宋体"/>
                <w:b w:val="0"/>
                <w:color w:val="000000" w:themeColor="text1"/>
                <w:sz w:val="21"/>
                <w:szCs w:val="21"/>
                <w:highlight w:val="none"/>
                <w:lang w:val="en-US" w:eastAsia="en-US" w:bidi="ar-SA"/>
              </w:rPr>
              <w:t>服务</w:t>
            </w:r>
            <w:r>
              <w:rPr>
                <w:rFonts w:hint="eastAsia" w:ascii="宋体" w:hAnsi="宋体" w:eastAsia="宋体" w:cs="宋体"/>
                <w:b w:val="0"/>
                <w:color w:val="000000" w:themeColor="text1"/>
                <w:sz w:val="21"/>
                <w:szCs w:val="21"/>
                <w:highlight w:val="none"/>
                <w:lang w:val="en-US" w:eastAsia="zh-CN" w:bidi="ar-SA"/>
              </w:rPr>
              <w:t>项目</w:t>
            </w:r>
          </w:p>
        </w:tc>
        <w:tc>
          <w:tcPr>
            <w:tcW w:w="6988" w:type="dxa"/>
            <w:tcBorders>
              <w:top w:val="single" w:color="auto" w:sz="4" w:space="0"/>
              <w:left w:val="single" w:color="auto" w:sz="4" w:space="0"/>
              <w:bottom w:val="single" w:color="auto" w:sz="4" w:space="0"/>
              <w:right w:val="single" w:color="auto" w:sz="4" w:space="0"/>
            </w:tcBorders>
            <w:vAlign w:val="top"/>
          </w:tcPr>
          <w:p w14:paraId="1EC71FF6">
            <w:pPr>
              <w:pStyle w:val="18"/>
              <w:keepNext w:val="0"/>
              <w:keepLines w:val="0"/>
              <w:widowControl w:val="0"/>
              <w:suppressLineNumbers w:val="0"/>
              <w:spacing w:before="0" w:beforeAutospacing="0" w:after="0" w:afterAutospacing="0" w:line="560" w:lineRule="exact"/>
              <w:ind w:left="0" w:right="0" w:firstLine="0" w:firstLineChars="0"/>
              <w:jc w:val="center"/>
              <w:rPr>
                <w:rFonts w:hint="eastAsia" w:ascii="宋体" w:hAnsi="宋体" w:eastAsia="宋体" w:cs="宋体"/>
                <w:b w:val="0"/>
                <w:color w:val="000000" w:themeColor="text1"/>
                <w:sz w:val="21"/>
                <w:szCs w:val="21"/>
                <w:highlight w:val="none"/>
                <w:lang w:val="en-US" w:eastAsia="zh-CN" w:bidi="ar-SA"/>
              </w:rPr>
            </w:pPr>
            <w:r>
              <w:rPr>
                <w:rFonts w:hint="eastAsia" w:ascii="宋体" w:hAnsi="宋体" w:eastAsia="宋体" w:cs="宋体"/>
                <w:b w:val="0"/>
                <w:color w:val="000000" w:themeColor="text1"/>
                <w:sz w:val="21"/>
                <w:szCs w:val="21"/>
                <w:highlight w:val="none"/>
                <w:lang w:val="en-US" w:eastAsia="en-US" w:bidi="ar-SA"/>
              </w:rPr>
              <w:t>服务要求和</w:t>
            </w:r>
            <w:r>
              <w:rPr>
                <w:rFonts w:hint="eastAsia" w:ascii="宋体" w:hAnsi="宋体" w:eastAsia="宋体" w:cs="宋体"/>
                <w:b w:val="0"/>
                <w:color w:val="000000" w:themeColor="text1"/>
                <w:sz w:val="21"/>
                <w:szCs w:val="21"/>
                <w:highlight w:val="none"/>
                <w:lang w:val="en-US" w:eastAsia="zh-CN" w:bidi="ar-SA"/>
              </w:rPr>
              <w:t>服务</w:t>
            </w:r>
            <w:r>
              <w:rPr>
                <w:rFonts w:hint="eastAsia" w:ascii="宋体" w:hAnsi="宋体" w:eastAsia="宋体" w:cs="宋体"/>
                <w:b w:val="0"/>
                <w:color w:val="000000" w:themeColor="text1"/>
                <w:sz w:val="21"/>
                <w:szCs w:val="21"/>
                <w:highlight w:val="none"/>
                <w:lang w:val="en-US" w:eastAsia="en-US" w:bidi="ar-SA"/>
              </w:rPr>
              <w:t>标准</w:t>
            </w:r>
          </w:p>
        </w:tc>
      </w:tr>
      <w:tr w14:paraId="25379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top"/>
          </w:tcPr>
          <w:p w14:paraId="3819A91F">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p w14:paraId="2636E517">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（一）</w:t>
            </w:r>
          </w:p>
        </w:tc>
        <w:tc>
          <w:tcPr>
            <w:tcW w:w="1290" w:type="dxa"/>
            <w:tcBorders>
              <w:top w:val="single" w:color="auto" w:sz="4" w:space="0"/>
              <w:left w:val="single" w:color="auto" w:sz="4" w:space="0"/>
              <w:bottom w:val="single" w:color="auto" w:sz="4" w:space="0"/>
              <w:right w:val="single" w:color="auto" w:sz="4" w:space="0"/>
            </w:tcBorders>
            <w:vAlign w:val="top"/>
          </w:tcPr>
          <w:p w14:paraId="4BDEEC5E">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p>
          <w:p w14:paraId="1F806AB0">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zh-CN" w:bidi="ar-SA"/>
              </w:rPr>
              <w:t>安全监控岗</w:t>
            </w:r>
          </w:p>
        </w:tc>
        <w:tc>
          <w:tcPr>
            <w:tcW w:w="6988" w:type="dxa"/>
            <w:tcBorders>
              <w:top w:val="single" w:color="auto" w:sz="4" w:space="0"/>
              <w:left w:val="single" w:color="auto" w:sz="4" w:space="0"/>
              <w:bottom w:val="single" w:color="auto" w:sz="4" w:space="0"/>
              <w:right w:val="single" w:color="auto" w:sz="4" w:space="0"/>
            </w:tcBorders>
            <w:vAlign w:val="top"/>
          </w:tcPr>
          <w:p w14:paraId="2D2CEF39">
            <w:pPr>
              <w:keepNext w:val="0"/>
              <w:keepLines w:val="0"/>
              <w:widowControl w:val="0"/>
              <w:numPr>
                <w:ilvl w:val="0"/>
                <w:numId w:val="3"/>
              </w:numPr>
              <w:suppressLineNumbers w:val="0"/>
              <w:tabs>
                <w:tab w:val="clear" w:pos="312"/>
              </w:tabs>
              <w:spacing w:before="0" w:beforeAutospacing="0" w:after="0" w:afterAutospacing="0" w:line="560" w:lineRule="exact"/>
              <w:ind w:left="0" w:right="0" w:firstLine="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负责外来人员出入管理、公共秩序维护、巡逻，</w:t>
            </w:r>
          </w:p>
          <w:p w14:paraId="4A3E9C7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2.负责学校监控室的监控，配合协助校园治安巡视工作及突发事件处理工作；</w:t>
            </w:r>
          </w:p>
          <w:p w14:paraId="5FDDCBD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3.全天24小时在岗值班，在岗期间统一穿着制服和挂牌上岗，做好当班的交接记录；</w:t>
            </w:r>
          </w:p>
          <w:p w14:paraId="0A969B5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4.熟练掌握监控系统操作技术，严格遵守操作规程，监控计算机不得做无关的操作、不得无故中断监控，删除监控资料，做好对校园安全的实时监控和图像信息资料保存；</w:t>
            </w:r>
          </w:p>
          <w:p w14:paraId="1C56890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做好图像信息使用登记管理，不得擅自删改、破坏图像信息资料的原始记录，不得擅自复制或向他们提供信息资料，不得故意偷拍、散布他人隐私、确保视频资料安全，无关人员调取视频资料必须经保卫处领导批准，未经批准泄露视频信息资当班人员承担相关法律责任；</w:t>
            </w:r>
          </w:p>
          <w:p w14:paraId="6268FC7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6.维护监控设备，密切注意监控设备运行情况，协助学校做好监控设备的日常检修和维护、及时排除故障，保证系统正常运行；</w:t>
            </w:r>
          </w:p>
          <w:p w14:paraId="22D36F9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7.负责通过监控及时了解校园公共安全情况，发现违法犯罪嫌疑情况和其他可疑情况，及时报告学校后勤部门，及时采取有效措施处置，确保校园安全稳定。</w:t>
            </w:r>
          </w:p>
          <w:p w14:paraId="267FF5E7">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8.严格执行学校相关监控管理制度和操作规程，无操作安全事故发生；</w:t>
            </w:r>
          </w:p>
          <w:p w14:paraId="11A0FF3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9.监控操作系统维护良好，运作正常；</w:t>
            </w:r>
          </w:p>
          <w:p w14:paraId="05F897A0">
            <w:pPr>
              <w:keepNext w:val="0"/>
              <w:keepLines w:val="0"/>
              <w:spacing w:before="0" w:after="0" w:line="560" w:lineRule="exact"/>
              <w:rPr>
                <w:rFonts w:hint="eastAsia" w:ascii="宋体" w:hAnsi="宋体" w:cs="宋体"/>
                <w:color w:val="auto"/>
                <w:highlight w:val="none"/>
                <w:lang w:val="en-US" w:eastAsia="zh-CN"/>
              </w:rPr>
            </w:pPr>
            <w:r>
              <w:rPr>
                <w:rFonts w:hint="eastAsia" w:ascii="宋体" w:hAnsi="宋体" w:eastAsia="宋体" w:cs="宋体"/>
                <w:b w:val="0"/>
                <w:color w:val="auto"/>
                <w:sz w:val="21"/>
                <w:szCs w:val="21"/>
                <w:highlight w:val="none"/>
                <w:lang w:val="en-US" w:eastAsia="zh-CN" w:bidi="ar-SA"/>
              </w:rPr>
              <w:t>10.监控视频信息资料完整、清晰，资料档案保存规范，无视频资料外泄、丢失现象；</w:t>
            </w:r>
          </w:p>
          <w:p w14:paraId="276F767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11.出现可疑情况汇报处理及时，校园无重大治安、消防安全事件发生。</w:t>
            </w:r>
          </w:p>
          <w:p w14:paraId="5F90C51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12.每月形成安防情况分析报告。</w:t>
            </w:r>
          </w:p>
          <w:p w14:paraId="43DE1C8F">
            <w:pPr>
              <w:pStyle w:val="18"/>
              <w:keepNext w:val="0"/>
              <w:keepLines w:val="0"/>
              <w:widowControl w:val="0"/>
              <w:suppressLineNumbers w:val="0"/>
              <w:spacing w:before="0" w:beforeAutospacing="0" w:after="0" w:afterAutospacing="0" w:line="560" w:lineRule="exact"/>
              <w:ind w:left="0" w:right="0" w:firstLine="0" w:firstLineChars="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13.做好夜间巡逻。</w:t>
            </w:r>
          </w:p>
          <w:p w14:paraId="319B8815">
            <w:pPr>
              <w:pStyle w:val="18"/>
              <w:keepNext w:val="0"/>
              <w:keepLines w:val="0"/>
              <w:widowControl w:val="0"/>
              <w:suppressLineNumbers w:val="0"/>
              <w:spacing w:before="0" w:beforeAutospacing="0" w:after="0" w:afterAutospacing="0" w:line="560" w:lineRule="exact"/>
              <w:ind w:left="0" w:right="0" w:firstLine="0" w:firstLineChars="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14.每月开展应急演练或技能培训一次，并做好相关台账。</w:t>
            </w:r>
          </w:p>
          <w:p w14:paraId="05BAD16D">
            <w:pPr>
              <w:pStyle w:val="18"/>
              <w:keepNext w:val="0"/>
              <w:keepLines w:val="0"/>
              <w:widowControl w:val="0"/>
              <w:suppressLineNumbers w:val="0"/>
              <w:spacing w:before="0" w:beforeAutospacing="0" w:after="0" w:afterAutospacing="0" w:line="560" w:lineRule="exact"/>
              <w:ind w:left="0" w:right="0" w:firstLine="0" w:firstLineChars="0"/>
              <w:jc w:val="both"/>
              <w:rPr>
                <w:rFonts w:hint="eastAsia" w:ascii="宋体" w:hAnsi="宋体" w:eastAsia="宋体" w:cs="宋体"/>
                <w:b w:val="0"/>
                <w:color w:val="auto"/>
                <w:sz w:val="21"/>
                <w:szCs w:val="21"/>
                <w:highlight w:val="none"/>
                <w:lang w:val="en-US" w:eastAsia="zh-CN" w:bidi="ar-SA"/>
              </w:rPr>
            </w:pPr>
          </w:p>
        </w:tc>
      </w:tr>
      <w:tr w14:paraId="4CE4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top"/>
          </w:tcPr>
          <w:p w14:paraId="29DAD5B5">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（二）</w:t>
            </w:r>
          </w:p>
        </w:tc>
        <w:tc>
          <w:tcPr>
            <w:tcW w:w="1290" w:type="dxa"/>
            <w:tcBorders>
              <w:top w:val="single" w:color="auto" w:sz="4" w:space="0"/>
              <w:left w:val="single" w:color="auto" w:sz="4" w:space="0"/>
              <w:bottom w:val="single" w:color="auto" w:sz="4" w:space="0"/>
              <w:right w:val="single" w:color="auto" w:sz="4" w:space="0"/>
            </w:tcBorders>
            <w:vAlign w:val="top"/>
          </w:tcPr>
          <w:p w14:paraId="4647F0B9">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门岗</w:t>
            </w:r>
          </w:p>
        </w:tc>
        <w:tc>
          <w:tcPr>
            <w:tcW w:w="6988" w:type="dxa"/>
            <w:tcBorders>
              <w:top w:val="single" w:color="auto" w:sz="4" w:space="0"/>
              <w:left w:val="single" w:color="auto" w:sz="4" w:space="0"/>
              <w:bottom w:val="single" w:color="auto" w:sz="4" w:space="0"/>
              <w:right w:val="single" w:color="auto" w:sz="4" w:space="0"/>
            </w:tcBorders>
            <w:vAlign w:val="top"/>
          </w:tcPr>
          <w:p w14:paraId="34910AB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1.认真执行治安综合管理的有关规定。在岗期间统一穿着制服和挂牌上岗。学校门岗实行每天24小时值勤。严格执行上下班制度，认真做好交接手续，24小不断岗；</w:t>
            </w:r>
          </w:p>
          <w:p w14:paraId="4514E71F">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2.遵纪守法，坚守岗位，不得擅离职守，值勤时着装整齐、姿态端庄、注意文明礼仪，值勤时间不得做与工作无关之事；</w:t>
            </w:r>
          </w:p>
          <w:p w14:paraId="62F0215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3.维护校门内外秩序，做好人车来访检查、登记和出入管理校园机动车辆和电动自行车进出校门的日常管理，禁止外来闲杂人员、可疑人员进入校园，严禁携带刀具、易燃易爆等危险物品进入校园；</w:t>
            </w:r>
          </w:p>
          <w:p w14:paraId="6D92DB7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4.对携带贵重或大量物品出校者，要验收放行条，办理登记手续；未经批准各类家具一律不准带出校园。不配合检查者，报告学校后勤部门处理；</w:t>
            </w:r>
          </w:p>
          <w:p w14:paraId="24E250A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5.协助学校后勤部门做好其他安全保卫工作；</w:t>
            </w:r>
          </w:p>
          <w:p w14:paraId="082A0CE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6.保证校园无重大治安安全事故发生，学校治安达“平安校园”标准；</w:t>
            </w:r>
          </w:p>
          <w:p w14:paraId="710589F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7.严格审查外来人员证件，做好人员、车辆出入登记，校门内外无闲杂、可疑人员和乱摆乱买摊点；</w:t>
            </w:r>
          </w:p>
          <w:p w14:paraId="1CDDB30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8.严格执行学校机动车辆出入停放管理办法，保持交通车辆进出有序，保持道路畅通,校园交通秩序良好；</w:t>
            </w:r>
          </w:p>
          <w:p w14:paraId="5E69DC1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9.校门内外无治安案件发生、无重大盗窃案件发生；校门内外的秩序良好；</w:t>
            </w:r>
          </w:p>
          <w:p w14:paraId="48242A4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10.根据校园传染病管控工作要求，配合做好清洁消杀工作。</w:t>
            </w:r>
          </w:p>
          <w:p w14:paraId="7451B414">
            <w:pPr>
              <w:pStyle w:val="18"/>
              <w:keepNext w:val="0"/>
              <w:keepLines w:val="0"/>
              <w:widowControl w:val="0"/>
              <w:suppressLineNumbers w:val="0"/>
              <w:spacing w:before="0" w:beforeAutospacing="0" w:after="0" w:afterAutospacing="0" w:line="560" w:lineRule="exact"/>
              <w:ind w:left="0" w:right="0" w:firstLine="0" w:firstLineChars="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11.做好夜间巡逻。</w:t>
            </w:r>
          </w:p>
          <w:p w14:paraId="2F8C5406">
            <w:pPr>
              <w:pStyle w:val="18"/>
              <w:keepNext w:val="0"/>
              <w:keepLines w:val="0"/>
              <w:widowControl w:val="0"/>
              <w:suppressLineNumbers w:val="0"/>
              <w:spacing w:before="0" w:beforeAutospacing="0" w:after="0" w:afterAutospacing="0" w:line="560" w:lineRule="exact"/>
              <w:ind w:left="0" w:right="0" w:firstLine="0" w:firstLineChars="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12.每月开展应急演练或技能培训一次，并做好相关台账。</w:t>
            </w:r>
          </w:p>
        </w:tc>
      </w:tr>
      <w:tr w14:paraId="0BF1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dxa"/>
            <w:tcBorders>
              <w:top w:val="single" w:color="auto" w:sz="4" w:space="0"/>
              <w:left w:val="single" w:color="auto" w:sz="4" w:space="0"/>
              <w:bottom w:val="single" w:color="auto" w:sz="4" w:space="0"/>
              <w:right w:val="single" w:color="auto" w:sz="4" w:space="0"/>
            </w:tcBorders>
            <w:vAlign w:val="top"/>
          </w:tcPr>
          <w:p w14:paraId="59EF3906">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（三）</w:t>
            </w:r>
          </w:p>
        </w:tc>
        <w:tc>
          <w:tcPr>
            <w:tcW w:w="1290" w:type="dxa"/>
            <w:tcBorders>
              <w:top w:val="single" w:color="auto" w:sz="4" w:space="0"/>
              <w:left w:val="single" w:color="auto" w:sz="4" w:space="0"/>
              <w:bottom w:val="single" w:color="auto" w:sz="4" w:space="0"/>
              <w:right w:val="single" w:color="auto" w:sz="4" w:space="0"/>
            </w:tcBorders>
            <w:vAlign w:val="top"/>
          </w:tcPr>
          <w:p w14:paraId="3C2F960E">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综合安保岗</w:t>
            </w:r>
          </w:p>
        </w:tc>
        <w:tc>
          <w:tcPr>
            <w:tcW w:w="6988" w:type="dxa"/>
            <w:tcBorders>
              <w:top w:val="single" w:color="auto" w:sz="4" w:space="0"/>
              <w:left w:val="single" w:color="auto" w:sz="4" w:space="0"/>
              <w:bottom w:val="single" w:color="auto" w:sz="4" w:space="0"/>
              <w:right w:val="single" w:color="auto" w:sz="4" w:space="0"/>
            </w:tcBorders>
            <w:vAlign w:val="top"/>
          </w:tcPr>
          <w:p w14:paraId="6B04FEE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1.认真遵守学校各项管理规定，在岗期间统一穿着制服和挂牌上岗。每天24小时电话值勤，严格执行上下班制度，认真做好交接手续，24小时不断岗；</w:t>
            </w:r>
          </w:p>
          <w:p w14:paraId="31F474E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全方位巡逻校园，及时处置报告重要情况，做好日间、学生上学、放学等聚集时段巡查；非上班时间加强办公区、教学区、设备间、教室、食堂、仓库和停车棚等重点区域巡查，上班、教学时间加强停车棚、校园门口和户外教学场地的巡查，及时发现和消除安全隐患，防止发生盗窃、火灾、治安事件；</w:t>
            </w:r>
          </w:p>
          <w:p w14:paraId="102B7033">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3.负责校园车辆日停放引导和管理，严禁违规停放和飞线充电，严禁在宿舍区走道、公共区域通道给电动自行车充电，不服从管理者，报告学校后勤部门处理；</w:t>
            </w:r>
          </w:p>
          <w:p w14:paraId="70D1FEB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4.配合学校相关部门做好校园治安防范安合保卫服务管理工作、配合学校和公安机关处理管辖区域范围内的一切与治安有关的事件，及时受理校园内各类纠纷和治安案件，及时正确处理校园内的各类突发事件。</w:t>
            </w:r>
          </w:p>
          <w:p w14:paraId="252E0E4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5.熟悉园舍建筑布局，熟悉消防设备的放置位置，熟悉报警电话，协助学校相关部门做好重点部位安全防范工作，发现安全隐患，及时处理或向学校保卫处报告；</w:t>
            </w:r>
          </w:p>
          <w:p w14:paraId="3CB30BF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6.教学时间维持教学正常秩序不受干扰，发现形迹可疑人员上前询问并劝离；</w:t>
            </w:r>
          </w:p>
          <w:p w14:paraId="69F6B19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7.学校召开大型会议、举办重大活动、承接各类校外人员入校考试和法定节假日、政治敏感防护期等，加强巡逻防范，做好安保工作，确保校园安全稳定；</w:t>
            </w:r>
          </w:p>
          <w:p w14:paraId="1CE0D8D1">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8.安保人员必须熟悉消防器材的操作规程，并对配备的消防器材进行维护和保养；突发公共安全事件的处理、消防、电梯安全管理，确保安全稳定；</w:t>
            </w:r>
          </w:p>
          <w:p w14:paraId="5D5CCD6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 xml:space="preserve">9.执行网格化管理，合理设置24小时巡逻路线和范围，每天巡防不保留死角，治安防范措施严密，师生安全感、满意度高，处置突发事件速度快稳妥，群众的报警求助及时处理和反馈; </w:t>
            </w:r>
          </w:p>
          <w:p w14:paraId="1CBCCA9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10.每日检查学校配电房、游泳池设施设备、消防控制系统等重点所和设备，每月检查消防设施设备，积极防范消防事故发生；</w:t>
            </w:r>
          </w:p>
          <w:p w14:paraId="5DBA5BA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 xml:space="preserve">11.每日定时巡查校园，遇有可疑人员询问清楚，必要时采取措施，及时发现安全隐患，制止突发事件、重大事件，并向后勤部门报告； </w:t>
            </w:r>
          </w:p>
          <w:p w14:paraId="7EC1072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 xml:space="preserve">12.制止群体闹事和打架斗殴，发现可疑情况及突发性事件，立即妥善处理，防止事态扩大，并报告学校后勤部门；发生重大案件及时报警，保护现场，维护校园秩序； </w:t>
            </w:r>
          </w:p>
          <w:p w14:paraId="2F1227D6">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13.认真做好校园的防火、防暴、防盗、防毒、防抢、防骗“六防”工作，保障学校校区内财产和师生人身不受侵害；</w:t>
            </w:r>
          </w:p>
          <w:p w14:paraId="799B3486">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14.每天巡逻检查校园消防安全情况，发现火灾隐患及时报告并消除；</w:t>
            </w:r>
          </w:p>
          <w:p w14:paraId="790FE5F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15.及时处置影响校园公共安全的行为，校园门口区域无乱摆乱卖推销人员、无闲杂人员寻衅滋扰；</w:t>
            </w:r>
          </w:p>
          <w:p w14:paraId="2C83D1B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16.严格执行校园治安综合管理有关规定，保证校园无重大治安安全事故发生，学校治安达“平安校园”标准；</w:t>
            </w:r>
          </w:p>
          <w:p w14:paraId="4EE8992F">
            <w:pPr>
              <w:pStyle w:val="18"/>
              <w:keepNext w:val="0"/>
              <w:keepLines w:val="0"/>
              <w:widowControl w:val="0"/>
              <w:suppressLineNumbers w:val="0"/>
              <w:spacing w:before="0" w:beforeAutospacing="0" w:after="0" w:afterAutospacing="0" w:line="560" w:lineRule="exact"/>
              <w:ind w:left="0" w:right="0" w:firstLine="0" w:firstLineChars="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17.按要求做好幼儿来、离园护学岗工作，每天提前15分钟到岗做好准备工作。</w:t>
            </w:r>
          </w:p>
          <w:p w14:paraId="7D46657F">
            <w:pPr>
              <w:pStyle w:val="18"/>
              <w:keepNext w:val="0"/>
              <w:keepLines w:val="0"/>
              <w:widowControl w:val="0"/>
              <w:suppressLineNumbers w:val="0"/>
              <w:spacing w:before="0" w:beforeAutospacing="0" w:after="0" w:afterAutospacing="0" w:line="560" w:lineRule="exact"/>
              <w:ind w:left="0" w:right="0" w:firstLine="0" w:firstLineChars="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18.每月开展应急演练或技能培训一次，并做好相关台账。</w:t>
            </w:r>
          </w:p>
        </w:tc>
      </w:tr>
    </w:tbl>
    <w:p w14:paraId="608E067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p w14:paraId="21A024A1">
      <w:pPr>
        <w:keepNext w:val="0"/>
        <w:keepLines w:val="0"/>
        <w:widowControl w:val="0"/>
        <w:suppressLineNumbers w:val="0"/>
        <w:spacing w:before="120" w:beforeAutospacing="0" w:after="120" w:afterAutospacing="0" w:line="560" w:lineRule="exact"/>
        <w:ind w:left="0" w:right="0" w:firstLine="422" w:firstLineChars="200"/>
        <w:jc w:val="both"/>
        <w:rPr>
          <w:rFonts w:hint="eastAsia" w:ascii="宋体" w:hAnsi="宋体" w:eastAsia="宋体" w:cs="宋体"/>
          <w:b/>
          <w:bCs/>
          <w:color w:val="auto"/>
          <w:sz w:val="21"/>
          <w:szCs w:val="21"/>
          <w:highlight w:val="none"/>
          <w:lang w:val="en" w:eastAsia="zh-CN" w:bidi="ar-SA"/>
        </w:rPr>
      </w:pPr>
    </w:p>
    <w:p w14:paraId="08C3A031">
      <w:pPr>
        <w:keepNext w:val="0"/>
        <w:keepLines w:val="0"/>
        <w:widowControl w:val="0"/>
        <w:suppressLineNumbers w:val="0"/>
        <w:spacing w:before="120" w:beforeAutospacing="0" w:after="120" w:afterAutospacing="0" w:line="560" w:lineRule="exact"/>
        <w:ind w:left="0" w:right="0" w:firstLine="422" w:firstLineChars="200"/>
        <w:jc w:val="both"/>
        <w:rPr>
          <w:rFonts w:hint="eastAsia" w:ascii="宋体" w:hAnsi="宋体" w:eastAsia="宋体" w:cs="宋体"/>
          <w:b/>
          <w:bCs/>
          <w:color w:val="auto"/>
          <w:sz w:val="21"/>
          <w:szCs w:val="21"/>
          <w:highlight w:val="none"/>
          <w:lang w:val="en" w:eastAsia="zh-CN" w:bidi="ar-SA"/>
        </w:rPr>
      </w:pPr>
    </w:p>
    <w:p w14:paraId="5B6E76A9">
      <w:pPr>
        <w:keepNext w:val="0"/>
        <w:keepLines w:val="0"/>
        <w:widowControl w:val="0"/>
        <w:suppressLineNumbers w:val="0"/>
        <w:spacing w:before="120" w:beforeAutospacing="0" w:after="120" w:afterAutospacing="0" w:line="560" w:lineRule="exact"/>
        <w:ind w:left="0" w:right="0" w:firstLine="422" w:firstLineChars="200"/>
        <w:jc w:val="both"/>
        <w:rPr>
          <w:rFonts w:hint="eastAsia" w:ascii="宋体" w:hAnsi="宋体" w:eastAsia="宋体" w:cs="宋体"/>
          <w:b/>
          <w:bCs/>
          <w:color w:val="auto"/>
          <w:sz w:val="21"/>
          <w:szCs w:val="21"/>
          <w:highlight w:val="none"/>
          <w:lang w:val="en" w:eastAsia="zh-CN" w:bidi="ar-SA"/>
        </w:rPr>
      </w:pPr>
    </w:p>
    <w:p w14:paraId="4772E341">
      <w:pPr>
        <w:keepNext w:val="0"/>
        <w:keepLines w:val="0"/>
        <w:widowControl w:val="0"/>
        <w:suppressLineNumbers w:val="0"/>
        <w:spacing w:before="120" w:beforeAutospacing="0" w:after="120" w:afterAutospacing="0" w:line="560" w:lineRule="exact"/>
        <w:ind w:left="0" w:right="0" w:firstLine="422" w:firstLineChars="200"/>
        <w:jc w:val="both"/>
        <w:rPr>
          <w:rFonts w:hint="eastAsia" w:ascii="宋体" w:hAnsi="宋体" w:eastAsia="宋体" w:cs="宋体"/>
          <w:b/>
          <w:bCs/>
          <w:color w:val="auto"/>
          <w:sz w:val="21"/>
          <w:szCs w:val="21"/>
          <w:highlight w:val="none"/>
          <w:lang w:val="en" w:eastAsia="zh-CN" w:bidi="ar-SA"/>
        </w:rPr>
      </w:pPr>
    </w:p>
    <w:p w14:paraId="7498C090">
      <w:pPr>
        <w:keepNext w:val="0"/>
        <w:keepLines w:val="0"/>
        <w:widowControl w:val="0"/>
        <w:suppressLineNumbers w:val="0"/>
        <w:spacing w:before="120" w:beforeAutospacing="0" w:after="120" w:afterAutospacing="0" w:line="560" w:lineRule="exact"/>
        <w:ind w:left="0" w:right="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 w:eastAsia="zh-CN" w:bidi="ar-SA"/>
        </w:rPr>
        <w:t>（三）</w:t>
      </w:r>
      <w:r>
        <w:rPr>
          <w:rFonts w:hint="eastAsia" w:ascii="宋体" w:hAnsi="宋体" w:eastAsia="宋体" w:cs="宋体"/>
          <w:b/>
          <w:bCs/>
          <w:color w:val="auto"/>
          <w:sz w:val="21"/>
          <w:szCs w:val="21"/>
          <w:highlight w:val="none"/>
          <w:lang w:val="en-US" w:eastAsia="zh-CN" w:bidi="ar-SA"/>
        </w:rPr>
        <w:t>水电物（零星）维修服务</w:t>
      </w:r>
    </w:p>
    <w:p w14:paraId="73B142C0">
      <w:pPr>
        <w:pStyle w:val="3"/>
        <w:widowControl/>
        <w:spacing w:before="0" w:beforeAutospacing="0" w:after="0" w:afterAutospacing="0" w:line="560" w:lineRule="exact"/>
        <w:ind w:left="0" w:right="0" w:firstLine="517" w:firstLineChars="245"/>
        <w:rPr>
          <w:rFonts w:hint="eastAsia" w:ascii="宋体" w:hAnsi="宋体" w:eastAsia="宋体" w:cs="宋体"/>
          <w:b/>
          <w:bCs w:val="0"/>
          <w:color w:val="auto"/>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bidi="ar-SA"/>
        </w:rPr>
        <w:t>1、水电物（零星）维修服务需求</w:t>
      </w:r>
    </w:p>
    <w:p w14:paraId="22B31F0B">
      <w:pPr>
        <w:pStyle w:val="3"/>
        <w:widowControl/>
        <w:spacing w:before="0" w:beforeAutospacing="0" w:after="0" w:afterAutospacing="0" w:line="560" w:lineRule="exact"/>
        <w:ind w:left="0" w:right="0" w:firstLine="420" w:firstLineChars="200"/>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（1）负责学校区域内所有水、电、音响等设备设施的维护维修，每月水、电、燃气抄表工作，配合燃气公司对燃气管道进行排查，及其他临时用水、用电的布管布线工作；</w:t>
      </w:r>
    </w:p>
    <w:p w14:paraId="762D2204">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（2）负责学校区域内所有场所全部报修的排水、厕所管道堵塞的疏通﹙属于零星工程修缮范围除外，如大面积天面漏水、管道堵塞需开挖重修）；</w:t>
      </w:r>
    </w:p>
    <w:p w14:paraId="4AEF4B1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（3）负责学校区域内所有物品的维护维修；</w:t>
      </w:r>
    </w:p>
    <w:p w14:paraId="559C2C2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（4）负责会务话筒、音响、投影等设备的日常管理维护调试等，并专人负责会务前设备调试、专人负责会务全程设备操作；</w:t>
      </w:r>
    </w:p>
    <w:p w14:paraId="654711A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（5）统筹完成水、电、物突发故障抢修。</w:t>
      </w:r>
    </w:p>
    <w:p w14:paraId="3BC9160D">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2、水电物（零星）维修服务岗位需求</w:t>
      </w:r>
    </w:p>
    <w:p w14:paraId="5218115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p>
    <w:tbl>
      <w:tblPr>
        <w:tblStyle w:val="22"/>
        <w:tblpPr w:leftFromText="180" w:rightFromText="180" w:vertAnchor="text" w:horzAnchor="page" w:tblpX="1340" w:tblpY="547"/>
        <w:tblOverlap w:val="neve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221"/>
        <w:gridCol w:w="3535"/>
        <w:gridCol w:w="3678"/>
      </w:tblGrid>
      <w:tr w14:paraId="6332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190" w:type="dxa"/>
            <w:tcBorders>
              <w:top w:val="single" w:color="000000" w:sz="4" w:space="0"/>
              <w:left w:val="single" w:color="000000" w:sz="4" w:space="0"/>
              <w:bottom w:val="single" w:color="000000" w:sz="4" w:space="0"/>
              <w:right w:val="single" w:color="000000" w:sz="4" w:space="0"/>
            </w:tcBorders>
            <w:vAlign w:val="center"/>
          </w:tcPr>
          <w:p w14:paraId="5F85D81D">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岗位名称</w:t>
            </w:r>
          </w:p>
        </w:tc>
        <w:tc>
          <w:tcPr>
            <w:tcW w:w="1221" w:type="dxa"/>
            <w:tcBorders>
              <w:top w:val="single" w:color="000000" w:sz="4" w:space="0"/>
              <w:left w:val="single" w:color="000000" w:sz="4" w:space="0"/>
              <w:bottom w:val="single" w:color="000000" w:sz="4" w:space="0"/>
              <w:right w:val="single" w:color="000000" w:sz="4" w:space="0"/>
            </w:tcBorders>
            <w:vAlign w:val="center"/>
          </w:tcPr>
          <w:p w14:paraId="44EAEA8C">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人数（人）</w:t>
            </w:r>
          </w:p>
        </w:tc>
        <w:tc>
          <w:tcPr>
            <w:tcW w:w="3535" w:type="dxa"/>
            <w:tcBorders>
              <w:top w:val="single" w:color="000000" w:sz="4" w:space="0"/>
              <w:left w:val="single" w:color="000000" w:sz="4" w:space="0"/>
              <w:bottom w:val="single" w:color="000000" w:sz="4" w:space="0"/>
              <w:right w:val="single" w:color="000000" w:sz="4" w:space="0"/>
            </w:tcBorders>
            <w:vAlign w:val="center"/>
          </w:tcPr>
          <w:p w14:paraId="52D4588B">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服务内容</w:t>
            </w:r>
          </w:p>
        </w:tc>
        <w:tc>
          <w:tcPr>
            <w:tcW w:w="3678" w:type="dxa"/>
            <w:tcBorders>
              <w:top w:val="single" w:color="000000" w:sz="4" w:space="0"/>
              <w:left w:val="single" w:color="000000" w:sz="4" w:space="0"/>
              <w:bottom w:val="single" w:color="000000" w:sz="4" w:space="0"/>
              <w:right w:val="single" w:color="000000" w:sz="4" w:space="0"/>
            </w:tcBorders>
            <w:vAlign w:val="center"/>
          </w:tcPr>
          <w:p w14:paraId="406BCD92">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岗位条件及工作时间</w:t>
            </w:r>
          </w:p>
        </w:tc>
      </w:tr>
      <w:tr w14:paraId="00AC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1190" w:type="dxa"/>
            <w:tcBorders>
              <w:top w:val="single" w:color="000000" w:sz="4" w:space="0"/>
              <w:left w:val="single" w:color="000000" w:sz="4" w:space="0"/>
              <w:bottom w:val="single" w:color="000000" w:sz="4" w:space="0"/>
              <w:right w:val="single" w:color="000000" w:sz="4" w:space="0"/>
            </w:tcBorders>
            <w:vAlign w:val="center"/>
          </w:tcPr>
          <w:p w14:paraId="1DAD215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水电物（零星）维修员</w:t>
            </w:r>
          </w:p>
        </w:tc>
        <w:tc>
          <w:tcPr>
            <w:tcW w:w="1221" w:type="dxa"/>
            <w:tcBorders>
              <w:top w:val="single" w:color="000000" w:sz="4" w:space="0"/>
              <w:left w:val="single" w:color="000000" w:sz="4" w:space="0"/>
              <w:bottom w:val="single" w:color="000000" w:sz="4" w:space="0"/>
              <w:right w:val="single" w:color="000000" w:sz="4" w:space="0"/>
            </w:tcBorders>
            <w:vAlign w:val="center"/>
          </w:tcPr>
          <w:p w14:paraId="321FC13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cs="宋体"/>
                <w:b w:val="0"/>
                <w:color w:val="auto"/>
                <w:sz w:val="21"/>
                <w:szCs w:val="21"/>
                <w:highlight w:val="none"/>
                <w:lang w:val="en-US" w:eastAsia="zh-CN" w:bidi="ar-SA"/>
              </w:rPr>
              <w:t>不少于</w:t>
            </w:r>
            <w:r>
              <w:rPr>
                <w:rFonts w:hint="eastAsia" w:ascii="宋体" w:hAnsi="宋体" w:eastAsia="宋体" w:cs="宋体"/>
                <w:b w:val="0"/>
                <w:color w:val="auto"/>
                <w:sz w:val="21"/>
                <w:szCs w:val="21"/>
                <w:highlight w:val="none"/>
                <w:lang w:val="en-US" w:eastAsia="zh-CN" w:bidi="ar-SA"/>
              </w:rPr>
              <w:t>2人</w:t>
            </w:r>
          </w:p>
          <w:p w14:paraId="74AFA2E6">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c>
          <w:tcPr>
            <w:tcW w:w="3535" w:type="dxa"/>
            <w:tcBorders>
              <w:top w:val="single" w:color="000000" w:sz="4" w:space="0"/>
              <w:left w:val="single" w:color="000000" w:sz="4" w:space="0"/>
              <w:bottom w:val="single" w:color="000000" w:sz="4" w:space="0"/>
              <w:right w:val="single" w:color="000000" w:sz="4" w:space="0"/>
            </w:tcBorders>
            <w:vAlign w:val="center"/>
          </w:tcPr>
          <w:p w14:paraId="6F4B7546">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负责校园公共区域、教室、寝室、行政办公区门窗、水电维修、家具日常维修公共区域零星维修、安全检查、相关搬运等。</w:t>
            </w:r>
          </w:p>
        </w:tc>
        <w:tc>
          <w:tcPr>
            <w:tcW w:w="3678" w:type="dxa"/>
            <w:tcBorders>
              <w:top w:val="single" w:color="000000" w:sz="4" w:space="0"/>
              <w:left w:val="single" w:color="000000" w:sz="4" w:space="0"/>
              <w:bottom w:val="single" w:color="000000" w:sz="4" w:space="0"/>
              <w:right w:val="single" w:color="000000" w:sz="4" w:space="0"/>
            </w:tcBorders>
            <w:vAlign w:val="center"/>
          </w:tcPr>
          <w:p w14:paraId="5881492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年龄在50岁以下，大专或以上学历，同时持有低压</w:t>
            </w:r>
            <w:r>
              <w:rPr>
                <w:rFonts w:hint="eastAsia" w:ascii="宋体" w:hAnsi="宋体" w:cs="宋体"/>
                <w:b w:val="0"/>
                <w:color w:val="auto"/>
                <w:sz w:val="21"/>
                <w:szCs w:val="21"/>
                <w:highlight w:val="none"/>
                <w:lang w:val="en-US" w:eastAsia="zh-CN" w:bidi="ar-SA"/>
              </w:rPr>
              <w:t>电工证</w:t>
            </w:r>
            <w:r>
              <w:rPr>
                <w:rFonts w:hint="eastAsia" w:ascii="宋体" w:hAnsi="宋体" w:eastAsia="宋体" w:cs="宋体"/>
                <w:b w:val="0"/>
                <w:color w:val="auto"/>
                <w:sz w:val="21"/>
                <w:szCs w:val="21"/>
                <w:highlight w:val="none"/>
                <w:lang w:val="en" w:eastAsia="zh-CN" w:bidi="ar-SA"/>
              </w:rPr>
              <w:t>或</w:t>
            </w:r>
            <w:r>
              <w:rPr>
                <w:rFonts w:hint="eastAsia" w:ascii="宋体" w:hAnsi="宋体" w:eastAsia="宋体" w:cs="宋体"/>
                <w:b w:val="0"/>
                <w:color w:val="auto"/>
                <w:sz w:val="21"/>
                <w:szCs w:val="21"/>
                <w:highlight w:val="none"/>
                <w:lang w:val="en-US" w:eastAsia="zh-CN" w:bidi="ar-SA"/>
              </w:rPr>
              <w:t>A类特种设备安全管理和作业人员证书，掌握相关安全知识及操作技能，工作责任心强、服务态度好，品行端正，有良好的形象和综合素质，身体健康，符合岗位及其他要求。行政班，电话24小时值班。（需提供身份证、学历以及相关证书复印件）</w:t>
            </w:r>
          </w:p>
        </w:tc>
      </w:tr>
      <w:tr w14:paraId="5559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Borders>
              <w:top w:val="single" w:color="000000" w:sz="4" w:space="0"/>
              <w:left w:val="single" w:color="000000" w:sz="4" w:space="0"/>
              <w:bottom w:val="single" w:color="000000" w:sz="4" w:space="0"/>
              <w:right w:val="single" w:color="000000" w:sz="4" w:space="0"/>
            </w:tcBorders>
            <w:vAlign w:val="top"/>
          </w:tcPr>
          <w:p w14:paraId="7A5D52D9">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小计</w:t>
            </w:r>
          </w:p>
        </w:tc>
        <w:tc>
          <w:tcPr>
            <w:tcW w:w="1221" w:type="dxa"/>
            <w:tcBorders>
              <w:top w:val="single" w:color="000000" w:sz="4" w:space="0"/>
              <w:left w:val="single" w:color="000000" w:sz="4" w:space="0"/>
              <w:bottom w:val="single" w:color="000000" w:sz="4" w:space="0"/>
              <w:right w:val="single" w:color="000000" w:sz="4" w:space="0"/>
            </w:tcBorders>
            <w:vAlign w:val="top"/>
          </w:tcPr>
          <w:p w14:paraId="0CAF12C2">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cs="宋体"/>
                <w:b w:val="0"/>
                <w:color w:val="auto"/>
                <w:sz w:val="21"/>
                <w:szCs w:val="21"/>
                <w:highlight w:val="none"/>
                <w:lang w:val="en-US" w:eastAsia="zh-CN" w:bidi="ar-SA"/>
              </w:rPr>
              <w:t>不少于</w:t>
            </w:r>
            <w:r>
              <w:rPr>
                <w:rFonts w:hint="eastAsia" w:ascii="宋体" w:hAnsi="宋体" w:eastAsia="宋体" w:cs="宋体"/>
                <w:b w:val="0"/>
                <w:color w:val="auto"/>
                <w:sz w:val="21"/>
                <w:szCs w:val="21"/>
                <w:highlight w:val="none"/>
                <w:lang w:val="en-US" w:eastAsia="zh-CN" w:bidi="ar-SA"/>
              </w:rPr>
              <w:t>2</w:t>
            </w:r>
            <w:r>
              <w:rPr>
                <w:rFonts w:hint="eastAsia" w:ascii="宋体" w:hAnsi="宋体" w:cs="宋体"/>
                <w:b w:val="0"/>
                <w:color w:val="auto"/>
                <w:sz w:val="21"/>
                <w:szCs w:val="21"/>
                <w:highlight w:val="none"/>
                <w:lang w:val="en-US" w:eastAsia="zh-CN" w:bidi="ar-SA"/>
              </w:rPr>
              <w:t>人</w:t>
            </w:r>
          </w:p>
        </w:tc>
        <w:tc>
          <w:tcPr>
            <w:tcW w:w="3535" w:type="dxa"/>
            <w:tcBorders>
              <w:top w:val="single" w:color="000000" w:sz="4" w:space="0"/>
              <w:left w:val="single" w:color="000000" w:sz="4" w:space="0"/>
              <w:bottom w:val="single" w:color="000000" w:sz="4" w:space="0"/>
              <w:right w:val="single" w:color="000000" w:sz="4" w:space="0"/>
            </w:tcBorders>
            <w:vAlign w:val="top"/>
          </w:tcPr>
          <w:p w14:paraId="1F49C24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c>
          <w:tcPr>
            <w:tcW w:w="3678" w:type="dxa"/>
            <w:tcBorders>
              <w:top w:val="single" w:color="000000" w:sz="4" w:space="0"/>
              <w:left w:val="single" w:color="000000" w:sz="4" w:space="0"/>
              <w:bottom w:val="single" w:color="000000" w:sz="4" w:space="0"/>
              <w:right w:val="single" w:color="000000" w:sz="4" w:space="0"/>
            </w:tcBorders>
            <w:vAlign w:val="top"/>
          </w:tcPr>
          <w:p w14:paraId="3B04B8A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r>
    </w:tbl>
    <w:p w14:paraId="5A3EC089">
      <w:pPr>
        <w:keepNext w:val="0"/>
        <w:keepLines w:val="0"/>
        <w:widowControl w:val="0"/>
        <w:suppressLineNumbers w:val="0"/>
        <w:spacing w:before="240" w:beforeAutospacing="0" w:after="240" w:afterAutospacing="0" w:line="560" w:lineRule="exact"/>
        <w:ind w:left="0" w:right="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3.水电物（零星）维修服务要求与标准</w:t>
      </w: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9"/>
        <w:gridCol w:w="1544"/>
        <w:gridCol w:w="6481"/>
      </w:tblGrid>
      <w:tr w14:paraId="627AE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9" w:type="dxa"/>
            <w:tcBorders>
              <w:top w:val="single" w:color="auto" w:sz="4" w:space="0"/>
              <w:left w:val="single" w:color="auto" w:sz="4" w:space="0"/>
              <w:bottom w:val="single" w:color="auto" w:sz="4" w:space="0"/>
              <w:right w:val="single" w:color="auto" w:sz="4" w:space="0"/>
            </w:tcBorders>
            <w:vAlign w:val="top"/>
          </w:tcPr>
          <w:p w14:paraId="4F86E0CE">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序号</w:t>
            </w:r>
          </w:p>
        </w:tc>
        <w:tc>
          <w:tcPr>
            <w:tcW w:w="1544" w:type="dxa"/>
            <w:tcBorders>
              <w:top w:val="single" w:color="auto" w:sz="4" w:space="0"/>
              <w:left w:val="single" w:color="auto" w:sz="4" w:space="0"/>
              <w:bottom w:val="single" w:color="auto" w:sz="4" w:space="0"/>
              <w:right w:val="single" w:color="auto" w:sz="4" w:space="0"/>
            </w:tcBorders>
            <w:vAlign w:val="top"/>
          </w:tcPr>
          <w:p w14:paraId="7B4DC484">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en-US" w:bidi="ar-SA"/>
              </w:rPr>
              <w:t>服务</w:t>
            </w:r>
            <w:r>
              <w:rPr>
                <w:rFonts w:hint="eastAsia" w:ascii="宋体" w:hAnsi="宋体" w:eastAsia="宋体" w:cs="宋体"/>
                <w:b w:val="0"/>
                <w:color w:val="auto"/>
                <w:sz w:val="21"/>
                <w:szCs w:val="21"/>
                <w:highlight w:val="none"/>
                <w:lang w:val="en-US" w:eastAsia="zh-CN" w:bidi="ar-SA"/>
              </w:rPr>
              <w:t>项目</w:t>
            </w:r>
          </w:p>
        </w:tc>
        <w:tc>
          <w:tcPr>
            <w:tcW w:w="6481" w:type="dxa"/>
            <w:tcBorders>
              <w:top w:val="single" w:color="auto" w:sz="4" w:space="0"/>
              <w:left w:val="single" w:color="auto" w:sz="4" w:space="0"/>
              <w:bottom w:val="single" w:color="auto" w:sz="4" w:space="0"/>
              <w:right w:val="single" w:color="auto" w:sz="4" w:space="0"/>
            </w:tcBorders>
            <w:vAlign w:val="top"/>
          </w:tcPr>
          <w:p w14:paraId="105D7460">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en-US" w:bidi="ar-SA"/>
              </w:rPr>
              <w:t>服务要求和标准</w:t>
            </w:r>
          </w:p>
        </w:tc>
      </w:tr>
      <w:tr w14:paraId="36120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9" w:type="dxa"/>
            <w:tcBorders>
              <w:top w:val="single" w:color="auto" w:sz="4" w:space="0"/>
              <w:left w:val="single" w:color="auto" w:sz="4" w:space="0"/>
              <w:bottom w:val="single" w:color="auto" w:sz="4" w:space="0"/>
              <w:right w:val="single" w:color="auto" w:sz="4" w:space="0"/>
            </w:tcBorders>
            <w:vAlign w:val="center"/>
          </w:tcPr>
          <w:p w14:paraId="4444056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w:t>
            </w:r>
          </w:p>
        </w:tc>
        <w:tc>
          <w:tcPr>
            <w:tcW w:w="1544" w:type="dxa"/>
            <w:tcBorders>
              <w:top w:val="single" w:color="auto" w:sz="4" w:space="0"/>
              <w:left w:val="single" w:color="auto" w:sz="4" w:space="0"/>
              <w:bottom w:val="single" w:color="auto" w:sz="4" w:space="0"/>
              <w:right w:val="single" w:color="auto" w:sz="4" w:space="0"/>
            </w:tcBorders>
            <w:vAlign w:val="center"/>
          </w:tcPr>
          <w:p w14:paraId="0F35E40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en-US" w:bidi="ar-SA"/>
              </w:rPr>
            </w:pPr>
            <w:r>
              <w:rPr>
                <w:rFonts w:hint="eastAsia" w:ascii="宋体" w:hAnsi="宋体" w:eastAsia="宋体" w:cs="宋体"/>
                <w:b w:val="0"/>
                <w:color w:val="auto"/>
                <w:sz w:val="21"/>
                <w:szCs w:val="21"/>
                <w:highlight w:val="none"/>
                <w:lang w:val="en-US" w:eastAsia="zh-CN" w:bidi="ar-SA"/>
              </w:rPr>
              <w:t>水电物（零星）维修</w:t>
            </w:r>
          </w:p>
        </w:tc>
        <w:tc>
          <w:tcPr>
            <w:tcW w:w="6481" w:type="dxa"/>
            <w:tcBorders>
              <w:top w:val="single" w:color="auto" w:sz="4" w:space="0"/>
              <w:left w:val="single" w:color="auto" w:sz="4" w:space="0"/>
              <w:bottom w:val="single" w:color="auto" w:sz="4" w:space="0"/>
              <w:right w:val="single" w:color="auto" w:sz="4" w:space="0"/>
            </w:tcBorders>
            <w:vAlign w:val="center"/>
          </w:tcPr>
          <w:p w14:paraId="5781DB3F">
            <w:pPr>
              <w:keepNext w:val="0"/>
              <w:keepLines w:val="0"/>
              <w:widowControl w:val="0"/>
              <w:numPr>
                <w:ilvl w:val="0"/>
                <w:numId w:val="4"/>
              </w:numPr>
              <w:suppressLineNumbers w:val="0"/>
              <w:tabs>
                <w:tab w:val="clear" w:pos="312"/>
              </w:tabs>
              <w:spacing w:before="0" w:beforeAutospacing="0" w:after="0" w:afterAutospacing="0" w:line="560" w:lineRule="exact"/>
              <w:ind w:left="0" w:right="0" w:firstLine="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水电物维修，保证8小时行政班，手机保持通话畅通，持《电工特种作业操作证》上岗，如有突发水电事故及时到位处理。</w:t>
            </w:r>
          </w:p>
          <w:p w14:paraId="546554F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2.负责校园内的水、电及所有设施的维修、维修管理及校园内临时用水用电的布管布线工作；负责校区所有家具的维护维修；</w:t>
            </w:r>
          </w:p>
          <w:p w14:paraId="0B32DE3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3.定时或不定时对校园区域进行巡查、确保幼儿园水、电正常使用、电梯、空调等重要设施的正常运转，发现故障及时排除。对处理不了的问题及时向学校后勤部门报告并提出整改意见；</w:t>
            </w:r>
          </w:p>
          <w:p w14:paraId="7112A06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4.负责监督安全用电，发现不符合用电规定的行为或安全隐患提出处理意见，经后勤部门同意后拆除；</w:t>
            </w:r>
          </w:p>
          <w:p w14:paraId="6FC5C3D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5.妥善保管有关器材和维修工作、工具和器材不外借；</w:t>
            </w:r>
          </w:p>
          <w:p w14:paraId="355C7D4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6.坚守岗位，严格执行考勤、考核制度；</w:t>
            </w:r>
          </w:p>
          <w:p w14:paraId="32FF2291">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7.严格执行安全生产操作规程；节约使用器材和原材料；</w:t>
            </w:r>
          </w:p>
          <w:p w14:paraId="486523C7">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8.维修响应要求：小修不过夜，中修24小时完成，大修48小时完成；师生投诉少，服务满意度达95%以上；</w:t>
            </w:r>
          </w:p>
          <w:p w14:paraId="5D11329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9.灯管、开关、线路、插头等维修：接到报修单，立即维修，维修完毕及时登记维修记录，反馈维修信息；</w:t>
            </w:r>
          </w:p>
          <w:p w14:paraId="0AF1FEE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10.水龙头、水管维修：水龙头漏水，首先更换阀芯，更换阀芯仍漏水，才更换整个水龙头，接到维修单立即维修，维修完毕及时登记维修记录，反馈维修信息；</w:t>
            </w:r>
          </w:p>
          <w:p w14:paraId="4F6280AF">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11.坚持巡检工作制度，发现问题及时维修、无长流水、长明灯现象发生；</w:t>
            </w:r>
          </w:p>
          <w:p w14:paraId="38D5BE5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12.管道﹙厕所﹚堵塞维修：使用疏通设备疏通，接到维修单立即维修，维修完毕及时登记维修记录，反馈维修信息。</w:t>
            </w:r>
          </w:p>
        </w:tc>
      </w:tr>
    </w:tbl>
    <w:p w14:paraId="5B564056">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p w14:paraId="52985842">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 w:eastAsia="zh-CN" w:bidi="ar-SA"/>
        </w:rPr>
        <w:t>（四）</w:t>
      </w:r>
      <w:r>
        <w:rPr>
          <w:rFonts w:hint="eastAsia" w:ascii="宋体" w:hAnsi="宋体" w:eastAsia="宋体" w:cs="宋体"/>
          <w:b/>
          <w:bCs/>
          <w:color w:val="auto"/>
          <w:sz w:val="21"/>
          <w:szCs w:val="21"/>
          <w:highlight w:val="none"/>
          <w:lang w:val="en-US" w:eastAsia="zh-CN" w:bidi="ar-SA"/>
        </w:rPr>
        <w:t>保洁用品标准和使用要求</w:t>
      </w:r>
    </w:p>
    <w:p w14:paraId="4A3B5746">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1、保洁用品用具要求及使用标准</w:t>
      </w:r>
    </w:p>
    <w:p w14:paraId="4BFB938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（1）清洁工具、清洁剂、消毒剂、除臭剂、除害剂、清新剂等清洁用品</w:t>
      </w:r>
      <w:r>
        <w:rPr>
          <w:rFonts w:hint="eastAsia" w:ascii="宋体" w:hAnsi="宋体" w:eastAsia="宋体" w:cs="宋体"/>
          <w:b/>
          <w:bCs/>
          <w:color w:val="auto"/>
          <w:sz w:val="21"/>
          <w:szCs w:val="21"/>
          <w:highlight w:val="none"/>
          <w:lang w:val="en-US" w:eastAsia="zh-CN" w:bidi="ar-SA"/>
        </w:rPr>
        <w:t>均由物业服务公司负责</w:t>
      </w:r>
      <w:r>
        <w:rPr>
          <w:rFonts w:hint="eastAsia" w:ascii="宋体" w:hAnsi="宋体" w:eastAsia="宋体" w:cs="宋体"/>
          <w:b w:val="0"/>
          <w:color w:val="auto"/>
          <w:sz w:val="21"/>
          <w:szCs w:val="21"/>
          <w:highlight w:val="none"/>
          <w:lang w:val="en-US" w:eastAsia="zh-CN" w:bidi="ar-SA"/>
        </w:rPr>
        <w:t>。</w:t>
      </w:r>
    </w:p>
    <w:p w14:paraId="5A81503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①使用的保洁用品用具必须是环保的、无污染的、无毒无害的、无腐蚀性的、无刺激性气味的、无噪音的，不能使用三无产品，并做好消毒记录。</w:t>
      </w:r>
    </w:p>
    <w:p w14:paraId="067AF2D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②物业服务公司按照业主单位的需求按时提供的所有物料，每次提供物料要现场验货，存放在指定仓库，每月做好出入库管理，每月按需投放物料，保障校园消杀和保洁达标。</w:t>
      </w:r>
    </w:p>
    <w:tbl>
      <w:tblPr>
        <w:tblStyle w:val="22"/>
        <w:tblpPr w:leftFromText="180" w:rightFromText="180" w:vertAnchor="text" w:horzAnchor="page" w:tblpX="1356" w:tblpY="473"/>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9"/>
        <w:gridCol w:w="1200"/>
        <w:gridCol w:w="1337"/>
        <w:gridCol w:w="2359"/>
        <w:gridCol w:w="2414"/>
      </w:tblGrid>
      <w:tr w14:paraId="24FC0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659" w:type="dxa"/>
            <w:tcBorders>
              <w:top w:val="single" w:color="auto" w:sz="4" w:space="0"/>
              <w:left w:val="single" w:color="auto" w:sz="4" w:space="0"/>
              <w:bottom w:val="single" w:color="auto" w:sz="4" w:space="0"/>
              <w:right w:val="single" w:color="auto" w:sz="4" w:space="0"/>
            </w:tcBorders>
            <w:vAlign w:val="top"/>
          </w:tcPr>
          <w:p w14:paraId="7CC5B0D2">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消毒内容</w:t>
            </w:r>
          </w:p>
        </w:tc>
        <w:tc>
          <w:tcPr>
            <w:tcW w:w="1200" w:type="dxa"/>
            <w:tcBorders>
              <w:top w:val="single" w:color="auto" w:sz="4" w:space="0"/>
              <w:left w:val="single" w:color="auto" w:sz="4" w:space="0"/>
              <w:bottom w:val="single" w:color="auto" w:sz="4" w:space="0"/>
              <w:right w:val="single" w:color="auto" w:sz="4" w:space="0"/>
            </w:tcBorders>
            <w:vAlign w:val="top"/>
          </w:tcPr>
          <w:p w14:paraId="1BC8E0A4">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消毒方法</w:t>
            </w:r>
          </w:p>
        </w:tc>
        <w:tc>
          <w:tcPr>
            <w:tcW w:w="1337" w:type="dxa"/>
            <w:tcBorders>
              <w:top w:val="single" w:color="auto" w:sz="4" w:space="0"/>
              <w:left w:val="single" w:color="auto" w:sz="4" w:space="0"/>
              <w:bottom w:val="single" w:color="auto" w:sz="4" w:space="0"/>
              <w:right w:val="single" w:color="auto" w:sz="4" w:space="0"/>
            </w:tcBorders>
            <w:vAlign w:val="top"/>
          </w:tcPr>
          <w:p w14:paraId="5B534DA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消毒要求</w:t>
            </w:r>
          </w:p>
        </w:tc>
        <w:tc>
          <w:tcPr>
            <w:tcW w:w="2359" w:type="dxa"/>
            <w:tcBorders>
              <w:top w:val="single" w:color="auto" w:sz="4" w:space="0"/>
              <w:left w:val="single" w:color="auto" w:sz="4" w:space="0"/>
              <w:bottom w:val="single" w:color="auto" w:sz="4" w:space="0"/>
              <w:right w:val="single" w:color="auto" w:sz="4" w:space="0"/>
            </w:tcBorders>
            <w:vAlign w:val="top"/>
          </w:tcPr>
          <w:p w14:paraId="26FFAF4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操作要领</w:t>
            </w:r>
          </w:p>
        </w:tc>
        <w:tc>
          <w:tcPr>
            <w:tcW w:w="2414" w:type="dxa"/>
            <w:tcBorders>
              <w:top w:val="single" w:color="auto" w:sz="4" w:space="0"/>
              <w:left w:val="single" w:color="auto" w:sz="4" w:space="0"/>
              <w:bottom w:val="single" w:color="auto" w:sz="4" w:space="0"/>
              <w:right w:val="single" w:color="auto" w:sz="4" w:space="0"/>
            </w:tcBorders>
            <w:vAlign w:val="top"/>
          </w:tcPr>
          <w:p w14:paraId="1693C5FF">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 xml:space="preserve">    备注</w:t>
            </w:r>
          </w:p>
        </w:tc>
      </w:tr>
      <w:tr w14:paraId="6618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659" w:type="dxa"/>
            <w:tcBorders>
              <w:top w:val="single" w:color="auto" w:sz="4" w:space="0"/>
              <w:left w:val="single" w:color="auto" w:sz="4" w:space="0"/>
              <w:bottom w:val="single" w:color="auto" w:sz="4" w:space="0"/>
              <w:right w:val="single" w:color="auto" w:sz="4" w:space="0"/>
            </w:tcBorders>
            <w:vAlign w:val="top"/>
          </w:tcPr>
          <w:p w14:paraId="0DA61066">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楼梯扶手、栏杆表面</w:t>
            </w:r>
          </w:p>
        </w:tc>
        <w:tc>
          <w:tcPr>
            <w:tcW w:w="1200" w:type="dxa"/>
            <w:tcBorders>
              <w:top w:val="single" w:color="auto" w:sz="4" w:space="0"/>
              <w:left w:val="single" w:color="auto" w:sz="4" w:space="0"/>
              <w:bottom w:val="single" w:color="auto" w:sz="4" w:space="0"/>
              <w:right w:val="single" w:color="auto" w:sz="4" w:space="0"/>
            </w:tcBorders>
            <w:vAlign w:val="top"/>
          </w:tcPr>
          <w:p w14:paraId="5C9E0DD1">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用含氯250mg/L的消毒水擦拭</w:t>
            </w:r>
          </w:p>
        </w:tc>
        <w:tc>
          <w:tcPr>
            <w:tcW w:w="1337" w:type="dxa"/>
            <w:tcBorders>
              <w:top w:val="single" w:color="auto" w:sz="4" w:space="0"/>
              <w:left w:val="single" w:color="auto" w:sz="4" w:space="0"/>
              <w:bottom w:val="single" w:color="auto" w:sz="4" w:space="0"/>
              <w:right w:val="single" w:color="auto" w:sz="4" w:space="0"/>
            </w:tcBorders>
            <w:vAlign w:val="top"/>
          </w:tcPr>
          <w:p w14:paraId="5004AC2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每天1次</w:t>
            </w:r>
          </w:p>
        </w:tc>
        <w:tc>
          <w:tcPr>
            <w:tcW w:w="2359" w:type="dxa"/>
            <w:tcBorders>
              <w:top w:val="single" w:color="auto" w:sz="4" w:space="0"/>
              <w:left w:val="single" w:color="auto" w:sz="4" w:space="0"/>
              <w:bottom w:val="single" w:color="auto" w:sz="4" w:space="0"/>
              <w:right w:val="single" w:color="auto" w:sz="4" w:space="0"/>
            </w:tcBorders>
            <w:vAlign w:val="center"/>
          </w:tcPr>
          <w:p w14:paraId="2047CB60">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清水抹布擦拭→消毒液抹布擦拭→停留10分钟→清水抹布擦拭</w:t>
            </w:r>
          </w:p>
        </w:tc>
        <w:tc>
          <w:tcPr>
            <w:tcW w:w="2414" w:type="dxa"/>
            <w:tcBorders>
              <w:top w:val="single" w:color="auto" w:sz="4" w:space="0"/>
              <w:left w:val="single" w:color="auto" w:sz="4" w:space="0"/>
              <w:bottom w:val="single" w:color="auto" w:sz="4" w:space="0"/>
              <w:right w:val="single" w:color="auto" w:sz="4" w:space="0"/>
            </w:tcBorders>
            <w:vAlign w:val="top"/>
          </w:tcPr>
          <w:p w14:paraId="56E6D34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传染病高发期间消毒水配比按需调整浓度。</w:t>
            </w:r>
          </w:p>
        </w:tc>
      </w:tr>
      <w:tr w14:paraId="30020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659" w:type="dxa"/>
            <w:tcBorders>
              <w:top w:val="single" w:color="auto" w:sz="4" w:space="0"/>
              <w:left w:val="single" w:color="auto" w:sz="4" w:space="0"/>
              <w:bottom w:val="single" w:color="auto" w:sz="4" w:space="0"/>
              <w:right w:val="single" w:color="auto" w:sz="4" w:space="0"/>
            </w:tcBorders>
            <w:vAlign w:val="top"/>
          </w:tcPr>
          <w:p w14:paraId="425A410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走道、楼梯</w:t>
            </w:r>
          </w:p>
        </w:tc>
        <w:tc>
          <w:tcPr>
            <w:tcW w:w="1200" w:type="dxa"/>
            <w:tcBorders>
              <w:top w:val="single" w:color="auto" w:sz="4" w:space="0"/>
              <w:left w:val="single" w:color="auto" w:sz="4" w:space="0"/>
              <w:bottom w:val="single" w:color="auto" w:sz="4" w:space="0"/>
              <w:right w:val="single" w:color="auto" w:sz="4" w:space="0"/>
            </w:tcBorders>
            <w:vAlign w:val="top"/>
          </w:tcPr>
          <w:p w14:paraId="54802BD6">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用含氯250mg/L的消毒水拖拭</w:t>
            </w:r>
          </w:p>
        </w:tc>
        <w:tc>
          <w:tcPr>
            <w:tcW w:w="1337" w:type="dxa"/>
            <w:tcBorders>
              <w:top w:val="single" w:color="auto" w:sz="4" w:space="0"/>
              <w:left w:val="single" w:color="auto" w:sz="4" w:space="0"/>
              <w:bottom w:val="single" w:color="auto" w:sz="4" w:space="0"/>
              <w:right w:val="single" w:color="auto" w:sz="4" w:space="0"/>
            </w:tcBorders>
            <w:vAlign w:val="top"/>
          </w:tcPr>
          <w:p w14:paraId="2ACFDA8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每天1次</w:t>
            </w:r>
          </w:p>
        </w:tc>
        <w:tc>
          <w:tcPr>
            <w:tcW w:w="2359" w:type="dxa"/>
            <w:tcBorders>
              <w:top w:val="single" w:color="auto" w:sz="4" w:space="0"/>
              <w:left w:val="single" w:color="auto" w:sz="4" w:space="0"/>
              <w:bottom w:val="single" w:color="auto" w:sz="4" w:space="0"/>
              <w:right w:val="single" w:color="auto" w:sz="4" w:space="0"/>
            </w:tcBorders>
            <w:vAlign w:val="center"/>
          </w:tcPr>
          <w:p w14:paraId="359703F1">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先清洁地面垃圾、墙面灰尘→消毒液喷洒→停留10分钟→清水喷洒</w:t>
            </w:r>
          </w:p>
        </w:tc>
        <w:tc>
          <w:tcPr>
            <w:tcW w:w="2414" w:type="dxa"/>
            <w:tcBorders>
              <w:top w:val="single" w:color="auto" w:sz="4" w:space="0"/>
              <w:left w:val="single" w:color="auto" w:sz="4" w:space="0"/>
              <w:bottom w:val="single" w:color="auto" w:sz="4" w:space="0"/>
              <w:right w:val="single" w:color="auto" w:sz="4" w:space="0"/>
            </w:tcBorders>
            <w:vAlign w:val="top"/>
          </w:tcPr>
          <w:p w14:paraId="3950502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传染病高发期间消毒水配比按需调整浓度。</w:t>
            </w:r>
          </w:p>
        </w:tc>
      </w:tr>
      <w:tr w14:paraId="691F6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7" w:hRule="atLeast"/>
        </w:trPr>
        <w:tc>
          <w:tcPr>
            <w:tcW w:w="1659" w:type="dxa"/>
            <w:tcBorders>
              <w:top w:val="single" w:color="auto" w:sz="4" w:space="0"/>
              <w:left w:val="single" w:color="auto" w:sz="4" w:space="0"/>
              <w:bottom w:val="single" w:color="auto" w:sz="4" w:space="0"/>
              <w:right w:val="single" w:color="auto" w:sz="4" w:space="0"/>
            </w:tcBorders>
            <w:vAlign w:val="top"/>
          </w:tcPr>
          <w:p w14:paraId="045C1693">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其他垃圾池表面</w:t>
            </w:r>
          </w:p>
        </w:tc>
        <w:tc>
          <w:tcPr>
            <w:tcW w:w="1200" w:type="dxa"/>
            <w:tcBorders>
              <w:top w:val="single" w:color="auto" w:sz="4" w:space="0"/>
              <w:left w:val="single" w:color="auto" w:sz="4" w:space="0"/>
              <w:bottom w:val="single" w:color="auto" w:sz="4" w:space="0"/>
              <w:right w:val="single" w:color="auto" w:sz="4" w:space="0"/>
            </w:tcBorders>
            <w:vAlign w:val="top"/>
          </w:tcPr>
          <w:p w14:paraId="11349EF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用含氯500mg/L的消毒水拖拭</w:t>
            </w:r>
          </w:p>
        </w:tc>
        <w:tc>
          <w:tcPr>
            <w:tcW w:w="1337" w:type="dxa"/>
            <w:tcBorders>
              <w:top w:val="single" w:color="auto" w:sz="4" w:space="0"/>
              <w:left w:val="single" w:color="auto" w:sz="4" w:space="0"/>
              <w:bottom w:val="single" w:color="auto" w:sz="4" w:space="0"/>
              <w:right w:val="single" w:color="auto" w:sz="4" w:space="0"/>
            </w:tcBorders>
            <w:vAlign w:val="top"/>
          </w:tcPr>
          <w:p w14:paraId="7249ACD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p w14:paraId="6224FC5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不少于2次</w:t>
            </w:r>
          </w:p>
          <w:p w14:paraId="0C96B5C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p w14:paraId="663194D3">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tc>
        <w:tc>
          <w:tcPr>
            <w:tcW w:w="2359" w:type="dxa"/>
            <w:tcBorders>
              <w:top w:val="single" w:color="auto" w:sz="4" w:space="0"/>
              <w:left w:val="single" w:color="auto" w:sz="4" w:space="0"/>
              <w:bottom w:val="single" w:color="auto" w:sz="4" w:space="0"/>
              <w:right w:val="single" w:color="auto" w:sz="4" w:space="0"/>
            </w:tcBorders>
            <w:vAlign w:val="top"/>
          </w:tcPr>
          <w:p w14:paraId="1699E9C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先清洁地面垃圾、墙面灰尘→消毒液喷洒→停留10分钟→清水喷洒</w:t>
            </w:r>
          </w:p>
        </w:tc>
        <w:tc>
          <w:tcPr>
            <w:tcW w:w="2414" w:type="dxa"/>
            <w:tcBorders>
              <w:top w:val="single" w:color="auto" w:sz="4" w:space="0"/>
              <w:left w:val="single" w:color="auto" w:sz="4" w:space="0"/>
              <w:bottom w:val="single" w:color="auto" w:sz="4" w:space="0"/>
              <w:right w:val="single" w:color="auto" w:sz="4" w:space="0"/>
            </w:tcBorders>
            <w:vAlign w:val="top"/>
          </w:tcPr>
          <w:p w14:paraId="22D9421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传染病高发期间消毒水配比按需调整浓度。</w:t>
            </w:r>
          </w:p>
        </w:tc>
      </w:tr>
      <w:tr w14:paraId="000CD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659" w:type="dxa"/>
            <w:tcBorders>
              <w:top w:val="single" w:color="auto" w:sz="4" w:space="0"/>
              <w:left w:val="single" w:color="auto" w:sz="4" w:space="0"/>
              <w:bottom w:val="single" w:color="auto" w:sz="4" w:space="0"/>
              <w:right w:val="single" w:color="auto" w:sz="4" w:space="0"/>
            </w:tcBorders>
            <w:vAlign w:val="top"/>
          </w:tcPr>
          <w:p w14:paraId="48AEAFB6">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门把手、开关面板</w:t>
            </w:r>
          </w:p>
        </w:tc>
        <w:tc>
          <w:tcPr>
            <w:tcW w:w="1200" w:type="dxa"/>
            <w:tcBorders>
              <w:top w:val="single" w:color="auto" w:sz="4" w:space="0"/>
              <w:left w:val="single" w:color="auto" w:sz="4" w:space="0"/>
              <w:bottom w:val="single" w:color="auto" w:sz="4" w:space="0"/>
              <w:right w:val="single" w:color="auto" w:sz="4" w:space="0"/>
            </w:tcBorders>
            <w:vAlign w:val="top"/>
          </w:tcPr>
          <w:p w14:paraId="5B41D611">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用含氯250mg/L的消毒水拖拭或者擦拭</w:t>
            </w:r>
          </w:p>
        </w:tc>
        <w:tc>
          <w:tcPr>
            <w:tcW w:w="1337" w:type="dxa"/>
            <w:tcBorders>
              <w:top w:val="single" w:color="auto" w:sz="4" w:space="0"/>
              <w:left w:val="single" w:color="auto" w:sz="4" w:space="0"/>
              <w:bottom w:val="single" w:color="auto" w:sz="4" w:space="0"/>
              <w:right w:val="single" w:color="auto" w:sz="4" w:space="0"/>
            </w:tcBorders>
            <w:vAlign w:val="top"/>
          </w:tcPr>
          <w:p w14:paraId="104E6BC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每天1次</w:t>
            </w:r>
          </w:p>
        </w:tc>
        <w:tc>
          <w:tcPr>
            <w:tcW w:w="2359" w:type="dxa"/>
            <w:tcBorders>
              <w:top w:val="single" w:color="auto" w:sz="4" w:space="0"/>
              <w:left w:val="single" w:color="auto" w:sz="4" w:space="0"/>
              <w:bottom w:val="single" w:color="auto" w:sz="4" w:space="0"/>
              <w:right w:val="single" w:color="auto" w:sz="4" w:space="0"/>
            </w:tcBorders>
            <w:vAlign w:val="top"/>
          </w:tcPr>
          <w:p w14:paraId="26C7317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清水抹布擦拭→消毒液抹布擦拭→停留10分钟→清水抹布擦拭</w:t>
            </w:r>
          </w:p>
        </w:tc>
        <w:tc>
          <w:tcPr>
            <w:tcW w:w="2414" w:type="dxa"/>
            <w:tcBorders>
              <w:top w:val="single" w:color="auto" w:sz="4" w:space="0"/>
              <w:left w:val="single" w:color="auto" w:sz="4" w:space="0"/>
              <w:bottom w:val="single" w:color="auto" w:sz="4" w:space="0"/>
              <w:right w:val="single" w:color="auto" w:sz="4" w:space="0"/>
            </w:tcBorders>
            <w:vAlign w:val="top"/>
          </w:tcPr>
          <w:p w14:paraId="40865AC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传染病高发期间消毒水配比按需调整浓度。</w:t>
            </w:r>
          </w:p>
        </w:tc>
      </w:tr>
      <w:tr w14:paraId="1CCC3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trPr>
        <w:tc>
          <w:tcPr>
            <w:tcW w:w="1659" w:type="dxa"/>
            <w:tcBorders>
              <w:top w:val="single" w:color="auto" w:sz="4" w:space="0"/>
              <w:left w:val="single" w:color="auto" w:sz="4" w:space="0"/>
              <w:bottom w:val="single" w:color="auto" w:sz="4" w:space="0"/>
              <w:right w:val="single" w:color="auto" w:sz="4" w:space="0"/>
            </w:tcBorders>
            <w:vAlign w:val="top"/>
          </w:tcPr>
          <w:p w14:paraId="1CF9D93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门窗</w:t>
            </w:r>
          </w:p>
        </w:tc>
        <w:tc>
          <w:tcPr>
            <w:tcW w:w="1200" w:type="dxa"/>
            <w:tcBorders>
              <w:top w:val="single" w:color="auto" w:sz="4" w:space="0"/>
              <w:left w:val="single" w:color="auto" w:sz="4" w:space="0"/>
              <w:bottom w:val="single" w:color="auto" w:sz="4" w:space="0"/>
              <w:right w:val="single" w:color="auto" w:sz="4" w:space="0"/>
            </w:tcBorders>
            <w:vAlign w:val="top"/>
          </w:tcPr>
          <w:p w14:paraId="545FC79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用含氯250mg/L的消毒水拖拭或者擦拭</w:t>
            </w:r>
          </w:p>
        </w:tc>
        <w:tc>
          <w:tcPr>
            <w:tcW w:w="1337" w:type="dxa"/>
            <w:tcBorders>
              <w:top w:val="single" w:color="auto" w:sz="4" w:space="0"/>
              <w:left w:val="single" w:color="auto" w:sz="4" w:space="0"/>
              <w:bottom w:val="single" w:color="auto" w:sz="4" w:space="0"/>
              <w:right w:val="single" w:color="auto" w:sz="4" w:space="0"/>
            </w:tcBorders>
            <w:vAlign w:val="top"/>
          </w:tcPr>
          <w:p w14:paraId="1FB50B6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每天1次</w:t>
            </w:r>
          </w:p>
        </w:tc>
        <w:tc>
          <w:tcPr>
            <w:tcW w:w="2359" w:type="dxa"/>
            <w:tcBorders>
              <w:top w:val="single" w:color="auto" w:sz="4" w:space="0"/>
              <w:left w:val="single" w:color="auto" w:sz="4" w:space="0"/>
              <w:bottom w:val="single" w:color="auto" w:sz="4" w:space="0"/>
              <w:right w:val="single" w:color="auto" w:sz="4" w:space="0"/>
            </w:tcBorders>
            <w:vAlign w:val="top"/>
          </w:tcPr>
          <w:p w14:paraId="159F98A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清水抹布擦拭→消毒液抹布擦拭→停留10分钟→清水抹布擦拭</w:t>
            </w:r>
          </w:p>
        </w:tc>
        <w:tc>
          <w:tcPr>
            <w:tcW w:w="2414" w:type="dxa"/>
            <w:tcBorders>
              <w:top w:val="single" w:color="auto" w:sz="4" w:space="0"/>
              <w:left w:val="single" w:color="auto" w:sz="4" w:space="0"/>
              <w:bottom w:val="single" w:color="auto" w:sz="4" w:space="0"/>
              <w:right w:val="single" w:color="auto" w:sz="4" w:space="0"/>
            </w:tcBorders>
            <w:vAlign w:val="top"/>
          </w:tcPr>
          <w:p w14:paraId="7DB3DBF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传染病高发期间消毒水配比按需调整浓度。</w:t>
            </w:r>
          </w:p>
        </w:tc>
      </w:tr>
      <w:tr w14:paraId="6F718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trPr>
        <w:tc>
          <w:tcPr>
            <w:tcW w:w="1659" w:type="dxa"/>
            <w:tcBorders>
              <w:top w:val="single" w:color="auto" w:sz="4" w:space="0"/>
              <w:left w:val="single" w:color="auto" w:sz="4" w:space="0"/>
              <w:bottom w:val="single" w:color="auto" w:sz="4" w:space="0"/>
              <w:right w:val="single" w:color="auto" w:sz="4" w:space="0"/>
            </w:tcBorders>
            <w:vAlign w:val="center"/>
          </w:tcPr>
          <w:p w14:paraId="3EE4BDB4">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幼儿用洗脸、擦嘴毛巾</w:t>
            </w:r>
          </w:p>
        </w:tc>
        <w:tc>
          <w:tcPr>
            <w:tcW w:w="1200" w:type="dxa"/>
            <w:tcBorders>
              <w:top w:val="single" w:color="auto" w:sz="4" w:space="0"/>
              <w:left w:val="single" w:color="auto" w:sz="4" w:space="0"/>
              <w:bottom w:val="single" w:color="auto" w:sz="4" w:space="0"/>
              <w:right w:val="single" w:color="auto" w:sz="4" w:space="0"/>
            </w:tcBorders>
            <w:vAlign w:val="top"/>
          </w:tcPr>
          <w:p w14:paraId="5524C8F6">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1.使用浓度为有效氯250 mg/L浸泡消毒20分钟。2.蒸汽消毒</w:t>
            </w:r>
          </w:p>
        </w:tc>
        <w:tc>
          <w:tcPr>
            <w:tcW w:w="1337" w:type="dxa"/>
            <w:tcBorders>
              <w:top w:val="single" w:color="auto" w:sz="4" w:space="0"/>
              <w:left w:val="single" w:color="auto" w:sz="4" w:space="0"/>
              <w:bottom w:val="single" w:color="auto" w:sz="4" w:space="0"/>
              <w:right w:val="single" w:color="auto" w:sz="4" w:space="0"/>
            </w:tcBorders>
            <w:vAlign w:val="center"/>
          </w:tcPr>
          <w:p w14:paraId="23B7FE67">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每天3次</w:t>
            </w:r>
          </w:p>
        </w:tc>
        <w:tc>
          <w:tcPr>
            <w:tcW w:w="2359" w:type="dxa"/>
            <w:tcBorders>
              <w:top w:val="single" w:color="auto" w:sz="4" w:space="0"/>
              <w:left w:val="single" w:color="auto" w:sz="4" w:space="0"/>
              <w:bottom w:val="single" w:color="auto" w:sz="4" w:space="0"/>
              <w:right w:val="single" w:color="auto" w:sz="4" w:space="0"/>
            </w:tcBorders>
            <w:vAlign w:val="center"/>
          </w:tcPr>
          <w:p w14:paraId="547A4921">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用洗涤剂清洗干净→消毒液浸泡20分钟→烘干备用                 用洗涤剂清洗干净→蒸汽高温消毒10分钟→清洁保存备用</w:t>
            </w:r>
          </w:p>
        </w:tc>
        <w:tc>
          <w:tcPr>
            <w:tcW w:w="2414" w:type="dxa"/>
            <w:tcBorders>
              <w:top w:val="single" w:color="auto" w:sz="4" w:space="0"/>
              <w:left w:val="single" w:color="auto" w:sz="4" w:space="0"/>
              <w:bottom w:val="single" w:color="auto" w:sz="4" w:space="0"/>
              <w:right w:val="single" w:color="auto" w:sz="4" w:space="0"/>
            </w:tcBorders>
            <w:vAlign w:val="top"/>
          </w:tcPr>
          <w:p w14:paraId="1788C3F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传染病高发期间消毒水配比按需调整浓度。</w:t>
            </w:r>
          </w:p>
        </w:tc>
      </w:tr>
      <w:tr w14:paraId="666D0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trPr>
        <w:tc>
          <w:tcPr>
            <w:tcW w:w="1659" w:type="dxa"/>
            <w:tcBorders>
              <w:top w:val="single" w:color="auto" w:sz="4" w:space="0"/>
              <w:left w:val="single" w:color="auto" w:sz="4" w:space="0"/>
              <w:bottom w:val="single" w:color="auto" w:sz="4" w:space="0"/>
              <w:right w:val="single" w:color="auto" w:sz="4" w:space="0"/>
            </w:tcBorders>
            <w:vAlign w:val="top"/>
          </w:tcPr>
          <w:p w14:paraId="23D844E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消毒蒸柜</w:t>
            </w:r>
          </w:p>
        </w:tc>
        <w:tc>
          <w:tcPr>
            <w:tcW w:w="1200" w:type="dxa"/>
            <w:tcBorders>
              <w:top w:val="single" w:color="auto" w:sz="4" w:space="0"/>
              <w:left w:val="single" w:color="auto" w:sz="4" w:space="0"/>
              <w:bottom w:val="single" w:color="auto" w:sz="4" w:space="0"/>
              <w:right w:val="single" w:color="auto" w:sz="4" w:space="0"/>
            </w:tcBorders>
            <w:vAlign w:val="top"/>
          </w:tcPr>
          <w:p w14:paraId="6F590DA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日常定期擦拭保洁</w:t>
            </w:r>
          </w:p>
        </w:tc>
        <w:tc>
          <w:tcPr>
            <w:tcW w:w="1337" w:type="dxa"/>
            <w:tcBorders>
              <w:top w:val="single" w:color="auto" w:sz="4" w:space="0"/>
              <w:left w:val="single" w:color="auto" w:sz="4" w:space="0"/>
              <w:bottom w:val="single" w:color="auto" w:sz="4" w:space="0"/>
              <w:right w:val="single" w:color="auto" w:sz="4" w:space="0"/>
            </w:tcBorders>
            <w:vAlign w:val="top"/>
          </w:tcPr>
          <w:p w14:paraId="0DDE5D4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每天3次</w:t>
            </w:r>
          </w:p>
        </w:tc>
        <w:tc>
          <w:tcPr>
            <w:tcW w:w="2359" w:type="dxa"/>
            <w:tcBorders>
              <w:top w:val="single" w:color="auto" w:sz="4" w:space="0"/>
              <w:left w:val="single" w:color="auto" w:sz="4" w:space="0"/>
              <w:bottom w:val="single" w:color="auto" w:sz="4" w:space="0"/>
              <w:right w:val="single" w:color="auto" w:sz="4" w:space="0"/>
            </w:tcBorders>
            <w:vAlign w:val="center"/>
          </w:tcPr>
          <w:p w14:paraId="130BBF77">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蒸柜内壁及外表每日使用后及时擦拭清洁</w:t>
            </w:r>
          </w:p>
        </w:tc>
        <w:tc>
          <w:tcPr>
            <w:tcW w:w="2414" w:type="dxa"/>
            <w:tcBorders>
              <w:top w:val="single" w:color="auto" w:sz="4" w:space="0"/>
              <w:left w:val="single" w:color="auto" w:sz="4" w:space="0"/>
              <w:bottom w:val="single" w:color="auto" w:sz="4" w:space="0"/>
              <w:right w:val="single" w:color="auto" w:sz="4" w:space="0"/>
            </w:tcBorders>
            <w:vAlign w:val="top"/>
          </w:tcPr>
          <w:p w14:paraId="6730B70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传染病高发期间消毒水配比按需调整浓度。</w:t>
            </w:r>
          </w:p>
        </w:tc>
      </w:tr>
      <w:tr w14:paraId="3B106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1" w:hRule="atLeast"/>
        </w:trPr>
        <w:tc>
          <w:tcPr>
            <w:tcW w:w="1659" w:type="dxa"/>
            <w:tcBorders>
              <w:top w:val="single" w:color="auto" w:sz="4" w:space="0"/>
              <w:left w:val="single" w:color="auto" w:sz="4" w:space="0"/>
              <w:bottom w:val="single" w:color="auto" w:sz="4" w:space="0"/>
              <w:right w:val="single" w:color="auto" w:sz="4" w:space="0"/>
            </w:tcBorders>
            <w:vAlign w:val="top"/>
          </w:tcPr>
          <w:p w14:paraId="024BF47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抹布、拖把</w:t>
            </w:r>
          </w:p>
        </w:tc>
        <w:tc>
          <w:tcPr>
            <w:tcW w:w="1200" w:type="dxa"/>
            <w:tcBorders>
              <w:top w:val="single" w:color="auto" w:sz="4" w:space="0"/>
              <w:left w:val="single" w:color="auto" w:sz="4" w:space="0"/>
              <w:bottom w:val="single" w:color="auto" w:sz="4" w:space="0"/>
              <w:right w:val="single" w:color="auto" w:sz="4" w:space="0"/>
            </w:tcBorders>
            <w:vAlign w:val="top"/>
          </w:tcPr>
          <w:p w14:paraId="5E46814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使用浓度为有效氯500mg/L消毒液浸泡消毒</w:t>
            </w:r>
          </w:p>
        </w:tc>
        <w:tc>
          <w:tcPr>
            <w:tcW w:w="1337" w:type="dxa"/>
            <w:tcBorders>
              <w:top w:val="single" w:color="auto" w:sz="4" w:space="0"/>
              <w:left w:val="single" w:color="auto" w:sz="4" w:space="0"/>
              <w:bottom w:val="single" w:color="auto" w:sz="4" w:space="0"/>
              <w:right w:val="single" w:color="auto" w:sz="4" w:space="0"/>
            </w:tcBorders>
            <w:vAlign w:val="top"/>
          </w:tcPr>
          <w:p w14:paraId="4AB2215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每天1次</w:t>
            </w:r>
          </w:p>
        </w:tc>
        <w:tc>
          <w:tcPr>
            <w:tcW w:w="2359" w:type="dxa"/>
            <w:tcBorders>
              <w:top w:val="single" w:color="auto" w:sz="4" w:space="0"/>
              <w:left w:val="single" w:color="auto" w:sz="4" w:space="0"/>
              <w:bottom w:val="single" w:color="auto" w:sz="4" w:space="0"/>
              <w:right w:val="single" w:color="auto" w:sz="4" w:space="0"/>
            </w:tcBorders>
            <w:vAlign w:val="center"/>
          </w:tcPr>
          <w:p w14:paraId="6B51FAF1">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清水冲洗干净抹布、拖把→消毒液浸泡20分钟→控干或晾干存放</w:t>
            </w:r>
          </w:p>
        </w:tc>
        <w:tc>
          <w:tcPr>
            <w:tcW w:w="2414" w:type="dxa"/>
            <w:tcBorders>
              <w:top w:val="single" w:color="auto" w:sz="4" w:space="0"/>
              <w:left w:val="single" w:color="auto" w:sz="4" w:space="0"/>
              <w:bottom w:val="single" w:color="auto" w:sz="4" w:space="0"/>
              <w:right w:val="single" w:color="auto" w:sz="4" w:space="0"/>
            </w:tcBorders>
            <w:vAlign w:val="top"/>
          </w:tcPr>
          <w:p w14:paraId="6AF1D84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传染病高发期间消毒水配比按需调整浓度。</w:t>
            </w:r>
          </w:p>
        </w:tc>
      </w:tr>
    </w:tbl>
    <w:p w14:paraId="6031399D">
      <w:pPr>
        <w:keepNext w:val="0"/>
        <w:keepLines w:val="0"/>
        <w:widowControl w:val="0"/>
        <w:suppressLineNumbers w:val="0"/>
        <w:spacing w:before="120" w:beforeAutospacing="0" w:after="120" w:afterAutospacing="0" w:line="560" w:lineRule="exact"/>
        <w:ind w:left="0" w:right="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 w:eastAsia="zh-CN" w:bidi="ar-SA"/>
        </w:rPr>
        <w:t>四</w:t>
      </w:r>
      <w:r>
        <w:rPr>
          <w:rFonts w:hint="eastAsia" w:ascii="宋体" w:hAnsi="宋体" w:eastAsia="宋体" w:cs="宋体"/>
          <w:b/>
          <w:bCs/>
          <w:color w:val="auto"/>
          <w:sz w:val="21"/>
          <w:szCs w:val="21"/>
          <w:highlight w:val="none"/>
          <w:lang w:val="en-US" w:eastAsia="zh-CN" w:bidi="ar-SA"/>
        </w:rPr>
        <w:t>、其他服务要求及违约责任</w:t>
      </w:r>
    </w:p>
    <w:p w14:paraId="55C178D7">
      <w:pPr>
        <w:pStyle w:val="3"/>
        <w:widowControl/>
        <w:spacing w:before="0" w:beforeAutospacing="0" w:after="0" w:afterAutospacing="0" w:line="560" w:lineRule="exact"/>
        <w:ind w:left="0" w:right="0" w:firstLine="422" w:firstLineChars="200"/>
        <w:rPr>
          <w:rFonts w:hint="eastAsia" w:ascii="宋体" w:hAnsi="宋体" w:eastAsia="宋体" w:cs="宋体"/>
          <w:b/>
          <w:bCs w:val="0"/>
          <w:color w:val="auto"/>
          <w:sz w:val="21"/>
          <w:szCs w:val="21"/>
          <w:highlight w:val="none"/>
          <w:lang w:val="en-US" w:eastAsia="zh-CN" w:bidi="ar-SA"/>
        </w:rPr>
      </w:pPr>
      <w:r>
        <w:rPr>
          <w:rFonts w:hint="eastAsia" w:ascii="宋体" w:hAnsi="宋体" w:eastAsia="宋体" w:cs="宋体"/>
          <w:b/>
          <w:bCs w:val="0"/>
          <w:color w:val="auto"/>
          <w:sz w:val="21"/>
          <w:szCs w:val="21"/>
          <w:highlight w:val="none"/>
          <w:lang w:val="en-US" w:eastAsia="zh-CN" w:bidi="ar-SA"/>
        </w:rPr>
        <w:t>（一）其他服务要求</w:t>
      </w:r>
    </w:p>
    <w:p w14:paraId="4ABD96C0">
      <w:pPr>
        <w:pStyle w:val="3"/>
        <w:widowControl/>
        <w:spacing w:before="0" w:beforeAutospacing="0" w:after="0" w:afterAutospacing="0" w:line="560" w:lineRule="exact"/>
        <w:ind w:left="0" w:right="0" w:firstLine="420" w:firstLineChars="200"/>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1.安保岗位人员男性占比</w:t>
      </w:r>
      <w:r>
        <w:rPr>
          <w:rFonts w:hint="eastAsia" w:ascii="宋体" w:hAnsi="宋体" w:eastAsia="宋体" w:cs="宋体"/>
          <w:b/>
          <w:bCs w:val="0"/>
          <w:color w:val="auto"/>
          <w:sz w:val="21"/>
          <w:szCs w:val="21"/>
          <w:highlight w:val="none"/>
          <w:lang w:val="en-US" w:eastAsia="zh-CN" w:bidi="ar-SA"/>
        </w:rPr>
        <w:t>至少超90%以上</w:t>
      </w:r>
      <w:r>
        <w:rPr>
          <w:rFonts w:hint="eastAsia" w:ascii="宋体" w:hAnsi="宋体" w:eastAsia="宋体" w:cs="宋体"/>
          <w:b w:val="0"/>
          <w:color w:val="auto"/>
          <w:sz w:val="21"/>
          <w:szCs w:val="21"/>
          <w:highlight w:val="none"/>
          <w:lang w:val="en-US" w:eastAsia="zh-CN" w:bidi="ar-SA"/>
        </w:rPr>
        <w:t>。</w:t>
      </w:r>
    </w:p>
    <w:p w14:paraId="1CD8EC3F">
      <w:pPr>
        <w:pStyle w:val="3"/>
        <w:widowControl/>
        <w:spacing w:before="0" w:beforeAutospacing="0" w:after="0" w:afterAutospacing="0" w:line="560" w:lineRule="exact"/>
        <w:ind w:left="0" w:right="0" w:firstLine="420" w:firstLineChars="200"/>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2.成交人派驻岗位数及岗位人员不能低于参数需求人数；</w:t>
      </w:r>
    </w:p>
    <w:p w14:paraId="3BB99474">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3.入职、离职、轮休、调休、请假、调换班等操作由成交人自行安排，不能以此减少岗位数及岗位要求人数，采购人不再为此额外增加岗位及岗位要求人数；</w:t>
      </w:r>
    </w:p>
    <w:p w14:paraId="7FAABDE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4.所有岗位人员均需配置带有成交人单位明显标识的着装、工作牌等；</w:t>
      </w:r>
    </w:p>
    <w:p w14:paraId="7A67D9B7">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5.所有岗位人员必须完全胜任岗位要求，需定期开展岗位培训。</w:t>
      </w:r>
    </w:p>
    <w:p w14:paraId="3BDF46B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6.本项目的服务要求和服务标准,按采购方要求对服务项目配置足够的管理人员和服务人员,要按岗位配置人员,定员定岗,必须服从采购方管理,遵守采购方有前管理制度,严格按照采购方的要求提供管理服务,自觉接受采购方的相关管理部门的业务检查和监督,并接受服务对象(师生员工)的监督；</w:t>
      </w:r>
    </w:p>
    <w:p w14:paraId="29FCC78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7.建议成交人按自治区或南宁市的有关规定给予所有员工缴纳社会保险（包括养老保险、医疗保险、失业保险、工伤保险、生育保险），工资标准不低于南宁市最低工资标准，如有违反相关条款，后果由服务方自行承担；</w:t>
      </w:r>
    </w:p>
    <w:p w14:paraId="031CF69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8.采购人根据合同要求的标准对成交人服务的工作质量、服务态度进行监督检查，发现有不符合质量要求的，按照合同规定处罚。因工作失误造成重大的社会影响或财产损失，除赔偿外，有权终止服务合同，并追究相关责任；</w:t>
      </w:r>
    </w:p>
    <w:p w14:paraId="5A08CAD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9.成交人必须做到对师生员工报案或投诉快速及时,态度热情；</w:t>
      </w:r>
    </w:p>
    <w:p w14:paraId="5EFED6E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10.成交人的管理服务工作人员必须经过岗前培训(包括思想道德、法制、安全、礼仪、工作技能、管理制度、服务意识等教育)，培训合格率达100%；而且必须符合国家劳动用工法律法规的有关规定；</w:t>
      </w:r>
    </w:p>
    <w:p w14:paraId="4C97BE7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11.成交人在提供服务时必须做好各项安全防范措施,服务人员在合约期间发生任何人身意外(包括患病、伤亡事故)，造成的一切后果与损失，由成交人承担；</w:t>
      </w:r>
    </w:p>
    <w:p w14:paraId="163F9F13">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 xml:space="preserve">    12.成交人与服务人员之间产生的劳动纠纷，包括劳动用工制度、劳资纠纷等、与甲方无关；</w:t>
      </w:r>
    </w:p>
    <w:p w14:paraId="09883E7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 xml:space="preserve">    13.因服务人员操作不当造成设施设备损坏，造成的一切后果与损失，由成交人承担；</w:t>
      </w:r>
    </w:p>
    <w:p w14:paraId="197935F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14.采购人举行大型会议、庆典、迎接上级单位检查或教育教学评估等重大活动，成交人应积极组织人力按照要求做好相关服务工作；</w:t>
      </w:r>
    </w:p>
    <w:p w14:paraId="6EC83F8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15.成交人应提供解决本项目所需的人员、服装、管理文档、文具等，每个岗位需配备对讲机等相关通讯工具，并为保安员配备必要的个人防护用品工具；</w:t>
      </w:r>
    </w:p>
    <w:p w14:paraId="4B591EC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16.采购人向成交人无偿提供必要的办公用房、必要性的值班用房、仓库和水电；</w:t>
      </w:r>
    </w:p>
    <w:p w14:paraId="214AD0C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17.采购人不为成交人提供员工宿舍，成交人员工可在采购方食堂自费用餐。</w:t>
      </w:r>
    </w:p>
    <w:p w14:paraId="221FB85F">
      <w:pPr>
        <w:keepNext w:val="0"/>
        <w:keepLines w:val="0"/>
        <w:widowControl w:val="0"/>
        <w:suppressLineNumbers w:val="0"/>
        <w:spacing w:before="120" w:beforeAutospacing="0" w:after="120" w:afterAutospacing="0" w:line="560" w:lineRule="exact"/>
        <w:ind w:left="0" w:right="0" w:firstLine="517" w:firstLineChars="245"/>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（二）其他要求</w:t>
      </w:r>
    </w:p>
    <w:p w14:paraId="13F21C7F">
      <w:pPr>
        <w:keepNext w:val="0"/>
        <w:keepLines w:val="0"/>
        <w:widowControl w:val="0"/>
        <w:suppressLineNumbers w:val="0"/>
        <w:spacing w:before="0" w:beforeAutospacing="0" w:after="0" w:afterAutospacing="0" w:line="560" w:lineRule="exact"/>
        <w:ind w:left="0" w:right="0" w:firstLine="411" w:firstLineChars="196"/>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1.本次采购的物业费内容</w:t>
      </w:r>
    </w:p>
    <w:p w14:paraId="54973819">
      <w:pPr>
        <w:keepNext w:val="0"/>
        <w:keepLines w:val="0"/>
        <w:widowControl w:val="0"/>
        <w:suppressLineNumbers w:val="0"/>
        <w:spacing w:before="0" w:beforeAutospacing="0" w:after="0" w:afterAutospacing="0" w:line="560" w:lineRule="exact"/>
        <w:ind w:left="0" w:right="0" w:firstLine="411" w:firstLineChars="196"/>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①</w:t>
      </w:r>
      <w:r>
        <w:rPr>
          <w:rFonts w:hint="eastAsia" w:ascii="宋体" w:hAnsi="宋体" w:eastAsia="宋体" w:cs="宋体"/>
          <w:b w:val="0"/>
          <w:color w:val="auto"/>
          <w:sz w:val="21"/>
          <w:szCs w:val="21"/>
          <w:highlight w:val="none"/>
          <w:lang w:val="en-US" w:eastAsia="zh-CN" w:bidi="ar-SA"/>
        </w:rPr>
        <w:t>卫生与保洁费用：包括校园内外区域的保洁用品、保养耗材、清洗工具、消毒用品、杀虫、灭鼠、校园垃圾清运（包括生活垃圾和非生活垃圾，在服务期间，每天不少于三次清理校园生活及非生活垃圾，保证垃圾投放区域干净、卫生、无异味）、管道疏通、化粪池清理、日常卫生工具、垃圾袋和常用消耗用品购置等费用（需与南宁市青秀区环境卫生管理站签订年服务合同，并交纳相应服务费用）；</w:t>
      </w:r>
    </w:p>
    <w:p w14:paraId="25FF5607">
      <w:pPr>
        <w:keepNext w:val="0"/>
        <w:keepLines w:val="0"/>
        <w:widowControl w:val="0"/>
        <w:suppressLineNumbers w:val="0"/>
        <w:spacing w:before="0" w:beforeAutospacing="0" w:after="0" w:afterAutospacing="0" w:line="560" w:lineRule="exact"/>
        <w:ind w:left="0" w:right="0" w:firstLine="411" w:firstLineChars="196"/>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②</w:t>
      </w:r>
      <w:r>
        <w:rPr>
          <w:rFonts w:hint="eastAsia" w:ascii="宋体" w:hAnsi="宋体" w:eastAsia="宋体" w:cs="宋体"/>
          <w:b w:val="0"/>
          <w:color w:val="auto"/>
          <w:sz w:val="21"/>
          <w:szCs w:val="21"/>
          <w:highlight w:val="none"/>
          <w:lang w:val="en-US" w:eastAsia="zh-CN" w:bidi="ar-SA"/>
        </w:rPr>
        <w:t>安防服务与保障费用：包括门卫、保安安防器具，管理服务标识设置与维护、车辆行驶与停放管理及其他秩序维护等费用；</w:t>
      </w:r>
    </w:p>
    <w:p w14:paraId="56C165F9">
      <w:pPr>
        <w:keepNext w:val="0"/>
        <w:keepLines w:val="0"/>
        <w:widowControl w:val="0"/>
        <w:suppressLineNumbers w:val="0"/>
        <w:spacing w:before="0" w:beforeAutospacing="0" w:after="0" w:afterAutospacing="0" w:line="560" w:lineRule="exact"/>
        <w:ind w:left="0" w:right="0" w:firstLine="411" w:firstLineChars="196"/>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③</w:t>
      </w:r>
      <w:r>
        <w:rPr>
          <w:rFonts w:hint="eastAsia" w:ascii="宋体" w:hAnsi="宋体" w:eastAsia="宋体" w:cs="宋体"/>
          <w:b w:val="0"/>
          <w:color w:val="auto"/>
          <w:sz w:val="21"/>
          <w:szCs w:val="21"/>
          <w:highlight w:val="none"/>
          <w:lang w:val="en-US" w:eastAsia="zh-CN" w:bidi="ar-SA"/>
        </w:rPr>
        <w:t>绿地、绿植养护与美化费用：包括绿植购置、绿化养护和修整等费用；</w:t>
      </w:r>
    </w:p>
    <w:p w14:paraId="10FC3FC0">
      <w:pPr>
        <w:keepNext w:val="0"/>
        <w:keepLines w:val="0"/>
        <w:widowControl w:val="0"/>
        <w:suppressLineNumbers w:val="0"/>
        <w:spacing w:before="0" w:beforeAutospacing="0" w:after="0" w:afterAutospacing="0" w:line="560" w:lineRule="exact"/>
        <w:ind w:left="0" w:right="0" w:firstLine="411" w:firstLineChars="196"/>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④</w:t>
      </w:r>
      <w:r>
        <w:rPr>
          <w:rFonts w:hint="eastAsia" w:ascii="宋体" w:hAnsi="宋体" w:eastAsia="宋体" w:cs="宋体"/>
          <w:b w:val="0"/>
          <w:color w:val="auto"/>
          <w:sz w:val="21"/>
          <w:szCs w:val="21"/>
          <w:highlight w:val="none"/>
          <w:lang w:val="en-US" w:eastAsia="zh-CN" w:bidi="ar-SA"/>
        </w:rPr>
        <w:t>消防维保费用：包括水泵系统、消防栓、消防控制主机、灭火器、安全出口等消防喷淋系统和设备的年检和日常维护等综合费用，每月提供有相关资质的第三方维保报告；</w:t>
      </w:r>
    </w:p>
    <w:p w14:paraId="17BD879E">
      <w:pPr>
        <w:keepNext w:val="0"/>
        <w:keepLines w:val="0"/>
        <w:widowControl w:val="0"/>
        <w:suppressLineNumbers w:val="0"/>
        <w:spacing w:before="0" w:beforeAutospacing="0" w:after="0" w:afterAutospacing="0" w:line="560" w:lineRule="exact"/>
        <w:ind w:left="0" w:right="0" w:firstLine="411" w:firstLineChars="196"/>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i w:val="0"/>
          <w:caps w:val="0"/>
          <w:color w:val="auto"/>
          <w:spacing w:val="0"/>
          <w:kern w:val="0"/>
          <w:sz w:val="21"/>
          <w:szCs w:val="21"/>
          <w:highlight w:val="none"/>
          <w:shd w:val="clear" w:color="auto" w:fill="FFFFFF"/>
          <w:lang w:val="en-US" w:eastAsia="zh-CN" w:bidi="ar"/>
        </w:rPr>
        <w:t>⑤</w:t>
      </w:r>
      <w:r>
        <w:rPr>
          <w:rFonts w:hint="eastAsia" w:ascii="宋体" w:hAnsi="宋体" w:eastAsia="宋体" w:cs="宋体"/>
          <w:b w:val="0"/>
          <w:color w:val="auto"/>
          <w:sz w:val="21"/>
          <w:szCs w:val="21"/>
          <w:highlight w:val="none"/>
          <w:lang w:val="en-US" w:eastAsia="zh-CN" w:bidi="ar-SA"/>
        </w:rPr>
        <w:t>会议服务：包括校园内举办的各类会议、培训和活动提供的会务服务及安全保障；</w:t>
      </w:r>
    </w:p>
    <w:p w14:paraId="563BC296">
      <w:pPr>
        <w:keepNext w:val="0"/>
        <w:keepLines w:val="0"/>
        <w:widowControl w:val="0"/>
        <w:suppressLineNumbers w:val="0"/>
        <w:spacing w:before="0" w:beforeAutospacing="0" w:after="0" w:afterAutospacing="0" w:line="560" w:lineRule="exact"/>
        <w:ind w:left="0" w:right="0" w:firstLine="411" w:firstLineChars="196"/>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⑥餐梯运行维护费用：包括校园内餐梯的维护保养、保洁等费用，每月提供有相关资质的第三方维保报告及年审检测报告；</w:t>
      </w:r>
    </w:p>
    <w:p w14:paraId="4B689A8E">
      <w:pPr>
        <w:pStyle w:val="18"/>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⑦零星维修：按采购人列出的材料清单、维修项目完成日常零星维修。总价合计不高于</w:t>
      </w:r>
      <w:r>
        <w:rPr>
          <w:rFonts w:hint="eastAsia" w:cs="宋体"/>
          <w:b w:val="0"/>
          <w:color w:val="auto"/>
          <w:sz w:val="21"/>
          <w:szCs w:val="21"/>
          <w:highlight w:val="none"/>
          <w:lang w:val="en-US" w:eastAsia="zh-CN" w:bidi="ar-SA"/>
        </w:rPr>
        <w:t>成交</w:t>
      </w:r>
      <w:r>
        <w:rPr>
          <w:rFonts w:hint="eastAsia" w:ascii="宋体" w:hAnsi="宋体" w:eastAsia="宋体" w:cs="宋体"/>
          <w:b w:val="0"/>
          <w:color w:val="auto"/>
          <w:sz w:val="21"/>
          <w:szCs w:val="21"/>
          <w:highlight w:val="none"/>
          <w:lang w:val="en-US" w:eastAsia="zh-CN" w:bidi="ar-SA"/>
        </w:rPr>
        <w:t>价的2%。</w:t>
      </w:r>
    </w:p>
    <w:p w14:paraId="0316707E">
      <w:pPr>
        <w:keepNext w:val="0"/>
        <w:keepLines w:val="0"/>
        <w:widowControl w:val="0"/>
        <w:suppressLineNumbers w:val="0"/>
        <w:spacing w:before="0" w:beforeAutospacing="0" w:after="0" w:afterAutospacing="0" w:line="560" w:lineRule="exact"/>
        <w:ind w:left="0" w:right="0" w:firstLine="411" w:firstLineChars="196"/>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⑧其他费用：除以上费用外的费用，如门前三包费（如隔离栏、警戒线、橡胶路锥、提示牌等）、综合治理费等费用；</w:t>
      </w:r>
    </w:p>
    <w:p w14:paraId="601BD5CB">
      <w:pPr>
        <w:keepNext w:val="0"/>
        <w:keepLines w:val="0"/>
        <w:widowControl w:val="0"/>
        <w:suppressLineNumbers w:val="0"/>
        <w:spacing w:before="0" w:beforeAutospacing="0" w:after="0" w:afterAutospacing="0" w:line="560" w:lineRule="exact"/>
        <w:ind w:left="0" w:right="0" w:firstLine="411" w:firstLineChars="196"/>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上述各项费用均包含必要的物业服务人工成本、基础耗材、公共责任保险等方面的费用，如人员工资、保险费用（养老保险、医疗保险、失业保险、工伤保险、生育保险等）、加班费、夜班费、福利费、制服费、值勤设备费、工具费、办公费用、绿化维护费、绿化劳保、绿化工具、绿化设备费、宿管用品、技术培训费、管理费、利税等全部费用。</w:t>
      </w:r>
    </w:p>
    <w:p w14:paraId="78FE33C9">
      <w:pPr>
        <w:pStyle w:val="18"/>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eastAsia="宋体" w:cs="宋体"/>
          <w:b w:val="0"/>
          <w:color w:val="auto"/>
          <w:sz w:val="21"/>
          <w:szCs w:val="21"/>
          <w:highlight w:val="none"/>
          <w:lang w:val="en-US" w:eastAsia="zh-CN" w:bidi="ar-SA"/>
        </w:rPr>
        <w:t>2.</w:t>
      </w:r>
      <w:r>
        <w:rPr>
          <w:rFonts w:hint="eastAsia" w:ascii="宋体" w:hAnsi="宋体" w:eastAsia="宋体" w:cs="宋体"/>
          <w:b w:val="0"/>
          <w:color w:val="auto"/>
          <w:sz w:val="21"/>
          <w:szCs w:val="21"/>
          <w:highlight w:val="none"/>
          <w:lang w:val="en-US" w:eastAsia="zh-CN" w:bidi="ar-SA"/>
        </w:rPr>
        <w:t>管理职工电动车充电设备，并与充电设备公司签订合同，负责收取每月电动车充电费上交到幼儿园账户。</w:t>
      </w:r>
    </w:p>
    <w:p w14:paraId="2F5A3A30">
      <w:pPr>
        <w:keepNext w:val="0"/>
        <w:keepLines w:val="0"/>
        <w:widowControl w:val="0"/>
        <w:suppressLineNumbers w:val="0"/>
        <w:spacing w:before="0" w:beforeAutospacing="0" w:after="0" w:afterAutospacing="0" w:line="560" w:lineRule="exact"/>
        <w:ind w:left="0" w:right="0" w:firstLine="411" w:firstLineChars="196"/>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本次采购的物业管理服务期限为自签订合同之日起12个月，采购人不再因员工最低工资标准调整而增加或减少费用；上岗前须提供：身份证复印件、健康证明、保安员证、无犯罪记录证明。每月支付费用前，须提供员工花名册、日常校园安全检查等记录。如有人员更换，需提供更换人员身份证复印件、健康证明、保安员证，在更换人员上岗之日起一周内提供无犯罪记录证明。</w:t>
      </w:r>
    </w:p>
    <w:p w14:paraId="4215F09D">
      <w:pPr>
        <w:keepNext w:val="0"/>
        <w:keepLines w:val="0"/>
        <w:widowControl w:val="0"/>
        <w:suppressLineNumbers w:val="0"/>
        <w:spacing w:before="0" w:beforeAutospacing="0" w:after="0" w:afterAutospacing="0" w:line="560" w:lineRule="exact"/>
        <w:ind w:left="0" w:right="0" w:firstLine="411" w:firstLineChars="196"/>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4.为了确保服务质量，成交人配备员工工资标准不低于2025年南宁市最低工资标准，按自治区或南宁市的有关规定给予购买社会保险，工作期间发生员工工伤及意外伤害事故，由成交人负责，采购方不承担责任。</w:t>
      </w:r>
    </w:p>
    <w:p w14:paraId="656D70B0">
      <w:pPr>
        <w:keepNext w:val="0"/>
        <w:keepLines w:val="0"/>
        <w:widowControl w:val="0"/>
        <w:suppressLineNumbers w:val="0"/>
        <w:spacing w:before="0" w:beforeAutospacing="0" w:after="0" w:afterAutospacing="0" w:line="560" w:lineRule="exact"/>
        <w:ind w:left="0" w:right="0" w:firstLine="413" w:firstLineChars="196"/>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（三）违约责任</w:t>
      </w:r>
    </w:p>
    <w:p w14:paraId="7B57B2D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1.成交人违反本合同的有关约定，未能达到约定的工作标准，采购人根据规定，要求成交人进行整改，并根据规定扣减物业费，如造成采购人经济损失的，成交人还应给予采购人经济赔偿；</w:t>
      </w:r>
    </w:p>
    <w:p w14:paraId="2C80A0D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2.成交人在承包期间发生被盗案件，造成采购人财产损失，经公安部门裁定责任大小，成交人应承担责任部分，由成交人负责赔偿，具体见赔偿细则；</w:t>
      </w:r>
    </w:p>
    <w:p w14:paraId="3C98104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成交人在合同管理期间，采购校园在社会治安综合治理、消防安全管理等方面的管理，成交人管理不到位或安全隐患未得到及时发现和整改的，经公安机关认定属成交人管理过错责任的，所造成的损物和责任由成交人承担；</w:t>
      </w:r>
    </w:p>
    <w:p w14:paraId="2DF7F95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4.其他情形经公安机关认定成交人为管理过错的，成交人承担过错的相应经济赔偿责任；</w:t>
      </w:r>
    </w:p>
    <w:p w14:paraId="7F7B80D7">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5.如因采购人原因或因自然灾害等不可抗力造成采购人的损失，成交人尽了基本义务的，可免除责任；</w:t>
      </w:r>
    </w:p>
    <w:p w14:paraId="36F455B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6.成交人应按时发放聘用员工工资；</w:t>
      </w:r>
    </w:p>
    <w:p w14:paraId="58E42A8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7.成交人应按合同保证配备足够的工作人员，如未配备足够，经采购人核查统计按月缺岗平均数，采购人可扣除相应缺少人员的费用，并可视情况扣罚；</w:t>
      </w:r>
    </w:p>
    <w:p w14:paraId="085DA2B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8.成交人不能按合同条款约定履行职责任，经三次整改后仍未达到采购人的要求的，采购人有权提前解除合同。</w:t>
      </w:r>
    </w:p>
    <w:p w14:paraId="2A2E84D8">
      <w:pPr>
        <w:keepNext w:val="0"/>
        <w:keepLines w:val="0"/>
        <w:widowControl w:val="0"/>
        <w:suppressLineNumbers w:val="0"/>
        <w:spacing w:before="120" w:beforeAutospacing="0" w:after="120" w:afterAutospacing="0" w:line="560" w:lineRule="exact"/>
        <w:ind w:left="0" w:right="0" w:firstLine="514" w:firstLineChars="245"/>
        <w:jc w:val="both"/>
        <w:rPr>
          <w:rFonts w:hint="eastAsia" w:ascii="宋体" w:hAnsi="宋体" w:eastAsia="宋体" w:cs="宋体"/>
          <w:b w:val="0"/>
          <w:color w:val="auto"/>
          <w:sz w:val="21"/>
          <w:szCs w:val="21"/>
          <w:highlight w:val="none"/>
          <w:lang w:val="en-US" w:eastAsia="zh-CN" w:bidi="ar-SA"/>
        </w:rPr>
      </w:pPr>
      <w:bookmarkStart w:id="16" w:name="_Toc89733842"/>
      <w:r>
        <w:rPr>
          <w:rFonts w:hint="eastAsia" w:ascii="宋体" w:hAnsi="宋体" w:eastAsia="宋体" w:cs="宋体"/>
          <w:b w:val="0"/>
          <w:color w:val="auto"/>
          <w:sz w:val="21"/>
          <w:szCs w:val="21"/>
          <w:highlight w:val="none"/>
          <w:lang w:val="en-US" w:eastAsia="zh-CN" w:bidi="ar-SA"/>
        </w:rPr>
        <w:t>（四）责任赔偿细则</w:t>
      </w:r>
    </w:p>
    <w:p w14:paraId="3E7B37ED">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1.赔偿应遵循的原则：根据责任大小实行“责任赔偿”；</w:t>
      </w:r>
    </w:p>
    <w:p w14:paraId="376E0A9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2.赔偿责任的确定：一般由学校依据本细则及执法部门的裁定进行确认赔偿责任比例，根据确认结果实施赔偿；</w:t>
      </w:r>
    </w:p>
    <w:p w14:paraId="407A8DF4">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3.赔偿金额的确定：</w:t>
      </w:r>
    </w:p>
    <w:p w14:paraId="67A2F093">
      <w:pPr>
        <w:keepNext w:val="0"/>
        <w:keepLines w:val="0"/>
        <w:widowControl w:val="0"/>
        <w:suppressLineNumbers w:val="0"/>
        <w:spacing w:before="0" w:beforeAutospacing="0" w:after="0" w:afterAutospacing="0" w:line="560" w:lineRule="exact"/>
        <w:ind w:left="0" w:right="0" w:firstLine="48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①被损失物品的确定，按市场价格和相关规定的使用后折旧情况综合确定，即按实际价值确定；</w:t>
      </w:r>
    </w:p>
    <w:p w14:paraId="3B205A3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②教学区域或办公区域如发生撬门（锁）入室盗窃案件，报公安部门（或学校后勤部门）现场核定后，由成交人按全部损失的80%进行赔偿；</w:t>
      </w:r>
    </w:p>
    <w:p w14:paraId="3DB1D51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③其他贵重公共财物，凡是学校已移交保管或有移交保管清单所列的物品，若有被盗，由成交人按实际价值的80%进行赔偿，没有移交的贵重物品被盗和损失，成交人根据责任大小进行责任赔偿；</w:t>
      </w:r>
    </w:p>
    <w:p w14:paraId="67885A93">
      <w:pPr>
        <w:keepNext w:val="0"/>
        <w:keepLines w:val="0"/>
        <w:widowControl w:val="0"/>
        <w:suppressLineNumbers w:val="0"/>
        <w:spacing w:before="0" w:beforeAutospacing="0" w:after="0" w:afterAutospacing="0" w:line="560" w:lineRule="exact"/>
        <w:ind w:left="0" w:right="0" w:firstLine="525" w:firstLineChars="25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④如果由于学校基本安全防护设施的原因，事前成交人书面提出整改要求，学校没有按时整改，造成财产损失或被盗，成交人不承担赔偿责任。</w:t>
      </w:r>
      <w:bookmarkEnd w:id="16"/>
    </w:p>
    <w:p w14:paraId="2231EF5D">
      <w:pPr>
        <w:keepNext w:val="0"/>
        <w:keepLines w:val="0"/>
        <w:widowControl w:val="0"/>
        <w:suppressLineNumbers w:val="0"/>
        <w:spacing w:before="0" w:beforeAutospacing="0" w:after="0" w:afterAutospacing="0" w:line="560" w:lineRule="exact"/>
        <w:ind w:left="0" w:right="0" w:firstLine="527" w:firstLineChars="250"/>
        <w:jc w:val="both"/>
        <w:rPr>
          <w:rFonts w:hint="eastAsia" w:ascii="宋体" w:hAnsi="宋体" w:eastAsia="宋体" w:cs="宋体"/>
          <w:b/>
          <w:bCs/>
          <w:color w:val="auto"/>
          <w:sz w:val="21"/>
          <w:szCs w:val="21"/>
          <w:highlight w:val="none"/>
          <w:lang w:val="en-US" w:eastAsia="zh-CN" w:bidi="ar-SA"/>
        </w:rPr>
      </w:pPr>
      <w:r>
        <w:rPr>
          <w:rFonts w:hint="eastAsia" w:ascii="宋体" w:hAnsi="宋体" w:cs="宋体"/>
          <w:b/>
          <w:bCs/>
          <w:color w:val="auto"/>
          <w:highlight w:val="none"/>
          <w:lang w:val="en" w:eastAsia="zh-CN"/>
        </w:rPr>
        <w:t>五</w:t>
      </w:r>
      <w:r>
        <w:rPr>
          <w:rFonts w:hint="eastAsia" w:ascii="宋体" w:hAnsi="宋体" w:cs="宋体"/>
          <w:b/>
          <w:bCs/>
          <w:color w:val="auto"/>
          <w:highlight w:val="none"/>
          <w:lang w:val="en-US" w:eastAsia="zh-CN"/>
        </w:rPr>
        <w:t>、</w:t>
      </w:r>
      <w:r>
        <w:rPr>
          <w:rFonts w:hint="eastAsia" w:ascii="宋体" w:hAnsi="宋体" w:eastAsia="宋体" w:cs="宋体"/>
          <w:b/>
          <w:bCs/>
          <w:color w:val="auto"/>
          <w:sz w:val="21"/>
          <w:szCs w:val="21"/>
          <w:highlight w:val="none"/>
          <w:lang w:val="en-US" w:eastAsia="zh-CN" w:bidi="ar-SA"/>
        </w:rPr>
        <w:t>月考评及退出机制</w:t>
      </w:r>
    </w:p>
    <w:p w14:paraId="48C097ED">
      <w:pPr>
        <w:keepNext w:val="0"/>
        <w:keepLines w:val="0"/>
        <w:widowControl/>
        <w:suppressLineNumbers w:val="0"/>
        <w:spacing w:before="0" w:beforeAutospacing="0" w:after="0" w:afterAutospacing="0" w:line="560" w:lineRule="exact"/>
        <w:ind w:left="0" w:right="0" w:firstLine="525" w:firstLineChars="25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将依据幼儿园《校园保洁服务要求与标准》、《校园绿化服务要求与标准》、《校园安全保卫服务要求标准》、《消杀、消毒管理要求与标准》、《校园水电物（零星）维修服务要求与标准》等的管理标准内容做出相应的处理与退出。</w:t>
      </w:r>
    </w:p>
    <w:p w14:paraId="6F9339E7">
      <w:pPr>
        <w:keepNext w:val="0"/>
        <w:keepLines w:val="0"/>
        <w:widowControl/>
        <w:numPr>
          <w:ilvl w:val="0"/>
          <w:numId w:val="0"/>
        </w:numPr>
        <w:suppressLineNumbers w:val="0"/>
        <w:spacing w:before="0" w:beforeAutospacing="0" w:after="0" w:afterAutospacing="0" w:line="560" w:lineRule="exact"/>
        <w:ind w:left="0" w:leftChars="0" w:right="0" w:firstLine="420" w:firstLineChars="20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（一）月考评。</w:t>
      </w:r>
    </w:p>
    <w:p w14:paraId="23602DF8">
      <w:pPr>
        <w:keepNext w:val="0"/>
        <w:keepLines w:val="0"/>
        <w:widowControl w:val="0"/>
        <w:suppressLineNumbers w:val="0"/>
        <w:spacing w:before="0" w:beforeAutospacing="0" w:after="0" w:afterAutospacing="0" w:line="560" w:lineRule="exact"/>
        <w:ind w:left="0" w:right="0" w:firstLine="525" w:firstLineChars="25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每月对服务情况进行考评，每月考评分数通报成交人。每月评分在</w:t>
      </w:r>
      <w:r>
        <w:rPr>
          <w:rFonts w:hint="eastAsia" w:ascii="宋体" w:hAnsi="宋体" w:cs="宋体"/>
          <w:b w:val="0"/>
          <w:color w:val="auto"/>
          <w:sz w:val="21"/>
          <w:szCs w:val="21"/>
          <w:highlight w:val="none"/>
          <w:lang w:val="en-US" w:eastAsia="zh-CN" w:bidi="ar-SA"/>
        </w:rPr>
        <w:t>85</w:t>
      </w:r>
      <w:r>
        <w:rPr>
          <w:rFonts w:hint="eastAsia" w:ascii="宋体" w:hAnsi="宋体" w:eastAsia="宋体" w:cs="宋体"/>
          <w:b w:val="0"/>
          <w:color w:val="auto"/>
          <w:sz w:val="21"/>
          <w:szCs w:val="21"/>
          <w:highlight w:val="none"/>
          <w:lang w:val="en-US" w:eastAsia="zh-CN" w:bidi="ar-SA"/>
        </w:rPr>
        <w:t>分及以上，采购人全额支付该月物业服务费；评分为80-8</w:t>
      </w:r>
      <w:r>
        <w:rPr>
          <w:rFonts w:hint="eastAsia" w:ascii="宋体" w:hAnsi="宋体" w:cs="宋体"/>
          <w:b w:val="0"/>
          <w:color w:val="auto"/>
          <w:sz w:val="21"/>
          <w:szCs w:val="21"/>
          <w:highlight w:val="none"/>
          <w:lang w:val="en-US" w:eastAsia="zh-CN" w:bidi="ar-SA"/>
        </w:rPr>
        <w:t>4</w:t>
      </w:r>
      <w:r>
        <w:rPr>
          <w:rFonts w:hint="eastAsia" w:ascii="宋体" w:hAnsi="宋体" w:eastAsia="宋体" w:cs="宋体"/>
          <w:b w:val="0"/>
          <w:color w:val="auto"/>
          <w:sz w:val="21"/>
          <w:szCs w:val="21"/>
          <w:highlight w:val="none"/>
          <w:lang w:val="en-US" w:eastAsia="zh-CN" w:bidi="ar-SA"/>
        </w:rPr>
        <w:t>分，采购人支付该月物业服务费95%；评分为7</w:t>
      </w:r>
      <w:r>
        <w:rPr>
          <w:rFonts w:hint="eastAsia" w:ascii="宋体" w:hAnsi="宋体" w:cs="宋体"/>
          <w:b w:val="0"/>
          <w:color w:val="auto"/>
          <w:sz w:val="21"/>
          <w:szCs w:val="21"/>
          <w:highlight w:val="none"/>
          <w:lang w:val="en-US" w:eastAsia="zh-CN" w:bidi="ar-SA"/>
        </w:rPr>
        <w:t>5</w:t>
      </w:r>
      <w:r>
        <w:rPr>
          <w:rFonts w:hint="eastAsia" w:ascii="宋体" w:hAnsi="宋体" w:eastAsia="宋体" w:cs="宋体"/>
          <w:b w:val="0"/>
          <w:color w:val="auto"/>
          <w:sz w:val="21"/>
          <w:szCs w:val="21"/>
          <w:highlight w:val="none"/>
          <w:lang w:val="en-US" w:eastAsia="zh-CN" w:bidi="ar-SA"/>
        </w:rPr>
        <w:t>-79分，采购人支付该月物业服务费90%；评分为</w:t>
      </w:r>
      <w:r>
        <w:rPr>
          <w:rFonts w:hint="eastAsia" w:ascii="宋体" w:hAnsi="宋体" w:cs="宋体"/>
          <w:b w:val="0"/>
          <w:color w:val="auto"/>
          <w:sz w:val="21"/>
          <w:szCs w:val="21"/>
          <w:highlight w:val="none"/>
          <w:lang w:val="en-US" w:eastAsia="zh-CN" w:bidi="ar-SA"/>
        </w:rPr>
        <w:t>7</w:t>
      </w:r>
      <w:r>
        <w:rPr>
          <w:rFonts w:hint="eastAsia" w:ascii="宋体" w:hAnsi="宋体" w:eastAsia="宋体" w:cs="宋体"/>
          <w:b w:val="0"/>
          <w:color w:val="auto"/>
          <w:sz w:val="21"/>
          <w:szCs w:val="21"/>
          <w:highlight w:val="none"/>
          <w:lang w:val="en-US" w:eastAsia="zh-CN" w:bidi="ar-SA"/>
        </w:rPr>
        <w:t>0-</w:t>
      </w:r>
      <w:r>
        <w:rPr>
          <w:rFonts w:hint="eastAsia" w:ascii="宋体" w:hAnsi="宋体" w:cs="宋体"/>
          <w:b w:val="0"/>
          <w:color w:val="auto"/>
          <w:sz w:val="21"/>
          <w:szCs w:val="21"/>
          <w:highlight w:val="none"/>
          <w:lang w:val="en-US" w:eastAsia="zh-CN" w:bidi="ar-SA"/>
        </w:rPr>
        <w:t>74</w:t>
      </w:r>
      <w:r>
        <w:rPr>
          <w:rFonts w:hint="eastAsia" w:ascii="宋体" w:hAnsi="宋体" w:eastAsia="宋体" w:cs="宋体"/>
          <w:b w:val="0"/>
          <w:color w:val="auto"/>
          <w:sz w:val="21"/>
          <w:szCs w:val="21"/>
          <w:highlight w:val="none"/>
          <w:lang w:val="en-US" w:eastAsia="zh-CN" w:bidi="ar-SA"/>
        </w:rPr>
        <w:t>分，采购人支付该月服务费80%；评分为</w:t>
      </w:r>
      <w:r>
        <w:rPr>
          <w:rFonts w:hint="eastAsia" w:ascii="宋体" w:hAnsi="宋体" w:cs="宋体"/>
          <w:b w:val="0"/>
          <w:color w:val="auto"/>
          <w:sz w:val="21"/>
          <w:szCs w:val="21"/>
          <w:highlight w:val="none"/>
          <w:lang w:val="en-US" w:eastAsia="zh-CN" w:bidi="ar-SA"/>
        </w:rPr>
        <w:t>70</w:t>
      </w:r>
      <w:r>
        <w:rPr>
          <w:rFonts w:hint="eastAsia" w:ascii="宋体" w:hAnsi="宋体" w:eastAsia="宋体" w:cs="宋体"/>
          <w:b w:val="0"/>
          <w:color w:val="auto"/>
          <w:sz w:val="21"/>
          <w:szCs w:val="21"/>
          <w:highlight w:val="none"/>
          <w:lang w:val="en-US" w:eastAsia="zh-CN" w:bidi="ar-SA"/>
        </w:rPr>
        <w:t>分及以下，采购人支付该月服务费60%。</w:t>
      </w:r>
    </w:p>
    <w:p w14:paraId="13FE89B5">
      <w:pPr>
        <w:keepNext w:val="0"/>
        <w:keepLines w:val="0"/>
        <w:widowControl/>
        <w:numPr>
          <w:ilvl w:val="0"/>
          <w:numId w:val="0"/>
        </w:numPr>
        <w:suppressLineNumbers w:val="0"/>
        <w:spacing w:before="0" w:beforeAutospacing="0" w:after="0" w:afterAutospacing="0" w:line="560" w:lineRule="exact"/>
        <w:ind w:left="0" w:leftChars="0" w:right="0" w:firstLine="420" w:firstLineChars="20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（二）退出机制。</w:t>
      </w:r>
    </w:p>
    <w:p w14:paraId="2564870C">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全年月考评分数出现59分及以下累计2次，采购人可认定成交人为不合格服务单位，采购人有权解除合同。</w:t>
      </w:r>
    </w:p>
    <w:p w14:paraId="203E457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基础分100分，其中用人服务45分（含岗位要求、人员到岗情况、服务着装、履职情况），管理服务25分（含履职情况、环境卫生、清洁消杀），其他服务30分（合同约定的其他情况）。</w:t>
      </w:r>
    </w:p>
    <w:p w14:paraId="2DCC2A40">
      <w:pPr>
        <w:pStyle w:val="18"/>
        <w:keepNext w:val="0"/>
        <w:keepLines w:val="0"/>
        <w:widowControl w:val="0"/>
        <w:suppressLineNumbers w:val="0"/>
        <w:spacing w:before="0" w:beforeAutospacing="0" w:after="0" w:afterAutospacing="0" w:line="400" w:lineRule="exact"/>
        <w:ind w:left="0" w:right="0" w:firstLine="0" w:firstLineChars="0"/>
        <w:jc w:val="both"/>
        <w:rPr>
          <w:rFonts w:hint="eastAsia" w:ascii="宋体" w:hAnsi="宋体" w:eastAsia="宋体" w:cs="宋体"/>
          <w:b w:val="0"/>
          <w:color w:val="auto"/>
          <w:sz w:val="21"/>
          <w:szCs w:val="21"/>
          <w:highlight w:val="none"/>
          <w:lang w:val="en-US" w:eastAsia="zh-CN" w:bidi="ar-SA"/>
        </w:rPr>
      </w:pPr>
    </w:p>
    <w:tbl>
      <w:tblPr>
        <w:tblStyle w:val="2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5"/>
        <w:gridCol w:w="1934"/>
        <w:gridCol w:w="707"/>
        <w:gridCol w:w="2839"/>
        <w:gridCol w:w="2929"/>
      </w:tblGrid>
      <w:tr w14:paraId="41B99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1215" w:type="dxa"/>
            <w:tcBorders>
              <w:top w:val="single" w:color="auto" w:sz="4" w:space="0"/>
              <w:left w:val="single" w:color="auto" w:sz="4" w:space="0"/>
              <w:bottom w:val="single" w:color="auto" w:sz="4" w:space="0"/>
              <w:right w:val="single" w:color="auto" w:sz="4" w:space="0"/>
            </w:tcBorders>
            <w:vAlign w:val="center"/>
          </w:tcPr>
          <w:p w14:paraId="61D0463D">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项目</w:t>
            </w:r>
          </w:p>
        </w:tc>
        <w:tc>
          <w:tcPr>
            <w:tcW w:w="1934" w:type="dxa"/>
            <w:tcBorders>
              <w:top w:val="single" w:color="auto" w:sz="4" w:space="0"/>
              <w:left w:val="single" w:color="auto" w:sz="4" w:space="0"/>
              <w:bottom w:val="single" w:color="auto" w:sz="4" w:space="0"/>
              <w:right w:val="single" w:color="auto" w:sz="4" w:space="0"/>
            </w:tcBorders>
            <w:vAlign w:val="center"/>
          </w:tcPr>
          <w:p w14:paraId="72DB5B61">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分项指标</w:t>
            </w:r>
          </w:p>
        </w:tc>
        <w:tc>
          <w:tcPr>
            <w:tcW w:w="707" w:type="dxa"/>
            <w:tcBorders>
              <w:top w:val="single" w:color="auto" w:sz="4" w:space="0"/>
              <w:left w:val="single" w:color="auto" w:sz="4" w:space="0"/>
              <w:bottom w:val="single" w:color="auto" w:sz="4" w:space="0"/>
              <w:right w:val="single" w:color="auto" w:sz="4" w:space="0"/>
            </w:tcBorders>
            <w:vAlign w:val="center"/>
          </w:tcPr>
          <w:p w14:paraId="7CBD85FB">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分值</w:t>
            </w:r>
          </w:p>
        </w:tc>
        <w:tc>
          <w:tcPr>
            <w:tcW w:w="2839" w:type="dxa"/>
            <w:tcBorders>
              <w:top w:val="single" w:color="auto" w:sz="4" w:space="0"/>
              <w:left w:val="single" w:color="auto" w:sz="4" w:space="0"/>
              <w:bottom w:val="single" w:color="auto" w:sz="4" w:space="0"/>
              <w:right w:val="single" w:color="auto" w:sz="4" w:space="0"/>
            </w:tcBorders>
            <w:vAlign w:val="center"/>
          </w:tcPr>
          <w:p w14:paraId="3D056357">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减分项目1</w:t>
            </w:r>
          </w:p>
        </w:tc>
        <w:tc>
          <w:tcPr>
            <w:tcW w:w="2929" w:type="dxa"/>
            <w:tcBorders>
              <w:top w:val="single" w:color="auto" w:sz="4" w:space="0"/>
              <w:left w:val="single" w:color="auto" w:sz="4" w:space="0"/>
              <w:bottom w:val="single" w:color="auto" w:sz="4" w:space="0"/>
              <w:right w:val="single" w:color="auto" w:sz="4" w:space="0"/>
            </w:tcBorders>
            <w:vAlign w:val="center"/>
          </w:tcPr>
          <w:p w14:paraId="3CD447A5">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减分项目2</w:t>
            </w:r>
          </w:p>
        </w:tc>
      </w:tr>
      <w:tr w14:paraId="7E0F2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2" w:hRule="atLeast"/>
        </w:trPr>
        <w:tc>
          <w:tcPr>
            <w:tcW w:w="1215" w:type="dxa"/>
            <w:vMerge w:val="restart"/>
            <w:tcBorders>
              <w:top w:val="single" w:color="auto" w:sz="4" w:space="0"/>
              <w:left w:val="single" w:color="auto" w:sz="4" w:space="0"/>
              <w:bottom w:val="single" w:color="auto" w:sz="4" w:space="0"/>
              <w:right w:val="single" w:color="auto" w:sz="4" w:space="0"/>
            </w:tcBorders>
            <w:vAlign w:val="center"/>
          </w:tcPr>
          <w:p w14:paraId="5B670004">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用人服务（35分）</w:t>
            </w:r>
          </w:p>
        </w:tc>
        <w:tc>
          <w:tcPr>
            <w:tcW w:w="1934" w:type="dxa"/>
            <w:tcBorders>
              <w:top w:val="single" w:color="auto" w:sz="4" w:space="0"/>
              <w:left w:val="single" w:color="auto" w:sz="4" w:space="0"/>
              <w:bottom w:val="single" w:color="auto" w:sz="4" w:space="0"/>
              <w:right w:val="single" w:color="auto" w:sz="4" w:space="0"/>
            </w:tcBorders>
            <w:vAlign w:val="center"/>
          </w:tcPr>
          <w:p w14:paraId="639E03B2">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岗位要求</w:t>
            </w:r>
          </w:p>
        </w:tc>
        <w:tc>
          <w:tcPr>
            <w:tcW w:w="707" w:type="dxa"/>
            <w:tcBorders>
              <w:top w:val="single" w:color="auto" w:sz="4" w:space="0"/>
              <w:left w:val="single" w:color="auto" w:sz="4" w:space="0"/>
              <w:bottom w:val="single" w:color="auto" w:sz="4" w:space="0"/>
              <w:right w:val="single" w:color="auto" w:sz="4" w:space="0"/>
            </w:tcBorders>
            <w:vAlign w:val="center"/>
          </w:tcPr>
          <w:p w14:paraId="38BA0DEA">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w:t>
            </w:r>
          </w:p>
        </w:tc>
        <w:tc>
          <w:tcPr>
            <w:tcW w:w="2839" w:type="dxa"/>
            <w:tcBorders>
              <w:top w:val="single" w:color="auto" w:sz="4" w:space="0"/>
              <w:left w:val="single" w:color="auto" w:sz="4" w:space="0"/>
              <w:bottom w:val="single" w:color="auto" w:sz="4" w:space="0"/>
              <w:right w:val="single" w:color="auto" w:sz="4" w:space="0"/>
            </w:tcBorders>
            <w:vAlign w:val="center"/>
          </w:tcPr>
          <w:p w14:paraId="255FB49D">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未按岗位要求派驻服务人员，每发现一人减1分</w:t>
            </w:r>
          </w:p>
        </w:tc>
        <w:tc>
          <w:tcPr>
            <w:tcW w:w="2929" w:type="dxa"/>
            <w:tcBorders>
              <w:top w:val="single" w:color="auto" w:sz="4" w:space="0"/>
              <w:left w:val="single" w:color="auto" w:sz="4" w:space="0"/>
              <w:bottom w:val="single" w:color="auto" w:sz="4" w:space="0"/>
              <w:right w:val="single" w:color="auto" w:sz="4" w:space="0"/>
            </w:tcBorders>
            <w:vAlign w:val="center"/>
          </w:tcPr>
          <w:p w14:paraId="66D38A3D">
            <w:pPr>
              <w:keepNext w:val="0"/>
              <w:keepLines w:val="0"/>
              <w:widowControl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p>
        </w:tc>
      </w:tr>
      <w:tr w14:paraId="7972F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7" w:hRule="atLeast"/>
        </w:trPr>
        <w:tc>
          <w:tcPr>
            <w:tcW w:w="1215" w:type="dxa"/>
            <w:vMerge w:val="continue"/>
            <w:tcBorders>
              <w:top w:val="single" w:color="auto" w:sz="4" w:space="0"/>
              <w:left w:val="single" w:color="auto" w:sz="4" w:space="0"/>
              <w:bottom w:val="single" w:color="auto" w:sz="4" w:space="0"/>
              <w:right w:val="single" w:color="auto" w:sz="4" w:space="0"/>
            </w:tcBorders>
            <w:vAlign w:val="center"/>
          </w:tcPr>
          <w:p w14:paraId="53292AFB">
            <w:pPr>
              <w:rPr>
                <w:rFonts w:hint="eastAsia" w:ascii="宋体" w:hAnsi="宋体" w:eastAsia="宋体" w:cs="宋体"/>
                <w:b w:val="0"/>
                <w:color w:val="auto"/>
                <w:sz w:val="21"/>
                <w:szCs w:val="21"/>
                <w:highlight w:val="none"/>
                <w:lang w:val="en-US" w:eastAsia="zh-CN" w:bidi="ar-SA"/>
              </w:rPr>
            </w:pPr>
          </w:p>
        </w:tc>
        <w:tc>
          <w:tcPr>
            <w:tcW w:w="1934" w:type="dxa"/>
            <w:tcBorders>
              <w:top w:val="single" w:color="auto" w:sz="4" w:space="0"/>
              <w:left w:val="single" w:color="auto" w:sz="4" w:space="0"/>
              <w:bottom w:val="single" w:color="auto" w:sz="4" w:space="0"/>
              <w:right w:val="single" w:color="auto" w:sz="4" w:space="0"/>
            </w:tcBorders>
            <w:vAlign w:val="center"/>
          </w:tcPr>
          <w:p w14:paraId="49779A84">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人员到岗情况</w:t>
            </w:r>
          </w:p>
        </w:tc>
        <w:tc>
          <w:tcPr>
            <w:tcW w:w="707" w:type="dxa"/>
            <w:tcBorders>
              <w:top w:val="single" w:color="auto" w:sz="4" w:space="0"/>
              <w:left w:val="single" w:color="auto" w:sz="4" w:space="0"/>
              <w:bottom w:val="single" w:color="auto" w:sz="4" w:space="0"/>
              <w:right w:val="single" w:color="auto" w:sz="4" w:space="0"/>
            </w:tcBorders>
            <w:vAlign w:val="center"/>
          </w:tcPr>
          <w:p w14:paraId="1AF79E82">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10</w:t>
            </w:r>
          </w:p>
        </w:tc>
        <w:tc>
          <w:tcPr>
            <w:tcW w:w="2839" w:type="dxa"/>
            <w:tcBorders>
              <w:top w:val="single" w:color="auto" w:sz="4" w:space="0"/>
              <w:left w:val="single" w:color="auto" w:sz="4" w:space="0"/>
              <w:bottom w:val="single" w:color="auto" w:sz="4" w:space="0"/>
              <w:right w:val="single" w:color="auto" w:sz="4" w:space="0"/>
            </w:tcBorders>
            <w:vAlign w:val="center"/>
          </w:tcPr>
          <w:p w14:paraId="2BCDADF8">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工作时间无故缺岗缺人，每缺一岗或一人减1分</w:t>
            </w:r>
          </w:p>
        </w:tc>
        <w:tc>
          <w:tcPr>
            <w:tcW w:w="2929" w:type="dxa"/>
            <w:tcBorders>
              <w:top w:val="single" w:color="auto" w:sz="4" w:space="0"/>
              <w:left w:val="single" w:color="auto" w:sz="4" w:space="0"/>
              <w:bottom w:val="single" w:color="auto" w:sz="4" w:space="0"/>
              <w:right w:val="single" w:color="auto" w:sz="4" w:space="0"/>
            </w:tcBorders>
            <w:vAlign w:val="center"/>
          </w:tcPr>
          <w:p w14:paraId="36AE89DE">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因离职出现缺岗缺人，自缺岗或缺人之日起每天减1分</w:t>
            </w:r>
          </w:p>
        </w:tc>
      </w:tr>
      <w:tr w14:paraId="3EFEC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2" w:hRule="atLeast"/>
        </w:trPr>
        <w:tc>
          <w:tcPr>
            <w:tcW w:w="1215" w:type="dxa"/>
            <w:vMerge w:val="continue"/>
            <w:tcBorders>
              <w:top w:val="single" w:color="auto" w:sz="4" w:space="0"/>
              <w:left w:val="single" w:color="auto" w:sz="4" w:space="0"/>
              <w:bottom w:val="single" w:color="auto" w:sz="4" w:space="0"/>
              <w:right w:val="single" w:color="auto" w:sz="4" w:space="0"/>
            </w:tcBorders>
            <w:vAlign w:val="center"/>
          </w:tcPr>
          <w:p w14:paraId="68B7485E">
            <w:pPr>
              <w:rPr>
                <w:rFonts w:hint="eastAsia" w:ascii="宋体" w:hAnsi="宋体" w:eastAsia="宋体" w:cs="宋体"/>
                <w:b w:val="0"/>
                <w:color w:val="auto"/>
                <w:sz w:val="21"/>
                <w:szCs w:val="21"/>
                <w:highlight w:val="none"/>
                <w:lang w:val="en-US" w:eastAsia="zh-CN" w:bidi="ar-SA"/>
              </w:rPr>
            </w:pPr>
          </w:p>
        </w:tc>
        <w:tc>
          <w:tcPr>
            <w:tcW w:w="1934" w:type="dxa"/>
            <w:tcBorders>
              <w:top w:val="single" w:color="auto" w:sz="4" w:space="0"/>
              <w:left w:val="single" w:color="auto" w:sz="4" w:space="0"/>
              <w:bottom w:val="single" w:color="auto" w:sz="4" w:space="0"/>
              <w:right w:val="single" w:color="auto" w:sz="4" w:space="0"/>
            </w:tcBorders>
            <w:vAlign w:val="center"/>
          </w:tcPr>
          <w:p w14:paraId="30FE94C3">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bookmarkStart w:id="17" w:name="_Hlk90752686"/>
            <w:r>
              <w:rPr>
                <w:rFonts w:hint="eastAsia" w:ascii="宋体" w:hAnsi="宋体" w:eastAsia="宋体" w:cs="宋体"/>
                <w:b w:val="0"/>
                <w:color w:val="auto"/>
                <w:sz w:val="21"/>
                <w:szCs w:val="21"/>
                <w:highlight w:val="none"/>
                <w:lang w:val="en-US" w:eastAsia="zh-CN" w:bidi="ar-SA"/>
              </w:rPr>
              <w:t>人员着装、标识</w:t>
            </w:r>
          </w:p>
        </w:tc>
        <w:tc>
          <w:tcPr>
            <w:tcW w:w="707" w:type="dxa"/>
            <w:tcBorders>
              <w:top w:val="single" w:color="auto" w:sz="4" w:space="0"/>
              <w:left w:val="single" w:color="auto" w:sz="4" w:space="0"/>
              <w:bottom w:val="single" w:color="auto" w:sz="4" w:space="0"/>
              <w:right w:val="single" w:color="auto" w:sz="4" w:space="0"/>
            </w:tcBorders>
            <w:vAlign w:val="center"/>
          </w:tcPr>
          <w:p w14:paraId="36BCA454">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w:t>
            </w:r>
          </w:p>
        </w:tc>
        <w:tc>
          <w:tcPr>
            <w:tcW w:w="2839" w:type="dxa"/>
            <w:tcBorders>
              <w:top w:val="single" w:color="auto" w:sz="4" w:space="0"/>
              <w:left w:val="single" w:color="auto" w:sz="4" w:space="0"/>
              <w:bottom w:val="single" w:color="auto" w:sz="4" w:space="0"/>
              <w:right w:val="single" w:color="auto" w:sz="4" w:space="0"/>
            </w:tcBorders>
            <w:vAlign w:val="center"/>
          </w:tcPr>
          <w:p w14:paraId="315BD986">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工作时间未按要求着装、未佩戴工作牌，每次减1分</w:t>
            </w:r>
          </w:p>
        </w:tc>
        <w:tc>
          <w:tcPr>
            <w:tcW w:w="2929" w:type="dxa"/>
            <w:tcBorders>
              <w:top w:val="single" w:color="auto" w:sz="4" w:space="0"/>
              <w:left w:val="single" w:color="auto" w:sz="4" w:space="0"/>
              <w:bottom w:val="single" w:color="auto" w:sz="4" w:space="0"/>
              <w:right w:val="single" w:color="auto" w:sz="4" w:space="0"/>
            </w:tcBorders>
            <w:vAlign w:val="center"/>
          </w:tcPr>
          <w:p w14:paraId="726EE08D">
            <w:pPr>
              <w:keepNext w:val="0"/>
              <w:keepLines w:val="0"/>
              <w:widowControl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p>
        </w:tc>
      </w:tr>
      <w:bookmarkEnd w:id="17"/>
      <w:tr w14:paraId="2EAD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7" w:hRule="atLeast"/>
        </w:trPr>
        <w:tc>
          <w:tcPr>
            <w:tcW w:w="1215" w:type="dxa"/>
            <w:vMerge w:val="continue"/>
            <w:tcBorders>
              <w:top w:val="single" w:color="auto" w:sz="4" w:space="0"/>
              <w:left w:val="single" w:color="auto" w:sz="4" w:space="0"/>
              <w:bottom w:val="single" w:color="auto" w:sz="4" w:space="0"/>
              <w:right w:val="single" w:color="auto" w:sz="4" w:space="0"/>
            </w:tcBorders>
            <w:vAlign w:val="center"/>
          </w:tcPr>
          <w:p w14:paraId="45260201">
            <w:pPr>
              <w:rPr>
                <w:rFonts w:hint="eastAsia" w:ascii="宋体" w:hAnsi="宋体" w:eastAsia="宋体" w:cs="宋体"/>
                <w:b w:val="0"/>
                <w:color w:val="auto"/>
                <w:sz w:val="21"/>
                <w:szCs w:val="21"/>
                <w:highlight w:val="none"/>
                <w:lang w:val="en-US" w:eastAsia="zh-CN" w:bidi="ar-SA"/>
              </w:rPr>
            </w:pPr>
          </w:p>
        </w:tc>
        <w:tc>
          <w:tcPr>
            <w:tcW w:w="1934" w:type="dxa"/>
            <w:tcBorders>
              <w:top w:val="single" w:color="auto" w:sz="4" w:space="0"/>
              <w:left w:val="single" w:color="auto" w:sz="4" w:space="0"/>
              <w:bottom w:val="single" w:color="auto" w:sz="4" w:space="0"/>
              <w:right w:val="single" w:color="auto" w:sz="4" w:space="0"/>
            </w:tcBorders>
            <w:vAlign w:val="center"/>
          </w:tcPr>
          <w:p w14:paraId="1AB89973">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劳动纪律情况</w:t>
            </w:r>
          </w:p>
        </w:tc>
        <w:tc>
          <w:tcPr>
            <w:tcW w:w="707" w:type="dxa"/>
            <w:tcBorders>
              <w:top w:val="single" w:color="auto" w:sz="4" w:space="0"/>
              <w:left w:val="single" w:color="auto" w:sz="4" w:space="0"/>
              <w:bottom w:val="single" w:color="auto" w:sz="4" w:space="0"/>
              <w:right w:val="single" w:color="auto" w:sz="4" w:space="0"/>
            </w:tcBorders>
            <w:vAlign w:val="center"/>
          </w:tcPr>
          <w:p w14:paraId="17C6D9AD">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15</w:t>
            </w:r>
          </w:p>
        </w:tc>
        <w:tc>
          <w:tcPr>
            <w:tcW w:w="2839" w:type="dxa"/>
            <w:tcBorders>
              <w:top w:val="single" w:color="auto" w:sz="4" w:space="0"/>
              <w:left w:val="single" w:color="auto" w:sz="4" w:space="0"/>
              <w:bottom w:val="single" w:color="auto" w:sz="4" w:space="0"/>
              <w:right w:val="single" w:color="auto" w:sz="4" w:space="0"/>
            </w:tcBorders>
            <w:vAlign w:val="center"/>
          </w:tcPr>
          <w:p w14:paraId="4A1944FF">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不履行岗位职责、不遵守学校制度，每次减5分</w:t>
            </w:r>
          </w:p>
        </w:tc>
        <w:tc>
          <w:tcPr>
            <w:tcW w:w="2929" w:type="dxa"/>
            <w:tcBorders>
              <w:top w:val="single" w:color="auto" w:sz="4" w:space="0"/>
              <w:left w:val="single" w:color="auto" w:sz="4" w:space="0"/>
              <w:bottom w:val="single" w:color="auto" w:sz="4" w:space="0"/>
              <w:right w:val="single" w:color="auto" w:sz="4" w:space="0"/>
            </w:tcBorders>
            <w:vAlign w:val="center"/>
          </w:tcPr>
          <w:p w14:paraId="55216C67">
            <w:pPr>
              <w:keepNext w:val="0"/>
              <w:keepLines w:val="0"/>
              <w:widowControl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p>
        </w:tc>
      </w:tr>
      <w:tr w14:paraId="513A9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5" w:type="dxa"/>
            <w:vMerge w:val="restart"/>
            <w:tcBorders>
              <w:top w:val="single" w:color="auto" w:sz="4" w:space="0"/>
              <w:left w:val="single" w:color="auto" w:sz="4" w:space="0"/>
              <w:bottom w:val="single" w:color="auto" w:sz="4" w:space="0"/>
              <w:right w:val="single" w:color="auto" w:sz="4" w:space="0"/>
            </w:tcBorders>
            <w:vAlign w:val="center"/>
          </w:tcPr>
          <w:p w14:paraId="192F9F16">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管理服务（25分）</w:t>
            </w:r>
          </w:p>
        </w:tc>
        <w:tc>
          <w:tcPr>
            <w:tcW w:w="1934" w:type="dxa"/>
            <w:tcBorders>
              <w:top w:val="single" w:color="auto" w:sz="4" w:space="0"/>
              <w:left w:val="single" w:color="auto" w:sz="4" w:space="0"/>
              <w:bottom w:val="single" w:color="auto" w:sz="4" w:space="0"/>
              <w:right w:val="single" w:color="auto" w:sz="4" w:space="0"/>
            </w:tcBorders>
            <w:vAlign w:val="center"/>
          </w:tcPr>
          <w:p w14:paraId="30AB17E0">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人员履职情况</w:t>
            </w:r>
          </w:p>
        </w:tc>
        <w:tc>
          <w:tcPr>
            <w:tcW w:w="707" w:type="dxa"/>
            <w:tcBorders>
              <w:top w:val="single" w:color="auto" w:sz="4" w:space="0"/>
              <w:left w:val="single" w:color="auto" w:sz="4" w:space="0"/>
              <w:bottom w:val="single" w:color="auto" w:sz="4" w:space="0"/>
              <w:right w:val="single" w:color="auto" w:sz="4" w:space="0"/>
            </w:tcBorders>
            <w:vAlign w:val="center"/>
          </w:tcPr>
          <w:p w14:paraId="0801C22B">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10</w:t>
            </w:r>
          </w:p>
        </w:tc>
        <w:tc>
          <w:tcPr>
            <w:tcW w:w="2839" w:type="dxa"/>
            <w:tcBorders>
              <w:top w:val="single" w:color="auto" w:sz="4" w:space="0"/>
              <w:left w:val="single" w:color="auto" w:sz="4" w:space="0"/>
              <w:bottom w:val="single" w:color="auto" w:sz="4" w:space="0"/>
              <w:right w:val="single" w:color="auto" w:sz="4" w:space="0"/>
            </w:tcBorders>
            <w:vAlign w:val="center"/>
          </w:tcPr>
          <w:p w14:paraId="224FA325">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出现责任事故，每次减5分</w:t>
            </w:r>
          </w:p>
        </w:tc>
        <w:tc>
          <w:tcPr>
            <w:tcW w:w="2929" w:type="dxa"/>
            <w:tcBorders>
              <w:top w:val="single" w:color="auto" w:sz="4" w:space="0"/>
              <w:left w:val="single" w:color="auto" w:sz="4" w:space="0"/>
              <w:bottom w:val="single" w:color="auto" w:sz="4" w:space="0"/>
              <w:right w:val="single" w:color="auto" w:sz="4" w:space="0"/>
            </w:tcBorders>
            <w:vAlign w:val="center"/>
          </w:tcPr>
          <w:p w14:paraId="1D961139">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未按岗位要求及响应时间履职，每次减2分</w:t>
            </w:r>
          </w:p>
        </w:tc>
      </w:tr>
      <w:tr w14:paraId="0272D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5" w:type="dxa"/>
            <w:vMerge w:val="continue"/>
            <w:tcBorders>
              <w:top w:val="single" w:color="auto" w:sz="4" w:space="0"/>
              <w:left w:val="single" w:color="auto" w:sz="4" w:space="0"/>
              <w:bottom w:val="single" w:color="auto" w:sz="4" w:space="0"/>
              <w:right w:val="single" w:color="auto" w:sz="4" w:space="0"/>
            </w:tcBorders>
            <w:vAlign w:val="center"/>
          </w:tcPr>
          <w:p w14:paraId="149EBD73">
            <w:pPr>
              <w:rPr>
                <w:rFonts w:hint="eastAsia" w:ascii="宋体" w:hAnsi="宋体" w:eastAsia="宋体" w:cs="宋体"/>
                <w:b w:val="0"/>
                <w:color w:val="auto"/>
                <w:sz w:val="21"/>
                <w:szCs w:val="21"/>
                <w:highlight w:val="none"/>
                <w:lang w:val="en-US" w:eastAsia="zh-CN" w:bidi="ar-SA"/>
              </w:rPr>
            </w:pPr>
          </w:p>
        </w:tc>
        <w:tc>
          <w:tcPr>
            <w:tcW w:w="1934" w:type="dxa"/>
            <w:tcBorders>
              <w:top w:val="single" w:color="auto" w:sz="4" w:space="0"/>
              <w:left w:val="single" w:color="auto" w:sz="4" w:space="0"/>
              <w:bottom w:val="single" w:color="auto" w:sz="4" w:space="0"/>
              <w:right w:val="single" w:color="auto" w:sz="4" w:space="0"/>
            </w:tcBorders>
            <w:vAlign w:val="center"/>
          </w:tcPr>
          <w:p w14:paraId="3D0E2B46">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环境卫生</w:t>
            </w:r>
          </w:p>
        </w:tc>
        <w:tc>
          <w:tcPr>
            <w:tcW w:w="707" w:type="dxa"/>
            <w:tcBorders>
              <w:top w:val="single" w:color="auto" w:sz="4" w:space="0"/>
              <w:left w:val="single" w:color="auto" w:sz="4" w:space="0"/>
              <w:bottom w:val="single" w:color="auto" w:sz="4" w:space="0"/>
              <w:right w:val="single" w:color="auto" w:sz="4" w:space="0"/>
            </w:tcBorders>
            <w:vAlign w:val="center"/>
          </w:tcPr>
          <w:p w14:paraId="64ABFEA4">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10</w:t>
            </w:r>
          </w:p>
        </w:tc>
        <w:tc>
          <w:tcPr>
            <w:tcW w:w="2839" w:type="dxa"/>
            <w:tcBorders>
              <w:top w:val="single" w:color="auto" w:sz="4" w:space="0"/>
              <w:left w:val="single" w:color="auto" w:sz="4" w:space="0"/>
              <w:bottom w:val="single" w:color="auto" w:sz="4" w:space="0"/>
              <w:right w:val="single" w:color="auto" w:sz="4" w:space="0"/>
            </w:tcBorders>
            <w:vAlign w:val="center"/>
          </w:tcPr>
          <w:p w14:paraId="59C3C050">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检查环境卫生不合格，每次减1分</w:t>
            </w:r>
          </w:p>
        </w:tc>
        <w:tc>
          <w:tcPr>
            <w:tcW w:w="2929" w:type="dxa"/>
            <w:tcBorders>
              <w:top w:val="single" w:color="auto" w:sz="4" w:space="0"/>
              <w:left w:val="single" w:color="auto" w:sz="4" w:space="0"/>
              <w:bottom w:val="single" w:color="auto" w:sz="4" w:space="0"/>
              <w:right w:val="single" w:color="auto" w:sz="4" w:space="0"/>
            </w:tcBorders>
            <w:vAlign w:val="center"/>
          </w:tcPr>
          <w:p w14:paraId="070EA056">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未按要求每日清运垃圾，每缺运一天减1分</w:t>
            </w:r>
          </w:p>
        </w:tc>
      </w:tr>
      <w:tr w14:paraId="771FA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5" w:type="dxa"/>
            <w:vMerge w:val="continue"/>
            <w:tcBorders>
              <w:top w:val="single" w:color="auto" w:sz="4" w:space="0"/>
              <w:left w:val="single" w:color="auto" w:sz="4" w:space="0"/>
              <w:bottom w:val="single" w:color="auto" w:sz="4" w:space="0"/>
              <w:right w:val="single" w:color="auto" w:sz="4" w:space="0"/>
            </w:tcBorders>
            <w:vAlign w:val="center"/>
          </w:tcPr>
          <w:p w14:paraId="2736A625">
            <w:pPr>
              <w:rPr>
                <w:rFonts w:hint="eastAsia" w:ascii="宋体" w:hAnsi="宋体" w:eastAsia="宋体" w:cs="宋体"/>
                <w:b w:val="0"/>
                <w:color w:val="auto"/>
                <w:sz w:val="21"/>
                <w:szCs w:val="21"/>
                <w:highlight w:val="none"/>
                <w:lang w:val="en-US" w:eastAsia="zh-CN" w:bidi="ar-SA"/>
              </w:rPr>
            </w:pPr>
          </w:p>
        </w:tc>
        <w:tc>
          <w:tcPr>
            <w:tcW w:w="1934" w:type="dxa"/>
            <w:tcBorders>
              <w:top w:val="single" w:color="auto" w:sz="4" w:space="0"/>
              <w:left w:val="single" w:color="auto" w:sz="4" w:space="0"/>
              <w:bottom w:val="single" w:color="auto" w:sz="4" w:space="0"/>
              <w:right w:val="single" w:color="auto" w:sz="4" w:space="0"/>
            </w:tcBorders>
            <w:vAlign w:val="center"/>
          </w:tcPr>
          <w:p w14:paraId="721A62BE">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清洁消杀</w:t>
            </w:r>
          </w:p>
        </w:tc>
        <w:tc>
          <w:tcPr>
            <w:tcW w:w="707" w:type="dxa"/>
            <w:tcBorders>
              <w:top w:val="single" w:color="auto" w:sz="4" w:space="0"/>
              <w:left w:val="single" w:color="auto" w:sz="4" w:space="0"/>
              <w:bottom w:val="single" w:color="auto" w:sz="4" w:space="0"/>
              <w:right w:val="single" w:color="auto" w:sz="4" w:space="0"/>
            </w:tcBorders>
            <w:vAlign w:val="center"/>
          </w:tcPr>
          <w:p w14:paraId="05243C19">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w:t>
            </w:r>
          </w:p>
        </w:tc>
        <w:tc>
          <w:tcPr>
            <w:tcW w:w="2839" w:type="dxa"/>
            <w:tcBorders>
              <w:top w:val="single" w:color="auto" w:sz="4" w:space="0"/>
              <w:left w:val="single" w:color="auto" w:sz="4" w:space="0"/>
              <w:bottom w:val="single" w:color="auto" w:sz="4" w:space="0"/>
              <w:right w:val="single" w:color="auto" w:sz="4" w:space="0"/>
            </w:tcBorders>
            <w:vAlign w:val="center"/>
          </w:tcPr>
          <w:p w14:paraId="51B662F5">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未按要求对清洁消毒场所进行消杀，发现1次减1分</w:t>
            </w:r>
          </w:p>
        </w:tc>
        <w:tc>
          <w:tcPr>
            <w:tcW w:w="2929" w:type="dxa"/>
            <w:tcBorders>
              <w:top w:val="single" w:color="auto" w:sz="4" w:space="0"/>
              <w:left w:val="single" w:color="auto" w:sz="4" w:space="0"/>
              <w:bottom w:val="single" w:color="auto" w:sz="4" w:space="0"/>
              <w:right w:val="single" w:color="auto" w:sz="4" w:space="0"/>
            </w:tcBorders>
            <w:vAlign w:val="center"/>
          </w:tcPr>
          <w:p w14:paraId="0C2186E0">
            <w:pPr>
              <w:keepNext w:val="0"/>
              <w:keepLines w:val="0"/>
              <w:widowControl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p>
        </w:tc>
      </w:tr>
      <w:tr w14:paraId="04479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1215" w:type="dxa"/>
            <w:vMerge w:val="restart"/>
            <w:tcBorders>
              <w:top w:val="single" w:color="auto" w:sz="4" w:space="0"/>
              <w:left w:val="single" w:color="auto" w:sz="4" w:space="0"/>
              <w:bottom w:val="single" w:color="auto" w:sz="4" w:space="0"/>
              <w:right w:val="single" w:color="auto" w:sz="4" w:space="0"/>
            </w:tcBorders>
            <w:vAlign w:val="center"/>
          </w:tcPr>
          <w:p w14:paraId="4C9292E9">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其他服务（40分）</w:t>
            </w:r>
          </w:p>
        </w:tc>
        <w:tc>
          <w:tcPr>
            <w:tcW w:w="1934" w:type="dxa"/>
            <w:tcBorders>
              <w:top w:val="single" w:color="auto" w:sz="4" w:space="0"/>
              <w:left w:val="single" w:color="auto" w:sz="4" w:space="0"/>
              <w:bottom w:val="single" w:color="auto" w:sz="4" w:space="0"/>
              <w:right w:val="single" w:color="auto" w:sz="4" w:space="0"/>
            </w:tcBorders>
            <w:vAlign w:val="center"/>
          </w:tcPr>
          <w:p w14:paraId="7985858A">
            <w:pPr>
              <w:keepNext w:val="0"/>
              <w:keepLines w:val="0"/>
              <w:widowControl/>
              <w:suppressLineNumbers w:val="0"/>
              <w:spacing w:before="0" w:beforeAutospacing="0" w:after="0" w:afterAutospacing="0" w:line="500" w:lineRule="exact"/>
              <w:ind w:left="0" w:right="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幼儿园所需各类记录表格或相关材料</w:t>
            </w:r>
          </w:p>
        </w:tc>
        <w:tc>
          <w:tcPr>
            <w:tcW w:w="707" w:type="dxa"/>
            <w:tcBorders>
              <w:top w:val="single" w:color="auto" w:sz="4" w:space="0"/>
              <w:left w:val="single" w:color="auto" w:sz="4" w:space="0"/>
              <w:bottom w:val="single" w:color="auto" w:sz="4" w:space="0"/>
              <w:right w:val="single" w:color="auto" w:sz="4" w:space="0"/>
            </w:tcBorders>
            <w:vAlign w:val="center"/>
          </w:tcPr>
          <w:p w14:paraId="2C1E13FC">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15</w:t>
            </w:r>
          </w:p>
        </w:tc>
        <w:tc>
          <w:tcPr>
            <w:tcW w:w="2839" w:type="dxa"/>
            <w:tcBorders>
              <w:top w:val="single" w:color="auto" w:sz="4" w:space="0"/>
              <w:left w:val="single" w:color="auto" w:sz="4" w:space="0"/>
              <w:bottom w:val="single" w:color="auto" w:sz="4" w:space="0"/>
              <w:right w:val="single" w:color="auto" w:sz="4" w:space="0"/>
            </w:tcBorders>
            <w:vAlign w:val="center"/>
          </w:tcPr>
          <w:p w14:paraId="16C4965A">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未按合同条款要求上交，每一项减1分</w:t>
            </w:r>
          </w:p>
        </w:tc>
        <w:tc>
          <w:tcPr>
            <w:tcW w:w="2929" w:type="dxa"/>
            <w:tcBorders>
              <w:top w:val="single" w:color="auto" w:sz="4" w:space="0"/>
              <w:left w:val="single" w:color="auto" w:sz="4" w:space="0"/>
              <w:bottom w:val="single" w:color="auto" w:sz="4" w:space="0"/>
              <w:right w:val="single" w:color="auto" w:sz="4" w:space="0"/>
            </w:tcBorders>
            <w:vAlign w:val="center"/>
          </w:tcPr>
          <w:p w14:paraId="375E9240">
            <w:pPr>
              <w:keepNext w:val="0"/>
              <w:keepLines w:val="0"/>
              <w:widowControl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p>
        </w:tc>
      </w:tr>
      <w:tr w14:paraId="12733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5" w:type="dxa"/>
            <w:vMerge w:val="continue"/>
            <w:tcBorders>
              <w:top w:val="single" w:color="auto" w:sz="4" w:space="0"/>
              <w:left w:val="single" w:color="auto" w:sz="4" w:space="0"/>
              <w:bottom w:val="single" w:color="auto" w:sz="4" w:space="0"/>
              <w:right w:val="single" w:color="auto" w:sz="4" w:space="0"/>
            </w:tcBorders>
            <w:vAlign w:val="center"/>
          </w:tcPr>
          <w:p w14:paraId="20EF9E92">
            <w:pPr>
              <w:rPr>
                <w:rFonts w:hint="eastAsia" w:ascii="宋体" w:hAnsi="宋体" w:eastAsia="宋体" w:cs="宋体"/>
                <w:b w:val="0"/>
                <w:color w:val="auto"/>
                <w:sz w:val="21"/>
                <w:szCs w:val="21"/>
                <w:highlight w:val="none"/>
                <w:lang w:val="en-US" w:eastAsia="zh-CN" w:bidi="ar-SA"/>
              </w:rPr>
            </w:pPr>
          </w:p>
        </w:tc>
        <w:tc>
          <w:tcPr>
            <w:tcW w:w="1934" w:type="dxa"/>
            <w:tcBorders>
              <w:top w:val="single" w:color="auto" w:sz="4" w:space="0"/>
              <w:left w:val="single" w:color="auto" w:sz="4" w:space="0"/>
              <w:bottom w:val="single" w:color="auto" w:sz="4" w:space="0"/>
              <w:right w:val="single" w:color="auto" w:sz="4" w:space="0"/>
            </w:tcBorders>
            <w:vAlign w:val="center"/>
          </w:tcPr>
          <w:p w14:paraId="585FB785">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合同的其他约定条款</w:t>
            </w:r>
          </w:p>
        </w:tc>
        <w:tc>
          <w:tcPr>
            <w:tcW w:w="707" w:type="dxa"/>
            <w:tcBorders>
              <w:top w:val="single" w:color="auto" w:sz="4" w:space="0"/>
              <w:left w:val="single" w:color="auto" w:sz="4" w:space="0"/>
              <w:bottom w:val="single" w:color="auto" w:sz="4" w:space="0"/>
              <w:right w:val="single" w:color="auto" w:sz="4" w:space="0"/>
            </w:tcBorders>
            <w:vAlign w:val="center"/>
          </w:tcPr>
          <w:p w14:paraId="356689B7">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15</w:t>
            </w:r>
          </w:p>
        </w:tc>
        <w:tc>
          <w:tcPr>
            <w:tcW w:w="2839" w:type="dxa"/>
            <w:tcBorders>
              <w:top w:val="single" w:color="auto" w:sz="4" w:space="0"/>
              <w:left w:val="single" w:color="auto" w:sz="4" w:space="0"/>
              <w:bottom w:val="single" w:color="auto" w:sz="4" w:space="0"/>
              <w:right w:val="single" w:color="auto" w:sz="4" w:space="0"/>
            </w:tcBorders>
            <w:vAlign w:val="center"/>
          </w:tcPr>
          <w:p w14:paraId="575BCDB4">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未按合同条款规定的职责履约，每一项减2分</w:t>
            </w:r>
          </w:p>
        </w:tc>
        <w:tc>
          <w:tcPr>
            <w:tcW w:w="2929" w:type="dxa"/>
            <w:tcBorders>
              <w:top w:val="single" w:color="auto" w:sz="4" w:space="0"/>
              <w:left w:val="single" w:color="auto" w:sz="4" w:space="0"/>
              <w:bottom w:val="single" w:color="auto" w:sz="4" w:space="0"/>
              <w:right w:val="single" w:color="auto" w:sz="4" w:space="0"/>
            </w:tcBorders>
            <w:vAlign w:val="center"/>
          </w:tcPr>
          <w:p w14:paraId="507D3E84">
            <w:pPr>
              <w:keepNext w:val="0"/>
              <w:keepLines w:val="0"/>
              <w:widowControl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p>
        </w:tc>
      </w:tr>
      <w:tr w14:paraId="06205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5" w:type="dxa"/>
            <w:vMerge w:val="continue"/>
            <w:tcBorders>
              <w:top w:val="single" w:color="auto" w:sz="4" w:space="0"/>
              <w:left w:val="single" w:color="auto" w:sz="4" w:space="0"/>
              <w:bottom w:val="single" w:color="auto" w:sz="4" w:space="0"/>
              <w:right w:val="single" w:color="auto" w:sz="4" w:space="0"/>
            </w:tcBorders>
            <w:vAlign w:val="center"/>
          </w:tcPr>
          <w:p w14:paraId="29756C79">
            <w:pPr>
              <w:rPr>
                <w:rFonts w:hint="eastAsia" w:ascii="宋体" w:hAnsi="宋体" w:eastAsia="宋体" w:cs="宋体"/>
                <w:b w:val="0"/>
                <w:color w:val="auto"/>
                <w:sz w:val="21"/>
                <w:szCs w:val="21"/>
                <w:highlight w:val="none"/>
                <w:lang w:val="en-US" w:eastAsia="zh-CN" w:bidi="ar-SA"/>
              </w:rPr>
            </w:pPr>
          </w:p>
        </w:tc>
        <w:tc>
          <w:tcPr>
            <w:tcW w:w="1934" w:type="dxa"/>
            <w:tcBorders>
              <w:top w:val="single" w:color="auto" w:sz="4" w:space="0"/>
              <w:left w:val="single" w:color="auto" w:sz="4" w:space="0"/>
              <w:bottom w:val="single" w:color="auto" w:sz="4" w:space="0"/>
              <w:right w:val="single" w:color="auto" w:sz="4" w:space="0"/>
            </w:tcBorders>
            <w:vAlign w:val="center"/>
          </w:tcPr>
          <w:p w14:paraId="22002A11">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其他情况</w:t>
            </w:r>
          </w:p>
        </w:tc>
        <w:tc>
          <w:tcPr>
            <w:tcW w:w="707" w:type="dxa"/>
            <w:tcBorders>
              <w:top w:val="single" w:color="auto" w:sz="4" w:space="0"/>
              <w:left w:val="single" w:color="auto" w:sz="4" w:space="0"/>
              <w:bottom w:val="single" w:color="auto" w:sz="4" w:space="0"/>
              <w:right w:val="single" w:color="auto" w:sz="4" w:space="0"/>
            </w:tcBorders>
            <w:vAlign w:val="center"/>
          </w:tcPr>
          <w:p w14:paraId="5C2057E7">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10</w:t>
            </w:r>
          </w:p>
        </w:tc>
        <w:tc>
          <w:tcPr>
            <w:tcW w:w="2839" w:type="dxa"/>
            <w:tcBorders>
              <w:top w:val="single" w:color="auto" w:sz="4" w:space="0"/>
              <w:left w:val="single" w:color="auto" w:sz="4" w:space="0"/>
              <w:bottom w:val="single" w:color="auto" w:sz="4" w:space="0"/>
              <w:right w:val="single" w:color="auto" w:sz="4" w:space="0"/>
            </w:tcBorders>
            <w:vAlign w:val="center"/>
          </w:tcPr>
          <w:p w14:paraId="46DB45E7">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师生投诉经核实，每次减2分</w:t>
            </w:r>
          </w:p>
        </w:tc>
        <w:tc>
          <w:tcPr>
            <w:tcW w:w="2929" w:type="dxa"/>
            <w:tcBorders>
              <w:top w:val="single" w:color="auto" w:sz="4" w:space="0"/>
              <w:left w:val="single" w:color="auto" w:sz="4" w:space="0"/>
              <w:bottom w:val="single" w:color="auto" w:sz="4" w:space="0"/>
              <w:right w:val="single" w:color="auto" w:sz="4" w:space="0"/>
            </w:tcBorders>
            <w:vAlign w:val="center"/>
          </w:tcPr>
          <w:p w14:paraId="2D9F64D8">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发现问题在整改期限内未整改的，每次减2分</w:t>
            </w:r>
          </w:p>
        </w:tc>
      </w:tr>
    </w:tbl>
    <w:p w14:paraId="09A641FC">
      <w:pPr>
        <w:keepNext w:val="0"/>
        <w:keepLines w:val="0"/>
        <w:widowControl w:val="0"/>
        <w:suppressLineNumbers w:val="0"/>
        <w:spacing w:before="0" w:beforeAutospacing="0" w:after="0" w:afterAutospacing="0" w:line="560" w:lineRule="exact"/>
        <w:ind w:left="0" w:right="0" w:firstLine="422" w:firstLineChars="200"/>
        <w:jc w:val="left"/>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 w:eastAsia="zh-CN" w:bidi="ar-SA"/>
        </w:rPr>
        <w:t>六</w:t>
      </w:r>
      <w:r>
        <w:rPr>
          <w:rFonts w:hint="eastAsia" w:ascii="宋体" w:hAnsi="宋体" w:eastAsia="宋体" w:cs="宋体"/>
          <w:b/>
          <w:bCs/>
          <w:color w:val="auto"/>
          <w:sz w:val="21"/>
          <w:szCs w:val="21"/>
          <w:highlight w:val="none"/>
          <w:lang w:val="en-US" w:eastAsia="zh-CN" w:bidi="ar-SA"/>
        </w:rPr>
        <w:t>、管理要求</w:t>
      </w:r>
    </w:p>
    <w:p w14:paraId="52BC5F89">
      <w:pPr>
        <w:keepNext w:val="0"/>
        <w:keepLines w:val="0"/>
        <w:widowControl w:val="0"/>
        <w:suppressLineNumbers w:val="0"/>
        <w:spacing w:before="0" w:beforeAutospacing="0" w:after="0" w:afterAutospacing="0" w:line="560" w:lineRule="exact"/>
        <w:ind w:left="0" w:right="0" w:firstLine="420" w:firstLineChars="20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成交单位或成交单位的本项目管理、服务人员有违反下列管理要求的，视为成交单位违约，应承担相应违约责任。</w:t>
      </w:r>
    </w:p>
    <w:p w14:paraId="2650C5E3">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（一）对成交单位的管理要求</w:t>
      </w:r>
    </w:p>
    <w:p w14:paraId="0BE3A7E3">
      <w:pPr>
        <w:keepNext w:val="0"/>
        <w:keepLines w:val="0"/>
        <w:widowControl w:val="0"/>
        <w:suppressLineNumbers w:val="0"/>
        <w:spacing w:before="0" w:beforeAutospacing="0" w:after="0" w:afterAutospacing="0" w:line="560" w:lineRule="exact"/>
        <w:ind w:left="0" w:right="0" w:firstLine="420" w:firstLineChars="20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1、合同期内因成交人不按规定、规范和要求进行工作，造成发生重大工作失误、事故，造成严重后果的，每发生一起，扣除履约保证金的5%，造成采购人或第三方损失的，采购人有权追偿。</w:t>
      </w:r>
    </w:p>
    <w:p w14:paraId="03A0AF9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成交单位有因服务工作不到位造成采购单位被自治区、市、城区等相关部门通报或合同期内成交人发生一起重大工作失误、事故，造成严重后果的，采购单位有权单方终止服务合同，造成采购单位或第三方损失的，采购单位有权追究赔偿并有权解除合同。</w:t>
      </w:r>
    </w:p>
    <w:p w14:paraId="003A3F4D">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3、成交人进驻服务前，项目管理人员必须通过采购人面试审核后任用。成交人进驻服务后，人员配置要求需经过采购方面试确定，如面试不合格，成交人必须按采购单位要求更换人员，成交人在5个工作日内不予更换则视为违约，每次扣除成交单位服务费200元/次。服务期内成交人应确保本项目管理人员的稳定，管理人员变更必须征得采购人同意，未经采购人同意的管理人员变更须向采购人支付1000元/人次的违约金及管理培训费用。</w:t>
      </w:r>
    </w:p>
    <w:p w14:paraId="1E3A703E">
      <w:pPr>
        <w:pStyle w:val="18"/>
        <w:keepNext w:val="0"/>
        <w:keepLines w:val="0"/>
        <w:widowControl w:val="0"/>
        <w:suppressLineNumbers w:val="0"/>
        <w:spacing w:before="0" w:beforeAutospacing="0" w:after="0" w:afterAutospacing="0" w:line="500" w:lineRule="exact"/>
        <w:ind w:left="0" w:right="0" w:firstLine="420" w:firstLineChars="20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4</w:t>
      </w:r>
      <w:r>
        <w:rPr>
          <w:rFonts w:hint="eastAsia" w:eastAsia="宋体" w:cs="宋体"/>
          <w:b w:val="0"/>
          <w:color w:val="auto"/>
          <w:sz w:val="21"/>
          <w:szCs w:val="21"/>
          <w:highlight w:val="none"/>
          <w:lang w:val="en-US" w:eastAsia="zh-CN" w:bidi="ar-SA"/>
        </w:rPr>
        <w:t>、</w:t>
      </w:r>
      <w:r>
        <w:rPr>
          <w:rFonts w:hint="eastAsia" w:ascii="宋体" w:hAnsi="宋体" w:eastAsia="宋体" w:cs="宋体"/>
          <w:b w:val="0"/>
          <w:color w:val="auto"/>
          <w:sz w:val="21"/>
          <w:szCs w:val="21"/>
          <w:highlight w:val="none"/>
          <w:lang w:val="en-US" w:eastAsia="zh-CN" w:bidi="ar-SA"/>
        </w:rPr>
        <w:t>以上各项服务人员须接受采购单位相关部门的管理，还须遵守国家法律法规、国家意识形态工作要求、国家物业服务管理标准及采购单位相关管理规定，对达不到管理要求的，成交人必须按采购单位要求更换，成交人在5个工作日内不予更换则视为违约，每次扣除成交单位服务费200元/次。</w:t>
      </w:r>
    </w:p>
    <w:p w14:paraId="645AFAD9">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5、采购人对成交人的服务每月进行满意度调查。有效满意度调查不满意率达5%以上的扣除月物业服务费2%。</w:t>
      </w:r>
    </w:p>
    <w:tbl>
      <w:tblPr>
        <w:tblStyle w:val="22"/>
        <w:tblpPr w:leftFromText="180" w:rightFromText="180" w:vertAnchor="text" w:horzAnchor="page" w:tblpX="1059" w:tblpY="810"/>
        <w:tblOverlap w:val="never"/>
        <w:tblW w:w="0" w:type="auto"/>
        <w:tblInd w:w="-108" w:type="dxa"/>
        <w:tblLayout w:type="autofit"/>
        <w:tblCellMar>
          <w:top w:w="0" w:type="dxa"/>
          <w:left w:w="108" w:type="dxa"/>
          <w:bottom w:w="0" w:type="dxa"/>
          <w:right w:w="108" w:type="dxa"/>
        </w:tblCellMar>
      </w:tblPr>
      <w:tblGrid>
        <w:gridCol w:w="1336"/>
        <w:gridCol w:w="1926"/>
        <w:gridCol w:w="1149"/>
        <w:gridCol w:w="1149"/>
        <w:gridCol w:w="1135"/>
        <w:gridCol w:w="1545"/>
        <w:gridCol w:w="1215"/>
      </w:tblGrid>
      <w:tr w14:paraId="376BE9D4">
        <w:tblPrEx>
          <w:tblCellMar>
            <w:top w:w="0" w:type="dxa"/>
            <w:left w:w="108" w:type="dxa"/>
            <w:bottom w:w="0" w:type="dxa"/>
            <w:right w:w="108" w:type="dxa"/>
          </w:tblCellMar>
        </w:tblPrEx>
        <w:trPr>
          <w:trHeight w:val="840" w:hRule="atLeast"/>
        </w:trPr>
        <w:tc>
          <w:tcPr>
            <w:tcW w:w="9455" w:type="dxa"/>
            <w:gridSpan w:val="7"/>
            <w:vAlign w:val="center"/>
          </w:tcPr>
          <w:p w14:paraId="6B1023DE">
            <w:pPr>
              <w:keepNext w:val="0"/>
              <w:keepLines w:val="0"/>
              <w:widowControl/>
              <w:suppressLineNumbers w:val="0"/>
              <w:tabs>
                <w:tab w:val="left" w:pos="2837"/>
              </w:tabs>
              <w:spacing w:before="0" w:beforeAutospacing="0" w:after="0" w:afterAutospacing="0"/>
              <w:ind w:left="0" w:right="0" w:firstLine="1050" w:firstLineChars="50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物业服务满意度调查表</w:t>
            </w:r>
          </w:p>
        </w:tc>
      </w:tr>
      <w:tr w14:paraId="0B0565F6">
        <w:tblPrEx>
          <w:tblCellMar>
            <w:top w:w="0" w:type="dxa"/>
            <w:left w:w="108" w:type="dxa"/>
            <w:bottom w:w="0" w:type="dxa"/>
            <w:right w:w="108" w:type="dxa"/>
          </w:tblCellMar>
        </w:tblPrEx>
        <w:trPr>
          <w:trHeight w:val="680"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75C3CDF7">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项目</w:t>
            </w:r>
          </w:p>
        </w:tc>
        <w:tc>
          <w:tcPr>
            <w:tcW w:w="1926" w:type="dxa"/>
            <w:tcBorders>
              <w:top w:val="single" w:color="000000" w:sz="4" w:space="0"/>
              <w:left w:val="single" w:color="000000" w:sz="4" w:space="0"/>
              <w:bottom w:val="single" w:color="000000" w:sz="4" w:space="0"/>
              <w:right w:val="single" w:color="000000" w:sz="4" w:space="0"/>
            </w:tcBorders>
            <w:vAlign w:val="center"/>
          </w:tcPr>
          <w:p w14:paraId="78736930">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调查内容</w:t>
            </w:r>
          </w:p>
        </w:tc>
        <w:tc>
          <w:tcPr>
            <w:tcW w:w="1149" w:type="dxa"/>
            <w:tcBorders>
              <w:top w:val="single" w:color="000000" w:sz="4" w:space="0"/>
              <w:left w:val="single" w:color="000000" w:sz="4" w:space="0"/>
              <w:bottom w:val="single" w:color="000000" w:sz="4" w:space="0"/>
              <w:right w:val="single" w:color="000000" w:sz="4" w:space="0"/>
            </w:tcBorders>
            <w:vAlign w:val="center"/>
          </w:tcPr>
          <w:p w14:paraId="16AF2811">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满意</w:t>
            </w:r>
          </w:p>
        </w:tc>
        <w:tc>
          <w:tcPr>
            <w:tcW w:w="1149" w:type="dxa"/>
            <w:tcBorders>
              <w:top w:val="single" w:color="000000" w:sz="4" w:space="0"/>
              <w:left w:val="single" w:color="000000" w:sz="4" w:space="0"/>
              <w:bottom w:val="single" w:color="000000" w:sz="4" w:space="0"/>
              <w:right w:val="single" w:color="000000" w:sz="4" w:space="0"/>
            </w:tcBorders>
            <w:vAlign w:val="center"/>
          </w:tcPr>
          <w:p w14:paraId="2B7D29F1">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较满意</w:t>
            </w:r>
          </w:p>
        </w:tc>
        <w:tc>
          <w:tcPr>
            <w:tcW w:w="1135" w:type="dxa"/>
            <w:tcBorders>
              <w:top w:val="single" w:color="000000" w:sz="4" w:space="0"/>
              <w:left w:val="single" w:color="000000" w:sz="4" w:space="0"/>
              <w:bottom w:val="single" w:color="000000" w:sz="4" w:space="0"/>
              <w:right w:val="single" w:color="000000" w:sz="4" w:space="0"/>
            </w:tcBorders>
            <w:vAlign w:val="center"/>
          </w:tcPr>
          <w:p w14:paraId="50D245DD">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一般</w:t>
            </w:r>
          </w:p>
        </w:tc>
        <w:tc>
          <w:tcPr>
            <w:tcW w:w="1545" w:type="dxa"/>
            <w:tcBorders>
              <w:top w:val="single" w:color="000000" w:sz="4" w:space="0"/>
              <w:left w:val="single" w:color="000000" w:sz="4" w:space="0"/>
              <w:bottom w:val="single" w:color="000000" w:sz="4" w:space="0"/>
              <w:right w:val="single" w:color="000000" w:sz="4" w:space="0"/>
            </w:tcBorders>
            <w:vAlign w:val="center"/>
          </w:tcPr>
          <w:p w14:paraId="0C8EBBE1">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不满意</w:t>
            </w:r>
          </w:p>
        </w:tc>
        <w:tc>
          <w:tcPr>
            <w:tcW w:w="1215" w:type="dxa"/>
            <w:tcBorders>
              <w:top w:val="single" w:color="000000" w:sz="4" w:space="0"/>
              <w:left w:val="single" w:color="000000" w:sz="4" w:space="0"/>
              <w:bottom w:val="single" w:color="000000" w:sz="4" w:space="0"/>
              <w:right w:val="single" w:color="000000" w:sz="4" w:space="0"/>
            </w:tcBorders>
            <w:vAlign w:val="center"/>
          </w:tcPr>
          <w:p w14:paraId="0C9025F6">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备注</w:t>
            </w:r>
          </w:p>
        </w:tc>
      </w:tr>
      <w:tr w14:paraId="61BB2EB1">
        <w:tblPrEx>
          <w:tblCellMar>
            <w:top w:w="0" w:type="dxa"/>
            <w:left w:w="108" w:type="dxa"/>
            <w:bottom w:w="0" w:type="dxa"/>
            <w:right w:w="108" w:type="dxa"/>
          </w:tblCellMar>
        </w:tblPrEx>
        <w:trPr>
          <w:trHeight w:val="567" w:hRule="atLeast"/>
        </w:trPr>
        <w:tc>
          <w:tcPr>
            <w:tcW w:w="1336" w:type="dxa"/>
            <w:vMerge w:val="restart"/>
            <w:tcBorders>
              <w:top w:val="single" w:color="000000" w:sz="4" w:space="0"/>
              <w:left w:val="single" w:color="000000" w:sz="4" w:space="0"/>
              <w:bottom w:val="single" w:color="000000" w:sz="4" w:space="0"/>
              <w:right w:val="single" w:color="000000" w:sz="4" w:space="0"/>
            </w:tcBorders>
            <w:vAlign w:val="center"/>
          </w:tcPr>
          <w:p w14:paraId="10AE50B6">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综合管理服务</w:t>
            </w:r>
          </w:p>
        </w:tc>
        <w:tc>
          <w:tcPr>
            <w:tcW w:w="1926" w:type="dxa"/>
            <w:tcBorders>
              <w:top w:val="single" w:color="000000" w:sz="4" w:space="0"/>
              <w:left w:val="single" w:color="000000" w:sz="4" w:space="0"/>
              <w:bottom w:val="single" w:color="000000" w:sz="4" w:space="0"/>
              <w:right w:val="single" w:color="000000" w:sz="4" w:space="0"/>
            </w:tcBorders>
            <w:vAlign w:val="center"/>
          </w:tcPr>
          <w:p w14:paraId="3D7E2C91">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行为规范、热情服务</w:t>
            </w:r>
          </w:p>
        </w:tc>
        <w:tc>
          <w:tcPr>
            <w:tcW w:w="1149" w:type="dxa"/>
            <w:tcBorders>
              <w:top w:val="single" w:color="000000" w:sz="4" w:space="0"/>
              <w:left w:val="single" w:color="000000" w:sz="4" w:space="0"/>
              <w:bottom w:val="single" w:color="000000" w:sz="4" w:space="0"/>
              <w:right w:val="single" w:color="000000" w:sz="4" w:space="0"/>
            </w:tcBorders>
            <w:vAlign w:val="center"/>
          </w:tcPr>
          <w:p w14:paraId="07BA89F4">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0B43D487">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6728B4B8">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02E3D9DE">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EA1076A">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r>
      <w:tr w14:paraId="7990D485">
        <w:tblPrEx>
          <w:tblCellMar>
            <w:top w:w="0" w:type="dxa"/>
            <w:left w:w="108" w:type="dxa"/>
            <w:bottom w:w="0" w:type="dxa"/>
            <w:right w:w="108" w:type="dxa"/>
          </w:tblCellMar>
        </w:tblPrEx>
        <w:trPr>
          <w:trHeight w:val="567" w:hRule="atLeast"/>
        </w:trPr>
        <w:tc>
          <w:tcPr>
            <w:tcW w:w="1336" w:type="dxa"/>
            <w:vMerge w:val="continue"/>
            <w:tcBorders>
              <w:top w:val="single" w:color="000000" w:sz="4" w:space="0"/>
              <w:left w:val="single" w:color="000000" w:sz="4" w:space="0"/>
              <w:bottom w:val="single" w:color="000000" w:sz="4" w:space="0"/>
              <w:right w:val="single" w:color="000000" w:sz="4" w:space="0"/>
            </w:tcBorders>
            <w:vAlign w:val="center"/>
          </w:tcPr>
          <w:p w14:paraId="3A785344">
            <w:pPr>
              <w:rPr>
                <w:rFonts w:hint="eastAsia" w:ascii="宋体" w:hAnsi="宋体" w:eastAsia="宋体" w:cs="宋体"/>
                <w:b w:val="0"/>
                <w:color w:val="auto"/>
                <w:sz w:val="21"/>
                <w:szCs w:val="21"/>
                <w:highlight w:val="none"/>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14:paraId="382CFCE1">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工作态度</w:t>
            </w:r>
          </w:p>
        </w:tc>
        <w:tc>
          <w:tcPr>
            <w:tcW w:w="1149" w:type="dxa"/>
            <w:tcBorders>
              <w:top w:val="single" w:color="000000" w:sz="4" w:space="0"/>
              <w:left w:val="single" w:color="000000" w:sz="4" w:space="0"/>
              <w:bottom w:val="single" w:color="000000" w:sz="4" w:space="0"/>
              <w:right w:val="single" w:color="000000" w:sz="4" w:space="0"/>
            </w:tcBorders>
            <w:vAlign w:val="center"/>
          </w:tcPr>
          <w:p w14:paraId="19F1AAD7">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3BCA4540">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4C9AC53A">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27F34197">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2E20F04">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r>
      <w:tr w14:paraId="2774E3D9">
        <w:tblPrEx>
          <w:tblCellMar>
            <w:top w:w="0" w:type="dxa"/>
            <w:left w:w="108" w:type="dxa"/>
            <w:bottom w:w="0" w:type="dxa"/>
            <w:right w:w="108" w:type="dxa"/>
          </w:tblCellMar>
        </w:tblPrEx>
        <w:trPr>
          <w:trHeight w:val="567" w:hRule="atLeast"/>
        </w:trPr>
        <w:tc>
          <w:tcPr>
            <w:tcW w:w="1336" w:type="dxa"/>
            <w:vMerge w:val="continue"/>
            <w:tcBorders>
              <w:top w:val="single" w:color="000000" w:sz="4" w:space="0"/>
              <w:left w:val="single" w:color="000000" w:sz="4" w:space="0"/>
              <w:bottom w:val="single" w:color="000000" w:sz="4" w:space="0"/>
              <w:right w:val="single" w:color="000000" w:sz="4" w:space="0"/>
            </w:tcBorders>
            <w:vAlign w:val="center"/>
          </w:tcPr>
          <w:p w14:paraId="42D3C03A">
            <w:pPr>
              <w:rPr>
                <w:rFonts w:hint="eastAsia" w:ascii="宋体" w:hAnsi="宋体" w:eastAsia="宋体" w:cs="宋体"/>
                <w:b w:val="0"/>
                <w:color w:val="auto"/>
                <w:sz w:val="21"/>
                <w:szCs w:val="21"/>
                <w:highlight w:val="none"/>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14:paraId="602EB5A7">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工作协调与沟通</w:t>
            </w:r>
          </w:p>
        </w:tc>
        <w:tc>
          <w:tcPr>
            <w:tcW w:w="1149" w:type="dxa"/>
            <w:tcBorders>
              <w:top w:val="single" w:color="000000" w:sz="4" w:space="0"/>
              <w:left w:val="single" w:color="000000" w:sz="4" w:space="0"/>
              <w:bottom w:val="single" w:color="000000" w:sz="4" w:space="0"/>
              <w:right w:val="single" w:color="000000" w:sz="4" w:space="0"/>
            </w:tcBorders>
            <w:vAlign w:val="center"/>
          </w:tcPr>
          <w:p w14:paraId="60FB8C53">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1D3072C6">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30ADC685">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20C6F127">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F5627B9">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r>
      <w:tr w14:paraId="5CB4D3BA">
        <w:tblPrEx>
          <w:tblCellMar>
            <w:top w:w="0" w:type="dxa"/>
            <w:left w:w="108" w:type="dxa"/>
            <w:bottom w:w="0" w:type="dxa"/>
            <w:right w:w="108" w:type="dxa"/>
          </w:tblCellMar>
        </w:tblPrEx>
        <w:trPr>
          <w:trHeight w:val="567" w:hRule="atLeast"/>
        </w:trPr>
        <w:tc>
          <w:tcPr>
            <w:tcW w:w="1336" w:type="dxa"/>
            <w:vMerge w:val="continue"/>
            <w:tcBorders>
              <w:top w:val="single" w:color="000000" w:sz="4" w:space="0"/>
              <w:left w:val="single" w:color="000000" w:sz="4" w:space="0"/>
              <w:bottom w:val="single" w:color="000000" w:sz="4" w:space="0"/>
              <w:right w:val="single" w:color="000000" w:sz="4" w:space="0"/>
            </w:tcBorders>
            <w:vAlign w:val="center"/>
          </w:tcPr>
          <w:p w14:paraId="5948BE2B">
            <w:pPr>
              <w:rPr>
                <w:rFonts w:hint="eastAsia" w:ascii="宋体" w:hAnsi="宋体" w:eastAsia="宋体" w:cs="宋体"/>
                <w:b w:val="0"/>
                <w:color w:val="auto"/>
                <w:sz w:val="21"/>
                <w:szCs w:val="21"/>
                <w:highlight w:val="none"/>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14:paraId="23A5028A">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工作落实力度</w:t>
            </w:r>
          </w:p>
        </w:tc>
        <w:tc>
          <w:tcPr>
            <w:tcW w:w="1149" w:type="dxa"/>
            <w:tcBorders>
              <w:top w:val="single" w:color="000000" w:sz="4" w:space="0"/>
              <w:left w:val="single" w:color="000000" w:sz="4" w:space="0"/>
              <w:bottom w:val="single" w:color="000000" w:sz="4" w:space="0"/>
              <w:right w:val="single" w:color="000000" w:sz="4" w:space="0"/>
            </w:tcBorders>
            <w:vAlign w:val="center"/>
          </w:tcPr>
          <w:p w14:paraId="22D9B5F2">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4ECE79F6">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2C6D53CA">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1C4964DE">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9B90098">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r>
      <w:tr w14:paraId="722268DC">
        <w:tblPrEx>
          <w:tblCellMar>
            <w:top w:w="0" w:type="dxa"/>
            <w:left w:w="108" w:type="dxa"/>
            <w:bottom w:w="0" w:type="dxa"/>
            <w:right w:w="108" w:type="dxa"/>
          </w:tblCellMar>
        </w:tblPrEx>
        <w:trPr>
          <w:trHeight w:val="567" w:hRule="atLeast"/>
        </w:trPr>
        <w:tc>
          <w:tcPr>
            <w:tcW w:w="1336" w:type="dxa"/>
            <w:vMerge w:val="restart"/>
            <w:tcBorders>
              <w:top w:val="single" w:color="000000" w:sz="4" w:space="0"/>
              <w:left w:val="single" w:color="000000" w:sz="4" w:space="0"/>
              <w:bottom w:val="single" w:color="000000" w:sz="4" w:space="0"/>
              <w:right w:val="single" w:color="000000" w:sz="4" w:space="0"/>
            </w:tcBorders>
            <w:vAlign w:val="center"/>
          </w:tcPr>
          <w:p w14:paraId="49C5E3FB">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安全管理服务</w:t>
            </w:r>
          </w:p>
        </w:tc>
        <w:tc>
          <w:tcPr>
            <w:tcW w:w="1926" w:type="dxa"/>
            <w:tcBorders>
              <w:top w:val="single" w:color="000000" w:sz="4" w:space="0"/>
              <w:left w:val="single" w:color="000000" w:sz="4" w:space="0"/>
              <w:bottom w:val="single" w:color="000000" w:sz="4" w:space="0"/>
              <w:right w:val="single" w:color="000000" w:sz="4" w:space="0"/>
            </w:tcBorders>
            <w:vAlign w:val="center"/>
          </w:tcPr>
          <w:p w14:paraId="6FBC6718">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仪容仪表、文明用语</w:t>
            </w:r>
          </w:p>
        </w:tc>
        <w:tc>
          <w:tcPr>
            <w:tcW w:w="1149" w:type="dxa"/>
            <w:tcBorders>
              <w:top w:val="single" w:color="000000" w:sz="4" w:space="0"/>
              <w:left w:val="single" w:color="000000" w:sz="4" w:space="0"/>
              <w:bottom w:val="single" w:color="000000" w:sz="4" w:space="0"/>
              <w:right w:val="single" w:color="000000" w:sz="4" w:space="0"/>
            </w:tcBorders>
            <w:vAlign w:val="center"/>
          </w:tcPr>
          <w:p w14:paraId="770C7689">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7383C43E">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709501EE">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2B329017">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9B70E09">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r>
      <w:tr w14:paraId="14C631A1">
        <w:tblPrEx>
          <w:tblCellMar>
            <w:top w:w="0" w:type="dxa"/>
            <w:left w:w="108" w:type="dxa"/>
            <w:bottom w:w="0" w:type="dxa"/>
            <w:right w:w="108" w:type="dxa"/>
          </w:tblCellMar>
        </w:tblPrEx>
        <w:trPr>
          <w:trHeight w:val="567" w:hRule="atLeast"/>
        </w:trPr>
        <w:tc>
          <w:tcPr>
            <w:tcW w:w="1336" w:type="dxa"/>
            <w:vMerge w:val="continue"/>
            <w:tcBorders>
              <w:top w:val="single" w:color="000000" w:sz="4" w:space="0"/>
              <w:left w:val="single" w:color="000000" w:sz="4" w:space="0"/>
              <w:bottom w:val="single" w:color="000000" w:sz="4" w:space="0"/>
              <w:right w:val="single" w:color="000000" w:sz="4" w:space="0"/>
            </w:tcBorders>
            <w:vAlign w:val="center"/>
          </w:tcPr>
          <w:p w14:paraId="656C95A4">
            <w:pPr>
              <w:rPr>
                <w:rFonts w:hint="eastAsia" w:ascii="宋体" w:hAnsi="宋体" w:eastAsia="宋体" w:cs="宋体"/>
                <w:b w:val="0"/>
                <w:color w:val="auto"/>
                <w:sz w:val="21"/>
                <w:szCs w:val="21"/>
                <w:highlight w:val="none"/>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14:paraId="7B4245DD">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岗位职责执行力度</w:t>
            </w:r>
          </w:p>
        </w:tc>
        <w:tc>
          <w:tcPr>
            <w:tcW w:w="1149" w:type="dxa"/>
            <w:tcBorders>
              <w:top w:val="single" w:color="000000" w:sz="4" w:space="0"/>
              <w:left w:val="single" w:color="000000" w:sz="4" w:space="0"/>
              <w:bottom w:val="single" w:color="000000" w:sz="4" w:space="0"/>
              <w:right w:val="single" w:color="000000" w:sz="4" w:space="0"/>
            </w:tcBorders>
            <w:vAlign w:val="center"/>
          </w:tcPr>
          <w:p w14:paraId="7C56457F">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69F2B804">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75A3E13B">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3A13146B">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EB02B1F">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r>
      <w:tr w14:paraId="0265F98E">
        <w:tblPrEx>
          <w:tblCellMar>
            <w:top w:w="0" w:type="dxa"/>
            <w:left w:w="108" w:type="dxa"/>
            <w:bottom w:w="0" w:type="dxa"/>
            <w:right w:w="108" w:type="dxa"/>
          </w:tblCellMar>
        </w:tblPrEx>
        <w:trPr>
          <w:trHeight w:val="567" w:hRule="atLeast"/>
        </w:trPr>
        <w:tc>
          <w:tcPr>
            <w:tcW w:w="1336" w:type="dxa"/>
            <w:vMerge w:val="continue"/>
            <w:tcBorders>
              <w:top w:val="single" w:color="000000" w:sz="4" w:space="0"/>
              <w:left w:val="single" w:color="000000" w:sz="4" w:space="0"/>
              <w:bottom w:val="single" w:color="000000" w:sz="4" w:space="0"/>
              <w:right w:val="single" w:color="000000" w:sz="4" w:space="0"/>
            </w:tcBorders>
            <w:vAlign w:val="center"/>
          </w:tcPr>
          <w:p w14:paraId="035C6D93">
            <w:pPr>
              <w:rPr>
                <w:rFonts w:hint="eastAsia" w:ascii="宋体" w:hAnsi="宋体" w:eastAsia="宋体" w:cs="宋体"/>
                <w:b w:val="0"/>
                <w:color w:val="auto"/>
                <w:sz w:val="21"/>
                <w:szCs w:val="21"/>
                <w:highlight w:val="none"/>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14:paraId="7241FC71">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突发事件应急处理能力</w:t>
            </w:r>
          </w:p>
        </w:tc>
        <w:tc>
          <w:tcPr>
            <w:tcW w:w="1149" w:type="dxa"/>
            <w:tcBorders>
              <w:top w:val="single" w:color="000000" w:sz="4" w:space="0"/>
              <w:left w:val="single" w:color="000000" w:sz="4" w:space="0"/>
              <w:bottom w:val="single" w:color="000000" w:sz="4" w:space="0"/>
              <w:right w:val="single" w:color="000000" w:sz="4" w:space="0"/>
            </w:tcBorders>
            <w:vAlign w:val="center"/>
          </w:tcPr>
          <w:p w14:paraId="05E72803">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702E945A">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239A571A">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01044D29">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052D5FF">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r>
      <w:tr w14:paraId="7D7DA408">
        <w:tblPrEx>
          <w:tblCellMar>
            <w:top w:w="0" w:type="dxa"/>
            <w:left w:w="108" w:type="dxa"/>
            <w:bottom w:w="0" w:type="dxa"/>
            <w:right w:w="108" w:type="dxa"/>
          </w:tblCellMar>
        </w:tblPrEx>
        <w:trPr>
          <w:trHeight w:val="567" w:hRule="atLeast"/>
        </w:trPr>
        <w:tc>
          <w:tcPr>
            <w:tcW w:w="1336" w:type="dxa"/>
            <w:vMerge w:val="restart"/>
            <w:tcBorders>
              <w:top w:val="single" w:color="000000" w:sz="4" w:space="0"/>
              <w:left w:val="single" w:color="000000" w:sz="4" w:space="0"/>
              <w:bottom w:val="single" w:color="000000" w:sz="4" w:space="0"/>
              <w:right w:val="single" w:color="000000" w:sz="4" w:space="0"/>
            </w:tcBorders>
            <w:vAlign w:val="center"/>
          </w:tcPr>
          <w:p w14:paraId="3BEBA364">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保洁服务</w:t>
            </w:r>
          </w:p>
        </w:tc>
        <w:tc>
          <w:tcPr>
            <w:tcW w:w="1926" w:type="dxa"/>
            <w:tcBorders>
              <w:top w:val="single" w:color="000000" w:sz="4" w:space="0"/>
              <w:left w:val="single" w:color="000000" w:sz="4" w:space="0"/>
              <w:bottom w:val="single" w:color="000000" w:sz="4" w:space="0"/>
              <w:right w:val="single" w:color="000000" w:sz="4" w:space="0"/>
            </w:tcBorders>
            <w:vAlign w:val="center"/>
          </w:tcPr>
          <w:p w14:paraId="61ABCF50">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清洁及时性</w:t>
            </w:r>
          </w:p>
        </w:tc>
        <w:tc>
          <w:tcPr>
            <w:tcW w:w="1149" w:type="dxa"/>
            <w:tcBorders>
              <w:top w:val="single" w:color="000000" w:sz="4" w:space="0"/>
              <w:left w:val="single" w:color="000000" w:sz="4" w:space="0"/>
              <w:bottom w:val="single" w:color="000000" w:sz="4" w:space="0"/>
              <w:right w:val="single" w:color="000000" w:sz="4" w:space="0"/>
            </w:tcBorders>
            <w:vAlign w:val="center"/>
          </w:tcPr>
          <w:p w14:paraId="20799D6E">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48220B5A">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569581C7">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05783101">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3BA5495C">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r>
      <w:tr w14:paraId="1FFD852D">
        <w:tblPrEx>
          <w:tblCellMar>
            <w:top w:w="0" w:type="dxa"/>
            <w:left w:w="108" w:type="dxa"/>
            <w:bottom w:w="0" w:type="dxa"/>
            <w:right w:w="108" w:type="dxa"/>
          </w:tblCellMar>
        </w:tblPrEx>
        <w:trPr>
          <w:trHeight w:val="567" w:hRule="atLeast"/>
        </w:trPr>
        <w:tc>
          <w:tcPr>
            <w:tcW w:w="1336" w:type="dxa"/>
            <w:vMerge w:val="continue"/>
            <w:tcBorders>
              <w:top w:val="single" w:color="000000" w:sz="4" w:space="0"/>
              <w:left w:val="single" w:color="000000" w:sz="4" w:space="0"/>
              <w:bottom w:val="single" w:color="000000" w:sz="4" w:space="0"/>
              <w:right w:val="single" w:color="000000" w:sz="4" w:space="0"/>
            </w:tcBorders>
            <w:vAlign w:val="center"/>
          </w:tcPr>
          <w:p w14:paraId="52FE8CB5">
            <w:pPr>
              <w:rPr>
                <w:rFonts w:hint="eastAsia" w:ascii="宋体" w:hAnsi="宋体" w:eastAsia="宋体" w:cs="宋体"/>
                <w:b w:val="0"/>
                <w:color w:val="auto"/>
                <w:sz w:val="21"/>
                <w:szCs w:val="21"/>
                <w:highlight w:val="none"/>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14:paraId="1D1EB20C">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清洁质量</w:t>
            </w:r>
          </w:p>
        </w:tc>
        <w:tc>
          <w:tcPr>
            <w:tcW w:w="1149" w:type="dxa"/>
            <w:tcBorders>
              <w:top w:val="single" w:color="000000" w:sz="4" w:space="0"/>
              <w:left w:val="single" w:color="000000" w:sz="4" w:space="0"/>
              <w:bottom w:val="single" w:color="000000" w:sz="4" w:space="0"/>
              <w:right w:val="single" w:color="000000" w:sz="4" w:space="0"/>
            </w:tcBorders>
            <w:vAlign w:val="center"/>
          </w:tcPr>
          <w:p w14:paraId="5C1F5065">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16880649">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774AA8FE">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469B59A7">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1C5F1BB">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r>
      <w:tr w14:paraId="5144079D">
        <w:tblPrEx>
          <w:tblCellMar>
            <w:top w:w="0" w:type="dxa"/>
            <w:left w:w="108" w:type="dxa"/>
            <w:bottom w:w="0" w:type="dxa"/>
            <w:right w:w="108" w:type="dxa"/>
          </w:tblCellMar>
        </w:tblPrEx>
        <w:trPr>
          <w:trHeight w:val="567" w:hRule="atLeast"/>
        </w:trPr>
        <w:tc>
          <w:tcPr>
            <w:tcW w:w="1336" w:type="dxa"/>
            <w:vMerge w:val="restart"/>
            <w:tcBorders>
              <w:top w:val="single" w:color="000000" w:sz="4" w:space="0"/>
              <w:left w:val="single" w:color="000000" w:sz="4" w:space="0"/>
              <w:bottom w:val="single" w:color="000000" w:sz="4" w:space="0"/>
              <w:right w:val="single" w:color="000000" w:sz="4" w:space="0"/>
            </w:tcBorders>
            <w:vAlign w:val="center"/>
          </w:tcPr>
          <w:p w14:paraId="6FF2D0D7">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水电维修服务</w:t>
            </w:r>
          </w:p>
        </w:tc>
        <w:tc>
          <w:tcPr>
            <w:tcW w:w="1926" w:type="dxa"/>
            <w:tcBorders>
              <w:top w:val="single" w:color="000000" w:sz="4" w:space="0"/>
              <w:left w:val="single" w:color="000000" w:sz="4" w:space="0"/>
              <w:bottom w:val="single" w:color="000000" w:sz="4" w:space="0"/>
              <w:right w:val="single" w:color="000000" w:sz="4" w:space="0"/>
            </w:tcBorders>
            <w:vAlign w:val="center"/>
          </w:tcPr>
          <w:p w14:paraId="62164B73">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维修及时性</w:t>
            </w:r>
          </w:p>
        </w:tc>
        <w:tc>
          <w:tcPr>
            <w:tcW w:w="1149" w:type="dxa"/>
            <w:tcBorders>
              <w:top w:val="single" w:color="000000" w:sz="4" w:space="0"/>
              <w:left w:val="single" w:color="000000" w:sz="4" w:space="0"/>
              <w:bottom w:val="single" w:color="000000" w:sz="4" w:space="0"/>
              <w:right w:val="single" w:color="000000" w:sz="4" w:space="0"/>
            </w:tcBorders>
            <w:vAlign w:val="center"/>
          </w:tcPr>
          <w:p w14:paraId="378B4214">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7AA89B0B">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658BE87A">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5D7FF8A1">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7768FDEF">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r>
      <w:tr w14:paraId="21FCA674">
        <w:tblPrEx>
          <w:tblCellMar>
            <w:top w:w="0" w:type="dxa"/>
            <w:left w:w="108" w:type="dxa"/>
            <w:bottom w:w="0" w:type="dxa"/>
            <w:right w:w="108" w:type="dxa"/>
          </w:tblCellMar>
        </w:tblPrEx>
        <w:trPr>
          <w:trHeight w:val="567" w:hRule="atLeast"/>
        </w:trPr>
        <w:tc>
          <w:tcPr>
            <w:tcW w:w="1336" w:type="dxa"/>
            <w:vMerge w:val="continue"/>
            <w:tcBorders>
              <w:top w:val="single" w:color="000000" w:sz="4" w:space="0"/>
              <w:left w:val="single" w:color="000000" w:sz="4" w:space="0"/>
              <w:bottom w:val="single" w:color="000000" w:sz="4" w:space="0"/>
              <w:right w:val="single" w:color="000000" w:sz="4" w:space="0"/>
            </w:tcBorders>
            <w:vAlign w:val="center"/>
          </w:tcPr>
          <w:p w14:paraId="7F74B00A">
            <w:pPr>
              <w:rPr>
                <w:rFonts w:hint="eastAsia" w:ascii="宋体" w:hAnsi="宋体" w:eastAsia="宋体" w:cs="宋体"/>
                <w:b w:val="0"/>
                <w:color w:val="auto"/>
                <w:sz w:val="21"/>
                <w:szCs w:val="21"/>
                <w:highlight w:val="none"/>
                <w:lang w:val="en-US" w:eastAsia="zh-CN" w:bidi="ar-SA"/>
              </w:rPr>
            </w:pPr>
          </w:p>
        </w:tc>
        <w:tc>
          <w:tcPr>
            <w:tcW w:w="1926" w:type="dxa"/>
            <w:tcBorders>
              <w:top w:val="single" w:color="000000" w:sz="4" w:space="0"/>
              <w:left w:val="single" w:color="000000" w:sz="4" w:space="0"/>
              <w:bottom w:val="single" w:color="000000" w:sz="4" w:space="0"/>
              <w:right w:val="single" w:color="000000" w:sz="4" w:space="0"/>
            </w:tcBorders>
            <w:vAlign w:val="center"/>
          </w:tcPr>
          <w:p w14:paraId="5695FBBA">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维修质量</w:t>
            </w:r>
          </w:p>
        </w:tc>
        <w:tc>
          <w:tcPr>
            <w:tcW w:w="1149" w:type="dxa"/>
            <w:tcBorders>
              <w:top w:val="single" w:color="000000" w:sz="4" w:space="0"/>
              <w:left w:val="single" w:color="000000" w:sz="4" w:space="0"/>
              <w:bottom w:val="single" w:color="000000" w:sz="4" w:space="0"/>
              <w:right w:val="single" w:color="000000" w:sz="4" w:space="0"/>
            </w:tcBorders>
            <w:vAlign w:val="center"/>
          </w:tcPr>
          <w:p w14:paraId="1A483A72">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6DAF15CF">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632CB94E">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71C19069">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9625C70">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r>
      <w:tr w14:paraId="4114B18A">
        <w:tblPrEx>
          <w:tblCellMar>
            <w:top w:w="0" w:type="dxa"/>
            <w:left w:w="108" w:type="dxa"/>
            <w:bottom w:w="0" w:type="dxa"/>
            <w:right w:w="108" w:type="dxa"/>
          </w:tblCellMar>
        </w:tblPrEx>
        <w:trPr>
          <w:trHeight w:val="567" w:hRule="atLeast"/>
        </w:trPr>
        <w:tc>
          <w:tcPr>
            <w:tcW w:w="1336" w:type="dxa"/>
            <w:tcBorders>
              <w:top w:val="single" w:color="000000" w:sz="4" w:space="0"/>
              <w:left w:val="single" w:color="000000" w:sz="4" w:space="0"/>
              <w:bottom w:val="single" w:color="000000" w:sz="4" w:space="0"/>
              <w:right w:val="single" w:color="000000" w:sz="4" w:space="0"/>
            </w:tcBorders>
            <w:vAlign w:val="center"/>
          </w:tcPr>
          <w:p w14:paraId="46DCF251">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其它</w:t>
            </w:r>
          </w:p>
        </w:tc>
        <w:tc>
          <w:tcPr>
            <w:tcW w:w="1926" w:type="dxa"/>
            <w:tcBorders>
              <w:top w:val="single" w:color="000000" w:sz="4" w:space="0"/>
              <w:left w:val="single" w:color="000000" w:sz="4" w:space="0"/>
              <w:bottom w:val="single" w:color="000000" w:sz="4" w:space="0"/>
              <w:right w:val="single" w:color="000000" w:sz="4" w:space="0"/>
            </w:tcBorders>
            <w:vAlign w:val="center"/>
          </w:tcPr>
          <w:p w14:paraId="74D83BBE">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您对物业管理处服务的总体评价</w:t>
            </w:r>
          </w:p>
        </w:tc>
        <w:tc>
          <w:tcPr>
            <w:tcW w:w="1149" w:type="dxa"/>
            <w:tcBorders>
              <w:top w:val="single" w:color="000000" w:sz="4" w:space="0"/>
              <w:left w:val="single" w:color="000000" w:sz="4" w:space="0"/>
              <w:bottom w:val="single" w:color="000000" w:sz="4" w:space="0"/>
              <w:right w:val="single" w:color="000000" w:sz="4" w:space="0"/>
            </w:tcBorders>
            <w:vAlign w:val="center"/>
          </w:tcPr>
          <w:p w14:paraId="46CAEF5D">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608E9AA8">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5D352B20">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545" w:type="dxa"/>
            <w:tcBorders>
              <w:top w:val="single" w:color="000000" w:sz="4" w:space="0"/>
              <w:left w:val="single" w:color="000000" w:sz="4" w:space="0"/>
              <w:bottom w:val="single" w:color="000000" w:sz="4" w:space="0"/>
              <w:right w:val="single" w:color="000000" w:sz="4" w:space="0"/>
            </w:tcBorders>
            <w:vAlign w:val="center"/>
          </w:tcPr>
          <w:p w14:paraId="7787BA6C">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314EBBA8">
            <w:pPr>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1"/>
                <w:szCs w:val="21"/>
                <w:highlight w:val="none"/>
                <w:lang w:val="en-US" w:eastAsia="zh-CN" w:bidi="ar-SA"/>
              </w:rPr>
            </w:pPr>
          </w:p>
        </w:tc>
      </w:tr>
      <w:tr w14:paraId="66E47FDE">
        <w:tblPrEx>
          <w:tblCellMar>
            <w:top w:w="0" w:type="dxa"/>
            <w:left w:w="108" w:type="dxa"/>
            <w:bottom w:w="0" w:type="dxa"/>
            <w:right w:w="108" w:type="dxa"/>
          </w:tblCellMar>
        </w:tblPrEx>
        <w:trPr>
          <w:trHeight w:val="834" w:hRule="atLeast"/>
        </w:trPr>
        <w:tc>
          <w:tcPr>
            <w:tcW w:w="3262" w:type="dxa"/>
            <w:gridSpan w:val="2"/>
            <w:tcBorders>
              <w:top w:val="single" w:color="000000" w:sz="4" w:space="0"/>
              <w:left w:val="single" w:color="000000" w:sz="4" w:space="0"/>
              <w:bottom w:val="single" w:color="000000" w:sz="4" w:space="0"/>
              <w:right w:val="single" w:color="000000" w:sz="4" w:space="0"/>
            </w:tcBorders>
            <w:vAlign w:val="center"/>
          </w:tcPr>
          <w:p w14:paraId="6B0948F8">
            <w:pPr>
              <w:keepNext w:val="0"/>
              <w:keepLines w:val="0"/>
              <w:widowControl/>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您对物业管理服务的建议和要求？</w:t>
            </w:r>
          </w:p>
        </w:tc>
        <w:tc>
          <w:tcPr>
            <w:tcW w:w="6193" w:type="dxa"/>
            <w:gridSpan w:val="5"/>
            <w:tcBorders>
              <w:top w:val="single" w:color="000000" w:sz="4" w:space="0"/>
              <w:left w:val="single" w:color="000000" w:sz="4" w:space="0"/>
              <w:bottom w:val="single" w:color="000000" w:sz="4" w:space="0"/>
              <w:right w:val="single" w:color="000000" w:sz="4" w:space="0"/>
            </w:tcBorders>
            <w:vAlign w:val="center"/>
          </w:tcPr>
          <w:p w14:paraId="5DCDE924">
            <w:pPr>
              <w:keepNext w:val="0"/>
              <w:keepLines w:val="0"/>
              <w:widowControl w:val="0"/>
              <w:suppressLineNumbers w:val="0"/>
              <w:spacing w:before="0" w:beforeAutospacing="0" w:after="0" w:afterAutospacing="0"/>
              <w:ind w:left="0" w:right="0"/>
              <w:jc w:val="center"/>
              <w:rPr>
                <w:rFonts w:hint="eastAsia" w:ascii="宋体" w:hAnsi="宋体" w:eastAsia="宋体" w:cs="宋体"/>
                <w:b w:val="0"/>
                <w:color w:val="auto"/>
                <w:sz w:val="21"/>
                <w:szCs w:val="21"/>
                <w:highlight w:val="none"/>
                <w:lang w:val="en-US" w:eastAsia="zh-CN" w:bidi="ar-SA"/>
              </w:rPr>
            </w:pPr>
          </w:p>
        </w:tc>
      </w:tr>
    </w:tbl>
    <w:p w14:paraId="64754D5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b w:val="0"/>
          <w:color w:val="auto"/>
          <w:sz w:val="21"/>
          <w:szCs w:val="21"/>
          <w:highlight w:val="none"/>
          <w:lang w:val="en-US" w:eastAsia="zh-CN" w:bidi="ar-SA"/>
        </w:rPr>
      </w:pPr>
    </w:p>
    <w:p w14:paraId="1F121F4C">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6、成交单位有不按磋商文件规定执行，违反采购单位规章制度，拒不落实采购单位工作要求或有下列行为的，经一次提醒，二次警告，三次严重警告后仍未改正，采购单位有权扣除成交单位服务费1000元，若累计发现下列行为达3次以上的，采购人有权单方解除合同。</w:t>
      </w:r>
    </w:p>
    <w:p w14:paraId="258DF01C">
      <w:pPr>
        <w:pStyle w:val="18"/>
        <w:keepNext w:val="0"/>
        <w:keepLines w:val="0"/>
        <w:widowControl w:val="0"/>
        <w:suppressLineNumbers w:val="0"/>
        <w:spacing w:before="0" w:beforeAutospacing="0" w:after="0" w:afterAutospacing="0" w:line="560" w:lineRule="exact"/>
        <w:ind w:left="0" w:right="0" w:firstLine="420" w:firstLineChars="200"/>
        <w:jc w:val="left"/>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①按磋商文件要求确有临时突发离职造成人员缺失（持相应证书上岗）未在3个工作日内补齐的；</w:t>
      </w:r>
    </w:p>
    <w:p w14:paraId="30C1274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②按磋商文件要求保证时时在职人员小于应配置人数的97%的。</w:t>
      </w:r>
    </w:p>
    <w:p w14:paraId="02569DF6">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③未按磋商文件对人员进行体检，造成服务人员将传染性疾病带入采购单位的。</w:t>
      </w:r>
    </w:p>
    <w:p w14:paraId="1CBB652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④不按磋商文件规定执行持相应证书上岗，有不为服务人员按时发放工资行为的；</w:t>
      </w:r>
    </w:p>
    <w:p w14:paraId="3C8D4354">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⑤违反安全条例、安全操作规程，造成人员伤亡事故或采购单位财产重大损失的。</w:t>
      </w:r>
    </w:p>
    <w:p w14:paraId="07A961D7">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⑥携带违禁物品（武器、毒品、爆炸品、易燃品、强腐蚀性物品等）进采购单位的。</w:t>
      </w:r>
    </w:p>
    <w:p w14:paraId="2CEAA153">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⑦在采购单位内进行违法乱纪行为、违反治安管理条例等行为的。</w:t>
      </w:r>
    </w:p>
    <w:p w14:paraId="738D29C7">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⑧因服务人员内部矛盾影响采购单位正常办公、开放秩序的。</w:t>
      </w:r>
    </w:p>
    <w:p w14:paraId="4A19AB17">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（二）对本项目管理人员的要求</w:t>
      </w:r>
    </w:p>
    <w:p w14:paraId="11C775EB">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成交单位项目主管不按磋商文件规定执行，不履行项目主管职责，违反采购单位规章制度或有下列行为的，经一次提醒，二次警告，三次严重警告后仍未改正，采购单位扣除当月应支付物业服务费2000元，并责令成交公司严肃纪律、调整人员。</w:t>
      </w:r>
    </w:p>
    <w:p w14:paraId="48BEF1C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①私自带无关人员进入采购单位非公共开放部位的；</w:t>
      </w:r>
    </w:p>
    <w:p w14:paraId="27BF879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②在考勤、值班、检查、维修记录（包括书面和口头）弄虚作假，伪造的；</w:t>
      </w:r>
    </w:p>
    <w:p w14:paraId="6E4869A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③对采购单位工作通知、投诉在1个工作日内不处理、不上报的；</w:t>
      </w:r>
    </w:p>
    <w:p w14:paraId="209AF441">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④利用工作之便索要、收受他人贿赂、贪污公款、谋取私利的；</w:t>
      </w:r>
    </w:p>
    <w:p w14:paraId="6B4D6B9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⑤发现安全隐患不及时排查、报告的；</w:t>
      </w:r>
    </w:p>
    <w:p w14:paraId="6E1CFEF3">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⑥不接受不配合督查人员查岗的；</w:t>
      </w:r>
    </w:p>
    <w:p w14:paraId="57D4064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⑦主管以上领导手机不24小时开机的。</w:t>
      </w:r>
    </w:p>
    <w:p w14:paraId="1E0E306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项目主管有不按规定时间上下班，外出不汇报园方、不指定临时负责人，不服从采购单位管理，对采购单位投诉3个工作日内不上报、不处理，不落实采购单位交办任务，不检查督促保洁质量等行为的，每发现一次扣除成交单位服务费500元。</w:t>
      </w:r>
    </w:p>
    <w:p w14:paraId="5AFF7268">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（三）对本项目服务人员的管理要求</w:t>
      </w:r>
    </w:p>
    <w:p w14:paraId="370017B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1、成交单位服务人员如违反采购单位规章制度或发生以下违规现象，经一次提醒，二次警告，三次严重警告后仍未改正，采购单位扣除当月应支付物业服务费100元，并责令成交公司严肃纪律、调整人员。成交单位整改不力，连续2个月内此类现象发生5起（含本数）以上的，违约金额加倍。</w:t>
      </w:r>
    </w:p>
    <w:p w14:paraId="7CB0D3D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①成交单位服务人员未按采购单位物业管理服务要求进行服务的；</w:t>
      </w:r>
    </w:p>
    <w:p w14:paraId="47BB821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②迟到早退，脱岗、睡岗、酒后上岗的；工作散漫，粗心大意造成工作差错的；不穿工作服、不带工作牌；不按要求检查、记录的；</w:t>
      </w:r>
    </w:p>
    <w:p w14:paraId="698E9E37">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③维修响应不及时的，消极怠工，态度不端正，造成工作被动，拖拉，不能及时完成任务的；</w:t>
      </w:r>
    </w:p>
    <w:p w14:paraId="7447E322">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④不尊重教职工及家长，与教职工及家长发生言语、肢体冲突，被教职工及家长投诉的；工作时间吃喝、读书看报、打牌、听音乐、下棋、会客、玩手机等做与工作无关事情的；乱丢垃圾、乱写乱画，故意损坏采购单位财物的；在采购单位打架斗殴酗酒闹事的；</w:t>
      </w:r>
    </w:p>
    <w:p w14:paraId="62E4DB66">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⑤值班室、设备间、电井房等工作管辖区域或管辖设施设备脏乱差的；对管理区域内设施设备不检查不登记的；</w:t>
      </w:r>
    </w:p>
    <w:p w14:paraId="34294094">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⑥服务人员工作时间不开对讲机的；不接受不配合督查人员查岗的；</w:t>
      </w:r>
    </w:p>
    <w:p w14:paraId="4E4461E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⑦对采购单位报修报检项目不按时限要求及时处理，将维修材料私拿私用的；</w:t>
      </w:r>
    </w:p>
    <w:p w14:paraId="6EF4194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⑧不按时间要求交接班的，当班时无工作和交接班记录的；工作范围内文字档案未及时整理归档的；</w:t>
      </w:r>
    </w:p>
    <w:p w14:paraId="45027B73">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⑨未按要求上报统计报表、检查维护维修计划的；个人资料不实，弄虚作假的；工作时间吸烟的；拾遗不报的；工作时间干私活的；</w:t>
      </w:r>
    </w:p>
    <w:p w14:paraId="2E425596">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⑩持假证上岗、违反操作规程、携带危险物品、私自配取采购单位钥匙的；</w:t>
      </w:r>
    </w:p>
    <w:p w14:paraId="5D50BD1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⑪发现问题不及时处理汇报，造成不良后果的；无特殊原因不完成采购单位交待的任务的。</w:t>
      </w:r>
    </w:p>
    <w:p w14:paraId="7B848D7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2、保洁服务人员有下列行为的，检查发现同一问题经提醒后仍未整改的，当月累计达五次，扣除成交单位服务费100元。</w:t>
      </w:r>
    </w:p>
    <w:p w14:paraId="19590743">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①室内外公共区域卫生保洁未达到招标文件规定标准的；</w:t>
      </w:r>
    </w:p>
    <w:p w14:paraId="3CEC065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②垃圾清运和卫生间保洁未达到招标文件规定标准的；</w:t>
      </w:r>
    </w:p>
    <w:p w14:paraId="78F6D6D7">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③室内地面、玻璃、天面、直梯、扶梯、会议室等区域卫生未达到招标文件规定标准的；</w:t>
      </w:r>
    </w:p>
    <w:p w14:paraId="4C4D5863">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④对管理区域卫生设施设备、卫生保洁不按要求检查、记录，并将工作范围内文字档案未及时整理归档的；</w:t>
      </w:r>
    </w:p>
    <w:p w14:paraId="7401917E">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⑤未按要求上报卫生间、公共区域设施设备存在问题的。</w:t>
      </w:r>
    </w:p>
    <w:p w14:paraId="0AC55254">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（四）上述成交单位的违约金由采购人直接从物业服务费、履约保证金里扣除。</w:t>
      </w:r>
    </w:p>
    <w:p w14:paraId="5C0DBB49">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 w:eastAsia="zh-CN" w:bidi="ar-SA"/>
        </w:rPr>
        <w:t>七</w:t>
      </w:r>
      <w:r>
        <w:rPr>
          <w:rFonts w:hint="eastAsia" w:ascii="宋体" w:hAnsi="宋体" w:eastAsia="宋体" w:cs="宋体"/>
          <w:b/>
          <w:bCs/>
          <w:color w:val="auto"/>
          <w:sz w:val="21"/>
          <w:szCs w:val="21"/>
          <w:highlight w:val="none"/>
          <w:lang w:val="en-US" w:eastAsia="zh-CN" w:bidi="ar-SA"/>
        </w:rPr>
        <w:t>、服务期满交接</w:t>
      </w:r>
    </w:p>
    <w:p w14:paraId="2297B724">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合同期满后，如下一期不再成交，成交人必须在三个工作日内交接完毕，并将相关档案移交甲方。</w:t>
      </w:r>
    </w:p>
    <w:p w14:paraId="33DD1889">
      <w:pPr>
        <w:widowControl/>
        <w:shd w:val="clear" w:color="auto" w:fill="FFFFFF"/>
        <w:spacing w:line="360" w:lineRule="auto"/>
        <w:ind w:firstLine="480"/>
        <w:outlineLvl w:val="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八、商务性内容</w:t>
      </w:r>
    </w:p>
    <w:p w14:paraId="443F2B1B">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（一）合同签订时间：</w:t>
      </w:r>
      <w:r>
        <w:rPr>
          <w:rFonts w:hint="eastAsia" w:ascii="宋体" w:hAnsi="宋体" w:cs="宋体"/>
          <w:color w:val="auto"/>
          <w:sz w:val="21"/>
          <w:szCs w:val="21"/>
          <w:highlight w:val="none"/>
        </w:rPr>
        <w:t>自成交通知书发出之日起</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rPr>
        <w:t>个工作日内。</w:t>
      </w:r>
    </w:p>
    <w:p w14:paraId="69B578A4">
      <w:pPr>
        <w:spacing w:line="360" w:lineRule="auto"/>
        <w:rPr>
          <w:rFonts w:hint="eastAsia" w:ascii="宋体" w:hAnsi="宋体" w:cs="宋体"/>
          <w:color w:val="auto"/>
          <w:sz w:val="21"/>
          <w:szCs w:val="21"/>
          <w:highlight w:val="none"/>
        </w:rPr>
      </w:pPr>
      <w:r>
        <w:rPr>
          <w:rFonts w:hint="eastAsia" w:ascii="宋体" w:hAnsi="宋体" w:cs="宋体"/>
          <w:b/>
          <w:bCs/>
          <w:color w:val="auto"/>
          <w:sz w:val="21"/>
          <w:szCs w:val="21"/>
          <w:highlight w:val="none"/>
        </w:rPr>
        <w:t xml:space="preserve">   （二）服务地点：</w:t>
      </w:r>
      <w:r>
        <w:rPr>
          <w:rFonts w:ascii="微软雅黑" w:hAnsi="微软雅黑" w:eastAsia="微软雅黑" w:cs="微软雅黑"/>
          <w:i w:val="0"/>
          <w:iCs w:val="0"/>
          <w:caps w:val="0"/>
          <w:color w:val="000000"/>
          <w:spacing w:val="0"/>
          <w:sz w:val="21"/>
          <w:szCs w:val="21"/>
          <w:shd w:val="clear" w:fill="FFFFFF"/>
        </w:rPr>
        <w:t>南宁市青秀区</w:t>
      </w:r>
    </w:p>
    <w:p w14:paraId="4B74F79E">
      <w:pPr>
        <w:widowControl/>
        <w:shd w:val="clear" w:color="auto" w:fill="FFFFFF"/>
        <w:spacing w:line="360" w:lineRule="auto"/>
        <w:ind w:firstLine="480"/>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（三）现场勘察</w:t>
      </w:r>
    </w:p>
    <w:p w14:paraId="3EAA5333">
      <w:pPr>
        <w:widowControl/>
        <w:shd w:val="clear" w:color="auto" w:fill="FFFFFF"/>
        <w:spacing w:line="360" w:lineRule="auto"/>
        <w:ind w:firstLine="435"/>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1、磋商人可以实地勘察，统一现场考察时间：</w:t>
      </w:r>
      <w:r>
        <w:rPr>
          <w:rFonts w:hint="eastAsia" w:ascii="宋体" w:hAnsi="宋体" w:cs="宋体"/>
          <w:b/>
          <w:bCs/>
          <w:color w:val="auto"/>
          <w:kern w:val="0"/>
          <w:sz w:val="21"/>
          <w:szCs w:val="21"/>
          <w:highlight w:val="none"/>
          <w:u w:val="single"/>
        </w:rPr>
        <w:t xml:space="preserve"> 20</w:t>
      </w:r>
      <w:r>
        <w:rPr>
          <w:rFonts w:hint="eastAsia" w:ascii="宋体" w:hAnsi="宋体" w:cs="宋体"/>
          <w:b/>
          <w:bCs/>
          <w:color w:val="000000" w:themeColor="text1"/>
          <w:kern w:val="0"/>
          <w:sz w:val="21"/>
          <w:szCs w:val="21"/>
          <w:highlight w:val="none"/>
          <w:u w:val="single"/>
        </w:rPr>
        <w:t>2</w:t>
      </w:r>
      <w:r>
        <w:rPr>
          <w:rFonts w:hint="eastAsia" w:ascii="宋体" w:hAnsi="宋体" w:cs="宋体"/>
          <w:b/>
          <w:bCs/>
          <w:color w:val="000000" w:themeColor="text1"/>
          <w:kern w:val="0"/>
          <w:sz w:val="21"/>
          <w:szCs w:val="21"/>
          <w:highlight w:val="none"/>
          <w:u w:val="single"/>
          <w:lang w:val="en-US" w:eastAsia="zh-CN"/>
        </w:rPr>
        <w:t>6</w:t>
      </w:r>
      <w:r>
        <w:rPr>
          <w:rFonts w:hint="eastAsia" w:ascii="宋体" w:hAnsi="宋体" w:cs="宋体"/>
          <w:b/>
          <w:bCs/>
          <w:color w:val="000000" w:themeColor="text1"/>
          <w:kern w:val="0"/>
          <w:sz w:val="21"/>
          <w:szCs w:val="21"/>
          <w:highlight w:val="none"/>
          <w:u w:val="single"/>
        </w:rPr>
        <w:t>年</w:t>
      </w:r>
      <w:r>
        <w:rPr>
          <w:rFonts w:hint="eastAsia" w:ascii="宋体" w:hAnsi="宋体" w:cs="宋体"/>
          <w:b/>
          <w:bCs/>
          <w:color w:val="000000" w:themeColor="text1"/>
          <w:kern w:val="0"/>
          <w:sz w:val="21"/>
          <w:szCs w:val="21"/>
          <w:highlight w:val="none"/>
          <w:u w:val="single"/>
          <w:lang w:val="en-US" w:eastAsia="zh-CN"/>
        </w:rPr>
        <w:t>6</w:t>
      </w:r>
      <w:r>
        <w:rPr>
          <w:rFonts w:hint="eastAsia" w:ascii="宋体" w:hAnsi="宋体" w:cs="宋体"/>
          <w:b/>
          <w:bCs/>
          <w:color w:val="000000" w:themeColor="text1"/>
          <w:kern w:val="0"/>
          <w:sz w:val="21"/>
          <w:szCs w:val="21"/>
          <w:highlight w:val="none"/>
          <w:u w:val="single"/>
        </w:rPr>
        <w:t>月</w:t>
      </w:r>
      <w:r>
        <w:rPr>
          <w:rFonts w:hint="eastAsia" w:ascii="宋体" w:hAnsi="宋体" w:cs="宋体"/>
          <w:b/>
          <w:bCs/>
          <w:color w:val="000000" w:themeColor="text1"/>
          <w:kern w:val="0"/>
          <w:sz w:val="21"/>
          <w:szCs w:val="21"/>
          <w:highlight w:val="none"/>
          <w:u w:val="single"/>
          <w:lang w:val="en-US" w:eastAsia="zh-CN"/>
        </w:rPr>
        <w:t>2</w:t>
      </w:r>
      <w:r>
        <w:rPr>
          <w:rFonts w:hint="eastAsia" w:ascii="宋体" w:hAnsi="宋体" w:cs="宋体"/>
          <w:b/>
          <w:bCs/>
          <w:color w:val="000000" w:themeColor="text1"/>
          <w:kern w:val="0"/>
          <w:sz w:val="21"/>
          <w:szCs w:val="21"/>
          <w:highlight w:val="none"/>
          <w:u w:val="single"/>
        </w:rPr>
        <w:t>日</w:t>
      </w:r>
      <w:r>
        <w:rPr>
          <w:rFonts w:hint="eastAsia" w:ascii="宋体" w:hAnsi="宋体" w:cs="宋体"/>
          <w:color w:val="000000" w:themeColor="text1"/>
          <w:kern w:val="0"/>
          <w:sz w:val="21"/>
          <w:szCs w:val="21"/>
          <w:highlight w:val="none"/>
          <w:u w:val="single"/>
        </w:rPr>
        <w:t>上午10：00整</w:t>
      </w:r>
      <w:r>
        <w:rPr>
          <w:rFonts w:hint="eastAsia" w:ascii="宋体" w:hAnsi="宋体" w:cs="宋体"/>
          <w:color w:val="000000" w:themeColor="text1"/>
          <w:kern w:val="0"/>
          <w:sz w:val="21"/>
          <w:szCs w:val="21"/>
          <w:highlight w:val="none"/>
        </w:rPr>
        <w:t>（</w:t>
      </w:r>
      <w:r>
        <w:rPr>
          <w:rFonts w:hint="eastAsia" w:ascii="宋体" w:hAnsi="宋体" w:cs="宋体"/>
          <w:color w:val="auto"/>
          <w:kern w:val="0"/>
          <w:sz w:val="21"/>
          <w:szCs w:val="21"/>
          <w:highlight w:val="none"/>
        </w:rPr>
        <w:t>此为集中报到时间，如有变动，另行通知），逾期不再安排。10：00准时集中前往项目地点勘察。勘察费用、交通工具由各磋商人自理。磋商人可以派代表在上述时间内到</w:t>
      </w:r>
      <w:r>
        <w:rPr>
          <w:rFonts w:hint="eastAsia" w:ascii="宋体" w:hAnsi="宋体" w:cs="宋体"/>
          <w:color w:val="auto"/>
          <w:kern w:val="0"/>
          <w:sz w:val="21"/>
          <w:szCs w:val="21"/>
          <w:highlight w:val="none"/>
          <w:u w:val="single"/>
          <w:lang w:val="en-US" w:eastAsia="zh-CN"/>
        </w:rPr>
        <w:t xml:space="preserve">  南宁市青秀区双拥路14号 </w:t>
      </w:r>
      <w:r>
        <w:rPr>
          <w:rFonts w:hint="eastAsia" w:ascii="宋体" w:hAnsi="宋体" w:cs="宋体"/>
          <w:color w:val="auto"/>
          <w:kern w:val="0"/>
          <w:sz w:val="21"/>
          <w:szCs w:val="21"/>
          <w:highlight w:val="none"/>
        </w:rPr>
        <w:t>报到，过期不候。现场勘查联系人：</w:t>
      </w:r>
      <w:r>
        <w:rPr>
          <w:rFonts w:hint="eastAsia" w:ascii="宋体" w:hAnsi="宋体" w:cs="宋体"/>
          <w:color w:val="auto"/>
          <w:kern w:val="0"/>
          <w:sz w:val="21"/>
          <w:szCs w:val="21"/>
          <w:highlight w:val="none"/>
          <w:u w:val="single"/>
          <w:lang w:val="en-US" w:eastAsia="zh-CN"/>
        </w:rPr>
        <w:t xml:space="preserve"> 杨涛      </w:t>
      </w:r>
      <w:r>
        <w:rPr>
          <w:rFonts w:hint="eastAsia" w:ascii="宋体" w:hAnsi="宋体" w:cs="宋体"/>
          <w:color w:val="auto"/>
          <w:kern w:val="0"/>
          <w:sz w:val="21"/>
          <w:szCs w:val="21"/>
          <w:highlight w:val="none"/>
        </w:rPr>
        <w:t>，电话：</w:t>
      </w:r>
      <w:r>
        <w:rPr>
          <w:rFonts w:hint="eastAsia" w:ascii="宋体" w:hAnsi="宋体" w:cs="宋体"/>
          <w:color w:val="auto"/>
          <w:kern w:val="0"/>
          <w:sz w:val="21"/>
          <w:szCs w:val="21"/>
          <w:highlight w:val="none"/>
          <w:u w:val="single"/>
        </w:rPr>
        <w:t>0771-</w:t>
      </w:r>
      <w:r>
        <w:rPr>
          <w:rFonts w:hint="eastAsia" w:ascii="宋体" w:hAnsi="宋体" w:cs="宋体"/>
          <w:color w:val="auto"/>
          <w:kern w:val="0"/>
          <w:sz w:val="21"/>
          <w:szCs w:val="21"/>
          <w:highlight w:val="none"/>
          <w:u w:val="single"/>
          <w:lang w:val="en-US" w:eastAsia="zh-CN"/>
        </w:rPr>
        <w:t xml:space="preserve"> 5384675        </w:t>
      </w:r>
      <w:r>
        <w:rPr>
          <w:rFonts w:hint="eastAsia" w:ascii="宋体" w:hAnsi="宋体" w:cs="宋体"/>
          <w:color w:val="auto"/>
          <w:kern w:val="0"/>
          <w:sz w:val="21"/>
          <w:szCs w:val="21"/>
          <w:highlight w:val="none"/>
        </w:rPr>
        <w:t>。</w:t>
      </w:r>
    </w:p>
    <w:p w14:paraId="2D53049E">
      <w:pPr>
        <w:widowControl/>
        <w:shd w:val="clear" w:color="auto" w:fill="FFFFFF"/>
        <w:spacing w:line="360" w:lineRule="auto"/>
        <w:ind w:firstLine="435"/>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2、现场踏勘须携带的资料：针对本项目出具的单位介绍信原件或法人授权委托书原件、本人身份证原件前往。</w:t>
      </w:r>
    </w:p>
    <w:p w14:paraId="49234CDE">
      <w:pPr>
        <w:widowControl/>
        <w:shd w:val="clear" w:color="auto" w:fill="FFFFFF"/>
        <w:spacing w:line="360" w:lineRule="auto"/>
        <w:ind w:firstLine="480"/>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（四）物业服务费支出构成（不符合规定的报价将会被视为无效，作废标处理）</w:t>
      </w:r>
    </w:p>
    <w:p w14:paraId="6F543403">
      <w:pPr>
        <w:widowControl/>
        <w:shd w:val="clear" w:color="auto" w:fill="FFFFFF"/>
        <w:spacing w:line="360" w:lineRule="auto"/>
        <w:ind w:firstLine="480"/>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（1）管理、服务人员的工资（工资水平应不低于南宁市最低工资标准）、加班补助费、社保经费和按规定提取的福利等；</w:t>
      </w:r>
    </w:p>
    <w:p w14:paraId="4EA4376B">
      <w:pPr>
        <w:widowControl/>
        <w:spacing w:line="360" w:lineRule="auto"/>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（2）区域内环境卫生费用（含垃圾清运费）</w:t>
      </w:r>
      <w:r>
        <w:rPr>
          <w:rFonts w:hint="eastAsia" w:ascii="宋体" w:hAnsi="宋体" w:cs="宋体"/>
          <w:color w:val="000000" w:themeColor="text1"/>
          <w:kern w:val="0"/>
          <w:sz w:val="21"/>
          <w:szCs w:val="21"/>
          <w:highlight w:val="none"/>
          <w:lang w:eastAsia="zh-CN"/>
        </w:rPr>
        <w:t>：</w:t>
      </w:r>
      <w:r>
        <w:rPr>
          <w:rFonts w:hint="eastAsia" w:ascii="宋体" w:hAnsi="宋体" w:eastAsia="宋体" w:cs="宋体"/>
          <w:b w:val="0"/>
          <w:color w:val="000000" w:themeColor="text1"/>
          <w:sz w:val="21"/>
          <w:szCs w:val="21"/>
          <w:highlight w:val="none"/>
          <w:lang w:val="en-US" w:eastAsia="zh-CN" w:bidi="ar-SA"/>
        </w:rPr>
        <w:t>包括校园内外区域的保洁用品、保养耗材、清洗工具、消毒用品、杀虫、灭鼠、校园垃圾清运（包括生活垃圾和非生活垃圾，在服务期间，每天不少于三次清理校园生活及非生活垃圾，保证垃圾投放区域干净、卫生、无异味）、管道疏通、化粪池清理、日常卫生工具、垃圾袋和常用消耗用品购置等费用（需与南宁市青秀区环境卫生管理站签订年服务合同，并交纳相应服务费用）以及绿植购置、绿化养护等的费用；</w:t>
      </w:r>
    </w:p>
    <w:p w14:paraId="05D42B6E">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 w:val="0"/>
          <w:color w:val="000000" w:themeColor="text1"/>
          <w:sz w:val="21"/>
          <w:szCs w:val="21"/>
          <w:highlight w:val="none"/>
          <w:lang w:val="en-US" w:eastAsia="zh-CN" w:bidi="ar-SA"/>
        </w:rPr>
      </w:pPr>
      <w:r>
        <w:rPr>
          <w:rFonts w:hint="eastAsia" w:ascii="宋体" w:hAnsi="宋体" w:cs="宋体"/>
          <w:color w:val="000000" w:themeColor="text1"/>
          <w:kern w:val="0"/>
          <w:sz w:val="21"/>
          <w:szCs w:val="21"/>
          <w:highlight w:val="none"/>
        </w:rPr>
        <w:t>（3）区域内公共秩序维护费用</w:t>
      </w:r>
      <w:r>
        <w:rPr>
          <w:rFonts w:hint="eastAsia" w:ascii="宋体" w:hAnsi="宋体" w:cs="宋体"/>
          <w:color w:val="000000" w:themeColor="text1"/>
          <w:kern w:val="0"/>
          <w:sz w:val="21"/>
          <w:szCs w:val="21"/>
          <w:highlight w:val="none"/>
          <w:lang w:eastAsia="zh-CN"/>
        </w:rPr>
        <w:t>：</w:t>
      </w:r>
      <w:r>
        <w:rPr>
          <w:rFonts w:hint="eastAsia" w:ascii="宋体" w:hAnsi="宋体" w:eastAsia="宋体" w:cs="宋体"/>
          <w:b w:val="0"/>
          <w:color w:val="000000" w:themeColor="text1"/>
          <w:sz w:val="21"/>
          <w:szCs w:val="21"/>
          <w:highlight w:val="none"/>
          <w:lang w:val="en-US" w:eastAsia="zh-CN" w:bidi="ar-SA"/>
        </w:rPr>
        <w:t>包括所有园区水泵系统、消防栓、消防控制主机、灭火器、安全出口等消防喷淋系统和设备的年检和日常维护等，每月提供有相关资质的第三方维保报告（网上系统可查，签订的第三方维保公司需采购人认可）的费用。以及校园内餐梯、电梯的维护保养、保洁等费用，每月提供有相关资质的第三方维保报告及年审检测报告（签订的第三方维保公司需采购人认可）的费用；</w:t>
      </w:r>
    </w:p>
    <w:p w14:paraId="00E11F6F">
      <w:pPr>
        <w:widowControl/>
        <w:spacing w:line="360" w:lineRule="auto"/>
        <w:rPr>
          <w:rFonts w:hint="eastAsia" w:ascii="宋体" w:hAnsi="宋体" w:cs="宋体"/>
          <w:color w:val="000000" w:themeColor="text1"/>
          <w:kern w:val="0"/>
          <w:sz w:val="21"/>
          <w:szCs w:val="21"/>
          <w:highlight w:val="none"/>
        </w:rPr>
      </w:pPr>
      <w:r>
        <w:rPr>
          <w:rFonts w:hint="eastAsia" w:ascii="宋体" w:hAnsi="宋体" w:eastAsia="宋体" w:cs="宋体"/>
          <w:b w:val="0"/>
          <w:color w:val="000000" w:themeColor="text1"/>
          <w:sz w:val="21"/>
          <w:szCs w:val="21"/>
          <w:highlight w:val="none"/>
          <w:lang w:val="en-US" w:eastAsia="zh-CN" w:bidi="ar-SA"/>
        </w:rPr>
        <w:t>校园内举办的各类会议、培训和活动提供的会务服务及安全保障修整等费用</w:t>
      </w:r>
      <w:r>
        <w:rPr>
          <w:rFonts w:hint="eastAsia" w:ascii="宋体" w:hAnsi="宋体" w:cs="宋体"/>
          <w:color w:val="000000" w:themeColor="text1"/>
          <w:kern w:val="0"/>
          <w:sz w:val="21"/>
          <w:szCs w:val="21"/>
          <w:highlight w:val="none"/>
        </w:rPr>
        <w:t>；</w:t>
      </w:r>
    </w:p>
    <w:p w14:paraId="3F85D072">
      <w:pPr>
        <w:widowControl/>
        <w:spacing w:line="360" w:lineRule="auto"/>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（4）综合治理费用</w:t>
      </w:r>
      <w:r>
        <w:rPr>
          <w:rFonts w:hint="eastAsia" w:ascii="宋体" w:hAnsi="宋体" w:eastAsia="宋体" w:cs="宋体"/>
          <w:b w:val="0"/>
          <w:color w:val="000000" w:themeColor="text1"/>
          <w:sz w:val="21"/>
          <w:szCs w:val="21"/>
          <w:highlight w:val="none"/>
          <w:lang w:val="en-US" w:eastAsia="zh-CN" w:bidi="ar-SA"/>
        </w:rPr>
        <w:t>：包括门卫、保安安防器具，管理服务标识设置与维护、车辆行驶与停放管理及其他秩序维护等费用；门前三包费（如隔离栏、警戒线、橡胶路锥、提示牌等）、综合治理费等费用；</w:t>
      </w:r>
    </w:p>
    <w:p w14:paraId="54746BA2">
      <w:pPr>
        <w:pStyle w:val="18"/>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val="0"/>
          <w:color w:val="000000" w:themeColor="text1"/>
          <w:sz w:val="21"/>
          <w:szCs w:val="21"/>
          <w:highlight w:val="none"/>
          <w:lang w:val="en-US" w:eastAsia="zh-CN" w:bidi="ar-SA"/>
        </w:rPr>
      </w:pPr>
      <w:r>
        <w:rPr>
          <w:rFonts w:hint="eastAsia" w:eastAsia="宋体" w:cs="宋体"/>
          <w:b w:val="0"/>
          <w:color w:val="000000" w:themeColor="text1"/>
          <w:sz w:val="21"/>
          <w:szCs w:val="21"/>
          <w:highlight w:val="none"/>
          <w:lang w:val="en-US" w:eastAsia="zh-CN" w:bidi="ar-SA"/>
        </w:rPr>
        <w:t>（5）</w:t>
      </w:r>
      <w:r>
        <w:rPr>
          <w:rFonts w:hint="eastAsia" w:ascii="宋体" w:hAnsi="宋体" w:eastAsia="宋体" w:cs="宋体"/>
          <w:b w:val="0"/>
          <w:color w:val="000000" w:themeColor="text1"/>
          <w:sz w:val="21"/>
          <w:szCs w:val="21"/>
          <w:highlight w:val="none"/>
          <w:lang w:val="en-US" w:eastAsia="zh-CN" w:bidi="ar-SA"/>
        </w:rPr>
        <w:t>零星维修：按采购人列出的材料清单、维修项目</w:t>
      </w:r>
      <w:r>
        <w:rPr>
          <w:rFonts w:hint="eastAsia" w:eastAsia="宋体" w:cs="宋体"/>
          <w:b w:val="0"/>
          <w:color w:val="000000" w:themeColor="text1"/>
          <w:sz w:val="21"/>
          <w:szCs w:val="21"/>
          <w:highlight w:val="none"/>
          <w:lang w:val="en-US" w:eastAsia="zh-CN" w:bidi="ar-SA"/>
        </w:rPr>
        <w:t>，</w:t>
      </w:r>
      <w:r>
        <w:rPr>
          <w:rFonts w:hint="eastAsia" w:ascii="宋体" w:hAnsi="宋体" w:eastAsia="宋体" w:cs="宋体"/>
          <w:b w:val="0"/>
          <w:color w:val="000000" w:themeColor="text1"/>
          <w:sz w:val="21"/>
          <w:szCs w:val="21"/>
          <w:highlight w:val="none"/>
          <w:lang w:val="en-US" w:eastAsia="zh-CN" w:bidi="ar-SA"/>
        </w:rPr>
        <w:t>完成日常零星维修。总价合计不高于</w:t>
      </w:r>
      <w:r>
        <w:rPr>
          <w:rFonts w:hint="eastAsia" w:cs="宋体"/>
          <w:b w:val="0"/>
          <w:color w:val="000000" w:themeColor="text1"/>
          <w:sz w:val="21"/>
          <w:szCs w:val="21"/>
          <w:highlight w:val="none"/>
          <w:lang w:val="en-US" w:eastAsia="zh-CN" w:bidi="ar-SA"/>
        </w:rPr>
        <w:t>成交</w:t>
      </w:r>
      <w:r>
        <w:rPr>
          <w:rFonts w:hint="eastAsia" w:ascii="宋体" w:hAnsi="宋体" w:eastAsia="宋体" w:cs="宋体"/>
          <w:b w:val="0"/>
          <w:color w:val="000000" w:themeColor="text1"/>
          <w:sz w:val="21"/>
          <w:szCs w:val="21"/>
          <w:highlight w:val="none"/>
          <w:lang w:val="en-US" w:eastAsia="zh-CN" w:bidi="ar-SA"/>
        </w:rPr>
        <w:t>价的2%。</w:t>
      </w:r>
    </w:p>
    <w:p w14:paraId="469763A2">
      <w:pPr>
        <w:widowControl/>
        <w:spacing w:line="360" w:lineRule="auto"/>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w:t>
      </w:r>
      <w:r>
        <w:rPr>
          <w:rFonts w:hint="eastAsia" w:ascii="宋体" w:hAnsi="宋体" w:cs="宋体"/>
          <w:color w:val="000000" w:themeColor="text1"/>
          <w:kern w:val="0"/>
          <w:sz w:val="21"/>
          <w:szCs w:val="21"/>
          <w:highlight w:val="none"/>
          <w:lang w:val="en-US" w:eastAsia="zh-CN"/>
        </w:rPr>
        <w:t>6</w:t>
      </w:r>
      <w:r>
        <w:rPr>
          <w:rFonts w:hint="eastAsia" w:ascii="宋体" w:hAnsi="宋体" w:cs="宋体"/>
          <w:color w:val="000000" w:themeColor="text1"/>
          <w:kern w:val="0"/>
          <w:sz w:val="21"/>
          <w:szCs w:val="21"/>
          <w:highlight w:val="none"/>
        </w:rPr>
        <w:t>）办公费用</w:t>
      </w:r>
      <w:r>
        <w:rPr>
          <w:rFonts w:hint="eastAsia" w:ascii="宋体" w:hAnsi="宋体" w:eastAsia="宋体" w:cs="宋体"/>
          <w:b w:val="0"/>
          <w:color w:val="000000" w:themeColor="text1"/>
          <w:sz w:val="21"/>
          <w:szCs w:val="21"/>
          <w:highlight w:val="none"/>
          <w:lang w:val="en-US" w:eastAsia="zh-CN" w:bidi="ar-SA"/>
        </w:rPr>
        <w:t>：包括产生的耗材、办公用品等费用；</w:t>
      </w:r>
    </w:p>
    <w:p w14:paraId="2A2B1BA7">
      <w:pPr>
        <w:widowControl/>
        <w:shd w:val="clear" w:color="auto" w:fill="FFFFFF"/>
        <w:spacing w:line="360" w:lineRule="auto"/>
        <w:ind w:firstLine="420" w:firstLineChars="200"/>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w:t>
      </w:r>
      <w:r>
        <w:rPr>
          <w:rFonts w:hint="eastAsia" w:ascii="宋体" w:hAnsi="宋体" w:cs="宋体"/>
          <w:color w:val="000000" w:themeColor="text1"/>
          <w:kern w:val="0"/>
          <w:sz w:val="21"/>
          <w:szCs w:val="21"/>
          <w:highlight w:val="none"/>
          <w:lang w:val="en-US" w:eastAsia="zh-CN"/>
        </w:rPr>
        <w:t>7</w:t>
      </w:r>
      <w:r>
        <w:rPr>
          <w:rFonts w:hint="eastAsia" w:ascii="宋体" w:hAnsi="宋体" w:cs="宋体"/>
          <w:color w:val="000000" w:themeColor="text1"/>
          <w:kern w:val="0"/>
          <w:sz w:val="21"/>
          <w:szCs w:val="21"/>
          <w:highlight w:val="none"/>
        </w:rPr>
        <w:t>）法定税费；</w:t>
      </w:r>
    </w:p>
    <w:p w14:paraId="5F0E678F">
      <w:pPr>
        <w:widowControl/>
        <w:shd w:val="clear" w:color="auto" w:fill="FFFFFF"/>
        <w:spacing w:line="360" w:lineRule="auto"/>
        <w:ind w:firstLine="420" w:firstLineChars="200"/>
        <w:rPr>
          <w:rFonts w:hint="eastAsia" w:ascii="宋体" w:hAnsi="宋体" w:cs="宋体"/>
          <w:color w:val="000000" w:themeColor="text1"/>
          <w:highlight w:val="none"/>
        </w:rPr>
      </w:pPr>
      <w:r>
        <w:rPr>
          <w:rFonts w:hint="eastAsia" w:ascii="宋体" w:hAnsi="宋体" w:cs="宋体"/>
          <w:color w:val="000000" w:themeColor="text1"/>
          <w:kern w:val="0"/>
          <w:sz w:val="21"/>
          <w:szCs w:val="21"/>
          <w:highlight w:val="none"/>
        </w:rPr>
        <w:t>（</w:t>
      </w:r>
      <w:r>
        <w:rPr>
          <w:rFonts w:hint="eastAsia" w:ascii="宋体" w:hAnsi="宋体" w:cs="宋体"/>
          <w:color w:val="000000" w:themeColor="text1"/>
          <w:kern w:val="0"/>
          <w:sz w:val="21"/>
          <w:szCs w:val="21"/>
          <w:highlight w:val="none"/>
          <w:lang w:val="en-US" w:eastAsia="zh-CN"/>
        </w:rPr>
        <w:t>8</w:t>
      </w:r>
      <w:r>
        <w:rPr>
          <w:rFonts w:hint="eastAsia" w:ascii="宋体" w:hAnsi="宋体" w:cs="宋体"/>
          <w:color w:val="000000" w:themeColor="text1"/>
          <w:kern w:val="0"/>
          <w:sz w:val="21"/>
          <w:szCs w:val="21"/>
          <w:highlight w:val="none"/>
        </w:rPr>
        <w:t>）合理利润等。</w:t>
      </w:r>
    </w:p>
    <w:p w14:paraId="695052AF">
      <w:pPr>
        <w:pStyle w:val="7"/>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p w14:paraId="4CF764FC">
      <w:pPr>
        <w:widowControl/>
        <w:shd w:val="clear" w:color="auto" w:fill="FFFFFF"/>
        <w:spacing w:line="360" w:lineRule="auto"/>
        <w:ind w:firstLine="480"/>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（五）采购预算金额：</w:t>
      </w:r>
      <w:r>
        <w:rPr>
          <w:rFonts w:hint="eastAsia" w:ascii="宋体" w:hAnsi="宋体" w:cs="宋体"/>
          <w:b/>
          <w:bCs/>
          <w:color w:val="auto"/>
          <w:kern w:val="0"/>
          <w:sz w:val="21"/>
          <w:szCs w:val="21"/>
          <w:highlight w:val="none"/>
          <w:u w:val="single"/>
          <w:lang w:val="en-US" w:eastAsia="zh-CN"/>
        </w:rPr>
        <w:t xml:space="preserve">    125     </w:t>
      </w:r>
      <w:r>
        <w:rPr>
          <w:rFonts w:hint="eastAsia" w:ascii="宋体" w:hAnsi="宋体" w:cs="宋体"/>
          <w:b/>
          <w:bCs/>
          <w:color w:val="auto"/>
          <w:kern w:val="0"/>
          <w:sz w:val="21"/>
          <w:szCs w:val="21"/>
          <w:highlight w:val="none"/>
        </w:rPr>
        <w:t>万元。</w:t>
      </w:r>
    </w:p>
    <w:p w14:paraId="050D8BE0">
      <w:pPr>
        <w:widowControl/>
        <w:shd w:val="clear" w:color="auto" w:fill="FFFFFF"/>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kern w:val="0"/>
          <w:sz w:val="21"/>
          <w:szCs w:val="21"/>
          <w:highlight w:val="none"/>
        </w:rPr>
        <w:t>服务期限为</w:t>
      </w:r>
      <w:r>
        <w:rPr>
          <w:rFonts w:hint="eastAsia" w:ascii="宋体" w:hAnsi="宋体" w:cs="宋体"/>
          <w:b/>
          <w:bCs/>
          <w:color w:val="auto"/>
          <w:kern w:val="0"/>
          <w:sz w:val="21"/>
          <w:szCs w:val="21"/>
          <w:highlight w:val="none"/>
          <w:u w:val="single"/>
          <w:lang w:val="en-US" w:eastAsia="zh-CN"/>
        </w:rPr>
        <w:t xml:space="preserve">    12   </w:t>
      </w:r>
      <w:r>
        <w:rPr>
          <w:rFonts w:hint="eastAsia" w:ascii="宋体" w:hAnsi="宋体" w:cs="宋体"/>
          <w:b/>
          <w:bCs/>
          <w:color w:val="auto"/>
          <w:kern w:val="0"/>
          <w:sz w:val="21"/>
          <w:szCs w:val="21"/>
          <w:highlight w:val="none"/>
        </w:rPr>
        <w:t>个月（自甲乙双方签订合同生效之日约定时间算起），</w:t>
      </w:r>
      <w:r>
        <w:rPr>
          <w:rFonts w:hint="eastAsia" w:ascii="宋体" w:hAnsi="宋体" w:cs="宋体"/>
          <w:color w:val="auto"/>
          <w:sz w:val="21"/>
          <w:szCs w:val="21"/>
          <w:highlight w:val="none"/>
        </w:rPr>
        <w:t>如遇政策性调整，由双方按相关政策协商后调整。</w:t>
      </w:r>
    </w:p>
    <w:p w14:paraId="33635EFD">
      <w:pPr>
        <w:pStyle w:val="11"/>
        <w:spacing w:line="360" w:lineRule="auto"/>
        <w:ind w:firstLine="420" w:firstLineChars="200"/>
        <w:rPr>
          <w:rFonts w:hint="eastAsia" w:hAnsi="宋体" w:cs="宋体"/>
          <w:color w:val="auto"/>
          <w:sz w:val="21"/>
          <w:szCs w:val="21"/>
          <w:highlight w:val="none"/>
        </w:rPr>
      </w:pPr>
      <w:r>
        <w:rPr>
          <w:rFonts w:hint="eastAsia" w:hAnsi="宋体" w:cs="宋体"/>
          <w:b w:val="0"/>
          <w:bCs w:val="0"/>
          <w:color w:val="auto"/>
          <w:sz w:val="21"/>
          <w:szCs w:val="21"/>
          <w:highlight w:val="none"/>
        </w:rPr>
        <w:t>（六）付款方式：</w:t>
      </w:r>
      <w:r>
        <w:rPr>
          <w:rFonts w:hint="eastAsia" w:hAnsi="宋体" w:cs="宋体"/>
          <w:b w:val="0"/>
          <w:bCs w:val="0"/>
          <w:color w:val="auto"/>
          <w:sz w:val="21"/>
          <w:szCs w:val="21"/>
          <w:highlight w:val="none"/>
          <w:u w:val="single"/>
          <w:lang w:val="en-US" w:eastAsia="zh-CN"/>
        </w:rPr>
        <w:t xml:space="preserve"> </w:t>
      </w:r>
      <w:r>
        <w:rPr>
          <w:rFonts w:hint="eastAsia" w:hAnsi="宋体" w:cs="宋体"/>
          <w:color w:val="auto"/>
          <w:sz w:val="21"/>
          <w:szCs w:val="21"/>
          <w:highlight w:val="none"/>
          <w:u w:val="single"/>
          <w:lang w:val="en-US" w:eastAsia="zh-CN"/>
        </w:rPr>
        <w:t xml:space="preserve">费用按月支付，成交人在每月5日前提交相关请款材料，并提供每月员工花名册、缴税社保证明、幼儿园所需各类记录表格及相关材料上交采购人，采购人收到发票、花名册、缴税社保证明、幼儿园所录表格及相关材料后15个工作日内支付完毕。                  </w:t>
      </w:r>
      <w:r>
        <w:rPr>
          <w:rFonts w:hint="eastAsia" w:hAnsi="宋体" w:cs="宋体"/>
          <w:color w:val="auto"/>
          <w:sz w:val="21"/>
          <w:szCs w:val="21"/>
          <w:highlight w:val="none"/>
        </w:rPr>
        <w:t>。</w:t>
      </w:r>
    </w:p>
    <w:p w14:paraId="202D92C1">
      <w:pPr>
        <w:pStyle w:val="11"/>
        <w:spacing w:line="360" w:lineRule="auto"/>
        <w:ind w:firstLine="422" w:firstLineChars="200"/>
        <w:rPr>
          <w:rFonts w:hint="eastAsia" w:hAnsi="宋体" w:cs="宋体"/>
          <w:color w:val="auto"/>
          <w:sz w:val="21"/>
          <w:szCs w:val="21"/>
          <w:highlight w:val="none"/>
        </w:rPr>
      </w:pPr>
      <w:r>
        <w:rPr>
          <w:rFonts w:hint="eastAsia" w:hAnsi="宋体" w:cs="宋体"/>
          <w:b/>
          <w:bCs/>
          <w:color w:val="auto"/>
          <w:sz w:val="21"/>
          <w:szCs w:val="21"/>
          <w:highlight w:val="none"/>
        </w:rPr>
        <w:t>（七）其他要求：</w:t>
      </w:r>
      <w:r>
        <w:rPr>
          <w:rFonts w:hint="eastAsia" w:hAnsi="宋体" w:cs="宋体"/>
          <w:color w:val="auto"/>
          <w:sz w:val="21"/>
          <w:szCs w:val="21"/>
          <w:highlight w:val="none"/>
        </w:rPr>
        <w:t>服务期间，采购方可根据本单位实际情况和工作需要对物业岗位设置和人员配备等做适当调整（增加或减少），采购人与成交人双方应本着友好协商原则协商调整相应的费用。</w:t>
      </w:r>
    </w:p>
    <w:p w14:paraId="7F1D156C">
      <w:pPr>
        <w:widowControl/>
        <w:spacing w:line="360" w:lineRule="auto"/>
        <w:ind w:firstLine="422" w:firstLineChars="200"/>
        <w:jc w:val="left"/>
        <w:rPr>
          <w:rFonts w:hint="eastAsia" w:ascii="宋体" w:hAnsi="宋体" w:cs="宋体"/>
          <w:color w:val="auto"/>
          <w:sz w:val="21"/>
          <w:szCs w:val="21"/>
          <w:highlight w:val="none"/>
        </w:rPr>
      </w:pPr>
      <w:r>
        <w:rPr>
          <w:rFonts w:hint="eastAsia" w:ascii="宋体" w:hAnsi="宋体" w:cs="宋体"/>
          <w:b/>
          <w:bCs/>
          <w:color w:val="auto"/>
          <w:sz w:val="21"/>
          <w:szCs w:val="21"/>
          <w:highlight w:val="none"/>
        </w:rPr>
        <w:t>（八）</w:t>
      </w:r>
      <w:r>
        <w:rPr>
          <w:rFonts w:hint="eastAsia" w:ascii="宋体" w:hAnsi="宋体" w:cs="宋体"/>
          <w:color w:val="auto"/>
          <w:sz w:val="21"/>
          <w:szCs w:val="21"/>
          <w:highlight w:val="none"/>
        </w:rPr>
        <w:t>本项目采购标的对应的中小企业划分标准所属行业为</w:t>
      </w:r>
      <w:r>
        <w:rPr>
          <w:rFonts w:hint="eastAsia" w:ascii="宋体" w:hAnsi="宋体" w:cs="宋体"/>
          <w:b/>
          <w:color w:val="auto"/>
          <w:sz w:val="21"/>
          <w:szCs w:val="21"/>
          <w:highlight w:val="none"/>
          <w:u w:val="single"/>
        </w:rPr>
        <w:t>物业管理行业</w:t>
      </w:r>
      <w:r>
        <w:rPr>
          <w:rFonts w:hint="eastAsia" w:ascii="宋体" w:hAnsi="宋体" w:cs="宋体"/>
          <w:color w:val="auto"/>
          <w:sz w:val="21"/>
          <w:szCs w:val="21"/>
          <w:highlight w:val="none"/>
        </w:rPr>
        <w:t>。</w:t>
      </w:r>
    </w:p>
    <w:p w14:paraId="3AFCC116">
      <w:pPr>
        <w:pStyle w:val="43"/>
        <w:spacing w:line="360" w:lineRule="auto"/>
        <w:ind w:firstLine="422"/>
        <w:rPr>
          <w:rFonts w:hint="eastAsia" w:ascii="宋体" w:hAnsi="宋体" w:cs="宋体"/>
          <w:color w:val="auto"/>
          <w:sz w:val="21"/>
          <w:szCs w:val="21"/>
          <w:highlight w:val="none"/>
        </w:rPr>
      </w:pPr>
      <w:r>
        <w:rPr>
          <w:rFonts w:hint="eastAsia" w:ascii="宋体" w:hAnsi="宋体" w:cs="宋体"/>
          <w:b/>
          <w:color w:val="auto"/>
          <w:sz w:val="21"/>
          <w:szCs w:val="21"/>
          <w:highlight w:val="none"/>
        </w:rPr>
        <w:t>（九）可磋商内容：</w:t>
      </w:r>
      <w:r>
        <w:rPr>
          <w:rFonts w:hint="eastAsia" w:ascii="宋体" w:hAnsi="宋体" w:cs="宋体"/>
          <w:b/>
          <w:color w:val="auto"/>
          <w:sz w:val="21"/>
          <w:szCs w:val="21"/>
          <w:highlight w:val="none"/>
          <w:u w:val="single"/>
        </w:rPr>
        <w:t>在磋商过程中，评审小组可以根据磋商文件和磋商情况实质性变动采购需求中的技术、服务要求</w:t>
      </w:r>
      <w:r>
        <w:rPr>
          <w:rFonts w:hint="eastAsia" w:ascii="宋体" w:hAnsi="宋体" w:cs="宋体"/>
          <w:b/>
          <w:color w:val="auto"/>
          <w:sz w:val="21"/>
          <w:szCs w:val="21"/>
          <w:highlight w:val="none"/>
          <w:u w:val="single"/>
          <w:lang w:eastAsia="zh-CN"/>
        </w:rPr>
        <w:t>。</w:t>
      </w:r>
    </w:p>
    <w:p w14:paraId="2013FAB9">
      <w:pPr>
        <w:spacing w:line="560" w:lineRule="exact"/>
        <w:rPr>
          <w:rFonts w:hint="eastAsia" w:ascii="宋体" w:hAnsi="宋体" w:cs="宋体"/>
          <w:color w:val="auto"/>
          <w:highlight w:val="none"/>
        </w:rPr>
      </w:pPr>
    </w:p>
    <w:p w14:paraId="58ED0A1C">
      <w:pPr>
        <w:pStyle w:val="43"/>
        <w:ind w:firstLine="416"/>
        <w:rPr>
          <w:rFonts w:hint="eastAsia" w:ascii="宋体" w:hAnsi="宋体" w:eastAsia="宋体" w:cs="宋体"/>
          <w:color w:val="auto"/>
          <w:spacing w:val="-2"/>
          <w:kern w:val="2"/>
          <w:sz w:val="21"/>
          <w:szCs w:val="21"/>
          <w:highlight w:val="none"/>
          <w:lang w:val="en-US" w:eastAsia="zh-CN" w:bidi="ar-SA"/>
        </w:rPr>
      </w:pPr>
    </w:p>
    <w:p w14:paraId="37388871">
      <w:pPr>
        <w:pStyle w:val="11"/>
        <w:spacing w:line="440" w:lineRule="exact"/>
        <w:rPr>
          <w:rFonts w:hint="eastAsia" w:hAnsi="宋体" w:cs="宋体"/>
          <w:color w:val="auto"/>
          <w:szCs w:val="21"/>
          <w:highlight w:val="none"/>
        </w:rPr>
      </w:pPr>
    </w:p>
    <w:p w14:paraId="1E8CF10F">
      <w:pPr>
        <w:pStyle w:val="11"/>
        <w:spacing w:line="440" w:lineRule="exact"/>
        <w:rPr>
          <w:rFonts w:hint="eastAsia" w:hAnsi="宋体" w:cs="宋体"/>
          <w:color w:val="auto"/>
          <w:szCs w:val="21"/>
          <w:highlight w:val="none"/>
        </w:rPr>
      </w:pPr>
    </w:p>
    <w:p w14:paraId="68F7C41F">
      <w:pPr>
        <w:pStyle w:val="11"/>
        <w:spacing w:line="440" w:lineRule="exact"/>
        <w:rPr>
          <w:rFonts w:hint="eastAsia" w:hAnsi="宋体" w:cs="宋体"/>
          <w:color w:val="auto"/>
          <w:szCs w:val="21"/>
          <w:highlight w:val="none"/>
        </w:rPr>
      </w:pPr>
    </w:p>
    <w:p w14:paraId="128B8677">
      <w:pPr>
        <w:pStyle w:val="43"/>
        <w:ind w:firstLine="0" w:firstLineChars="0"/>
        <w:rPr>
          <w:rFonts w:hint="eastAsia" w:ascii="宋体" w:hAnsi="宋体" w:cs="宋体"/>
          <w:color w:val="auto"/>
          <w:szCs w:val="21"/>
          <w:highlight w:val="none"/>
        </w:rPr>
      </w:pPr>
    </w:p>
    <w:p w14:paraId="17B0E6B9">
      <w:pPr>
        <w:pStyle w:val="43"/>
        <w:ind w:firstLine="420"/>
        <w:rPr>
          <w:rFonts w:hint="eastAsia" w:ascii="宋体" w:hAnsi="宋体" w:cs="宋体"/>
          <w:color w:val="auto"/>
          <w:szCs w:val="21"/>
          <w:highlight w:val="none"/>
        </w:rPr>
      </w:pPr>
    </w:p>
    <w:p w14:paraId="3660FE24">
      <w:pPr>
        <w:pStyle w:val="43"/>
        <w:ind w:firstLine="420"/>
        <w:rPr>
          <w:rFonts w:hint="eastAsia" w:ascii="宋体" w:hAnsi="宋体" w:cs="宋体"/>
          <w:color w:val="auto"/>
          <w:szCs w:val="21"/>
          <w:highlight w:val="none"/>
        </w:rPr>
      </w:pPr>
    </w:p>
    <w:p w14:paraId="4090D62B">
      <w:pPr>
        <w:pStyle w:val="43"/>
        <w:ind w:firstLine="420"/>
        <w:rPr>
          <w:rFonts w:hint="eastAsia" w:ascii="宋体" w:hAnsi="宋体" w:cs="宋体"/>
          <w:color w:val="auto"/>
          <w:szCs w:val="21"/>
          <w:highlight w:val="none"/>
        </w:rPr>
      </w:pPr>
    </w:p>
    <w:p w14:paraId="334C2C3A">
      <w:pPr>
        <w:pStyle w:val="3"/>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第四章  竞争性磋商响应文件格式</w:t>
      </w:r>
    </w:p>
    <w:p w14:paraId="35172F25">
      <w:pPr>
        <w:spacing w:before="156" w:after="50" w:line="360" w:lineRule="exact"/>
        <w:outlineLvl w:val="1"/>
        <w:rPr>
          <w:rFonts w:hint="eastAsia" w:ascii="宋体" w:hAnsi="宋体" w:cs="宋体"/>
          <w:b/>
          <w:bCs/>
          <w:color w:val="auto"/>
          <w:highlight w:val="none"/>
        </w:rPr>
      </w:pPr>
      <w:r>
        <w:rPr>
          <w:rFonts w:hint="eastAsia" w:ascii="宋体" w:hAnsi="宋体" w:cs="宋体"/>
          <w:b/>
          <w:bCs/>
          <w:color w:val="auto"/>
          <w:highlight w:val="none"/>
        </w:rPr>
        <w:t xml:space="preserve"> </w:t>
      </w:r>
    </w:p>
    <w:p w14:paraId="3DB5EC4F">
      <w:pPr>
        <w:pageBreakBefore/>
        <w:rPr>
          <w:rFonts w:hint="eastAsia" w:ascii="宋体" w:hAnsi="宋体" w:cs="宋体"/>
          <w:b/>
          <w:color w:val="auto"/>
          <w:sz w:val="32"/>
          <w:szCs w:val="32"/>
          <w:highlight w:val="none"/>
        </w:rPr>
      </w:pPr>
      <w:r>
        <w:rPr>
          <w:rFonts w:hint="eastAsia" w:ascii="宋体" w:hAnsi="宋体" w:cs="宋体"/>
          <w:b/>
          <w:color w:val="auto"/>
          <w:sz w:val="32"/>
          <w:szCs w:val="32"/>
          <w:highlight w:val="none"/>
        </w:rPr>
        <w:t>一、 竞争性磋商响应文件封面格式</w:t>
      </w:r>
    </w:p>
    <w:p w14:paraId="6153FD16">
      <w:pPr>
        <w:spacing w:before="156" w:after="50" w:line="360" w:lineRule="exact"/>
        <w:rPr>
          <w:rFonts w:hint="eastAsia" w:ascii="宋体" w:hAnsi="宋体" w:cs="宋体"/>
          <w:b/>
          <w:color w:val="auto"/>
          <w:sz w:val="32"/>
          <w:szCs w:val="32"/>
          <w:highlight w:val="none"/>
        </w:rPr>
      </w:pPr>
    </w:p>
    <w:p w14:paraId="75C3E333">
      <w:pPr>
        <w:spacing w:line="360" w:lineRule="auto"/>
        <w:ind w:firstLine="643" w:firstLineChars="200"/>
        <w:jc w:val="left"/>
        <w:rPr>
          <w:rFonts w:hint="eastAsia" w:ascii="宋体" w:hAnsi="宋体" w:cs="宋体"/>
          <w:bCs/>
          <w:color w:val="auto"/>
          <w:sz w:val="32"/>
          <w:szCs w:val="32"/>
          <w:highlight w:val="none"/>
        </w:rPr>
      </w:pPr>
      <w:r>
        <w:rPr>
          <w:rFonts w:hint="eastAsia" w:ascii="宋体" w:hAnsi="宋体" w:cs="宋体"/>
          <w:b/>
          <w:color w:val="auto"/>
          <w:sz w:val="32"/>
          <w:szCs w:val="32"/>
          <w:highlight w:val="none"/>
        </w:rPr>
        <w:t>封面</w:t>
      </w:r>
    </w:p>
    <w:p w14:paraId="67A008F8">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竞争性磋商响应文件</w:t>
      </w:r>
    </w:p>
    <w:p w14:paraId="3DA8A902">
      <w:pPr>
        <w:spacing w:line="360" w:lineRule="auto"/>
        <w:jc w:val="center"/>
        <w:rPr>
          <w:rFonts w:hint="eastAsia" w:ascii="宋体" w:hAnsi="宋体" w:cs="宋体"/>
          <w:b/>
          <w:bCs/>
          <w:color w:val="auto"/>
          <w:sz w:val="21"/>
          <w:szCs w:val="21"/>
          <w:highlight w:val="none"/>
        </w:rPr>
      </w:pPr>
    </w:p>
    <w:p w14:paraId="2ABDA58A">
      <w:pPr>
        <w:spacing w:line="360" w:lineRule="auto"/>
        <w:ind w:firstLine="1254" w:firstLineChars="595"/>
        <w:rPr>
          <w:rFonts w:hint="eastAsia" w:ascii="宋体" w:hAnsi="宋体" w:cs="宋体"/>
          <w:b/>
          <w:bCs/>
          <w:color w:val="auto"/>
          <w:sz w:val="21"/>
          <w:szCs w:val="21"/>
          <w:highlight w:val="none"/>
        </w:rPr>
      </w:pPr>
    </w:p>
    <w:p w14:paraId="2B563071">
      <w:pPr>
        <w:spacing w:line="360" w:lineRule="auto"/>
        <w:ind w:firstLine="1911" w:firstLineChars="595"/>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项目编号：  </w:t>
      </w:r>
    </w:p>
    <w:p w14:paraId="1932C878">
      <w:pPr>
        <w:spacing w:line="360" w:lineRule="auto"/>
        <w:ind w:firstLine="1911" w:firstLineChars="595"/>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项目名称：</w:t>
      </w:r>
    </w:p>
    <w:p w14:paraId="40DBC50C">
      <w:pPr>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1C1D3DE0">
      <w:pPr>
        <w:spacing w:line="360" w:lineRule="auto"/>
        <w:ind w:firstLine="1911" w:firstLineChars="595"/>
        <w:rPr>
          <w:rFonts w:hint="eastAsia" w:ascii="宋体" w:hAnsi="宋体" w:cs="宋体"/>
          <w:b/>
          <w:bCs/>
          <w:color w:val="auto"/>
          <w:sz w:val="32"/>
          <w:szCs w:val="32"/>
          <w:highlight w:val="none"/>
        </w:rPr>
      </w:pPr>
    </w:p>
    <w:p w14:paraId="121A93DE">
      <w:pPr>
        <w:spacing w:line="360" w:lineRule="auto"/>
        <w:rPr>
          <w:rFonts w:hint="eastAsia" w:ascii="宋体" w:hAnsi="宋体" w:cs="宋体"/>
          <w:color w:val="auto"/>
          <w:kern w:val="0"/>
          <w:sz w:val="32"/>
          <w:szCs w:val="32"/>
          <w:highlight w:val="none"/>
        </w:rPr>
      </w:pPr>
    </w:p>
    <w:p w14:paraId="1A16C746">
      <w:pPr>
        <w:spacing w:line="360" w:lineRule="auto"/>
        <w:rPr>
          <w:rFonts w:hint="eastAsia" w:ascii="宋体" w:hAnsi="宋体" w:cs="宋体"/>
          <w:color w:val="auto"/>
          <w:kern w:val="0"/>
          <w:sz w:val="32"/>
          <w:szCs w:val="32"/>
          <w:highlight w:val="none"/>
        </w:rPr>
      </w:pPr>
    </w:p>
    <w:p w14:paraId="49132CB5">
      <w:pPr>
        <w:spacing w:line="360" w:lineRule="auto"/>
        <w:rPr>
          <w:rFonts w:hint="eastAsia" w:ascii="宋体" w:hAnsi="宋体" w:cs="宋体"/>
          <w:color w:val="auto"/>
          <w:sz w:val="32"/>
          <w:szCs w:val="32"/>
          <w:highlight w:val="none"/>
        </w:rPr>
      </w:pPr>
    </w:p>
    <w:p w14:paraId="2028305E">
      <w:pPr>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1FF37E91">
      <w:pPr>
        <w:spacing w:line="360" w:lineRule="auto"/>
        <w:rPr>
          <w:rFonts w:hint="eastAsia" w:ascii="宋体" w:hAnsi="宋体" w:cs="宋体"/>
          <w:b/>
          <w:bCs/>
          <w:color w:val="auto"/>
          <w:sz w:val="32"/>
          <w:szCs w:val="32"/>
          <w:highlight w:val="none"/>
        </w:rPr>
      </w:pPr>
    </w:p>
    <w:p w14:paraId="10B46EB2">
      <w:pPr>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5E60C53E">
      <w:pPr>
        <w:spacing w:line="360" w:lineRule="auto"/>
        <w:rPr>
          <w:rFonts w:hint="eastAsia" w:ascii="宋体" w:hAnsi="宋体" w:cs="宋体"/>
          <w:b/>
          <w:bCs/>
          <w:color w:val="auto"/>
          <w:sz w:val="32"/>
          <w:szCs w:val="32"/>
          <w:highlight w:val="none"/>
        </w:rPr>
      </w:pPr>
    </w:p>
    <w:p w14:paraId="043E4DE8">
      <w:pPr>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0BCAF15E">
      <w:pPr>
        <w:spacing w:line="360" w:lineRule="auto"/>
        <w:ind w:firstLine="1751" w:firstLineChars="545"/>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  应  商：</w:t>
      </w:r>
      <w:r>
        <w:rPr>
          <w:rFonts w:hint="eastAsia" w:ascii="宋体" w:hAnsi="宋体" w:cs="宋体"/>
          <w:b/>
          <w:bCs/>
          <w:color w:val="auto"/>
          <w:sz w:val="32"/>
          <w:szCs w:val="32"/>
          <w:highlight w:val="none"/>
          <w:u w:val="single"/>
        </w:rPr>
        <w:t xml:space="preserve">                 （盖公章） </w:t>
      </w:r>
    </w:p>
    <w:p w14:paraId="589A009F">
      <w:pPr>
        <w:spacing w:line="360" w:lineRule="auto"/>
        <w:ind w:firstLine="1751" w:firstLineChars="545"/>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供应商地址：</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 xml:space="preserve">  </w:t>
      </w:r>
    </w:p>
    <w:p w14:paraId="370D4241">
      <w:pPr>
        <w:spacing w:line="360" w:lineRule="auto"/>
        <w:jc w:val="center"/>
        <w:rPr>
          <w:rFonts w:hint="eastAsia" w:ascii="宋体" w:hAnsi="宋体" w:cs="宋体"/>
          <w:b/>
          <w:bCs/>
          <w:color w:val="auto"/>
          <w:sz w:val="32"/>
          <w:szCs w:val="32"/>
          <w:highlight w:val="none"/>
        </w:rPr>
      </w:pPr>
    </w:p>
    <w:p w14:paraId="3A18E096">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年  月  日</w:t>
      </w:r>
    </w:p>
    <w:p w14:paraId="62964B76">
      <w:pPr>
        <w:pageBreakBefore/>
        <w:spacing w:line="520" w:lineRule="exact"/>
        <w:rPr>
          <w:rFonts w:hint="eastAsia" w:ascii="宋体" w:hAnsi="宋体" w:cs="宋体"/>
          <w:b/>
          <w:color w:val="auto"/>
          <w:highlight w:val="none"/>
        </w:rPr>
      </w:pPr>
      <w:r>
        <w:rPr>
          <w:rFonts w:hint="eastAsia" w:ascii="宋体" w:hAnsi="宋体" w:cs="宋体"/>
          <w:b/>
          <w:color w:val="auto"/>
          <w:highlight w:val="none"/>
        </w:rPr>
        <w:t>二、附  件</w:t>
      </w:r>
    </w:p>
    <w:p w14:paraId="18D35B63">
      <w:pPr>
        <w:spacing w:line="520" w:lineRule="exact"/>
        <w:rPr>
          <w:rFonts w:hint="eastAsia" w:ascii="宋体" w:hAnsi="宋体" w:cs="宋体"/>
          <w:color w:val="auto"/>
          <w:highlight w:val="none"/>
        </w:rPr>
      </w:pPr>
      <w:r>
        <w:rPr>
          <w:rFonts w:hint="eastAsia" w:ascii="宋体" w:hAnsi="宋体" w:cs="宋体"/>
          <w:color w:val="auto"/>
          <w:highlight w:val="none"/>
        </w:rPr>
        <w:t xml:space="preserve">附件一 </w:t>
      </w:r>
    </w:p>
    <w:p w14:paraId="5E9C331A">
      <w:pPr>
        <w:spacing w:line="400" w:lineRule="exact"/>
        <w:jc w:val="center"/>
        <w:rPr>
          <w:rFonts w:hint="eastAsia" w:ascii="宋体" w:hAnsi="宋体" w:cs="宋体"/>
          <w:b/>
          <w:color w:val="auto"/>
          <w:sz w:val="21"/>
          <w:highlight w:val="none"/>
        </w:rPr>
      </w:pPr>
      <w:r>
        <w:rPr>
          <w:rFonts w:hint="eastAsia" w:ascii="宋体" w:hAnsi="宋体" w:cs="宋体"/>
          <w:b/>
          <w:color w:val="auto"/>
          <w:sz w:val="21"/>
          <w:highlight w:val="none"/>
        </w:rPr>
        <w:t>磋 商 书</w:t>
      </w:r>
    </w:p>
    <w:p w14:paraId="16CB1989">
      <w:pPr>
        <w:spacing w:line="400" w:lineRule="exact"/>
        <w:ind w:firstLine="420" w:firstLineChars="200"/>
        <w:rPr>
          <w:rFonts w:hint="eastAsia" w:ascii="宋体" w:hAnsi="宋体" w:cs="宋体"/>
          <w:color w:val="auto"/>
          <w:highlight w:val="none"/>
        </w:rPr>
      </w:pPr>
    </w:p>
    <w:p w14:paraId="550EE16E">
      <w:pPr>
        <w:spacing w:line="400" w:lineRule="exact"/>
        <w:rPr>
          <w:rFonts w:hint="eastAsia" w:ascii="宋体" w:hAnsi="宋体" w:cs="宋体"/>
          <w:color w:val="auto"/>
          <w:highlight w:val="none"/>
        </w:rPr>
      </w:pPr>
      <w:r>
        <w:rPr>
          <w:rFonts w:hint="eastAsia" w:ascii="宋体" w:hAnsi="宋体" w:cs="宋体"/>
          <w:color w:val="auto"/>
          <w:highlight w:val="none"/>
        </w:rPr>
        <w:t>广西壮族自治区政府采购中心：</w:t>
      </w:r>
    </w:p>
    <w:p w14:paraId="40E36C2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依据贵方（项目名称/项目编号）项目政府采购的磋商采购文件，我方（姓名和职务）经正式授权并代表本单位（供应商名称、地址）提交下述竞争性磋商响应文件（价格文件、商务技术文件）。</w:t>
      </w:r>
    </w:p>
    <w:p w14:paraId="27BEEC45">
      <w:pPr>
        <w:spacing w:line="400" w:lineRule="exact"/>
        <w:ind w:firstLine="420" w:firstLineChars="200"/>
        <w:rPr>
          <w:rFonts w:hint="eastAsia" w:ascii="宋体" w:hAnsi="宋体" w:cs="宋体"/>
          <w:color w:val="auto"/>
          <w:highlight w:val="none"/>
        </w:rPr>
      </w:pPr>
    </w:p>
    <w:p w14:paraId="3E8832B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 报价表；</w:t>
      </w:r>
    </w:p>
    <w:p w14:paraId="6AF325B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 商务、技术响应、偏离情况说明表；</w:t>
      </w:r>
    </w:p>
    <w:p w14:paraId="46B15AC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 资格证明文件；</w:t>
      </w:r>
    </w:p>
    <w:p w14:paraId="3EFCB51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 按竞争性磋商文件供应商须知和采购需求提供的有关文件；</w:t>
      </w:r>
    </w:p>
    <w:p w14:paraId="137E35D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在此，授权代表宣布同意如下：</w:t>
      </w:r>
    </w:p>
    <w:p w14:paraId="7FCEBBD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 将按竞争性磋商文件的约定履行合同责任和义务；</w:t>
      </w:r>
    </w:p>
    <w:p w14:paraId="049B0B3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 已详细审查全部竞争性磋商文件，包括（补遗文件）（如果有的话）；</w:t>
      </w:r>
    </w:p>
    <w:p w14:paraId="488FCD8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 同意提供按照贵方可能要求的与其磋商有关的一切数据或资料；</w:t>
      </w:r>
    </w:p>
    <w:p w14:paraId="2764E28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 与本磋商有关的一切正式往来信函请寄：                       </w:t>
      </w:r>
    </w:p>
    <w:p w14:paraId="4E0C006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开户银行：                           账号/行号：          </w:t>
      </w:r>
    </w:p>
    <w:p w14:paraId="6ECDE7E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电话/传真：                         电子函件：                           </w:t>
      </w:r>
    </w:p>
    <w:p w14:paraId="030805D0">
      <w:pPr>
        <w:spacing w:line="400" w:lineRule="exact"/>
        <w:ind w:firstLine="420" w:firstLineChars="200"/>
        <w:rPr>
          <w:rFonts w:hint="eastAsia" w:ascii="宋体" w:hAnsi="宋体" w:cs="宋体"/>
          <w:color w:val="auto"/>
          <w:highlight w:val="none"/>
        </w:rPr>
      </w:pPr>
    </w:p>
    <w:p w14:paraId="53BDCF8E">
      <w:pPr>
        <w:spacing w:line="400" w:lineRule="exact"/>
        <w:ind w:firstLine="420" w:firstLineChars="200"/>
        <w:rPr>
          <w:rFonts w:hint="eastAsia" w:ascii="宋体" w:hAnsi="宋体" w:cs="宋体"/>
          <w:color w:val="auto"/>
          <w:highlight w:val="none"/>
        </w:rPr>
      </w:pPr>
    </w:p>
    <w:p w14:paraId="75E7B4B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日期：      年   月    日</w:t>
      </w:r>
    </w:p>
    <w:p w14:paraId="74C79717">
      <w:pPr>
        <w:spacing w:line="400" w:lineRule="exact"/>
        <w:ind w:firstLine="420" w:firstLineChars="200"/>
        <w:rPr>
          <w:rFonts w:hint="eastAsia" w:ascii="宋体" w:hAnsi="宋体" w:cs="宋体"/>
          <w:color w:val="auto"/>
          <w:highlight w:val="none"/>
        </w:rPr>
      </w:pPr>
    </w:p>
    <w:p w14:paraId="3C32234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法定代表人(负责人)或委托代理人（被授权人）签字：                       </w:t>
      </w:r>
    </w:p>
    <w:p w14:paraId="51715080">
      <w:pPr>
        <w:spacing w:line="400" w:lineRule="exact"/>
        <w:ind w:firstLine="420" w:firstLineChars="200"/>
        <w:rPr>
          <w:rFonts w:hint="eastAsia" w:ascii="宋体" w:hAnsi="宋体" w:cs="宋体"/>
          <w:color w:val="auto"/>
          <w:highlight w:val="none"/>
        </w:rPr>
      </w:pPr>
    </w:p>
    <w:p w14:paraId="2503F3D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供应商名称（盖章）：                                                               </w:t>
      </w:r>
    </w:p>
    <w:p w14:paraId="1E873B06">
      <w:pPr>
        <w:pStyle w:val="11"/>
        <w:spacing w:line="520" w:lineRule="exact"/>
        <w:ind w:firstLine="840"/>
        <w:rPr>
          <w:rFonts w:hint="eastAsia" w:hAnsi="宋体" w:cs="宋体"/>
          <w:color w:val="auto"/>
          <w:szCs w:val="21"/>
          <w:highlight w:val="none"/>
        </w:rPr>
      </w:pPr>
      <w:r>
        <w:rPr>
          <w:rFonts w:hint="eastAsia" w:hAnsi="宋体" w:cs="宋体"/>
          <w:color w:val="auto"/>
          <w:szCs w:val="21"/>
          <w:highlight w:val="none"/>
        </w:rPr>
        <w:t xml:space="preserve">                     </w:t>
      </w:r>
    </w:p>
    <w:p w14:paraId="30F5F636">
      <w:pPr>
        <w:pageBreakBefore/>
        <w:spacing w:line="500" w:lineRule="exact"/>
        <w:rPr>
          <w:rFonts w:hint="eastAsia" w:ascii="宋体" w:hAnsi="宋体" w:cs="宋体"/>
          <w:color w:val="auto"/>
          <w:highlight w:val="none"/>
        </w:rPr>
      </w:pPr>
      <w:r>
        <w:rPr>
          <w:rFonts w:hint="eastAsia" w:ascii="宋体" w:hAnsi="宋体" w:cs="宋体"/>
          <w:color w:val="auto"/>
          <w:highlight w:val="none"/>
        </w:rPr>
        <w:t xml:space="preserve">附件二             </w:t>
      </w:r>
    </w:p>
    <w:p w14:paraId="64878BFE">
      <w:pPr>
        <w:spacing w:line="500" w:lineRule="exact"/>
        <w:jc w:val="center"/>
        <w:rPr>
          <w:rFonts w:hint="eastAsia" w:ascii="宋体" w:hAnsi="宋体" w:cs="宋体"/>
          <w:b/>
          <w:color w:val="auto"/>
          <w:highlight w:val="none"/>
        </w:rPr>
      </w:pPr>
    </w:p>
    <w:p w14:paraId="16C57E05">
      <w:pPr>
        <w:spacing w:line="500" w:lineRule="exact"/>
        <w:jc w:val="center"/>
        <w:rPr>
          <w:rFonts w:hint="eastAsia" w:ascii="宋体" w:hAnsi="宋体" w:cs="宋体"/>
          <w:b/>
          <w:color w:val="auto"/>
          <w:highlight w:val="none"/>
        </w:rPr>
      </w:pPr>
      <w:r>
        <w:rPr>
          <w:rFonts w:hint="eastAsia" w:ascii="宋体" w:hAnsi="宋体" w:cs="宋体"/>
          <w:b/>
          <w:color w:val="auto"/>
          <w:highlight w:val="none"/>
        </w:rPr>
        <w:t>报  价  表</w:t>
      </w:r>
    </w:p>
    <w:p w14:paraId="3692AF91">
      <w:pPr>
        <w:spacing w:line="500" w:lineRule="exact"/>
        <w:rPr>
          <w:rFonts w:hint="eastAsia" w:ascii="宋体" w:hAnsi="宋体" w:cs="宋体"/>
          <w:color w:val="auto"/>
          <w:highlight w:val="none"/>
          <w:u w:val="single"/>
        </w:rPr>
      </w:pPr>
      <w:r>
        <w:rPr>
          <w:rFonts w:hint="eastAsia" w:ascii="宋体" w:hAnsi="宋体" w:cs="宋体"/>
          <w:color w:val="auto"/>
          <w:highlight w:val="none"/>
        </w:rPr>
        <w:t>采购项目编号:</w:t>
      </w:r>
      <w:r>
        <w:rPr>
          <w:rFonts w:hint="eastAsia" w:ascii="宋体" w:hAnsi="宋体" w:cs="宋体"/>
          <w:color w:val="auto"/>
          <w:highlight w:val="none"/>
          <w:u w:val="single"/>
        </w:rPr>
        <w:t xml:space="preserve">                 </w:t>
      </w:r>
    </w:p>
    <w:p w14:paraId="1C0448FA">
      <w:pPr>
        <w:spacing w:line="500" w:lineRule="exact"/>
        <w:rPr>
          <w:rFonts w:hint="eastAsia" w:ascii="宋体" w:hAnsi="宋体" w:cs="宋体"/>
          <w:color w:val="auto"/>
          <w:highlight w:val="none"/>
        </w:rPr>
      </w:pPr>
      <w:r>
        <w:rPr>
          <w:rFonts w:hint="eastAsia" w:ascii="宋体" w:hAnsi="宋体" w:cs="宋体"/>
          <w:color w:val="auto"/>
          <w:highlight w:val="none"/>
        </w:rPr>
        <w:t>采购项目名称: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69F93561">
      <w:pPr>
        <w:spacing w:line="460" w:lineRule="exact"/>
        <w:rPr>
          <w:rFonts w:hint="eastAsia" w:ascii="宋体" w:hAnsi="宋体" w:cs="宋体"/>
          <w:b/>
          <w:color w:val="auto"/>
          <w:highlight w:val="none"/>
        </w:rPr>
      </w:pPr>
      <w:r>
        <w:rPr>
          <w:rFonts w:hint="eastAsia" w:ascii="宋体" w:hAnsi="宋体" w:cs="宋体"/>
          <w:b/>
          <w:color w:val="auto"/>
          <w:highlight w:val="none"/>
          <w:u w:val="single"/>
        </w:rPr>
        <w:t>本项目</w:t>
      </w:r>
    </w:p>
    <w:tbl>
      <w:tblPr>
        <w:tblStyle w:val="2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7"/>
        <w:gridCol w:w="2560"/>
        <w:gridCol w:w="2505"/>
        <w:gridCol w:w="1552"/>
      </w:tblGrid>
      <w:tr w14:paraId="2A9E4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14:paraId="39106CE1">
            <w:pPr>
              <w:jc w:val="center"/>
              <w:rPr>
                <w:rFonts w:hint="eastAsia" w:ascii="宋体" w:hAnsi="宋体" w:cs="宋体"/>
                <w:color w:val="auto"/>
                <w:highlight w:val="none"/>
              </w:rPr>
            </w:pPr>
            <w:r>
              <w:rPr>
                <w:rFonts w:hint="eastAsia" w:ascii="宋体" w:hAnsi="宋体" w:cs="宋体"/>
                <w:color w:val="auto"/>
                <w:highlight w:val="none"/>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14:paraId="0F73B96E">
            <w:pPr>
              <w:jc w:val="center"/>
              <w:rPr>
                <w:rFonts w:hint="eastAsia" w:ascii="宋体" w:hAnsi="宋体" w:cs="宋体"/>
                <w:color w:val="auto"/>
                <w:highlight w:val="none"/>
              </w:rPr>
            </w:pPr>
            <w:r>
              <w:rPr>
                <w:rFonts w:hint="eastAsia" w:ascii="宋体" w:hAnsi="宋体" w:cs="宋体"/>
                <w:color w:val="auto"/>
                <w:highlight w:val="none"/>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14:paraId="3CD5103B">
            <w:pPr>
              <w:jc w:val="center"/>
              <w:rPr>
                <w:rFonts w:hint="eastAsia" w:ascii="宋体" w:hAnsi="宋体" w:cs="宋体"/>
                <w:color w:val="auto"/>
                <w:highlight w:val="none"/>
              </w:rPr>
            </w:pPr>
            <w:r>
              <w:rPr>
                <w:rFonts w:hint="eastAsia" w:ascii="宋体" w:hAnsi="宋体" w:cs="宋体"/>
                <w:color w:val="auto"/>
                <w:highlight w:val="none"/>
              </w:rPr>
              <w:t>报  价（元）</w:t>
            </w:r>
          </w:p>
        </w:tc>
        <w:tc>
          <w:tcPr>
            <w:tcW w:w="1552" w:type="dxa"/>
            <w:tcBorders>
              <w:top w:val="single" w:color="auto" w:sz="4" w:space="0"/>
              <w:left w:val="single" w:color="auto" w:sz="4" w:space="0"/>
              <w:bottom w:val="single" w:color="auto" w:sz="4" w:space="0"/>
              <w:right w:val="single" w:color="auto" w:sz="4" w:space="0"/>
            </w:tcBorders>
            <w:vAlign w:val="center"/>
          </w:tcPr>
          <w:p w14:paraId="7B8C06A6">
            <w:pPr>
              <w:jc w:val="center"/>
              <w:rPr>
                <w:rFonts w:hint="eastAsia" w:ascii="宋体" w:hAnsi="宋体" w:cs="宋体"/>
                <w:color w:val="auto"/>
                <w:highlight w:val="none"/>
              </w:rPr>
            </w:pPr>
            <w:r>
              <w:rPr>
                <w:rFonts w:hint="eastAsia" w:ascii="宋体" w:hAnsi="宋体" w:cs="宋体"/>
                <w:color w:val="auto"/>
                <w:highlight w:val="none"/>
              </w:rPr>
              <w:t>说      明</w:t>
            </w:r>
          </w:p>
        </w:tc>
      </w:tr>
      <w:tr w14:paraId="7679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4" w:hRule="atLeast"/>
        </w:trPr>
        <w:tc>
          <w:tcPr>
            <w:tcW w:w="2847" w:type="dxa"/>
            <w:tcBorders>
              <w:top w:val="single" w:color="auto" w:sz="4" w:space="0"/>
              <w:left w:val="single" w:color="auto" w:sz="4" w:space="0"/>
              <w:bottom w:val="single" w:color="auto" w:sz="4" w:space="0"/>
              <w:right w:val="single" w:color="auto" w:sz="4" w:space="0"/>
            </w:tcBorders>
            <w:vAlign w:val="center"/>
          </w:tcPr>
          <w:p w14:paraId="2EA512BA">
            <w:pPr>
              <w:rPr>
                <w:rFonts w:hint="eastAsia" w:ascii="宋体" w:hAnsi="宋体" w:cs="宋体"/>
                <w:color w:val="auto"/>
                <w:highlight w:val="none"/>
              </w:rPr>
            </w:pPr>
            <w:r>
              <w:rPr>
                <w:rFonts w:hint="eastAsia" w:ascii="宋体" w:hAnsi="宋体" w:cs="宋体"/>
                <w:color w:val="auto"/>
                <w:highlight w:val="none"/>
              </w:rPr>
              <w:t xml:space="preserve"> </w:t>
            </w:r>
          </w:p>
        </w:tc>
        <w:tc>
          <w:tcPr>
            <w:tcW w:w="2560" w:type="dxa"/>
            <w:tcBorders>
              <w:top w:val="single" w:color="auto" w:sz="4" w:space="0"/>
              <w:left w:val="single" w:color="auto" w:sz="4" w:space="0"/>
              <w:bottom w:val="single" w:color="auto" w:sz="4" w:space="0"/>
              <w:right w:val="single" w:color="auto" w:sz="4" w:space="0"/>
            </w:tcBorders>
            <w:vAlign w:val="center"/>
          </w:tcPr>
          <w:p w14:paraId="409C885F">
            <w:pPr>
              <w:rPr>
                <w:rFonts w:hint="eastAsia" w:ascii="宋体" w:hAnsi="宋体" w:cs="宋体"/>
                <w:color w:val="auto"/>
                <w:highlight w:val="none"/>
              </w:rPr>
            </w:pPr>
          </w:p>
        </w:tc>
        <w:tc>
          <w:tcPr>
            <w:tcW w:w="2505" w:type="dxa"/>
            <w:tcBorders>
              <w:top w:val="single" w:color="auto" w:sz="4" w:space="0"/>
              <w:left w:val="single" w:color="auto" w:sz="4" w:space="0"/>
              <w:bottom w:val="single" w:color="auto" w:sz="4" w:space="0"/>
              <w:right w:val="single" w:color="auto" w:sz="4" w:space="0"/>
            </w:tcBorders>
            <w:vAlign w:val="center"/>
          </w:tcPr>
          <w:p w14:paraId="32FFD5D2">
            <w:pPr>
              <w:rPr>
                <w:rFonts w:hint="eastAsia" w:ascii="宋体" w:hAnsi="宋体" w:cs="宋体"/>
                <w:color w:val="auto"/>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14:paraId="7EF8927C">
            <w:pPr>
              <w:rPr>
                <w:rFonts w:hint="eastAsia" w:ascii="宋体" w:hAnsi="宋体" w:cs="宋体"/>
                <w:color w:val="auto"/>
                <w:highlight w:val="none"/>
              </w:rPr>
            </w:pPr>
          </w:p>
        </w:tc>
      </w:tr>
      <w:tr w14:paraId="733A0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4" w:hRule="atLeast"/>
        </w:trPr>
        <w:tc>
          <w:tcPr>
            <w:tcW w:w="5407" w:type="dxa"/>
            <w:gridSpan w:val="2"/>
            <w:tcBorders>
              <w:top w:val="single" w:color="auto" w:sz="4" w:space="0"/>
              <w:left w:val="single" w:color="auto" w:sz="4" w:space="0"/>
              <w:bottom w:val="single" w:color="auto" w:sz="4" w:space="0"/>
              <w:right w:val="single" w:color="auto" w:sz="4" w:space="0"/>
            </w:tcBorders>
            <w:vAlign w:val="center"/>
          </w:tcPr>
          <w:p w14:paraId="20BE8ABE">
            <w:pPr>
              <w:jc w:val="center"/>
              <w:rPr>
                <w:rFonts w:hint="eastAsia" w:ascii="宋体" w:hAnsi="宋体" w:cs="宋体"/>
                <w:color w:val="auto"/>
                <w:highlight w:val="none"/>
              </w:rPr>
            </w:pPr>
            <w:r>
              <w:rPr>
                <w:rFonts w:hint="eastAsia" w:ascii="宋体" w:hAnsi="宋体" w:cs="宋体"/>
                <w:color w:val="auto"/>
                <w:highlight w:val="none"/>
              </w:rPr>
              <w:t>合计</w:t>
            </w:r>
          </w:p>
        </w:tc>
        <w:tc>
          <w:tcPr>
            <w:tcW w:w="2505" w:type="dxa"/>
            <w:tcBorders>
              <w:top w:val="single" w:color="auto" w:sz="4" w:space="0"/>
              <w:left w:val="single" w:color="auto" w:sz="4" w:space="0"/>
              <w:bottom w:val="single" w:color="auto" w:sz="4" w:space="0"/>
              <w:right w:val="single" w:color="auto" w:sz="4" w:space="0"/>
            </w:tcBorders>
            <w:vAlign w:val="center"/>
          </w:tcPr>
          <w:p w14:paraId="4C3C067C">
            <w:pPr>
              <w:jc w:val="center"/>
              <w:rPr>
                <w:rFonts w:hint="eastAsia" w:ascii="宋体" w:hAnsi="宋体" w:cs="宋体"/>
                <w:color w:val="auto"/>
                <w:highlight w:val="none"/>
              </w:rPr>
            </w:pPr>
          </w:p>
        </w:tc>
        <w:tc>
          <w:tcPr>
            <w:tcW w:w="1552" w:type="dxa"/>
            <w:tcBorders>
              <w:top w:val="single" w:color="auto" w:sz="4" w:space="0"/>
              <w:left w:val="single" w:color="auto" w:sz="4" w:space="0"/>
              <w:bottom w:val="single" w:color="auto" w:sz="4" w:space="0"/>
              <w:right w:val="single" w:color="auto" w:sz="4" w:space="0"/>
            </w:tcBorders>
            <w:vAlign w:val="center"/>
          </w:tcPr>
          <w:p w14:paraId="4C68A639">
            <w:pPr>
              <w:jc w:val="center"/>
              <w:rPr>
                <w:rFonts w:hint="eastAsia" w:ascii="宋体" w:hAnsi="宋体" w:cs="宋体"/>
                <w:color w:val="auto"/>
                <w:highlight w:val="none"/>
              </w:rPr>
            </w:pPr>
          </w:p>
        </w:tc>
      </w:tr>
      <w:tr w14:paraId="35787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14:paraId="7DD01AAC">
            <w:pPr>
              <w:rPr>
                <w:rFonts w:hint="eastAsia" w:ascii="宋体" w:hAnsi="宋体" w:cs="宋体"/>
                <w:color w:val="auto"/>
                <w:highlight w:val="none"/>
              </w:rPr>
            </w:pPr>
            <w:r>
              <w:rPr>
                <w:rFonts w:hint="eastAsia" w:ascii="宋体" w:hAnsi="宋体" w:cs="宋体"/>
                <w:color w:val="auto"/>
                <w:highlight w:val="none"/>
              </w:rPr>
              <w:t>总报价（人民币大写）：                                       （￥                       元）</w:t>
            </w:r>
          </w:p>
        </w:tc>
      </w:tr>
    </w:tbl>
    <w:p w14:paraId="55A6C490">
      <w:pPr>
        <w:autoSpaceDE w:val="0"/>
        <w:autoSpaceDN w:val="0"/>
        <w:outlineLvl w:val="0"/>
        <w:rPr>
          <w:rFonts w:hint="eastAsia" w:ascii="宋体" w:hAnsi="宋体" w:cs="宋体"/>
          <w:b/>
          <w:color w:val="auto"/>
          <w:kern w:val="0"/>
          <w:highlight w:val="none"/>
        </w:rPr>
      </w:pPr>
    </w:p>
    <w:p w14:paraId="5FC11695">
      <w:pPr>
        <w:spacing w:line="374" w:lineRule="atLeast"/>
        <w:rPr>
          <w:rFonts w:hint="eastAsia" w:ascii="宋体" w:hAnsi="宋体" w:cs="宋体"/>
          <w:color w:val="auto"/>
          <w:highlight w:val="none"/>
        </w:rPr>
      </w:pPr>
      <w:r>
        <w:rPr>
          <w:rFonts w:hint="eastAsia" w:ascii="宋体" w:hAnsi="宋体" w:cs="宋体"/>
          <w:color w:val="auto"/>
          <w:highlight w:val="none"/>
        </w:rPr>
        <w:t>注：</w:t>
      </w:r>
    </w:p>
    <w:p w14:paraId="5E21F582">
      <w:pPr>
        <w:spacing w:line="400" w:lineRule="exact"/>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bCs/>
          <w:color w:val="auto"/>
          <w:highlight w:val="none"/>
        </w:rPr>
        <w:t>．</w:t>
      </w:r>
      <w:r>
        <w:rPr>
          <w:rFonts w:hint="eastAsia" w:ascii="宋体" w:hAnsi="宋体" w:cs="宋体"/>
          <w:color w:val="auto"/>
          <w:highlight w:val="none"/>
        </w:rPr>
        <w:t>报价为完成项目需求所有内容的总报价，总价包干，成交人在实施中不得以任何理由要求采购人变更总价。</w:t>
      </w:r>
    </w:p>
    <w:p w14:paraId="54ECF565">
      <w:pPr>
        <w:spacing w:line="500" w:lineRule="exact"/>
        <w:ind w:firstLine="831" w:firstLineChars="396"/>
        <w:rPr>
          <w:rFonts w:hint="eastAsia" w:ascii="宋体" w:hAnsi="宋体" w:cs="宋体"/>
          <w:bCs/>
          <w:color w:val="auto"/>
          <w:highlight w:val="none"/>
        </w:rPr>
      </w:pPr>
    </w:p>
    <w:p w14:paraId="3739EBCC">
      <w:pPr>
        <w:spacing w:line="500" w:lineRule="exact"/>
        <w:ind w:firstLine="831" w:firstLineChars="396"/>
        <w:rPr>
          <w:rFonts w:hint="eastAsia" w:ascii="宋体" w:hAnsi="宋体" w:cs="宋体"/>
          <w:bCs/>
          <w:color w:val="auto"/>
          <w:highlight w:val="none"/>
        </w:rPr>
      </w:pPr>
    </w:p>
    <w:p w14:paraId="76474C6F">
      <w:pPr>
        <w:pStyle w:val="11"/>
        <w:spacing w:line="500" w:lineRule="exact"/>
        <w:ind w:firstLine="420" w:firstLineChars="200"/>
        <w:rPr>
          <w:rFonts w:hint="eastAsia" w:hAnsi="宋体" w:cs="宋体"/>
          <w:color w:val="auto"/>
          <w:szCs w:val="21"/>
          <w:highlight w:val="none"/>
          <w:u w:val="single"/>
        </w:rPr>
      </w:pPr>
      <w:r>
        <w:rPr>
          <w:rFonts w:hint="eastAsia" w:hAnsi="宋体" w:cs="宋体"/>
          <w:color w:val="auto"/>
          <w:szCs w:val="21"/>
          <w:highlight w:val="none"/>
        </w:rPr>
        <w:t>法定代表人或委托代理人（签字）:</w:t>
      </w:r>
      <w:r>
        <w:rPr>
          <w:rFonts w:hint="eastAsia" w:hAnsi="宋体" w:cs="宋体"/>
          <w:color w:val="auto"/>
          <w:szCs w:val="21"/>
          <w:highlight w:val="none"/>
          <w:u w:val="single"/>
        </w:rPr>
        <w:t xml:space="preserve">              </w:t>
      </w:r>
    </w:p>
    <w:p w14:paraId="22819349">
      <w:pPr>
        <w:pStyle w:val="11"/>
        <w:spacing w:line="500" w:lineRule="exact"/>
        <w:ind w:firstLine="420" w:firstLineChars="200"/>
        <w:rPr>
          <w:rFonts w:hint="eastAsia" w:hAnsi="宋体" w:cs="宋体"/>
          <w:color w:val="auto"/>
          <w:szCs w:val="21"/>
          <w:highlight w:val="none"/>
          <w:u w:val="single"/>
        </w:rPr>
      </w:pPr>
      <w:r>
        <w:rPr>
          <w:rFonts w:hint="eastAsia" w:hAnsi="宋体" w:cs="宋体"/>
          <w:color w:val="auto"/>
          <w:szCs w:val="21"/>
          <w:highlight w:val="none"/>
        </w:rPr>
        <w:t>磋商人名称（盖章）：</w:t>
      </w:r>
      <w:r>
        <w:rPr>
          <w:rFonts w:hint="eastAsia" w:hAnsi="宋体" w:cs="宋体"/>
          <w:color w:val="auto"/>
          <w:szCs w:val="21"/>
          <w:highlight w:val="none"/>
          <w:u w:val="single"/>
        </w:rPr>
        <w:t xml:space="preserve">       </w:t>
      </w:r>
    </w:p>
    <w:p w14:paraId="732F2AC4">
      <w:pPr>
        <w:spacing w:line="500" w:lineRule="exact"/>
        <w:ind w:firstLine="420" w:firstLineChars="200"/>
        <w:rPr>
          <w:rFonts w:hint="eastAsia" w:ascii="宋体" w:hAnsi="宋体" w:cs="宋体"/>
          <w:color w:val="auto"/>
          <w:highlight w:val="none"/>
        </w:rPr>
      </w:pPr>
      <w:r>
        <w:rPr>
          <w:rFonts w:hint="eastAsia" w:ascii="宋体" w:hAnsi="宋体" w:cs="宋体"/>
          <w:color w:val="auto"/>
          <w:highlight w:val="none"/>
        </w:rPr>
        <w:t>报价时间：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38B2D42C">
      <w:pPr>
        <w:spacing w:line="500" w:lineRule="exact"/>
        <w:ind w:firstLine="420"/>
        <w:rPr>
          <w:rFonts w:hint="eastAsia" w:ascii="宋体" w:hAnsi="宋体" w:cs="宋体"/>
          <w:color w:val="auto"/>
          <w:highlight w:val="none"/>
        </w:rPr>
      </w:pPr>
    </w:p>
    <w:p w14:paraId="33E153F2">
      <w:pPr>
        <w:spacing w:line="500" w:lineRule="exact"/>
        <w:ind w:firstLine="420"/>
        <w:rPr>
          <w:rFonts w:hint="eastAsia" w:ascii="宋体" w:hAnsi="宋体" w:cs="宋体"/>
          <w:color w:val="auto"/>
          <w:highlight w:val="none"/>
        </w:rPr>
      </w:pPr>
    </w:p>
    <w:p w14:paraId="389843B9">
      <w:pPr>
        <w:pageBreakBefore/>
        <w:spacing w:line="300" w:lineRule="auto"/>
        <w:ind w:left="-88" w:leftChars="-42"/>
        <w:rPr>
          <w:rFonts w:hint="eastAsia" w:ascii="宋体" w:hAnsi="宋体" w:cs="宋体"/>
          <w:color w:val="auto"/>
          <w:highlight w:val="none"/>
        </w:rPr>
      </w:pPr>
      <w:r>
        <w:rPr>
          <w:rFonts w:hint="eastAsia" w:ascii="宋体" w:hAnsi="宋体" w:cs="宋体"/>
          <w:color w:val="auto"/>
          <w:highlight w:val="none"/>
        </w:rPr>
        <w:t xml:space="preserve">附件三  </w:t>
      </w:r>
    </w:p>
    <w:p w14:paraId="332A7E60">
      <w:pPr>
        <w:spacing w:line="300" w:lineRule="auto"/>
        <w:rPr>
          <w:rFonts w:hint="eastAsia" w:ascii="宋体" w:hAnsi="宋体" w:cs="宋体"/>
          <w:b/>
          <w:color w:val="auto"/>
          <w:highlight w:val="none"/>
        </w:rPr>
      </w:pPr>
    </w:p>
    <w:p w14:paraId="1E6A4D98">
      <w:pPr>
        <w:spacing w:line="300" w:lineRule="auto"/>
        <w:jc w:val="center"/>
        <w:rPr>
          <w:rFonts w:hint="eastAsia" w:ascii="宋体" w:hAnsi="宋体" w:cs="宋体"/>
          <w:b/>
          <w:color w:val="auto"/>
          <w:highlight w:val="none"/>
        </w:rPr>
      </w:pPr>
      <w:r>
        <w:rPr>
          <w:rFonts w:hint="eastAsia" w:ascii="宋体" w:hAnsi="宋体" w:cs="宋体"/>
          <w:b/>
          <w:color w:val="auto"/>
          <w:highlight w:val="none"/>
        </w:rPr>
        <w:t>商务、技术响应、偏离情况说明表</w:t>
      </w:r>
    </w:p>
    <w:p w14:paraId="43E67D6B">
      <w:pPr>
        <w:spacing w:line="300" w:lineRule="auto"/>
        <w:rPr>
          <w:rFonts w:hint="eastAsia" w:ascii="宋体" w:hAnsi="宋体" w:cs="宋体"/>
          <w:color w:val="auto"/>
          <w:highlight w:val="none"/>
        </w:rPr>
      </w:pPr>
    </w:p>
    <w:p w14:paraId="463376BF">
      <w:pPr>
        <w:spacing w:line="500" w:lineRule="exact"/>
        <w:rPr>
          <w:rFonts w:hint="eastAsia" w:ascii="宋体" w:hAnsi="宋体" w:cs="宋体"/>
          <w:color w:val="auto"/>
          <w:highlight w:val="none"/>
          <w:u w:val="singl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p>
    <w:p w14:paraId="79E2895C">
      <w:pPr>
        <w:spacing w:line="500" w:lineRule="exact"/>
        <w:rPr>
          <w:rFonts w:hint="eastAsia"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06DDC47E">
      <w:pPr>
        <w:spacing w:line="500" w:lineRule="exact"/>
        <w:rPr>
          <w:rFonts w:hint="eastAsia" w:ascii="宋体" w:hAnsi="宋体" w:cs="宋体"/>
          <w:b/>
          <w:color w:val="auto"/>
          <w:highlight w:val="none"/>
        </w:rPr>
      </w:pPr>
    </w:p>
    <w:tbl>
      <w:tblPr>
        <w:tblStyle w:val="22"/>
        <w:tblW w:w="0" w:type="auto"/>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648"/>
        <w:gridCol w:w="2931"/>
        <w:gridCol w:w="3087"/>
        <w:gridCol w:w="1535"/>
        <w:gridCol w:w="1427"/>
      </w:tblGrid>
      <w:tr w14:paraId="4269745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vAlign w:val="center"/>
          </w:tcPr>
          <w:p w14:paraId="03A5928F">
            <w:pPr>
              <w:ind w:right="-107" w:rightChars="-51"/>
              <w:rPr>
                <w:rFonts w:hint="eastAsia" w:ascii="宋体" w:hAnsi="宋体" w:cs="宋体"/>
                <w:color w:val="auto"/>
                <w:highlight w:val="none"/>
              </w:rPr>
            </w:pPr>
            <w:r>
              <w:rPr>
                <w:rFonts w:hint="eastAsia" w:ascii="宋体" w:hAnsi="宋体" w:cs="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vAlign w:val="center"/>
          </w:tcPr>
          <w:p w14:paraId="7316A534">
            <w:pPr>
              <w:rPr>
                <w:rFonts w:hint="eastAsia" w:ascii="宋体" w:hAnsi="宋体" w:cs="宋体"/>
                <w:color w:val="auto"/>
                <w:highlight w:val="none"/>
              </w:rPr>
            </w:pPr>
            <w:bookmarkStart w:id="18" w:name="_Toc173211901"/>
            <w:bookmarkStart w:id="19" w:name="_Toc254970589"/>
            <w:bookmarkStart w:id="20" w:name="_Toc173066402"/>
            <w:bookmarkStart w:id="21" w:name="_Toc254970730"/>
            <w:r>
              <w:rPr>
                <w:rFonts w:hint="eastAsia" w:ascii="宋体" w:hAnsi="宋体" w:cs="宋体"/>
                <w:color w:val="auto"/>
                <w:highlight w:val="none"/>
              </w:rPr>
              <w:t>竞争性磋商文件要求</w:t>
            </w:r>
            <w:bookmarkEnd w:id="18"/>
            <w:bookmarkEnd w:id="19"/>
            <w:bookmarkEnd w:id="20"/>
            <w:bookmarkEnd w:id="21"/>
          </w:p>
        </w:tc>
        <w:tc>
          <w:tcPr>
            <w:tcW w:w="3087" w:type="dxa"/>
            <w:tcBorders>
              <w:top w:val="single" w:color="auto" w:sz="4" w:space="0"/>
              <w:left w:val="single" w:color="auto" w:sz="6" w:space="0"/>
              <w:bottom w:val="single" w:color="auto" w:sz="6" w:space="0"/>
              <w:right w:val="single" w:color="auto" w:sz="6" w:space="0"/>
            </w:tcBorders>
            <w:vAlign w:val="center"/>
          </w:tcPr>
          <w:p w14:paraId="725463F8">
            <w:pPr>
              <w:rPr>
                <w:rFonts w:hint="eastAsia" w:ascii="宋体" w:hAnsi="宋体" w:cs="宋体"/>
                <w:color w:val="auto"/>
                <w:highlight w:val="none"/>
              </w:rPr>
            </w:pPr>
            <w:bookmarkStart w:id="22" w:name="_Toc254970590"/>
            <w:bookmarkStart w:id="23" w:name="_Toc173211902"/>
            <w:bookmarkStart w:id="24" w:name="_Toc173066403"/>
            <w:bookmarkStart w:id="25" w:name="_Toc254970731"/>
            <w:r>
              <w:rPr>
                <w:rFonts w:hint="eastAsia" w:ascii="宋体" w:hAnsi="宋体" w:cs="宋体"/>
                <w:color w:val="auto"/>
                <w:highlight w:val="none"/>
              </w:rPr>
              <w:t>竞争性磋商响应文件具体响应</w:t>
            </w:r>
            <w:bookmarkEnd w:id="22"/>
            <w:bookmarkEnd w:id="23"/>
            <w:bookmarkEnd w:id="24"/>
            <w:bookmarkEnd w:id="25"/>
          </w:p>
        </w:tc>
        <w:tc>
          <w:tcPr>
            <w:tcW w:w="1535" w:type="dxa"/>
            <w:tcBorders>
              <w:top w:val="single" w:color="auto" w:sz="4" w:space="0"/>
              <w:left w:val="single" w:color="auto" w:sz="6" w:space="0"/>
              <w:bottom w:val="single" w:color="auto" w:sz="6" w:space="0"/>
              <w:right w:val="single" w:color="auto" w:sz="6" w:space="0"/>
            </w:tcBorders>
            <w:vAlign w:val="center"/>
          </w:tcPr>
          <w:p w14:paraId="2FF0F7C6">
            <w:pPr>
              <w:rPr>
                <w:rFonts w:hint="eastAsia" w:ascii="宋体" w:hAnsi="宋体" w:cs="宋体"/>
                <w:color w:val="auto"/>
                <w:highlight w:val="none"/>
              </w:rPr>
            </w:pPr>
            <w:bookmarkStart w:id="26" w:name="_Toc254970732"/>
            <w:bookmarkStart w:id="27" w:name="_Toc173066404"/>
            <w:bookmarkStart w:id="28" w:name="_Toc173211903"/>
            <w:bookmarkStart w:id="29" w:name="_Toc254970591"/>
            <w:r>
              <w:rPr>
                <w:rFonts w:hint="eastAsia" w:ascii="宋体" w:hAnsi="宋体" w:cs="宋体"/>
                <w:color w:val="auto"/>
                <w:highlight w:val="none"/>
              </w:rPr>
              <w:t>响应/偏离</w:t>
            </w:r>
            <w:bookmarkEnd w:id="26"/>
            <w:bookmarkEnd w:id="27"/>
            <w:bookmarkEnd w:id="28"/>
            <w:bookmarkEnd w:id="29"/>
          </w:p>
        </w:tc>
        <w:tc>
          <w:tcPr>
            <w:tcW w:w="1427" w:type="dxa"/>
            <w:tcBorders>
              <w:top w:val="single" w:color="auto" w:sz="4" w:space="0"/>
              <w:left w:val="single" w:color="auto" w:sz="6" w:space="0"/>
              <w:bottom w:val="single" w:color="auto" w:sz="6" w:space="0"/>
              <w:right w:val="single" w:color="auto" w:sz="4" w:space="0"/>
            </w:tcBorders>
            <w:vAlign w:val="center"/>
          </w:tcPr>
          <w:p w14:paraId="4A80C8E6">
            <w:pPr>
              <w:rPr>
                <w:rFonts w:hint="eastAsia" w:ascii="宋体" w:hAnsi="宋体" w:cs="宋体"/>
                <w:color w:val="auto"/>
                <w:highlight w:val="none"/>
              </w:rPr>
            </w:pPr>
            <w:bookmarkStart w:id="30" w:name="_Toc173211904"/>
            <w:bookmarkStart w:id="31" w:name="_Toc254970733"/>
            <w:bookmarkStart w:id="32" w:name="_Toc254970592"/>
            <w:bookmarkStart w:id="33" w:name="_Toc173066405"/>
            <w:r>
              <w:rPr>
                <w:rFonts w:hint="eastAsia" w:ascii="宋体" w:hAnsi="宋体" w:cs="宋体"/>
                <w:color w:val="auto"/>
                <w:highlight w:val="none"/>
              </w:rPr>
              <w:t>说明</w:t>
            </w:r>
            <w:bookmarkEnd w:id="30"/>
            <w:bookmarkEnd w:id="31"/>
            <w:bookmarkEnd w:id="32"/>
            <w:bookmarkEnd w:id="33"/>
          </w:p>
        </w:tc>
      </w:tr>
      <w:tr w14:paraId="1595355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14:paraId="7175B42D">
            <w:pPr>
              <w:rPr>
                <w:rFonts w:hint="eastAsia" w:ascii="宋体" w:hAnsi="宋体" w:cs="宋体"/>
                <w:color w:val="auto"/>
                <w:highlight w:val="none"/>
              </w:rPr>
            </w:pPr>
            <w:r>
              <w:rPr>
                <w:rFonts w:hint="eastAsia" w:ascii="宋体" w:hAnsi="宋体" w:cs="宋体"/>
                <w:color w:val="auto"/>
                <w:highlight w:val="none"/>
              </w:rPr>
              <w:t>商务部分</w:t>
            </w:r>
          </w:p>
        </w:tc>
      </w:tr>
      <w:tr w14:paraId="00886C9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vAlign w:val="center"/>
          </w:tcPr>
          <w:p w14:paraId="5EFEB1D0">
            <w:pPr>
              <w:rPr>
                <w:rFonts w:hint="eastAsia" w:ascii="宋体" w:hAnsi="宋体" w:cs="宋体"/>
                <w:color w:val="auto"/>
                <w:highlight w:val="none"/>
              </w:rPr>
            </w:pPr>
            <w:bookmarkStart w:id="34" w:name="_Toc254970593"/>
            <w:bookmarkStart w:id="35" w:name="_Toc254970734"/>
            <w:bookmarkStart w:id="36" w:name="_Toc173211905"/>
            <w:bookmarkStart w:id="37" w:name="_Toc173066406"/>
            <w:r>
              <w:rPr>
                <w:rFonts w:hint="eastAsia" w:ascii="宋体" w:hAnsi="宋体" w:cs="宋体"/>
                <w:color w:val="auto"/>
                <w:highlight w:val="none"/>
              </w:rPr>
              <w:t>1</w:t>
            </w:r>
            <w:bookmarkEnd w:id="34"/>
            <w:bookmarkEnd w:id="35"/>
            <w:bookmarkEnd w:id="36"/>
            <w:bookmarkEnd w:id="37"/>
          </w:p>
        </w:tc>
        <w:tc>
          <w:tcPr>
            <w:tcW w:w="2931" w:type="dxa"/>
            <w:tcBorders>
              <w:top w:val="single" w:color="auto" w:sz="6" w:space="0"/>
              <w:left w:val="single" w:color="auto" w:sz="6" w:space="0"/>
              <w:bottom w:val="single" w:color="auto" w:sz="6" w:space="0"/>
              <w:right w:val="single" w:color="auto" w:sz="6" w:space="0"/>
            </w:tcBorders>
            <w:vAlign w:val="center"/>
          </w:tcPr>
          <w:p w14:paraId="071753A0">
            <w:pPr>
              <w:rPr>
                <w:rFonts w:hint="eastAsia" w:ascii="宋体" w:hAnsi="宋体" w:cs="宋体"/>
                <w:color w:val="auto"/>
                <w:highlight w:val="none"/>
              </w:rPr>
            </w:pPr>
            <w:r>
              <w:rPr>
                <w:rFonts w:hint="eastAsia" w:ascii="宋体" w:hAnsi="宋体" w:cs="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vAlign w:val="center"/>
          </w:tcPr>
          <w:p w14:paraId="1E58742E">
            <w:pPr>
              <w:rPr>
                <w:rFonts w:hint="eastAsia" w:ascii="宋体" w:hAnsi="宋体" w:cs="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14:paraId="7F7F10F8">
            <w:pPr>
              <w:rPr>
                <w:rFonts w:hint="eastAsia" w:ascii="宋体" w:hAnsi="宋体" w:cs="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14:paraId="73A6D502">
            <w:pPr>
              <w:rPr>
                <w:rFonts w:hint="eastAsia" w:ascii="宋体" w:hAnsi="宋体" w:cs="宋体"/>
                <w:color w:val="auto"/>
                <w:highlight w:val="none"/>
              </w:rPr>
            </w:pPr>
          </w:p>
        </w:tc>
      </w:tr>
      <w:tr w14:paraId="146478B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44147DC7">
            <w:pPr>
              <w:rPr>
                <w:rFonts w:hint="eastAsia" w:ascii="宋体" w:hAnsi="宋体" w:cs="宋体"/>
                <w:color w:val="auto"/>
                <w:highlight w:val="none"/>
              </w:rPr>
            </w:pPr>
            <w:r>
              <w:rPr>
                <w:rFonts w:hint="eastAsia" w:ascii="宋体" w:hAnsi="宋体" w:cs="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vAlign w:val="center"/>
          </w:tcPr>
          <w:p w14:paraId="7443483A">
            <w:pPr>
              <w:rPr>
                <w:rFonts w:hint="eastAsia" w:ascii="宋体" w:hAnsi="宋体" w:cs="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vAlign w:val="center"/>
          </w:tcPr>
          <w:p w14:paraId="4DC7BC06">
            <w:pPr>
              <w:rPr>
                <w:rFonts w:hint="eastAsia" w:ascii="宋体" w:hAnsi="宋体" w:cs="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14:paraId="2F5667A9">
            <w:pPr>
              <w:rPr>
                <w:rFonts w:hint="eastAsia" w:ascii="宋体" w:hAnsi="宋体" w:cs="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14:paraId="67332BB0">
            <w:pPr>
              <w:rPr>
                <w:rFonts w:hint="eastAsia" w:ascii="宋体" w:hAnsi="宋体" w:cs="宋体"/>
                <w:color w:val="auto"/>
                <w:highlight w:val="none"/>
              </w:rPr>
            </w:pPr>
          </w:p>
        </w:tc>
      </w:tr>
      <w:tr w14:paraId="39FBFD1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vAlign w:val="center"/>
          </w:tcPr>
          <w:p w14:paraId="2ED0BFF0">
            <w:pPr>
              <w:rPr>
                <w:rFonts w:hint="eastAsia" w:ascii="宋体" w:hAnsi="宋体" w:cs="宋体"/>
                <w:color w:val="auto"/>
                <w:highlight w:val="none"/>
              </w:rPr>
            </w:pPr>
            <w:r>
              <w:rPr>
                <w:rFonts w:hint="eastAsia" w:ascii="宋体" w:hAnsi="宋体" w:cs="宋体"/>
                <w:color w:val="auto"/>
                <w:highlight w:val="none"/>
              </w:rPr>
              <w:t>技术部分</w:t>
            </w:r>
          </w:p>
        </w:tc>
      </w:tr>
      <w:tr w14:paraId="5219E39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3897373A">
            <w:pPr>
              <w:rPr>
                <w:rFonts w:hint="eastAsia" w:ascii="宋体" w:hAnsi="宋体" w:cs="宋体"/>
                <w:color w:val="auto"/>
                <w:highlight w:val="none"/>
              </w:rPr>
            </w:pPr>
            <w:r>
              <w:rPr>
                <w:rFonts w:hint="eastAsia" w:ascii="宋体" w:hAnsi="宋体" w:cs="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vAlign w:val="center"/>
          </w:tcPr>
          <w:p w14:paraId="18212E36">
            <w:pPr>
              <w:rPr>
                <w:rFonts w:hint="eastAsia" w:ascii="宋体" w:hAnsi="宋体" w:cs="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vAlign w:val="center"/>
          </w:tcPr>
          <w:p w14:paraId="75EDC6DD">
            <w:pPr>
              <w:rPr>
                <w:rFonts w:hint="eastAsia" w:ascii="宋体" w:hAnsi="宋体" w:cs="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14:paraId="0F9567C8">
            <w:pPr>
              <w:rPr>
                <w:rFonts w:hint="eastAsia" w:ascii="宋体" w:hAnsi="宋体" w:cs="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14:paraId="3AFD3B6F">
            <w:pPr>
              <w:rPr>
                <w:rFonts w:hint="eastAsia" w:ascii="宋体" w:hAnsi="宋体" w:cs="宋体"/>
                <w:color w:val="auto"/>
                <w:highlight w:val="none"/>
              </w:rPr>
            </w:pPr>
          </w:p>
        </w:tc>
      </w:tr>
      <w:tr w14:paraId="579E982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698DF98B">
            <w:pPr>
              <w:rPr>
                <w:rFonts w:hint="eastAsia" w:ascii="宋体" w:hAnsi="宋体" w:cs="宋体"/>
                <w:color w:val="auto"/>
                <w:highlight w:val="none"/>
              </w:rPr>
            </w:pPr>
            <w:r>
              <w:rPr>
                <w:rFonts w:hint="eastAsia" w:ascii="宋体" w:hAnsi="宋体" w:cs="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vAlign w:val="center"/>
          </w:tcPr>
          <w:p w14:paraId="25D566F0">
            <w:pPr>
              <w:rPr>
                <w:rFonts w:hint="eastAsia" w:ascii="宋体" w:hAnsi="宋体" w:cs="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vAlign w:val="center"/>
          </w:tcPr>
          <w:p w14:paraId="16B0440D">
            <w:pPr>
              <w:rPr>
                <w:rFonts w:hint="eastAsia" w:ascii="宋体" w:hAnsi="宋体" w:cs="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14:paraId="39740E77">
            <w:pPr>
              <w:rPr>
                <w:rFonts w:hint="eastAsia" w:ascii="宋体" w:hAnsi="宋体" w:cs="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14:paraId="39CD856B">
            <w:pPr>
              <w:rPr>
                <w:rFonts w:hint="eastAsia" w:ascii="宋体" w:hAnsi="宋体" w:cs="宋体"/>
                <w:color w:val="auto"/>
                <w:highlight w:val="none"/>
              </w:rPr>
            </w:pPr>
          </w:p>
        </w:tc>
      </w:tr>
      <w:tr w14:paraId="2588926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vAlign w:val="center"/>
          </w:tcPr>
          <w:p w14:paraId="36B4DF47">
            <w:pPr>
              <w:rPr>
                <w:rFonts w:hint="eastAsia" w:ascii="宋体" w:hAnsi="宋体" w:cs="宋体"/>
                <w:color w:val="auto"/>
                <w:highlight w:val="none"/>
              </w:rPr>
            </w:pPr>
            <w:r>
              <w:rPr>
                <w:rFonts w:hint="eastAsia" w:ascii="宋体" w:hAnsi="宋体" w:cs="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vAlign w:val="center"/>
          </w:tcPr>
          <w:p w14:paraId="7BD13E2C">
            <w:pPr>
              <w:rPr>
                <w:rFonts w:hint="eastAsia" w:ascii="宋体" w:hAnsi="宋体" w:cs="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vAlign w:val="center"/>
          </w:tcPr>
          <w:p w14:paraId="6D42A9DE">
            <w:pPr>
              <w:rPr>
                <w:rFonts w:hint="eastAsia" w:ascii="宋体" w:hAnsi="宋体" w:cs="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vAlign w:val="center"/>
          </w:tcPr>
          <w:p w14:paraId="3392C8A7">
            <w:pPr>
              <w:rPr>
                <w:rFonts w:hint="eastAsia" w:ascii="宋体" w:hAnsi="宋体" w:cs="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vAlign w:val="center"/>
          </w:tcPr>
          <w:p w14:paraId="2BDF62F0">
            <w:pPr>
              <w:rPr>
                <w:rFonts w:hint="eastAsia" w:ascii="宋体" w:hAnsi="宋体" w:cs="宋体"/>
                <w:color w:val="auto"/>
                <w:highlight w:val="none"/>
              </w:rPr>
            </w:pPr>
          </w:p>
        </w:tc>
      </w:tr>
      <w:tr w14:paraId="0349C28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vAlign w:val="center"/>
          </w:tcPr>
          <w:p w14:paraId="2EBA4084">
            <w:pPr>
              <w:rPr>
                <w:rFonts w:hint="eastAsia" w:ascii="宋体" w:hAnsi="宋体" w:cs="宋体"/>
                <w:color w:val="auto"/>
                <w:highlight w:val="none"/>
              </w:rPr>
            </w:pPr>
            <w:r>
              <w:rPr>
                <w:rFonts w:hint="eastAsia" w:ascii="宋体" w:hAnsi="宋体" w:cs="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vAlign w:val="center"/>
          </w:tcPr>
          <w:p w14:paraId="034BB2D3">
            <w:pPr>
              <w:rPr>
                <w:rFonts w:hint="eastAsia" w:ascii="宋体" w:hAnsi="宋体" w:cs="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vAlign w:val="center"/>
          </w:tcPr>
          <w:p w14:paraId="2CE9C7EC">
            <w:pPr>
              <w:rPr>
                <w:rFonts w:hint="eastAsia" w:ascii="宋体" w:hAnsi="宋体" w:cs="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vAlign w:val="center"/>
          </w:tcPr>
          <w:p w14:paraId="67BFF7A4">
            <w:pPr>
              <w:rPr>
                <w:rFonts w:hint="eastAsia" w:ascii="宋体" w:hAnsi="宋体" w:cs="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vAlign w:val="center"/>
          </w:tcPr>
          <w:p w14:paraId="431CF6D4">
            <w:pPr>
              <w:rPr>
                <w:rFonts w:hint="eastAsia" w:ascii="宋体" w:hAnsi="宋体" w:cs="宋体"/>
                <w:color w:val="auto"/>
                <w:highlight w:val="none"/>
              </w:rPr>
            </w:pPr>
          </w:p>
        </w:tc>
      </w:tr>
    </w:tbl>
    <w:p w14:paraId="4C8AE3C2">
      <w:pPr>
        <w:spacing w:line="360" w:lineRule="exact"/>
        <w:rPr>
          <w:rFonts w:hint="eastAsia" w:ascii="宋体" w:hAnsi="宋体" w:cs="宋体"/>
          <w:color w:val="auto"/>
          <w:highlight w:val="none"/>
        </w:rPr>
      </w:pPr>
      <w:r>
        <w:rPr>
          <w:rFonts w:hint="eastAsia" w:ascii="宋体" w:hAnsi="宋体" w:cs="宋体"/>
          <w:color w:val="auto"/>
          <w:highlight w:val="none"/>
        </w:rPr>
        <w:t>说明：1、应写明竞争性磋商响应文件对商务与技术要求的响应和偏离情况</w:t>
      </w:r>
      <w:r>
        <w:rPr>
          <w:rFonts w:hint="eastAsia" w:ascii="宋体" w:hAnsi="宋体" w:cs="宋体"/>
          <w:bCs/>
          <w:color w:val="auto"/>
          <w:highlight w:val="none"/>
        </w:rPr>
        <w:t>；</w:t>
      </w:r>
    </w:p>
    <w:p w14:paraId="510B10C8">
      <w:pPr>
        <w:pStyle w:val="9"/>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50C9E75C">
      <w:pPr>
        <w:pStyle w:val="11"/>
        <w:spacing w:line="360" w:lineRule="exact"/>
        <w:rPr>
          <w:rFonts w:hint="eastAsia" w:hAnsi="宋体" w:cs="宋体"/>
          <w:color w:val="auto"/>
          <w:szCs w:val="21"/>
          <w:highlight w:val="none"/>
        </w:rPr>
      </w:pPr>
    </w:p>
    <w:p w14:paraId="5521D1A6">
      <w:pPr>
        <w:rPr>
          <w:rFonts w:hint="eastAsia" w:ascii="宋体" w:hAnsi="宋体" w:cs="宋体"/>
          <w:color w:val="auto"/>
          <w:highlight w:val="none"/>
        </w:rPr>
      </w:pPr>
    </w:p>
    <w:p w14:paraId="787058AE">
      <w:pPr>
        <w:rPr>
          <w:rFonts w:hint="eastAsia" w:ascii="宋体" w:hAnsi="宋体" w:cs="宋体"/>
          <w:color w:val="auto"/>
          <w:highlight w:val="none"/>
        </w:rPr>
      </w:pPr>
    </w:p>
    <w:p w14:paraId="5BF367C8">
      <w:pPr>
        <w:rPr>
          <w:rFonts w:hint="eastAsia" w:ascii="宋体" w:hAnsi="宋体" w:cs="宋体"/>
          <w:color w:val="auto"/>
          <w:highlight w:val="none"/>
        </w:rPr>
      </w:pPr>
      <w:r>
        <w:rPr>
          <w:rFonts w:hint="eastAsia" w:ascii="宋体" w:hAnsi="宋体" w:cs="宋体"/>
          <w:color w:val="auto"/>
          <w:highlight w:val="none"/>
        </w:rPr>
        <w:t xml:space="preserve">                                     法定代表人(负责人)或委托代理人签字:                  </w:t>
      </w:r>
    </w:p>
    <w:p w14:paraId="12706982">
      <w:pPr>
        <w:rPr>
          <w:rFonts w:hint="eastAsia" w:ascii="宋体" w:hAnsi="宋体" w:cs="宋体"/>
          <w:color w:val="auto"/>
          <w:highlight w:val="none"/>
        </w:rPr>
      </w:pPr>
      <w:r>
        <w:rPr>
          <w:rFonts w:hint="eastAsia" w:ascii="宋体" w:hAnsi="宋体" w:cs="宋体"/>
          <w:color w:val="auto"/>
          <w:highlight w:val="none"/>
        </w:rPr>
        <w:t xml:space="preserve">                                                         </w:t>
      </w:r>
    </w:p>
    <w:p w14:paraId="632F1799">
      <w:pPr>
        <w:rPr>
          <w:rFonts w:hint="eastAsia" w:ascii="宋体" w:hAnsi="宋体" w:cs="宋体"/>
          <w:color w:val="auto"/>
          <w:highlight w:val="none"/>
        </w:rPr>
      </w:pPr>
      <w:r>
        <w:rPr>
          <w:rFonts w:hint="eastAsia" w:ascii="宋体" w:hAnsi="宋体" w:cs="宋体"/>
          <w:color w:val="auto"/>
          <w:highlight w:val="none"/>
        </w:rPr>
        <w:t xml:space="preserve">                                                                年   月   日</w:t>
      </w:r>
    </w:p>
    <w:p w14:paraId="54195661">
      <w:pPr>
        <w:spacing w:line="300" w:lineRule="auto"/>
        <w:rPr>
          <w:rFonts w:hint="eastAsia" w:ascii="宋体" w:hAnsi="宋体" w:cs="宋体"/>
          <w:color w:val="auto"/>
          <w:highlight w:val="none"/>
        </w:rPr>
      </w:pPr>
    </w:p>
    <w:p w14:paraId="0E0EBA8A">
      <w:pPr>
        <w:pageBreakBefore/>
        <w:spacing w:line="300" w:lineRule="auto"/>
        <w:rPr>
          <w:rFonts w:hint="eastAsia" w:ascii="宋体" w:hAnsi="宋体" w:cs="宋体"/>
          <w:color w:val="auto"/>
          <w:highlight w:val="none"/>
        </w:rPr>
      </w:pPr>
      <w:r>
        <w:rPr>
          <w:rFonts w:hint="eastAsia" w:ascii="宋体" w:hAnsi="宋体" w:cs="宋体"/>
          <w:color w:val="auto"/>
          <w:highlight w:val="none"/>
        </w:rPr>
        <w:t>附件四</w:t>
      </w:r>
    </w:p>
    <w:p w14:paraId="54909C9F">
      <w:pPr>
        <w:spacing w:line="300" w:lineRule="auto"/>
        <w:jc w:val="center"/>
        <w:rPr>
          <w:rFonts w:hint="eastAsia" w:ascii="宋体" w:hAnsi="宋体" w:cs="宋体"/>
          <w:b/>
          <w:color w:val="auto"/>
          <w:highlight w:val="none"/>
        </w:rPr>
      </w:pPr>
      <w:r>
        <w:rPr>
          <w:rFonts w:hint="eastAsia" w:ascii="宋体" w:hAnsi="宋体" w:cs="宋体"/>
          <w:b/>
          <w:color w:val="auto"/>
          <w:highlight w:val="none"/>
        </w:rPr>
        <w:t>法定代表人(负责人)授权委托书</w:t>
      </w:r>
    </w:p>
    <w:p w14:paraId="31D8ED5A">
      <w:pPr>
        <w:spacing w:line="520" w:lineRule="exact"/>
        <w:rPr>
          <w:rFonts w:hint="eastAsia" w:ascii="宋体" w:hAnsi="宋体" w:cs="宋体"/>
          <w:color w:val="auto"/>
          <w:highlight w:val="none"/>
        </w:rPr>
      </w:pPr>
    </w:p>
    <w:p w14:paraId="198DE8B0">
      <w:pPr>
        <w:spacing w:line="520" w:lineRule="exact"/>
        <w:rPr>
          <w:rFonts w:hint="eastAsia" w:ascii="宋体" w:hAnsi="宋体" w:cs="宋体"/>
          <w:color w:val="auto"/>
          <w:highlight w:val="none"/>
        </w:rPr>
      </w:pPr>
      <w:r>
        <w:rPr>
          <w:rFonts w:hint="eastAsia" w:ascii="宋体" w:hAnsi="宋体" w:cs="宋体"/>
          <w:color w:val="auto"/>
          <w:highlight w:val="none"/>
          <w:u w:val="single"/>
        </w:rPr>
        <w:t>广西壮族自治区政府采购中心</w:t>
      </w:r>
      <w:r>
        <w:rPr>
          <w:rFonts w:hint="eastAsia" w:ascii="宋体" w:hAnsi="宋体" w:cs="宋体"/>
          <w:color w:val="auto"/>
          <w:highlight w:val="none"/>
        </w:rPr>
        <w:t>：</w:t>
      </w:r>
    </w:p>
    <w:p w14:paraId="2ACFA68F">
      <w:pPr>
        <w:spacing w:line="520" w:lineRule="exact"/>
        <w:ind w:firstLine="420" w:firstLineChars="200"/>
        <w:rPr>
          <w:rFonts w:hint="eastAsia" w:ascii="宋体" w:hAnsi="宋体" w:cs="宋体"/>
          <w:color w:val="auto"/>
          <w:highlight w:val="none"/>
        </w:rPr>
      </w:pPr>
      <w:r>
        <w:rPr>
          <w:rFonts w:hint="eastAsia" w:ascii="宋体" w:hAnsi="宋体" w:cs="宋体"/>
          <w:color w:val="auto"/>
          <w:highlight w:val="none"/>
        </w:rPr>
        <w:t>兹授权</w:t>
      </w:r>
      <w:r>
        <w:rPr>
          <w:rFonts w:hint="eastAsia" w:ascii="宋体" w:hAnsi="宋体" w:cs="宋体"/>
          <w:color w:val="auto"/>
          <w:highlight w:val="none"/>
          <w:u w:val="single"/>
        </w:rPr>
        <w:t xml:space="preserve">      </w:t>
      </w:r>
      <w:r>
        <w:rPr>
          <w:rFonts w:hint="eastAsia" w:ascii="宋体" w:hAnsi="宋体" w:cs="宋体"/>
          <w:color w:val="auto"/>
          <w:highlight w:val="none"/>
        </w:rPr>
        <w:t>同志为我公司参加贵单位组织的</w:t>
      </w:r>
      <w:r>
        <w:rPr>
          <w:rFonts w:hint="eastAsia" w:ascii="宋体" w:hAnsi="宋体" w:cs="宋体"/>
          <w:color w:val="auto"/>
          <w:highlight w:val="none"/>
          <w:u w:val="single"/>
        </w:rPr>
        <w:t>（项目名称、项目编号）竞争性磋商</w:t>
      </w:r>
      <w:r>
        <w:rPr>
          <w:rFonts w:hint="eastAsia" w:ascii="宋体" w:hAnsi="宋体" w:cs="宋体"/>
          <w:color w:val="auto"/>
          <w:highlight w:val="none"/>
        </w:rPr>
        <w:t>采购活动的委托代理人，全权代表我公司处理在该项目活动中的一切事宜。代理期限从</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日起至</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日止。 </w:t>
      </w:r>
    </w:p>
    <w:p w14:paraId="3E3C3217">
      <w:pPr>
        <w:spacing w:line="520" w:lineRule="exact"/>
        <w:rPr>
          <w:rFonts w:hint="eastAsia" w:ascii="宋体" w:hAnsi="宋体" w:cs="宋体"/>
          <w:color w:val="auto"/>
          <w:highlight w:val="none"/>
        </w:rPr>
      </w:pPr>
    </w:p>
    <w:p w14:paraId="2D83415A">
      <w:pPr>
        <w:spacing w:line="520" w:lineRule="exact"/>
        <w:rPr>
          <w:rFonts w:hint="eastAsia" w:ascii="宋体" w:hAnsi="宋体" w:cs="宋体"/>
          <w:color w:val="auto"/>
          <w:highlight w:val="none"/>
        </w:rPr>
      </w:pPr>
      <w:r>
        <w:rPr>
          <w:rFonts w:hint="eastAsia" w:ascii="宋体" w:hAnsi="宋体" w:cs="宋体"/>
          <w:color w:val="auto"/>
          <w:highlight w:val="none"/>
        </w:rPr>
        <w:t>供应商（盖章）：</w:t>
      </w:r>
      <w:r>
        <w:rPr>
          <w:rFonts w:hint="eastAsia" w:ascii="宋体" w:hAnsi="宋体" w:cs="宋体"/>
          <w:color w:val="auto"/>
          <w:highlight w:val="none"/>
          <w:u w:val="single"/>
        </w:rPr>
        <w:t xml:space="preserve">               </w:t>
      </w:r>
    </w:p>
    <w:p w14:paraId="02E09EA1">
      <w:pPr>
        <w:spacing w:line="520" w:lineRule="exact"/>
        <w:rPr>
          <w:rFonts w:hint="eastAsia" w:ascii="宋体" w:hAnsi="宋体" w:cs="宋体"/>
          <w:color w:val="auto"/>
          <w:highlight w:val="none"/>
        </w:rPr>
      </w:pPr>
      <w:r>
        <w:rPr>
          <w:rFonts w:hint="eastAsia" w:ascii="宋体" w:hAnsi="宋体" w:cs="宋体"/>
          <w:color w:val="auto"/>
          <w:highlight w:val="none"/>
        </w:rPr>
        <w:t>法定代表人(负责人)（签字或盖章）：</w:t>
      </w:r>
      <w:r>
        <w:rPr>
          <w:rFonts w:hint="eastAsia" w:ascii="宋体" w:hAnsi="宋体" w:cs="宋体"/>
          <w:color w:val="auto"/>
          <w:highlight w:val="none"/>
          <w:u w:val="single"/>
        </w:rPr>
        <w:t xml:space="preserve">       </w:t>
      </w:r>
    </w:p>
    <w:p w14:paraId="17095883">
      <w:pPr>
        <w:spacing w:line="520" w:lineRule="exact"/>
        <w:rPr>
          <w:rFonts w:hint="eastAsia" w:ascii="宋体" w:hAnsi="宋体" w:cs="宋体"/>
          <w:color w:val="auto"/>
          <w:highlight w:val="none"/>
        </w:rPr>
      </w:pPr>
      <w:r>
        <w:rPr>
          <w:rFonts w:hint="eastAsia" w:ascii="宋体" w:hAnsi="宋体" w:cs="宋体"/>
          <w:color w:val="auto"/>
          <w:highlight w:val="none"/>
        </w:rPr>
        <w:t>签发日期：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D5B7D4F">
      <w:pPr>
        <w:spacing w:line="520" w:lineRule="exact"/>
        <w:rPr>
          <w:rFonts w:hint="eastAsia" w:ascii="宋体" w:hAnsi="宋体" w:cs="宋体"/>
          <w:color w:val="auto"/>
          <w:highlight w:val="none"/>
        </w:rPr>
      </w:pPr>
    </w:p>
    <w:p w14:paraId="44F4BAF2">
      <w:pPr>
        <w:spacing w:line="520" w:lineRule="exact"/>
        <w:rPr>
          <w:rFonts w:hint="eastAsia" w:ascii="宋体" w:hAnsi="宋体" w:cs="宋体"/>
          <w:color w:val="auto"/>
          <w:highlight w:val="none"/>
        </w:rPr>
      </w:pPr>
      <w:r>
        <w:rPr>
          <w:rFonts w:hint="eastAsia" w:ascii="宋体" w:hAnsi="宋体" w:cs="宋体"/>
          <w:color w:val="auto"/>
          <w:highlight w:val="none"/>
        </w:rPr>
        <w:t>附：委托代理人工作单位</w:t>
      </w:r>
      <w:r>
        <w:rPr>
          <w:rFonts w:hint="eastAsia" w:ascii="宋体" w:hAnsi="宋体" w:cs="宋体"/>
          <w:color w:val="auto"/>
          <w:highlight w:val="none"/>
          <w:u w:val="single"/>
        </w:rPr>
        <w:t xml:space="preserve">               </w:t>
      </w:r>
    </w:p>
    <w:p w14:paraId="7874AB5E">
      <w:pPr>
        <w:spacing w:line="520" w:lineRule="exact"/>
        <w:ind w:firstLine="420" w:firstLineChars="200"/>
        <w:rPr>
          <w:rFonts w:hint="eastAsia" w:ascii="宋体" w:hAnsi="宋体" w:cs="宋体"/>
          <w:color w:val="auto"/>
          <w:highlight w:val="none"/>
        </w:rPr>
      </w:pPr>
      <w:r>
        <w:rPr>
          <w:rFonts w:hint="eastAsia" w:ascii="宋体" w:hAnsi="宋体" w:cs="宋体"/>
          <w:color w:val="auto"/>
          <w:highlight w:val="none"/>
        </w:rPr>
        <w:t>职务：</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性别：</w:t>
      </w:r>
      <w:r>
        <w:rPr>
          <w:rFonts w:hint="eastAsia" w:ascii="宋体" w:hAnsi="宋体" w:cs="宋体"/>
          <w:color w:val="auto"/>
          <w:highlight w:val="none"/>
          <w:u w:val="single"/>
        </w:rPr>
        <w:t xml:space="preserve">    </w:t>
      </w:r>
    </w:p>
    <w:p w14:paraId="7563FDB2">
      <w:pPr>
        <w:spacing w:line="52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rPr>
        <w:t>身份证号码：</w:t>
      </w:r>
      <w:r>
        <w:rPr>
          <w:rFonts w:hint="eastAsia" w:ascii="宋体" w:hAnsi="宋体" w:cs="宋体"/>
          <w:color w:val="auto"/>
          <w:highlight w:val="none"/>
          <w:u w:val="single"/>
        </w:rPr>
        <w:t xml:space="preserve">                              </w:t>
      </w:r>
    </w:p>
    <w:tbl>
      <w:tblPr>
        <w:tblStyle w:val="22"/>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57"/>
      </w:tblGrid>
      <w:tr w14:paraId="44FA2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vAlign w:val="top"/>
          </w:tcPr>
          <w:p w14:paraId="06E55EEB">
            <w:pPr>
              <w:spacing w:line="300" w:lineRule="auto"/>
              <w:rPr>
                <w:rFonts w:hint="eastAsia" w:ascii="宋体" w:hAnsi="宋体" w:cs="宋体"/>
                <w:color w:val="auto"/>
                <w:highlight w:val="none"/>
              </w:rPr>
            </w:pPr>
            <w:r>
              <w:rPr>
                <w:rFonts w:hint="eastAsia" w:ascii="宋体" w:hAnsi="宋体" w:cs="宋体"/>
                <w:color w:val="auto"/>
                <w:highlight w:val="none"/>
              </w:rPr>
              <w:t>粘贴委托代理人的正面及反面身份证复印件</w:t>
            </w:r>
          </w:p>
        </w:tc>
      </w:tr>
    </w:tbl>
    <w:p w14:paraId="612B403C">
      <w:pPr>
        <w:autoSpaceDE w:val="0"/>
        <w:autoSpaceDN w:val="0"/>
        <w:spacing w:line="300" w:lineRule="auto"/>
        <w:ind w:left="480" w:hanging="480"/>
        <w:rPr>
          <w:rFonts w:hint="eastAsia" w:ascii="宋体" w:hAnsi="宋体" w:cs="宋体"/>
          <w:color w:val="auto"/>
          <w:highlight w:val="none"/>
        </w:rPr>
      </w:pPr>
    </w:p>
    <w:p w14:paraId="5EFF3B51">
      <w:pPr>
        <w:pageBreakBefore/>
        <w:spacing w:line="300" w:lineRule="auto"/>
        <w:rPr>
          <w:rFonts w:hint="eastAsia" w:ascii="宋体" w:hAnsi="宋体" w:cs="宋体"/>
          <w:color w:val="auto"/>
          <w:highlight w:val="none"/>
        </w:rPr>
      </w:pPr>
      <w:r>
        <w:rPr>
          <w:rFonts w:hint="eastAsia" w:ascii="宋体" w:hAnsi="宋体" w:cs="宋体"/>
          <w:color w:val="auto"/>
          <w:highlight w:val="none"/>
        </w:rPr>
        <w:t>附件五</w:t>
      </w:r>
    </w:p>
    <w:p w14:paraId="79F5688A">
      <w:pPr>
        <w:spacing w:line="360" w:lineRule="exact"/>
        <w:jc w:val="center"/>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参加政府采购活动前三年内在经营活动中没有</w:t>
      </w:r>
      <w:r>
        <w:rPr>
          <w:rFonts w:hint="eastAsia" w:ascii="宋体" w:hAnsi="宋体" w:cs="宋体"/>
          <w:b/>
          <w:color w:val="auto"/>
          <w:kern w:val="0"/>
          <w:sz w:val="24"/>
          <w:szCs w:val="24"/>
          <w:highlight w:val="none"/>
        </w:rPr>
        <w:t>重大违法记录的书面声明</w:t>
      </w:r>
    </w:p>
    <w:p w14:paraId="2F6489BB">
      <w:pPr>
        <w:spacing w:line="3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（格式自拟，必须提供）</w:t>
      </w:r>
    </w:p>
    <w:p w14:paraId="652E0014">
      <w:pPr>
        <w:spacing w:line="360" w:lineRule="exact"/>
        <w:ind w:firstLine="411" w:firstLineChars="196"/>
        <w:jc w:val="center"/>
        <w:rPr>
          <w:rFonts w:hint="eastAsia" w:ascii="宋体" w:hAnsi="宋体" w:cs="宋体"/>
          <w:color w:val="auto"/>
          <w:highlight w:val="none"/>
        </w:rPr>
      </w:pPr>
    </w:p>
    <w:p w14:paraId="6CDA8686">
      <w:pPr>
        <w:pStyle w:val="11"/>
        <w:tabs>
          <w:tab w:val="left" w:pos="5580"/>
        </w:tabs>
        <w:spacing w:line="360" w:lineRule="auto"/>
        <w:ind w:left="1080" w:leftChars="257" w:hanging="540"/>
        <w:rPr>
          <w:rFonts w:hint="eastAsia" w:hAnsi="宋体" w:cs="宋体"/>
          <w:color w:val="auto"/>
          <w:sz w:val="21"/>
          <w:szCs w:val="21"/>
          <w:highlight w:val="none"/>
        </w:rPr>
      </w:pPr>
    </w:p>
    <w:p w14:paraId="30AFC74D">
      <w:pPr>
        <w:spacing w:line="360" w:lineRule="exact"/>
        <w:ind w:firstLine="567" w:firstLineChars="270"/>
        <w:jc w:val="left"/>
        <w:rPr>
          <w:rFonts w:ascii="宋体" w:hAnsi="宋体" w:cs="宋体"/>
          <w:color w:val="auto"/>
          <w:kern w:val="0"/>
          <w:highlight w:val="none"/>
        </w:rPr>
      </w:pPr>
      <w:r>
        <w:rPr>
          <w:rFonts w:hint="eastAsia" w:ascii="宋体" w:hAnsi="宋体" w:cs="宋体"/>
          <w:color w:val="auto"/>
          <w:kern w:val="0"/>
          <w:highlight w:val="none"/>
        </w:rPr>
        <w:t>说明：1.磋商人应按照相关法规规定如实做出声明。</w:t>
      </w:r>
    </w:p>
    <w:p w14:paraId="5C98CBB9">
      <w:pPr>
        <w:spacing w:line="360" w:lineRule="exact"/>
        <w:ind w:firstLine="1134" w:firstLineChars="540"/>
        <w:jc w:val="left"/>
        <w:rPr>
          <w:rFonts w:hint="eastAsia" w:ascii="宋体" w:hAnsi="宋体" w:cs="宋体"/>
          <w:color w:val="auto"/>
          <w:kern w:val="0"/>
          <w:highlight w:val="none"/>
        </w:rPr>
      </w:pPr>
      <w:r>
        <w:rPr>
          <w:rFonts w:hint="eastAsia" w:ascii="宋体" w:hAnsi="宋体" w:cs="宋体"/>
          <w:color w:val="auto"/>
          <w:kern w:val="0"/>
          <w:highlight w:val="none"/>
        </w:rPr>
        <w:t>2．按照采购文件的规定盖章（自然人参与磋商的无需盖章，需要签字）。</w:t>
      </w:r>
    </w:p>
    <w:p w14:paraId="3B7D849A">
      <w:pPr>
        <w:spacing w:line="360" w:lineRule="exact"/>
        <w:ind w:firstLine="1134" w:firstLineChars="540"/>
        <w:jc w:val="left"/>
        <w:rPr>
          <w:rFonts w:hint="eastAsia" w:ascii="宋体" w:hAnsi="宋体" w:cs="宋体"/>
          <w:color w:val="auto"/>
          <w:kern w:val="0"/>
          <w:highlight w:val="none"/>
        </w:rPr>
      </w:pPr>
    </w:p>
    <w:p w14:paraId="28A90305">
      <w:pPr>
        <w:spacing w:line="360" w:lineRule="exact"/>
        <w:ind w:firstLine="1134" w:firstLineChars="540"/>
        <w:jc w:val="left"/>
        <w:rPr>
          <w:rFonts w:hint="eastAsia" w:ascii="宋体" w:hAnsi="宋体" w:cs="宋体"/>
          <w:color w:val="auto"/>
          <w:kern w:val="0"/>
          <w:highlight w:val="none"/>
        </w:rPr>
      </w:pPr>
    </w:p>
    <w:p w14:paraId="222ACC54">
      <w:pPr>
        <w:spacing w:line="360" w:lineRule="exact"/>
        <w:ind w:firstLine="1134" w:firstLineChars="540"/>
        <w:jc w:val="left"/>
        <w:rPr>
          <w:rFonts w:hint="eastAsia" w:ascii="宋体" w:hAnsi="宋体" w:cs="宋体"/>
          <w:color w:val="auto"/>
          <w:kern w:val="0"/>
          <w:highlight w:val="none"/>
        </w:rPr>
      </w:pPr>
    </w:p>
    <w:p w14:paraId="6B395A4D">
      <w:pPr>
        <w:spacing w:line="360" w:lineRule="exact"/>
        <w:ind w:firstLine="1134" w:firstLineChars="540"/>
        <w:jc w:val="left"/>
        <w:rPr>
          <w:rFonts w:hint="eastAsia" w:ascii="宋体" w:hAnsi="宋体" w:cs="宋体"/>
          <w:color w:val="auto"/>
          <w:kern w:val="0"/>
          <w:highlight w:val="none"/>
        </w:rPr>
      </w:pPr>
    </w:p>
    <w:p w14:paraId="2FBE7DF4">
      <w:pPr>
        <w:spacing w:line="360" w:lineRule="exact"/>
        <w:ind w:firstLine="1134" w:firstLineChars="540"/>
        <w:jc w:val="left"/>
        <w:rPr>
          <w:rFonts w:hint="eastAsia" w:ascii="宋体" w:hAnsi="宋体" w:cs="宋体"/>
          <w:color w:val="auto"/>
          <w:kern w:val="0"/>
          <w:highlight w:val="none"/>
        </w:rPr>
      </w:pPr>
    </w:p>
    <w:p w14:paraId="55EDCE74">
      <w:pPr>
        <w:spacing w:line="360" w:lineRule="exact"/>
        <w:ind w:firstLine="1134" w:firstLineChars="540"/>
        <w:jc w:val="left"/>
        <w:rPr>
          <w:rFonts w:hint="eastAsia" w:ascii="宋体" w:hAnsi="宋体" w:cs="宋体"/>
          <w:color w:val="auto"/>
          <w:kern w:val="0"/>
          <w:highlight w:val="none"/>
        </w:rPr>
      </w:pPr>
    </w:p>
    <w:p w14:paraId="629484E8">
      <w:pPr>
        <w:spacing w:line="360" w:lineRule="exact"/>
        <w:ind w:firstLine="1134" w:firstLineChars="540"/>
        <w:jc w:val="left"/>
        <w:rPr>
          <w:rFonts w:hint="eastAsia" w:ascii="宋体" w:hAnsi="宋体" w:cs="宋体"/>
          <w:color w:val="auto"/>
          <w:kern w:val="0"/>
          <w:highlight w:val="none"/>
        </w:rPr>
      </w:pPr>
    </w:p>
    <w:p w14:paraId="6B63F466">
      <w:pPr>
        <w:spacing w:line="360" w:lineRule="exact"/>
        <w:ind w:firstLine="1134" w:firstLineChars="540"/>
        <w:jc w:val="left"/>
        <w:rPr>
          <w:rFonts w:hint="eastAsia" w:ascii="宋体" w:hAnsi="宋体" w:cs="宋体"/>
          <w:color w:val="auto"/>
          <w:kern w:val="0"/>
          <w:highlight w:val="none"/>
        </w:rPr>
      </w:pPr>
    </w:p>
    <w:p w14:paraId="6A7060B0">
      <w:pPr>
        <w:spacing w:line="360" w:lineRule="exact"/>
        <w:ind w:firstLine="1134" w:firstLineChars="540"/>
        <w:jc w:val="left"/>
        <w:rPr>
          <w:rFonts w:hint="eastAsia" w:ascii="宋体" w:hAnsi="宋体" w:cs="宋体"/>
          <w:color w:val="auto"/>
          <w:kern w:val="0"/>
          <w:highlight w:val="none"/>
        </w:rPr>
      </w:pPr>
    </w:p>
    <w:p w14:paraId="60D353BC">
      <w:pPr>
        <w:spacing w:line="360" w:lineRule="exact"/>
        <w:ind w:firstLine="1134" w:firstLineChars="540"/>
        <w:jc w:val="left"/>
        <w:rPr>
          <w:rFonts w:hint="eastAsia" w:ascii="宋体" w:hAnsi="宋体" w:cs="宋体"/>
          <w:color w:val="auto"/>
          <w:kern w:val="0"/>
          <w:highlight w:val="none"/>
        </w:rPr>
      </w:pPr>
    </w:p>
    <w:p w14:paraId="3F528D9D">
      <w:pPr>
        <w:spacing w:line="360" w:lineRule="exact"/>
        <w:ind w:firstLine="1134" w:firstLineChars="540"/>
        <w:jc w:val="left"/>
        <w:rPr>
          <w:rFonts w:hint="eastAsia" w:ascii="宋体" w:hAnsi="宋体" w:cs="宋体"/>
          <w:color w:val="auto"/>
          <w:kern w:val="0"/>
          <w:highlight w:val="none"/>
        </w:rPr>
      </w:pPr>
    </w:p>
    <w:p w14:paraId="4C05188D">
      <w:pPr>
        <w:spacing w:line="360" w:lineRule="exact"/>
        <w:ind w:firstLine="1134" w:firstLineChars="540"/>
        <w:jc w:val="left"/>
        <w:rPr>
          <w:rFonts w:hint="eastAsia" w:ascii="宋体" w:hAnsi="宋体" w:cs="宋体"/>
          <w:color w:val="auto"/>
          <w:kern w:val="0"/>
          <w:highlight w:val="none"/>
        </w:rPr>
      </w:pPr>
    </w:p>
    <w:p w14:paraId="42B00331">
      <w:pPr>
        <w:spacing w:line="360" w:lineRule="exact"/>
        <w:ind w:firstLine="1134" w:firstLineChars="540"/>
        <w:jc w:val="left"/>
        <w:rPr>
          <w:rFonts w:hint="eastAsia" w:ascii="宋体" w:hAnsi="宋体" w:cs="宋体"/>
          <w:color w:val="auto"/>
          <w:kern w:val="0"/>
          <w:highlight w:val="none"/>
        </w:rPr>
      </w:pPr>
    </w:p>
    <w:p w14:paraId="592EEBD0">
      <w:pPr>
        <w:spacing w:line="360" w:lineRule="exact"/>
        <w:ind w:firstLine="1134" w:firstLineChars="540"/>
        <w:jc w:val="left"/>
        <w:rPr>
          <w:rFonts w:hint="eastAsia" w:ascii="宋体" w:hAnsi="宋体" w:cs="宋体"/>
          <w:color w:val="auto"/>
          <w:kern w:val="0"/>
          <w:highlight w:val="none"/>
        </w:rPr>
      </w:pPr>
    </w:p>
    <w:p w14:paraId="765B04AD">
      <w:pPr>
        <w:spacing w:line="360" w:lineRule="exact"/>
        <w:ind w:firstLine="1134" w:firstLineChars="540"/>
        <w:jc w:val="left"/>
        <w:rPr>
          <w:rFonts w:hint="eastAsia" w:ascii="宋体" w:hAnsi="宋体" w:cs="宋体"/>
          <w:color w:val="auto"/>
          <w:kern w:val="0"/>
          <w:highlight w:val="none"/>
        </w:rPr>
      </w:pPr>
    </w:p>
    <w:p w14:paraId="635212A1">
      <w:pPr>
        <w:spacing w:line="360" w:lineRule="exact"/>
        <w:ind w:firstLine="1134" w:firstLineChars="540"/>
        <w:jc w:val="left"/>
        <w:rPr>
          <w:rFonts w:hint="eastAsia" w:ascii="宋体" w:hAnsi="宋体" w:cs="宋体"/>
          <w:color w:val="auto"/>
          <w:kern w:val="0"/>
          <w:highlight w:val="none"/>
        </w:rPr>
      </w:pPr>
    </w:p>
    <w:p w14:paraId="456E6759">
      <w:pPr>
        <w:spacing w:line="360" w:lineRule="exact"/>
        <w:ind w:firstLine="1134" w:firstLineChars="540"/>
        <w:jc w:val="left"/>
        <w:rPr>
          <w:rFonts w:hint="eastAsia" w:ascii="宋体" w:hAnsi="宋体" w:cs="宋体"/>
          <w:color w:val="auto"/>
          <w:kern w:val="0"/>
          <w:highlight w:val="none"/>
        </w:rPr>
      </w:pPr>
    </w:p>
    <w:p w14:paraId="0D3E03BB">
      <w:pPr>
        <w:spacing w:line="360" w:lineRule="exact"/>
        <w:ind w:firstLine="1134" w:firstLineChars="540"/>
        <w:jc w:val="left"/>
        <w:rPr>
          <w:rFonts w:hint="eastAsia" w:ascii="宋体" w:hAnsi="宋体" w:cs="宋体"/>
          <w:color w:val="auto"/>
          <w:kern w:val="0"/>
          <w:highlight w:val="none"/>
        </w:rPr>
      </w:pPr>
    </w:p>
    <w:p w14:paraId="15CBEB97">
      <w:pPr>
        <w:spacing w:line="360" w:lineRule="exact"/>
        <w:ind w:firstLine="1134" w:firstLineChars="540"/>
        <w:jc w:val="left"/>
        <w:rPr>
          <w:rFonts w:hint="eastAsia" w:ascii="宋体" w:hAnsi="宋体" w:cs="宋体"/>
          <w:color w:val="auto"/>
          <w:kern w:val="0"/>
          <w:highlight w:val="none"/>
        </w:rPr>
      </w:pPr>
    </w:p>
    <w:p w14:paraId="287A4ADA">
      <w:pPr>
        <w:spacing w:line="360" w:lineRule="exact"/>
        <w:ind w:firstLine="1134" w:firstLineChars="540"/>
        <w:jc w:val="left"/>
        <w:rPr>
          <w:rFonts w:hint="eastAsia" w:ascii="宋体" w:hAnsi="宋体" w:cs="宋体"/>
          <w:color w:val="auto"/>
          <w:kern w:val="0"/>
          <w:highlight w:val="none"/>
        </w:rPr>
      </w:pPr>
    </w:p>
    <w:p w14:paraId="5A21DF24">
      <w:pPr>
        <w:spacing w:line="360" w:lineRule="exact"/>
        <w:ind w:firstLine="1134" w:firstLineChars="540"/>
        <w:jc w:val="left"/>
        <w:rPr>
          <w:rFonts w:hint="eastAsia" w:ascii="宋体" w:hAnsi="宋体" w:cs="宋体"/>
          <w:color w:val="auto"/>
          <w:kern w:val="0"/>
          <w:highlight w:val="none"/>
        </w:rPr>
      </w:pPr>
    </w:p>
    <w:p w14:paraId="684117C7">
      <w:pPr>
        <w:spacing w:line="360" w:lineRule="exact"/>
        <w:ind w:firstLine="1134" w:firstLineChars="540"/>
        <w:jc w:val="left"/>
        <w:rPr>
          <w:rFonts w:hint="eastAsia" w:ascii="宋体" w:hAnsi="宋体" w:cs="宋体"/>
          <w:color w:val="auto"/>
          <w:kern w:val="0"/>
          <w:highlight w:val="none"/>
        </w:rPr>
      </w:pPr>
    </w:p>
    <w:p w14:paraId="69F8EB8E">
      <w:pPr>
        <w:spacing w:line="360" w:lineRule="exact"/>
        <w:ind w:firstLine="1134" w:firstLineChars="540"/>
        <w:jc w:val="left"/>
        <w:rPr>
          <w:rFonts w:hint="eastAsia" w:ascii="宋体" w:hAnsi="宋体" w:cs="宋体"/>
          <w:color w:val="auto"/>
          <w:kern w:val="0"/>
          <w:highlight w:val="none"/>
        </w:rPr>
      </w:pPr>
    </w:p>
    <w:p w14:paraId="52F675FD">
      <w:pPr>
        <w:spacing w:line="360" w:lineRule="exact"/>
        <w:ind w:firstLine="1134" w:firstLineChars="540"/>
        <w:jc w:val="left"/>
        <w:rPr>
          <w:rFonts w:hint="eastAsia" w:ascii="宋体" w:hAnsi="宋体" w:cs="宋体"/>
          <w:color w:val="auto"/>
          <w:kern w:val="0"/>
          <w:highlight w:val="none"/>
        </w:rPr>
      </w:pPr>
    </w:p>
    <w:p w14:paraId="3784205B">
      <w:pPr>
        <w:spacing w:line="360" w:lineRule="exact"/>
        <w:ind w:firstLine="1134" w:firstLineChars="540"/>
        <w:jc w:val="left"/>
        <w:rPr>
          <w:rFonts w:hint="eastAsia" w:ascii="宋体" w:hAnsi="宋体" w:cs="宋体"/>
          <w:color w:val="auto"/>
          <w:kern w:val="0"/>
          <w:highlight w:val="none"/>
        </w:rPr>
      </w:pPr>
    </w:p>
    <w:p w14:paraId="62DE531E">
      <w:pPr>
        <w:spacing w:line="360" w:lineRule="exact"/>
        <w:ind w:firstLine="1134" w:firstLineChars="540"/>
        <w:jc w:val="left"/>
        <w:rPr>
          <w:rFonts w:hint="eastAsia" w:ascii="宋体" w:hAnsi="宋体" w:cs="宋体"/>
          <w:color w:val="auto"/>
          <w:kern w:val="0"/>
          <w:highlight w:val="none"/>
        </w:rPr>
      </w:pPr>
    </w:p>
    <w:p w14:paraId="0363D59F">
      <w:pPr>
        <w:spacing w:line="360" w:lineRule="exact"/>
        <w:ind w:firstLine="1134" w:firstLineChars="540"/>
        <w:jc w:val="left"/>
        <w:rPr>
          <w:rFonts w:hint="eastAsia" w:ascii="宋体" w:hAnsi="宋体" w:cs="宋体"/>
          <w:color w:val="auto"/>
          <w:kern w:val="0"/>
          <w:highlight w:val="none"/>
        </w:rPr>
      </w:pPr>
    </w:p>
    <w:p w14:paraId="3D10CBB6">
      <w:pPr>
        <w:spacing w:line="360" w:lineRule="exact"/>
        <w:ind w:firstLine="1134" w:firstLineChars="540"/>
        <w:jc w:val="left"/>
        <w:rPr>
          <w:rFonts w:hint="eastAsia" w:ascii="宋体" w:hAnsi="宋体" w:cs="宋体"/>
          <w:color w:val="auto"/>
          <w:kern w:val="0"/>
          <w:highlight w:val="none"/>
        </w:rPr>
      </w:pPr>
    </w:p>
    <w:p w14:paraId="05A7B066">
      <w:pPr>
        <w:spacing w:line="360" w:lineRule="exact"/>
        <w:ind w:firstLine="1134" w:firstLineChars="540"/>
        <w:jc w:val="left"/>
        <w:rPr>
          <w:rFonts w:hint="eastAsia" w:ascii="宋体" w:hAnsi="宋体" w:cs="宋体"/>
          <w:color w:val="auto"/>
          <w:kern w:val="0"/>
          <w:highlight w:val="none"/>
        </w:rPr>
      </w:pPr>
    </w:p>
    <w:p w14:paraId="2F46A091">
      <w:pPr>
        <w:spacing w:line="360" w:lineRule="exact"/>
        <w:ind w:firstLine="1134" w:firstLineChars="540"/>
        <w:jc w:val="left"/>
        <w:rPr>
          <w:rFonts w:hint="eastAsia" w:ascii="宋体" w:hAnsi="宋体" w:cs="宋体"/>
          <w:color w:val="auto"/>
          <w:kern w:val="0"/>
          <w:highlight w:val="none"/>
        </w:rPr>
      </w:pPr>
    </w:p>
    <w:p w14:paraId="1D07262A">
      <w:pPr>
        <w:spacing w:line="360" w:lineRule="exact"/>
        <w:ind w:firstLine="1134" w:firstLineChars="540"/>
        <w:jc w:val="left"/>
        <w:rPr>
          <w:rFonts w:hint="eastAsia" w:ascii="宋体" w:hAnsi="宋体" w:cs="宋体"/>
          <w:color w:val="auto"/>
          <w:kern w:val="0"/>
          <w:highlight w:val="none"/>
        </w:rPr>
      </w:pPr>
    </w:p>
    <w:p w14:paraId="2487D189">
      <w:pPr>
        <w:spacing w:line="360" w:lineRule="exact"/>
        <w:ind w:firstLine="1134" w:firstLineChars="540"/>
        <w:jc w:val="left"/>
        <w:rPr>
          <w:rFonts w:hint="eastAsia" w:ascii="宋体" w:hAnsi="宋体" w:cs="宋体"/>
          <w:color w:val="auto"/>
          <w:kern w:val="0"/>
          <w:highlight w:val="none"/>
        </w:rPr>
      </w:pPr>
    </w:p>
    <w:p w14:paraId="312F873C">
      <w:pPr>
        <w:spacing w:line="360" w:lineRule="exact"/>
        <w:ind w:firstLine="283" w:firstLineChars="135"/>
        <w:jc w:val="left"/>
        <w:rPr>
          <w:rFonts w:hint="eastAsia" w:ascii="宋体" w:hAnsi="宋体" w:cs="宋体"/>
          <w:color w:val="auto"/>
          <w:highlight w:val="none"/>
        </w:rPr>
      </w:pPr>
      <w:r>
        <w:rPr>
          <w:rFonts w:hint="eastAsia" w:ascii="宋体" w:hAnsi="宋体" w:cs="宋体"/>
          <w:color w:val="auto"/>
          <w:highlight w:val="none"/>
        </w:rPr>
        <w:t xml:space="preserve">附件六 </w:t>
      </w:r>
      <w:r>
        <w:rPr>
          <w:rFonts w:ascii="宋体" w:hAnsi="宋体" w:cs="宋体"/>
          <w:color w:val="auto"/>
          <w:highlight w:val="none"/>
        </w:rPr>
        <w:t>中小企业声明函。</w:t>
      </w:r>
      <w:r>
        <w:rPr>
          <w:rFonts w:ascii="宋体" w:hAnsi="宋体" w:cs="宋体"/>
          <w:b/>
          <w:bCs/>
          <w:color w:val="auto"/>
          <w:highlight w:val="none"/>
        </w:rPr>
        <w:t>（</w:t>
      </w:r>
      <w:r>
        <w:rPr>
          <w:rFonts w:hint="eastAsia" w:ascii="宋体" w:hAnsi="宋体" w:cs="宋体"/>
          <w:b/>
          <w:bCs/>
          <w:color w:val="auto"/>
          <w:highlight w:val="none"/>
          <w:lang w:eastAsia="zh-CN"/>
        </w:rPr>
        <w:t>必须</w:t>
      </w:r>
      <w:r>
        <w:rPr>
          <w:rFonts w:hint="eastAsia" w:ascii="宋体" w:hAnsi="宋体" w:cs="宋体"/>
          <w:b/>
          <w:bCs/>
          <w:color w:val="auto"/>
          <w:highlight w:val="none"/>
        </w:rPr>
        <w:t>提供</w:t>
      </w:r>
      <w:r>
        <w:rPr>
          <w:rFonts w:ascii="宋体" w:hAnsi="宋体" w:cs="宋体"/>
          <w:b/>
          <w:bCs/>
          <w:color w:val="auto"/>
          <w:highlight w:val="none"/>
        </w:rPr>
        <w:t>）</w:t>
      </w:r>
    </w:p>
    <w:p w14:paraId="51E1FDCA">
      <w:pPr>
        <w:pStyle w:val="38"/>
        <w:spacing w:after="0"/>
        <w:rPr>
          <w:rFonts w:hint="eastAsia" w:eastAsia="宋体" w:cs="宋体"/>
          <w:color w:val="auto"/>
          <w:sz w:val="36"/>
          <w:szCs w:val="36"/>
          <w:highlight w:val="none"/>
        </w:rPr>
      </w:pPr>
      <w:r>
        <w:rPr>
          <w:rFonts w:hint="eastAsia" w:eastAsia="宋体" w:cs="宋体"/>
          <w:color w:val="auto"/>
          <w:sz w:val="36"/>
          <w:szCs w:val="36"/>
          <w:highlight w:val="none"/>
        </w:rPr>
        <w:t>中小企业声明函（工程、服务）</w:t>
      </w:r>
    </w:p>
    <w:p w14:paraId="68BF9EF6">
      <w:pPr>
        <w:pStyle w:val="32"/>
        <w:spacing w:line="506" w:lineRule="exact"/>
        <w:ind w:firstLine="640"/>
        <w:jc w:val="both"/>
        <w:rPr>
          <w:rFonts w:hint="eastAsia" w:cs="宋体"/>
          <w:color w:val="auto"/>
          <w:sz w:val="21"/>
          <w:szCs w:val="21"/>
          <w:highlight w:val="none"/>
        </w:rPr>
      </w:pPr>
      <w:r>
        <w:rPr>
          <w:rFonts w:hint="eastAsia" w:cs="宋体"/>
          <w:color w:val="auto"/>
          <w:sz w:val="21"/>
          <w:szCs w:val="21"/>
          <w:highlight w:val="none"/>
        </w:rPr>
        <w:t>本公司（联合体）郑重声明，根据《政府采购促进中小企业发展管理办法》（财库〔2020 〕46号）的规定，本公司（联合体）参加</w:t>
      </w:r>
      <w:r>
        <w:rPr>
          <w:rFonts w:hint="eastAsia" w:cs="宋体"/>
          <w:color w:val="auto"/>
          <w:sz w:val="21"/>
          <w:szCs w:val="21"/>
          <w:highlight w:val="none"/>
          <w:u w:val="single"/>
        </w:rPr>
        <w:t>（单位名称）</w:t>
      </w:r>
      <w:r>
        <w:rPr>
          <w:rFonts w:hint="eastAsia" w:cs="宋体"/>
          <w:color w:val="auto"/>
          <w:sz w:val="21"/>
          <w:szCs w:val="21"/>
          <w:highlight w:val="none"/>
        </w:rPr>
        <w:t>的</w:t>
      </w:r>
      <w:r>
        <w:rPr>
          <w:rFonts w:hint="eastAsia" w:cs="宋体"/>
          <w:color w:val="auto"/>
          <w:sz w:val="21"/>
          <w:szCs w:val="21"/>
          <w:highlight w:val="none"/>
          <w:u w:val="single"/>
        </w:rPr>
        <w:t>（项目名称）</w:t>
      </w:r>
      <w:r>
        <w:rPr>
          <w:rFonts w:hint="eastAsia" w:cs="宋体"/>
          <w:color w:val="auto"/>
          <w:sz w:val="21"/>
          <w:szCs w:val="21"/>
          <w:highlight w:val="none"/>
        </w:rPr>
        <w:t>釆购活动,</w:t>
      </w:r>
      <w:r>
        <w:rPr>
          <w:rFonts w:hint="eastAsia" w:ascii="宋体" w:hAnsi="宋体" w:cs="宋体"/>
          <w:color w:val="auto"/>
          <w:sz w:val="21"/>
          <w:szCs w:val="21"/>
          <w:highlight w:val="none"/>
        </w:rPr>
        <w:t xml:space="preserve"> </w:t>
      </w:r>
      <w:r>
        <w:rPr>
          <w:rFonts w:hint="eastAsia" w:cs="宋体"/>
          <w:color w:val="auto"/>
          <w:sz w:val="21"/>
          <w:szCs w:val="21"/>
          <w:highlight w:val="none"/>
        </w:rPr>
        <w:t>工程的施工单位全部为符合政策要求的中小企业（或者：服务全部由符合政策要求的中小企业承接）。相关企业（含联合体中的中小企业、签订分包意向协议的中小企业） 的具体情况如下：</w:t>
      </w:r>
    </w:p>
    <w:p w14:paraId="49E24E69">
      <w:pPr>
        <w:pStyle w:val="32"/>
        <w:spacing w:line="506" w:lineRule="exact"/>
        <w:ind w:firstLine="640"/>
        <w:jc w:val="both"/>
        <w:rPr>
          <w:rFonts w:hint="eastAsia" w:cs="宋体"/>
          <w:color w:val="auto"/>
          <w:sz w:val="21"/>
          <w:szCs w:val="21"/>
          <w:highlight w:val="none"/>
        </w:rPr>
      </w:pPr>
      <w:r>
        <w:rPr>
          <w:rFonts w:hint="eastAsia" w:cs="宋体"/>
          <w:color w:val="auto"/>
          <w:sz w:val="21"/>
          <w:szCs w:val="21"/>
          <w:highlight w:val="none"/>
        </w:rPr>
        <w:t>1.</w:t>
      </w:r>
      <w:r>
        <w:rPr>
          <w:rFonts w:hint="eastAsia" w:cs="宋体"/>
          <w:color w:val="auto"/>
          <w:sz w:val="21"/>
          <w:szCs w:val="21"/>
          <w:highlight w:val="none"/>
          <w:u w:val="single"/>
        </w:rPr>
        <w:t xml:space="preserve">   （标的名称）</w:t>
      </w:r>
      <w:r>
        <w:rPr>
          <w:rFonts w:hint="eastAsia" w:cs="宋体"/>
          <w:color w:val="auto"/>
          <w:sz w:val="21"/>
          <w:szCs w:val="21"/>
          <w:highlight w:val="none"/>
        </w:rPr>
        <w:t>，属于</w:t>
      </w:r>
      <w:r>
        <w:rPr>
          <w:rFonts w:hint="eastAsia" w:cs="宋体"/>
          <w:color w:val="auto"/>
          <w:sz w:val="21"/>
          <w:szCs w:val="21"/>
          <w:highlight w:val="none"/>
          <w:u w:val="single"/>
        </w:rPr>
        <w:t xml:space="preserve">     （釆购文件中明确的所属行业）行业</w:t>
      </w:r>
      <w:r>
        <w:rPr>
          <w:rFonts w:hint="eastAsia" w:cs="宋体"/>
          <w:color w:val="auto"/>
          <w:sz w:val="21"/>
          <w:szCs w:val="21"/>
          <w:highlight w:val="none"/>
        </w:rPr>
        <w:t>；承建（承接）企业为</w:t>
      </w:r>
      <w:r>
        <w:rPr>
          <w:rFonts w:hint="eastAsia" w:cs="宋体"/>
          <w:color w:val="auto"/>
          <w:sz w:val="21"/>
          <w:szCs w:val="21"/>
          <w:highlight w:val="none"/>
          <w:u w:val="single"/>
        </w:rPr>
        <w:t>（企业名称）</w:t>
      </w:r>
      <w:r>
        <w:rPr>
          <w:rFonts w:hint="eastAsia" w:cs="宋体"/>
          <w:color w:val="auto"/>
          <w:sz w:val="21"/>
          <w:szCs w:val="21"/>
          <w:highlight w:val="none"/>
        </w:rPr>
        <w:t>，从业人员</w:t>
      </w:r>
      <w:r>
        <w:rPr>
          <w:rFonts w:hint="eastAsia" w:cs="宋体"/>
          <w:color w:val="auto"/>
          <w:sz w:val="21"/>
          <w:szCs w:val="21"/>
          <w:highlight w:val="none"/>
          <w:u w:val="single"/>
        </w:rPr>
        <w:tab/>
      </w:r>
      <w:r>
        <w:rPr>
          <w:rFonts w:hint="eastAsia" w:cs="宋体"/>
          <w:color w:val="auto"/>
          <w:sz w:val="21"/>
          <w:szCs w:val="21"/>
          <w:highlight w:val="none"/>
          <w:u w:val="single"/>
        </w:rPr>
        <w:tab/>
      </w:r>
      <w:r>
        <w:rPr>
          <w:rFonts w:hint="eastAsia" w:cs="宋体"/>
          <w:color w:val="auto"/>
          <w:sz w:val="21"/>
          <w:szCs w:val="21"/>
          <w:highlight w:val="none"/>
          <w:u w:val="single"/>
        </w:rPr>
        <w:t xml:space="preserve">  </w:t>
      </w:r>
      <w:r>
        <w:rPr>
          <w:rFonts w:hint="eastAsia" w:cs="宋体"/>
          <w:color w:val="auto"/>
          <w:sz w:val="21"/>
          <w:szCs w:val="21"/>
          <w:highlight w:val="none"/>
        </w:rPr>
        <w:t>人，营业收入为</w:t>
      </w:r>
      <w:r>
        <w:rPr>
          <w:rFonts w:hint="eastAsia" w:cs="宋体"/>
          <w:color w:val="auto"/>
          <w:sz w:val="21"/>
          <w:szCs w:val="21"/>
          <w:highlight w:val="none"/>
          <w:u w:val="single"/>
        </w:rPr>
        <w:t xml:space="preserve">    </w:t>
      </w:r>
      <w:r>
        <w:rPr>
          <w:rFonts w:hint="eastAsia" w:cs="宋体"/>
          <w:color w:val="auto"/>
          <w:sz w:val="21"/>
          <w:szCs w:val="21"/>
          <w:highlight w:val="none"/>
        </w:rPr>
        <w:t>万元，资产总额为</w:t>
      </w:r>
      <w:r>
        <w:rPr>
          <w:rFonts w:hint="eastAsia" w:cs="宋体"/>
          <w:color w:val="auto"/>
          <w:sz w:val="21"/>
          <w:szCs w:val="21"/>
          <w:highlight w:val="none"/>
          <w:u w:val="single"/>
        </w:rPr>
        <w:t xml:space="preserve">     </w:t>
      </w:r>
      <w:r>
        <w:rPr>
          <w:rFonts w:hint="eastAsia" w:cs="宋体"/>
          <w:color w:val="auto"/>
          <w:sz w:val="21"/>
          <w:szCs w:val="21"/>
          <w:highlight w:val="none"/>
        </w:rPr>
        <w:t>万元，属于</w:t>
      </w:r>
      <w:r>
        <w:rPr>
          <w:rFonts w:hint="eastAsia" w:cs="宋体"/>
          <w:color w:val="auto"/>
          <w:sz w:val="21"/>
          <w:szCs w:val="21"/>
          <w:highlight w:val="none"/>
          <w:u w:val="single"/>
        </w:rPr>
        <w:t>（中型企业、小型企业、微型企业）</w:t>
      </w:r>
      <w:r>
        <w:rPr>
          <w:rFonts w:hint="eastAsia" w:cs="宋体"/>
          <w:color w:val="auto"/>
          <w:sz w:val="21"/>
          <w:szCs w:val="21"/>
          <w:highlight w:val="none"/>
        </w:rPr>
        <w:t xml:space="preserve">； </w:t>
      </w:r>
    </w:p>
    <w:p w14:paraId="2A7FC24B">
      <w:pPr>
        <w:pStyle w:val="32"/>
        <w:spacing w:line="506" w:lineRule="exact"/>
        <w:ind w:firstLine="640"/>
        <w:jc w:val="both"/>
        <w:rPr>
          <w:rFonts w:hint="eastAsia"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 xml:space="preserve">    （标的名称）</w:t>
      </w:r>
      <w:r>
        <w:rPr>
          <w:rFonts w:hint="eastAsia" w:cs="宋体"/>
          <w:color w:val="auto"/>
          <w:sz w:val="21"/>
          <w:szCs w:val="21"/>
          <w:highlight w:val="none"/>
        </w:rPr>
        <w:t>，属于</w:t>
      </w:r>
      <w:r>
        <w:rPr>
          <w:rFonts w:hint="eastAsia" w:cs="宋体"/>
          <w:color w:val="auto"/>
          <w:sz w:val="21"/>
          <w:szCs w:val="21"/>
          <w:highlight w:val="none"/>
          <w:u w:val="single"/>
        </w:rPr>
        <w:t xml:space="preserve">     （釆购文件中明确的所属行业）行业</w:t>
      </w:r>
      <w:r>
        <w:rPr>
          <w:rFonts w:hint="eastAsia" w:cs="宋体"/>
          <w:color w:val="auto"/>
          <w:sz w:val="21"/>
          <w:szCs w:val="21"/>
          <w:highlight w:val="none"/>
        </w:rPr>
        <w:t>；承建（承接）企业为</w:t>
      </w:r>
      <w:r>
        <w:rPr>
          <w:rFonts w:hint="eastAsia" w:cs="宋体"/>
          <w:color w:val="auto"/>
          <w:sz w:val="21"/>
          <w:szCs w:val="21"/>
          <w:highlight w:val="none"/>
          <w:u w:val="single"/>
        </w:rPr>
        <w:t>（企业名称）</w:t>
      </w:r>
      <w:r>
        <w:rPr>
          <w:rFonts w:hint="eastAsia" w:cs="宋体"/>
          <w:color w:val="auto"/>
          <w:sz w:val="21"/>
          <w:szCs w:val="21"/>
          <w:highlight w:val="none"/>
        </w:rPr>
        <w:t>、从业人员</w:t>
      </w:r>
      <w:r>
        <w:rPr>
          <w:rFonts w:hint="eastAsia" w:cs="宋体"/>
          <w:color w:val="auto"/>
          <w:sz w:val="21"/>
          <w:szCs w:val="21"/>
          <w:highlight w:val="none"/>
          <w:u w:val="single"/>
        </w:rPr>
        <w:tab/>
      </w:r>
      <w:r>
        <w:rPr>
          <w:rFonts w:hint="eastAsia" w:cs="宋体"/>
          <w:color w:val="auto"/>
          <w:sz w:val="21"/>
          <w:szCs w:val="21"/>
          <w:highlight w:val="none"/>
          <w:u w:val="single"/>
        </w:rPr>
        <w:tab/>
      </w:r>
      <w:r>
        <w:rPr>
          <w:rFonts w:hint="eastAsia" w:cs="宋体"/>
          <w:color w:val="auto"/>
          <w:sz w:val="21"/>
          <w:szCs w:val="21"/>
          <w:highlight w:val="none"/>
          <w:u w:val="single"/>
        </w:rPr>
        <w:t xml:space="preserve">  </w:t>
      </w:r>
      <w:r>
        <w:rPr>
          <w:rFonts w:hint="eastAsia" w:cs="宋体"/>
          <w:color w:val="auto"/>
          <w:sz w:val="21"/>
          <w:szCs w:val="21"/>
          <w:highlight w:val="none"/>
          <w:u w:val="single"/>
        </w:rPr>
        <w:tab/>
      </w:r>
      <w:r>
        <w:rPr>
          <w:rFonts w:hint="eastAsia" w:cs="宋体"/>
          <w:color w:val="auto"/>
          <w:sz w:val="21"/>
          <w:szCs w:val="21"/>
          <w:highlight w:val="none"/>
        </w:rPr>
        <w:t>人，营业收入为</w:t>
      </w:r>
      <w:r>
        <w:rPr>
          <w:rFonts w:hint="eastAsia" w:cs="宋体"/>
          <w:color w:val="auto"/>
          <w:sz w:val="21"/>
          <w:szCs w:val="21"/>
          <w:highlight w:val="none"/>
          <w:u w:val="single"/>
        </w:rPr>
        <w:t xml:space="preserve">    </w:t>
      </w:r>
      <w:r>
        <w:rPr>
          <w:rFonts w:hint="eastAsia" w:cs="宋体"/>
          <w:color w:val="auto"/>
          <w:sz w:val="21"/>
          <w:szCs w:val="21"/>
          <w:highlight w:val="none"/>
        </w:rPr>
        <w:t>万元，资产总额为</w:t>
      </w:r>
      <w:r>
        <w:rPr>
          <w:rFonts w:hint="eastAsia" w:cs="宋体"/>
          <w:color w:val="auto"/>
          <w:sz w:val="21"/>
          <w:szCs w:val="21"/>
          <w:highlight w:val="none"/>
          <w:u w:val="single"/>
        </w:rPr>
        <w:t xml:space="preserve">    </w:t>
      </w:r>
      <w:r>
        <w:rPr>
          <w:rFonts w:hint="eastAsia" w:cs="宋体"/>
          <w:color w:val="auto"/>
          <w:sz w:val="21"/>
          <w:szCs w:val="21"/>
          <w:highlight w:val="none"/>
        </w:rPr>
        <w:t>万元，属于</w:t>
      </w:r>
      <w:r>
        <w:rPr>
          <w:rFonts w:hint="eastAsia" w:cs="宋体"/>
          <w:color w:val="auto"/>
          <w:sz w:val="21"/>
          <w:szCs w:val="21"/>
          <w:highlight w:val="none"/>
          <w:u w:val="single"/>
        </w:rPr>
        <w:t>（中型企业、小型企业、微型企业）</w:t>
      </w:r>
      <w:r>
        <w:rPr>
          <w:rFonts w:hint="eastAsia" w:cs="宋体"/>
          <w:color w:val="auto"/>
          <w:sz w:val="21"/>
          <w:szCs w:val="21"/>
          <w:highlight w:val="none"/>
        </w:rPr>
        <w:t>；</w:t>
      </w:r>
    </w:p>
    <w:p w14:paraId="2C161851">
      <w:pPr>
        <w:pStyle w:val="32"/>
        <w:spacing w:line="506" w:lineRule="exact"/>
        <w:ind w:firstLine="640"/>
        <w:jc w:val="both"/>
        <w:rPr>
          <w:rFonts w:hint="eastAsia" w:cs="宋体"/>
          <w:color w:val="auto"/>
          <w:sz w:val="21"/>
          <w:szCs w:val="21"/>
          <w:highlight w:val="none"/>
        </w:rPr>
      </w:pPr>
      <w:r>
        <w:rPr>
          <w:rFonts w:hint="eastAsia" w:cs="宋体"/>
          <w:color w:val="auto"/>
          <w:sz w:val="21"/>
          <w:szCs w:val="21"/>
          <w:highlight w:val="none"/>
        </w:rPr>
        <w:t>......</w:t>
      </w:r>
    </w:p>
    <w:p w14:paraId="4E2E3F6A">
      <w:pPr>
        <w:pStyle w:val="32"/>
        <w:spacing w:line="499" w:lineRule="exact"/>
        <w:ind w:firstLine="640"/>
        <w:jc w:val="both"/>
        <w:rPr>
          <w:rFonts w:hint="eastAsia" w:cs="宋体"/>
          <w:color w:val="auto"/>
          <w:sz w:val="21"/>
          <w:szCs w:val="21"/>
          <w:highlight w:val="none"/>
        </w:rPr>
      </w:pPr>
      <w:r>
        <w:rPr>
          <w:rFonts w:hint="eastAsia" w:cs="宋体"/>
          <w:color w:val="auto"/>
          <w:sz w:val="21"/>
          <w:szCs w:val="21"/>
          <w:highlight w:val="none"/>
        </w:rPr>
        <w:t>以上企业，不属于大企业的分支机构，不存在控股股东为大企业的情形，也不存在与大企业的负责人为同一人的情形。</w:t>
      </w:r>
    </w:p>
    <w:p w14:paraId="581054FC">
      <w:pPr>
        <w:pStyle w:val="32"/>
        <w:spacing w:after="40" w:line="499" w:lineRule="exact"/>
        <w:ind w:firstLine="640"/>
        <w:jc w:val="both"/>
        <w:rPr>
          <w:rFonts w:hint="eastAsia" w:cs="宋体"/>
          <w:color w:val="auto"/>
          <w:sz w:val="21"/>
          <w:szCs w:val="21"/>
          <w:highlight w:val="none"/>
        </w:rPr>
      </w:pPr>
      <w:r>
        <w:rPr>
          <w:rFonts w:hint="eastAsia" w:cs="宋体"/>
          <w:color w:val="auto"/>
          <w:sz w:val="21"/>
          <w:szCs w:val="21"/>
          <w:highlight w:val="none"/>
        </w:rPr>
        <w:t>本企业对上述声明内容的真实性负责。如有虚假，将依法承担相应责任。</w:t>
      </w:r>
    </w:p>
    <w:p w14:paraId="31A667C7">
      <w:pPr>
        <w:pStyle w:val="32"/>
        <w:spacing w:after="40" w:line="499" w:lineRule="exact"/>
        <w:ind w:firstLine="640"/>
        <w:jc w:val="both"/>
        <w:rPr>
          <w:rFonts w:hint="eastAsia" w:cs="宋体"/>
          <w:color w:val="auto"/>
          <w:sz w:val="21"/>
          <w:szCs w:val="21"/>
          <w:highlight w:val="none"/>
        </w:rPr>
      </w:pPr>
    </w:p>
    <w:p w14:paraId="585C9D65">
      <w:pPr>
        <w:pStyle w:val="32"/>
        <w:spacing w:line="506" w:lineRule="exact"/>
        <w:ind w:firstLine="640"/>
        <w:jc w:val="both"/>
        <w:rPr>
          <w:rFonts w:hint="eastAsia" w:cs="宋体"/>
          <w:color w:val="auto"/>
          <w:sz w:val="21"/>
          <w:szCs w:val="21"/>
          <w:highlight w:val="none"/>
        </w:rPr>
      </w:pPr>
      <w:r>
        <w:rPr>
          <w:rFonts w:hint="eastAsia" w:cs="宋体"/>
          <w:color w:val="auto"/>
          <w:sz w:val="21"/>
          <w:szCs w:val="21"/>
          <w:highlight w:val="none"/>
        </w:rPr>
        <w:t xml:space="preserve">                          企业名称（盖章）：</w:t>
      </w:r>
    </w:p>
    <w:p w14:paraId="32ACEE50">
      <w:pPr>
        <w:pStyle w:val="32"/>
        <w:spacing w:line="506" w:lineRule="exact"/>
        <w:ind w:firstLine="640"/>
        <w:jc w:val="both"/>
        <w:rPr>
          <w:rFonts w:hint="eastAsia" w:cs="宋体"/>
          <w:color w:val="auto"/>
          <w:sz w:val="21"/>
          <w:szCs w:val="21"/>
          <w:highlight w:val="none"/>
        </w:rPr>
      </w:pPr>
      <w:r>
        <w:rPr>
          <w:rFonts w:hint="eastAsia" w:cs="宋体"/>
          <w:color w:val="auto"/>
          <w:sz w:val="21"/>
          <w:szCs w:val="21"/>
          <w:highlight w:val="none"/>
        </w:rPr>
        <w:t xml:space="preserve">                          日期：</w:t>
      </w:r>
    </w:p>
    <w:p w14:paraId="76E4B0CC">
      <w:pPr>
        <w:pStyle w:val="38"/>
        <w:spacing w:after="0"/>
        <w:rPr>
          <w:rFonts w:hint="eastAsia" w:eastAsia="宋体" w:cs="宋体"/>
          <w:color w:val="auto"/>
          <w:sz w:val="21"/>
          <w:szCs w:val="21"/>
          <w:highlight w:val="none"/>
        </w:rPr>
      </w:pPr>
    </w:p>
    <w:p w14:paraId="1D8B9EB9">
      <w:pPr>
        <w:pStyle w:val="38"/>
        <w:spacing w:after="0" w:line="360" w:lineRule="exact"/>
        <w:jc w:val="left"/>
        <w:rPr>
          <w:rFonts w:hint="eastAsia" w:eastAsia="宋体" w:cs="宋体"/>
          <w:color w:val="auto"/>
          <w:sz w:val="21"/>
          <w:szCs w:val="21"/>
          <w:highlight w:val="none"/>
        </w:rPr>
      </w:pPr>
      <w:r>
        <w:rPr>
          <w:rFonts w:hint="eastAsia" w:eastAsia="宋体" w:cs="宋体"/>
          <w:color w:val="auto"/>
          <w:sz w:val="21"/>
          <w:szCs w:val="21"/>
          <w:highlight w:val="none"/>
        </w:rPr>
        <w:t>备注：</w:t>
      </w:r>
    </w:p>
    <w:p w14:paraId="176228F1">
      <w:pPr>
        <w:pStyle w:val="38"/>
        <w:spacing w:after="0" w:line="360" w:lineRule="exact"/>
        <w:jc w:val="left"/>
        <w:rPr>
          <w:rFonts w:hint="eastAsia" w:eastAsia="宋体" w:cs="宋体"/>
          <w:color w:val="auto"/>
          <w:sz w:val="21"/>
          <w:szCs w:val="21"/>
          <w:highlight w:val="none"/>
        </w:rPr>
      </w:pPr>
      <w:r>
        <w:rPr>
          <w:rFonts w:hint="eastAsia" w:eastAsia="宋体" w:cs="宋体"/>
          <w:color w:val="auto"/>
          <w:sz w:val="21"/>
          <w:szCs w:val="21"/>
          <w:highlight w:val="none"/>
        </w:rPr>
        <w:t>1、从业人员、营业收入、资产总额填报上一年度数据，无上一年度数据的新成立企业可不填报。2、采购文件中明确的所属行业名称是根据《关于印发中小企业划型标准规定的通知》（工信部联企业[2011]300号）规定确定。</w:t>
      </w:r>
    </w:p>
    <w:p w14:paraId="1C495951">
      <w:pPr>
        <w:spacing w:line="300" w:lineRule="auto"/>
        <w:ind w:left="420" w:hanging="420"/>
        <w:rPr>
          <w:rFonts w:hint="eastAsia" w:ascii="宋体" w:hAnsi="宋体" w:eastAsia="宋体" w:cs="宋体"/>
          <w:i w:val="0"/>
          <w:caps w:val="0"/>
          <w:color w:val="auto"/>
          <w:spacing w:val="0"/>
          <w:kern w:val="0"/>
          <w:sz w:val="21"/>
          <w:szCs w:val="21"/>
          <w:highlight w:val="none"/>
          <w:shd w:val="clear" w:color="auto" w:fill="FFFFFF"/>
          <w:lang w:val="en-US" w:eastAsia="zh-CN" w:bidi="ar-SA"/>
        </w:rPr>
      </w:pPr>
    </w:p>
    <w:p w14:paraId="6CD67726">
      <w:pPr>
        <w:spacing w:line="300" w:lineRule="auto"/>
        <w:ind w:left="420" w:hanging="420"/>
        <w:rPr>
          <w:rFonts w:hint="eastAsia" w:ascii="宋体" w:hAnsi="宋体" w:eastAsia="宋体" w:cs="宋体"/>
          <w:i w:val="0"/>
          <w:caps w:val="0"/>
          <w:color w:val="auto"/>
          <w:spacing w:val="0"/>
          <w:kern w:val="0"/>
          <w:sz w:val="21"/>
          <w:szCs w:val="21"/>
          <w:highlight w:val="none"/>
          <w:shd w:val="clear" w:color="auto" w:fill="FFFFFF"/>
          <w:lang w:val="en-US" w:eastAsia="zh-CN" w:bidi="ar-SA"/>
        </w:rPr>
      </w:pPr>
    </w:p>
    <w:p w14:paraId="392587D6">
      <w:pPr>
        <w:spacing w:line="300" w:lineRule="auto"/>
        <w:ind w:left="420" w:hanging="420"/>
        <w:rPr>
          <w:rFonts w:hint="eastAsia" w:ascii="宋体" w:hAnsi="宋体" w:eastAsia="宋体" w:cs="宋体"/>
          <w:i w:val="0"/>
          <w:caps w:val="0"/>
          <w:color w:val="auto"/>
          <w:spacing w:val="0"/>
          <w:kern w:val="0"/>
          <w:sz w:val="21"/>
          <w:szCs w:val="21"/>
          <w:highlight w:val="none"/>
          <w:shd w:val="clear" w:color="auto" w:fill="FFFFFF"/>
          <w:lang w:val="en-US" w:eastAsia="zh-CN" w:bidi="ar-SA"/>
        </w:rPr>
      </w:pPr>
    </w:p>
    <w:p w14:paraId="5DA79614">
      <w:pPr>
        <w:spacing w:line="300" w:lineRule="auto"/>
        <w:ind w:left="420" w:hanging="420"/>
        <w:rPr>
          <w:rFonts w:hint="eastAsia" w:ascii="宋体" w:hAnsi="宋体" w:eastAsia="宋体" w:cs="宋体"/>
          <w:i w:val="0"/>
          <w:caps w:val="0"/>
          <w:color w:val="auto"/>
          <w:spacing w:val="0"/>
          <w:kern w:val="0"/>
          <w:sz w:val="21"/>
          <w:szCs w:val="21"/>
          <w:highlight w:val="none"/>
          <w:shd w:val="clear" w:color="auto" w:fill="FFFFFF"/>
          <w:lang w:val="en-US" w:eastAsia="zh-CN" w:bidi="ar-SA"/>
        </w:rPr>
      </w:pPr>
    </w:p>
    <w:p w14:paraId="01ED5800">
      <w:pPr>
        <w:spacing w:line="300" w:lineRule="auto"/>
        <w:ind w:left="420" w:hanging="420"/>
        <w:rPr>
          <w:rFonts w:hint="eastAsia" w:ascii="宋体" w:hAnsi="宋体" w:eastAsia="宋体" w:cs="宋体"/>
          <w:i w:val="0"/>
          <w:caps w:val="0"/>
          <w:color w:val="auto"/>
          <w:spacing w:val="0"/>
          <w:kern w:val="0"/>
          <w:sz w:val="21"/>
          <w:szCs w:val="21"/>
          <w:highlight w:val="none"/>
          <w:shd w:val="clear" w:color="auto" w:fill="FFFFFF"/>
          <w:lang w:val="en-US" w:eastAsia="zh-CN" w:bidi="ar-SA"/>
        </w:rPr>
      </w:pPr>
    </w:p>
    <w:p w14:paraId="42E0DBEC">
      <w:pPr>
        <w:pageBreakBefore/>
        <w:autoSpaceDE w:val="0"/>
        <w:autoSpaceDN w:val="0"/>
        <w:spacing w:line="300" w:lineRule="auto"/>
        <w:ind w:left="482" w:hanging="482"/>
        <w:rPr>
          <w:rFonts w:hint="eastAsia" w:ascii="宋体" w:hAnsi="宋体" w:cs="宋体"/>
          <w:color w:val="auto"/>
          <w:highlight w:val="none"/>
        </w:rPr>
      </w:pPr>
    </w:p>
    <w:p w14:paraId="098AC393">
      <w:pPr>
        <w:spacing w:line="300" w:lineRule="auto"/>
        <w:ind w:left="420" w:hanging="420"/>
        <w:jc w:val="center"/>
        <w:rPr>
          <w:rFonts w:hint="eastAsia" w:ascii="宋体" w:hAnsi="宋体" w:cs="宋体"/>
          <w:b/>
          <w:color w:val="auto"/>
          <w:kern w:val="0"/>
          <w:highlight w:val="none"/>
        </w:rPr>
      </w:pPr>
    </w:p>
    <w:p w14:paraId="49EE0932">
      <w:pPr>
        <w:spacing w:line="300" w:lineRule="auto"/>
        <w:ind w:left="420" w:hanging="420"/>
        <w:jc w:val="center"/>
        <w:rPr>
          <w:rFonts w:hint="eastAsia" w:ascii="宋体" w:hAnsi="宋体" w:cs="宋体"/>
          <w:b/>
          <w:color w:val="auto"/>
          <w:kern w:val="0"/>
          <w:highlight w:val="none"/>
        </w:rPr>
      </w:pPr>
    </w:p>
    <w:p w14:paraId="3F6FB322">
      <w:pPr>
        <w:spacing w:line="300" w:lineRule="auto"/>
        <w:ind w:left="420" w:hanging="420"/>
        <w:jc w:val="center"/>
        <w:rPr>
          <w:rFonts w:hint="eastAsia" w:ascii="宋体" w:hAnsi="宋体" w:cs="宋体"/>
          <w:b/>
          <w:color w:val="auto"/>
          <w:kern w:val="0"/>
          <w:highlight w:val="none"/>
        </w:rPr>
      </w:pPr>
    </w:p>
    <w:p w14:paraId="2606B039">
      <w:pPr>
        <w:spacing w:line="300" w:lineRule="auto"/>
        <w:ind w:left="420" w:hanging="420"/>
        <w:jc w:val="center"/>
        <w:rPr>
          <w:rFonts w:hint="eastAsia" w:ascii="宋体" w:hAnsi="宋体" w:cs="宋体"/>
          <w:b/>
          <w:color w:val="auto"/>
          <w:kern w:val="0"/>
          <w:highlight w:val="none"/>
        </w:rPr>
      </w:pPr>
    </w:p>
    <w:p w14:paraId="1FF67874">
      <w:pPr>
        <w:spacing w:line="300" w:lineRule="auto"/>
        <w:ind w:left="420" w:hanging="420"/>
        <w:jc w:val="center"/>
        <w:rPr>
          <w:rFonts w:hint="eastAsia" w:ascii="宋体" w:hAnsi="宋体" w:cs="宋体"/>
          <w:b/>
          <w:color w:val="auto"/>
          <w:kern w:val="0"/>
          <w:highlight w:val="none"/>
        </w:rPr>
      </w:pPr>
    </w:p>
    <w:p w14:paraId="6325F190">
      <w:pPr>
        <w:spacing w:line="300" w:lineRule="auto"/>
        <w:ind w:left="420" w:hanging="420"/>
        <w:jc w:val="center"/>
        <w:rPr>
          <w:rFonts w:hint="eastAsia" w:ascii="宋体" w:hAnsi="宋体" w:cs="宋体"/>
          <w:b/>
          <w:color w:val="auto"/>
          <w:kern w:val="0"/>
          <w:highlight w:val="none"/>
        </w:rPr>
      </w:pPr>
    </w:p>
    <w:p w14:paraId="37E7C879">
      <w:pPr>
        <w:spacing w:line="300" w:lineRule="auto"/>
        <w:ind w:left="420" w:hanging="420"/>
        <w:jc w:val="center"/>
        <w:rPr>
          <w:rFonts w:hint="eastAsia" w:ascii="宋体" w:hAnsi="宋体" w:cs="宋体"/>
          <w:b/>
          <w:color w:val="auto"/>
          <w:kern w:val="0"/>
          <w:highlight w:val="none"/>
        </w:rPr>
      </w:pPr>
    </w:p>
    <w:p w14:paraId="5482C1E1">
      <w:pPr>
        <w:spacing w:line="300" w:lineRule="auto"/>
        <w:ind w:left="420" w:hanging="420"/>
        <w:jc w:val="center"/>
        <w:rPr>
          <w:rFonts w:hint="eastAsia" w:ascii="宋体" w:hAnsi="宋体" w:cs="宋体"/>
          <w:b/>
          <w:color w:val="auto"/>
          <w:kern w:val="0"/>
          <w:highlight w:val="none"/>
        </w:rPr>
      </w:pPr>
    </w:p>
    <w:p w14:paraId="10860446">
      <w:pPr>
        <w:spacing w:line="300" w:lineRule="auto"/>
        <w:ind w:left="420" w:hanging="420"/>
        <w:jc w:val="center"/>
        <w:rPr>
          <w:rFonts w:hint="eastAsia" w:ascii="宋体" w:hAnsi="宋体" w:cs="宋体"/>
          <w:b/>
          <w:color w:val="auto"/>
          <w:kern w:val="0"/>
          <w:highlight w:val="none"/>
        </w:rPr>
      </w:pPr>
    </w:p>
    <w:p w14:paraId="3809E182">
      <w:pPr>
        <w:spacing w:line="300" w:lineRule="auto"/>
        <w:ind w:left="420" w:hanging="420"/>
        <w:jc w:val="center"/>
        <w:rPr>
          <w:rFonts w:hint="eastAsia" w:ascii="宋体" w:hAnsi="宋体" w:cs="宋体"/>
          <w:b/>
          <w:color w:val="auto"/>
          <w:kern w:val="0"/>
          <w:highlight w:val="none"/>
        </w:rPr>
      </w:pPr>
    </w:p>
    <w:p w14:paraId="394B68C0">
      <w:pPr>
        <w:spacing w:line="300" w:lineRule="auto"/>
        <w:ind w:left="420" w:hanging="420"/>
        <w:jc w:val="center"/>
        <w:rPr>
          <w:rFonts w:hint="eastAsia" w:ascii="宋体" w:hAnsi="宋体" w:cs="宋体"/>
          <w:b/>
          <w:color w:val="auto"/>
          <w:kern w:val="0"/>
          <w:highlight w:val="none"/>
        </w:rPr>
      </w:pPr>
    </w:p>
    <w:p w14:paraId="2CC70ACE">
      <w:pPr>
        <w:spacing w:line="300" w:lineRule="auto"/>
        <w:ind w:left="420" w:hanging="420"/>
        <w:jc w:val="center"/>
        <w:rPr>
          <w:rFonts w:hint="eastAsia" w:ascii="宋体" w:hAnsi="宋体" w:cs="宋体"/>
          <w:b/>
          <w:color w:val="auto"/>
          <w:kern w:val="0"/>
          <w:highlight w:val="none"/>
        </w:rPr>
      </w:pPr>
    </w:p>
    <w:p w14:paraId="45FC3429">
      <w:pPr>
        <w:pStyle w:val="3"/>
        <w:jc w:val="center"/>
        <w:rPr>
          <w:rFonts w:hint="eastAsia" w:ascii="宋体" w:hAnsi="宋体" w:cs="宋体"/>
          <w:color w:val="auto"/>
          <w:sz w:val="44"/>
          <w:szCs w:val="44"/>
          <w:highlight w:val="none"/>
        </w:rPr>
      </w:pPr>
      <w:bookmarkStart w:id="38" w:name="_Toc18481388"/>
      <w:r>
        <w:rPr>
          <w:rFonts w:hint="eastAsia" w:ascii="宋体" w:hAnsi="宋体" w:cs="宋体"/>
          <w:color w:val="auto"/>
          <w:sz w:val="44"/>
          <w:szCs w:val="44"/>
          <w:highlight w:val="none"/>
        </w:rPr>
        <w:t>第五章  合同主要条款</w:t>
      </w:r>
      <w:bookmarkEnd w:id="38"/>
    </w:p>
    <w:p w14:paraId="451C9256">
      <w:pPr>
        <w:spacing w:line="300" w:lineRule="auto"/>
        <w:ind w:left="420" w:hanging="420"/>
        <w:jc w:val="center"/>
        <w:rPr>
          <w:rFonts w:hint="eastAsia" w:ascii="宋体" w:hAnsi="宋体" w:cs="宋体"/>
          <w:b/>
          <w:color w:val="auto"/>
          <w:kern w:val="0"/>
          <w:highlight w:val="none"/>
        </w:rPr>
      </w:pPr>
    </w:p>
    <w:p w14:paraId="211E5275">
      <w:pPr>
        <w:pStyle w:val="11"/>
        <w:pageBreakBefore/>
        <w:jc w:val="center"/>
        <w:rPr>
          <w:rFonts w:hint="eastAsia" w:hAnsi="宋体" w:cs="宋体"/>
          <w:b/>
          <w:color w:val="auto"/>
          <w:kern w:val="0"/>
          <w:szCs w:val="21"/>
          <w:highlight w:val="none"/>
        </w:rPr>
      </w:pPr>
    </w:p>
    <w:p w14:paraId="666160DB">
      <w:pPr>
        <w:pStyle w:val="11"/>
        <w:jc w:val="center"/>
        <w:rPr>
          <w:rFonts w:hint="eastAsia" w:hAnsi="宋体" w:cs="宋体"/>
          <w:b/>
          <w:color w:val="auto"/>
          <w:sz w:val="52"/>
          <w:szCs w:val="52"/>
          <w:highlight w:val="none"/>
        </w:rPr>
      </w:pPr>
      <w:r>
        <w:rPr>
          <w:rFonts w:hint="eastAsia" w:hAnsi="宋体" w:cs="宋体"/>
          <w:b/>
          <w:color w:val="auto"/>
          <w:sz w:val="52"/>
          <w:szCs w:val="52"/>
          <w:highlight w:val="none"/>
        </w:rPr>
        <w:t>广西壮族自治区政府采购合同</w:t>
      </w:r>
    </w:p>
    <w:p w14:paraId="1C20985E">
      <w:pPr>
        <w:pStyle w:val="11"/>
        <w:rPr>
          <w:rFonts w:hint="eastAsia" w:hAnsi="宋体" w:cs="宋体"/>
          <w:color w:val="auto"/>
          <w:szCs w:val="21"/>
          <w:highlight w:val="none"/>
        </w:rPr>
      </w:pPr>
    </w:p>
    <w:p w14:paraId="1AD3F42A">
      <w:pPr>
        <w:pStyle w:val="11"/>
        <w:rPr>
          <w:rFonts w:hint="eastAsia" w:hAnsi="宋体" w:cs="宋体"/>
          <w:color w:val="auto"/>
          <w:szCs w:val="21"/>
          <w:highlight w:val="none"/>
        </w:rPr>
      </w:pPr>
    </w:p>
    <w:p w14:paraId="62CEC36C">
      <w:pPr>
        <w:pStyle w:val="11"/>
        <w:rPr>
          <w:rFonts w:hint="eastAsia" w:hAnsi="宋体" w:cs="宋体"/>
          <w:color w:val="auto"/>
          <w:szCs w:val="21"/>
          <w:highlight w:val="none"/>
        </w:rPr>
      </w:pPr>
    </w:p>
    <w:p w14:paraId="51C76D17">
      <w:pPr>
        <w:pStyle w:val="11"/>
        <w:rPr>
          <w:rFonts w:hint="eastAsia" w:hAnsi="宋体" w:cs="宋体"/>
          <w:color w:val="auto"/>
          <w:szCs w:val="21"/>
          <w:highlight w:val="none"/>
        </w:rPr>
      </w:pPr>
    </w:p>
    <w:p w14:paraId="74429D0C">
      <w:pPr>
        <w:pStyle w:val="11"/>
        <w:rPr>
          <w:rFonts w:hint="eastAsia" w:hAnsi="宋体" w:cs="宋体"/>
          <w:color w:val="auto"/>
          <w:szCs w:val="21"/>
          <w:highlight w:val="none"/>
        </w:rPr>
      </w:pPr>
    </w:p>
    <w:p w14:paraId="5EC6A0E0">
      <w:pPr>
        <w:tabs>
          <w:tab w:val="left" w:pos="721"/>
          <w:tab w:val="left" w:pos="7920"/>
        </w:tabs>
        <w:spacing w:line="360" w:lineRule="exact"/>
        <w:ind w:firstLine="1306" w:firstLineChars="500"/>
        <w:rPr>
          <w:rFonts w:hint="eastAsia" w:ascii="宋体" w:hAnsi="宋体" w:cs="宋体"/>
          <w:b/>
          <w:color w:val="auto"/>
          <w:sz w:val="30"/>
          <w:szCs w:val="30"/>
          <w:highlight w:val="none"/>
        </w:rPr>
      </w:pPr>
      <w:r>
        <w:rPr>
          <w:rFonts w:hint="eastAsia" w:ascii="宋体" w:hAnsi="宋体" w:cs="宋体"/>
          <w:b/>
          <w:color w:val="auto"/>
          <w:spacing w:val="-20"/>
          <w:sz w:val="30"/>
          <w:szCs w:val="30"/>
          <w:highlight w:val="none"/>
        </w:rPr>
        <w:t>合 同 名 称：</w:t>
      </w:r>
      <w:r>
        <w:rPr>
          <w:rFonts w:hint="eastAsia" w:ascii="宋体" w:hAnsi="宋体" w:cs="宋体"/>
          <w:b/>
          <w:color w:val="auto"/>
          <w:sz w:val="30"/>
          <w:szCs w:val="30"/>
          <w:highlight w:val="none"/>
          <w:u w:val="single"/>
        </w:rPr>
        <w:t xml:space="preserve">                                 </w:t>
      </w:r>
    </w:p>
    <w:p w14:paraId="401F9C45">
      <w:pPr>
        <w:tabs>
          <w:tab w:val="left" w:pos="721"/>
        </w:tabs>
        <w:spacing w:line="360" w:lineRule="exact"/>
        <w:rPr>
          <w:rFonts w:hint="eastAsia" w:ascii="宋体" w:hAnsi="宋体" w:cs="宋体"/>
          <w:b/>
          <w:color w:val="auto"/>
          <w:spacing w:val="-20"/>
          <w:sz w:val="30"/>
          <w:szCs w:val="30"/>
          <w:highlight w:val="none"/>
        </w:rPr>
      </w:pPr>
    </w:p>
    <w:p w14:paraId="1BC220D6">
      <w:pPr>
        <w:tabs>
          <w:tab w:val="left" w:pos="721"/>
        </w:tabs>
        <w:spacing w:line="360" w:lineRule="exact"/>
        <w:ind w:firstLine="1306" w:firstLineChars="500"/>
        <w:rPr>
          <w:rFonts w:hint="eastAsia" w:ascii="宋体" w:hAnsi="宋体" w:cs="宋体"/>
          <w:b/>
          <w:color w:val="auto"/>
          <w:spacing w:val="-20"/>
          <w:sz w:val="30"/>
          <w:szCs w:val="30"/>
          <w:highlight w:val="none"/>
        </w:rPr>
      </w:pPr>
    </w:p>
    <w:p w14:paraId="697C64D8">
      <w:pPr>
        <w:tabs>
          <w:tab w:val="left" w:pos="721"/>
        </w:tabs>
        <w:spacing w:line="360" w:lineRule="exact"/>
        <w:ind w:firstLine="1306" w:firstLineChars="500"/>
        <w:rPr>
          <w:rFonts w:hint="eastAsia" w:ascii="宋体" w:hAnsi="宋体" w:cs="宋体"/>
          <w:b/>
          <w:color w:val="auto"/>
          <w:sz w:val="30"/>
          <w:szCs w:val="30"/>
          <w:highlight w:val="none"/>
          <w:u w:val="single"/>
        </w:rPr>
      </w:pPr>
      <w:r>
        <w:rPr>
          <w:rFonts w:hint="eastAsia" w:ascii="宋体" w:hAnsi="宋体" w:cs="宋体"/>
          <w:b/>
          <w:color w:val="auto"/>
          <w:spacing w:val="-20"/>
          <w:sz w:val="30"/>
          <w:szCs w:val="30"/>
          <w:highlight w:val="none"/>
        </w:rPr>
        <w:t>合 同 编 号：</w:t>
      </w:r>
      <w:r>
        <w:rPr>
          <w:rFonts w:hint="eastAsia" w:ascii="宋体" w:hAnsi="宋体" w:cs="宋体"/>
          <w:b/>
          <w:color w:val="auto"/>
          <w:sz w:val="30"/>
          <w:szCs w:val="30"/>
          <w:highlight w:val="none"/>
          <w:u w:val="single"/>
        </w:rPr>
        <w:t xml:space="preserve">                                  </w:t>
      </w:r>
    </w:p>
    <w:p w14:paraId="352C417C">
      <w:pPr>
        <w:tabs>
          <w:tab w:val="left" w:pos="721"/>
        </w:tabs>
        <w:spacing w:line="360" w:lineRule="exact"/>
        <w:rPr>
          <w:rFonts w:hint="eastAsia" w:ascii="宋体" w:hAnsi="宋体" w:cs="宋体"/>
          <w:b/>
          <w:color w:val="auto"/>
          <w:sz w:val="30"/>
          <w:szCs w:val="30"/>
          <w:highlight w:val="none"/>
        </w:rPr>
      </w:pPr>
    </w:p>
    <w:p w14:paraId="5C1CBB4C">
      <w:pPr>
        <w:tabs>
          <w:tab w:val="left" w:pos="721"/>
        </w:tabs>
        <w:spacing w:line="360" w:lineRule="exact"/>
        <w:ind w:firstLine="1355" w:firstLineChars="450"/>
        <w:rPr>
          <w:rFonts w:hint="eastAsia" w:ascii="宋体" w:hAnsi="宋体" w:cs="宋体"/>
          <w:b/>
          <w:color w:val="auto"/>
          <w:sz w:val="30"/>
          <w:szCs w:val="30"/>
          <w:highlight w:val="none"/>
        </w:rPr>
      </w:pPr>
    </w:p>
    <w:p w14:paraId="5133E549">
      <w:pPr>
        <w:tabs>
          <w:tab w:val="left" w:pos="721"/>
        </w:tabs>
        <w:spacing w:line="360" w:lineRule="exact"/>
        <w:ind w:firstLine="1355" w:firstLineChars="450"/>
        <w:rPr>
          <w:rFonts w:hint="eastAsia" w:ascii="宋体" w:hAnsi="宋体" w:cs="宋体"/>
          <w:b/>
          <w:color w:val="auto"/>
          <w:sz w:val="30"/>
          <w:szCs w:val="30"/>
          <w:highlight w:val="none"/>
          <w:u w:val="single"/>
        </w:rPr>
      </w:pPr>
      <w:r>
        <w:rPr>
          <w:rFonts w:hint="eastAsia" w:ascii="宋体" w:hAnsi="宋体" w:cs="宋体"/>
          <w:b/>
          <w:color w:val="auto"/>
          <w:sz w:val="30"/>
          <w:szCs w:val="30"/>
          <w:highlight w:val="none"/>
        </w:rPr>
        <w:t>采购单位（甲方）</w:t>
      </w:r>
      <w:r>
        <w:rPr>
          <w:rFonts w:hint="eastAsia" w:ascii="宋体" w:hAnsi="宋体" w:cs="宋体"/>
          <w:b/>
          <w:color w:val="auto"/>
          <w:sz w:val="30"/>
          <w:szCs w:val="30"/>
          <w:highlight w:val="none"/>
          <w:u w:val="single"/>
        </w:rPr>
        <w:t xml:space="preserve">                            </w:t>
      </w:r>
    </w:p>
    <w:p w14:paraId="0C599DC7">
      <w:pPr>
        <w:tabs>
          <w:tab w:val="left" w:pos="721"/>
        </w:tabs>
        <w:spacing w:before="312" w:line="360" w:lineRule="exact"/>
        <w:ind w:firstLine="1355" w:firstLineChars="450"/>
        <w:rPr>
          <w:rFonts w:hint="eastAsia" w:ascii="宋体" w:hAnsi="宋体" w:cs="宋体"/>
          <w:b/>
          <w:color w:val="auto"/>
          <w:sz w:val="30"/>
          <w:szCs w:val="30"/>
          <w:highlight w:val="none"/>
        </w:rPr>
      </w:pPr>
      <w:r>
        <w:rPr>
          <w:rFonts w:hint="eastAsia" w:ascii="宋体" w:hAnsi="宋体" w:cs="宋体"/>
          <w:b/>
          <w:color w:val="auto"/>
          <w:sz w:val="30"/>
          <w:szCs w:val="30"/>
          <w:highlight w:val="none"/>
        </w:rPr>
        <w:t>住  所：</w:t>
      </w:r>
      <w:r>
        <w:rPr>
          <w:rFonts w:hint="eastAsia" w:ascii="宋体" w:hAnsi="宋体" w:cs="宋体"/>
          <w:b/>
          <w:color w:val="auto"/>
          <w:sz w:val="30"/>
          <w:szCs w:val="30"/>
          <w:highlight w:val="none"/>
          <w:u w:val="single"/>
        </w:rPr>
        <w:t xml:space="preserve">                                    </w:t>
      </w:r>
    </w:p>
    <w:p w14:paraId="7A53C3BC">
      <w:pPr>
        <w:tabs>
          <w:tab w:val="left" w:pos="721"/>
        </w:tabs>
        <w:spacing w:line="360" w:lineRule="exact"/>
        <w:ind w:firstLine="1355" w:firstLineChars="450"/>
        <w:rPr>
          <w:rFonts w:hint="eastAsia" w:ascii="宋体" w:hAnsi="宋体" w:cs="宋体"/>
          <w:b/>
          <w:color w:val="auto"/>
          <w:sz w:val="30"/>
          <w:szCs w:val="30"/>
          <w:highlight w:val="none"/>
        </w:rPr>
      </w:pPr>
    </w:p>
    <w:p w14:paraId="1438E5E1">
      <w:pPr>
        <w:tabs>
          <w:tab w:val="left" w:pos="721"/>
        </w:tabs>
        <w:spacing w:line="360" w:lineRule="exact"/>
        <w:ind w:firstLine="1355" w:firstLineChars="450"/>
        <w:rPr>
          <w:rFonts w:hint="eastAsia" w:ascii="宋体" w:hAnsi="宋体" w:cs="宋体"/>
          <w:b/>
          <w:color w:val="auto"/>
          <w:sz w:val="30"/>
          <w:szCs w:val="30"/>
          <w:highlight w:val="none"/>
        </w:rPr>
      </w:pPr>
    </w:p>
    <w:p w14:paraId="216760FB">
      <w:pPr>
        <w:tabs>
          <w:tab w:val="left" w:pos="721"/>
        </w:tabs>
        <w:spacing w:line="360" w:lineRule="exact"/>
        <w:ind w:firstLine="1355" w:firstLineChars="450"/>
        <w:rPr>
          <w:rFonts w:hint="eastAsia" w:ascii="宋体" w:hAnsi="宋体" w:cs="宋体"/>
          <w:b/>
          <w:color w:val="auto"/>
          <w:sz w:val="30"/>
          <w:szCs w:val="30"/>
          <w:highlight w:val="none"/>
          <w:u w:val="single"/>
        </w:rPr>
      </w:pPr>
      <w:r>
        <w:rPr>
          <w:rFonts w:hint="eastAsia" w:ascii="宋体" w:hAnsi="宋体" w:cs="宋体"/>
          <w:b/>
          <w:color w:val="auto"/>
          <w:sz w:val="30"/>
          <w:szCs w:val="30"/>
          <w:highlight w:val="none"/>
        </w:rPr>
        <w:t>供 应 商（乙方）</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 xml:space="preserve"> </w:t>
      </w:r>
    </w:p>
    <w:p w14:paraId="0852470C">
      <w:pPr>
        <w:tabs>
          <w:tab w:val="left" w:pos="721"/>
        </w:tabs>
        <w:spacing w:before="312" w:line="360" w:lineRule="exact"/>
        <w:ind w:firstLine="1355" w:firstLineChars="450"/>
        <w:rPr>
          <w:rFonts w:hint="eastAsia" w:ascii="宋体" w:hAnsi="宋体" w:cs="宋体"/>
          <w:b/>
          <w:color w:val="auto"/>
          <w:sz w:val="30"/>
          <w:szCs w:val="30"/>
          <w:highlight w:val="none"/>
          <w:u w:val="single"/>
        </w:rPr>
      </w:pPr>
      <w:r>
        <w:rPr>
          <w:rFonts w:hint="eastAsia" w:ascii="宋体" w:hAnsi="宋体" w:cs="宋体"/>
          <w:b/>
          <w:color w:val="auto"/>
          <w:sz w:val="30"/>
          <w:szCs w:val="30"/>
          <w:highlight w:val="none"/>
        </w:rPr>
        <w:t>住  所：</w:t>
      </w:r>
      <w:r>
        <w:rPr>
          <w:rFonts w:hint="eastAsia" w:ascii="宋体" w:hAnsi="宋体" w:cs="宋体"/>
          <w:b/>
          <w:color w:val="auto"/>
          <w:sz w:val="30"/>
          <w:szCs w:val="30"/>
          <w:highlight w:val="none"/>
          <w:u w:val="single"/>
        </w:rPr>
        <w:t xml:space="preserve">                                    </w:t>
      </w:r>
    </w:p>
    <w:p w14:paraId="11DFE11D">
      <w:pPr>
        <w:tabs>
          <w:tab w:val="left" w:pos="721"/>
        </w:tabs>
        <w:spacing w:line="360" w:lineRule="exact"/>
        <w:rPr>
          <w:rFonts w:hint="eastAsia" w:ascii="宋体" w:hAnsi="宋体" w:cs="宋体"/>
          <w:b/>
          <w:color w:val="auto"/>
          <w:sz w:val="30"/>
          <w:szCs w:val="30"/>
          <w:highlight w:val="none"/>
        </w:rPr>
      </w:pPr>
    </w:p>
    <w:p w14:paraId="551543EC">
      <w:pPr>
        <w:tabs>
          <w:tab w:val="left" w:pos="721"/>
        </w:tabs>
        <w:spacing w:line="360" w:lineRule="exact"/>
        <w:ind w:firstLine="1355" w:firstLineChars="450"/>
        <w:rPr>
          <w:rFonts w:hint="eastAsia" w:ascii="宋体" w:hAnsi="宋体" w:cs="宋体"/>
          <w:b/>
          <w:color w:val="auto"/>
          <w:sz w:val="30"/>
          <w:szCs w:val="30"/>
          <w:highlight w:val="none"/>
        </w:rPr>
      </w:pPr>
    </w:p>
    <w:p w14:paraId="22B014DC">
      <w:pPr>
        <w:tabs>
          <w:tab w:val="left" w:pos="721"/>
        </w:tabs>
        <w:spacing w:line="360" w:lineRule="exact"/>
        <w:ind w:firstLine="1355" w:firstLineChars="450"/>
        <w:rPr>
          <w:rFonts w:hint="eastAsia" w:ascii="宋体" w:hAnsi="宋体" w:cs="宋体"/>
          <w:b/>
          <w:color w:val="auto"/>
          <w:sz w:val="30"/>
          <w:szCs w:val="30"/>
          <w:highlight w:val="none"/>
          <w:u w:val="single"/>
        </w:rPr>
      </w:pPr>
      <w:r>
        <w:rPr>
          <w:rFonts w:hint="eastAsia" w:ascii="宋体" w:hAnsi="宋体" w:cs="宋体"/>
          <w:b/>
          <w:color w:val="auto"/>
          <w:sz w:val="30"/>
          <w:szCs w:val="30"/>
          <w:highlight w:val="none"/>
        </w:rPr>
        <w:t>签订合同地点：</w:t>
      </w:r>
      <w:r>
        <w:rPr>
          <w:rFonts w:hint="eastAsia" w:ascii="宋体" w:hAnsi="宋体" w:cs="宋体"/>
          <w:b/>
          <w:color w:val="auto"/>
          <w:sz w:val="30"/>
          <w:szCs w:val="30"/>
          <w:highlight w:val="none"/>
          <w:u w:val="single"/>
        </w:rPr>
        <w:t xml:space="preserve">                              </w:t>
      </w:r>
    </w:p>
    <w:p w14:paraId="25E8BE46">
      <w:pPr>
        <w:tabs>
          <w:tab w:val="left" w:pos="721"/>
        </w:tabs>
        <w:spacing w:line="360" w:lineRule="exact"/>
        <w:rPr>
          <w:rFonts w:hint="eastAsia" w:ascii="宋体" w:hAnsi="宋体" w:cs="宋体"/>
          <w:b/>
          <w:color w:val="auto"/>
          <w:sz w:val="30"/>
          <w:szCs w:val="30"/>
          <w:highlight w:val="none"/>
        </w:rPr>
      </w:pPr>
    </w:p>
    <w:p w14:paraId="42DFAD8D">
      <w:pPr>
        <w:tabs>
          <w:tab w:val="left" w:pos="721"/>
        </w:tabs>
        <w:spacing w:line="360" w:lineRule="exact"/>
        <w:ind w:firstLine="1355" w:firstLineChars="450"/>
        <w:rPr>
          <w:rFonts w:hint="eastAsia" w:ascii="宋体" w:hAnsi="宋体" w:cs="宋体"/>
          <w:b/>
          <w:color w:val="auto"/>
          <w:sz w:val="30"/>
          <w:szCs w:val="30"/>
          <w:highlight w:val="none"/>
        </w:rPr>
      </w:pPr>
    </w:p>
    <w:p w14:paraId="5C507C86">
      <w:pPr>
        <w:tabs>
          <w:tab w:val="left" w:pos="721"/>
        </w:tabs>
        <w:spacing w:line="360" w:lineRule="exact"/>
        <w:ind w:firstLine="1355" w:firstLineChars="450"/>
        <w:rPr>
          <w:rFonts w:hint="eastAsia" w:ascii="宋体" w:hAnsi="宋体" w:cs="宋体"/>
          <w:b/>
          <w:color w:val="auto"/>
          <w:sz w:val="30"/>
          <w:szCs w:val="30"/>
          <w:highlight w:val="none"/>
          <w:u w:val="single"/>
        </w:rPr>
      </w:pPr>
      <w:r>
        <w:rPr>
          <w:rFonts w:hint="eastAsia" w:ascii="宋体" w:hAnsi="宋体" w:cs="宋体"/>
          <w:b/>
          <w:color w:val="auto"/>
          <w:sz w:val="30"/>
          <w:szCs w:val="30"/>
          <w:highlight w:val="none"/>
        </w:rPr>
        <w:t>签订合同时间：</w:t>
      </w:r>
      <w:r>
        <w:rPr>
          <w:rFonts w:hint="eastAsia" w:ascii="宋体" w:hAnsi="宋体" w:cs="宋体"/>
          <w:b/>
          <w:color w:val="auto"/>
          <w:sz w:val="30"/>
          <w:szCs w:val="30"/>
          <w:highlight w:val="none"/>
          <w:u w:val="single"/>
        </w:rPr>
        <w:t xml:space="preserve">                              </w:t>
      </w:r>
    </w:p>
    <w:p w14:paraId="132341E6">
      <w:pPr>
        <w:pStyle w:val="11"/>
        <w:jc w:val="center"/>
        <w:rPr>
          <w:rFonts w:hint="eastAsia" w:hAnsi="宋体" w:cs="宋体"/>
          <w:color w:val="auto"/>
          <w:szCs w:val="21"/>
          <w:highlight w:val="none"/>
        </w:rPr>
      </w:pPr>
      <w:r>
        <w:rPr>
          <w:rFonts w:hint="eastAsia" w:hAnsi="宋体" w:cs="宋体"/>
          <w:color w:val="auto"/>
          <w:szCs w:val="21"/>
          <w:highlight w:val="none"/>
        </w:rPr>
        <w:t xml:space="preserve"> </w:t>
      </w:r>
    </w:p>
    <w:p w14:paraId="734C1D25">
      <w:pPr>
        <w:pStyle w:val="11"/>
        <w:jc w:val="center"/>
        <w:rPr>
          <w:rFonts w:hint="eastAsia" w:hAnsi="宋体" w:cs="宋体"/>
          <w:color w:val="auto"/>
          <w:szCs w:val="21"/>
          <w:highlight w:val="none"/>
        </w:rPr>
      </w:pPr>
    </w:p>
    <w:p w14:paraId="2B7ED353">
      <w:pPr>
        <w:pStyle w:val="11"/>
        <w:jc w:val="center"/>
        <w:rPr>
          <w:rFonts w:hint="eastAsia" w:hAnsi="宋体" w:cs="宋体"/>
          <w:color w:val="auto"/>
          <w:szCs w:val="21"/>
          <w:highlight w:val="none"/>
        </w:rPr>
      </w:pPr>
    </w:p>
    <w:p w14:paraId="2487AB51">
      <w:pPr>
        <w:pStyle w:val="11"/>
        <w:jc w:val="center"/>
        <w:rPr>
          <w:rFonts w:hint="eastAsia" w:hAnsi="宋体" w:cs="宋体"/>
          <w:color w:val="auto"/>
          <w:szCs w:val="21"/>
          <w:highlight w:val="none"/>
        </w:rPr>
      </w:pPr>
    </w:p>
    <w:p w14:paraId="1B553681">
      <w:pPr>
        <w:pStyle w:val="11"/>
        <w:jc w:val="center"/>
        <w:rPr>
          <w:rFonts w:hint="eastAsia" w:hAnsi="宋体" w:cs="宋体"/>
          <w:color w:val="auto"/>
          <w:szCs w:val="21"/>
          <w:highlight w:val="none"/>
        </w:rPr>
      </w:pPr>
      <w:r>
        <w:rPr>
          <w:rFonts w:hint="eastAsia" w:hAnsi="宋体" w:cs="宋体"/>
          <w:color w:val="auto"/>
          <w:szCs w:val="21"/>
          <w:highlight w:val="none"/>
        </w:rPr>
        <w:t>合同使用说明：根据《中华人民共和国政府采购法》、《中华人民共和国民法典》等法律、法规规定，按照竞争性磋商文件规定条款和成交供应商竞争性磋商响应文件及其承诺，甲乙双方签订本合同。</w:t>
      </w:r>
    </w:p>
    <w:p w14:paraId="1D6C403B">
      <w:pPr>
        <w:pStyle w:val="11"/>
        <w:pageBreakBefore/>
        <w:tabs>
          <w:tab w:val="left" w:pos="721"/>
        </w:tabs>
        <w:ind w:left="2204" w:hanging="2479" w:hangingChars="686"/>
        <w:jc w:val="center"/>
        <w:rPr>
          <w:rFonts w:hint="eastAsia" w:hAnsi="宋体" w:cs="宋体"/>
          <w:b/>
          <w:color w:val="auto"/>
          <w:sz w:val="36"/>
          <w:szCs w:val="36"/>
          <w:highlight w:val="none"/>
        </w:rPr>
      </w:pPr>
      <w:r>
        <w:rPr>
          <w:rFonts w:hint="eastAsia" w:hAnsi="宋体" w:cs="宋体"/>
          <w:b/>
          <w:color w:val="auto"/>
          <w:sz w:val="36"/>
          <w:szCs w:val="36"/>
          <w:highlight w:val="none"/>
        </w:rPr>
        <w:t>合 同 书</w:t>
      </w:r>
    </w:p>
    <w:p w14:paraId="2B01C2A1">
      <w:pPr>
        <w:widowControl/>
        <w:spacing w:line="400" w:lineRule="exact"/>
        <w:ind w:firstLine="422" w:firstLineChars="200"/>
        <w:jc w:val="left"/>
        <w:rPr>
          <w:rFonts w:hint="eastAsia" w:ascii="宋体" w:hAnsi="宋体" w:cs="宋体"/>
          <w:color w:val="auto"/>
          <w:kern w:val="0"/>
          <w:highlight w:val="none"/>
        </w:rPr>
      </w:pPr>
      <w:r>
        <w:rPr>
          <w:rFonts w:hint="eastAsia" w:ascii="宋体" w:hAnsi="宋体" w:cs="宋体"/>
          <w:b/>
          <w:bCs/>
          <w:color w:val="auto"/>
          <w:kern w:val="0"/>
          <w:highlight w:val="none"/>
        </w:rPr>
        <w:t>甲方：</w:t>
      </w:r>
      <w:r>
        <w:rPr>
          <w:rFonts w:hint="eastAsia" w:ascii="宋体" w:hAnsi="宋体" w:cs="宋体"/>
          <w:color w:val="auto"/>
          <w:kern w:val="0"/>
          <w:highlight w:val="none"/>
          <w:u w:val="single"/>
        </w:rPr>
        <w:t xml:space="preserve">                           </w:t>
      </w:r>
    </w:p>
    <w:p w14:paraId="607B1CB2">
      <w:pPr>
        <w:widowControl/>
        <w:spacing w:line="400" w:lineRule="exact"/>
        <w:jc w:val="left"/>
        <w:rPr>
          <w:rFonts w:hint="eastAsia" w:ascii="宋体" w:hAnsi="宋体" w:cs="宋体"/>
          <w:color w:val="auto"/>
          <w:kern w:val="0"/>
          <w:highlight w:val="none"/>
          <w:u w:val="single"/>
        </w:rPr>
      </w:pPr>
      <w:r>
        <w:rPr>
          <w:rFonts w:hint="eastAsia" w:ascii="宋体" w:hAnsi="宋体" w:cs="宋体"/>
          <w:b/>
          <w:bCs/>
          <w:color w:val="auto"/>
          <w:kern w:val="0"/>
          <w:highlight w:val="none"/>
        </w:rPr>
        <w:t>  乙方：</w:t>
      </w:r>
      <w:r>
        <w:rPr>
          <w:rFonts w:hint="eastAsia" w:ascii="宋体" w:hAnsi="宋体" w:cs="宋体"/>
          <w:b/>
          <w:bCs/>
          <w:color w:val="auto"/>
          <w:kern w:val="0"/>
          <w:highlight w:val="none"/>
          <w:u w:val="single"/>
        </w:rPr>
        <w:t xml:space="preserve">                           </w:t>
      </w:r>
    </w:p>
    <w:p w14:paraId="773B7D3C">
      <w:pPr>
        <w:widowControl/>
        <w:spacing w:line="400" w:lineRule="exact"/>
        <w:ind w:firstLine="420"/>
        <w:jc w:val="left"/>
        <w:rPr>
          <w:rFonts w:hint="eastAsia" w:ascii="宋体" w:hAnsi="宋体" w:cs="宋体"/>
          <w:color w:val="auto"/>
          <w:kern w:val="0"/>
          <w:highlight w:val="none"/>
          <w:u w:val="single"/>
        </w:rPr>
      </w:pPr>
      <w:r>
        <w:rPr>
          <w:rFonts w:hint="eastAsia" w:ascii="宋体" w:hAnsi="宋体" w:cs="宋体"/>
          <w:color w:val="auto"/>
          <w:kern w:val="0"/>
          <w:highlight w:val="none"/>
        </w:rPr>
        <w:t>根据国家和地方政府有关安保管理的法律、法规和政策规定，甲、乙双方本着自愿、平等原则，就</w:t>
      </w:r>
      <w:r>
        <w:rPr>
          <w:rFonts w:hint="eastAsia" w:ascii="宋体" w:hAnsi="宋体" w:cs="宋体"/>
          <w:color w:val="auto"/>
          <w:kern w:val="0"/>
          <w:highlight w:val="none"/>
          <w:u w:val="single"/>
        </w:rPr>
        <w:t xml:space="preserve">     </w:t>
      </w:r>
    </w:p>
    <w:p w14:paraId="0419B6BB">
      <w:pPr>
        <w:widowControl/>
        <w:spacing w:line="400" w:lineRule="exact"/>
        <w:jc w:val="left"/>
        <w:rPr>
          <w:rFonts w:hint="eastAsia" w:ascii="宋体" w:hAnsi="宋体" w:cs="宋体"/>
          <w:color w:val="auto"/>
          <w:kern w:val="0"/>
          <w:highlight w:val="none"/>
          <w:u w:val="single"/>
        </w:rPr>
      </w:pP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15ECA282">
      <w:pPr>
        <w:widowControl/>
        <w:spacing w:line="400" w:lineRule="exact"/>
        <w:ind w:firstLine="424" w:firstLineChars="201"/>
        <w:jc w:val="left"/>
        <w:rPr>
          <w:rFonts w:hint="eastAsia"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742583D9">
      <w:pPr>
        <w:widowControl/>
        <w:spacing w:line="400" w:lineRule="exact"/>
        <w:ind w:firstLine="424" w:firstLineChars="201"/>
        <w:jc w:val="left"/>
        <w:rPr>
          <w:rFonts w:hint="eastAsia"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20A79DF7">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建筑面积</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，占地面积</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；具体管理范围及构成细目见本项目采购文件中第二章《采购需求》的相关内容。</w:t>
      </w:r>
    </w:p>
    <w:p w14:paraId="4528B3C1">
      <w:pPr>
        <w:widowControl/>
        <w:spacing w:line="400" w:lineRule="exact"/>
        <w:ind w:firstLine="424" w:firstLineChars="201"/>
        <w:jc w:val="left"/>
        <w:rPr>
          <w:rFonts w:hint="eastAsia"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190DE478">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6F1AB926">
      <w:pPr>
        <w:widowControl/>
        <w:spacing w:line="400" w:lineRule="exact"/>
        <w:ind w:firstLine="422" w:firstLineChars="201"/>
        <w:jc w:val="left"/>
        <w:rPr>
          <w:rFonts w:hint="eastAsia" w:ascii="宋体" w:hAnsi="宋体" w:cs="宋体"/>
          <w:color w:val="auto"/>
          <w:highlight w:val="none"/>
        </w:rPr>
      </w:pPr>
      <w:r>
        <w:rPr>
          <w:rFonts w:hint="eastAsia" w:ascii="宋体" w:hAnsi="宋体" w:cs="宋体"/>
          <w:color w:val="auto"/>
          <w:kern w:val="0"/>
          <w:highlight w:val="none"/>
        </w:rPr>
        <w:t>（二）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8B660D0">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三）具体服务内容包含采购文件的《采购需求》、竞标文件的《服务方案》和乙方的所有承诺服务内容；</w:t>
      </w:r>
    </w:p>
    <w:p w14:paraId="513F3900">
      <w:pPr>
        <w:widowControl/>
        <w:spacing w:line="400" w:lineRule="exact"/>
        <w:ind w:firstLine="424" w:firstLineChars="201"/>
        <w:jc w:val="left"/>
        <w:rPr>
          <w:rFonts w:hint="eastAsia"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乙方提供的服务质量标准按国家和地方政府的规定和本合同约定的服务质量要求及乙方在竞标文件中的承诺执行。</w:t>
      </w:r>
    </w:p>
    <w:p w14:paraId="096E666D">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41C5BF7A">
      <w:pPr>
        <w:widowControl/>
        <w:spacing w:line="400" w:lineRule="exact"/>
        <w:ind w:firstLine="424" w:firstLineChars="201"/>
        <w:jc w:val="left"/>
        <w:rPr>
          <w:rFonts w:hint="eastAsia" w:ascii="宋体" w:hAnsi="宋体" w:cs="宋体"/>
          <w:b/>
          <w:bCs/>
          <w:color w:val="auto"/>
          <w:kern w:val="0"/>
          <w:highlight w:val="none"/>
          <w:u w:val="single"/>
        </w:rPr>
      </w:pPr>
      <w:r>
        <w:rPr>
          <w:rFonts w:hint="eastAsia" w:ascii="宋体" w:hAnsi="宋体" w:cs="宋体"/>
          <w:b/>
          <w:bCs/>
          <w:color w:val="auto"/>
          <w:kern w:val="0"/>
          <w:highlight w:val="none"/>
        </w:rPr>
        <w:t xml:space="preserve">第五条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，服务期：</w:t>
      </w:r>
      <w:r>
        <w:rPr>
          <w:rFonts w:hint="eastAsia" w:ascii="宋体" w:hAnsi="宋体" w:cs="宋体"/>
          <w:b w:val="0"/>
          <w:bCs w:val="0"/>
          <w:color w:val="auto"/>
          <w:kern w:val="0"/>
          <w:sz w:val="21"/>
          <w:szCs w:val="21"/>
          <w:highlight w:val="none"/>
          <w:u w:val="single"/>
          <w:lang w:val="en-US" w:eastAsia="zh-CN"/>
        </w:rPr>
        <w:t>12</w:t>
      </w:r>
      <w:r>
        <w:rPr>
          <w:rFonts w:hint="eastAsia" w:ascii="宋体" w:hAnsi="宋体" w:cs="宋体"/>
          <w:b w:val="0"/>
          <w:bCs w:val="0"/>
          <w:color w:val="auto"/>
          <w:kern w:val="0"/>
          <w:sz w:val="21"/>
          <w:szCs w:val="21"/>
          <w:highlight w:val="none"/>
        </w:rPr>
        <w:t>个月（自甲乙双方签订合同生效之日约定时间算起）</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rPr>
        <w:t>如遇政策性调整，由双方按相关政策协商后调整。</w:t>
      </w:r>
    </w:p>
    <w:p w14:paraId="2480A715">
      <w:pPr>
        <w:spacing w:line="400" w:lineRule="exact"/>
        <w:ind w:firstLine="422" w:firstLineChars="201"/>
        <w:rPr>
          <w:rFonts w:hint="eastAsia" w:ascii="宋体" w:hAnsi="宋体" w:cs="宋体"/>
          <w:color w:val="auto"/>
          <w:sz w:val="21"/>
          <w:szCs w:val="21"/>
          <w:highlight w:val="none"/>
          <w:u w:val="single"/>
          <w:lang w:eastAsia="zh-CN"/>
        </w:rPr>
      </w:pPr>
      <w:r>
        <w:rPr>
          <w:rFonts w:hint="eastAsia" w:ascii="宋体" w:hAnsi="宋体" w:cs="宋体"/>
          <w:color w:val="auto"/>
          <w:kern w:val="0"/>
          <w:highlight w:val="none"/>
        </w:rPr>
        <w:t>付款方式：</w:t>
      </w:r>
      <w:r>
        <w:rPr>
          <w:rFonts w:hint="eastAsia" w:ascii="宋体" w:hAnsi="宋体" w:cs="宋体"/>
          <w:color w:val="auto"/>
          <w:sz w:val="21"/>
          <w:szCs w:val="21"/>
          <w:highlight w:val="none"/>
          <w:u w:val="single"/>
        </w:rPr>
        <w:t>每月10日前支付上个月物业费；12月30日前，支付当年12月的物业费。如受年初年末财政资金支付限制影响，付款时间以财政审批后的支付时间为准。成交方如果减员，必需向采购人报告，并减少相应服务费，如发现不报告，采购人有权不结算物业费用或直接减少相应服务费</w:t>
      </w:r>
      <w:r>
        <w:rPr>
          <w:rFonts w:hint="eastAsia" w:ascii="宋体" w:hAnsi="宋体" w:cs="宋体"/>
          <w:color w:val="auto"/>
          <w:sz w:val="21"/>
          <w:szCs w:val="21"/>
          <w:highlight w:val="none"/>
          <w:u w:val="single"/>
          <w:lang w:eastAsia="zh-CN"/>
        </w:rPr>
        <w:t>。</w:t>
      </w:r>
    </w:p>
    <w:p w14:paraId="79058180">
      <w:pPr>
        <w:spacing w:line="400" w:lineRule="exact"/>
        <w:ind w:firstLine="422" w:firstLineChars="201"/>
        <w:rPr>
          <w:rFonts w:hint="eastAsia" w:ascii="宋体" w:hAnsi="宋体" w:cs="宋体"/>
          <w:color w:val="auto"/>
          <w:kern w:val="0"/>
          <w:highlight w:val="none"/>
        </w:rPr>
      </w:pPr>
      <w:r>
        <w:rPr>
          <w:rFonts w:hint="eastAsia" w:ascii="宋体" w:hAnsi="宋体" w:cs="宋体"/>
          <w:color w:val="auto"/>
          <w:sz w:val="21"/>
          <w:szCs w:val="21"/>
          <w:highlight w:val="none"/>
          <w:u w:val="none"/>
          <w:lang w:eastAsia="zh-CN"/>
        </w:rPr>
        <w:t>其他要求：</w:t>
      </w:r>
      <w:r>
        <w:rPr>
          <w:rFonts w:hint="eastAsia" w:ascii="宋体" w:hAnsi="宋体" w:cs="宋体"/>
          <w:color w:val="auto"/>
          <w:sz w:val="21"/>
          <w:szCs w:val="21"/>
          <w:highlight w:val="none"/>
          <w:u w:val="single"/>
        </w:rPr>
        <w:t>服务期间，采购方可根据本单位实际情况和工作需要对物业岗位设置和人员配备等做适当调整（增加或减少），采购人与成交人双方应本着友好协商原则协商调整相应的费用。</w:t>
      </w:r>
    </w:p>
    <w:p w14:paraId="69CF6112">
      <w:pPr>
        <w:widowControl/>
        <w:spacing w:line="400" w:lineRule="exact"/>
        <w:ind w:firstLine="424" w:firstLineChars="201"/>
        <w:jc w:val="left"/>
        <w:rPr>
          <w:rFonts w:hint="eastAsia" w:ascii="宋体" w:hAnsi="宋体" w:cs="宋体"/>
          <w:color w:val="auto"/>
          <w:kern w:val="0"/>
          <w:highlight w:val="none"/>
        </w:rPr>
      </w:pPr>
      <w:r>
        <w:rPr>
          <w:rFonts w:hint="eastAsia" w:ascii="宋体" w:hAnsi="宋体" w:cs="宋体"/>
          <w:b/>
          <w:bCs/>
          <w:color w:val="auto"/>
          <w:kern w:val="0"/>
          <w:highlight w:val="none"/>
        </w:rPr>
        <w:t xml:space="preserve">第六条 </w:t>
      </w:r>
      <w:r>
        <w:rPr>
          <w:rFonts w:hint="eastAsia" w:ascii="宋体" w:hAnsi="宋体" w:cs="宋体"/>
          <w:color w:val="auto"/>
          <w:kern w:val="0"/>
          <w:highlight w:val="none"/>
        </w:rPr>
        <w:t>甲方权利义务</w:t>
      </w:r>
    </w:p>
    <w:p w14:paraId="47360BA6">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29B5A7A8">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5C2F1B6E">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677A7A35">
      <w:pPr>
        <w:widowControl/>
        <w:spacing w:line="400" w:lineRule="exact"/>
        <w:ind w:firstLine="424" w:firstLineChars="201"/>
        <w:jc w:val="left"/>
        <w:rPr>
          <w:rFonts w:hint="eastAsia" w:ascii="宋体" w:hAnsi="宋体" w:cs="宋体"/>
          <w:color w:val="auto"/>
          <w:kern w:val="0"/>
          <w:highlight w:val="none"/>
        </w:rPr>
      </w:pPr>
      <w:r>
        <w:rPr>
          <w:rFonts w:hint="eastAsia" w:ascii="宋体" w:hAnsi="宋体" w:cs="宋体"/>
          <w:b/>
          <w:bCs/>
          <w:color w:val="auto"/>
          <w:kern w:val="0"/>
          <w:highlight w:val="none"/>
        </w:rPr>
        <w:t xml:space="preserve">第七条 </w:t>
      </w:r>
      <w:r>
        <w:rPr>
          <w:rFonts w:hint="eastAsia" w:ascii="宋体" w:hAnsi="宋体" w:cs="宋体"/>
          <w:color w:val="auto"/>
          <w:kern w:val="0"/>
          <w:highlight w:val="none"/>
        </w:rPr>
        <w:t>乙方权利义务</w:t>
      </w:r>
    </w:p>
    <w:p w14:paraId="0D2343BF">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竞标文件承诺的所有内容，每月向甲方通报一次物业管理服务实施情况；</w:t>
      </w:r>
    </w:p>
    <w:p w14:paraId="07DD4895">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48B49AAB">
      <w:pPr>
        <w:widowControl/>
        <w:spacing w:line="400" w:lineRule="exact"/>
        <w:ind w:firstLine="424" w:firstLineChars="201"/>
        <w:jc w:val="left"/>
        <w:rPr>
          <w:rFonts w:hint="eastAsia"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违约责任</w:t>
      </w:r>
    </w:p>
    <w:p w14:paraId="67D02569">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一）乙方未能履行合同或不符合招标约定要求，甲方有权书面督促乙方整改，乙方应在收到甲方方面通知之日起七日内给予书面答复并进行整改完毕，直至甲方确认通过。如乙方逾期未整改或整改不合格，或者无法或拒接提供符合招投标文件、国家有关质量标准或本合同约定的服务或成果的，甲方有权书面通知乙方单方解除本合同，且无需支付合同解除后的合同后续费用。同时，乙方应向甲方支付3个月物业管理费总和的违约金，并赔偿由此给甲方造成的全部损失。</w:t>
      </w:r>
    </w:p>
    <w:p w14:paraId="2FA77B9E">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45EEC253">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三)除合同约定外，乙方不得将本合同项目转包或分包给第三方，否则甲方有权单方解除本合同，乙方应承担因此给甲方造成的经济损失，包括但不限于依法应重新招标产生的各项费用、甲方向乙方追偿而支出的律师费、诉讼费等。</w:t>
      </w:r>
    </w:p>
    <w:p w14:paraId="786B3B97">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四)当以上违约金不足以弥补甲方损失时，乙方还应对甲方超过违约金部分的损失依法承担赔偿责任，甲方有权继续向乙方追偿。乙方应当赔偿因此给甲方造成的所有损失，包括但不限于甲方直接损失、预期利益损失、重新招标产生的各项费用、向第三人承担的违约金、赔偿金、另行委托第三人的成本、律师费、诉讼费(或仲裁费)、调查费、公证费、鉴定费、执行费、保全费、诉讼财产保全贵任保险费、公告费、差旅费及其他费用。</w:t>
      </w:r>
    </w:p>
    <w:p w14:paraId="691665E1">
      <w:pPr>
        <w:widowControl/>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(五)乙方应向甲方支付的违约金及损失，甲方有权从待支付于乙方的合同金额中扣除。</w:t>
      </w:r>
    </w:p>
    <w:p w14:paraId="7377C457">
      <w:pPr>
        <w:widowControl/>
        <w:spacing w:line="400" w:lineRule="exact"/>
        <w:ind w:firstLine="424" w:firstLineChars="201"/>
        <w:jc w:val="left"/>
        <w:rPr>
          <w:rFonts w:hint="eastAsia"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w:t>
      </w:r>
      <w:r>
        <w:rPr>
          <w:rFonts w:hint="eastAsia" w:ascii="宋体" w:hAnsi="宋体" w:cs="宋体"/>
          <w:color w:val="auto"/>
          <w:highlight w:val="none"/>
          <w:lang w:eastAsia="zh-CN"/>
        </w:rPr>
        <w:t>向甲方所在地法院起诉</w:t>
      </w:r>
      <w:r>
        <w:rPr>
          <w:rFonts w:hint="eastAsia" w:ascii="宋体" w:hAnsi="宋体" w:cs="宋体"/>
          <w:color w:val="auto"/>
          <w:highlight w:val="none"/>
        </w:rPr>
        <w:t>。</w:t>
      </w:r>
    </w:p>
    <w:p w14:paraId="0997C5F0">
      <w:pPr>
        <w:pStyle w:val="11"/>
        <w:spacing w:line="400" w:lineRule="exact"/>
        <w:ind w:firstLine="424" w:firstLineChars="201"/>
        <w:rPr>
          <w:rFonts w:hint="eastAsia" w:hAnsi="宋体" w:cs="宋体"/>
          <w:color w:val="auto"/>
          <w:szCs w:val="21"/>
          <w:highlight w:val="none"/>
        </w:rPr>
      </w:pPr>
      <w:r>
        <w:rPr>
          <w:rFonts w:hint="eastAsia" w:hAnsi="宋体" w:cs="宋体"/>
          <w:b/>
          <w:bCs/>
          <w:color w:val="auto"/>
          <w:kern w:val="0"/>
          <w:szCs w:val="21"/>
          <w:highlight w:val="none"/>
        </w:rPr>
        <w:t xml:space="preserve">第十条 </w:t>
      </w:r>
      <w:r>
        <w:rPr>
          <w:rFonts w:hint="eastAsia" w:hAnsi="宋体" w:cs="宋体"/>
          <w:color w:val="auto"/>
          <w:szCs w:val="21"/>
          <w:highlight w:val="none"/>
        </w:rPr>
        <w:t>在合同有效期限内，任何一方因不可抗力事件导致不能按时履行合同，则合同履行期可延长，其延长期与不可抗力影响期相同。由于不可抗力事件导致合同的根本目的不能实现时，一方可解除合同。</w:t>
      </w:r>
    </w:p>
    <w:p w14:paraId="6622E91F">
      <w:pPr>
        <w:pStyle w:val="11"/>
        <w:spacing w:line="400" w:lineRule="exact"/>
        <w:ind w:firstLine="422" w:firstLineChars="201"/>
        <w:rPr>
          <w:rFonts w:hint="eastAsia" w:hAnsi="宋体" w:cs="宋体"/>
          <w:color w:val="auto"/>
          <w:szCs w:val="21"/>
          <w:highlight w:val="none"/>
        </w:rPr>
      </w:pPr>
      <w:r>
        <w:rPr>
          <w:rFonts w:hint="eastAsia" w:hAnsi="宋体" w:cs="宋体"/>
          <w:color w:val="auto"/>
          <w:szCs w:val="21"/>
          <w:highlight w:val="none"/>
        </w:rPr>
        <w:t>不可抗力事件发生后，应立即通知对方，并寄送有关权威机构出具的证明。</w:t>
      </w:r>
    </w:p>
    <w:p w14:paraId="6DBAC76D">
      <w:pPr>
        <w:pStyle w:val="11"/>
        <w:spacing w:line="400" w:lineRule="exact"/>
        <w:ind w:firstLine="422" w:firstLineChars="201"/>
        <w:rPr>
          <w:rFonts w:hint="eastAsia" w:hAnsi="宋体" w:cs="宋体"/>
          <w:color w:val="auto"/>
          <w:kern w:val="0"/>
          <w:szCs w:val="21"/>
          <w:highlight w:val="none"/>
        </w:rPr>
      </w:pPr>
      <w:r>
        <w:rPr>
          <w:rFonts w:hint="eastAsia" w:hAnsi="宋体" w:cs="宋体"/>
          <w:color w:val="auto"/>
          <w:szCs w:val="21"/>
          <w:highlight w:val="none"/>
        </w:rPr>
        <w:t>不可抗力事件延续120天以上，双方应通过友好协商，确定是否继续履行合同。</w:t>
      </w:r>
    </w:p>
    <w:p w14:paraId="088257C4">
      <w:pPr>
        <w:pStyle w:val="11"/>
        <w:spacing w:line="400" w:lineRule="exact"/>
        <w:ind w:firstLine="424" w:firstLineChars="201"/>
        <w:rPr>
          <w:rFonts w:hint="eastAsia" w:hAnsi="宋体" w:cs="宋体"/>
          <w:color w:val="auto"/>
          <w:szCs w:val="21"/>
          <w:highlight w:val="none"/>
        </w:rPr>
      </w:pPr>
      <w:r>
        <w:rPr>
          <w:rFonts w:hint="eastAsia" w:hAnsi="宋体" w:cs="宋体"/>
          <w:b/>
          <w:bCs/>
          <w:color w:val="auto"/>
          <w:szCs w:val="21"/>
          <w:highlight w:val="none"/>
        </w:rPr>
        <w:t xml:space="preserve">第十一条 </w:t>
      </w:r>
      <w:r>
        <w:rPr>
          <w:rFonts w:hint="eastAsia" w:hAnsi="宋体" w:cs="宋体"/>
          <w:color w:val="auto"/>
          <w:kern w:val="0"/>
          <w:szCs w:val="21"/>
          <w:highlight w:val="none"/>
        </w:rPr>
        <w:t>本合同附件为合同有效组成部分。凡本合同及附件未规定的事宜以及合同词语，均以有关法律、法规、政策规定为准。</w:t>
      </w:r>
    </w:p>
    <w:p w14:paraId="24A13DEF">
      <w:pPr>
        <w:widowControl/>
        <w:spacing w:line="400" w:lineRule="exact"/>
        <w:ind w:firstLine="424" w:firstLineChars="201"/>
        <w:jc w:val="left"/>
        <w:rPr>
          <w:rFonts w:hint="eastAsia" w:ascii="宋体" w:hAnsi="宋体" w:cs="宋体"/>
          <w:color w:val="auto"/>
          <w:kern w:val="0"/>
          <w:highlight w:val="none"/>
        </w:rPr>
      </w:pPr>
      <w:r>
        <w:rPr>
          <w:rFonts w:hint="eastAsia" w:ascii="宋体" w:hAnsi="宋体" w:cs="宋体"/>
          <w:b/>
          <w:bCs/>
          <w:color w:val="auto"/>
          <w:kern w:val="0"/>
          <w:highlight w:val="none"/>
        </w:rPr>
        <w:t>第十二条</w:t>
      </w:r>
      <w:r>
        <w:rPr>
          <w:rFonts w:hint="eastAsia" w:ascii="宋体" w:hAnsi="宋体" w:cs="宋体"/>
          <w:color w:val="auto"/>
          <w:kern w:val="0"/>
          <w:highlight w:val="none"/>
        </w:rPr>
        <w:t>本合同未尽事宜由甲、乙方双方另行协商签订补充协议，补充协议与本合同具有同等效力。</w:t>
      </w:r>
    </w:p>
    <w:p w14:paraId="2DF86AFF">
      <w:pPr>
        <w:spacing w:line="400" w:lineRule="exact"/>
        <w:ind w:firstLine="424" w:firstLineChars="201"/>
        <w:rPr>
          <w:rFonts w:hint="eastAsia" w:ascii="宋体" w:hAnsi="宋体" w:cs="宋体"/>
          <w:color w:val="auto"/>
          <w:highlight w:val="none"/>
        </w:rPr>
      </w:pPr>
      <w:r>
        <w:rPr>
          <w:rFonts w:hint="eastAsia" w:ascii="宋体" w:hAnsi="宋体" w:cs="宋体"/>
          <w:b/>
          <w:bCs/>
          <w:color w:val="auto"/>
          <w:kern w:val="0"/>
          <w:highlight w:val="none"/>
        </w:rPr>
        <w:t xml:space="preserve">第十四条  </w:t>
      </w:r>
      <w:r>
        <w:rPr>
          <w:rFonts w:hint="eastAsia" w:ascii="宋体" w:hAnsi="宋体" w:cs="宋体"/>
          <w:color w:val="auto"/>
          <w:highlight w:val="none"/>
        </w:rPr>
        <w:t>本合同一式</w:t>
      </w:r>
      <w:r>
        <w:rPr>
          <w:rFonts w:hint="eastAsia" w:ascii="宋体" w:hAnsi="宋体" w:cs="宋体"/>
          <w:color w:val="auto"/>
          <w:highlight w:val="none"/>
          <w:lang w:eastAsia="zh-CN"/>
        </w:rPr>
        <w:t>四</w:t>
      </w:r>
      <w:r>
        <w:rPr>
          <w:rFonts w:hint="eastAsia" w:ascii="宋体" w:hAnsi="宋体" w:cs="宋体"/>
          <w:color w:val="auto"/>
          <w:highlight w:val="none"/>
        </w:rPr>
        <w:t>份，具有同等法律效力。广西壮族自治区财政厅政府采购监督管理处、代理机构各一份，甲方</w:t>
      </w:r>
      <w:r>
        <w:rPr>
          <w:rFonts w:hint="eastAsia" w:ascii="宋体" w:hAnsi="宋体" w:cs="宋体"/>
          <w:color w:val="auto"/>
          <w:highlight w:val="none"/>
          <w:lang w:eastAsia="zh-CN"/>
        </w:rPr>
        <w:t>一</w:t>
      </w:r>
      <w:r>
        <w:rPr>
          <w:rFonts w:hint="eastAsia" w:ascii="宋体" w:hAnsi="宋体" w:cs="宋体"/>
          <w:color w:val="auto"/>
          <w:highlight w:val="none"/>
        </w:rPr>
        <w:t>份，乙方一份。</w:t>
      </w:r>
    </w:p>
    <w:p w14:paraId="2F123915">
      <w:pPr>
        <w:spacing w:line="400" w:lineRule="exact"/>
        <w:ind w:firstLine="422" w:firstLineChars="201"/>
        <w:rPr>
          <w:rFonts w:hint="eastAsia" w:ascii="宋体" w:hAnsi="宋体" w:cs="宋体"/>
          <w:color w:val="auto"/>
          <w:highlight w:val="none"/>
        </w:rPr>
      </w:pPr>
      <w:r>
        <w:rPr>
          <w:rFonts w:hint="eastAsia" w:ascii="宋体" w:hAnsi="宋体" w:cs="宋体"/>
          <w:color w:val="auto"/>
          <w:highlight w:val="none"/>
        </w:rPr>
        <w:t>本合同甲乙双方签字盖章后生效，自签订之日起两个工作日内，采购人应当将合同通过广西政府采购云平台上传完成合同网上公示。</w:t>
      </w:r>
    </w:p>
    <w:p w14:paraId="639A96F1">
      <w:pPr>
        <w:pStyle w:val="21"/>
        <w:rPr>
          <w:rFonts w:hint="eastAsia" w:ascii="宋体" w:hAnsi="宋体" w:eastAsia="宋体" w:cs="宋体"/>
          <w:color w:val="auto"/>
          <w:szCs w:val="21"/>
          <w:highlight w:val="none"/>
        </w:rPr>
      </w:pPr>
    </w:p>
    <w:tbl>
      <w:tblPr>
        <w:tblStyle w:val="2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9"/>
        <w:gridCol w:w="4678"/>
      </w:tblGrid>
      <w:tr w14:paraId="479AA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074D18AA">
            <w:pPr>
              <w:spacing w:line="400" w:lineRule="exact"/>
              <w:rPr>
                <w:rFonts w:hint="eastAsia" w:ascii="宋体" w:hAnsi="宋体" w:cs="宋体"/>
                <w:color w:val="auto"/>
                <w:highlight w:val="none"/>
              </w:rPr>
            </w:pPr>
            <w:r>
              <w:rPr>
                <w:rFonts w:hint="eastAsia" w:ascii="宋体" w:hAnsi="宋体" w:cs="宋体"/>
                <w:color w:val="auto"/>
                <w:highlight w:val="none"/>
              </w:rPr>
              <w:t xml:space="preserve">甲方（章）           </w:t>
            </w:r>
          </w:p>
          <w:p w14:paraId="7FDEDD9A">
            <w:pPr>
              <w:spacing w:line="400" w:lineRule="exact"/>
              <w:rPr>
                <w:rFonts w:hint="eastAsia" w:ascii="宋体" w:hAnsi="宋体" w:cs="宋体"/>
                <w:color w:val="auto"/>
                <w:highlight w:val="none"/>
              </w:rPr>
            </w:pPr>
          </w:p>
          <w:p w14:paraId="45ACC5E2">
            <w:pPr>
              <w:spacing w:line="400" w:lineRule="exact"/>
              <w:ind w:firstLine="945" w:firstLineChars="450"/>
              <w:jc w:val="right"/>
              <w:rPr>
                <w:rFonts w:hint="eastAsia" w:ascii="宋体" w:hAnsi="宋体" w:cs="宋体"/>
                <w:color w:val="auto"/>
                <w:highlight w:val="none"/>
              </w:rPr>
            </w:pPr>
            <w:r>
              <w:rPr>
                <w:rFonts w:hint="eastAsia" w:ascii="宋体" w:hAnsi="宋体" w:cs="宋体"/>
                <w:color w:val="auto"/>
                <w:highlight w:val="none"/>
              </w:rPr>
              <w:t>年   月   日</w:t>
            </w:r>
          </w:p>
        </w:tc>
        <w:tc>
          <w:tcPr>
            <w:tcW w:w="4678" w:type="dxa"/>
            <w:tcBorders>
              <w:top w:val="single" w:color="auto" w:sz="4" w:space="0"/>
              <w:left w:val="single" w:color="auto" w:sz="4" w:space="0"/>
              <w:bottom w:val="single" w:color="auto" w:sz="4" w:space="0"/>
              <w:right w:val="single" w:color="auto" w:sz="4" w:space="0"/>
            </w:tcBorders>
            <w:vAlign w:val="center"/>
          </w:tcPr>
          <w:p w14:paraId="2FA6F27A">
            <w:pPr>
              <w:spacing w:line="400" w:lineRule="exact"/>
              <w:rPr>
                <w:rFonts w:hint="eastAsia" w:ascii="宋体" w:hAnsi="宋体" w:cs="宋体"/>
                <w:color w:val="auto"/>
                <w:highlight w:val="none"/>
              </w:rPr>
            </w:pPr>
            <w:r>
              <w:rPr>
                <w:rFonts w:hint="eastAsia" w:ascii="宋体" w:hAnsi="宋体" w:cs="宋体"/>
                <w:color w:val="auto"/>
                <w:highlight w:val="none"/>
              </w:rPr>
              <w:t xml:space="preserve">乙方（章）              </w:t>
            </w:r>
          </w:p>
          <w:p w14:paraId="41396383">
            <w:pPr>
              <w:spacing w:line="400" w:lineRule="exact"/>
              <w:rPr>
                <w:rFonts w:hint="eastAsia" w:ascii="宋体" w:hAnsi="宋体" w:cs="宋体"/>
                <w:color w:val="auto"/>
                <w:highlight w:val="none"/>
              </w:rPr>
            </w:pPr>
          </w:p>
          <w:p w14:paraId="73969E25">
            <w:pPr>
              <w:spacing w:line="400" w:lineRule="exact"/>
              <w:jc w:val="right"/>
              <w:rPr>
                <w:rFonts w:hint="eastAsia" w:ascii="宋体" w:hAnsi="宋体" w:cs="宋体"/>
                <w:color w:val="auto"/>
                <w:highlight w:val="none"/>
              </w:rPr>
            </w:pPr>
            <w:r>
              <w:rPr>
                <w:rFonts w:hint="eastAsia" w:ascii="宋体" w:hAnsi="宋体" w:cs="宋体"/>
                <w:color w:val="auto"/>
                <w:highlight w:val="none"/>
              </w:rPr>
              <w:t xml:space="preserve"> 年   月   日</w:t>
            </w:r>
          </w:p>
        </w:tc>
      </w:tr>
      <w:tr w14:paraId="2267A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1F0C1A30">
            <w:pPr>
              <w:spacing w:line="400" w:lineRule="exact"/>
              <w:rPr>
                <w:rFonts w:hint="eastAsia" w:ascii="宋体" w:hAnsi="宋体" w:cs="宋体"/>
                <w:color w:val="auto"/>
                <w:highlight w:val="none"/>
              </w:rPr>
            </w:pPr>
            <w:r>
              <w:rPr>
                <w:rFonts w:hint="eastAsia" w:ascii="宋体" w:hAnsi="宋体" w:cs="宋体"/>
                <w:color w:val="auto"/>
                <w:highlight w:val="none"/>
              </w:rPr>
              <w:t>通讯地址：</w:t>
            </w:r>
          </w:p>
          <w:p w14:paraId="3EE0978D">
            <w:pPr>
              <w:pStyle w:val="21"/>
              <w:rPr>
                <w:rFonts w:hint="eastAsia" w:ascii="宋体" w:hAnsi="宋体" w:eastAsia="宋体" w:cs="宋体"/>
                <w:color w:val="auto"/>
                <w:szCs w:val="21"/>
                <w:highlight w:val="none"/>
              </w:rPr>
            </w:pPr>
          </w:p>
          <w:p w14:paraId="76FE6126">
            <w:pPr>
              <w:pStyle w:val="2"/>
              <w:spacing w:line="400" w:lineRule="exact"/>
              <w:rPr>
                <w:rFonts w:hint="eastAsia" w:ascii="宋体" w:hAnsi="宋体" w:cs="宋体"/>
                <w:color w:val="auto"/>
                <w:sz w:val="21"/>
                <w:szCs w:val="21"/>
                <w:highlight w:val="none"/>
              </w:rPr>
            </w:pPr>
          </w:p>
        </w:tc>
        <w:tc>
          <w:tcPr>
            <w:tcW w:w="4678" w:type="dxa"/>
            <w:tcBorders>
              <w:top w:val="single" w:color="auto" w:sz="4" w:space="0"/>
              <w:left w:val="single" w:color="auto" w:sz="4" w:space="0"/>
              <w:bottom w:val="single" w:color="auto" w:sz="4" w:space="0"/>
              <w:right w:val="single" w:color="auto" w:sz="4" w:space="0"/>
            </w:tcBorders>
            <w:vAlign w:val="center"/>
          </w:tcPr>
          <w:p w14:paraId="15E98B3D">
            <w:pPr>
              <w:spacing w:line="400" w:lineRule="exact"/>
              <w:rPr>
                <w:rFonts w:hint="eastAsia" w:ascii="宋体" w:hAnsi="宋体" w:cs="宋体"/>
                <w:color w:val="auto"/>
                <w:highlight w:val="none"/>
              </w:rPr>
            </w:pPr>
            <w:r>
              <w:rPr>
                <w:rFonts w:hint="eastAsia" w:ascii="宋体" w:hAnsi="宋体" w:cs="宋体"/>
                <w:color w:val="auto"/>
                <w:highlight w:val="none"/>
              </w:rPr>
              <w:t>通讯地址：</w:t>
            </w:r>
          </w:p>
          <w:p w14:paraId="17E03D76">
            <w:pPr>
              <w:pStyle w:val="21"/>
              <w:rPr>
                <w:rFonts w:hint="eastAsia" w:ascii="宋体" w:hAnsi="宋体" w:eastAsia="宋体" w:cs="宋体"/>
                <w:color w:val="auto"/>
                <w:szCs w:val="21"/>
                <w:highlight w:val="none"/>
              </w:rPr>
            </w:pPr>
          </w:p>
          <w:p w14:paraId="2AC2D63E">
            <w:pPr>
              <w:pStyle w:val="2"/>
              <w:spacing w:line="400" w:lineRule="exact"/>
              <w:rPr>
                <w:rFonts w:hint="eastAsia" w:ascii="宋体" w:hAnsi="宋体" w:cs="宋体"/>
                <w:color w:val="auto"/>
                <w:sz w:val="21"/>
                <w:szCs w:val="21"/>
                <w:highlight w:val="none"/>
              </w:rPr>
            </w:pPr>
          </w:p>
        </w:tc>
      </w:tr>
      <w:tr w14:paraId="2598F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152D9524">
            <w:pPr>
              <w:spacing w:line="400" w:lineRule="exact"/>
              <w:rPr>
                <w:rFonts w:hint="eastAsia" w:ascii="宋体" w:hAnsi="宋体" w:cs="宋体"/>
                <w:color w:val="auto"/>
                <w:highlight w:val="none"/>
              </w:rPr>
            </w:pPr>
            <w:r>
              <w:rPr>
                <w:rFonts w:hint="eastAsia" w:ascii="宋体" w:hAnsi="宋体" w:cs="宋体"/>
                <w:color w:val="auto"/>
                <w:highlight w:val="none"/>
              </w:rPr>
              <w:t>法定代表人：</w:t>
            </w:r>
          </w:p>
          <w:p w14:paraId="2E23AFBD">
            <w:pPr>
              <w:pStyle w:val="21"/>
              <w:rPr>
                <w:rFonts w:hint="eastAsia" w:ascii="宋体" w:hAnsi="宋体" w:eastAsia="宋体" w:cs="宋体"/>
                <w:color w:val="auto"/>
                <w:szCs w:val="21"/>
                <w:highlight w:val="none"/>
              </w:rPr>
            </w:pPr>
          </w:p>
          <w:p w14:paraId="39817ED5">
            <w:pPr>
              <w:pStyle w:val="2"/>
              <w:spacing w:line="400" w:lineRule="exact"/>
              <w:rPr>
                <w:rFonts w:hint="eastAsia" w:ascii="宋体" w:hAnsi="宋体" w:cs="宋体"/>
                <w:color w:val="auto"/>
                <w:sz w:val="21"/>
                <w:szCs w:val="21"/>
                <w:highlight w:val="none"/>
              </w:rPr>
            </w:pPr>
          </w:p>
        </w:tc>
        <w:tc>
          <w:tcPr>
            <w:tcW w:w="4678" w:type="dxa"/>
            <w:tcBorders>
              <w:top w:val="single" w:color="auto" w:sz="4" w:space="0"/>
              <w:left w:val="single" w:color="auto" w:sz="4" w:space="0"/>
              <w:bottom w:val="single" w:color="auto" w:sz="4" w:space="0"/>
              <w:right w:val="single" w:color="auto" w:sz="4" w:space="0"/>
            </w:tcBorders>
            <w:vAlign w:val="center"/>
          </w:tcPr>
          <w:p w14:paraId="58F97FEA">
            <w:pPr>
              <w:spacing w:line="400" w:lineRule="exact"/>
              <w:rPr>
                <w:rFonts w:hint="eastAsia" w:ascii="宋体" w:hAnsi="宋体" w:cs="宋体"/>
                <w:color w:val="auto"/>
                <w:highlight w:val="none"/>
              </w:rPr>
            </w:pPr>
            <w:r>
              <w:rPr>
                <w:rFonts w:hint="eastAsia" w:ascii="宋体" w:hAnsi="宋体" w:cs="宋体"/>
                <w:color w:val="auto"/>
                <w:highlight w:val="none"/>
              </w:rPr>
              <w:t>法定代表人：</w:t>
            </w:r>
          </w:p>
          <w:p w14:paraId="3FE382FA">
            <w:pPr>
              <w:pStyle w:val="21"/>
              <w:rPr>
                <w:rFonts w:hint="eastAsia" w:ascii="宋体" w:hAnsi="宋体" w:eastAsia="宋体" w:cs="宋体"/>
                <w:color w:val="auto"/>
                <w:szCs w:val="21"/>
                <w:highlight w:val="none"/>
              </w:rPr>
            </w:pPr>
          </w:p>
          <w:p w14:paraId="55A60C36">
            <w:pPr>
              <w:pStyle w:val="2"/>
              <w:spacing w:line="400" w:lineRule="exact"/>
              <w:rPr>
                <w:rFonts w:hint="eastAsia" w:ascii="宋体" w:hAnsi="宋体" w:cs="宋体"/>
                <w:color w:val="auto"/>
                <w:sz w:val="21"/>
                <w:szCs w:val="21"/>
                <w:highlight w:val="none"/>
              </w:rPr>
            </w:pPr>
          </w:p>
        </w:tc>
      </w:tr>
      <w:tr w14:paraId="5E6AB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593B7A3C">
            <w:pPr>
              <w:spacing w:line="400" w:lineRule="exact"/>
              <w:rPr>
                <w:rFonts w:hint="eastAsia" w:ascii="宋体" w:hAnsi="宋体" w:cs="宋体"/>
                <w:color w:val="auto"/>
                <w:highlight w:val="none"/>
              </w:rPr>
            </w:pPr>
            <w:r>
              <w:rPr>
                <w:rFonts w:hint="eastAsia" w:ascii="宋体" w:hAnsi="宋体" w:cs="宋体"/>
                <w:color w:val="auto"/>
                <w:highlight w:val="none"/>
              </w:rPr>
              <w:t>委托代理人：</w:t>
            </w:r>
          </w:p>
          <w:p w14:paraId="3D6E7D0D">
            <w:pPr>
              <w:pStyle w:val="2"/>
              <w:spacing w:line="400" w:lineRule="exact"/>
              <w:rPr>
                <w:rFonts w:hint="eastAsia" w:ascii="宋体" w:hAnsi="宋体" w:cs="宋体"/>
                <w:color w:val="auto"/>
                <w:sz w:val="21"/>
                <w:szCs w:val="21"/>
                <w:highlight w:val="none"/>
              </w:rPr>
            </w:pPr>
          </w:p>
        </w:tc>
        <w:tc>
          <w:tcPr>
            <w:tcW w:w="4678" w:type="dxa"/>
            <w:tcBorders>
              <w:top w:val="single" w:color="auto" w:sz="4" w:space="0"/>
              <w:left w:val="single" w:color="auto" w:sz="4" w:space="0"/>
              <w:bottom w:val="single" w:color="auto" w:sz="4" w:space="0"/>
              <w:right w:val="single" w:color="auto" w:sz="4" w:space="0"/>
            </w:tcBorders>
            <w:vAlign w:val="center"/>
          </w:tcPr>
          <w:p w14:paraId="7959E39B">
            <w:pPr>
              <w:spacing w:line="400" w:lineRule="exact"/>
              <w:rPr>
                <w:rFonts w:hint="eastAsia" w:ascii="宋体" w:hAnsi="宋体" w:cs="宋体"/>
                <w:color w:val="auto"/>
                <w:highlight w:val="none"/>
                <w:lang w:val="en"/>
              </w:rPr>
            </w:pPr>
            <w:r>
              <w:rPr>
                <w:rFonts w:hint="eastAsia" w:ascii="宋体" w:hAnsi="宋体" w:cs="宋体"/>
                <w:color w:val="auto"/>
                <w:highlight w:val="none"/>
              </w:rPr>
              <w:t>委托代理人</w:t>
            </w:r>
            <w:r>
              <w:rPr>
                <w:rFonts w:hint="eastAsia" w:ascii="宋体" w:hAnsi="宋体" w:cs="宋体"/>
                <w:color w:val="auto"/>
                <w:highlight w:val="none"/>
                <w:lang w:val="en"/>
              </w:rPr>
              <w:t>：</w:t>
            </w:r>
          </w:p>
        </w:tc>
      </w:tr>
      <w:tr w14:paraId="7F907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2FAB16FE">
            <w:pPr>
              <w:spacing w:line="400" w:lineRule="exact"/>
              <w:rPr>
                <w:rFonts w:hint="eastAsia" w:ascii="宋体" w:hAnsi="宋体" w:cs="宋体"/>
                <w:color w:val="auto"/>
                <w:highlight w:val="none"/>
              </w:rPr>
            </w:pPr>
            <w:r>
              <w:rPr>
                <w:rFonts w:hint="eastAsia" w:ascii="宋体" w:hAnsi="宋体" w:cs="宋体"/>
                <w:color w:val="auto"/>
                <w:highlight w:val="none"/>
              </w:rPr>
              <w:t>电话：</w:t>
            </w:r>
          </w:p>
          <w:p w14:paraId="0F64F7F8">
            <w:pPr>
              <w:pStyle w:val="21"/>
              <w:rPr>
                <w:rFonts w:hint="eastAsia" w:ascii="宋体" w:hAnsi="宋体" w:eastAsia="宋体" w:cs="宋体"/>
                <w:color w:val="auto"/>
                <w:szCs w:val="21"/>
                <w:highlight w:val="none"/>
              </w:rPr>
            </w:pPr>
          </w:p>
          <w:p w14:paraId="6BDDDCCC">
            <w:pPr>
              <w:pStyle w:val="2"/>
              <w:spacing w:line="400" w:lineRule="exact"/>
              <w:rPr>
                <w:rFonts w:hint="eastAsia" w:ascii="宋体" w:hAnsi="宋体" w:cs="宋体"/>
                <w:color w:val="auto"/>
                <w:sz w:val="21"/>
                <w:szCs w:val="21"/>
                <w:highlight w:val="none"/>
              </w:rPr>
            </w:pPr>
          </w:p>
        </w:tc>
        <w:tc>
          <w:tcPr>
            <w:tcW w:w="4678" w:type="dxa"/>
            <w:tcBorders>
              <w:top w:val="single" w:color="auto" w:sz="4" w:space="0"/>
              <w:left w:val="single" w:color="auto" w:sz="4" w:space="0"/>
              <w:bottom w:val="single" w:color="auto" w:sz="4" w:space="0"/>
              <w:right w:val="single" w:color="auto" w:sz="4" w:space="0"/>
            </w:tcBorders>
            <w:vAlign w:val="center"/>
          </w:tcPr>
          <w:p w14:paraId="04A29745">
            <w:pPr>
              <w:spacing w:line="400" w:lineRule="exact"/>
              <w:rPr>
                <w:rFonts w:hint="eastAsia" w:ascii="宋体" w:hAnsi="宋体" w:cs="宋体"/>
                <w:color w:val="auto"/>
                <w:highlight w:val="none"/>
              </w:rPr>
            </w:pPr>
            <w:r>
              <w:rPr>
                <w:rFonts w:hint="eastAsia" w:ascii="宋体" w:hAnsi="宋体" w:cs="宋体"/>
                <w:color w:val="auto"/>
                <w:highlight w:val="none"/>
              </w:rPr>
              <w:t>电话：</w:t>
            </w:r>
          </w:p>
          <w:p w14:paraId="7B329C90">
            <w:pPr>
              <w:pStyle w:val="21"/>
              <w:rPr>
                <w:rFonts w:hint="eastAsia" w:ascii="宋体" w:hAnsi="宋体" w:eastAsia="宋体" w:cs="宋体"/>
                <w:color w:val="auto"/>
                <w:szCs w:val="21"/>
                <w:highlight w:val="none"/>
              </w:rPr>
            </w:pPr>
          </w:p>
          <w:p w14:paraId="5ED6E34D">
            <w:pPr>
              <w:pStyle w:val="2"/>
              <w:spacing w:line="400" w:lineRule="exact"/>
              <w:rPr>
                <w:rFonts w:hint="eastAsia" w:ascii="宋体" w:hAnsi="宋体" w:cs="宋体"/>
                <w:color w:val="auto"/>
                <w:sz w:val="21"/>
                <w:szCs w:val="21"/>
                <w:highlight w:val="none"/>
              </w:rPr>
            </w:pPr>
          </w:p>
        </w:tc>
      </w:tr>
      <w:tr w14:paraId="22FAD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55400FC4">
            <w:pPr>
              <w:spacing w:line="400" w:lineRule="exact"/>
              <w:rPr>
                <w:rFonts w:hint="eastAsia" w:ascii="宋体" w:hAnsi="宋体" w:cs="宋体"/>
                <w:color w:val="auto"/>
                <w:highlight w:val="none"/>
              </w:rPr>
            </w:pPr>
            <w:r>
              <w:rPr>
                <w:rFonts w:hint="eastAsia" w:ascii="宋体" w:hAnsi="宋体" w:cs="宋体"/>
                <w:color w:val="auto"/>
                <w:highlight w:val="none"/>
              </w:rPr>
              <w:t>电子邮箱：</w:t>
            </w:r>
          </w:p>
          <w:p w14:paraId="1F1CF353">
            <w:pPr>
              <w:pStyle w:val="21"/>
              <w:rPr>
                <w:rFonts w:hint="eastAsia" w:ascii="宋体" w:hAnsi="宋体" w:eastAsia="宋体" w:cs="宋体"/>
                <w:color w:val="auto"/>
                <w:szCs w:val="21"/>
                <w:highlight w:val="none"/>
              </w:rPr>
            </w:pPr>
          </w:p>
          <w:p w14:paraId="2BEC52B8">
            <w:pPr>
              <w:pStyle w:val="2"/>
              <w:spacing w:line="400" w:lineRule="exact"/>
              <w:rPr>
                <w:rFonts w:hint="eastAsia" w:ascii="宋体" w:hAnsi="宋体" w:cs="宋体"/>
                <w:color w:val="auto"/>
                <w:sz w:val="21"/>
                <w:szCs w:val="21"/>
                <w:highlight w:val="none"/>
              </w:rPr>
            </w:pPr>
          </w:p>
        </w:tc>
        <w:tc>
          <w:tcPr>
            <w:tcW w:w="4678" w:type="dxa"/>
            <w:tcBorders>
              <w:top w:val="single" w:color="auto" w:sz="4" w:space="0"/>
              <w:left w:val="single" w:color="auto" w:sz="4" w:space="0"/>
              <w:bottom w:val="single" w:color="auto" w:sz="4" w:space="0"/>
              <w:right w:val="single" w:color="auto" w:sz="4" w:space="0"/>
            </w:tcBorders>
            <w:vAlign w:val="center"/>
          </w:tcPr>
          <w:p w14:paraId="736897B6">
            <w:pPr>
              <w:spacing w:line="400" w:lineRule="exact"/>
              <w:rPr>
                <w:rFonts w:hint="eastAsia" w:ascii="宋体" w:hAnsi="宋体" w:cs="宋体"/>
                <w:color w:val="auto"/>
                <w:highlight w:val="none"/>
              </w:rPr>
            </w:pPr>
            <w:r>
              <w:rPr>
                <w:rFonts w:hint="eastAsia" w:ascii="宋体" w:hAnsi="宋体" w:cs="宋体"/>
                <w:color w:val="auto"/>
                <w:highlight w:val="none"/>
              </w:rPr>
              <w:t>电子邮箱：</w:t>
            </w:r>
          </w:p>
          <w:p w14:paraId="6D7174A6">
            <w:pPr>
              <w:pStyle w:val="21"/>
              <w:rPr>
                <w:rFonts w:hint="eastAsia" w:ascii="宋体" w:hAnsi="宋体" w:eastAsia="宋体" w:cs="宋体"/>
                <w:color w:val="auto"/>
                <w:szCs w:val="21"/>
                <w:highlight w:val="none"/>
              </w:rPr>
            </w:pPr>
          </w:p>
          <w:p w14:paraId="19D516EF">
            <w:pPr>
              <w:pStyle w:val="2"/>
              <w:spacing w:line="400" w:lineRule="exact"/>
              <w:rPr>
                <w:rFonts w:hint="eastAsia" w:ascii="宋体" w:hAnsi="宋体" w:cs="宋体"/>
                <w:color w:val="auto"/>
                <w:sz w:val="21"/>
                <w:szCs w:val="21"/>
                <w:highlight w:val="none"/>
              </w:rPr>
            </w:pPr>
          </w:p>
        </w:tc>
      </w:tr>
      <w:tr w14:paraId="3D7DA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03433953">
            <w:pPr>
              <w:spacing w:line="400" w:lineRule="exact"/>
              <w:rPr>
                <w:rFonts w:hint="eastAsia" w:ascii="宋体" w:hAnsi="宋体" w:cs="宋体"/>
                <w:color w:val="auto"/>
                <w:highlight w:val="none"/>
              </w:rPr>
            </w:pPr>
            <w:r>
              <w:rPr>
                <w:rFonts w:hint="eastAsia" w:ascii="宋体" w:hAnsi="宋体" w:cs="宋体"/>
                <w:color w:val="auto"/>
                <w:highlight w:val="none"/>
              </w:rPr>
              <w:t>开户银行：</w:t>
            </w:r>
          </w:p>
          <w:p w14:paraId="27FB9837">
            <w:pPr>
              <w:pStyle w:val="21"/>
              <w:rPr>
                <w:rFonts w:hint="eastAsia" w:ascii="宋体" w:hAnsi="宋体" w:eastAsia="宋体" w:cs="宋体"/>
                <w:color w:val="auto"/>
                <w:szCs w:val="21"/>
                <w:highlight w:val="none"/>
              </w:rPr>
            </w:pPr>
          </w:p>
        </w:tc>
        <w:tc>
          <w:tcPr>
            <w:tcW w:w="4678" w:type="dxa"/>
            <w:tcBorders>
              <w:top w:val="single" w:color="auto" w:sz="4" w:space="0"/>
              <w:left w:val="single" w:color="auto" w:sz="4" w:space="0"/>
              <w:bottom w:val="single" w:color="auto" w:sz="4" w:space="0"/>
              <w:right w:val="single" w:color="auto" w:sz="4" w:space="0"/>
            </w:tcBorders>
            <w:vAlign w:val="center"/>
          </w:tcPr>
          <w:p w14:paraId="2BEA6504">
            <w:pPr>
              <w:spacing w:line="400" w:lineRule="exact"/>
              <w:rPr>
                <w:rFonts w:hint="eastAsia" w:ascii="宋体" w:hAnsi="宋体" w:cs="宋体"/>
                <w:color w:val="auto"/>
                <w:highlight w:val="none"/>
              </w:rPr>
            </w:pPr>
            <w:r>
              <w:rPr>
                <w:rFonts w:hint="eastAsia" w:ascii="宋体" w:hAnsi="宋体" w:cs="宋体"/>
                <w:color w:val="auto"/>
                <w:highlight w:val="none"/>
              </w:rPr>
              <w:t>开户银行：</w:t>
            </w:r>
          </w:p>
          <w:p w14:paraId="38F11DFD">
            <w:pPr>
              <w:pStyle w:val="2"/>
              <w:spacing w:line="400" w:lineRule="exact"/>
              <w:rPr>
                <w:rFonts w:hint="eastAsia" w:ascii="宋体" w:hAnsi="宋体" w:cs="宋体"/>
                <w:color w:val="auto"/>
                <w:sz w:val="21"/>
                <w:szCs w:val="21"/>
                <w:highlight w:val="none"/>
              </w:rPr>
            </w:pPr>
          </w:p>
        </w:tc>
      </w:tr>
      <w:tr w14:paraId="7E69A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1C55CE95">
            <w:pPr>
              <w:spacing w:line="440" w:lineRule="exact"/>
              <w:rPr>
                <w:rFonts w:hint="eastAsia" w:ascii="宋体" w:hAnsi="宋体" w:cs="宋体"/>
                <w:color w:val="auto"/>
                <w:highlight w:val="none"/>
              </w:rPr>
            </w:pPr>
            <w:r>
              <w:rPr>
                <w:rFonts w:hint="eastAsia" w:ascii="宋体" w:hAnsi="宋体" w:cs="宋体"/>
                <w:color w:val="auto"/>
                <w:highlight w:val="none"/>
              </w:rPr>
              <w:t>账号：</w:t>
            </w:r>
          </w:p>
          <w:p w14:paraId="6C10FF76">
            <w:pPr>
              <w:pStyle w:val="21"/>
              <w:rPr>
                <w:rFonts w:hint="eastAsia" w:ascii="宋体" w:hAnsi="宋体" w:eastAsia="宋体" w:cs="宋体"/>
                <w:color w:val="auto"/>
                <w:szCs w:val="21"/>
                <w:highlight w:val="none"/>
              </w:rPr>
            </w:pPr>
          </w:p>
          <w:p w14:paraId="579F46F7">
            <w:pPr>
              <w:pStyle w:val="2"/>
              <w:spacing w:line="440" w:lineRule="exact"/>
              <w:rPr>
                <w:rFonts w:hint="eastAsia" w:ascii="宋体" w:hAnsi="宋体" w:cs="宋体"/>
                <w:color w:val="auto"/>
                <w:sz w:val="21"/>
                <w:szCs w:val="21"/>
                <w:highlight w:val="none"/>
              </w:rPr>
            </w:pPr>
          </w:p>
        </w:tc>
        <w:tc>
          <w:tcPr>
            <w:tcW w:w="4678" w:type="dxa"/>
            <w:tcBorders>
              <w:top w:val="single" w:color="auto" w:sz="4" w:space="0"/>
              <w:left w:val="single" w:color="auto" w:sz="4" w:space="0"/>
              <w:bottom w:val="single" w:color="auto" w:sz="4" w:space="0"/>
              <w:right w:val="single" w:color="auto" w:sz="4" w:space="0"/>
            </w:tcBorders>
            <w:vAlign w:val="center"/>
          </w:tcPr>
          <w:p w14:paraId="51FA636F">
            <w:pPr>
              <w:spacing w:line="440" w:lineRule="exact"/>
              <w:rPr>
                <w:rFonts w:hint="eastAsia" w:ascii="宋体" w:hAnsi="宋体" w:cs="宋体"/>
                <w:color w:val="auto"/>
                <w:highlight w:val="none"/>
              </w:rPr>
            </w:pPr>
            <w:r>
              <w:rPr>
                <w:rFonts w:hint="eastAsia" w:ascii="宋体" w:hAnsi="宋体" w:cs="宋体"/>
                <w:color w:val="auto"/>
                <w:highlight w:val="none"/>
              </w:rPr>
              <w:t>账号：</w:t>
            </w:r>
          </w:p>
          <w:p w14:paraId="4A6638F0">
            <w:pPr>
              <w:pStyle w:val="21"/>
              <w:rPr>
                <w:rFonts w:hint="eastAsia" w:ascii="宋体" w:hAnsi="宋体" w:eastAsia="宋体" w:cs="宋体"/>
                <w:color w:val="auto"/>
                <w:szCs w:val="21"/>
                <w:highlight w:val="none"/>
              </w:rPr>
            </w:pPr>
          </w:p>
          <w:p w14:paraId="24550450">
            <w:pPr>
              <w:pStyle w:val="2"/>
              <w:spacing w:line="440" w:lineRule="exact"/>
              <w:rPr>
                <w:rFonts w:hint="eastAsia" w:ascii="宋体" w:hAnsi="宋体" w:cs="宋体"/>
                <w:color w:val="auto"/>
                <w:sz w:val="21"/>
                <w:szCs w:val="21"/>
                <w:highlight w:val="none"/>
              </w:rPr>
            </w:pPr>
          </w:p>
        </w:tc>
      </w:tr>
      <w:tr w14:paraId="17C1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vAlign w:val="center"/>
          </w:tcPr>
          <w:p w14:paraId="72B63F64">
            <w:pPr>
              <w:spacing w:line="440" w:lineRule="exact"/>
              <w:rPr>
                <w:rFonts w:hint="eastAsia" w:ascii="宋体" w:hAnsi="宋体" w:cs="宋体"/>
                <w:color w:val="auto"/>
                <w:highlight w:val="none"/>
              </w:rPr>
            </w:pPr>
            <w:r>
              <w:rPr>
                <w:rFonts w:hint="eastAsia" w:ascii="宋体" w:hAnsi="宋体" w:cs="宋体"/>
                <w:color w:val="auto"/>
                <w:highlight w:val="none"/>
              </w:rPr>
              <w:t>邮政编码：</w:t>
            </w:r>
          </w:p>
          <w:p w14:paraId="5CA264A5">
            <w:pPr>
              <w:pStyle w:val="21"/>
              <w:rPr>
                <w:rFonts w:hint="eastAsia" w:ascii="宋体" w:hAnsi="宋体" w:eastAsia="宋体" w:cs="宋体"/>
                <w:color w:val="auto"/>
                <w:szCs w:val="21"/>
                <w:highlight w:val="none"/>
              </w:rPr>
            </w:pPr>
          </w:p>
          <w:p w14:paraId="74CB1D52">
            <w:pPr>
              <w:pStyle w:val="2"/>
              <w:spacing w:line="440" w:lineRule="exact"/>
              <w:rPr>
                <w:rFonts w:hint="eastAsia" w:ascii="宋体" w:hAnsi="宋体" w:cs="宋体"/>
                <w:color w:val="auto"/>
                <w:sz w:val="21"/>
                <w:szCs w:val="21"/>
                <w:highlight w:val="none"/>
              </w:rPr>
            </w:pPr>
          </w:p>
        </w:tc>
        <w:tc>
          <w:tcPr>
            <w:tcW w:w="4678" w:type="dxa"/>
            <w:tcBorders>
              <w:top w:val="single" w:color="auto" w:sz="4" w:space="0"/>
              <w:left w:val="single" w:color="auto" w:sz="4" w:space="0"/>
              <w:bottom w:val="single" w:color="auto" w:sz="4" w:space="0"/>
              <w:right w:val="single" w:color="auto" w:sz="4" w:space="0"/>
            </w:tcBorders>
            <w:vAlign w:val="top"/>
          </w:tcPr>
          <w:p w14:paraId="74A18208">
            <w:pPr>
              <w:spacing w:line="440" w:lineRule="exact"/>
              <w:rPr>
                <w:rFonts w:hint="eastAsia" w:ascii="宋体" w:hAnsi="宋体" w:cs="宋体"/>
                <w:color w:val="auto"/>
                <w:highlight w:val="none"/>
              </w:rPr>
            </w:pPr>
            <w:r>
              <w:rPr>
                <w:rFonts w:hint="eastAsia" w:ascii="宋体" w:hAnsi="宋体" w:cs="宋体"/>
                <w:color w:val="auto"/>
                <w:highlight w:val="none"/>
              </w:rPr>
              <w:t>邮政编码：</w:t>
            </w:r>
          </w:p>
        </w:tc>
      </w:tr>
      <w:tr w14:paraId="0AF68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8897" w:type="dxa"/>
            <w:gridSpan w:val="2"/>
            <w:tcBorders>
              <w:top w:val="single" w:color="auto" w:sz="4" w:space="0"/>
              <w:left w:val="single" w:color="auto" w:sz="4" w:space="0"/>
              <w:bottom w:val="single" w:color="auto" w:sz="4" w:space="0"/>
              <w:right w:val="single" w:color="auto" w:sz="4" w:space="0"/>
            </w:tcBorders>
            <w:vAlign w:val="top"/>
          </w:tcPr>
          <w:p w14:paraId="7DD90FB3">
            <w:pPr>
              <w:spacing w:line="440" w:lineRule="exact"/>
              <w:rPr>
                <w:rFonts w:hint="eastAsia" w:ascii="宋体" w:hAnsi="宋体" w:cs="宋体"/>
                <w:color w:val="auto"/>
                <w:highlight w:val="none"/>
              </w:rPr>
            </w:pPr>
            <w:r>
              <w:rPr>
                <w:rFonts w:hint="eastAsia" w:ascii="宋体" w:hAnsi="宋体" w:cs="宋体"/>
                <w:color w:val="auto"/>
                <w:highlight w:val="none"/>
              </w:rPr>
              <w:t>经办人：</w:t>
            </w:r>
          </w:p>
          <w:p w14:paraId="3171CD32">
            <w:pPr>
              <w:spacing w:line="440" w:lineRule="exact"/>
              <w:ind w:firstLine="630" w:firstLineChars="300"/>
              <w:jc w:val="right"/>
              <w:rPr>
                <w:rFonts w:hint="eastAsia" w:ascii="宋体" w:hAnsi="宋体" w:cs="宋体"/>
                <w:color w:val="auto"/>
                <w:highlight w:val="none"/>
              </w:rPr>
            </w:pPr>
          </w:p>
          <w:p w14:paraId="3080CE0B">
            <w:pPr>
              <w:spacing w:line="440" w:lineRule="exact"/>
              <w:ind w:firstLine="630" w:firstLineChars="300"/>
              <w:jc w:val="right"/>
              <w:rPr>
                <w:rFonts w:hint="eastAsia" w:ascii="宋体" w:hAnsi="宋体" w:cs="宋体"/>
                <w:color w:val="auto"/>
                <w:highlight w:val="none"/>
              </w:rPr>
            </w:pPr>
          </w:p>
          <w:p w14:paraId="1E1275FB">
            <w:pPr>
              <w:spacing w:line="440" w:lineRule="exact"/>
              <w:ind w:firstLine="630" w:firstLineChars="300"/>
              <w:jc w:val="right"/>
              <w:rPr>
                <w:rFonts w:hint="eastAsia" w:ascii="宋体" w:hAnsi="宋体" w:cs="宋体"/>
                <w:color w:val="auto"/>
                <w:highlight w:val="none"/>
              </w:rPr>
            </w:pPr>
          </w:p>
          <w:p w14:paraId="5C875C4F">
            <w:pPr>
              <w:spacing w:line="440" w:lineRule="exact"/>
              <w:ind w:firstLine="630" w:firstLineChars="300"/>
              <w:jc w:val="right"/>
              <w:rPr>
                <w:rFonts w:hint="eastAsia" w:ascii="宋体" w:hAnsi="宋体" w:cs="宋体"/>
                <w:color w:val="auto"/>
                <w:highlight w:val="none"/>
              </w:rPr>
            </w:pPr>
          </w:p>
          <w:p w14:paraId="643CC9C9">
            <w:pPr>
              <w:spacing w:line="440" w:lineRule="exact"/>
              <w:ind w:firstLine="630" w:firstLineChars="300"/>
              <w:jc w:val="right"/>
              <w:rPr>
                <w:rFonts w:hint="eastAsia" w:ascii="宋体" w:hAnsi="宋体" w:cs="宋体"/>
                <w:color w:val="auto"/>
                <w:highlight w:val="none"/>
              </w:rPr>
            </w:pPr>
          </w:p>
          <w:p w14:paraId="2A01E3DA">
            <w:pPr>
              <w:spacing w:line="440" w:lineRule="exact"/>
              <w:ind w:firstLine="630" w:firstLineChars="300"/>
              <w:jc w:val="right"/>
              <w:rPr>
                <w:rFonts w:hint="eastAsia" w:ascii="宋体" w:hAnsi="宋体" w:cs="宋体"/>
                <w:color w:val="auto"/>
                <w:highlight w:val="none"/>
              </w:rPr>
            </w:pPr>
            <w:r>
              <w:rPr>
                <w:rFonts w:hint="eastAsia" w:ascii="宋体" w:hAnsi="宋体" w:cs="宋体"/>
                <w:color w:val="auto"/>
                <w:highlight w:val="none"/>
              </w:rPr>
              <w:t>年    月    日</w:t>
            </w:r>
          </w:p>
        </w:tc>
      </w:tr>
    </w:tbl>
    <w:p w14:paraId="36BC7E13">
      <w:pPr>
        <w:pStyle w:val="11"/>
        <w:spacing w:line="440" w:lineRule="exact"/>
        <w:ind w:firstLine="1555"/>
        <w:jc w:val="center"/>
        <w:rPr>
          <w:rFonts w:hint="eastAsia" w:hAnsi="宋体" w:cs="宋体"/>
          <w:b/>
          <w:bCs/>
          <w:color w:val="auto"/>
          <w:kern w:val="0"/>
          <w:szCs w:val="21"/>
          <w:highlight w:val="none"/>
        </w:rPr>
      </w:pPr>
      <w:r>
        <w:rPr>
          <w:rFonts w:hint="eastAsia" w:hAnsi="宋体" w:cs="宋体"/>
          <w:b/>
          <w:bCs/>
          <w:color w:val="auto"/>
          <w:kern w:val="0"/>
          <w:szCs w:val="21"/>
          <w:highlight w:val="none"/>
        </w:rPr>
        <w:t xml:space="preserve"> </w:t>
      </w:r>
    </w:p>
    <w:p w14:paraId="1699DFDD">
      <w:pPr>
        <w:pStyle w:val="11"/>
        <w:pageBreakBefore/>
        <w:spacing w:line="360" w:lineRule="exact"/>
        <w:jc w:val="center"/>
        <w:rPr>
          <w:rFonts w:hint="eastAsia" w:hAnsi="宋体" w:cs="宋体"/>
          <w:b/>
          <w:bCs/>
          <w:color w:val="auto"/>
          <w:kern w:val="0"/>
          <w:szCs w:val="21"/>
          <w:highlight w:val="none"/>
        </w:rPr>
      </w:pPr>
      <w:r>
        <w:rPr>
          <w:rFonts w:hint="eastAsia" w:hAnsi="宋体" w:cs="宋体"/>
          <w:b/>
          <w:bCs/>
          <w:color w:val="auto"/>
          <w:kern w:val="0"/>
          <w:szCs w:val="21"/>
          <w:highlight w:val="none"/>
        </w:rPr>
        <w:t xml:space="preserve"> </w:t>
      </w:r>
    </w:p>
    <w:p w14:paraId="44CCE3CB">
      <w:pPr>
        <w:pStyle w:val="11"/>
        <w:spacing w:line="360" w:lineRule="exact"/>
        <w:jc w:val="center"/>
        <w:rPr>
          <w:rFonts w:hint="eastAsia" w:hAnsi="宋体" w:cs="宋体"/>
          <w:b/>
          <w:bCs/>
          <w:color w:val="auto"/>
          <w:kern w:val="0"/>
          <w:szCs w:val="21"/>
          <w:highlight w:val="none"/>
        </w:rPr>
      </w:pPr>
      <w:r>
        <w:rPr>
          <w:rFonts w:hint="eastAsia" w:hAnsi="宋体" w:cs="宋体"/>
          <w:b/>
          <w:bCs/>
          <w:color w:val="auto"/>
          <w:kern w:val="0"/>
          <w:szCs w:val="21"/>
          <w:highlight w:val="none"/>
        </w:rPr>
        <w:t xml:space="preserve"> </w:t>
      </w:r>
    </w:p>
    <w:p w14:paraId="3DAD8A38">
      <w:pPr>
        <w:pStyle w:val="11"/>
        <w:spacing w:line="360" w:lineRule="exact"/>
        <w:jc w:val="center"/>
        <w:rPr>
          <w:rFonts w:hint="eastAsia" w:hAnsi="宋体" w:cs="宋体"/>
          <w:b/>
          <w:bCs/>
          <w:color w:val="auto"/>
          <w:kern w:val="0"/>
          <w:szCs w:val="21"/>
          <w:highlight w:val="none"/>
        </w:rPr>
      </w:pPr>
      <w:r>
        <w:rPr>
          <w:rFonts w:hint="eastAsia" w:hAnsi="宋体" w:cs="宋体"/>
          <w:b/>
          <w:bCs/>
          <w:color w:val="auto"/>
          <w:kern w:val="0"/>
          <w:szCs w:val="21"/>
          <w:highlight w:val="none"/>
        </w:rPr>
        <w:t xml:space="preserve"> </w:t>
      </w:r>
    </w:p>
    <w:p w14:paraId="619679FB">
      <w:pPr>
        <w:pStyle w:val="11"/>
        <w:spacing w:line="360" w:lineRule="exact"/>
        <w:jc w:val="center"/>
        <w:rPr>
          <w:rFonts w:hint="eastAsia" w:hAnsi="宋体" w:cs="宋体"/>
          <w:b/>
          <w:bCs/>
          <w:color w:val="auto"/>
          <w:kern w:val="0"/>
          <w:szCs w:val="21"/>
          <w:highlight w:val="none"/>
        </w:rPr>
      </w:pPr>
      <w:r>
        <w:rPr>
          <w:rFonts w:hint="eastAsia" w:hAnsi="宋体" w:cs="宋体"/>
          <w:b/>
          <w:bCs/>
          <w:color w:val="auto"/>
          <w:kern w:val="0"/>
          <w:szCs w:val="21"/>
          <w:highlight w:val="none"/>
        </w:rPr>
        <w:t xml:space="preserve"> </w:t>
      </w:r>
    </w:p>
    <w:p w14:paraId="2854FC4D">
      <w:pPr>
        <w:pStyle w:val="11"/>
        <w:spacing w:line="360" w:lineRule="exact"/>
        <w:jc w:val="center"/>
        <w:rPr>
          <w:rFonts w:hint="eastAsia" w:hAnsi="宋体" w:cs="宋体"/>
          <w:b/>
          <w:bCs/>
          <w:color w:val="auto"/>
          <w:kern w:val="0"/>
          <w:szCs w:val="21"/>
          <w:highlight w:val="none"/>
        </w:rPr>
      </w:pPr>
      <w:r>
        <w:rPr>
          <w:rFonts w:hint="eastAsia" w:hAnsi="宋体" w:cs="宋体"/>
          <w:b/>
          <w:bCs/>
          <w:color w:val="auto"/>
          <w:kern w:val="0"/>
          <w:szCs w:val="21"/>
          <w:highlight w:val="none"/>
        </w:rPr>
        <w:t xml:space="preserve"> </w:t>
      </w:r>
    </w:p>
    <w:p w14:paraId="368E55B1">
      <w:pPr>
        <w:pStyle w:val="11"/>
        <w:spacing w:line="360" w:lineRule="exact"/>
        <w:jc w:val="center"/>
        <w:rPr>
          <w:rFonts w:hint="eastAsia" w:hAnsi="宋体" w:cs="宋体"/>
          <w:b/>
          <w:bCs/>
          <w:color w:val="auto"/>
          <w:kern w:val="0"/>
          <w:szCs w:val="21"/>
          <w:highlight w:val="none"/>
        </w:rPr>
      </w:pPr>
      <w:r>
        <w:rPr>
          <w:rFonts w:hint="eastAsia" w:hAnsi="宋体" w:cs="宋体"/>
          <w:b/>
          <w:bCs/>
          <w:color w:val="auto"/>
          <w:kern w:val="0"/>
          <w:szCs w:val="21"/>
          <w:highlight w:val="none"/>
        </w:rPr>
        <w:t xml:space="preserve"> </w:t>
      </w:r>
    </w:p>
    <w:p w14:paraId="6625EEB9">
      <w:pPr>
        <w:pStyle w:val="11"/>
        <w:spacing w:line="360" w:lineRule="exact"/>
        <w:jc w:val="center"/>
        <w:rPr>
          <w:rFonts w:hint="eastAsia" w:hAnsi="宋体" w:cs="宋体"/>
          <w:b/>
          <w:bCs/>
          <w:color w:val="auto"/>
          <w:kern w:val="0"/>
          <w:szCs w:val="21"/>
          <w:highlight w:val="none"/>
        </w:rPr>
      </w:pPr>
    </w:p>
    <w:p w14:paraId="7C62F19E">
      <w:pPr>
        <w:pStyle w:val="11"/>
        <w:spacing w:line="360" w:lineRule="exact"/>
        <w:jc w:val="center"/>
        <w:rPr>
          <w:rFonts w:hint="eastAsia" w:hAnsi="宋体" w:cs="宋体"/>
          <w:b/>
          <w:bCs/>
          <w:color w:val="auto"/>
          <w:kern w:val="0"/>
          <w:szCs w:val="21"/>
          <w:highlight w:val="none"/>
        </w:rPr>
      </w:pPr>
    </w:p>
    <w:p w14:paraId="66F991D5">
      <w:pPr>
        <w:pStyle w:val="11"/>
        <w:spacing w:line="360" w:lineRule="exact"/>
        <w:jc w:val="center"/>
        <w:rPr>
          <w:rFonts w:hint="eastAsia" w:hAnsi="宋体" w:cs="宋体"/>
          <w:b/>
          <w:bCs/>
          <w:color w:val="auto"/>
          <w:kern w:val="0"/>
          <w:szCs w:val="21"/>
          <w:highlight w:val="none"/>
        </w:rPr>
      </w:pPr>
    </w:p>
    <w:p w14:paraId="1EB01B6E">
      <w:pPr>
        <w:pStyle w:val="11"/>
        <w:spacing w:line="360" w:lineRule="exact"/>
        <w:jc w:val="center"/>
        <w:rPr>
          <w:rFonts w:hint="eastAsia" w:hAnsi="宋体" w:cs="宋体"/>
          <w:b/>
          <w:bCs/>
          <w:color w:val="auto"/>
          <w:kern w:val="0"/>
          <w:szCs w:val="21"/>
          <w:highlight w:val="none"/>
        </w:rPr>
      </w:pPr>
    </w:p>
    <w:p w14:paraId="09B23FD9">
      <w:pPr>
        <w:pStyle w:val="11"/>
        <w:spacing w:line="360" w:lineRule="exact"/>
        <w:jc w:val="center"/>
        <w:rPr>
          <w:rFonts w:hint="eastAsia" w:hAnsi="宋体" w:cs="宋体"/>
          <w:b/>
          <w:bCs/>
          <w:color w:val="auto"/>
          <w:kern w:val="0"/>
          <w:szCs w:val="21"/>
          <w:highlight w:val="none"/>
        </w:rPr>
      </w:pPr>
    </w:p>
    <w:p w14:paraId="535B7922">
      <w:pPr>
        <w:pStyle w:val="11"/>
        <w:spacing w:line="360" w:lineRule="exact"/>
        <w:jc w:val="center"/>
        <w:rPr>
          <w:rFonts w:hint="eastAsia" w:hAnsi="宋体" w:cs="宋体"/>
          <w:b/>
          <w:bCs/>
          <w:color w:val="auto"/>
          <w:kern w:val="0"/>
          <w:szCs w:val="21"/>
          <w:highlight w:val="none"/>
        </w:rPr>
      </w:pPr>
      <w:r>
        <w:rPr>
          <w:rFonts w:hint="eastAsia" w:hAnsi="宋体" w:cs="宋体"/>
          <w:b/>
          <w:bCs/>
          <w:color w:val="auto"/>
          <w:kern w:val="0"/>
          <w:szCs w:val="21"/>
          <w:highlight w:val="none"/>
        </w:rPr>
        <w:t xml:space="preserve"> </w:t>
      </w:r>
    </w:p>
    <w:p w14:paraId="5796E7F5">
      <w:pPr>
        <w:pStyle w:val="11"/>
        <w:spacing w:line="360" w:lineRule="exact"/>
        <w:jc w:val="center"/>
        <w:rPr>
          <w:rFonts w:hint="eastAsia" w:hAnsi="宋体" w:cs="宋体"/>
          <w:b/>
          <w:bCs/>
          <w:color w:val="auto"/>
          <w:kern w:val="0"/>
          <w:szCs w:val="21"/>
          <w:highlight w:val="none"/>
        </w:rPr>
      </w:pPr>
      <w:r>
        <w:rPr>
          <w:rFonts w:hint="eastAsia" w:hAnsi="宋体" w:cs="宋体"/>
          <w:b/>
          <w:bCs/>
          <w:color w:val="auto"/>
          <w:kern w:val="0"/>
          <w:szCs w:val="21"/>
          <w:highlight w:val="none"/>
        </w:rPr>
        <w:t xml:space="preserve"> </w:t>
      </w:r>
    </w:p>
    <w:p w14:paraId="62998505">
      <w:pPr>
        <w:pStyle w:val="11"/>
        <w:spacing w:line="360" w:lineRule="exact"/>
        <w:jc w:val="center"/>
        <w:rPr>
          <w:rFonts w:hint="eastAsia" w:hAnsi="宋体" w:cs="宋体"/>
          <w:b/>
          <w:bCs/>
          <w:color w:val="auto"/>
          <w:kern w:val="0"/>
          <w:szCs w:val="21"/>
          <w:highlight w:val="none"/>
        </w:rPr>
      </w:pPr>
      <w:r>
        <w:rPr>
          <w:rFonts w:hint="eastAsia" w:hAnsi="宋体" w:cs="宋体"/>
          <w:b/>
          <w:bCs/>
          <w:color w:val="auto"/>
          <w:kern w:val="0"/>
          <w:szCs w:val="21"/>
          <w:highlight w:val="none"/>
        </w:rPr>
        <w:t xml:space="preserve"> </w:t>
      </w:r>
    </w:p>
    <w:p w14:paraId="05D176BD">
      <w:pPr>
        <w:pStyle w:val="11"/>
        <w:spacing w:line="360" w:lineRule="exact"/>
        <w:jc w:val="center"/>
        <w:rPr>
          <w:rFonts w:hint="eastAsia" w:hAnsi="宋体" w:cs="宋体"/>
          <w:b/>
          <w:bCs/>
          <w:color w:val="auto"/>
          <w:kern w:val="0"/>
          <w:szCs w:val="21"/>
          <w:highlight w:val="none"/>
        </w:rPr>
      </w:pPr>
    </w:p>
    <w:p w14:paraId="24A8CD1C">
      <w:pPr>
        <w:pStyle w:val="11"/>
        <w:spacing w:line="360" w:lineRule="exact"/>
        <w:jc w:val="center"/>
        <w:rPr>
          <w:rFonts w:hint="eastAsia" w:hAnsi="宋体" w:cs="宋体"/>
          <w:b/>
          <w:bCs/>
          <w:color w:val="auto"/>
          <w:kern w:val="0"/>
          <w:szCs w:val="21"/>
          <w:highlight w:val="none"/>
        </w:rPr>
      </w:pPr>
    </w:p>
    <w:p w14:paraId="77269918">
      <w:pPr>
        <w:pStyle w:val="11"/>
        <w:spacing w:line="360" w:lineRule="exact"/>
        <w:jc w:val="center"/>
        <w:rPr>
          <w:rFonts w:hint="eastAsia" w:hAnsi="宋体" w:cs="宋体"/>
          <w:b/>
          <w:bCs/>
          <w:color w:val="auto"/>
          <w:kern w:val="0"/>
          <w:szCs w:val="21"/>
          <w:highlight w:val="none"/>
        </w:rPr>
      </w:pPr>
      <w:r>
        <w:rPr>
          <w:rFonts w:hint="eastAsia" w:hAnsi="宋体" w:cs="宋体"/>
          <w:b/>
          <w:bCs/>
          <w:color w:val="auto"/>
          <w:kern w:val="0"/>
          <w:szCs w:val="21"/>
          <w:highlight w:val="none"/>
        </w:rPr>
        <w:t xml:space="preserve">  </w:t>
      </w:r>
    </w:p>
    <w:p w14:paraId="1F933D62">
      <w:pPr>
        <w:pStyle w:val="3"/>
        <w:jc w:val="center"/>
        <w:rPr>
          <w:rFonts w:hint="eastAsia" w:ascii="宋体" w:hAnsi="宋体" w:cs="宋体"/>
          <w:color w:val="auto"/>
          <w:sz w:val="44"/>
          <w:szCs w:val="44"/>
          <w:highlight w:val="none"/>
        </w:rPr>
      </w:pPr>
      <w:bookmarkStart w:id="39" w:name="_Toc18481389"/>
      <w:bookmarkEnd w:id="39"/>
      <w:r>
        <w:rPr>
          <w:rFonts w:hint="eastAsia" w:ascii="宋体" w:hAnsi="宋体" w:cs="宋体"/>
          <w:color w:val="auto"/>
          <w:sz w:val="44"/>
          <w:szCs w:val="44"/>
          <w:highlight w:val="none"/>
        </w:rPr>
        <w:t>第六章  评标方法及评分标准</w:t>
      </w:r>
    </w:p>
    <w:p w14:paraId="7DB94DD5">
      <w:pPr>
        <w:rPr>
          <w:rFonts w:hint="eastAsia" w:ascii="宋体" w:hAnsi="宋体" w:cs="宋体"/>
          <w:color w:val="auto"/>
          <w:highlight w:val="none"/>
        </w:rPr>
      </w:pPr>
    </w:p>
    <w:p w14:paraId="6583D080">
      <w:pPr>
        <w:pStyle w:val="2"/>
        <w:rPr>
          <w:rFonts w:hint="eastAsia" w:ascii="宋体" w:hAnsi="宋体" w:cs="宋体"/>
          <w:color w:val="auto"/>
          <w:sz w:val="21"/>
          <w:szCs w:val="21"/>
          <w:highlight w:val="none"/>
        </w:rPr>
      </w:pPr>
    </w:p>
    <w:p w14:paraId="68D45375">
      <w:pPr>
        <w:pStyle w:val="2"/>
        <w:rPr>
          <w:rFonts w:hint="eastAsia" w:ascii="宋体" w:hAnsi="宋体" w:cs="宋体"/>
          <w:color w:val="auto"/>
          <w:sz w:val="21"/>
          <w:szCs w:val="21"/>
          <w:highlight w:val="none"/>
        </w:rPr>
      </w:pPr>
    </w:p>
    <w:p w14:paraId="34DC8FE4">
      <w:pPr>
        <w:pStyle w:val="2"/>
        <w:rPr>
          <w:rFonts w:hint="eastAsia" w:ascii="宋体" w:hAnsi="宋体" w:cs="宋体"/>
          <w:color w:val="auto"/>
          <w:sz w:val="21"/>
          <w:szCs w:val="21"/>
          <w:highlight w:val="none"/>
        </w:rPr>
      </w:pPr>
    </w:p>
    <w:p w14:paraId="3C9DCC1F">
      <w:pPr>
        <w:pStyle w:val="2"/>
        <w:rPr>
          <w:rFonts w:hint="eastAsia" w:ascii="宋体" w:hAnsi="宋体" w:cs="宋体"/>
          <w:color w:val="auto"/>
          <w:sz w:val="21"/>
          <w:szCs w:val="21"/>
          <w:highlight w:val="none"/>
        </w:rPr>
      </w:pPr>
    </w:p>
    <w:p w14:paraId="29CCC297">
      <w:pPr>
        <w:pStyle w:val="2"/>
        <w:rPr>
          <w:rFonts w:hint="eastAsia" w:ascii="宋体" w:hAnsi="宋体" w:cs="宋体"/>
          <w:color w:val="auto"/>
          <w:sz w:val="21"/>
          <w:szCs w:val="21"/>
          <w:highlight w:val="none"/>
        </w:rPr>
      </w:pPr>
    </w:p>
    <w:p w14:paraId="40E85BD2">
      <w:pPr>
        <w:pStyle w:val="2"/>
        <w:rPr>
          <w:rFonts w:hint="eastAsia" w:ascii="宋体" w:hAnsi="宋体" w:cs="宋体"/>
          <w:color w:val="auto"/>
          <w:sz w:val="21"/>
          <w:szCs w:val="21"/>
          <w:highlight w:val="none"/>
        </w:rPr>
      </w:pPr>
    </w:p>
    <w:p w14:paraId="5BEB4712">
      <w:pPr>
        <w:pStyle w:val="2"/>
        <w:rPr>
          <w:rFonts w:hint="eastAsia" w:ascii="宋体" w:hAnsi="宋体" w:cs="宋体"/>
          <w:color w:val="auto"/>
          <w:sz w:val="21"/>
          <w:szCs w:val="21"/>
          <w:highlight w:val="none"/>
        </w:rPr>
      </w:pPr>
    </w:p>
    <w:p w14:paraId="04C14C48">
      <w:pPr>
        <w:pStyle w:val="2"/>
        <w:rPr>
          <w:rFonts w:hint="eastAsia" w:ascii="宋体" w:hAnsi="宋体" w:cs="宋体"/>
          <w:color w:val="auto"/>
          <w:sz w:val="21"/>
          <w:szCs w:val="21"/>
          <w:highlight w:val="none"/>
        </w:rPr>
      </w:pPr>
    </w:p>
    <w:p w14:paraId="54E0DA27">
      <w:pPr>
        <w:pStyle w:val="2"/>
        <w:rPr>
          <w:rFonts w:hint="eastAsia" w:ascii="宋体" w:hAnsi="宋体" w:cs="宋体"/>
          <w:color w:val="auto"/>
          <w:sz w:val="21"/>
          <w:szCs w:val="21"/>
          <w:highlight w:val="none"/>
        </w:rPr>
      </w:pPr>
    </w:p>
    <w:p w14:paraId="2EC0B585">
      <w:pPr>
        <w:pStyle w:val="2"/>
        <w:rPr>
          <w:rFonts w:hint="eastAsia" w:ascii="宋体" w:hAnsi="宋体" w:cs="宋体"/>
          <w:color w:val="auto"/>
          <w:sz w:val="21"/>
          <w:szCs w:val="21"/>
          <w:highlight w:val="none"/>
        </w:rPr>
      </w:pPr>
    </w:p>
    <w:p w14:paraId="05F36DA8">
      <w:pPr>
        <w:pStyle w:val="2"/>
        <w:rPr>
          <w:rFonts w:hint="eastAsia" w:ascii="宋体" w:hAnsi="宋体" w:cs="宋体"/>
          <w:color w:val="auto"/>
          <w:sz w:val="21"/>
          <w:szCs w:val="21"/>
          <w:highlight w:val="none"/>
        </w:rPr>
      </w:pPr>
    </w:p>
    <w:p w14:paraId="26524985">
      <w:pPr>
        <w:pStyle w:val="2"/>
        <w:rPr>
          <w:rFonts w:hint="eastAsia" w:ascii="宋体" w:hAnsi="宋体" w:cs="宋体"/>
          <w:color w:val="auto"/>
          <w:sz w:val="21"/>
          <w:szCs w:val="21"/>
          <w:highlight w:val="none"/>
        </w:rPr>
      </w:pPr>
    </w:p>
    <w:p w14:paraId="36FDD2D9">
      <w:pPr>
        <w:pStyle w:val="2"/>
        <w:rPr>
          <w:rFonts w:hint="eastAsia" w:ascii="宋体" w:hAnsi="宋体" w:cs="宋体"/>
          <w:color w:val="auto"/>
          <w:sz w:val="21"/>
          <w:szCs w:val="21"/>
          <w:highlight w:val="none"/>
        </w:rPr>
      </w:pPr>
    </w:p>
    <w:p w14:paraId="08F08011">
      <w:pPr>
        <w:pStyle w:val="2"/>
        <w:rPr>
          <w:rFonts w:hint="eastAsia" w:ascii="宋体" w:hAnsi="宋体" w:cs="宋体"/>
          <w:color w:val="auto"/>
          <w:sz w:val="21"/>
          <w:szCs w:val="21"/>
          <w:highlight w:val="none"/>
        </w:rPr>
      </w:pPr>
    </w:p>
    <w:p w14:paraId="295532B9">
      <w:pPr>
        <w:pStyle w:val="2"/>
        <w:rPr>
          <w:rFonts w:hint="eastAsia" w:ascii="宋体" w:hAnsi="宋体" w:cs="宋体"/>
          <w:color w:val="auto"/>
          <w:sz w:val="21"/>
          <w:szCs w:val="21"/>
          <w:highlight w:val="none"/>
        </w:rPr>
      </w:pPr>
    </w:p>
    <w:p w14:paraId="13130470">
      <w:pPr>
        <w:pStyle w:val="2"/>
        <w:rPr>
          <w:rFonts w:hint="eastAsia" w:ascii="宋体" w:hAnsi="宋体" w:cs="宋体"/>
          <w:color w:val="auto"/>
          <w:sz w:val="21"/>
          <w:szCs w:val="21"/>
          <w:highlight w:val="none"/>
        </w:rPr>
      </w:pPr>
    </w:p>
    <w:p w14:paraId="58588C57">
      <w:pPr>
        <w:pageBreakBefore/>
        <w:spacing w:line="400" w:lineRule="exact"/>
        <w:ind w:firstLine="723" w:firstLineChars="20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评标方法及评定标准</w:t>
      </w:r>
    </w:p>
    <w:p w14:paraId="73207FCB">
      <w:pPr>
        <w:keepNext w:val="0"/>
        <w:keepLines w:val="0"/>
        <w:pageBreakBefore w:val="0"/>
        <w:widowControl/>
        <w:kinsoku/>
        <w:wordWrap/>
        <w:overflowPunct/>
        <w:topLinePunct w:val="0"/>
        <w:bidi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一、评标原则</w:t>
      </w:r>
    </w:p>
    <w:p w14:paraId="22601C76">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 评委构成：本招标采购项目的磋商小组由采购人代表和有关技术、经济等方面的专家组成，成员人数应当为五人以上单数。其中，技术、经济等方面的专家不得少于成员总数的三分之二。</w:t>
      </w:r>
    </w:p>
    <w:p w14:paraId="3FEB194D">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(二) 评标依据：</w:t>
      </w:r>
      <w:r>
        <w:rPr>
          <w:rFonts w:hint="eastAsia" w:ascii="宋体" w:hAnsi="宋体" w:eastAsia="宋体" w:cs="宋体"/>
          <w:bCs/>
          <w:color w:val="auto"/>
          <w:kern w:val="0"/>
          <w:sz w:val="21"/>
          <w:szCs w:val="21"/>
          <w:highlight w:val="none"/>
        </w:rPr>
        <w:t>评委将以招投标文件为评标依据，对磋商人的内容按百分制打分。</w:t>
      </w:r>
    </w:p>
    <w:p w14:paraId="03171A8A">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 xml:space="preserve">(三) </w:t>
      </w:r>
      <w:r>
        <w:rPr>
          <w:rFonts w:hint="eastAsia" w:ascii="宋体" w:hAnsi="宋体" w:eastAsia="宋体" w:cs="宋体"/>
          <w:bCs/>
          <w:color w:val="auto"/>
          <w:sz w:val="21"/>
          <w:szCs w:val="21"/>
          <w:highlight w:val="none"/>
        </w:rPr>
        <w:t>评标方式：以封闭方式进行。</w:t>
      </w:r>
    </w:p>
    <w:p w14:paraId="51530FE0">
      <w:pPr>
        <w:pStyle w:val="19"/>
        <w:rPr>
          <w:rFonts w:hint="eastAsia" w:hAnsi="宋体" w:cs="宋体"/>
          <w:color w:val="auto"/>
          <w:szCs w:val="21"/>
          <w:highlight w:val="none"/>
        </w:rPr>
      </w:pPr>
      <w:r>
        <w:rPr>
          <w:rFonts w:hint="eastAsia" w:ascii="宋体" w:hAnsi="宋体" w:eastAsia="宋体" w:cs="宋体"/>
          <w:color w:val="auto"/>
          <w:kern w:val="0"/>
          <w:sz w:val="21"/>
          <w:szCs w:val="21"/>
          <w:highlight w:val="none"/>
          <w:lang w:val="en-US" w:eastAsia="zh-CN" w:bidi="ar-SA"/>
        </w:rPr>
        <w:t>（四）无效响应处理原则：在评审过程中，包括在异常低价认定程序中被认定为无效的响应，其响应文件不再进入后续评审阶段，也不参与得分计算与汇总排名。</w:t>
      </w:r>
    </w:p>
    <w:p w14:paraId="1D87B5FF">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二、评标方法</w:t>
      </w:r>
    </w:p>
    <w:p w14:paraId="2D9D29B7">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（一）对进入详评的，采用百分制综合评分法。</w:t>
      </w:r>
    </w:p>
    <w:p w14:paraId="4CE1E37A">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（二）计分办法（按四舍五入取至百分位）：</w:t>
      </w:r>
    </w:p>
    <w:p w14:paraId="1B9F8BA1">
      <w:pPr>
        <w:pStyle w:val="1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hAnsi="宋体" w:eastAsia="宋体" w:cs="宋体"/>
          <w:b/>
          <w:bCs/>
          <w:color w:val="auto"/>
          <w:sz w:val="21"/>
          <w:szCs w:val="21"/>
          <w:highlight w:val="none"/>
          <w:lang w:val="en" w:eastAsia="zh-CN"/>
        </w:rPr>
        <w:t>、</w:t>
      </w:r>
      <w:r>
        <w:rPr>
          <w:rFonts w:hint="eastAsia" w:ascii="宋体" w:hAnsi="宋体" w:eastAsia="宋体" w:cs="宋体"/>
          <w:b/>
          <w:bCs/>
          <w:color w:val="auto"/>
          <w:sz w:val="21"/>
          <w:szCs w:val="21"/>
          <w:highlight w:val="none"/>
        </w:rPr>
        <w:t>报价分…………………………………………………………………</w:t>
      </w:r>
      <w:r>
        <w:rPr>
          <w:rFonts w:hint="eastAsia"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0分</w:t>
      </w:r>
    </w:p>
    <w:p w14:paraId="6C604C96">
      <w:pPr>
        <w:spacing w:line="40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（1）本项目</w:t>
      </w:r>
      <w:r>
        <w:rPr>
          <w:rFonts w:hint="eastAsia" w:ascii="宋体" w:hAnsi="宋体" w:cs="宋体"/>
          <w:b/>
          <w:bCs/>
          <w:color w:val="auto"/>
          <w:highlight w:val="none"/>
          <w:lang w:eastAsia="zh-CN"/>
        </w:rPr>
        <w:t>专门</w:t>
      </w:r>
      <w:r>
        <w:rPr>
          <w:rFonts w:hint="eastAsia" w:ascii="宋体" w:hAnsi="宋体" w:cs="宋体"/>
          <w:b/>
          <w:bCs/>
          <w:color w:val="auto"/>
          <w:highlight w:val="none"/>
        </w:rPr>
        <w:t>面向小</w:t>
      </w:r>
      <w:r>
        <w:rPr>
          <w:rFonts w:hint="eastAsia" w:ascii="宋体" w:hAnsi="宋体" w:cs="宋体"/>
          <w:b/>
          <w:bCs/>
          <w:color w:val="auto"/>
          <w:highlight w:val="none"/>
          <w:lang w:val="en-US" w:eastAsia="zh-CN"/>
        </w:rPr>
        <w:t>微</w:t>
      </w:r>
      <w:r>
        <w:rPr>
          <w:rFonts w:hint="eastAsia" w:ascii="宋体" w:hAnsi="宋体" w:cs="宋体"/>
          <w:b/>
          <w:bCs/>
          <w:color w:val="auto"/>
          <w:highlight w:val="none"/>
        </w:rPr>
        <w:t>企业，最后评标价=最后报价。</w:t>
      </w:r>
    </w:p>
    <w:p w14:paraId="2C81360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3BDE92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产品或服务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0450E0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（2）以满足采购文件要求的最低最后评标价为</w:t>
      </w:r>
      <w:r>
        <w:rPr>
          <w:rFonts w:hint="eastAsia" w:ascii="宋体" w:hAnsi="宋体" w:cs="宋体"/>
          <w:color w:val="auto"/>
          <w:highlight w:val="none"/>
          <w:lang w:val="en-US" w:eastAsia="zh-CN"/>
        </w:rPr>
        <w:t>3</w:t>
      </w:r>
      <w:r>
        <w:rPr>
          <w:rFonts w:hint="eastAsia" w:ascii="宋体" w:hAnsi="宋体" w:cs="宋体"/>
          <w:color w:val="auto"/>
          <w:highlight w:val="none"/>
        </w:rPr>
        <w:t>0分。</w:t>
      </w:r>
    </w:p>
    <w:p w14:paraId="1B64971A">
      <w:pPr>
        <w:spacing w:line="400" w:lineRule="exact"/>
        <w:ind w:firstLine="420" w:firstLineChars="200"/>
        <w:rPr>
          <w:rFonts w:hint="eastAsia" w:ascii="宋体" w:hAnsi="宋体" w:cs="宋体"/>
          <w:color w:val="auto"/>
          <w:kern w:val="1"/>
          <w:highlight w:val="none"/>
        </w:rPr>
      </w:pPr>
      <w:r>
        <w:rPr>
          <w:rFonts w:hint="eastAsia" w:ascii="宋体" w:hAnsi="宋体" w:cs="宋体"/>
          <w:color w:val="auto"/>
          <w:kern w:val="1"/>
          <w:highlight w:val="none"/>
        </w:rPr>
        <w:t>（3）投标人报价分 = 磋商人最低最后评标价（金额）/某投标人最后评标</w:t>
      </w:r>
      <w:bookmarkStart w:id="40" w:name="_GoBack"/>
      <w:bookmarkEnd w:id="40"/>
      <w:r>
        <w:rPr>
          <w:rFonts w:hint="eastAsia" w:ascii="宋体" w:hAnsi="宋体" w:cs="宋体"/>
          <w:color w:val="auto"/>
          <w:kern w:val="1"/>
          <w:highlight w:val="none"/>
        </w:rPr>
        <w:t>价（金额）×</w:t>
      </w:r>
      <w:r>
        <w:rPr>
          <w:rFonts w:hint="eastAsia" w:ascii="宋体" w:hAnsi="宋体" w:cs="宋体"/>
          <w:color w:val="auto"/>
          <w:kern w:val="1"/>
          <w:highlight w:val="none"/>
          <w:lang w:val="en-US" w:eastAsia="zh-CN"/>
        </w:rPr>
        <w:t>3</w:t>
      </w:r>
      <w:r>
        <w:rPr>
          <w:rFonts w:hint="eastAsia" w:ascii="宋体" w:hAnsi="宋体" w:cs="宋体"/>
          <w:color w:val="auto"/>
          <w:kern w:val="1"/>
          <w:highlight w:val="none"/>
        </w:rPr>
        <w:t>0分</w:t>
      </w:r>
    </w:p>
    <w:p w14:paraId="42F356F9">
      <w:pPr>
        <w:pStyle w:val="70"/>
        <w:keepNext w:val="0"/>
        <w:keepLines w:val="0"/>
        <w:pageBreakBefore w:val="0"/>
        <w:kinsoku/>
        <w:wordWrap/>
        <w:overflowPunct/>
        <w:topLinePunct w:val="0"/>
        <w:bidi w:val="0"/>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2、服务方案分……………………………………………………………</w:t>
      </w:r>
      <w:r>
        <w:rPr>
          <w:rFonts w:hint="eastAsia" w:cs="宋体"/>
          <w:b/>
          <w:bCs/>
          <w:color w:val="auto"/>
          <w:sz w:val="21"/>
          <w:szCs w:val="21"/>
          <w:highlight w:val="none"/>
          <w:lang w:val="en-US" w:eastAsia="zh-CN"/>
        </w:rPr>
        <w:t>47</w:t>
      </w:r>
      <w:r>
        <w:rPr>
          <w:rFonts w:hint="eastAsia" w:ascii="宋体" w:hAnsi="宋体" w:eastAsia="宋体" w:cs="宋体"/>
          <w:b/>
          <w:bCs/>
          <w:color w:val="auto"/>
          <w:sz w:val="21"/>
          <w:szCs w:val="21"/>
          <w:highlight w:val="none"/>
        </w:rPr>
        <w:t>分</w:t>
      </w:r>
    </w:p>
    <w:p w14:paraId="510CA00B">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（1）物业管理服务水平的整体设想及策划方案（满分</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5A921C20">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一档（</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分）：制订有物业管理服务水平和方案</w:t>
      </w:r>
      <w:r>
        <w:rPr>
          <w:rFonts w:hint="eastAsia" w:ascii="宋体" w:hAnsi="宋体" w:eastAsia="宋体" w:cs="宋体"/>
          <w:color w:val="auto"/>
          <w:sz w:val="21"/>
          <w:szCs w:val="21"/>
          <w:highlight w:val="none"/>
          <w:lang w:val="en"/>
        </w:rPr>
        <w:t>。</w:t>
      </w:r>
    </w:p>
    <w:p w14:paraId="71239E3A">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二档（</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分）：物业管理服务水平和方案</w:t>
      </w:r>
      <w:r>
        <w:rPr>
          <w:rFonts w:hint="eastAsia" w:ascii="宋体" w:hAnsi="宋体" w:eastAsia="宋体" w:cs="宋体"/>
          <w:bCs/>
          <w:color w:val="auto"/>
          <w:sz w:val="21"/>
          <w:szCs w:val="21"/>
          <w:highlight w:val="none"/>
        </w:rPr>
        <w:t>完善，包含了组织机构、服务措施</w:t>
      </w:r>
      <w:r>
        <w:rPr>
          <w:rFonts w:hint="eastAsia" w:ascii="宋体" w:hAnsi="宋体" w:eastAsia="宋体" w:cs="宋体"/>
          <w:bCs/>
          <w:color w:val="auto"/>
          <w:sz w:val="21"/>
          <w:szCs w:val="21"/>
          <w:highlight w:val="none"/>
          <w:lang w:val="en"/>
        </w:rPr>
        <w:t>。</w:t>
      </w:r>
    </w:p>
    <w:p w14:paraId="5E5E2EAF">
      <w:pPr>
        <w:pStyle w:val="70"/>
        <w:keepNext w:val="0"/>
        <w:keepLines w:val="0"/>
        <w:pageBreakBefore w:val="0"/>
        <w:kinsoku/>
        <w:wordWrap/>
        <w:overflowPunct/>
        <w:topLinePunct w:val="0"/>
        <w:bidi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三档（</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分）：在二档的基础上，提供项目重点分析、做好重大活动保障</w:t>
      </w:r>
      <w:r>
        <w:rPr>
          <w:rFonts w:hint="eastAsia" w:cs="宋体"/>
          <w:color w:val="auto"/>
          <w:sz w:val="21"/>
          <w:szCs w:val="21"/>
          <w:highlight w:val="none"/>
          <w:lang w:val="en-US" w:eastAsia="zh-CN"/>
        </w:rPr>
        <w:t>方案</w:t>
      </w:r>
      <w:r>
        <w:rPr>
          <w:rFonts w:hint="eastAsia" w:ascii="宋体" w:hAnsi="宋体" w:eastAsia="宋体" w:cs="宋体"/>
          <w:color w:val="auto"/>
          <w:sz w:val="21"/>
          <w:szCs w:val="21"/>
          <w:highlight w:val="none"/>
        </w:rPr>
        <w:t>，服务管理有特色、优势，</w:t>
      </w:r>
      <w:r>
        <w:rPr>
          <w:rFonts w:hint="eastAsia" w:ascii="宋体" w:hAnsi="宋体" w:eastAsia="宋体" w:cs="宋体"/>
          <w:bCs/>
          <w:color w:val="auto"/>
          <w:sz w:val="21"/>
          <w:szCs w:val="21"/>
          <w:highlight w:val="none"/>
        </w:rPr>
        <w:t>完整详细。</w:t>
      </w:r>
    </w:p>
    <w:p w14:paraId="74516F75">
      <w:pPr>
        <w:pStyle w:val="70"/>
        <w:keepNext w:val="0"/>
        <w:keepLines w:val="0"/>
        <w:pageBreakBefore w:val="0"/>
        <w:kinsoku/>
        <w:wordWrap/>
        <w:overflowPunct/>
        <w:topLinePunct w:val="0"/>
        <w:bidi w:val="0"/>
        <w:spacing w:line="360" w:lineRule="auto"/>
        <w:ind w:firstLine="420"/>
        <w:rPr>
          <w:rFonts w:hint="eastAsia" w:ascii="宋体" w:hAnsi="宋体" w:eastAsia="宋体" w:cs="宋体"/>
          <w:bCs/>
          <w:color w:val="auto"/>
          <w:sz w:val="21"/>
          <w:szCs w:val="21"/>
          <w:highlight w:val="none"/>
        </w:rPr>
      </w:pPr>
      <w:r>
        <w:rPr>
          <w:rFonts w:hint="eastAsia"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未提供上述方案或不满足要求的，本项不得分。</w:t>
      </w:r>
    </w:p>
    <w:p w14:paraId="1145C82E">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（2）综合管理与维护服务方案（满分</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p w14:paraId="598C249B">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一档（</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分）：制订综合管理与维护服务方案</w:t>
      </w:r>
      <w:r>
        <w:rPr>
          <w:rFonts w:hint="eastAsia" w:ascii="宋体" w:hAnsi="宋体" w:eastAsia="宋体" w:cs="宋体"/>
          <w:color w:val="auto"/>
          <w:kern w:val="2"/>
          <w:sz w:val="21"/>
          <w:szCs w:val="21"/>
          <w:highlight w:val="none"/>
          <w:lang w:val="en" w:eastAsia="zh-CN" w:bidi="ar-SA"/>
        </w:rPr>
        <w:t>。</w:t>
      </w:r>
      <w:r>
        <w:rPr>
          <w:rFonts w:hint="eastAsia" w:ascii="宋体" w:hAnsi="宋体" w:eastAsia="宋体" w:cs="宋体"/>
          <w:color w:val="auto"/>
          <w:kern w:val="2"/>
          <w:sz w:val="21"/>
          <w:szCs w:val="21"/>
          <w:highlight w:val="none"/>
          <w:lang w:val="en-US" w:eastAsia="zh-CN" w:bidi="ar-SA"/>
        </w:rPr>
        <w:t xml:space="preserve">                    </w:t>
      </w:r>
    </w:p>
    <w:p w14:paraId="64E03690">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kern w:val="2"/>
          <w:sz w:val="21"/>
          <w:szCs w:val="21"/>
          <w:highlight w:val="none"/>
          <w:lang w:val="en" w:eastAsia="zh-CN" w:bidi="ar-SA"/>
        </w:rPr>
      </w:pPr>
      <w:r>
        <w:rPr>
          <w:rFonts w:hint="eastAsia" w:ascii="宋体" w:hAnsi="宋体" w:eastAsia="宋体" w:cs="宋体"/>
          <w:color w:val="auto"/>
          <w:kern w:val="2"/>
          <w:sz w:val="21"/>
          <w:szCs w:val="21"/>
          <w:highlight w:val="none"/>
          <w:lang w:val="en-US" w:eastAsia="zh-CN" w:bidi="ar-SA"/>
        </w:rPr>
        <w:t>二档（</w:t>
      </w: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分）：综合管理与维护服务方案，方案包含了组织架构图、工作职责</w:t>
      </w:r>
      <w:r>
        <w:rPr>
          <w:rFonts w:hint="eastAsia" w:ascii="宋体" w:hAnsi="宋体" w:eastAsia="宋体" w:cs="宋体"/>
          <w:color w:val="auto"/>
          <w:kern w:val="2"/>
          <w:sz w:val="21"/>
          <w:szCs w:val="21"/>
          <w:highlight w:val="none"/>
          <w:lang w:val="en" w:eastAsia="zh-CN" w:bidi="ar-SA"/>
        </w:rPr>
        <w:t>。</w:t>
      </w:r>
    </w:p>
    <w:p w14:paraId="6470FACA">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三档（</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分）：在二档的基础上，结合项目的特点，</w:t>
      </w:r>
      <w:r>
        <w:rPr>
          <w:rFonts w:hint="eastAsia" w:cs="宋体"/>
          <w:color w:val="auto"/>
          <w:kern w:val="2"/>
          <w:sz w:val="21"/>
          <w:szCs w:val="21"/>
          <w:highlight w:val="none"/>
          <w:lang w:val="en-US" w:eastAsia="zh-CN" w:bidi="ar-SA"/>
        </w:rPr>
        <w:t>制定</w:t>
      </w:r>
      <w:r>
        <w:rPr>
          <w:rFonts w:hint="eastAsia" w:ascii="宋体" w:hAnsi="宋体" w:eastAsia="宋体" w:cs="宋体"/>
          <w:color w:val="auto"/>
          <w:kern w:val="2"/>
          <w:sz w:val="21"/>
          <w:szCs w:val="21"/>
          <w:highlight w:val="none"/>
          <w:lang w:val="en-US" w:eastAsia="zh-CN" w:bidi="ar-SA"/>
        </w:rPr>
        <w:t>有楼宇及配套公共设施养护、周边设备养护，有供电系统、空调系统、给排水系统方案，方案完整详细。</w:t>
      </w:r>
    </w:p>
    <w:p w14:paraId="710F9356">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未提供上述方案或不满足要求的，本项不得分。</w:t>
      </w:r>
    </w:p>
    <w:p w14:paraId="690D27E8">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）安全管理与消防管理（满分</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6A6F93F">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分）：制订有安全管理与消防管理方案</w:t>
      </w:r>
      <w:r>
        <w:rPr>
          <w:rFonts w:hint="eastAsia" w:ascii="宋体" w:hAnsi="宋体" w:eastAsia="宋体" w:cs="宋体"/>
          <w:color w:val="auto"/>
          <w:sz w:val="21"/>
          <w:szCs w:val="21"/>
          <w:highlight w:val="none"/>
          <w:lang w:val="en"/>
        </w:rPr>
        <w:t>。</w:t>
      </w:r>
      <w:r>
        <w:rPr>
          <w:rFonts w:hint="eastAsia" w:ascii="宋体" w:hAnsi="宋体" w:eastAsia="宋体" w:cs="宋体"/>
          <w:color w:val="auto"/>
          <w:sz w:val="21"/>
          <w:szCs w:val="21"/>
          <w:highlight w:val="none"/>
        </w:rPr>
        <w:t xml:space="preserve">       </w:t>
      </w:r>
    </w:p>
    <w:p w14:paraId="046A91B8">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二档（</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分）：安全管理与消防管理方案</w:t>
      </w:r>
      <w:r>
        <w:rPr>
          <w:rFonts w:hint="eastAsia" w:ascii="宋体" w:hAnsi="宋体" w:eastAsia="宋体" w:cs="宋体"/>
          <w:bCs/>
          <w:color w:val="auto"/>
          <w:sz w:val="21"/>
          <w:szCs w:val="21"/>
          <w:highlight w:val="none"/>
        </w:rPr>
        <w:t>完善，包含服务方案、消防工作方案</w:t>
      </w:r>
      <w:r>
        <w:rPr>
          <w:rFonts w:hint="eastAsia" w:ascii="宋体" w:hAnsi="宋体" w:eastAsia="宋体" w:cs="宋体"/>
          <w:bCs/>
          <w:color w:val="auto"/>
          <w:sz w:val="21"/>
          <w:szCs w:val="21"/>
          <w:highlight w:val="none"/>
          <w:lang w:val="en"/>
        </w:rPr>
        <w:t>。</w:t>
      </w:r>
    </w:p>
    <w:p w14:paraId="5D4C1941">
      <w:pPr>
        <w:keepNext w:val="0"/>
        <w:keepLines w:val="0"/>
        <w:pageBreakBefore w:val="0"/>
        <w:kinsoku/>
        <w:wordWrap/>
        <w:overflowPunct/>
        <w:topLinePunct w:val="0"/>
        <w:bidi w:val="0"/>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三档（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分）：在二档的基础上，</w:t>
      </w:r>
      <w:r>
        <w:rPr>
          <w:rFonts w:hint="eastAsia" w:ascii="宋体" w:hAnsi="宋体" w:eastAsia="宋体" w:cs="宋体"/>
          <w:bCs/>
          <w:color w:val="auto"/>
          <w:sz w:val="21"/>
          <w:szCs w:val="21"/>
          <w:highlight w:val="none"/>
        </w:rPr>
        <w:t>安保管理方案详细、完善，提供有安保服务方案、保障措施完善，消防、交通管理制定有要切实可行的应急方案，制订切实可行的应急方案。</w:t>
      </w:r>
    </w:p>
    <w:p w14:paraId="7B9B8196">
      <w:pPr>
        <w:keepNext w:val="0"/>
        <w:keepLines w:val="0"/>
        <w:pageBreakBefore w:val="0"/>
        <w:kinsoku/>
        <w:wordWrap/>
        <w:overflowPunct/>
        <w:topLinePunct w:val="0"/>
        <w:bidi w:val="0"/>
        <w:spacing w:line="360" w:lineRule="auto"/>
        <w:ind w:firstLine="315" w:firstLineChars="15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未提供上述方案或不满足要求的，本项不得分。</w:t>
      </w:r>
    </w:p>
    <w:p w14:paraId="3E3E88FF">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）环境卫生管理（满分</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1340FCC9">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分）：制订有环境卫生管理方案。                           </w:t>
      </w:r>
    </w:p>
    <w:p w14:paraId="17DC12FA">
      <w:pPr>
        <w:pStyle w:val="70"/>
        <w:keepNext w:val="0"/>
        <w:keepLines w:val="0"/>
        <w:pageBreakBefore w:val="0"/>
        <w:kinsoku/>
        <w:wordWrap/>
        <w:overflowPunct/>
        <w:topLinePunct w:val="0"/>
        <w:bidi w:val="0"/>
        <w:spacing w:line="360" w:lineRule="auto"/>
        <w:ind w:firstLine="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分）：环境卫生管理</w:t>
      </w:r>
      <w:r>
        <w:rPr>
          <w:rFonts w:hint="eastAsia" w:ascii="宋体" w:hAnsi="宋体" w:eastAsia="宋体" w:cs="宋体"/>
          <w:bCs/>
          <w:color w:val="auto"/>
          <w:sz w:val="21"/>
          <w:szCs w:val="21"/>
          <w:highlight w:val="none"/>
        </w:rPr>
        <w:t>方案完善，包含服务质量标准、工作措施。</w:t>
      </w:r>
    </w:p>
    <w:p w14:paraId="4C7653D6">
      <w:pPr>
        <w:pStyle w:val="70"/>
        <w:keepNext w:val="0"/>
        <w:keepLines w:val="0"/>
        <w:pageBreakBefore w:val="0"/>
        <w:kinsoku/>
        <w:wordWrap/>
        <w:overflowPunct/>
        <w:topLinePunct w:val="0"/>
        <w:bidi w:val="0"/>
        <w:spacing w:line="360" w:lineRule="auto"/>
        <w:ind w:firstLine="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分）：在二档的基础上，环境卫生管理方案提供工作流程、服务保障措施</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灭“四害”消杀管理方案等，</w:t>
      </w:r>
      <w:r>
        <w:rPr>
          <w:rFonts w:hint="eastAsia" w:ascii="宋体" w:hAnsi="宋体" w:eastAsia="宋体" w:cs="宋体"/>
          <w:bCs/>
          <w:color w:val="auto"/>
          <w:sz w:val="21"/>
          <w:szCs w:val="21"/>
          <w:highlight w:val="none"/>
        </w:rPr>
        <w:t>方案完整详细。</w:t>
      </w:r>
    </w:p>
    <w:p w14:paraId="41278C56">
      <w:pPr>
        <w:pStyle w:val="70"/>
        <w:keepNext w:val="0"/>
        <w:keepLines w:val="0"/>
        <w:pageBreakBefore w:val="0"/>
        <w:kinsoku/>
        <w:wordWrap/>
        <w:overflowPunct/>
        <w:topLinePunct w:val="0"/>
        <w:bidi w:val="0"/>
        <w:spacing w:line="360" w:lineRule="auto"/>
        <w:ind w:firstLine="4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未提供上述方案或不满足要求的，本项不得分。</w:t>
      </w:r>
    </w:p>
    <w:p w14:paraId="76AE1674">
      <w:pPr>
        <w:pStyle w:val="70"/>
        <w:keepNext w:val="0"/>
        <w:keepLines w:val="0"/>
        <w:pageBreakBefore w:val="0"/>
        <w:numPr>
          <w:ilvl w:val="0"/>
          <w:numId w:val="0"/>
        </w:numPr>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（5）绿化管理（满分</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14:paraId="70EB753B">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rPr>
        <w:t>绿化管理</w:t>
      </w:r>
      <w:r>
        <w:rPr>
          <w:rFonts w:hint="eastAsia" w:ascii="宋体" w:hAnsi="宋体" w:eastAsia="宋体" w:cs="宋体"/>
          <w:color w:val="auto"/>
          <w:sz w:val="21"/>
          <w:szCs w:val="21"/>
          <w:highlight w:val="none"/>
        </w:rPr>
        <w:t>方案</w:t>
      </w:r>
      <w:r>
        <w:rPr>
          <w:rFonts w:hint="eastAsia" w:cs="宋体"/>
          <w:color w:val="auto"/>
          <w:sz w:val="21"/>
          <w:szCs w:val="21"/>
          <w:highlight w:val="none"/>
          <w:lang w:val="en-US" w:eastAsia="zh-CN"/>
        </w:rPr>
        <w:t>简略</w:t>
      </w:r>
      <w:r>
        <w:rPr>
          <w:rFonts w:hint="eastAsia" w:ascii="宋体" w:hAnsi="宋体" w:eastAsia="宋体" w:cs="宋体"/>
          <w:color w:val="auto"/>
          <w:sz w:val="21"/>
          <w:szCs w:val="21"/>
          <w:highlight w:val="none"/>
        </w:rPr>
        <w:t xml:space="preserve">                                 </w:t>
      </w:r>
    </w:p>
    <w:p w14:paraId="5175B2A5">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二档（</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bCs/>
          <w:color w:val="auto"/>
          <w:sz w:val="21"/>
          <w:szCs w:val="21"/>
          <w:highlight w:val="none"/>
        </w:rPr>
        <w:t>管理方案内容完整，有服务工作计划</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有标准。</w:t>
      </w:r>
    </w:p>
    <w:p w14:paraId="300F59B9">
      <w:pPr>
        <w:pStyle w:val="70"/>
        <w:keepNext w:val="0"/>
        <w:keepLines w:val="0"/>
        <w:pageBreakBefore w:val="0"/>
        <w:kinsoku/>
        <w:wordWrap/>
        <w:overflowPunct/>
        <w:topLinePunct w:val="0"/>
        <w:bidi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三档（</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rPr>
        <w:t>分）：在二档的基础上，</w:t>
      </w:r>
      <w:r>
        <w:rPr>
          <w:rFonts w:hint="eastAsia" w:ascii="宋体" w:hAnsi="宋体" w:eastAsia="宋体" w:cs="宋体"/>
          <w:bCs/>
          <w:color w:val="auto"/>
          <w:sz w:val="21"/>
          <w:szCs w:val="21"/>
          <w:highlight w:val="none"/>
        </w:rPr>
        <w:t>绿化养护管理方案详细、完善，</w:t>
      </w:r>
      <w:r>
        <w:rPr>
          <w:rFonts w:hint="eastAsia" w:ascii="宋体" w:hAnsi="宋体" w:eastAsia="宋体" w:cs="宋体"/>
          <w:bCs/>
          <w:color w:val="auto"/>
          <w:sz w:val="21"/>
          <w:szCs w:val="21"/>
          <w:highlight w:val="none"/>
          <w:lang w:val="en-US" w:eastAsia="zh-CN"/>
        </w:rPr>
        <w:t>有</w:t>
      </w:r>
      <w:r>
        <w:rPr>
          <w:rFonts w:hint="eastAsia" w:ascii="宋体" w:hAnsi="宋体" w:eastAsia="宋体" w:cs="宋体"/>
          <w:bCs/>
          <w:color w:val="auto"/>
          <w:sz w:val="21"/>
          <w:szCs w:val="21"/>
          <w:highlight w:val="none"/>
        </w:rPr>
        <w:t>服务工作计划</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有标准，有工作流程，有虫害</w:t>
      </w:r>
      <w:r>
        <w:rPr>
          <w:rFonts w:hint="eastAsia" w:cs="宋体"/>
          <w:bCs/>
          <w:color w:val="auto"/>
          <w:sz w:val="21"/>
          <w:szCs w:val="21"/>
          <w:highlight w:val="none"/>
          <w:lang w:val="en-US" w:eastAsia="zh-CN"/>
        </w:rPr>
        <w:t>防治</w:t>
      </w:r>
      <w:r>
        <w:rPr>
          <w:rFonts w:hint="eastAsia" w:ascii="宋体" w:hAnsi="宋体" w:eastAsia="宋体" w:cs="宋体"/>
          <w:bCs/>
          <w:color w:val="auto"/>
          <w:sz w:val="21"/>
          <w:szCs w:val="21"/>
          <w:highlight w:val="none"/>
          <w:lang w:val="en-US" w:eastAsia="zh-CN"/>
        </w:rPr>
        <w:t>，有预防措施</w:t>
      </w:r>
      <w:r>
        <w:rPr>
          <w:rFonts w:hint="eastAsia" w:ascii="宋体" w:hAnsi="宋体" w:eastAsia="宋体" w:cs="宋体"/>
          <w:bCs/>
          <w:color w:val="auto"/>
          <w:sz w:val="21"/>
          <w:szCs w:val="21"/>
          <w:highlight w:val="none"/>
        </w:rPr>
        <w:t>。</w:t>
      </w:r>
    </w:p>
    <w:p w14:paraId="64BBD530">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未提供上述方案或不满足要求的，本项不得分。</w:t>
      </w:r>
    </w:p>
    <w:p w14:paraId="09684E29">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）应急服务方案分（满分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49B0F0FF">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制订有</w:t>
      </w:r>
      <w:r>
        <w:rPr>
          <w:rFonts w:hint="eastAsia" w:ascii="宋体" w:hAnsi="宋体" w:eastAsia="宋体" w:cs="宋体"/>
          <w:color w:val="auto"/>
          <w:sz w:val="21"/>
          <w:szCs w:val="21"/>
          <w:highlight w:val="none"/>
        </w:rPr>
        <w:t xml:space="preserve">应急工作预案。 </w:t>
      </w:r>
    </w:p>
    <w:p w14:paraId="759AC0E0">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应急员包含社会安全类、设施设备类应急预案</w:t>
      </w:r>
      <w:r>
        <w:rPr>
          <w:rFonts w:hint="eastAsia" w:ascii="宋体" w:hAnsi="宋体" w:eastAsia="宋体" w:cs="宋体"/>
          <w:color w:val="auto"/>
          <w:sz w:val="21"/>
          <w:szCs w:val="21"/>
          <w:highlight w:val="none"/>
        </w:rPr>
        <w:t>。</w:t>
      </w:r>
    </w:p>
    <w:p w14:paraId="78BE205A">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分）：在二档的基础上，结合项目的特点，制订有自然灾害类事件应急预案、公共卫生事件类应急预案（如传染病疫情、群体性不明原因疾病等）、社会安全类事件应急预案（</w:t>
      </w:r>
      <w:r>
        <w:rPr>
          <w:rFonts w:hint="eastAsia" w:ascii="宋体" w:hAnsi="宋体" w:eastAsia="宋体" w:cs="宋体"/>
          <w:color w:val="auto"/>
          <w:sz w:val="21"/>
          <w:szCs w:val="21"/>
          <w:highlight w:val="none"/>
          <w:lang w:val="en-US" w:eastAsia="zh-CN"/>
        </w:rPr>
        <w:t>包含</w:t>
      </w:r>
      <w:r>
        <w:rPr>
          <w:rFonts w:hint="eastAsia" w:ascii="宋体" w:hAnsi="宋体" w:eastAsia="宋体" w:cs="宋体"/>
          <w:color w:val="auto"/>
          <w:sz w:val="21"/>
          <w:szCs w:val="21"/>
          <w:highlight w:val="none"/>
        </w:rPr>
        <w:t>非法集会/聚众闹事等）、事故灾害类应急预案（如火灾、造成重大影响的设施设备突发故障等。</w:t>
      </w:r>
    </w:p>
    <w:p w14:paraId="17BD2473">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未提供上述方案或不满足要求的，本项不得分。</w:t>
      </w:r>
    </w:p>
    <w:p w14:paraId="6774B327">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kern w:val="2"/>
          <w:sz w:val="21"/>
          <w:szCs w:val="21"/>
          <w:highlight w:val="none"/>
          <w:lang w:val="en-US" w:eastAsia="zh-CN" w:bidi="ar-SA"/>
        </w:rPr>
        <w:t>管理制度与项目服务质量保障分（满分5分）</w:t>
      </w:r>
    </w:p>
    <w:p w14:paraId="3F51E530">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一档（1分）：</w:t>
      </w:r>
      <w:r>
        <w:rPr>
          <w:rFonts w:hint="eastAsia" w:cs="宋体"/>
          <w:color w:val="auto"/>
          <w:kern w:val="2"/>
          <w:sz w:val="21"/>
          <w:szCs w:val="21"/>
          <w:highlight w:val="none"/>
          <w:lang w:val="en-US" w:eastAsia="zh-CN" w:bidi="ar-SA"/>
        </w:rPr>
        <w:t>制定</w:t>
      </w:r>
      <w:r>
        <w:rPr>
          <w:rFonts w:hint="eastAsia" w:ascii="宋体" w:hAnsi="宋体" w:eastAsia="宋体" w:cs="宋体"/>
          <w:color w:val="auto"/>
          <w:kern w:val="2"/>
          <w:sz w:val="21"/>
          <w:szCs w:val="21"/>
          <w:highlight w:val="none"/>
          <w:lang w:val="en-US" w:eastAsia="zh-CN" w:bidi="ar-SA"/>
        </w:rPr>
        <w:t>管理制度与项目服务质量保障方案。</w:t>
      </w:r>
    </w:p>
    <w:p w14:paraId="424E5F82">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二档（3分）：管理制度与项目服务质量保障方案完善，包含有管理制度、档案管理制度；</w:t>
      </w:r>
    </w:p>
    <w:p w14:paraId="43CEBE20">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三档（5分）：在二档的基础上，</w:t>
      </w:r>
      <w:r>
        <w:rPr>
          <w:rFonts w:hint="eastAsia" w:cs="宋体"/>
          <w:color w:val="auto"/>
          <w:kern w:val="2"/>
          <w:sz w:val="21"/>
          <w:szCs w:val="21"/>
          <w:highlight w:val="none"/>
          <w:lang w:val="en-US" w:eastAsia="zh-CN" w:bidi="ar-SA"/>
        </w:rPr>
        <w:t>制定</w:t>
      </w:r>
      <w:r>
        <w:rPr>
          <w:rFonts w:hint="eastAsia" w:ascii="宋体" w:hAnsi="宋体" w:eastAsia="宋体" w:cs="宋体"/>
          <w:color w:val="auto"/>
          <w:kern w:val="2"/>
          <w:sz w:val="21"/>
          <w:szCs w:val="21"/>
          <w:highlight w:val="none"/>
          <w:lang w:val="en-US" w:eastAsia="zh-CN" w:bidi="ar-SA"/>
        </w:rPr>
        <w:t>了相关安全管理制度、内部考核与监督机制，有考核标准、检查频次、奖惩制度和持续改进机制等。</w:t>
      </w:r>
    </w:p>
    <w:p w14:paraId="6C88166F">
      <w:pPr>
        <w:pStyle w:val="70"/>
        <w:keepNext w:val="0"/>
        <w:keepLines w:val="0"/>
        <w:pageBreakBefore w:val="0"/>
        <w:kinsoku/>
        <w:wordWrap/>
        <w:overflowPunct/>
        <w:topLinePunct w:val="0"/>
        <w:bidi w:val="0"/>
        <w:spacing w:line="360" w:lineRule="auto"/>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未提供上述方案或不满足要求的，本项不得分。</w:t>
      </w:r>
    </w:p>
    <w:p w14:paraId="3EC0841E">
      <w:pPr>
        <w:spacing w:line="360" w:lineRule="auto"/>
        <w:ind w:firstLine="420" w:firstLineChars="200"/>
        <w:jc w:val="left"/>
        <w:outlineLvl w:val="2"/>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cs="宋体"/>
          <w:b w:val="0"/>
          <w:bCs w:val="0"/>
          <w:color w:val="auto"/>
          <w:sz w:val="21"/>
          <w:szCs w:val="21"/>
          <w:highlight w:val="none"/>
        </w:rPr>
        <w:t>）</w:t>
      </w:r>
      <w:r>
        <w:rPr>
          <w:rFonts w:hint="eastAsia" w:ascii="宋体" w:hAnsi="宋体" w:cs="宋体"/>
          <w:b/>
          <w:bCs/>
          <w:color w:val="auto"/>
          <w:sz w:val="21"/>
          <w:szCs w:val="21"/>
          <w:highlight w:val="none"/>
        </w:rPr>
        <w:t>重大活动、节假日及各类突发事件的应急方案分</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满分5</w:t>
      </w:r>
      <w:r>
        <w:rPr>
          <w:rFonts w:hint="eastAsia" w:ascii="宋体" w:hAnsi="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p w14:paraId="3825F458">
      <w:pPr>
        <w:spacing w:line="400" w:lineRule="exact"/>
        <w:ind w:firstLine="411" w:firstLineChars="196"/>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一档（</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分）：结合本项目实际编制重大活动（如招生、迎新、开学典礼、毕业典礼等校级以上活动）、节假日、突发事件的应急方案，没有对应急方案</w:t>
      </w:r>
      <w:r>
        <w:rPr>
          <w:rFonts w:hint="eastAsia" w:ascii="宋体" w:hAnsi="宋体" w:cs="宋体"/>
          <w:bCs/>
          <w:color w:val="auto"/>
          <w:sz w:val="21"/>
          <w:szCs w:val="21"/>
          <w:highlight w:val="none"/>
        </w:rPr>
        <w:t>重点、难点且作出分析，方案的管理措施粗糙</w:t>
      </w:r>
      <w:r>
        <w:rPr>
          <w:rFonts w:hint="eastAsia" w:ascii="宋体" w:hAnsi="宋体" w:cs="宋体"/>
          <w:color w:val="auto"/>
          <w:sz w:val="21"/>
          <w:szCs w:val="21"/>
          <w:highlight w:val="none"/>
        </w:rPr>
        <w:t>不具体。</w:t>
      </w:r>
    </w:p>
    <w:p w14:paraId="24E47D0B">
      <w:pPr>
        <w:spacing w:line="400" w:lineRule="exact"/>
        <w:ind w:firstLine="411" w:firstLineChars="196"/>
        <w:rPr>
          <w:rFonts w:hint="eastAsia" w:ascii="宋体" w:hAnsi="宋体" w:cs="宋体"/>
          <w:color w:val="auto"/>
          <w:sz w:val="21"/>
          <w:szCs w:val="21"/>
          <w:highlight w:val="none"/>
        </w:rPr>
      </w:pPr>
      <w:r>
        <w:rPr>
          <w:rFonts w:hint="eastAsia" w:ascii="宋体" w:hAnsi="宋体" w:cs="宋体"/>
          <w:color w:val="auto"/>
          <w:sz w:val="21"/>
          <w:szCs w:val="21"/>
          <w:highlight w:val="none"/>
        </w:rPr>
        <w:t>二档（</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分）：结合本项目编制重大活动（如招生、迎新、开学典礼、毕业典礼等校级以上活动）、节假日、突发事件的应急方案，方案中有人员安排、设备准备、响应时间等方面内容且详细。</w:t>
      </w:r>
    </w:p>
    <w:p w14:paraId="138B5243">
      <w:pPr>
        <w:spacing w:line="400" w:lineRule="exact"/>
        <w:ind w:firstLine="539" w:firstLineChars="257"/>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三档（</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分）：在二档基础上，结合活动区域的实际情况，有详细、具体，可行性、操作性的对接采购方组织活动部门的相应措施。</w:t>
      </w:r>
    </w:p>
    <w:p w14:paraId="27284C1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未提供上述方案或不满足要求的，本项不得分。</w:t>
      </w:r>
    </w:p>
    <w:p w14:paraId="2FA487D0">
      <w:pPr>
        <w:pStyle w:val="70"/>
        <w:keepNext w:val="0"/>
        <w:keepLines w:val="0"/>
        <w:pageBreakBefore w:val="0"/>
        <w:kinsoku/>
        <w:wordWrap/>
        <w:overflowPunct/>
        <w:topLinePunct w:val="0"/>
        <w:bidi w:val="0"/>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sz w:val="21"/>
          <w:szCs w:val="21"/>
          <w:highlight w:val="none"/>
        </w:rPr>
        <w:t>服务承诺分（满分</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6A5A9941">
      <w:pPr>
        <w:keepNext w:val="0"/>
        <w:keepLines w:val="0"/>
        <w:pageBreakBefore w:val="0"/>
        <w:kinsoku/>
        <w:wordWrap/>
        <w:overflowPunct/>
        <w:topLinePunct w:val="0"/>
        <w:bidi w:val="0"/>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分）：制订有服务承诺。</w:t>
      </w:r>
    </w:p>
    <w:p w14:paraId="589DC7D9">
      <w:pPr>
        <w:keepNext w:val="0"/>
        <w:keepLines w:val="0"/>
        <w:pageBreakBefore w:val="0"/>
        <w:kinsoku/>
        <w:wordWrap/>
        <w:overflowPunct/>
        <w:topLinePunct w:val="0"/>
        <w:bidi w:val="0"/>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分）：服务承诺完善，包含有服务质量保证承诺；</w:t>
      </w:r>
    </w:p>
    <w:p w14:paraId="6A2E3A89">
      <w:pPr>
        <w:keepNext w:val="0"/>
        <w:keepLines w:val="0"/>
        <w:pageBreakBefore w:val="0"/>
        <w:kinsoku/>
        <w:wordWrap/>
        <w:overflowPunct/>
        <w:topLinePunct w:val="0"/>
        <w:bidi w:val="0"/>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分）：在二档的基础上，在管理上有创新，使用自主研发的信息化或智能化系统进行管理，有针对性、</w:t>
      </w:r>
      <w:r>
        <w:rPr>
          <w:rFonts w:hint="eastAsia" w:ascii="宋体" w:hAnsi="宋体" w:cs="宋体"/>
          <w:bCs/>
          <w:color w:val="auto"/>
          <w:sz w:val="21"/>
          <w:szCs w:val="21"/>
          <w:highlight w:val="none"/>
          <w:lang w:val="en-US" w:eastAsia="zh-CN"/>
        </w:rPr>
        <w:t>有</w:t>
      </w:r>
      <w:r>
        <w:rPr>
          <w:rFonts w:hint="eastAsia" w:ascii="宋体" w:hAnsi="宋体" w:eastAsia="宋体" w:cs="宋体"/>
          <w:bCs/>
          <w:color w:val="auto"/>
          <w:sz w:val="21"/>
          <w:szCs w:val="21"/>
          <w:highlight w:val="none"/>
        </w:rPr>
        <w:t>操作性，符合实际情况。</w:t>
      </w:r>
    </w:p>
    <w:p w14:paraId="6F2FAA1A">
      <w:pPr>
        <w:keepNext w:val="0"/>
        <w:keepLines w:val="0"/>
        <w:pageBreakBefore w:val="0"/>
        <w:kinsoku/>
        <w:wordWrap/>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未提供上述方案或不满足要求的，本项不得分。</w:t>
      </w:r>
    </w:p>
    <w:p w14:paraId="7DBC726D">
      <w:pPr>
        <w:keepNext w:val="0"/>
        <w:keepLines w:val="0"/>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商务</w:t>
      </w:r>
      <w:r>
        <w:rPr>
          <w:rFonts w:hint="eastAsia" w:ascii="宋体" w:hAnsi="宋体" w:eastAsia="宋体" w:cs="宋体"/>
          <w:b/>
          <w:bCs/>
          <w:color w:val="auto"/>
          <w:sz w:val="21"/>
          <w:szCs w:val="21"/>
          <w:highlight w:val="none"/>
        </w:rPr>
        <w:t>分…………………………………………………………</w:t>
      </w:r>
      <w:r>
        <w:rPr>
          <w:rFonts w:hint="eastAsia" w:ascii="宋体" w:hAnsi="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 xml:space="preserve"> </w:t>
      </w:r>
    </w:p>
    <w:p w14:paraId="7CF94553">
      <w:pPr>
        <w:keepNext w:val="0"/>
        <w:keepLines w:val="0"/>
        <w:pageBreakBefore w:val="0"/>
        <w:kinsoku/>
        <w:wordWrap/>
        <w:overflowPunct/>
        <w:topLinePunct w:val="0"/>
        <w:bidi w:val="0"/>
        <w:spacing w:line="360" w:lineRule="auto"/>
        <w:ind w:firstLine="420" w:firstLineChars="200"/>
        <w:outlineLvl w:val="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（1）磋商人通过质量管理体系认证、环境管理体系认证、职业健康安全管理体系认证</w:t>
      </w:r>
      <w:r>
        <w:rPr>
          <w:rFonts w:hint="eastAsia" w:ascii="宋体" w:hAnsi="宋体" w:cs="宋体"/>
          <w:color w:val="auto"/>
          <w:sz w:val="21"/>
          <w:szCs w:val="21"/>
          <w:highlight w:val="none"/>
          <w:lang w:eastAsia="zh-CN"/>
        </w:rPr>
        <w:t>，</w:t>
      </w:r>
      <w:r>
        <w:rPr>
          <w:rFonts w:hint="eastAsia" w:ascii="宋体" w:hAnsi="宋体" w:eastAsia="宋体" w:cs="宋体"/>
          <w:bCs/>
          <w:color w:val="auto"/>
          <w:kern w:val="0"/>
          <w:sz w:val="21"/>
          <w:szCs w:val="21"/>
          <w:highlight w:val="none"/>
        </w:rPr>
        <w:t>通过1项得</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分，满分为</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w:t>
      </w:r>
    </w:p>
    <w:p w14:paraId="4116C04D">
      <w:pPr>
        <w:keepNext w:val="0"/>
        <w:keepLines w:val="0"/>
        <w:pageBreakBefore w:val="0"/>
        <w:kinsoku/>
        <w:wordWrap/>
        <w:overflowPunct/>
        <w:topLinePunct w:val="0"/>
        <w:bidi w:val="0"/>
        <w:spacing w:line="360" w:lineRule="auto"/>
        <w:ind w:firstLine="420" w:firstLineChars="200"/>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bCs/>
          <w:color w:val="auto"/>
          <w:kern w:val="0"/>
          <w:sz w:val="21"/>
          <w:szCs w:val="21"/>
          <w:highlight w:val="none"/>
        </w:rPr>
        <w:t>磋商人</w:t>
      </w:r>
      <w:r>
        <w:rPr>
          <w:rFonts w:hint="eastAsia" w:ascii="宋体" w:hAnsi="宋体" w:eastAsia="宋体" w:cs="宋体"/>
          <w:color w:val="auto"/>
          <w:sz w:val="21"/>
          <w:szCs w:val="21"/>
          <w:highlight w:val="none"/>
        </w:rPr>
        <w:t>在物业服务中采用智慧物业新技术、新方法提升物业管理和服务质量</w:t>
      </w:r>
      <w:r>
        <w:rPr>
          <w:rFonts w:hint="eastAsia" w:ascii="宋体" w:hAnsi="宋体" w:eastAsia="宋体" w:cs="宋体"/>
          <w:color w:val="auto"/>
          <w:kern w:val="4"/>
          <w:sz w:val="21"/>
          <w:szCs w:val="21"/>
          <w:highlight w:val="none"/>
        </w:rPr>
        <w:t>的</w:t>
      </w:r>
      <w:r>
        <w:rPr>
          <w:rFonts w:hint="eastAsia" w:ascii="宋体" w:hAnsi="宋体" w:eastAsia="宋体" w:cs="宋体"/>
          <w:color w:val="auto"/>
          <w:kern w:val="4"/>
          <w:sz w:val="21"/>
          <w:szCs w:val="21"/>
          <w:highlight w:val="none"/>
          <w:lang w:eastAsia="zh-CN"/>
        </w:rPr>
        <w:t>，</w:t>
      </w:r>
      <w:r>
        <w:rPr>
          <w:rFonts w:hint="eastAsia" w:ascii="宋体" w:hAnsi="宋体" w:eastAsia="宋体" w:cs="宋体"/>
          <w:color w:val="auto"/>
          <w:sz w:val="21"/>
          <w:szCs w:val="21"/>
          <w:highlight w:val="none"/>
        </w:rPr>
        <w:t>每个得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（提供证明材料复印件）</w:t>
      </w:r>
    </w:p>
    <w:p w14:paraId="11D18BB7">
      <w:pPr>
        <w:pStyle w:val="11"/>
        <w:keepNext w:val="0"/>
        <w:keepLines w:val="0"/>
        <w:pageBreakBefore w:val="0"/>
        <w:kinsoku/>
        <w:wordWrap/>
        <w:overflowPunct/>
        <w:topLinePunct w:val="0"/>
        <w:bidi w:val="0"/>
        <w:spacing w:line="360" w:lineRule="auto"/>
        <w:ind w:firstLine="357" w:firstLineChars="17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）2023年</w:t>
      </w:r>
      <w:r>
        <w:rPr>
          <w:rFonts w:hint="eastAsia" w:hAnsi="宋体" w:cs="宋体"/>
          <w:color w:val="auto"/>
          <w:kern w:val="0"/>
          <w:sz w:val="21"/>
          <w:szCs w:val="21"/>
          <w:highlight w:val="none"/>
          <w:lang w:val="en-US" w:eastAsia="zh-CN"/>
        </w:rPr>
        <w:t>1月1日</w:t>
      </w:r>
      <w:r>
        <w:rPr>
          <w:rFonts w:hint="eastAsia" w:ascii="宋体" w:hAnsi="宋体" w:eastAsia="宋体" w:cs="宋体"/>
          <w:color w:val="auto"/>
          <w:kern w:val="0"/>
          <w:sz w:val="21"/>
          <w:szCs w:val="21"/>
          <w:highlight w:val="none"/>
        </w:rPr>
        <w:t>以来，磋商人承接</w:t>
      </w:r>
      <w:r>
        <w:rPr>
          <w:rFonts w:hint="eastAsia" w:hAnsi="宋体" w:cs="宋体"/>
          <w:color w:val="auto"/>
          <w:kern w:val="0"/>
          <w:sz w:val="21"/>
          <w:szCs w:val="21"/>
          <w:highlight w:val="none"/>
          <w:lang w:val="en-US" w:eastAsia="zh-CN"/>
        </w:rPr>
        <w:t>过同类非住宅</w:t>
      </w:r>
      <w:r>
        <w:rPr>
          <w:rFonts w:hint="eastAsia" w:ascii="宋体" w:hAnsi="宋体" w:eastAsia="宋体" w:cs="宋体"/>
          <w:color w:val="auto"/>
          <w:kern w:val="0"/>
          <w:sz w:val="21"/>
          <w:szCs w:val="21"/>
          <w:highlight w:val="none"/>
        </w:rPr>
        <w:t>综合物业服务业绩，每项得1分</w:t>
      </w:r>
      <w:r>
        <w:rPr>
          <w:rFonts w:hint="eastAsia"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满分</w:t>
      </w:r>
      <w:r>
        <w:rPr>
          <w:rFonts w:hint="eastAsia"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w:t>
      </w:r>
      <w:r>
        <w:rPr>
          <w:rFonts w:hint="eastAsia" w:hAnsi="宋体" w:cs="宋体"/>
          <w:color w:val="auto"/>
          <w:kern w:val="0"/>
          <w:sz w:val="21"/>
          <w:szCs w:val="21"/>
          <w:highlight w:val="none"/>
          <w:lang w:eastAsia="zh-CN"/>
        </w:rPr>
        <w:t>。</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非住宅</w:t>
      </w:r>
      <w:r>
        <w:rPr>
          <w:rFonts w:hint="eastAsia" w:ascii="宋体" w:hAnsi="宋体" w:eastAsia="宋体" w:cs="宋体"/>
          <w:bCs/>
          <w:color w:val="auto"/>
          <w:kern w:val="0"/>
          <w:sz w:val="21"/>
          <w:szCs w:val="21"/>
          <w:highlight w:val="none"/>
        </w:rPr>
        <w:t>综合物业服务项目业绩合同服务内容必须至少包含安保、保洁、工程维修</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绿化服务</w:t>
      </w:r>
      <w:r>
        <w:rPr>
          <w:rFonts w:hint="eastAsia" w:hAnsi="宋体" w:cs="宋体"/>
          <w:bCs/>
          <w:color w:val="auto"/>
          <w:kern w:val="0"/>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会务服务</w:t>
      </w:r>
      <w:r>
        <w:rPr>
          <w:rFonts w:hint="eastAsia" w:ascii="宋体" w:hAnsi="宋体" w:eastAsia="宋体" w:cs="宋体"/>
          <w:b w:val="0"/>
          <w:bCs w:val="0"/>
          <w:color w:val="auto"/>
          <w:kern w:val="2"/>
          <w:sz w:val="21"/>
          <w:szCs w:val="21"/>
          <w:highlight w:val="none"/>
          <w:lang w:val="en-US" w:eastAsia="zh-CN" w:bidi="ar-SA"/>
        </w:rPr>
        <w:t>/客户服务</w:t>
      </w:r>
      <w:r>
        <w:rPr>
          <w:rFonts w:hint="eastAsia" w:ascii="宋体" w:hAnsi="宋体" w:eastAsia="宋体" w:cs="宋体"/>
          <w:bCs/>
          <w:color w:val="auto"/>
          <w:kern w:val="0"/>
          <w:sz w:val="21"/>
          <w:szCs w:val="21"/>
          <w:highlight w:val="none"/>
        </w:rPr>
        <w:t>中的</w:t>
      </w:r>
      <w:r>
        <w:rPr>
          <w:rFonts w:ascii="宋体" w:hAnsi="宋体" w:eastAsia="宋体" w:cs="宋体"/>
          <w:color w:val="auto"/>
          <w:sz w:val="21"/>
          <w:szCs w:val="21"/>
          <w:highlight w:val="none"/>
        </w:rPr>
        <w:t>3 项及以上</w:t>
      </w:r>
      <w:r>
        <w:rPr>
          <w:rFonts w:hint="eastAsia" w:ascii="宋体" w:hAnsi="宋体" w:eastAsia="宋体" w:cs="宋体"/>
          <w:bCs/>
          <w:color w:val="auto"/>
          <w:kern w:val="0"/>
          <w:sz w:val="21"/>
          <w:szCs w:val="21"/>
          <w:highlight w:val="none"/>
        </w:rPr>
        <w:t>服务内容，否则不</w:t>
      </w:r>
      <w:r>
        <w:rPr>
          <w:rFonts w:hint="eastAsia" w:hAnsi="宋体" w:cs="宋体"/>
          <w:bCs/>
          <w:color w:val="auto"/>
          <w:kern w:val="0"/>
          <w:sz w:val="21"/>
          <w:szCs w:val="21"/>
          <w:highlight w:val="none"/>
          <w:lang w:val="en-US" w:eastAsia="zh-CN"/>
        </w:rPr>
        <w:t>予</w:t>
      </w:r>
      <w:r>
        <w:rPr>
          <w:rFonts w:hint="eastAsia" w:ascii="宋体" w:hAnsi="宋体" w:eastAsia="宋体" w:cs="宋体"/>
          <w:bCs/>
          <w:color w:val="auto"/>
          <w:kern w:val="0"/>
          <w:sz w:val="21"/>
          <w:szCs w:val="21"/>
          <w:highlight w:val="none"/>
        </w:rPr>
        <w:t>计分；以项目合同期限的起止日期为准，同一物业服务项目多次</w:t>
      </w:r>
      <w:r>
        <w:rPr>
          <w:rFonts w:hint="eastAsia" w:hAnsi="宋体" w:cs="宋体"/>
          <w:bCs/>
          <w:color w:val="auto"/>
          <w:kern w:val="0"/>
          <w:sz w:val="21"/>
          <w:szCs w:val="21"/>
          <w:highlight w:val="none"/>
          <w:lang w:eastAsia="zh-CN"/>
        </w:rPr>
        <w:t>成交</w:t>
      </w:r>
      <w:r>
        <w:rPr>
          <w:rFonts w:hint="eastAsia" w:ascii="宋体" w:hAnsi="宋体" w:eastAsia="宋体" w:cs="宋体"/>
          <w:bCs/>
          <w:color w:val="auto"/>
          <w:kern w:val="0"/>
          <w:sz w:val="21"/>
          <w:szCs w:val="21"/>
          <w:highlight w:val="none"/>
        </w:rPr>
        <w:t>/成交不重复计分，以</w:t>
      </w:r>
      <w:r>
        <w:rPr>
          <w:rFonts w:hint="eastAsia" w:hAnsi="宋体" w:cs="宋体"/>
          <w:bCs/>
          <w:color w:val="auto"/>
          <w:kern w:val="0"/>
          <w:sz w:val="21"/>
          <w:szCs w:val="21"/>
          <w:highlight w:val="none"/>
          <w:lang w:eastAsia="zh-CN"/>
        </w:rPr>
        <w:t>成交</w:t>
      </w:r>
      <w:r>
        <w:rPr>
          <w:rFonts w:hint="eastAsia" w:ascii="宋体" w:hAnsi="宋体" w:eastAsia="宋体" w:cs="宋体"/>
          <w:bCs/>
          <w:color w:val="auto"/>
          <w:kern w:val="0"/>
          <w:sz w:val="21"/>
          <w:szCs w:val="21"/>
          <w:highlight w:val="none"/>
        </w:rPr>
        <w:t>/成交通知书或服务合同扫描件为准，原件备查）</w:t>
      </w:r>
    </w:p>
    <w:p w14:paraId="584340DE">
      <w:pPr>
        <w:keepNext w:val="0"/>
        <w:keepLines w:val="0"/>
        <w:pageBreakBefore w:val="0"/>
        <w:kinsoku/>
        <w:wordWrap/>
        <w:overflowPunct/>
        <w:topLinePunct w:val="0"/>
        <w:bidi w:val="0"/>
        <w:spacing w:line="360" w:lineRule="auto"/>
        <w:ind w:firstLine="420" w:firstLineChars="200"/>
        <w:outlineLvl w:val="0"/>
        <w:rPr>
          <w:rFonts w:hint="eastAsia" w:ascii="宋体" w:hAnsi="宋体" w:eastAsia="宋体" w:cs="宋体"/>
          <w:color w:val="auto"/>
          <w:kern w:val="0"/>
          <w:sz w:val="21"/>
          <w:szCs w:val="21"/>
          <w:highlight w:val="none"/>
          <w:lang w:val="en-US" w:eastAsia="zh-CN"/>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磋商人拟投入</w:t>
      </w:r>
      <w:r>
        <w:rPr>
          <w:rFonts w:hint="eastAsia" w:ascii="宋体" w:hAnsi="宋体" w:eastAsia="宋体" w:cs="宋体"/>
          <w:color w:val="auto"/>
          <w:kern w:val="0"/>
          <w:sz w:val="21"/>
          <w:szCs w:val="21"/>
          <w:highlight w:val="none"/>
        </w:rPr>
        <w:t>本项目的项目经理具有</w:t>
      </w:r>
      <w:r>
        <w:rPr>
          <w:rFonts w:hint="eastAsia" w:ascii="宋体" w:hAnsi="宋体" w:eastAsia="宋体" w:cs="宋体"/>
          <w:color w:val="auto"/>
          <w:sz w:val="21"/>
          <w:szCs w:val="21"/>
          <w:highlight w:val="none"/>
        </w:rPr>
        <w:t>本科（或以上）学历的得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具有人力资源和社会保障部门颁发的</w:t>
      </w:r>
      <w:r>
        <w:rPr>
          <w:rFonts w:hint="eastAsia" w:ascii="宋体" w:hAnsi="宋体" w:eastAsia="宋体" w:cs="宋体"/>
          <w:color w:val="auto"/>
          <w:sz w:val="21"/>
          <w:szCs w:val="21"/>
          <w:highlight w:val="none"/>
          <w:lang w:eastAsia="zh-CN"/>
        </w:rPr>
        <w:t>工程技术系列或经济专业系列的中级或以上职称</w:t>
      </w:r>
      <w:r>
        <w:rPr>
          <w:rFonts w:hint="eastAsia" w:ascii="宋体" w:hAnsi="宋体" w:eastAsia="宋体" w:cs="宋体"/>
          <w:color w:val="auto"/>
          <w:sz w:val="21"/>
          <w:szCs w:val="21"/>
          <w:highlight w:val="none"/>
        </w:rPr>
        <w:t>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满分</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rPr>
        <w:t>须提供人员证书</w:t>
      </w:r>
      <w:r>
        <w:rPr>
          <w:rFonts w:hint="eastAsia" w:ascii="宋体" w:hAnsi="宋体" w:eastAsia="宋体" w:cs="宋体"/>
          <w:color w:val="auto"/>
          <w:sz w:val="21"/>
          <w:szCs w:val="21"/>
          <w:highlight w:val="none"/>
          <w:lang w:val="en-US" w:eastAsia="zh-CN"/>
        </w:rPr>
        <w:t>复印</w:t>
      </w:r>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个月供应商为人员缴纳社保证明</w:t>
      </w:r>
      <w:r>
        <w:rPr>
          <w:rFonts w:hint="eastAsia" w:ascii="宋体" w:hAnsi="宋体" w:cs="宋体"/>
          <w:color w:val="auto"/>
          <w:sz w:val="21"/>
          <w:szCs w:val="21"/>
          <w:highlight w:val="none"/>
          <w:lang w:val="en-US" w:eastAsia="zh-CN"/>
        </w:rPr>
        <w:t>或劳动合同</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原件备查</w:t>
      </w:r>
      <w:r>
        <w:rPr>
          <w:rFonts w:hint="eastAsia" w:ascii="宋体" w:hAnsi="宋体" w:eastAsia="宋体" w:cs="宋体"/>
          <w:color w:val="auto"/>
          <w:kern w:val="0"/>
          <w:sz w:val="21"/>
          <w:szCs w:val="21"/>
          <w:highlight w:val="none"/>
        </w:rPr>
        <w:t>）</w:t>
      </w:r>
    </w:p>
    <w:p w14:paraId="7EFDB14B">
      <w:pPr>
        <w:keepNext w:val="0"/>
        <w:keepLines w:val="0"/>
        <w:pageBreakBefore w:val="0"/>
        <w:kinsoku/>
        <w:wordWrap/>
        <w:overflowPunct/>
        <w:topLinePunct w:val="0"/>
        <w:bidi w:val="0"/>
        <w:spacing w:line="360" w:lineRule="auto"/>
        <w:ind w:firstLine="420" w:firstLineChars="200"/>
        <w:outlineLvl w:val="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5）磋商人拟投入本项目的</w:t>
      </w:r>
      <w:r>
        <w:rPr>
          <w:rFonts w:hint="eastAsia" w:ascii="宋体" w:hAnsi="宋体" w:eastAsia="宋体" w:cs="宋体"/>
          <w:b w:val="0"/>
          <w:bCs w:val="0"/>
          <w:color w:val="auto"/>
          <w:kern w:val="2"/>
          <w:sz w:val="21"/>
          <w:szCs w:val="21"/>
          <w:highlight w:val="none"/>
          <w:lang w:val="en-US" w:eastAsia="zh-CN" w:bidi="ar-SA"/>
        </w:rPr>
        <w:t>绿化养护</w:t>
      </w:r>
      <w:r>
        <w:rPr>
          <w:rFonts w:hint="eastAsia" w:ascii="宋体" w:hAnsi="宋体" w:cs="宋体"/>
          <w:b w:val="0"/>
          <w:bCs w:val="0"/>
          <w:color w:val="auto"/>
          <w:kern w:val="2"/>
          <w:sz w:val="21"/>
          <w:szCs w:val="21"/>
          <w:highlight w:val="none"/>
          <w:lang w:val="en-US" w:eastAsia="zh-CN" w:bidi="ar-SA"/>
        </w:rPr>
        <w:t>工作</w:t>
      </w:r>
      <w:r>
        <w:rPr>
          <w:rFonts w:hint="eastAsia" w:ascii="宋体" w:hAnsi="宋体" w:eastAsia="宋体" w:cs="宋体"/>
          <w:color w:val="auto"/>
          <w:kern w:val="0"/>
          <w:sz w:val="21"/>
          <w:szCs w:val="21"/>
          <w:highlight w:val="none"/>
          <w:lang w:val="en-US" w:eastAsia="zh-CN"/>
        </w:rPr>
        <w:t>中</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bidi="ar-SA"/>
        </w:rPr>
        <w:t>具有本科（或以上）学历的得1分；具有人力资源和社会保障部门颁发的园林绿化方面的工程技术系列或农业技术系列的</w:t>
      </w:r>
      <w:r>
        <w:rPr>
          <w:rFonts w:hint="eastAsia" w:ascii="宋体" w:hAnsi="宋体" w:cs="宋体"/>
          <w:b w:val="0"/>
          <w:bCs w:val="0"/>
          <w:color w:val="auto"/>
          <w:kern w:val="2"/>
          <w:sz w:val="21"/>
          <w:szCs w:val="21"/>
          <w:highlight w:val="none"/>
          <w:lang w:val="en-US" w:eastAsia="zh-CN" w:bidi="ar-SA"/>
        </w:rPr>
        <w:t>中级</w:t>
      </w:r>
      <w:r>
        <w:rPr>
          <w:rFonts w:hint="eastAsia" w:ascii="宋体" w:hAnsi="宋体" w:eastAsia="宋体" w:cs="宋体"/>
          <w:b w:val="0"/>
          <w:bCs w:val="0"/>
          <w:color w:val="auto"/>
          <w:kern w:val="2"/>
          <w:sz w:val="21"/>
          <w:szCs w:val="21"/>
          <w:highlight w:val="none"/>
          <w:lang w:val="en-US" w:eastAsia="zh-CN" w:bidi="ar-SA"/>
        </w:rPr>
        <w:t>或以上职称证书的得</w:t>
      </w:r>
      <w:r>
        <w:rPr>
          <w:rFonts w:hint="eastAsia" w:ascii="宋体" w:hAnsi="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en-US" w:eastAsia="zh-CN" w:bidi="ar-SA"/>
        </w:rPr>
        <w:t>分</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val="en-US" w:eastAsia="zh-CN"/>
        </w:rPr>
        <w:t>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须提供人员证书</w:t>
      </w:r>
      <w:r>
        <w:rPr>
          <w:rFonts w:hint="eastAsia" w:ascii="宋体" w:hAnsi="宋体" w:eastAsia="宋体" w:cs="宋体"/>
          <w:color w:val="auto"/>
          <w:sz w:val="21"/>
          <w:szCs w:val="21"/>
          <w:highlight w:val="none"/>
          <w:lang w:val="en-US" w:eastAsia="zh-CN"/>
        </w:rPr>
        <w:t>复印</w:t>
      </w:r>
      <w:r>
        <w:rPr>
          <w:rFonts w:hint="eastAsia" w:ascii="宋体" w:hAnsi="宋体" w:eastAsia="宋体" w:cs="宋体"/>
          <w:color w:val="auto"/>
          <w:sz w:val="21"/>
          <w:szCs w:val="21"/>
          <w:highlight w:val="none"/>
        </w:rPr>
        <w:t>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近三</w:t>
      </w:r>
      <w:r>
        <w:rPr>
          <w:rFonts w:hint="eastAsia" w:ascii="宋体" w:hAnsi="宋体" w:eastAsia="宋体" w:cs="宋体"/>
          <w:color w:val="auto"/>
          <w:sz w:val="21"/>
          <w:szCs w:val="21"/>
          <w:highlight w:val="none"/>
        </w:rPr>
        <w:t>个月供应商为人员缴纳社保证明</w:t>
      </w:r>
      <w:r>
        <w:rPr>
          <w:rFonts w:hint="eastAsia" w:ascii="宋体" w:hAnsi="宋体" w:cs="宋体"/>
          <w:color w:val="auto"/>
          <w:sz w:val="21"/>
          <w:szCs w:val="21"/>
          <w:highlight w:val="none"/>
          <w:lang w:val="en-US" w:eastAsia="zh-CN"/>
        </w:rPr>
        <w:t>或劳动合同</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原件备查</w:t>
      </w:r>
      <w:r>
        <w:rPr>
          <w:rFonts w:hint="eastAsia" w:ascii="宋体" w:hAnsi="宋体" w:eastAsia="宋体" w:cs="宋体"/>
          <w:color w:val="auto"/>
          <w:kern w:val="0"/>
          <w:sz w:val="21"/>
          <w:szCs w:val="21"/>
          <w:highlight w:val="none"/>
        </w:rPr>
        <w:t>）</w:t>
      </w:r>
    </w:p>
    <w:p w14:paraId="792933EB">
      <w:pPr>
        <w:keepNext w:val="0"/>
        <w:keepLines w:val="0"/>
        <w:pageBreakBefore w:val="0"/>
        <w:kinsoku/>
        <w:wordWrap/>
        <w:overflowPunct/>
        <w:topLinePunct w:val="0"/>
        <w:bidi w:val="0"/>
        <w:spacing w:line="360" w:lineRule="auto"/>
        <w:ind w:firstLine="422" w:firstLineChars="200"/>
        <w:outlineLvl w:val="0"/>
        <w:rPr>
          <w:rFonts w:hint="eastAsia" w:ascii="宋体" w:hAnsi="宋体" w:eastAsia="宋体" w:cs="宋体"/>
          <w:b/>
          <w:color w:val="auto"/>
          <w:sz w:val="21"/>
          <w:szCs w:val="21"/>
          <w:highlight w:val="none"/>
          <w:lang w:eastAsia="zh-CN"/>
        </w:rPr>
      </w:pPr>
      <w:r>
        <w:rPr>
          <w:rFonts w:hint="eastAsia" w:ascii="宋体" w:hAnsi="宋体" w:eastAsia="宋体" w:cs="宋体"/>
          <w:b/>
          <w:color w:val="auto"/>
          <w:kern w:val="0"/>
          <w:sz w:val="21"/>
          <w:szCs w:val="21"/>
          <w:highlight w:val="none"/>
        </w:rPr>
        <w:t>（三）总得分 = 1 + 2 + 3</w:t>
      </w:r>
      <w:r>
        <w:rPr>
          <w:rFonts w:hint="eastAsia" w:ascii="宋体" w:hAnsi="宋体" w:eastAsia="宋体" w:cs="宋体"/>
          <w:b/>
          <w:color w:val="auto"/>
          <w:kern w:val="0"/>
          <w:sz w:val="21"/>
          <w:szCs w:val="21"/>
          <w:highlight w:val="none"/>
          <w:lang w:eastAsia="zh-CN"/>
        </w:rPr>
        <w:t>。</w:t>
      </w:r>
    </w:p>
    <w:p w14:paraId="6A088F8A">
      <w:pPr>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三、成交候选人推荐原则</w:t>
      </w:r>
    </w:p>
    <w:p w14:paraId="2F236AA9">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磋商小组将根据得分由高到低排列次序（得分相同时，以投标报价由低到高顺序排列；得分相同且投标报价相同的，按服务方案优劣顺序排列）并推荐成交候选人3名。得分最高的成交候选人（得分相同时，以投标报价由低到高顺序排列；得分相同且投标报价相同的，按服务方案优劣顺序排列）为成交人。采购人应当确定评审委员会推荐排名第一的成交候选人为成交人。</w:t>
      </w:r>
    </w:p>
    <w:p w14:paraId="152A739E">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排名第一的成交候选人放弃成交、因不可抗力提出不能履行合同，或者招标文件规定应当提交</w:t>
      </w:r>
      <w:r>
        <w:rPr>
          <w:rFonts w:hint="eastAsia" w:ascii="宋体" w:hAnsi="宋体" w:eastAsia="宋体" w:cs="宋体"/>
          <w:bCs/>
          <w:color w:val="auto"/>
          <w:sz w:val="21"/>
          <w:szCs w:val="21"/>
          <w:highlight w:val="none"/>
          <w:lang w:eastAsia="zh-CN"/>
        </w:rPr>
        <w:t>履约</w:t>
      </w:r>
      <w:r>
        <w:rPr>
          <w:rFonts w:hint="eastAsia" w:ascii="宋体" w:hAnsi="宋体" w:eastAsia="宋体" w:cs="宋体"/>
          <w:bCs/>
          <w:color w:val="auto"/>
          <w:sz w:val="21"/>
          <w:szCs w:val="21"/>
          <w:highlight w:val="none"/>
        </w:rPr>
        <w:t>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14:paraId="5FD705CE">
      <w:pPr>
        <w:keepNext w:val="0"/>
        <w:keepLines w:val="0"/>
        <w:pageBreakBefore w:val="0"/>
        <w:kinsoku/>
        <w:wordWrap/>
        <w:overflowPunct/>
        <w:topLinePunct w:val="0"/>
        <w:bidi w:val="0"/>
        <w:spacing w:line="360" w:lineRule="auto"/>
        <w:rPr>
          <w:rFonts w:hint="eastAsia" w:ascii="宋体" w:hAnsi="宋体" w:eastAsia="宋体" w:cs="宋体"/>
          <w:color w:val="auto"/>
          <w:sz w:val="21"/>
          <w:szCs w:val="21"/>
          <w:highlight w:val="none"/>
        </w:rPr>
      </w:pPr>
    </w:p>
    <w:sectPr>
      <w:footerReference r:id="rId11" w:type="first"/>
      <w:footerReference r:id="rId10" w:type="default"/>
      <w:pgSz w:w="11906" w:h="16838"/>
      <w:pgMar w:top="1247" w:right="1247" w:bottom="1247" w:left="124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CF016">
    <w:pPr>
      <w:pStyle w:val="1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75051">
    <w:pPr>
      <w:pStyle w:val="1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87D7">
    <w:pPr>
      <w:pStyle w:val="13"/>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89A1">
    <w:pPr>
      <w:pStyle w:val="13"/>
      <w:tabs>
        <w:tab w:val="clear" w:pos="4153"/>
        <w:tab w:val="clear" w:pos="8306"/>
      </w:tabs>
    </w:pPr>
  </w:p>
  <w:p w14:paraId="09B84F63">
    <w:pPr>
      <w:pStyle w:val="13"/>
      <w:tabs>
        <w:tab w:val="clear" w:pos="4153"/>
        <w:tab w:val="clear" w:pos="8306"/>
      </w:tabs>
    </w:pPr>
    <w:r>
      <w:pict>
        <v:shape id="000064"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05E8EA03">
                <w:pPr>
                  <w:pStyle w:val="13"/>
                  <w:tabs>
                    <w:tab w:val="clear" w:pos="4153"/>
                    <w:tab w:val="clear" w:pos="8306"/>
                  </w:tabs>
                </w:pPr>
                <w:r>
                  <w:fldChar w:fldCharType="begin"/>
                </w:r>
                <w:r>
                  <w:instrText xml:space="preserve"> PAGE  \* MERGEFORMAT </w:instrText>
                </w:r>
                <w:r>
                  <w:fldChar w:fldCharType="separate"/>
                </w:r>
                <w:r>
                  <w:t>47</w:t>
                </w:r>
                <w:r>
                  <w:fldChar w:fldCharType="end"/>
                </w:r>
              </w:p>
              <w:p w14:paraId="76FCB96C"/>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24A4">
    <w:pPr>
      <w:pStyle w:val="13"/>
      <w:tabs>
        <w:tab w:val="clear" w:pos="4153"/>
        <w:tab w:val="clear" w:pos="8306"/>
      </w:tabs>
    </w:pPr>
    <w:r>
      <w:pict>
        <v:shape id="000066"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38075C3E">
                <w:pPr>
                  <w:pStyle w:val="13"/>
                  <w:tabs>
                    <w:tab w:val="clear" w:pos="4153"/>
                    <w:tab w:val="clear" w:pos="8306"/>
                  </w:tabs>
                </w:pPr>
                <w:r>
                  <w:fldChar w:fldCharType="begin"/>
                </w:r>
                <w:r>
                  <w:instrText xml:space="preserve"> PAGE  \* MERGEFORMAT </w:instrText>
                </w:r>
                <w:r>
                  <w:fldChar w:fldCharType="separate"/>
                </w:r>
                <w:r>
                  <w:t>1</w:t>
                </w:r>
                <w:r>
                  <w:fldChar w:fldCharType="end"/>
                </w:r>
              </w:p>
              <w:p w14:paraId="3EDFB778"/>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7A81D">
    <w:pPr>
      <w:pStyle w:val="14"/>
      <w:tabs>
        <w:tab w:val="clear" w:pos="4153"/>
        <w:tab w:val="clear" w:pos="8306"/>
      </w:tabs>
      <w:ind w:firstLine="1980" w:firstLineChars="1100"/>
      <w:jc w:val="both"/>
      <w:rPr>
        <w:sz w:val="18"/>
        <w:szCs w:val="18"/>
      </w:rPr>
    </w:pPr>
    <w:r>
      <w:rPr>
        <w:rStyle w:val="45"/>
        <w:rFonts w:hint="eastAsia" w:ascii="Times New Roman" w:hAnsi="Times New Roman" w:eastAsia="宋体" w:cs="Times New Roman"/>
        <w:sz w:val="18"/>
        <w:szCs w:val="18"/>
        <w:lang w:val="en-US" w:eastAsia="zh-CN"/>
      </w:rPr>
      <w:t xml:space="preserve">       广西壮族自治区卫生健康委员会幼儿园物业服务采购（GXZC2026-C3-001485-CGZX）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F0213">
    <w:pPr>
      <w:pStyle w:val="14"/>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AB3F1">
    <w:pPr>
      <w:pStyle w:val="14"/>
      <w:pBdr>
        <w:bottom w:val="none" w:color="000000" w:sz="0" w:space="1"/>
      </w:pBdr>
      <w:tabs>
        <w:tab w:val="clear" w:pos="4153"/>
        <w:tab w:val="clear" w:pos="8306"/>
      </w:tabs>
      <w:jc w:val="right"/>
      <w:rPr>
        <w:lang w:val="en"/>
      </w:rPr>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F6673">
    <w:pPr>
      <w:pStyle w:val="14"/>
      <w:tabs>
        <w:tab w:val="clear" w:pos="4153"/>
        <w:tab w:val="clear" w:pos="8306"/>
      </w:tabs>
      <w:jc w:val="center"/>
      <w:rPr>
        <w:lang w:val="en"/>
      </w:rPr>
    </w:pPr>
    <w:r>
      <w:rPr>
        <w:rFonts w:hint="eastAsia"/>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737C0"/>
    <w:multiLevelType w:val="multilevel"/>
    <w:tmpl w:val="11C737C0"/>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8822ED1"/>
    <w:multiLevelType w:val="singleLevel"/>
    <w:tmpl w:val="68822ED1"/>
    <w:lvl w:ilvl="0" w:tentative="0">
      <w:start w:val="1"/>
      <w:numFmt w:val="chineseCounting"/>
      <w:suff w:val="space"/>
      <w:lvlText w:val="第%1章"/>
      <w:lvlJc w:val="left"/>
      <w:rPr>
        <w:rFonts w:hint="eastAsia"/>
      </w:rPr>
    </w:lvl>
  </w:abstractNum>
  <w:abstractNum w:abstractNumId="2">
    <w:nsid w:val="72B3D474"/>
    <w:multiLevelType w:val="multilevel"/>
    <w:tmpl w:val="72B3D474"/>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84AC3B6"/>
    <w:multiLevelType w:val="multilevel"/>
    <w:tmpl w:val="784AC3B6"/>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0D1376"/>
    <w:rsid w:val="00113FC9"/>
    <w:rsid w:val="0AF5121E"/>
    <w:rsid w:val="2F3B6386"/>
    <w:rsid w:val="383249FC"/>
    <w:rsid w:val="47995310"/>
    <w:rsid w:val="529C61A4"/>
    <w:rsid w:val="662468D1"/>
    <w:rsid w:val="662A7E4E"/>
    <w:rsid w:val="6C0C59FD"/>
    <w:rsid w:val="7C9311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6">
    <w:name w:val="heading 4"/>
    <w:basedOn w:val="1"/>
    <w:next w:val="1"/>
    <w:qFormat/>
    <w:uiPriority w:val="0"/>
    <w:pPr>
      <w:tabs>
        <w:tab w:val="left" w:pos="2155"/>
      </w:tabs>
      <w:spacing w:before="120" w:line="360" w:lineRule="auto"/>
      <w:ind w:left="2155" w:hanging="1078"/>
      <w:outlineLvl w:val="3"/>
    </w:pPr>
    <w:rPr>
      <w:rFonts w:ascii="Arial" w:eastAsia="黑体"/>
      <w:kern w:val="0"/>
      <w:sz w:val="28"/>
      <w:szCs w:val="20"/>
    </w:rPr>
  </w:style>
  <w:style w:type="paragraph" w:styleId="7">
    <w:name w:val="heading 6"/>
    <w:basedOn w:val="1"/>
    <w:next w:val="1"/>
    <w:qFormat/>
    <w:uiPriority w:val="0"/>
    <w:pPr>
      <w:keepNext/>
      <w:keepLines/>
      <w:spacing w:before="240" w:after="64" w:line="320" w:lineRule="auto"/>
      <w:outlineLvl w:val="5"/>
    </w:pPr>
    <w:rPr>
      <w:rFonts w:ascii="Arial" w:hAnsi="Arial" w:eastAsia="黑体"/>
      <w:b/>
      <w:sz w:val="24"/>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szCs w:val="24"/>
    </w:rPr>
  </w:style>
  <w:style w:type="paragraph" w:styleId="8">
    <w:name w:val="annotation text"/>
    <w:basedOn w:val="1"/>
    <w:link w:val="33"/>
    <w:semiHidden/>
    <w:qFormat/>
    <w:uiPriority w:val="0"/>
    <w:pPr>
      <w:jc w:val="left"/>
    </w:pPr>
  </w:style>
  <w:style w:type="paragraph" w:styleId="9">
    <w:name w:val="Body Text Indent"/>
    <w:basedOn w:val="1"/>
    <w:next w:val="10"/>
    <w:qFormat/>
    <w:uiPriority w:val="0"/>
    <w:pPr>
      <w:ind w:firstLine="830" w:firstLineChars="352"/>
    </w:pPr>
    <w:rPr>
      <w:rFonts w:ascii="仿宋_GB2312" w:eastAsia="仿宋_GB2312" w:cs="仿宋_GB2312"/>
      <w:sz w:val="32"/>
      <w:szCs w:val="32"/>
    </w:rPr>
  </w:style>
  <w:style w:type="paragraph" w:styleId="10">
    <w:name w:val="annotation subject"/>
    <w:basedOn w:val="8"/>
    <w:next w:val="1"/>
    <w:link w:val="44"/>
    <w:qFormat/>
    <w:uiPriority w:val="0"/>
    <w:rPr>
      <w:b/>
      <w:bCs/>
    </w:rPr>
  </w:style>
  <w:style w:type="paragraph" w:styleId="11">
    <w:name w:val="Plain Text"/>
    <w:basedOn w:val="1"/>
    <w:next w:val="1"/>
    <w:link w:val="36"/>
    <w:qFormat/>
    <w:uiPriority w:val="0"/>
    <w:rPr>
      <w:rFonts w:ascii="宋体" w:hAnsi="Courier New"/>
      <w:szCs w:val="20"/>
    </w:r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jc w:val="left"/>
    </w:pPr>
    <w:rPr>
      <w:sz w:val="18"/>
      <w:szCs w:val="18"/>
    </w:rPr>
  </w:style>
  <w:style w:type="paragraph" w:styleId="14">
    <w:name w:val="header"/>
    <w:basedOn w:val="1"/>
    <w:qFormat/>
    <w:uiPriority w:val="0"/>
    <w:pPr>
      <w:pBdr>
        <w:bottom w:val="single" w:color="000000" w:sz="6" w:space="1"/>
      </w:pBdr>
      <w:tabs>
        <w:tab w:val="center" w:pos="4153"/>
        <w:tab w:val="right" w:pos="8306"/>
      </w:tabs>
      <w:jc w:val="center"/>
    </w:pPr>
    <w:rPr>
      <w:sz w:val="18"/>
      <w:szCs w:val="18"/>
    </w:rPr>
  </w:style>
  <w:style w:type="paragraph" w:styleId="15">
    <w:name w:val="toc 1"/>
    <w:basedOn w:val="1"/>
    <w:next w:val="1"/>
    <w:semiHidden/>
    <w:qFormat/>
    <w:uiPriority w:val="0"/>
  </w:style>
  <w:style w:type="paragraph" w:styleId="16">
    <w:name w:val="toc 2"/>
    <w:basedOn w:val="1"/>
    <w:next w:val="1"/>
    <w:qFormat/>
    <w:uiPriority w:val="0"/>
    <w:pPr>
      <w:ind w:left="420" w:leftChars="200"/>
    </w:pPr>
  </w:style>
  <w:style w:type="paragraph" w:styleId="17">
    <w:name w:val="toc 9"/>
    <w:basedOn w:val="1"/>
    <w:next w:val="1"/>
    <w:semiHidden/>
    <w:qFormat/>
    <w:uiPriority w:val="0"/>
    <w:pPr>
      <w:tabs>
        <w:tab w:val="right" w:leader="dot" w:pos="9185"/>
      </w:tabs>
      <w:spacing w:line="460" w:lineRule="exact"/>
      <w:ind w:left="420" w:leftChars="200" w:firstLine="525" w:firstLineChars="250"/>
    </w:pPr>
    <w:rPr>
      <w:rFonts w:cs="宋体"/>
      <w:color w:val="008000"/>
      <w:kern w:val="0"/>
    </w:rPr>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9">
    <w:name w:val="index 1"/>
    <w:basedOn w:val="1"/>
    <w:next w:val="1"/>
    <w:qFormat/>
    <w:uiPriority w:val="0"/>
    <w:pPr>
      <w:spacing w:line="400" w:lineRule="exact"/>
      <w:ind w:firstLine="420" w:firstLineChars="200"/>
    </w:pPr>
    <w:rPr>
      <w:rFonts w:ascii="宋体" w:hAnsi="Courier New"/>
      <w:b/>
      <w:szCs w:val="20"/>
    </w:rPr>
  </w:style>
  <w:style w:type="paragraph" w:styleId="20">
    <w:name w:val="Body Text First Indent"/>
    <w:basedOn w:val="2"/>
    <w:qFormat/>
    <w:uiPriority w:val="0"/>
    <w:pPr>
      <w:spacing w:after="120" w:line="240" w:lineRule="auto"/>
      <w:ind w:firstLine="420" w:firstLineChars="100"/>
    </w:pPr>
    <w:rPr>
      <w:sz w:val="21"/>
      <w:szCs w:val="21"/>
    </w:rPr>
  </w:style>
  <w:style w:type="paragraph" w:styleId="21">
    <w:name w:val="Body Text First Indent 2"/>
    <w:basedOn w:val="9"/>
    <w:qFormat/>
    <w:uiPriority w:val="0"/>
    <w:pPr>
      <w:spacing w:after="120"/>
      <w:ind w:left="420" w:leftChars="200" w:firstLine="420" w:firstLineChars="200"/>
    </w:pPr>
    <w:rPr>
      <w:sz w:val="21"/>
      <w:szCs w:val="24"/>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link w:val="1"/>
    <w:qFormat/>
    <w:uiPriority w:val="0"/>
    <w:rPr>
      <w:b/>
      <w:bCs/>
    </w:rPr>
  </w:style>
  <w:style w:type="character" w:styleId="26">
    <w:name w:val="page number"/>
    <w:basedOn w:val="24"/>
    <w:link w:val="1"/>
    <w:qFormat/>
    <w:uiPriority w:val="0"/>
    <w:rPr>
      <w:rFonts w:cs="Times New Roman"/>
    </w:rPr>
  </w:style>
  <w:style w:type="character" w:styleId="27">
    <w:name w:val="FollowedHyperlink"/>
    <w:link w:val="1"/>
    <w:qFormat/>
    <w:uiPriority w:val="0"/>
    <w:rPr>
      <w:color w:val="800080"/>
      <w:u w:val="single"/>
    </w:rPr>
  </w:style>
  <w:style w:type="character" w:styleId="28">
    <w:name w:val="Emphasis"/>
    <w:link w:val="1"/>
    <w:qFormat/>
    <w:uiPriority w:val="0"/>
    <w:rPr>
      <w:i/>
    </w:rPr>
  </w:style>
  <w:style w:type="character" w:styleId="29">
    <w:name w:val="Hyperlink"/>
    <w:link w:val="1"/>
    <w:qFormat/>
    <w:uiPriority w:val="0"/>
    <w:rPr>
      <w:rFonts w:cs="Times New Roman"/>
      <w:color w:val="0000FF"/>
      <w:u w:val="single"/>
    </w:rPr>
  </w:style>
  <w:style w:type="character" w:styleId="30">
    <w:name w:val="annotation reference"/>
    <w:basedOn w:val="24"/>
    <w:semiHidden/>
    <w:qFormat/>
    <w:uiPriority w:val="0"/>
    <w:rPr>
      <w:rFonts w:cs="Times New Roman"/>
      <w:sz w:val="21"/>
      <w:szCs w:val="21"/>
    </w:rPr>
  </w:style>
  <w:style w:type="character" w:styleId="31">
    <w:name w:val="HTML Sample"/>
    <w:qFormat/>
    <w:uiPriority w:val="0"/>
    <w:rPr>
      <w:rFonts w:ascii="宋体" w:hAnsi="宋体" w:eastAsia="宋体" w:cs="宋体"/>
    </w:rPr>
  </w:style>
  <w:style w:type="paragraph" w:customStyle="1" w:styleId="32">
    <w:name w:val="Body text|1"/>
    <w:basedOn w:val="1"/>
    <w:link w:val="66"/>
    <w:qFormat/>
    <w:uiPriority w:val="0"/>
    <w:pPr>
      <w:spacing w:line="352" w:lineRule="auto"/>
      <w:ind w:firstLine="400"/>
      <w:jc w:val="left"/>
    </w:pPr>
    <w:rPr>
      <w:rFonts w:ascii="宋体" w:hAnsi="宋体"/>
      <w:kern w:val="0"/>
      <w:sz w:val="30"/>
      <w:szCs w:val="30"/>
    </w:rPr>
  </w:style>
  <w:style w:type="character" w:customStyle="1" w:styleId="33">
    <w:name w:val="批注文字 Char"/>
    <w:link w:val="8"/>
    <w:semiHidden/>
    <w:qFormat/>
    <w:uiPriority w:val="0"/>
    <w:rPr>
      <w:kern w:val="2"/>
      <w:sz w:val="21"/>
      <w:szCs w:val="21"/>
    </w:rPr>
  </w:style>
  <w:style w:type="paragraph" w:customStyle="1" w:styleId="34">
    <w:name w:val="列出段落"/>
    <w:basedOn w:val="1"/>
    <w:qFormat/>
    <w:uiPriority w:val="99"/>
    <w:pPr>
      <w:ind w:firstLine="420" w:firstLineChars="200"/>
    </w:pPr>
    <w:rPr>
      <w:rFonts w:ascii="Calibri" w:hAnsi="Calibri" w:eastAsia="宋体" w:cs="Times New Roman"/>
      <w:szCs w:val="24"/>
    </w:rPr>
  </w:style>
  <w:style w:type="paragraph" w:customStyle="1" w:styleId="35">
    <w:name w:val="Default"/>
    <w:qFormat/>
    <w:uiPriority w:val="0"/>
    <w:pPr>
      <w:widowControl w:val="0"/>
      <w:autoSpaceDE w:val="0"/>
      <w:autoSpaceDN w:val="0"/>
    </w:pPr>
    <w:rPr>
      <w:rFonts w:ascii="Arial" w:hAnsi="Arial" w:eastAsia="宋体" w:cs="Arial"/>
      <w:color w:val="000000"/>
      <w:sz w:val="24"/>
      <w:szCs w:val="24"/>
      <w:lang w:val="en-US" w:eastAsia="zh-CN" w:bidi="ar-SA"/>
    </w:rPr>
  </w:style>
  <w:style w:type="character" w:customStyle="1" w:styleId="36">
    <w:name w:val="纯文本 Char1"/>
    <w:link w:val="11"/>
    <w:semiHidden/>
    <w:qFormat/>
    <w:locked/>
    <w:uiPriority w:val="0"/>
    <w:rPr>
      <w:rFonts w:ascii="宋体" w:hAnsi="Courier New" w:eastAsia="宋体"/>
      <w:kern w:val="2"/>
      <w:sz w:val="21"/>
      <w:lang w:val="en-US" w:eastAsia="zh-CN" w:bidi="ar-SA"/>
    </w:rPr>
  </w:style>
  <w:style w:type="character" w:customStyle="1" w:styleId="37">
    <w:name w:val="bookmark-item uuid-1595987425520 code-23021 editdisable multi-line-text-input-box-cls readonly"/>
    <w:qFormat/>
    <w:uiPriority w:val="0"/>
  </w:style>
  <w:style w:type="paragraph" w:customStyle="1" w:styleId="38">
    <w:name w:val="Body text|3"/>
    <w:basedOn w:val="1"/>
    <w:qFormat/>
    <w:uiPriority w:val="0"/>
    <w:pPr>
      <w:spacing w:after="460"/>
      <w:jc w:val="center"/>
    </w:pPr>
    <w:rPr>
      <w:rFonts w:ascii="宋体" w:hAnsi="宋体" w:eastAsia="Times New Roman"/>
      <w:kern w:val="0"/>
      <w:sz w:val="34"/>
      <w:szCs w:val="34"/>
    </w:rPr>
  </w:style>
  <w:style w:type="character" w:customStyle="1" w:styleId="39">
    <w:name w:val="bookmark-item uuid-1593432150293 code-am014biditemname editdisable single-line-text-input-box-cls"/>
    <w:qFormat/>
    <w:uiPriority w:val="0"/>
  </w:style>
  <w:style w:type="character" w:customStyle="1" w:styleId="40">
    <w:name w:val="普通文字 Char Char2"/>
    <w:semiHidden/>
    <w:qFormat/>
    <w:locked/>
    <w:uiPriority w:val="0"/>
    <w:rPr>
      <w:rFonts w:ascii="宋体" w:hAnsi="Courier New" w:eastAsia="宋体"/>
      <w:kern w:val="2"/>
      <w:sz w:val="21"/>
      <w:lang w:val="en-US" w:eastAsia="zh-CN" w:bidi="ar-SA"/>
    </w:rPr>
  </w:style>
  <w:style w:type="character" w:customStyle="1" w:styleId="41">
    <w:name w:val="bookmark-item uuid-1595988122451 code-25011 addword date-time-selection-cls"/>
    <w:qFormat/>
    <w:uiPriority w:val="0"/>
  </w:style>
  <w:style w:type="character" w:customStyle="1" w:styleId="42">
    <w:name w:val="bookmark-item uuid-1589194982864 code-31006 addword multi-line-text-input-box-cls"/>
    <w:qFormat/>
    <w:uiPriority w:val="0"/>
  </w:style>
  <w:style w:type="paragraph" w:customStyle="1" w:styleId="43">
    <w:name w:val="样式 0正文 + 首行缩进:  2 字符1"/>
    <w:basedOn w:val="1"/>
    <w:qFormat/>
    <w:uiPriority w:val="99"/>
    <w:pPr>
      <w:spacing w:line="360" w:lineRule="auto"/>
      <w:ind w:firstLine="200" w:firstLineChars="200"/>
    </w:pPr>
    <w:rPr>
      <w:szCs w:val="20"/>
    </w:rPr>
  </w:style>
  <w:style w:type="character" w:customStyle="1" w:styleId="44">
    <w:name w:val="批注主题 Char"/>
    <w:link w:val="10"/>
    <w:qFormat/>
    <w:uiPriority w:val="0"/>
    <w:rPr>
      <w:b/>
      <w:bCs/>
      <w:kern w:val="2"/>
      <w:sz w:val="21"/>
      <w:szCs w:val="21"/>
    </w:rPr>
  </w:style>
  <w:style w:type="character" w:customStyle="1" w:styleId="45">
    <w:name w:val="bookmark-item uuid-1595987359344 code-00004 addword single-line-text-input-box-cls"/>
    <w:qFormat/>
    <w:uiPriority w:val="0"/>
  </w:style>
  <w:style w:type="character" w:customStyle="1" w:styleId="46">
    <w:name w:val="bookmark-item uuid-1595988200124 code-25012 editdisable single-line-text-input-box-cls readonly"/>
    <w:qFormat/>
    <w:uiPriority w:val="0"/>
  </w:style>
  <w:style w:type="character" w:customStyle="1" w:styleId="47">
    <w:name w:val="bookmark-item uuid-1593421202487 code-am014briefspecificationdesc editdisable single-line-text-input-box-cls"/>
    <w:qFormat/>
    <w:uiPriority w:val="0"/>
  </w:style>
  <w:style w:type="character" w:customStyle="1" w:styleId="48">
    <w:name w:val="bookmark-item uuid-1595987369689 code-00003 addword single-line-text-input-box-cls"/>
    <w:qFormat/>
    <w:uiPriority w:val="0"/>
  </w:style>
  <w:style w:type="character" w:customStyle="1" w:styleId="49">
    <w:name w:val="bookmark-item uuid-1595988080611 code-25008 editdisable single-line-text-input-box-cls readonly"/>
    <w:qFormat/>
    <w:uiPriority w:val="0"/>
  </w:style>
  <w:style w:type="paragraph" w:customStyle="1" w:styleId="50">
    <w:name w:val="正文首行缩进1"/>
    <w:basedOn w:val="1"/>
    <w:qFormat/>
    <w:uiPriority w:val="0"/>
    <w:pPr>
      <w:spacing w:after="120"/>
      <w:ind w:firstLine="420" w:firstLineChars="100"/>
    </w:pPr>
  </w:style>
  <w:style w:type="character" w:customStyle="1" w:styleId="51">
    <w:name w:val="bookmark-item uuid-1595988095908 code-25009 addword numeric-input-box-cls"/>
    <w:qFormat/>
    <w:uiPriority w:val="0"/>
  </w:style>
  <w:style w:type="paragraph" w:customStyle="1" w:styleId="52">
    <w:name w:val="Table Paragraph"/>
    <w:basedOn w:val="1"/>
    <w:qFormat/>
    <w:uiPriority w:val="0"/>
    <w:rPr>
      <w:rFonts w:ascii="宋体" w:hAnsi="宋体" w:cs="宋体"/>
      <w:szCs w:val="24"/>
      <w:lang w:val="zh-CN"/>
    </w:rPr>
  </w:style>
  <w:style w:type="character" w:customStyle="1" w:styleId="53">
    <w:name w:val="bookmark-item uuid-1596004745033 code-00010 editdisable single-line-text-input-box-cls readonly"/>
    <w:qFormat/>
    <w:uiPriority w:val="0"/>
  </w:style>
  <w:style w:type="character" w:customStyle="1" w:styleId="54">
    <w:name w:val="15"/>
    <w:link w:val="1"/>
    <w:qFormat/>
    <w:uiPriority w:val="0"/>
    <w:rPr>
      <w:rFonts w:ascii="Times New Roman" w:hAnsi="Times New Roman" w:cs="Times New Roman"/>
      <w:color w:val="0000FF"/>
      <w:u w:val="single"/>
    </w:rPr>
  </w:style>
  <w:style w:type="character" w:customStyle="1" w:styleId="55">
    <w:name w:val="bookmark-item uuid-1595988227171 code-25011 addword date-time-selection-cls"/>
    <w:link w:val="1"/>
    <w:qFormat/>
    <w:uiPriority w:val="0"/>
  </w:style>
  <w:style w:type="character" w:customStyle="1" w:styleId="56">
    <w:name w:val="bookmark-item uuid-1596004688403 code-00015 editdisable single-line-text-input-box-cls readonly"/>
    <w:link w:val="1"/>
    <w:qFormat/>
    <w:uiPriority w:val="0"/>
  </w:style>
  <w:style w:type="character" w:customStyle="1" w:styleId="57">
    <w:name w:val="bookmark-item uuid-1595941076685 code-am014biditemcount editdisable single-line-text-input-box-cls"/>
    <w:link w:val="1"/>
    <w:qFormat/>
    <w:uiPriority w:val="0"/>
  </w:style>
  <w:style w:type="character" w:customStyle="1" w:styleId="58">
    <w:name w:val="bookmark-item uuid-1596276761070 code-22002 editdisable multi-line-text-input-box-cls readonly"/>
    <w:link w:val="1"/>
    <w:qFormat/>
    <w:uiPriority w:val="0"/>
  </w:style>
  <w:style w:type="character" w:customStyle="1" w:styleId="59">
    <w:name w:val=" Char Char8"/>
    <w:link w:val="1"/>
    <w:qFormat/>
    <w:uiPriority w:val="0"/>
    <w:rPr>
      <w:rFonts w:eastAsia="宋体"/>
      <w:sz w:val="24"/>
      <w:lang w:bidi="ar-SA"/>
    </w:rPr>
  </w:style>
  <w:style w:type="paragraph" w:customStyle="1" w:styleId="60">
    <w:name w:val="1"/>
    <w:basedOn w:val="1"/>
    <w:next w:val="11"/>
    <w:qFormat/>
    <w:uiPriority w:val="0"/>
    <w:rPr>
      <w:rFonts w:ascii="宋体" w:hAnsi="Courier New" w:cs="宋体"/>
    </w:rPr>
  </w:style>
  <w:style w:type="paragraph" w:customStyle="1" w:styleId="61">
    <w:name w:val="列出段落1"/>
    <w:basedOn w:val="1"/>
    <w:qFormat/>
    <w:uiPriority w:val="0"/>
    <w:pPr>
      <w:widowControl/>
      <w:spacing w:after="160" w:line="259" w:lineRule="auto"/>
      <w:ind w:left="720"/>
      <w:jc w:val="left"/>
    </w:pPr>
    <w:rPr>
      <w:rFonts w:ascii="Calibri" w:hAnsi="Calibri" w:cs="Calibri"/>
      <w:kern w:val="0"/>
      <w:sz w:val="22"/>
      <w:szCs w:val="22"/>
    </w:rPr>
  </w:style>
  <w:style w:type="character" w:customStyle="1" w:styleId="62">
    <w:name w:val="bookmark-item uuid-1596004753055 code-00011 addword single-line-text-input-box-cls"/>
    <w:link w:val="1"/>
    <w:qFormat/>
    <w:uiPriority w:val="0"/>
  </w:style>
  <w:style w:type="character" w:customStyle="1" w:styleId="63">
    <w:name w:val="bookmark-item uuid-1596004672274 code-00018 addword single-line-text-input-box-cls"/>
    <w:link w:val="1"/>
    <w:qFormat/>
    <w:uiPriority w:val="0"/>
  </w:style>
  <w:style w:type="character" w:customStyle="1" w:styleId="64">
    <w:name w:val="bookmark-item uuid-1595988073673 code-25007 editdisable single-line-text-input-box-cls readonly"/>
    <w:link w:val="1"/>
    <w:qFormat/>
    <w:uiPriority w:val="0"/>
  </w:style>
  <w:style w:type="character" w:customStyle="1" w:styleId="65">
    <w:name w:val="NormalCharacter1"/>
    <w:link w:val="1"/>
    <w:semiHidden/>
    <w:qFormat/>
    <w:uiPriority w:val="0"/>
  </w:style>
  <w:style w:type="character" w:customStyle="1" w:styleId="66">
    <w:name w:val="Body text|1_"/>
    <w:link w:val="32"/>
    <w:qFormat/>
    <w:uiPriority w:val="0"/>
    <w:rPr>
      <w:rFonts w:ascii="宋体" w:hAnsi="宋体"/>
      <w:sz w:val="30"/>
      <w:szCs w:val="30"/>
      <w:lang w:val="en-US" w:eastAsia="zh-CN" w:bidi="ar-SA"/>
    </w:rPr>
  </w:style>
  <w:style w:type="character" w:customStyle="1" w:styleId="67">
    <w:name w:val="bookmark-item uuid-1593421137256 code-am014budgetprice editdisable single-line-text-input-box-cls"/>
    <w:link w:val="1"/>
    <w:qFormat/>
    <w:uiPriority w:val="0"/>
  </w:style>
  <w:style w:type="character" w:customStyle="1" w:styleId="68">
    <w:name w:val="bookmark-item uuid-1595987959773 code-25004 editdisable date-selection-cls readonly"/>
    <w:link w:val="1"/>
    <w:qFormat/>
    <w:uiPriority w:val="0"/>
  </w:style>
  <w:style w:type="paragraph" w:customStyle="1" w:styleId="69">
    <w:name w:val="Char1 Char Char Char Char Char Char"/>
    <w:basedOn w:val="1"/>
    <w:qFormat/>
    <w:uiPriority w:val="0"/>
    <w:rPr>
      <w:rFonts w:ascii="Tahoma" w:hAnsi="Tahoma"/>
      <w:sz w:val="24"/>
      <w:szCs w:val="20"/>
    </w:rPr>
  </w:style>
  <w:style w:type="paragraph" w:customStyle="1" w:styleId="70">
    <w:name w:val="p15"/>
    <w:basedOn w:val="1"/>
    <w:link w:val="80"/>
    <w:qFormat/>
    <w:uiPriority w:val="99"/>
    <w:pPr>
      <w:widowControl/>
    </w:pPr>
    <w:rPr>
      <w:rFonts w:ascii="宋体" w:hAnsi="宋体"/>
      <w:kern w:val="0"/>
    </w:rPr>
  </w:style>
  <w:style w:type="character" w:customStyle="1" w:styleId="71">
    <w:name w:val="批注文字 Char2"/>
    <w:link w:val="1"/>
    <w:qFormat/>
    <w:uiPriority w:val="0"/>
    <w:rPr>
      <w:rFonts w:eastAsia="宋体"/>
      <w:sz w:val="24"/>
      <w:lang w:bidi="ar-SA"/>
    </w:rPr>
  </w:style>
  <w:style w:type="character" w:customStyle="1" w:styleId="72">
    <w:name w:val="bookmark-item uuid-1593432166973 code-am014remarks editdisable single-line-text-input-box-cls"/>
    <w:link w:val="1"/>
    <w:qFormat/>
    <w:uiPriority w:val="0"/>
  </w:style>
  <w:style w:type="character" w:customStyle="1" w:styleId="73">
    <w:name w:val="纯文本 Char"/>
    <w:link w:val="1"/>
    <w:semiHidden/>
    <w:qFormat/>
    <w:locked/>
    <w:uiPriority w:val="0"/>
    <w:rPr>
      <w:rFonts w:ascii="宋体" w:hAnsi="Courier New" w:eastAsia="宋体"/>
      <w:kern w:val="2"/>
      <w:sz w:val="21"/>
      <w:lang w:val="en-US" w:eastAsia="zh-CN" w:bidi="ar-SA"/>
    </w:rPr>
  </w:style>
  <w:style w:type="character" w:customStyle="1" w:styleId="74">
    <w:name w:val="bookmark-item uuid-1596004663203 code-00014 editdisable interval-text-box-cls readonly"/>
    <w:link w:val="1"/>
    <w:qFormat/>
    <w:uiPriority w:val="0"/>
  </w:style>
  <w:style w:type="character" w:customStyle="1" w:styleId="75">
    <w:name w:val="纯文本 Char4"/>
    <w:basedOn w:val="24"/>
    <w:link w:val="1"/>
    <w:qFormat/>
    <w:uiPriority w:val="0"/>
    <w:rPr>
      <w:rFonts w:hint="eastAsia" w:ascii="宋体" w:hAnsi="宋体" w:eastAsia="宋体" w:cs="Courier New"/>
      <w:color w:val="000000"/>
      <w:kern w:val="1"/>
      <w:sz w:val="21"/>
    </w:rPr>
  </w:style>
  <w:style w:type="paragraph" w:customStyle="1" w:styleId="76">
    <w:name w:val="表内文字"/>
    <w:basedOn w:val="1"/>
    <w:qFormat/>
    <w:uiPriority w:val="0"/>
    <w:pPr>
      <w:spacing w:before="50" w:after="50"/>
      <w:jc w:val="center"/>
    </w:pPr>
    <w:rPr>
      <w:rFonts w:ascii="仿宋_GB2312" w:hAnsi="宋体" w:eastAsia="仿宋_GB2312"/>
      <w:b/>
      <w:color w:val="000000"/>
      <w:sz w:val="32"/>
      <w:szCs w:val="32"/>
    </w:rPr>
  </w:style>
  <w:style w:type="table" w:customStyle="1" w:styleId="77">
    <w:name w:val="Table Normal"/>
    <w:unhideWhenUsed/>
    <w:qFormat/>
    <w:uiPriority w:val="0"/>
    <w:rPr>
      <w:lang w:val="en-US" w:eastAsia="zh-CN" w:bidi="ar-SA"/>
    </w:rPr>
  </w:style>
  <w:style w:type="character" w:customStyle="1" w:styleId="78">
    <w:name w:val="bookmark-item uuid-1596004695990 code-00016 editdisable single-line-text-input-box-cls readonly"/>
    <w:link w:val="1"/>
    <w:qFormat/>
    <w:uiPriority w:val="0"/>
  </w:style>
  <w:style w:type="character" w:customStyle="1" w:styleId="79">
    <w:name w:val="bookmark-item uuid-1595988030421 code-25006 addword afternoon-time-section-selection-cls"/>
    <w:link w:val="1"/>
    <w:qFormat/>
    <w:uiPriority w:val="0"/>
  </w:style>
  <w:style w:type="character" w:customStyle="1" w:styleId="80">
    <w:name w:val="p15 Char"/>
    <w:link w:val="70"/>
    <w:qFormat/>
    <w:uiPriority w:val="99"/>
    <w:rPr>
      <w:rFonts w:ascii="宋体" w:hAnsi="宋体" w:cs="宋体"/>
      <w:sz w:val="21"/>
      <w:szCs w:val="21"/>
    </w:rPr>
  </w:style>
  <w:style w:type="paragraph" w:customStyle="1" w:styleId="81">
    <w:name w:val="表格文字"/>
    <w:basedOn w:val="9"/>
    <w:next w:val="1"/>
    <w:qFormat/>
    <w:uiPriority w:val="0"/>
    <w:pPr>
      <w:spacing w:before="25" w:after="25"/>
      <w:jc w:val="left"/>
    </w:pPr>
    <w:rPr>
      <w:rFonts w:cs="Times New Roman"/>
      <w:bCs/>
      <w:spacing w:val="10"/>
      <w:kern w:val="0"/>
      <w:sz w:val="24"/>
      <w:szCs w:val="20"/>
    </w:rPr>
  </w:style>
  <w:style w:type="character" w:customStyle="1" w:styleId="82">
    <w:name w:val="普通文字 Char Char1"/>
    <w:link w:val="1"/>
    <w:qFormat/>
    <w:locked/>
    <w:uiPriority w:val="0"/>
    <w:rPr>
      <w:rFonts w:ascii="宋体" w:hAnsi="Courier New" w:eastAsia="宋体"/>
    </w:rPr>
  </w:style>
  <w:style w:type="character" w:customStyle="1" w:styleId="83">
    <w:name w:val="bookmark-item uuid-1596004721081 code-00009 addword interval-text-box-cls"/>
    <w:link w:val="1"/>
    <w:qFormat/>
    <w:uiPriority w:val="0"/>
  </w:style>
  <w:style w:type="paragraph" w:customStyle="1" w:styleId="84">
    <w:name w:val="Table Text"/>
    <w:basedOn w:val="1"/>
    <w:semiHidden/>
    <w:qFormat/>
    <w:uiPriority w:val="0"/>
    <w:rPr>
      <w:rFonts w:ascii="宋体" w:hAnsi="宋体" w:eastAsia="宋体" w:cs="宋体"/>
      <w:sz w:val="21"/>
      <w:szCs w:val="21"/>
      <w:lang w:val="en-US" w:eastAsia="en-US" w:bidi="ar-SA"/>
    </w:rPr>
  </w:style>
  <w:style w:type="paragraph" w:customStyle="1" w:styleId="85">
    <w:name w:val="修订"/>
    <w:semiHidden/>
    <w:qFormat/>
    <w:uiPriority w:val="99"/>
    <w:rPr>
      <w:rFonts w:ascii="Times New Roman" w:hAnsi="Times New Roman" w:eastAsia="宋体" w:cs="Times New Roman"/>
      <w:kern w:val="2"/>
      <w:sz w:val="21"/>
      <w:szCs w:val="21"/>
      <w:lang w:val="en-US" w:eastAsia="zh-CN" w:bidi="ar-SA"/>
    </w:rPr>
  </w:style>
  <w:style w:type="character" w:customStyle="1" w:styleId="86">
    <w:name w:val="bookmark-item uuid-1595987387629 code-am01400034 addword numeric-input-box-cls"/>
    <w:link w:val="1"/>
    <w:qFormat/>
    <w:uiPriority w:val="0"/>
  </w:style>
  <w:style w:type="character" w:customStyle="1" w:styleId="87">
    <w:name w:val="bookmark-item uuid-1595988019709 code-25005 addword morning-time-section-selection-cls"/>
    <w:link w:val="1"/>
    <w:qFormat/>
    <w:uiPriority w:val="0"/>
  </w:style>
  <w:style w:type="character" w:customStyle="1" w:styleId="88">
    <w:name w:val="纯文本 Char3"/>
    <w:link w:val="1"/>
    <w:qFormat/>
    <w:uiPriority w:val="0"/>
    <w:rPr>
      <w:rFonts w:ascii="宋体" w:hAnsi="Courier New" w:eastAsia="宋体" w:cs="Courier New"/>
      <w:kern w:val="2"/>
      <w:sz w:val="21"/>
      <w:szCs w:val="21"/>
      <w:lang w:val="en-US" w:eastAsia="zh-CN" w:bidi="ar-SA"/>
    </w:rPr>
  </w:style>
  <w:style w:type="character" w:customStyle="1" w:styleId="89">
    <w:name w:val="bookmark-item uuid-1595988252461 code-25015 editdisable single-line-text-input-box-cls readonly"/>
    <w:link w:val="1"/>
    <w:qFormat/>
    <w:uiPriority w:val="0"/>
  </w:style>
  <w:style w:type="character" w:customStyle="1" w:styleId="90">
    <w:name w:val="bookmark-item uuid-1596004728442 code-00013 editdisable single-line-text-input-box-cls readonly"/>
    <w:link w:val="1"/>
    <w:qFormat/>
    <w:uiPriority w:val="0"/>
  </w:style>
  <w:style w:type="character" w:customStyle="1" w:styleId="91">
    <w:name w:val="bookmark-item uuid-1595987985571 code-25003 addword date-selection-cls"/>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13094</Words>
  <Characters>14251</Characters>
  <TotalTime>65</TotalTime>
  <ScaleCrop>false</ScaleCrop>
  <LinksUpToDate>false</LinksUpToDate>
  <CharactersWithSpaces>14731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2026-05-25T15:28:00Z</dcterms:created>
  <dc:creator>XMP</dc:creator>
  <cp:lastModifiedBy>chen '</cp:lastModifiedBy>
  <dcterms:modified xsi:type="dcterms:W3CDTF">2026-05-29T07:46:06Z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eyJoZGlkIjoiMjRmMjc2YjgyODExOWY4NjNkYjAyYzJmNmZlYzU0NGYiLCJ1c2VySWQiOiIyNzcyNTgxOTIifQ==</vt:lpwstr>
  </property>
  <property fmtid="{D5CDD505-2E9C-101B-9397-08002B2CF9AE}" pid="3" name="KSOProductBuildVer">
    <vt:lpwstr>2052-12.1.0.26375</vt:lpwstr>
  </property>
  <property fmtid="{D5CDD505-2E9C-101B-9397-08002B2CF9AE}" pid="4" name="ICV">
    <vt:lpwstr>575637BB3C8745138430E7F7140DD52C_12</vt:lpwstr>
  </property>
</Properties>
</file>