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81B5F">
      <w:pPr>
        <w:spacing w:line="240" w:lineRule="auto"/>
        <w:ind w:left="0" w:leftChars="0" w:right="286" w:rightChars="136" w:firstLine="279" w:firstLineChars="87"/>
        <w:jc w:val="center"/>
        <w:rPr>
          <w:rFonts w:hint="eastAsia"/>
          <w:b/>
          <w:bCs/>
          <w:color w:val="auto"/>
          <w:sz w:val="32"/>
          <w:szCs w:val="40"/>
          <w:highlight w:val="none"/>
        </w:rPr>
      </w:pPr>
    </w:p>
    <w:p w14:paraId="08B62884">
      <w:pPr>
        <w:pStyle w:val="25"/>
        <w:rPr>
          <w:color w:val="auto"/>
          <w:highlight w:val="none"/>
        </w:rPr>
      </w:pPr>
    </w:p>
    <w:p w14:paraId="709F7D7F">
      <w:pPr>
        <w:pStyle w:val="25"/>
        <w:rPr>
          <w:color w:val="auto"/>
          <w:highlight w:val="none"/>
        </w:rPr>
      </w:pPr>
    </w:p>
    <w:p w14:paraId="4291B52E">
      <w:pPr>
        <w:rPr>
          <w:color w:val="auto"/>
          <w:highlight w:val="none"/>
        </w:rPr>
      </w:pPr>
    </w:p>
    <w:p w14:paraId="5DF0F160">
      <w:pPr>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竞争性磋商采购文件</w:t>
      </w:r>
    </w:p>
    <w:p w14:paraId="35385636">
      <w:pPr>
        <w:spacing w:line="580" w:lineRule="exact"/>
        <w:ind w:left="3503" w:leftChars="0" w:right="905" w:rightChars="431" w:hanging="3503" w:hangingChars="793"/>
        <w:jc w:val="center"/>
        <w:rPr>
          <w:rFonts w:hint="eastAsia" w:ascii="宋体" w:hAnsi="宋体"/>
          <w:b/>
          <w:color w:val="auto"/>
          <w:sz w:val="44"/>
          <w:szCs w:val="44"/>
          <w:highlight w:val="none"/>
          <w:lang w:eastAsia="zh-CN"/>
        </w:rPr>
      </w:pPr>
    </w:p>
    <w:p w14:paraId="624FFD01">
      <w:pPr>
        <w:jc w:val="center"/>
        <w:rPr>
          <w:rFonts w:hint="default"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lang w:eastAsia="zh-CN"/>
        </w:rPr>
        <w:t>（</w:t>
      </w:r>
      <w:r>
        <w:rPr>
          <w:rFonts w:hint="eastAsia" w:ascii="宋体" w:hAnsi="宋体" w:eastAsia="宋体" w:cs="宋体"/>
          <w:b/>
          <w:color w:val="auto"/>
          <w:sz w:val="52"/>
          <w:szCs w:val="52"/>
          <w:highlight w:val="none"/>
          <w:lang w:val="en-US" w:eastAsia="zh-CN"/>
        </w:rPr>
        <w:t>全流程电子化采购）</w:t>
      </w:r>
    </w:p>
    <w:p w14:paraId="5C1EEEB2">
      <w:pPr>
        <w:spacing w:line="580" w:lineRule="exact"/>
        <w:ind w:left="2548" w:leftChars="0" w:right="905" w:rightChars="431" w:hanging="2548" w:hangingChars="793"/>
        <w:jc w:val="center"/>
        <w:rPr>
          <w:rFonts w:hint="eastAsia" w:ascii="宋体" w:hAnsi="宋体"/>
          <w:b/>
          <w:color w:val="auto"/>
          <w:sz w:val="32"/>
          <w:szCs w:val="32"/>
          <w:highlight w:val="none"/>
        </w:rPr>
      </w:pPr>
    </w:p>
    <w:p w14:paraId="585927D1">
      <w:pPr>
        <w:spacing w:line="600" w:lineRule="auto"/>
        <w:ind w:left="840" w:leftChars="400" w:right="286" w:rightChars="136" w:firstLine="0" w:firstLineChars="0"/>
        <w:jc w:val="both"/>
        <w:rPr>
          <w:rFonts w:hint="eastAsia"/>
          <w:b/>
          <w:bCs/>
          <w:color w:val="auto"/>
          <w:sz w:val="24"/>
          <w:szCs w:val="32"/>
          <w:highlight w:val="none"/>
          <w:lang w:val="en-US" w:eastAsia="zh-CN"/>
        </w:rPr>
      </w:pPr>
    </w:p>
    <w:p w14:paraId="65F92C91">
      <w:pPr>
        <w:spacing w:line="600" w:lineRule="auto"/>
        <w:ind w:left="2801" w:leftChars="665" w:right="286" w:rightChars="136" w:hanging="1405" w:hangingChars="500"/>
        <w:jc w:val="both"/>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val="en-US" w:eastAsia="zh-CN"/>
        </w:rPr>
        <w:t>项目名称：</w:t>
      </w:r>
      <w:r>
        <w:rPr>
          <w:rFonts w:hint="eastAsia" w:ascii="宋体" w:hAnsi="宋体" w:cs="宋体"/>
          <w:b/>
          <w:bCs/>
          <w:color w:val="auto"/>
          <w:sz w:val="28"/>
          <w:szCs w:val="36"/>
          <w:highlight w:val="none"/>
          <w:lang w:eastAsia="zh-CN"/>
        </w:rPr>
        <w:t>中国共产党贺州市平桂区委员会宣传部平桂工矿历史遗产数字化开发与融媒体传播平台建设项目</w:t>
      </w:r>
    </w:p>
    <w:p w14:paraId="67C025F7">
      <w:pPr>
        <w:spacing w:line="580" w:lineRule="exact"/>
        <w:ind w:right="905" w:rightChars="431" w:firstLine="1405" w:firstLineChars="500"/>
        <w:jc w:val="both"/>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eastAsia="zh-CN"/>
        </w:rPr>
        <w:t>HZZC2026-C3-030029-GXXZ</w:t>
      </w:r>
    </w:p>
    <w:p w14:paraId="0FEAC8D6">
      <w:pPr>
        <w:rPr>
          <w:rFonts w:ascii="宋体" w:hAnsi="宋体" w:cs="宋体"/>
          <w:color w:val="auto"/>
          <w:sz w:val="32"/>
          <w:szCs w:val="32"/>
          <w:highlight w:val="none"/>
        </w:rPr>
      </w:pPr>
    </w:p>
    <w:p w14:paraId="11037215">
      <w:pPr>
        <w:rPr>
          <w:rFonts w:ascii="宋体" w:hAnsi="宋体" w:cs="宋体"/>
          <w:color w:val="auto"/>
          <w:sz w:val="32"/>
          <w:szCs w:val="32"/>
          <w:highlight w:val="none"/>
        </w:rPr>
      </w:pPr>
    </w:p>
    <w:p w14:paraId="0F039EA6">
      <w:pPr>
        <w:rPr>
          <w:rFonts w:ascii="宋体" w:hAnsi="宋体" w:cs="宋体"/>
          <w:color w:val="auto"/>
          <w:sz w:val="32"/>
          <w:szCs w:val="32"/>
          <w:highlight w:val="none"/>
        </w:rPr>
      </w:pPr>
    </w:p>
    <w:p w14:paraId="52E12D90">
      <w:pPr>
        <w:rPr>
          <w:rFonts w:ascii="宋体" w:hAnsi="宋体" w:cs="宋体"/>
          <w:color w:val="auto"/>
          <w:sz w:val="32"/>
          <w:szCs w:val="32"/>
          <w:highlight w:val="none"/>
        </w:rPr>
      </w:pPr>
    </w:p>
    <w:p w14:paraId="44218BEF">
      <w:pPr>
        <w:rPr>
          <w:rFonts w:ascii="宋体" w:hAnsi="宋体" w:cs="宋体"/>
          <w:color w:val="auto"/>
          <w:sz w:val="32"/>
          <w:szCs w:val="32"/>
          <w:highlight w:val="none"/>
        </w:rPr>
      </w:pPr>
    </w:p>
    <w:p w14:paraId="6C7CE9A4">
      <w:pPr>
        <w:pStyle w:val="25"/>
        <w:rPr>
          <w:color w:val="auto"/>
          <w:highlight w:val="none"/>
        </w:rPr>
      </w:pPr>
    </w:p>
    <w:p w14:paraId="5F8FDC01">
      <w:pPr>
        <w:spacing w:line="460" w:lineRule="exact"/>
        <w:ind w:right="69" w:rightChars="33"/>
        <w:rPr>
          <w:rFonts w:ascii="宋体" w:hAnsi="宋体" w:cs="宋体"/>
          <w:b/>
          <w:color w:val="auto"/>
          <w:sz w:val="36"/>
          <w:highlight w:val="none"/>
        </w:rPr>
      </w:pPr>
      <w:r>
        <w:rPr>
          <w:rFonts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256540</wp:posOffset>
                </wp:positionH>
                <wp:positionV relativeFrom="paragraph">
                  <wp:posOffset>37465</wp:posOffset>
                </wp:positionV>
                <wp:extent cx="5697220" cy="10795"/>
                <wp:effectExtent l="0" t="28575" r="17780" b="36830"/>
                <wp:wrapNone/>
                <wp:docPr id="2" name="Line 3"/>
                <wp:cNvGraphicFramePr/>
                <a:graphic xmlns:a="http://schemas.openxmlformats.org/drawingml/2006/main">
                  <a:graphicData uri="http://schemas.microsoft.com/office/word/2010/wordprocessingShape">
                    <wps:wsp>
                      <wps:cNvCnPr>
                        <a:cxnSpLocks noChangeShapeType="1"/>
                      </wps:cNvCnPr>
                      <wps:spPr bwMode="auto">
                        <a:xfrm flipV="1">
                          <a:off x="0" y="0"/>
                          <a:ext cx="5697220" cy="10795"/>
                        </a:xfrm>
                        <a:prstGeom prst="line">
                          <a:avLst/>
                        </a:prstGeom>
                        <a:noFill/>
                        <a:ln w="57150" cmpd="thinThick">
                          <a:solidFill>
                            <a:srgbClr val="000000"/>
                          </a:solidFill>
                          <a:round/>
                        </a:ln>
                      </wps:spPr>
                      <wps:bodyPr/>
                    </wps:wsp>
                  </a:graphicData>
                </a:graphic>
              </wp:anchor>
            </w:drawing>
          </mc:Choice>
          <mc:Fallback>
            <w:pict>
              <v:line id="Line 3" o:spid="_x0000_s1026" o:spt="20" style="position:absolute;left:0pt;flip:y;margin-left:20.2pt;margin-top:2.95pt;height:0.85pt;width:448.6pt;z-index:251660288;mso-width-relative:page;mso-height-relative:page;" filled="f" stroked="t" coordsize="21600,21600" o:gfxdata="UEsDBAoAAAAAAIdO4kAAAAAAAAAAAAAAAAAEAAAAZHJzL1BLAwQUAAAACACHTuJAcnL3gtQAAAAG&#10;AQAADwAAAGRycy9kb3ducmV2LnhtbE2OzU7DMBCE70i8g7VI3KhdGkob4lSoEnf6c+nNjZc41F5b&#10;sZO0b485wWk0mtHMV22uzrIR+9h5kjCfCWBIjdcdtRKOh4+nFbCYFGllPaGEG0bY1Pd3lSq1n2iH&#10;4z61LI9QLJUEk1IoOY+NQafizAeknH353qmUbd9y3aspjzvLn4VYcqc6yg9GBdwabC77wUkIh2KV&#10;vsfb5RiG6bR497vtpzVSPj7MxRuwhNf0V4Zf/IwOdWY6+4F0ZFZCIYrclPCyBpbj9eJ1CewsIQuv&#10;K/4fv/4BUEsDBBQAAAAIAIdO4kAfaFS23gEAAL8DAAAOAAAAZHJzL2Uyb0RvYy54bWytU02P2jAQ&#10;vVfqf7B8LwmpWLoRYQ+g7YW2SEt7N45DrLU9lscQ+PcdO5Ttbi97aA6WP2bevPdmsng4W8NOKqAG&#10;1/DppORMOQmtdoeG/9w9fvrCGUbhWmHAqYZfFPKH5ccPi8HXqoIeTKsCIxCH9eAb3sfo66JA2Ssr&#10;cAJeOXrsIFgR6RgORRvEQOjWFFVZ3hUDhNYHkAqRbtfjI78ihvcAQtdpqdYgj1a5OKIGZUQkSdhr&#10;j3yZ2XadkvFH16GKzDSclMa8UhHa79NaLBeiPgThey2vFMR7KLzRZIV2VPQGtRZRsGPQ/0BZLQMg&#10;dHEiwRajkOwIqZiWb7x56oVXWQtZjf5mOv4/WPn9tA1Mtw2vOHPCUsM32in2OTkzeKwpYOW2IWmT&#10;Z/fkNyCfkTlY9cIdVGa4u3hKm6aM4lVKOqAn/P3wDVqKEccI2aZzFyzrjPa/UmICJyvYOfflcuuL&#10;Okcm6XJ2dz+vKmqZpLdpOb+f5VqiTjAp2QeMXxVYljYNN6Qgg4rTBmOi9RKSwh08amNy641jAxWY&#10;T2cJ3noyIvba7WgcnjMEgtFtCk+JGA77lQnsJNI45e/K5FVYgKNrx7LGXU1JPoyO7qG9bMMfs6iv&#10;md91BtPg/H3O2S//3f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nL3gtQAAAAGAQAADwAAAAAA&#10;AAABACAAAAAiAAAAZHJzL2Rvd25yZXYueG1sUEsBAhQAFAAAAAgAh07iQB9oVLbeAQAAvwMAAA4A&#10;AAAAAAAAAQAgAAAAIwEAAGRycy9lMm9Eb2MueG1sUEsFBgAAAAAGAAYAWQEAAHMFAAAAAA==&#10;">
                <v:fill on="f" focussize="0,0"/>
                <v:stroke weight="4.5pt" color="#000000" linestyle="thinThick" joinstyle="round"/>
                <v:imagedata o:title=""/>
                <o:lock v:ext="edit" aspectratio="f"/>
              </v:line>
            </w:pict>
          </mc:Fallback>
        </mc:AlternateContent>
      </w:r>
    </w:p>
    <w:p w14:paraId="2419085E">
      <w:pPr>
        <w:spacing w:line="600" w:lineRule="auto"/>
        <w:ind w:left="0" w:leftChars="0" w:firstLine="2570" w:firstLineChars="800"/>
        <w:jc w:val="both"/>
        <w:outlineLvl w:val="0"/>
        <w:rPr>
          <w:rFonts w:hint="eastAsia" w:ascii="宋体" w:hAnsi="宋体" w:eastAsia="宋体"/>
          <w:b/>
          <w:color w:val="auto"/>
          <w:sz w:val="32"/>
          <w:szCs w:val="32"/>
          <w:highlight w:val="none"/>
          <w:lang w:eastAsia="zh-CN"/>
        </w:rPr>
      </w:pPr>
      <w:bookmarkStart w:id="0" w:name="_Toc30662"/>
      <w:r>
        <w:rPr>
          <w:rFonts w:hint="eastAsia" w:ascii="宋体" w:hAnsi="宋体"/>
          <w:b/>
          <w:color w:val="auto"/>
          <w:sz w:val="32"/>
          <w:szCs w:val="32"/>
          <w:highlight w:val="none"/>
        </w:rPr>
        <w:t>采购人：</w:t>
      </w:r>
      <w:bookmarkEnd w:id="0"/>
      <w:r>
        <w:rPr>
          <w:rFonts w:hint="eastAsia" w:ascii="宋体" w:hAnsi="宋体"/>
          <w:b/>
          <w:color w:val="auto"/>
          <w:sz w:val="32"/>
          <w:szCs w:val="32"/>
          <w:highlight w:val="none"/>
          <w:lang w:eastAsia="zh-CN"/>
        </w:rPr>
        <w:t>中国共产党贺州市平桂区委员会宣传部</w:t>
      </w:r>
    </w:p>
    <w:p w14:paraId="04B2D987">
      <w:pPr>
        <w:spacing w:line="600" w:lineRule="auto"/>
        <w:ind w:left="0" w:leftChars="0" w:firstLine="0" w:firstLineChars="0"/>
        <w:jc w:val="center"/>
        <w:outlineLvl w:val="0"/>
        <w:rPr>
          <w:rFonts w:hint="eastAsia" w:ascii="宋体" w:hAnsi="宋体" w:eastAsia="宋体"/>
          <w:b/>
          <w:color w:val="auto"/>
          <w:sz w:val="32"/>
          <w:szCs w:val="32"/>
          <w:highlight w:val="none"/>
          <w:lang w:eastAsia="zh-CN"/>
        </w:rPr>
      </w:pPr>
      <w:bookmarkStart w:id="1" w:name="_Toc32641"/>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采购代理机构：</w:t>
      </w:r>
      <w:bookmarkEnd w:id="1"/>
      <w:r>
        <w:rPr>
          <w:rFonts w:hint="eastAsia" w:ascii="宋体" w:hAnsi="宋体"/>
          <w:b/>
          <w:color w:val="auto"/>
          <w:sz w:val="32"/>
          <w:szCs w:val="32"/>
          <w:highlight w:val="none"/>
          <w:lang w:eastAsia="zh-CN"/>
        </w:rPr>
        <w:t>广西翔正项目管理有限公司</w:t>
      </w:r>
    </w:p>
    <w:p w14:paraId="2B1AA238">
      <w:pPr>
        <w:spacing w:line="600" w:lineRule="auto"/>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2026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7</w:t>
      </w:r>
      <w:r>
        <w:rPr>
          <w:rFonts w:hint="eastAsia" w:ascii="宋体" w:hAnsi="宋体"/>
          <w:b/>
          <w:color w:val="auto"/>
          <w:sz w:val="32"/>
          <w:szCs w:val="32"/>
          <w:highlight w:val="none"/>
        </w:rPr>
        <w:t>月</w:t>
      </w:r>
      <w:r>
        <w:rPr>
          <w:rFonts w:hint="eastAsia" w:ascii="宋体" w:hAnsi="宋体"/>
          <w:b/>
          <w:color w:val="auto"/>
          <w:sz w:val="32"/>
          <w:szCs w:val="32"/>
          <w:highlight w:val="none"/>
          <w:lang w:val="en-US" w:eastAsia="zh-CN"/>
        </w:rPr>
        <w:t>1日</w:t>
      </w:r>
    </w:p>
    <w:p w14:paraId="0F0A0015">
      <w:pPr>
        <w:rPr>
          <w:rFonts w:hint="default"/>
          <w:color w:val="auto"/>
          <w:highlight w:val="none"/>
          <w:lang w:val="en-US" w:eastAsia="zh-CN"/>
        </w:rPr>
        <w:sectPr>
          <w:headerReference r:id="rId3" w:type="default"/>
          <w:footerReference r:id="rId4" w:type="default"/>
          <w:footerReference r:id="rId5" w:type="even"/>
          <w:pgSz w:w="11906" w:h="16838"/>
          <w:pgMar w:top="1440" w:right="1080" w:bottom="1440" w:left="1080" w:header="851" w:footer="992" w:gutter="0"/>
          <w:pgNumType w:start="1"/>
          <w:cols w:space="425" w:num="1"/>
          <w:titlePg/>
          <w:docGrid w:type="lines" w:linePitch="312" w:charSpace="0"/>
        </w:sectPr>
      </w:pPr>
      <w:r>
        <w:rPr>
          <w:rFonts w:hint="default"/>
          <w:color w:val="auto"/>
          <w:highlight w:val="none"/>
          <w:lang w:val="en-US" w:eastAsia="zh-CN"/>
        </w:rPr>
        <w:br w:type="page"/>
      </w:r>
    </w:p>
    <w:sdt>
      <w:sdtPr>
        <w:rPr>
          <w:rFonts w:ascii="宋体" w:hAnsi="宋体" w:eastAsia="宋体" w:cs="Times New Roman"/>
          <w:b/>
          <w:bCs/>
          <w:color w:val="auto"/>
          <w:kern w:val="2"/>
          <w:sz w:val="24"/>
          <w:szCs w:val="32"/>
          <w:highlight w:val="none"/>
          <w:lang w:val="en-US" w:eastAsia="zh-CN" w:bidi="ar-SA"/>
        </w:rPr>
        <w:id w:val="147477907"/>
        <w15:color w:val="DBDBDB"/>
        <w:docPartObj>
          <w:docPartGallery w:val="Table of Contents"/>
          <w:docPartUnique/>
        </w:docPartObj>
      </w:sdtPr>
      <w:sdtEndPr>
        <w:rPr>
          <w:rFonts w:ascii="宋体" w:hAnsi="宋体" w:eastAsia="宋体" w:cs="Times New Roman"/>
          <w:b/>
          <w:bCs/>
          <w:color w:val="auto"/>
          <w:kern w:val="2"/>
          <w:sz w:val="21"/>
          <w:szCs w:val="32"/>
          <w:highlight w:val="none"/>
          <w:lang w:val="en-US" w:eastAsia="zh-CN" w:bidi="ar-SA"/>
        </w:rPr>
      </w:sdtEndPr>
      <w:sdtContent>
        <w:p w14:paraId="610D87D4">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24"/>
              <w:szCs w:val="32"/>
              <w:highlight w:val="none"/>
              <w:lang w:val="en-US" w:eastAsia="zh-CN" w:bidi="ar-SA"/>
            </w:rPr>
          </w:pPr>
        </w:p>
        <w:p w14:paraId="18E15B0E">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6F27518C">
          <w:pPr>
            <w:pStyle w:val="87"/>
            <w:tabs>
              <w:tab w:val="right" w:leader="dot" w:pos="9412"/>
            </w:tabs>
            <w:rPr>
              <w:color w:val="auto"/>
              <w:highlight w:val="none"/>
            </w:rPr>
          </w:pPr>
          <w:r>
            <w:rPr>
              <w:rFonts w:ascii="宋体" w:hAnsi="宋体"/>
              <w:b/>
              <w:color w:val="auto"/>
              <w:sz w:val="32"/>
              <w:szCs w:val="32"/>
              <w:highlight w:val="none"/>
            </w:rPr>
            <w:fldChar w:fldCharType="begin"/>
          </w:r>
          <w:r>
            <w:rPr>
              <w:rFonts w:ascii="宋体" w:hAnsi="宋体"/>
              <w:b/>
              <w:color w:val="auto"/>
              <w:sz w:val="32"/>
              <w:szCs w:val="32"/>
              <w:highlight w:val="none"/>
            </w:rPr>
            <w:instrText xml:space="preserve">TOC \o "1-1" \h \u </w:instrText>
          </w:r>
          <w:r>
            <w:rPr>
              <w:rFonts w:ascii="宋体" w:hAnsi="宋体"/>
              <w:b/>
              <w:color w:val="auto"/>
              <w:sz w:val="32"/>
              <w:szCs w:val="32"/>
              <w:highlight w:val="none"/>
            </w:rPr>
            <w:fldChar w:fldCharType="separate"/>
          </w:r>
        </w:p>
        <w:p w14:paraId="16AD2EEC">
          <w:pPr>
            <w:pStyle w:val="87"/>
            <w:tabs>
              <w:tab w:val="right" w:leader="dot" w:pos="9040"/>
            </w:tabs>
            <w:spacing w:line="480" w:lineRule="auto"/>
            <w:ind w:right="372" w:rightChars="177"/>
            <w:rPr>
              <w:rFonts w:hint="eastAsia" w:ascii="宋体" w:hAnsi="宋体" w:eastAsia="宋体" w:cs="宋体"/>
              <w:color w:val="auto"/>
              <w:sz w:val="24"/>
              <w:szCs w:val="24"/>
              <w:highlight w:val="none"/>
            </w:rPr>
          </w:pPr>
          <w:r>
            <w:rPr>
              <w:rFonts w:hint="eastAsia" w:ascii="宋体" w:hAnsi="宋体" w:eastAsia="宋体" w:cs="宋体"/>
              <w:color w:val="auto"/>
              <w:sz w:val="24"/>
              <w:szCs w:val="44"/>
              <w:highlight w:val="none"/>
            </w:rPr>
            <w:fldChar w:fldCharType="begin"/>
          </w:r>
          <w:r>
            <w:rPr>
              <w:rFonts w:hint="eastAsia" w:ascii="宋体" w:hAnsi="宋体" w:eastAsia="宋体" w:cs="宋体"/>
              <w:color w:val="auto"/>
              <w:sz w:val="24"/>
              <w:szCs w:val="44"/>
              <w:highlight w:val="none"/>
            </w:rPr>
            <w:instrText xml:space="preserve"> HYPERLINK \l _Toc1197 </w:instrText>
          </w:r>
          <w:r>
            <w:rPr>
              <w:rFonts w:hint="eastAsia" w:ascii="宋体" w:hAnsi="宋体" w:eastAsia="宋体" w:cs="宋体"/>
              <w:color w:val="auto"/>
              <w:sz w:val="24"/>
              <w:szCs w:val="44"/>
              <w:highlight w:val="none"/>
            </w:rPr>
            <w:fldChar w:fldCharType="separate"/>
          </w:r>
          <w:r>
            <w:rPr>
              <w:rFonts w:hint="eastAsia" w:ascii="宋体" w:hAnsi="宋体" w:eastAsia="宋体" w:cs="宋体"/>
              <w:color w:val="auto"/>
              <w:sz w:val="24"/>
              <w:szCs w:val="56"/>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44"/>
              <w:highlight w:val="none"/>
            </w:rPr>
            <w:fldChar w:fldCharType="end"/>
          </w:r>
        </w:p>
        <w:p w14:paraId="5A5E1DCB">
          <w:pPr>
            <w:pStyle w:val="87"/>
            <w:tabs>
              <w:tab w:val="right" w:leader="dot" w:pos="9040"/>
            </w:tabs>
            <w:spacing w:line="480" w:lineRule="auto"/>
            <w:ind w:right="372" w:rightChars="177"/>
            <w:rPr>
              <w:rFonts w:hint="eastAsia" w:ascii="宋体" w:hAnsi="宋体" w:eastAsia="宋体" w:cs="宋体"/>
              <w:color w:val="auto"/>
              <w:sz w:val="24"/>
              <w:szCs w:val="24"/>
              <w:highlight w:val="none"/>
            </w:rPr>
          </w:pPr>
          <w:r>
            <w:rPr>
              <w:rFonts w:hint="eastAsia" w:ascii="宋体" w:hAnsi="宋体" w:eastAsia="宋体" w:cs="宋体"/>
              <w:color w:val="auto"/>
              <w:sz w:val="24"/>
              <w:szCs w:val="44"/>
              <w:highlight w:val="none"/>
            </w:rPr>
            <w:fldChar w:fldCharType="begin"/>
          </w:r>
          <w:r>
            <w:rPr>
              <w:rFonts w:hint="eastAsia" w:ascii="宋体" w:hAnsi="宋体" w:eastAsia="宋体" w:cs="宋体"/>
              <w:color w:val="auto"/>
              <w:sz w:val="24"/>
              <w:szCs w:val="44"/>
              <w:highlight w:val="none"/>
            </w:rPr>
            <w:instrText xml:space="preserve"> HYPERLINK \l _Toc10174 </w:instrText>
          </w:r>
          <w:r>
            <w:rPr>
              <w:rFonts w:hint="eastAsia" w:ascii="宋体" w:hAnsi="宋体" w:eastAsia="宋体" w:cs="宋体"/>
              <w:color w:val="auto"/>
              <w:sz w:val="24"/>
              <w:szCs w:val="44"/>
              <w:highlight w:val="none"/>
            </w:rPr>
            <w:fldChar w:fldCharType="separate"/>
          </w:r>
          <w:r>
            <w:rPr>
              <w:rFonts w:hint="eastAsia" w:ascii="宋体" w:hAnsi="宋体" w:eastAsia="宋体" w:cs="宋体"/>
              <w:color w:val="auto"/>
              <w:sz w:val="24"/>
              <w:szCs w:val="56"/>
              <w:highlight w:val="none"/>
            </w:rPr>
            <w:t xml:space="preserve">第二章 </w:t>
          </w:r>
          <w:r>
            <w:rPr>
              <w:rFonts w:hint="eastAsia" w:ascii="宋体" w:hAnsi="宋体" w:cs="宋体"/>
              <w:color w:val="auto"/>
              <w:sz w:val="24"/>
              <w:szCs w:val="56"/>
              <w:highlight w:val="none"/>
              <w:lang w:val="en-US" w:eastAsia="zh-CN"/>
            </w:rPr>
            <w:t xml:space="preserve"> </w:t>
          </w:r>
          <w:r>
            <w:rPr>
              <w:rFonts w:hint="eastAsia" w:ascii="宋体" w:hAnsi="宋体" w:eastAsia="宋体" w:cs="宋体"/>
              <w:color w:val="auto"/>
              <w:sz w:val="24"/>
              <w:szCs w:val="56"/>
              <w:highlight w:val="none"/>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_Toc10174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44"/>
              <w:highlight w:val="none"/>
            </w:rPr>
            <w:fldChar w:fldCharType="end"/>
          </w:r>
        </w:p>
        <w:p w14:paraId="36D90430">
          <w:pPr>
            <w:pStyle w:val="87"/>
            <w:tabs>
              <w:tab w:val="right" w:leader="dot" w:pos="9040"/>
            </w:tabs>
            <w:spacing w:line="480" w:lineRule="auto"/>
            <w:ind w:right="372" w:right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44"/>
              <w:highlight w:val="none"/>
            </w:rPr>
            <w:fldChar w:fldCharType="begin"/>
          </w:r>
          <w:r>
            <w:rPr>
              <w:rFonts w:hint="eastAsia" w:ascii="宋体" w:hAnsi="宋体" w:eastAsia="宋体" w:cs="宋体"/>
              <w:color w:val="auto"/>
              <w:sz w:val="24"/>
              <w:szCs w:val="44"/>
              <w:highlight w:val="none"/>
            </w:rPr>
            <w:instrText xml:space="preserve"> HYPERLINK \l _Toc20412 </w:instrText>
          </w:r>
          <w:r>
            <w:rPr>
              <w:rFonts w:hint="eastAsia" w:ascii="宋体" w:hAnsi="宋体" w:eastAsia="宋体" w:cs="宋体"/>
              <w:color w:val="auto"/>
              <w:sz w:val="24"/>
              <w:szCs w:val="44"/>
              <w:highlight w:val="none"/>
            </w:rPr>
            <w:fldChar w:fldCharType="separate"/>
          </w:r>
          <w:r>
            <w:rPr>
              <w:rFonts w:hint="eastAsia" w:ascii="宋体" w:hAnsi="宋体" w:eastAsia="宋体" w:cs="宋体"/>
              <w:color w:val="auto"/>
              <w:kern w:val="0"/>
              <w:sz w:val="24"/>
              <w:szCs w:val="56"/>
              <w:highlight w:val="none"/>
            </w:rPr>
            <w:t>第三章  项目采购需求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44"/>
              <w:highlight w:val="none"/>
            </w:rPr>
            <w:fldChar w:fldCharType="end"/>
          </w:r>
          <w:r>
            <w:rPr>
              <w:rFonts w:hint="eastAsia" w:ascii="宋体" w:hAnsi="宋体" w:cs="宋体"/>
              <w:color w:val="auto"/>
              <w:sz w:val="24"/>
              <w:szCs w:val="44"/>
              <w:highlight w:val="none"/>
              <w:lang w:val="en-US" w:eastAsia="zh-CN"/>
            </w:rPr>
            <w:t>6</w:t>
          </w:r>
        </w:p>
        <w:p w14:paraId="37437158">
          <w:pPr>
            <w:pStyle w:val="87"/>
            <w:tabs>
              <w:tab w:val="right" w:leader="dot" w:pos="9040"/>
            </w:tabs>
            <w:spacing w:line="480" w:lineRule="auto"/>
            <w:ind w:right="372" w:right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44"/>
              <w:highlight w:val="none"/>
            </w:rPr>
            <w:fldChar w:fldCharType="begin"/>
          </w:r>
          <w:r>
            <w:rPr>
              <w:rFonts w:hint="eastAsia" w:ascii="宋体" w:hAnsi="宋体" w:eastAsia="宋体" w:cs="宋体"/>
              <w:color w:val="auto"/>
              <w:sz w:val="24"/>
              <w:szCs w:val="44"/>
              <w:highlight w:val="none"/>
            </w:rPr>
            <w:instrText xml:space="preserve"> HYPERLINK \l _Toc26980 </w:instrText>
          </w:r>
          <w:r>
            <w:rPr>
              <w:rFonts w:hint="eastAsia" w:ascii="宋体" w:hAnsi="宋体" w:eastAsia="宋体" w:cs="宋体"/>
              <w:color w:val="auto"/>
              <w:sz w:val="24"/>
              <w:szCs w:val="44"/>
              <w:highlight w:val="none"/>
            </w:rPr>
            <w:fldChar w:fldCharType="separate"/>
          </w:r>
          <w:r>
            <w:rPr>
              <w:rFonts w:hint="eastAsia" w:ascii="宋体" w:hAnsi="宋体" w:eastAsia="宋体" w:cs="宋体"/>
              <w:color w:val="auto"/>
              <w:sz w:val="24"/>
              <w:szCs w:val="56"/>
              <w:highlight w:val="none"/>
            </w:rPr>
            <w:t>第四章  评审办法及评分标准</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44"/>
              <w:highlight w:val="none"/>
            </w:rPr>
            <w:fldChar w:fldCharType="end"/>
          </w:r>
          <w:r>
            <w:rPr>
              <w:rFonts w:hint="eastAsia" w:ascii="宋体" w:hAnsi="宋体" w:cs="宋体"/>
              <w:color w:val="auto"/>
              <w:sz w:val="24"/>
              <w:szCs w:val="44"/>
              <w:highlight w:val="none"/>
              <w:lang w:val="en-US" w:eastAsia="zh-CN"/>
            </w:rPr>
            <w:t>2</w:t>
          </w:r>
        </w:p>
        <w:p w14:paraId="4B966424">
          <w:pPr>
            <w:pStyle w:val="87"/>
            <w:tabs>
              <w:tab w:val="right" w:leader="dot" w:pos="9040"/>
            </w:tabs>
            <w:spacing w:line="480" w:lineRule="auto"/>
            <w:ind w:right="372" w:right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44"/>
              <w:highlight w:val="none"/>
            </w:rPr>
            <w:fldChar w:fldCharType="begin"/>
          </w:r>
          <w:r>
            <w:rPr>
              <w:rFonts w:hint="eastAsia" w:ascii="宋体" w:hAnsi="宋体" w:eastAsia="宋体" w:cs="宋体"/>
              <w:color w:val="auto"/>
              <w:sz w:val="24"/>
              <w:szCs w:val="44"/>
              <w:highlight w:val="none"/>
            </w:rPr>
            <w:instrText xml:space="preserve"> HYPERLINK \l _Toc22406 </w:instrText>
          </w:r>
          <w:r>
            <w:rPr>
              <w:rFonts w:hint="eastAsia" w:ascii="宋体" w:hAnsi="宋体" w:eastAsia="宋体" w:cs="宋体"/>
              <w:color w:val="auto"/>
              <w:sz w:val="24"/>
              <w:szCs w:val="44"/>
              <w:highlight w:val="none"/>
            </w:rPr>
            <w:fldChar w:fldCharType="separate"/>
          </w:r>
          <w:r>
            <w:rPr>
              <w:rFonts w:hint="eastAsia" w:ascii="宋体" w:hAnsi="宋体" w:eastAsia="宋体" w:cs="宋体"/>
              <w:color w:val="auto"/>
              <w:sz w:val="24"/>
              <w:szCs w:val="56"/>
              <w:highlight w:val="none"/>
            </w:rPr>
            <w:t xml:space="preserve">第五章  </w:t>
          </w:r>
          <w:r>
            <w:rPr>
              <w:rFonts w:hint="eastAsia" w:ascii="宋体" w:hAnsi="宋体" w:cs="宋体"/>
              <w:color w:val="auto"/>
              <w:sz w:val="24"/>
              <w:szCs w:val="56"/>
              <w:highlight w:val="none"/>
              <w:lang w:eastAsia="zh-CN"/>
            </w:rPr>
            <w:t>合同条款及格式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44"/>
              <w:highlight w:val="none"/>
            </w:rPr>
            <w:fldChar w:fldCharType="end"/>
          </w:r>
          <w:r>
            <w:rPr>
              <w:rFonts w:hint="eastAsia" w:ascii="宋体" w:hAnsi="宋体" w:cs="宋体"/>
              <w:color w:val="auto"/>
              <w:sz w:val="24"/>
              <w:szCs w:val="44"/>
              <w:highlight w:val="none"/>
              <w:lang w:val="en-US" w:eastAsia="zh-CN"/>
            </w:rPr>
            <w:t>2</w:t>
          </w:r>
        </w:p>
        <w:p w14:paraId="06F5C577">
          <w:pPr>
            <w:pStyle w:val="87"/>
            <w:tabs>
              <w:tab w:val="right" w:leader="dot" w:pos="9040"/>
            </w:tabs>
            <w:spacing w:line="480" w:lineRule="auto"/>
            <w:ind w:right="372" w:right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44"/>
              <w:highlight w:val="none"/>
            </w:rPr>
            <w:fldChar w:fldCharType="begin"/>
          </w:r>
          <w:r>
            <w:rPr>
              <w:rFonts w:hint="eastAsia" w:ascii="宋体" w:hAnsi="宋体" w:eastAsia="宋体" w:cs="宋体"/>
              <w:color w:val="auto"/>
              <w:sz w:val="24"/>
              <w:szCs w:val="44"/>
              <w:highlight w:val="none"/>
            </w:rPr>
            <w:instrText xml:space="preserve"> HYPERLINK \l _Toc13026 </w:instrText>
          </w:r>
          <w:r>
            <w:rPr>
              <w:rFonts w:hint="eastAsia" w:ascii="宋体" w:hAnsi="宋体" w:eastAsia="宋体" w:cs="宋体"/>
              <w:color w:val="auto"/>
              <w:sz w:val="24"/>
              <w:szCs w:val="44"/>
              <w:highlight w:val="none"/>
            </w:rPr>
            <w:fldChar w:fldCharType="separate"/>
          </w:r>
          <w:r>
            <w:rPr>
              <w:rFonts w:hint="eastAsia" w:ascii="宋体" w:hAnsi="宋体" w:eastAsia="宋体" w:cs="宋体"/>
              <w:color w:val="auto"/>
              <w:sz w:val="24"/>
              <w:szCs w:val="144"/>
              <w:highlight w:val="none"/>
              <w:lang w:val="en-US" w:eastAsia="zh-CN"/>
            </w:rPr>
            <w:t xml:space="preserve">第六章  </w:t>
          </w:r>
          <w:r>
            <w:rPr>
              <w:rFonts w:hint="eastAsia" w:ascii="宋体" w:hAnsi="宋体" w:eastAsia="宋体" w:cs="宋体"/>
              <w:color w:val="auto"/>
              <w:sz w:val="24"/>
              <w:szCs w:val="144"/>
              <w:highlight w:val="none"/>
            </w:rPr>
            <w:t>响应文件格式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44"/>
              <w:highlight w:val="none"/>
            </w:rPr>
            <w:fldChar w:fldCharType="end"/>
          </w:r>
          <w:r>
            <w:rPr>
              <w:rFonts w:hint="eastAsia" w:ascii="宋体" w:hAnsi="宋体" w:cs="宋体"/>
              <w:color w:val="auto"/>
              <w:sz w:val="24"/>
              <w:szCs w:val="44"/>
              <w:highlight w:val="none"/>
              <w:lang w:val="en-US" w:eastAsia="zh-CN"/>
            </w:rPr>
            <w:t>7</w:t>
          </w:r>
        </w:p>
        <w:p w14:paraId="10DA00F3">
          <w:pPr>
            <w:spacing w:line="360" w:lineRule="auto"/>
            <w:ind w:left="420" w:leftChars="200" w:right="420" w:rightChars="200"/>
            <w:jc w:val="left"/>
            <w:rPr>
              <w:rFonts w:ascii="宋体" w:hAnsi="宋体"/>
              <w:b/>
              <w:color w:val="auto"/>
              <w:sz w:val="32"/>
              <w:szCs w:val="32"/>
              <w:highlight w:val="none"/>
            </w:rPr>
          </w:pPr>
          <w:r>
            <w:rPr>
              <w:rFonts w:ascii="宋体" w:hAnsi="宋体"/>
              <w:color w:val="auto"/>
              <w:szCs w:val="32"/>
              <w:highlight w:val="none"/>
            </w:rPr>
            <w:fldChar w:fldCharType="end"/>
          </w:r>
        </w:p>
      </w:sdtContent>
    </w:sdt>
    <w:p w14:paraId="5ED4E59D">
      <w:pPr>
        <w:widowControl/>
        <w:jc w:val="left"/>
        <w:rPr>
          <w:color w:val="auto"/>
          <w:highlight w:val="none"/>
        </w:rPr>
      </w:pPr>
    </w:p>
    <w:p w14:paraId="3E2EA889">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bookmarkStart w:id="2" w:name="_Toc26949"/>
      <w:bookmarkStart w:id="3" w:name="_Toc1197"/>
    </w:p>
    <w:p w14:paraId="5308F664">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6CFFD9B9">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2001A3F6">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6E1012DB">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346ABF53">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76FD23B0">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46CC2186">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347A1A00">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30A2B117">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708C76CE">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1C5B51FB">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77770FA8">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01529424">
      <w:pPr>
        <w:pStyle w:val="2"/>
        <w:keepNext w:val="0"/>
        <w:keepLines w:val="0"/>
        <w:numPr>
          <w:ilvl w:val="0"/>
          <w:numId w:val="0"/>
        </w:numPr>
        <w:tabs>
          <w:tab w:val="left" w:pos="432"/>
        </w:tabs>
        <w:spacing w:before="100" w:after="100" w:line="500" w:lineRule="exact"/>
        <w:jc w:val="center"/>
        <w:outlineLvl w:val="0"/>
        <w:rPr>
          <w:rFonts w:hint="eastAsia" w:ascii="宋体" w:hAnsi="宋体"/>
          <w:color w:val="auto"/>
          <w:sz w:val="44"/>
          <w:szCs w:val="44"/>
          <w:highlight w:val="none"/>
        </w:rPr>
      </w:pPr>
    </w:p>
    <w:p w14:paraId="37253A4C">
      <w:pPr>
        <w:pStyle w:val="2"/>
        <w:keepNext w:val="0"/>
        <w:keepLines w:val="0"/>
        <w:numPr>
          <w:ilvl w:val="0"/>
          <w:numId w:val="0"/>
        </w:numPr>
        <w:tabs>
          <w:tab w:val="left" w:pos="432"/>
        </w:tabs>
        <w:spacing w:before="100" w:after="100" w:line="500" w:lineRule="exact"/>
        <w:jc w:val="center"/>
        <w:outlineLvl w:val="0"/>
        <w:rPr>
          <w:rFonts w:ascii="宋体" w:hAnsi="宋体"/>
          <w:color w:val="auto"/>
          <w:szCs w:val="44"/>
          <w:highlight w:val="none"/>
        </w:rPr>
      </w:pPr>
      <w:r>
        <w:rPr>
          <w:rFonts w:hint="eastAsia" w:ascii="宋体" w:hAnsi="宋体"/>
          <w:color w:val="auto"/>
          <w:sz w:val="44"/>
          <w:szCs w:val="44"/>
          <w:highlight w:val="none"/>
        </w:rPr>
        <w:t>第一章  竞争性磋商公告</w:t>
      </w:r>
      <w:bookmarkEnd w:id="2"/>
      <w:bookmarkEnd w:id="3"/>
    </w:p>
    <w:p w14:paraId="152A45F5">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广西翔正项目管理有限公司</w:t>
      </w:r>
    </w:p>
    <w:p w14:paraId="34E0F272">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关于</w:t>
      </w:r>
      <w:r>
        <w:rPr>
          <w:rFonts w:hint="eastAsia" w:ascii="宋体" w:hAnsi="宋体" w:cs="宋体"/>
          <w:b/>
          <w:color w:val="auto"/>
          <w:sz w:val="28"/>
          <w:szCs w:val="28"/>
          <w:highlight w:val="none"/>
          <w:lang w:eastAsia="zh-CN"/>
        </w:rPr>
        <w:t>中国共产党贺州市平桂区委员会宣传部平桂工矿历史遗产数字化开发与融媒体传播平台建设项目</w:t>
      </w: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eastAsia="zh-CN"/>
        </w:rPr>
        <w:t>HZZC2026-C3-030029-GXXZ</w:t>
      </w:r>
      <w:r>
        <w:rPr>
          <w:rFonts w:hint="eastAsia" w:ascii="宋体" w:hAnsi="宋体" w:eastAsia="宋体" w:cs="宋体"/>
          <w:b/>
          <w:color w:val="auto"/>
          <w:sz w:val="28"/>
          <w:szCs w:val="28"/>
          <w:highlight w:val="none"/>
        </w:rPr>
        <w:t>）竞争性磋商公告（远程异地评标）</w:t>
      </w:r>
    </w:p>
    <w:p w14:paraId="4BCBD795">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F669D70">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中国共产党贺州市平桂区委员会宣传部平桂工矿历史遗产数字化开发与融媒体传播平台建设项目</w:t>
      </w:r>
      <w:r>
        <w:rPr>
          <w:rFonts w:hint="eastAsia" w:ascii="宋体" w:hAnsi="宋体" w:eastAsia="宋体" w:cs="宋体"/>
          <w:color w:val="auto"/>
          <w:szCs w:val="21"/>
          <w:highlight w:val="none"/>
        </w:rPr>
        <w:t>采购项目的潜在供应商应在</w:t>
      </w:r>
      <w:r>
        <w:rPr>
          <w:rFonts w:hint="eastAsia" w:ascii="宋体" w:hAnsi="宋体" w:eastAsia="宋体" w:cs="宋体"/>
          <w:color w:val="auto"/>
          <w:szCs w:val="21"/>
          <w:highlight w:val="none"/>
          <w:u w:val="single"/>
        </w:rPr>
        <w:t>广西政府采购云平台（https://www.gcy.zfcg.gxzf.gov.cn/）</w:t>
      </w:r>
      <w:r>
        <w:rPr>
          <w:rFonts w:hint="eastAsia" w:ascii="宋体" w:hAnsi="宋体" w:eastAsia="宋体" w:cs="宋体"/>
          <w:color w:val="auto"/>
          <w:szCs w:val="21"/>
          <w:highlight w:val="none"/>
        </w:rPr>
        <w:t>获取采购文件，并于</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13</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56E19044">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bCs w:val="0"/>
          <w:color w:val="auto"/>
          <w:sz w:val="21"/>
          <w:szCs w:val="21"/>
          <w:highlight w:val="none"/>
        </w:rPr>
      </w:pPr>
      <w:bookmarkStart w:id="4" w:name="_Toc11384"/>
      <w:bookmarkStart w:id="5" w:name="_Toc35393629"/>
      <w:bookmarkStart w:id="6" w:name="_Toc35393798"/>
      <w:bookmarkStart w:id="7" w:name="_Toc28359089"/>
      <w:bookmarkStart w:id="8" w:name="_Toc28359012"/>
      <w:r>
        <w:rPr>
          <w:rFonts w:hint="eastAsia" w:ascii="宋体" w:hAnsi="宋体" w:eastAsia="宋体" w:cs="宋体"/>
          <w:bCs w:val="0"/>
          <w:color w:val="auto"/>
          <w:sz w:val="21"/>
          <w:szCs w:val="21"/>
          <w:highlight w:val="none"/>
        </w:rPr>
        <w:t>一、项目基本情况</w:t>
      </w:r>
      <w:bookmarkEnd w:id="4"/>
      <w:bookmarkEnd w:id="5"/>
      <w:bookmarkEnd w:id="6"/>
      <w:bookmarkEnd w:id="7"/>
      <w:bookmarkEnd w:id="8"/>
    </w:p>
    <w:p w14:paraId="2EAA81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HZZC2026-C3-030029-GXXZ</w:t>
      </w:r>
    </w:p>
    <w:p w14:paraId="1D6D74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中国共产党贺州市平桂区委员会宣传部平桂工矿历史遗产数字化开发与融媒体传播平台建设项目</w:t>
      </w:r>
    </w:p>
    <w:p w14:paraId="1DA269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7495415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人民币玖拾伍万元（</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950000.00元）</w:t>
      </w:r>
    </w:p>
    <w:p w14:paraId="28A821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最高限价：</w:t>
      </w:r>
      <w:r>
        <w:rPr>
          <w:rFonts w:hint="eastAsia" w:ascii="宋体" w:hAnsi="宋体" w:cs="宋体"/>
          <w:color w:val="auto"/>
          <w:szCs w:val="21"/>
          <w:highlight w:val="none"/>
          <w:lang w:val="en-US" w:eastAsia="zh-CN"/>
        </w:rPr>
        <w:t>人民币玖拾伍万元（</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950000.00元）</w:t>
      </w:r>
    </w:p>
    <w:p w14:paraId="299566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采购需求：</w:t>
      </w:r>
      <w:r>
        <w:rPr>
          <w:rFonts w:hint="eastAsia" w:ascii="宋体" w:hAnsi="宋体" w:cs="宋体"/>
          <w:color w:val="auto"/>
          <w:szCs w:val="21"/>
          <w:highlight w:val="none"/>
          <w:lang w:eastAsia="zh-CN"/>
        </w:rPr>
        <w:t>中国共产党贺州市平桂区委员会宣传部平桂工矿历史遗产数字化开发与融媒体传播平台建设项目</w:t>
      </w:r>
      <w:r>
        <w:rPr>
          <w:rFonts w:hint="eastAsia" w:ascii="宋体" w:hAnsi="宋体" w:cs="宋体"/>
          <w:color w:val="auto"/>
          <w:szCs w:val="21"/>
          <w:highlight w:val="none"/>
          <w:lang w:val="en-US" w:eastAsia="zh-CN"/>
        </w:rPr>
        <w:t>，具体要求详见第三章项目采购需求。</w:t>
      </w:r>
    </w:p>
    <w:p w14:paraId="219EFFFB">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合同履约期限：自合同签订之日起5个月。</w:t>
      </w:r>
    </w:p>
    <w:p w14:paraId="5CFB81B3">
      <w:pPr>
        <w:pageBreakBefore w:val="0"/>
        <w:kinsoku/>
        <w:wordWrap/>
        <w:overflowPunct/>
        <w:topLinePunct w:val="0"/>
        <w:autoSpaceDE/>
        <w:autoSpaceDN/>
        <w:bidi w:val="0"/>
        <w:adjustRightInd/>
        <w:snapToGrid/>
        <w:spacing w:line="440" w:lineRule="exact"/>
        <w:ind w:left="420" w:left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本项目不接受联合体</w:t>
      </w:r>
      <w:bookmarkStart w:id="9" w:name="_Toc35393799"/>
      <w:bookmarkStart w:id="10" w:name="_Toc28359090"/>
      <w:bookmarkStart w:id="11" w:name="_Toc28359013"/>
      <w:bookmarkStart w:id="12" w:name="_Toc35393630"/>
      <w:r>
        <w:rPr>
          <w:rFonts w:hint="eastAsia" w:ascii="宋体" w:hAnsi="宋体" w:eastAsia="宋体" w:cs="宋体"/>
          <w:color w:val="auto"/>
          <w:szCs w:val="21"/>
          <w:highlight w:val="none"/>
        </w:rPr>
        <w:t>。</w:t>
      </w:r>
    </w:p>
    <w:p w14:paraId="1427BCE7">
      <w:pPr>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二、申请人的资格要求：</w:t>
      </w:r>
      <w:bookmarkEnd w:id="9"/>
      <w:bookmarkEnd w:id="10"/>
      <w:bookmarkEnd w:id="11"/>
      <w:bookmarkEnd w:id="12"/>
    </w:p>
    <w:p w14:paraId="6E74F951">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bookmarkStart w:id="13" w:name="_Toc28359014"/>
      <w:bookmarkStart w:id="14" w:name="_Toc35393800"/>
      <w:bookmarkStart w:id="15" w:name="_Toc28359091"/>
      <w:bookmarkStart w:id="16" w:name="_Toc35393631"/>
      <w:r>
        <w:rPr>
          <w:rFonts w:hint="eastAsia" w:ascii="宋体" w:hAnsi="宋体" w:eastAsia="宋体" w:cs="宋体"/>
          <w:color w:val="auto"/>
          <w:szCs w:val="21"/>
          <w:highlight w:val="none"/>
        </w:rPr>
        <w:t>1.满足《中华人民共和国政府采购法》第二十二条规定；</w:t>
      </w:r>
    </w:p>
    <w:p w14:paraId="2B120C76">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2.落实政府采购政策需满足的资格要求：本项目为专门面向小</w:t>
      </w:r>
      <w:r>
        <w:rPr>
          <w:rFonts w:hint="eastAsia" w:ascii="宋体" w:hAnsi="宋体" w:eastAsia="宋体" w:cs="宋体"/>
          <w:color w:val="auto"/>
          <w:szCs w:val="21"/>
          <w:highlight w:val="none"/>
          <w:lang w:val="en-US" w:eastAsia="zh-CN"/>
        </w:rPr>
        <w:t>微</w:t>
      </w:r>
      <w:r>
        <w:rPr>
          <w:rFonts w:hint="eastAsia" w:ascii="宋体" w:hAnsi="宋体" w:eastAsia="宋体" w:cs="宋体"/>
          <w:color w:val="auto"/>
          <w:szCs w:val="21"/>
          <w:highlight w:val="none"/>
        </w:rPr>
        <w:t>企业采购的项目（供应商应为小</w:t>
      </w:r>
      <w:r>
        <w:rPr>
          <w:rFonts w:hint="eastAsia" w:ascii="宋体" w:hAnsi="宋体" w:eastAsia="宋体" w:cs="宋体"/>
          <w:color w:val="auto"/>
          <w:szCs w:val="21"/>
          <w:highlight w:val="none"/>
          <w:lang w:val="en-US" w:eastAsia="zh-CN"/>
        </w:rPr>
        <w:t>型或</w:t>
      </w:r>
      <w:r>
        <w:rPr>
          <w:rFonts w:hint="eastAsia" w:ascii="宋体" w:hAnsi="宋体" w:eastAsia="宋体" w:cs="宋体"/>
          <w:color w:val="auto"/>
          <w:szCs w:val="21"/>
          <w:highlight w:val="none"/>
        </w:rPr>
        <w:t>微</w:t>
      </w:r>
      <w:r>
        <w:rPr>
          <w:rFonts w:hint="eastAsia" w:ascii="宋体" w:hAnsi="宋体" w:eastAsia="宋体" w:cs="宋体"/>
          <w:color w:val="auto"/>
          <w:szCs w:val="21"/>
          <w:highlight w:val="none"/>
          <w:lang w:val="en-US" w:eastAsia="zh-CN"/>
        </w:rPr>
        <w:t>型</w:t>
      </w:r>
      <w:r>
        <w:rPr>
          <w:rFonts w:hint="eastAsia" w:ascii="宋体" w:hAnsi="宋体" w:eastAsia="宋体" w:cs="宋体"/>
          <w:color w:val="auto"/>
          <w:szCs w:val="21"/>
          <w:highlight w:val="none"/>
        </w:rPr>
        <w:t>企业、监狱企业、残疾人福利性单位)；</w:t>
      </w:r>
    </w:p>
    <w:p w14:paraId="4A3D7A67">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lang w:eastAsia="zh-CN"/>
        </w:rPr>
        <w:t>。</w:t>
      </w:r>
    </w:p>
    <w:p w14:paraId="34E3D5BA">
      <w:pPr>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三、获取采购文件</w:t>
      </w:r>
      <w:bookmarkEnd w:id="13"/>
      <w:bookmarkEnd w:id="14"/>
      <w:bookmarkEnd w:id="15"/>
      <w:bookmarkEnd w:id="16"/>
    </w:p>
    <w:p w14:paraId="74B5B991">
      <w:pPr>
        <w:pageBreakBefore w:val="0"/>
        <w:kinsoku/>
        <w:wordWrap/>
        <w:overflowPunct/>
        <w:topLinePunct w:val="0"/>
        <w:autoSpaceDE/>
        <w:autoSpaceDN/>
        <w:bidi w:val="0"/>
        <w:adjustRightInd/>
        <w:snapToGrid/>
        <w:spacing w:line="440" w:lineRule="exact"/>
        <w:ind w:firstLine="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20</w:t>
      </w:r>
      <w:r>
        <w:rPr>
          <w:rFonts w:hint="eastAsia" w:ascii="宋体" w:hAnsi="宋体" w:cs="宋体"/>
          <w:color w:val="auto"/>
          <w:szCs w:val="21"/>
          <w:highlight w:val="none"/>
          <w:u w:val="single"/>
          <w:lang w:val="en-US" w:eastAsia="zh-CN"/>
        </w:rPr>
        <w:t>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，每天上午</w:t>
      </w:r>
      <w:r>
        <w:rPr>
          <w:rFonts w:hint="eastAsia" w:ascii="宋体" w:hAnsi="宋体" w:eastAsia="宋体" w:cs="宋体"/>
          <w:color w:val="auto"/>
          <w:szCs w:val="21"/>
          <w:highlight w:val="none"/>
          <w:u w:val="single"/>
        </w:rPr>
        <w:t>8时</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12时00分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15时00分</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rPr>
        <w:t>（北京时间，法定节假日除外 ）</w:t>
      </w:r>
    </w:p>
    <w:p w14:paraId="56AF20AE">
      <w:pPr>
        <w:pageBreakBefore w:val="0"/>
        <w:kinsoku/>
        <w:wordWrap/>
        <w:overflowPunct/>
        <w:topLinePunct w:val="0"/>
        <w:autoSpaceDE/>
        <w:autoSpaceDN/>
        <w:bidi w:val="0"/>
        <w:adjustRightInd/>
        <w:snapToGrid/>
        <w:spacing w:line="440" w:lineRule="exact"/>
        <w:ind w:firstLine="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地点（网址）：广西政府采购云平台（https://www.gcy.zfcg.gxzf.gov.cn/）</w:t>
      </w:r>
    </w:p>
    <w:p w14:paraId="6768D53D">
      <w:pPr>
        <w:pageBreakBefore w:val="0"/>
        <w:kinsoku/>
        <w:wordWrap/>
        <w:overflowPunct/>
        <w:topLinePunct w:val="0"/>
        <w:autoSpaceDE/>
        <w:autoSpaceDN/>
        <w:bidi w:val="0"/>
        <w:adjustRightInd/>
        <w:snapToGrid/>
        <w:spacing w:line="440" w:lineRule="exact"/>
        <w:ind w:firstLine="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r>
        <w:rPr>
          <w:rFonts w:hint="eastAsia" w:ascii="宋体" w:hAnsi="宋体" w:eastAsia="宋体" w:cs="宋体"/>
          <w:color w:val="auto"/>
          <w:highlight w:val="none"/>
        </w:rPr>
        <w:t xml:space="preserve">供应商登录广西政府采购云平台https://www.gcy.zfcg.gxzf.gov.cn/在线申请获取采购文件（进入“项目采购”应用，在获取采购文件菜单中选择项目，申请获取采购文件） </w:t>
      </w:r>
    </w:p>
    <w:p w14:paraId="4085D28A">
      <w:pPr>
        <w:pageBreakBefore w:val="0"/>
        <w:kinsoku/>
        <w:wordWrap/>
        <w:overflowPunct/>
        <w:topLinePunct w:val="0"/>
        <w:autoSpaceDE/>
        <w:autoSpaceDN/>
        <w:bidi w:val="0"/>
        <w:adjustRightInd/>
        <w:snapToGrid/>
        <w:spacing w:line="440" w:lineRule="exact"/>
        <w:ind w:firstLine="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1FCE11AA">
      <w:pPr>
        <w:pStyle w:val="3"/>
        <w:keepNext w:val="0"/>
        <w:keepLines w:val="0"/>
        <w:pageBreakBefore w:val="0"/>
        <w:numPr>
          <w:ilvl w:val="0"/>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bCs w:val="0"/>
          <w:color w:val="auto"/>
          <w:sz w:val="21"/>
          <w:szCs w:val="21"/>
          <w:highlight w:val="none"/>
        </w:rPr>
      </w:pPr>
      <w:bookmarkStart w:id="17" w:name="_Toc35393632"/>
      <w:bookmarkStart w:id="18" w:name="_Toc28359015"/>
      <w:bookmarkStart w:id="19" w:name="_Toc35393801"/>
      <w:bookmarkStart w:id="20" w:name="_Toc28359092"/>
      <w:bookmarkStart w:id="21" w:name="_Toc18139"/>
      <w:r>
        <w:rPr>
          <w:rFonts w:hint="eastAsia" w:ascii="宋体" w:hAnsi="宋体" w:eastAsia="宋体" w:cs="宋体"/>
          <w:bCs w:val="0"/>
          <w:color w:val="auto"/>
          <w:sz w:val="21"/>
          <w:szCs w:val="21"/>
          <w:highlight w:val="none"/>
        </w:rPr>
        <w:t>四、响应文件提交</w:t>
      </w:r>
      <w:bookmarkEnd w:id="17"/>
      <w:bookmarkEnd w:id="18"/>
      <w:bookmarkEnd w:id="19"/>
      <w:bookmarkEnd w:id="20"/>
      <w:bookmarkEnd w:id="21"/>
    </w:p>
    <w:p w14:paraId="28CE12C6">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 xml:space="preserve"> 7</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13</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bCs/>
          <w:color w:val="auto"/>
          <w:szCs w:val="21"/>
          <w:highlight w:val="none"/>
          <w:u w:val="single"/>
        </w:rPr>
        <w:t>（北京时间）</w:t>
      </w:r>
    </w:p>
    <w:p w14:paraId="7CFB5A77">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地点（网址）：通过广西政府采购云平台（https://www.gcy.zfcg.gxzf.gov.cn/）在线电子投标</w:t>
      </w:r>
    </w:p>
    <w:p w14:paraId="202365AC">
      <w:pPr>
        <w:pStyle w:val="3"/>
        <w:keepNext w:val="0"/>
        <w:keepLines w:val="0"/>
        <w:pageBreakBefore w:val="0"/>
        <w:numPr>
          <w:ilvl w:val="0"/>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bCs w:val="0"/>
          <w:color w:val="auto"/>
          <w:sz w:val="21"/>
          <w:szCs w:val="21"/>
          <w:highlight w:val="none"/>
        </w:rPr>
      </w:pPr>
      <w:bookmarkStart w:id="22" w:name="_Toc35393802"/>
      <w:bookmarkStart w:id="23" w:name="_Toc28359093"/>
      <w:bookmarkStart w:id="24" w:name="_Toc23983"/>
      <w:bookmarkStart w:id="25" w:name="_Toc35393633"/>
      <w:bookmarkStart w:id="26" w:name="_Toc28359016"/>
      <w:r>
        <w:rPr>
          <w:rFonts w:hint="eastAsia" w:ascii="宋体" w:hAnsi="宋体" w:eastAsia="宋体" w:cs="宋体"/>
          <w:bCs w:val="0"/>
          <w:color w:val="auto"/>
          <w:sz w:val="21"/>
          <w:szCs w:val="21"/>
          <w:highlight w:val="none"/>
        </w:rPr>
        <w:t>五、开启</w:t>
      </w:r>
      <w:bookmarkEnd w:id="22"/>
      <w:bookmarkEnd w:id="23"/>
      <w:bookmarkEnd w:id="24"/>
      <w:bookmarkEnd w:id="25"/>
      <w:bookmarkEnd w:id="26"/>
    </w:p>
    <w:p w14:paraId="1492EB13">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 xml:space="preserve"> 7</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13</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bCs/>
          <w:color w:val="auto"/>
          <w:szCs w:val="21"/>
          <w:highlight w:val="none"/>
          <w:u w:val="single"/>
        </w:rPr>
        <w:t>（北京时间）截止后为磋商小组与磋商供应商磋商时间，具体时间由采购代理机构另行通知。</w:t>
      </w:r>
    </w:p>
    <w:p w14:paraId="3B96E055">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u w:val="single"/>
          <w:lang w:eastAsia="zh-CN"/>
        </w:rPr>
      </w:pPr>
      <w:r>
        <w:rPr>
          <w:rFonts w:hint="eastAsia" w:ascii="宋体" w:hAnsi="宋体" w:eastAsia="宋体" w:cs="宋体"/>
          <w:color w:val="auto"/>
          <w:szCs w:val="21"/>
          <w:highlight w:val="none"/>
        </w:rPr>
        <w:t>地点：通过广西政府采购云平台实行在线解密开启</w:t>
      </w:r>
      <w:r>
        <w:rPr>
          <w:rFonts w:hint="eastAsia" w:ascii="宋体" w:hAnsi="宋体" w:cs="宋体"/>
          <w:color w:val="auto"/>
          <w:szCs w:val="21"/>
          <w:highlight w:val="none"/>
          <w:lang w:eastAsia="zh-CN"/>
        </w:rPr>
        <w:t>。</w:t>
      </w:r>
    </w:p>
    <w:p w14:paraId="3B1CA15F">
      <w:pPr>
        <w:pStyle w:val="3"/>
        <w:keepNext w:val="0"/>
        <w:keepLines w:val="0"/>
        <w:pageBreakBefore w:val="0"/>
        <w:numPr>
          <w:ilvl w:val="0"/>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bCs w:val="0"/>
          <w:color w:val="auto"/>
          <w:sz w:val="21"/>
          <w:szCs w:val="21"/>
          <w:highlight w:val="none"/>
        </w:rPr>
      </w:pPr>
      <w:bookmarkStart w:id="27" w:name="_Toc28359017"/>
      <w:bookmarkStart w:id="28" w:name="_Toc35393803"/>
      <w:bookmarkStart w:id="29" w:name="_Toc29036"/>
      <w:bookmarkStart w:id="30" w:name="_Toc35393634"/>
      <w:bookmarkStart w:id="31" w:name="_Toc28359094"/>
      <w:r>
        <w:rPr>
          <w:rFonts w:hint="eastAsia" w:ascii="宋体" w:hAnsi="宋体" w:eastAsia="宋体" w:cs="宋体"/>
          <w:bCs w:val="0"/>
          <w:color w:val="auto"/>
          <w:sz w:val="21"/>
          <w:szCs w:val="21"/>
          <w:highlight w:val="none"/>
        </w:rPr>
        <w:t>六、公告期限</w:t>
      </w:r>
      <w:bookmarkEnd w:id="27"/>
      <w:bookmarkEnd w:id="28"/>
      <w:bookmarkEnd w:id="29"/>
      <w:bookmarkEnd w:id="30"/>
      <w:bookmarkEnd w:id="31"/>
    </w:p>
    <w:p w14:paraId="5A7AA9B0">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144CE80B">
      <w:pPr>
        <w:pStyle w:val="3"/>
        <w:keepNext w:val="0"/>
        <w:keepLines w:val="0"/>
        <w:pageBreakBefore w:val="0"/>
        <w:numPr>
          <w:ilvl w:val="0"/>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bCs w:val="0"/>
          <w:color w:val="auto"/>
          <w:sz w:val="21"/>
          <w:szCs w:val="21"/>
          <w:highlight w:val="none"/>
        </w:rPr>
      </w:pPr>
      <w:bookmarkStart w:id="32" w:name="_Toc35393804"/>
      <w:bookmarkStart w:id="33" w:name="_Toc20216"/>
      <w:bookmarkStart w:id="34" w:name="_Toc35393635"/>
      <w:r>
        <w:rPr>
          <w:rFonts w:hint="eastAsia" w:ascii="宋体" w:hAnsi="宋体" w:eastAsia="宋体" w:cs="宋体"/>
          <w:bCs w:val="0"/>
          <w:color w:val="auto"/>
          <w:sz w:val="21"/>
          <w:szCs w:val="21"/>
          <w:highlight w:val="none"/>
        </w:rPr>
        <w:t>七、其他补充事宜</w:t>
      </w:r>
      <w:bookmarkEnd w:id="32"/>
      <w:bookmarkEnd w:id="33"/>
      <w:bookmarkEnd w:id="34"/>
    </w:p>
    <w:p w14:paraId="55C47509">
      <w:pPr>
        <w:pStyle w:val="22"/>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
          <w:sz w:val="21"/>
          <w:highlight w:val="none"/>
        </w:rPr>
      </w:pPr>
      <w:bookmarkStart w:id="35" w:name="_Toc35393636"/>
      <w:bookmarkStart w:id="36" w:name="_Toc28359095"/>
      <w:bookmarkStart w:id="37" w:name="_Toc28359018"/>
      <w:bookmarkStart w:id="38" w:name="_Toc35393805"/>
      <w:r>
        <w:rPr>
          <w:rFonts w:hint="eastAsia" w:ascii="宋体" w:hAnsi="宋体" w:eastAsia="宋体" w:cs="宋体"/>
          <w:color w:val="auto"/>
          <w:kern w:val="2"/>
          <w:sz w:val="21"/>
          <w:highlight w:val="none"/>
        </w:rPr>
        <w:t>1.本项目不收取磋商保证金。</w:t>
      </w:r>
    </w:p>
    <w:p w14:paraId="71445665">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2.本项目需要落实的政府采购政策：</w:t>
      </w:r>
      <w:r>
        <w:rPr>
          <w:rFonts w:hint="eastAsia" w:ascii="宋体" w:hAnsi="宋体" w:eastAsia="宋体" w:cs="宋体"/>
          <w:b w:val="0"/>
          <w:bCs/>
          <w:color w:val="auto"/>
          <w:highlight w:val="none"/>
        </w:rPr>
        <w:t>《政府采购促进中小企业发展管理办法（财库〔2020〕46号）》</w:t>
      </w:r>
      <w:r>
        <w:rPr>
          <w:rFonts w:hint="eastAsia" w:ascii="宋体" w:hAnsi="宋体" w:eastAsia="宋体" w:cs="宋体"/>
          <w:color w:val="auto"/>
          <w:szCs w:val="21"/>
          <w:highlight w:val="none"/>
        </w:rPr>
        <w:t>、《关于政府采购支持监狱企业发展有关问题的通知（财库[2014]68号）》、《关于促进残疾人就业政府采购政策的通知（财库[2017]141号）》</w:t>
      </w:r>
      <w:r>
        <w:rPr>
          <w:rFonts w:hint="eastAsia" w:ascii="宋体" w:hAnsi="宋体" w:eastAsia="宋体" w:cs="宋体"/>
          <w:b w:val="0"/>
          <w:bCs/>
          <w:color w:val="auto"/>
          <w:szCs w:val="21"/>
          <w:highlight w:val="none"/>
        </w:rPr>
        <w:t>、《财政部关于进一步加大政府采购支持中小企业力度的通知（财库〔2022〕19号）》文件指导精神：本项目为专门面向“中小企业”的项目或者采购包，不再执行价格评审优惠的扶持政策</w:t>
      </w:r>
      <w:r>
        <w:rPr>
          <w:rFonts w:hint="eastAsia" w:ascii="宋体" w:hAnsi="宋体" w:eastAsia="宋体" w:cs="宋体"/>
          <w:color w:val="auto"/>
          <w:szCs w:val="21"/>
          <w:highlight w:val="none"/>
        </w:rPr>
        <w:t>。</w:t>
      </w:r>
    </w:p>
    <w:p w14:paraId="582A633D">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3.在“信用中国”网站(www.creditchina.gov.cn)、中国政府采购网(www.ccgp.gov.cn)等渠道列入失信被执行人、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、政府采购严重违法失信行为记录名单的供应商，不得参与本项目政府采购活动。</w:t>
      </w:r>
    </w:p>
    <w:p w14:paraId="4019B1AE">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51626A8">
      <w:pPr>
        <w:pStyle w:val="3"/>
        <w:keepNext w:val="0"/>
        <w:keepLines w:val="0"/>
        <w:pageBreakBefore w:val="0"/>
        <w:numPr>
          <w:ilvl w:val="0"/>
          <w:numId w:val="0"/>
        </w:numPr>
        <w:kinsoku/>
        <w:wordWrap/>
        <w:overflowPunct/>
        <w:topLinePunct w:val="0"/>
        <w:autoSpaceDE/>
        <w:autoSpaceDN/>
        <w:bidi w:val="0"/>
        <w:adjustRightInd/>
        <w:snapToGrid/>
        <w:spacing w:before="0" w:after="0" w:line="440" w:lineRule="exact"/>
        <w:ind w:firstLine="420" w:firstLineChars="200"/>
        <w:textAlignment w:val="auto"/>
        <w:rPr>
          <w:rFonts w:hint="eastAsia" w:ascii="宋体" w:hAnsi="宋体" w:eastAsia="宋体" w:cs="宋体"/>
          <w:b w:val="0"/>
          <w:bCs w:val="0"/>
          <w:color w:val="auto"/>
          <w:sz w:val="21"/>
          <w:szCs w:val="22"/>
          <w:highlight w:val="none"/>
        </w:rPr>
      </w:pPr>
      <w:bookmarkStart w:id="39" w:name="_Toc18363"/>
      <w:r>
        <w:rPr>
          <w:rFonts w:hint="eastAsia" w:ascii="宋体" w:hAnsi="宋体" w:cs="宋体"/>
          <w:b w:val="0"/>
          <w:bCs w:val="0"/>
          <w:color w:val="auto"/>
          <w:sz w:val="21"/>
          <w:szCs w:val="22"/>
          <w:highlight w:val="none"/>
          <w:lang w:val="en-US" w:eastAsia="zh-CN"/>
        </w:rPr>
        <w:t>5</w:t>
      </w:r>
      <w:r>
        <w:rPr>
          <w:rFonts w:hint="eastAsia" w:ascii="宋体" w:hAnsi="宋体" w:eastAsia="宋体" w:cs="宋体"/>
          <w:b w:val="0"/>
          <w:bCs w:val="0"/>
          <w:color w:val="auto"/>
          <w:sz w:val="21"/>
          <w:szCs w:val="22"/>
          <w:highlight w:val="none"/>
          <w:lang w:val="en-US" w:eastAsia="zh-CN"/>
        </w:rPr>
        <w:t>.</w:t>
      </w:r>
      <w:r>
        <w:rPr>
          <w:rFonts w:hint="eastAsia" w:ascii="宋体" w:hAnsi="宋体" w:eastAsia="宋体" w:cs="宋体"/>
          <w:b w:val="0"/>
          <w:bCs w:val="0"/>
          <w:color w:val="auto"/>
          <w:sz w:val="21"/>
          <w:szCs w:val="22"/>
          <w:highlight w:val="none"/>
        </w:rPr>
        <w:t>网上查询地址：中国政府采购网（http://www.ccgp.gov.cn/）、广西壮族自治区政府采购网（http://www.ccgp-guangxi.gov.cn/site/home）</w:t>
      </w:r>
      <w:bookmarkEnd w:id="39"/>
    </w:p>
    <w:p w14:paraId="11C3EA52">
      <w:pPr>
        <w:pStyle w:val="82"/>
        <w:pageBreakBefore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rPr>
        <w:t>.监督部门：贺州市</w:t>
      </w:r>
      <w:r>
        <w:rPr>
          <w:rFonts w:hint="eastAsia" w:ascii="宋体" w:hAnsi="宋体" w:cs="宋体"/>
          <w:color w:val="auto"/>
          <w:szCs w:val="21"/>
          <w:highlight w:val="none"/>
          <w:lang w:val="en-US" w:eastAsia="zh-CN"/>
        </w:rPr>
        <w:t>平桂区</w:t>
      </w:r>
      <w:r>
        <w:rPr>
          <w:rFonts w:hint="eastAsia" w:ascii="宋体" w:hAnsi="宋体" w:eastAsia="宋体" w:cs="宋体"/>
          <w:color w:val="auto"/>
          <w:szCs w:val="21"/>
          <w:highlight w:val="none"/>
          <w:lang w:val="en-US"/>
        </w:rPr>
        <w:t>财政局政府采购监督管理科，联系电话: 0774-</w:t>
      </w:r>
      <w:r>
        <w:rPr>
          <w:rFonts w:hint="eastAsia" w:ascii="宋体" w:hAnsi="宋体" w:cs="宋体"/>
          <w:color w:val="auto"/>
          <w:szCs w:val="21"/>
          <w:highlight w:val="none"/>
          <w:lang w:val="en-US" w:eastAsia="zh-CN"/>
        </w:rPr>
        <w:t>8832896</w:t>
      </w:r>
      <w:r>
        <w:rPr>
          <w:rFonts w:hint="eastAsia" w:ascii="宋体" w:hAnsi="宋体" w:eastAsia="宋体" w:cs="宋体"/>
          <w:color w:val="auto"/>
          <w:szCs w:val="21"/>
          <w:highlight w:val="none"/>
          <w:lang w:val="en-US"/>
        </w:rPr>
        <w:t>。</w:t>
      </w:r>
    </w:p>
    <w:p w14:paraId="5C6D7942">
      <w:pPr>
        <w:pStyle w:val="82"/>
        <w:pageBreakBefore w:val="0"/>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平台电子投标相关事宜说明：</w:t>
      </w:r>
    </w:p>
    <w:p w14:paraId="0091F5AB">
      <w:pPr>
        <w:pStyle w:val="82"/>
        <w:pageBreakBefore w:val="0"/>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color w:val="auto"/>
          <w:szCs w:val="22"/>
          <w:highlight w:val="none"/>
          <w:lang w:val="en-US"/>
        </w:rPr>
      </w:pPr>
      <w:r>
        <w:rPr>
          <w:rFonts w:hint="eastAsia" w:ascii="宋体" w:hAnsi="宋体" w:eastAsia="宋体" w:cs="宋体"/>
          <w:color w:val="auto"/>
          <w:szCs w:val="22"/>
          <w:highlight w:val="none"/>
          <w:lang w:val="en-US"/>
        </w:rPr>
        <w:t>（1）本项目实行全流程电子化采购，供应商通过</w:t>
      </w:r>
      <w:r>
        <w:rPr>
          <w:rFonts w:hint="eastAsia" w:ascii="宋体" w:hAnsi="宋体" w:eastAsia="宋体" w:cs="宋体"/>
          <w:color w:val="auto"/>
          <w:szCs w:val="22"/>
          <w:highlight w:val="none"/>
          <w:lang w:val="en-US" w:eastAsia="zh-CN"/>
        </w:rPr>
        <w:t>广西政府采购云</w:t>
      </w:r>
      <w:r>
        <w:rPr>
          <w:rFonts w:hint="eastAsia" w:ascii="宋体" w:hAnsi="宋体" w:eastAsia="宋体" w:cs="宋体"/>
          <w:color w:val="auto"/>
          <w:szCs w:val="22"/>
          <w:highlight w:val="none"/>
          <w:lang w:val="en-US"/>
        </w:rPr>
        <w:t>平台参与电子投标，并应做好以下相关准备工作：①在</w:t>
      </w:r>
      <w:r>
        <w:rPr>
          <w:rFonts w:hint="eastAsia" w:ascii="宋体" w:hAnsi="宋体" w:eastAsia="宋体" w:cs="宋体"/>
          <w:color w:val="auto"/>
          <w:szCs w:val="22"/>
          <w:highlight w:val="none"/>
          <w:lang w:val="en-US" w:eastAsia="zh-CN"/>
        </w:rPr>
        <w:t>广西政府采购云</w:t>
      </w:r>
      <w:r>
        <w:rPr>
          <w:rFonts w:hint="eastAsia" w:ascii="宋体" w:hAnsi="宋体" w:eastAsia="宋体" w:cs="宋体"/>
          <w:color w:val="auto"/>
          <w:szCs w:val="22"/>
          <w:highlight w:val="none"/>
          <w:lang w:val="en-US"/>
        </w:rPr>
        <w:t>平台注册成为正式供应商（操作方法详见广西政府采购网—办事服务—办事指南）；②完成CA证书申领和绑定（费用由供应商自行承担，办理流程详见广西政府采购网—办事服务—下载专区，完成CA证书办理预计一周左右，建议供应商尽快办理）；③下载“广西壮族自治区全流程电子招投标项目管理系统--供应商客户端”（操作方法详见广西政府采购网—办事服务—下载专区，以下称“</w:t>
      </w:r>
      <w:r>
        <w:rPr>
          <w:rFonts w:hint="eastAsia" w:ascii="宋体" w:hAnsi="宋体" w:eastAsia="宋体" w:cs="宋体"/>
          <w:i w:val="0"/>
          <w:iCs w:val="0"/>
          <w:caps w:val="0"/>
          <w:color w:val="auto"/>
          <w:spacing w:val="0"/>
          <w:sz w:val="21"/>
          <w:szCs w:val="21"/>
          <w:highlight w:val="none"/>
          <w:shd w:val="clear" w:fill="FFFFFF"/>
          <w:lang w:eastAsia="zh-CN"/>
        </w:rPr>
        <w:t>广西政府采购云平台新版客户端</w:t>
      </w:r>
      <w:r>
        <w:rPr>
          <w:rFonts w:hint="eastAsia" w:ascii="宋体" w:hAnsi="宋体" w:eastAsia="宋体" w:cs="宋体"/>
          <w:color w:val="auto"/>
          <w:szCs w:val="22"/>
          <w:highlight w:val="none"/>
          <w:lang w:val="en-US"/>
        </w:rPr>
        <w:t>”）并安装成功，供应商应当在提交响应文件截止时间前在</w:t>
      </w:r>
      <w:r>
        <w:rPr>
          <w:rFonts w:hint="eastAsia" w:ascii="宋体" w:hAnsi="宋体" w:eastAsia="宋体" w:cs="宋体"/>
          <w:color w:val="auto"/>
          <w:szCs w:val="22"/>
          <w:highlight w:val="none"/>
          <w:lang w:val="en-US" w:eastAsia="zh-CN"/>
        </w:rPr>
        <w:t>广西政府采购云</w:t>
      </w:r>
      <w:r>
        <w:rPr>
          <w:rFonts w:hint="eastAsia" w:ascii="宋体" w:hAnsi="宋体" w:eastAsia="宋体" w:cs="宋体"/>
          <w:color w:val="auto"/>
          <w:szCs w:val="22"/>
          <w:highlight w:val="none"/>
          <w:lang w:val="en-US"/>
        </w:rPr>
        <w:t>平台完成的身份认证，确保能够对相关数据电文进行加密和使用电子签章；④自备计算机和网络设备并确保能接入互联网（费用由供应商自行承担，设备确保可进行视频通话和读取广西政府采购云CA证书）。因供应商未做好相关准备工作等自身原因导致无法参加本项目电子投标或投标失败的，造成的一切后果，由供应商自行承担。</w:t>
      </w:r>
    </w:p>
    <w:p w14:paraId="34462386">
      <w:pPr>
        <w:pStyle w:val="82"/>
        <w:pageBreakBefore w:val="0"/>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color w:val="auto"/>
          <w:szCs w:val="22"/>
          <w:highlight w:val="none"/>
          <w:lang w:val="en-US"/>
        </w:rPr>
      </w:pPr>
      <w:r>
        <w:rPr>
          <w:rFonts w:hint="eastAsia" w:ascii="宋体" w:hAnsi="宋体" w:eastAsia="宋体" w:cs="宋体"/>
          <w:color w:val="auto"/>
          <w:szCs w:val="22"/>
          <w:highlight w:val="none"/>
          <w:lang w:val="en-US"/>
        </w:rPr>
        <w:t>（2）供应商应及时熟悉掌握电子标系统操作指南（见广西政府采购云电子卖场首页右上角—服务中心—帮助文档—项目采购）：https://service.zcygov.cn/#/knowledges/tree?tag=AG1DtGwBFdiHxlNdhY0r。如遇平台技术问题详询95763。</w:t>
      </w:r>
    </w:p>
    <w:p w14:paraId="4802997E">
      <w:pPr>
        <w:pStyle w:val="82"/>
        <w:pageBreakBefore w:val="0"/>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color w:val="auto"/>
          <w:szCs w:val="22"/>
          <w:highlight w:val="none"/>
          <w:lang w:val="en-US"/>
        </w:rPr>
      </w:pPr>
      <w:r>
        <w:rPr>
          <w:rFonts w:hint="eastAsia" w:ascii="宋体" w:hAnsi="宋体" w:eastAsia="宋体" w:cs="宋体"/>
          <w:color w:val="auto"/>
          <w:szCs w:val="22"/>
          <w:highlight w:val="none"/>
          <w:lang w:val="en-US"/>
        </w:rPr>
        <w:t>（3）电子响应文件的制作、加密、提交、解密等相关事宜详见“第二章 供应商须知”。</w:t>
      </w:r>
    </w:p>
    <w:p w14:paraId="3DCB8C77">
      <w:pPr>
        <w:pStyle w:val="82"/>
        <w:spacing w:line="440" w:lineRule="exact"/>
        <w:ind w:firstLine="420"/>
        <w:rPr>
          <w:rFonts w:hint="eastAsia" w:ascii="宋体" w:hAnsi="宋体" w:eastAsia="宋体" w:cs="宋体"/>
          <w:color w:val="auto"/>
          <w:szCs w:val="22"/>
          <w:highlight w:val="none"/>
          <w:lang w:val="en-US"/>
        </w:rPr>
      </w:pP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highlight w:val="none"/>
        </w:rPr>
        <w:t>评标说明注意事项:</w:t>
      </w:r>
      <w:r>
        <w:rPr>
          <w:rFonts w:hint="eastAsia" w:ascii="宋体" w:hAnsi="宋体" w:eastAsia="宋体" w:cs="宋体"/>
          <w:b w:val="0"/>
          <w:bCs w:val="0"/>
          <w:color w:val="auto"/>
          <w:highlight w:val="none"/>
        </w:rPr>
        <w:t>本项目采用远程异地评标，</w:t>
      </w:r>
      <w:r>
        <w:rPr>
          <w:rFonts w:hint="eastAsia" w:ascii="宋体" w:hAnsi="宋体" w:eastAsia="宋体" w:cs="宋体"/>
          <w:b w:val="0"/>
          <w:bCs w:val="0"/>
          <w:color w:val="auto"/>
          <w:highlight w:val="none"/>
          <w:lang w:val="en-US" w:eastAsia="zh-CN"/>
        </w:rPr>
        <w:t>评审主会场地址：</w:t>
      </w:r>
      <w:r>
        <w:rPr>
          <w:rFonts w:hint="eastAsia" w:ascii="宋体" w:hAnsi="宋体" w:cs="宋体"/>
          <w:b w:val="0"/>
          <w:bCs w:val="0"/>
          <w:color w:val="auto"/>
          <w:highlight w:val="none"/>
          <w:lang w:val="en-US" w:eastAsia="zh-CN"/>
        </w:rPr>
        <w:t>广西翔正项目管理有限公司（贺州市太安巷56号，0774-5297678）</w:t>
      </w:r>
      <w:r>
        <w:rPr>
          <w:rFonts w:hint="eastAsia" w:ascii="宋体" w:hAnsi="宋体" w:eastAsia="宋体" w:cs="宋体"/>
          <w:b w:val="0"/>
          <w:bCs w:val="0"/>
          <w:color w:val="auto"/>
          <w:highlight w:val="none"/>
        </w:rPr>
        <w:t>；评审副会场地址：广西正贤工程咨询有限公司（百色市百色市右江区龙翔路12号龙景中心商务写字楼六楼 ）联系电话：0776-2960260</w:t>
      </w:r>
      <w:bookmarkStart w:id="66" w:name="_GoBack"/>
      <w:bookmarkEnd w:id="66"/>
      <w:r>
        <w:rPr>
          <w:rFonts w:hint="eastAsia" w:ascii="宋体" w:hAnsi="宋体" w:eastAsia="宋体" w:cs="宋体"/>
          <w:b w:val="0"/>
          <w:bCs w:val="0"/>
          <w:color w:val="auto"/>
          <w:highlight w:val="none"/>
          <w:u w:val="none"/>
        </w:rPr>
        <w:t>。</w:t>
      </w:r>
    </w:p>
    <w:p w14:paraId="05C0E536">
      <w:pPr>
        <w:pStyle w:val="3"/>
        <w:pageBreakBefore w:val="0"/>
        <w:numPr>
          <w:ilvl w:val="0"/>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bCs w:val="0"/>
          <w:color w:val="auto"/>
          <w:sz w:val="21"/>
          <w:szCs w:val="21"/>
          <w:highlight w:val="none"/>
        </w:rPr>
      </w:pPr>
      <w:bookmarkStart w:id="40" w:name="_Toc22062"/>
      <w:r>
        <w:rPr>
          <w:rFonts w:hint="eastAsia" w:ascii="宋体" w:hAnsi="宋体" w:eastAsia="宋体" w:cs="宋体"/>
          <w:bCs w:val="0"/>
          <w:color w:val="auto"/>
          <w:sz w:val="21"/>
          <w:szCs w:val="21"/>
          <w:highlight w:val="none"/>
        </w:rPr>
        <w:t>八、凡对本次采购提出询问，请按以下方式联系。</w:t>
      </w:r>
      <w:bookmarkEnd w:id="35"/>
      <w:bookmarkEnd w:id="36"/>
      <w:bookmarkEnd w:id="37"/>
      <w:bookmarkEnd w:id="38"/>
      <w:bookmarkEnd w:id="40"/>
    </w:p>
    <w:p w14:paraId="2887DB17">
      <w:pPr>
        <w:pStyle w:val="22"/>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1.采购人信息</w:t>
      </w:r>
    </w:p>
    <w:p w14:paraId="6A0656F7">
      <w:pPr>
        <w:pStyle w:val="22"/>
        <w:pageBreakBefore w:val="0"/>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名    称：</w:t>
      </w:r>
      <w:r>
        <w:rPr>
          <w:rFonts w:hint="eastAsia" w:hAnsi="宋体" w:cs="宋体"/>
          <w:color w:val="auto"/>
          <w:sz w:val="21"/>
          <w:highlight w:val="none"/>
          <w:lang w:eastAsia="zh-CN"/>
        </w:rPr>
        <w:t>中国共产党贺州市平桂区委员会宣传部</w:t>
      </w:r>
    </w:p>
    <w:p w14:paraId="7CA018DE">
      <w:pPr>
        <w:pStyle w:val="22"/>
        <w:pageBreakBefore w:val="0"/>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地    址：</w:t>
      </w:r>
      <w:r>
        <w:rPr>
          <w:rFonts w:hint="eastAsia" w:ascii="宋体" w:hAnsi="宋体" w:eastAsia="宋体" w:cs="宋体"/>
          <w:color w:val="auto"/>
          <w:sz w:val="21"/>
          <w:szCs w:val="21"/>
          <w:highlight w:val="none"/>
        </w:rPr>
        <w:t>广西贺州市平桂区平桂大道1号</w:t>
      </w:r>
    </w:p>
    <w:p w14:paraId="608E904A">
      <w:pPr>
        <w:pStyle w:val="22"/>
        <w:pageBreakBefore w:val="0"/>
        <w:kinsoku/>
        <w:wordWrap/>
        <w:overflowPunct/>
        <w:topLinePunct w:val="0"/>
        <w:autoSpaceDE/>
        <w:autoSpaceDN/>
        <w:bidi w:val="0"/>
        <w:adjustRightInd/>
        <w:snapToGrid/>
        <w:spacing w:line="440" w:lineRule="exact"/>
        <w:ind w:firstLine="630" w:firstLineChars="300"/>
        <w:textAlignment w:val="auto"/>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 xml:space="preserve">联系方式: </w:t>
      </w:r>
      <w:r>
        <w:rPr>
          <w:rFonts w:hint="eastAsia" w:hAnsi="宋体" w:cs="宋体"/>
          <w:color w:val="auto"/>
          <w:sz w:val="21"/>
          <w:highlight w:val="none"/>
          <w:lang w:val="en-US" w:eastAsia="zh-CN"/>
        </w:rPr>
        <w:t>何林</w:t>
      </w:r>
    </w:p>
    <w:p w14:paraId="7C3B2531">
      <w:pPr>
        <w:pStyle w:val="22"/>
        <w:pageBreakBefore w:val="0"/>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bCs/>
          <w:color w:val="auto"/>
          <w:sz w:val="21"/>
          <w:highlight w:val="none"/>
        </w:rPr>
      </w:pPr>
      <w:r>
        <w:rPr>
          <w:rFonts w:hint="eastAsia" w:hAnsi="宋体" w:cs="宋体"/>
          <w:color w:val="auto"/>
          <w:sz w:val="21"/>
          <w:highlight w:val="none"/>
          <w:lang w:val="en-US" w:eastAsia="zh-CN"/>
        </w:rPr>
        <w:t>项目联系方式： 0774-8836651</w:t>
      </w:r>
    </w:p>
    <w:p w14:paraId="2EDC2039">
      <w:pPr>
        <w:pStyle w:val="22"/>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2.采购代理机构信息</w:t>
      </w:r>
    </w:p>
    <w:p w14:paraId="730C32DA">
      <w:pPr>
        <w:pStyle w:val="22"/>
        <w:pageBreakBefore w:val="0"/>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名    称：</w:t>
      </w:r>
      <w:r>
        <w:rPr>
          <w:rFonts w:hint="eastAsia" w:hAnsi="宋体" w:cs="宋体"/>
          <w:bCs/>
          <w:color w:val="auto"/>
          <w:sz w:val="21"/>
          <w:highlight w:val="none"/>
          <w:lang w:eastAsia="zh-CN"/>
        </w:rPr>
        <w:t>广西翔正项目管理有限公司</w:t>
      </w:r>
    </w:p>
    <w:p w14:paraId="43835E20">
      <w:pPr>
        <w:pStyle w:val="22"/>
        <w:pageBreakBefore w:val="0"/>
        <w:kinsoku/>
        <w:wordWrap/>
        <w:overflowPunct/>
        <w:topLinePunct w:val="0"/>
        <w:autoSpaceDE/>
        <w:autoSpaceDN/>
        <w:bidi w:val="0"/>
        <w:adjustRightInd/>
        <w:snapToGrid/>
        <w:spacing w:line="440" w:lineRule="exact"/>
        <w:ind w:firstLine="630" w:firstLineChars="300"/>
        <w:textAlignment w:val="auto"/>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地    址：</w:t>
      </w:r>
      <w:r>
        <w:rPr>
          <w:rFonts w:hint="eastAsia" w:ascii="宋体" w:hAnsi="宋体" w:eastAsia="宋体" w:cs="宋体"/>
          <w:color w:val="auto"/>
          <w:sz w:val="21"/>
          <w:highlight w:val="none"/>
          <w:lang w:eastAsia="zh-CN"/>
        </w:rPr>
        <w:t>贺州市八步区</w:t>
      </w:r>
      <w:r>
        <w:rPr>
          <w:rFonts w:hint="eastAsia" w:hAnsi="宋体" w:cs="宋体"/>
          <w:color w:val="auto"/>
          <w:sz w:val="21"/>
          <w:highlight w:val="none"/>
          <w:lang w:val="en-US" w:eastAsia="zh-CN"/>
        </w:rPr>
        <w:t>太安巷56号</w:t>
      </w:r>
    </w:p>
    <w:p w14:paraId="79879DAA">
      <w:pPr>
        <w:pStyle w:val="22"/>
        <w:pageBreakBefore w:val="0"/>
        <w:kinsoku/>
        <w:wordWrap/>
        <w:overflowPunct/>
        <w:topLinePunct w:val="0"/>
        <w:autoSpaceDE/>
        <w:autoSpaceDN/>
        <w:bidi w:val="0"/>
        <w:adjustRightInd/>
        <w:snapToGrid/>
        <w:spacing w:line="440" w:lineRule="exact"/>
        <w:ind w:firstLine="630" w:firstLineChars="300"/>
        <w:textAlignment w:val="auto"/>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项目联系人：</w:t>
      </w:r>
      <w:r>
        <w:rPr>
          <w:rFonts w:hint="eastAsia" w:hAnsi="宋体" w:cs="宋体"/>
          <w:color w:val="auto"/>
          <w:sz w:val="21"/>
          <w:highlight w:val="none"/>
          <w:lang w:val="en-US" w:eastAsia="zh-CN"/>
        </w:rPr>
        <w:t>黄馨谊</w:t>
      </w:r>
    </w:p>
    <w:p w14:paraId="3A032F31">
      <w:pPr>
        <w:pStyle w:val="22"/>
        <w:pageBreakBefore w:val="0"/>
        <w:kinsoku/>
        <w:wordWrap/>
        <w:overflowPunct/>
        <w:topLinePunct w:val="0"/>
        <w:autoSpaceDE/>
        <w:autoSpaceDN/>
        <w:bidi w:val="0"/>
        <w:adjustRightInd/>
        <w:snapToGrid/>
        <w:spacing w:line="440" w:lineRule="exact"/>
        <w:ind w:firstLine="630" w:firstLineChars="300"/>
        <w:textAlignment w:val="auto"/>
        <w:rPr>
          <w:rFonts w:hint="default" w:ascii="宋体" w:hAnsi="宋体" w:eastAsia="宋体" w:cs="宋体"/>
          <w:color w:val="auto"/>
          <w:sz w:val="21"/>
          <w:highlight w:val="none"/>
          <w:lang w:val="en-US" w:eastAsia="zh-CN"/>
        </w:rPr>
      </w:pPr>
      <w:r>
        <w:rPr>
          <w:rFonts w:hint="eastAsia" w:hAnsi="宋体" w:cs="宋体"/>
          <w:bCs/>
          <w:color w:val="auto"/>
          <w:sz w:val="21"/>
          <w:highlight w:val="none"/>
          <w:lang w:val="en-US" w:eastAsia="zh-CN"/>
        </w:rPr>
        <w:t>项目</w:t>
      </w:r>
      <w:r>
        <w:rPr>
          <w:rFonts w:hint="eastAsia" w:ascii="宋体" w:hAnsi="宋体" w:eastAsia="宋体" w:cs="宋体"/>
          <w:bCs/>
          <w:color w:val="auto"/>
          <w:sz w:val="21"/>
          <w:highlight w:val="none"/>
        </w:rPr>
        <w:t>联系方式：</w:t>
      </w:r>
      <w:r>
        <w:rPr>
          <w:rFonts w:hint="eastAsia" w:hAnsi="宋体" w:cs="宋体"/>
          <w:color w:val="auto"/>
          <w:sz w:val="21"/>
          <w:highlight w:val="none"/>
          <w:lang w:eastAsia="zh-CN"/>
        </w:rPr>
        <w:t>0774-</w:t>
      </w:r>
      <w:r>
        <w:rPr>
          <w:rFonts w:hint="eastAsia" w:hAnsi="宋体" w:cs="宋体"/>
          <w:color w:val="auto"/>
          <w:sz w:val="21"/>
          <w:highlight w:val="none"/>
          <w:lang w:val="en-US" w:eastAsia="zh-CN"/>
        </w:rPr>
        <w:t>5297678</w:t>
      </w:r>
    </w:p>
    <w:p w14:paraId="37026BFA">
      <w:pPr>
        <w:pStyle w:val="22"/>
        <w:pageBreakBefore w:val="0"/>
        <w:kinsoku/>
        <w:wordWrap/>
        <w:overflowPunct/>
        <w:topLinePunct w:val="0"/>
        <w:autoSpaceDE/>
        <w:autoSpaceDN/>
        <w:bidi w:val="0"/>
        <w:adjustRightInd/>
        <w:snapToGrid/>
        <w:spacing w:line="440" w:lineRule="exact"/>
        <w:ind w:firstLine="6195" w:firstLineChars="2950"/>
        <w:textAlignment w:val="auto"/>
        <w:rPr>
          <w:rFonts w:hint="eastAsia" w:ascii="宋体" w:hAnsi="宋体" w:eastAsia="宋体" w:cs="宋体"/>
          <w:color w:val="auto"/>
          <w:sz w:val="21"/>
          <w:highlight w:val="none"/>
          <w:lang w:eastAsia="zh-CN"/>
        </w:rPr>
      </w:pPr>
    </w:p>
    <w:p w14:paraId="6D39C6A3">
      <w:pPr>
        <w:pStyle w:val="22"/>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1"/>
          <w:highlight w:val="none"/>
          <w:lang w:eastAsia="zh-CN"/>
        </w:rPr>
      </w:pPr>
      <w:r>
        <w:rPr>
          <w:rFonts w:hint="eastAsia" w:hAnsi="宋体" w:cs="宋体"/>
          <w:color w:val="auto"/>
          <w:sz w:val="21"/>
          <w:highlight w:val="none"/>
          <w:lang w:eastAsia="zh-CN"/>
        </w:rPr>
        <w:t>广西翔正项目管理有限公司</w:t>
      </w:r>
    </w:p>
    <w:p w14:paraId="52F7D394">
      <w:pPr>
        <w:pageBreakBefore w:val="0"/>
        <w:widowControl/>
        <w:kinsoku/>
        <w:wordWrap/>
        <w:overflowPunct/>
        <w:topLinePunct w:val="0"/>
        <w:autoSpaceDE/>
        <w:autoSpaceDN/>
        <w:bidi w:val="0"/>
        <w:adjustRightInd/>
        <w:snapToGrid/>
        <w:spacing w:line="440" w:lineRule="exact"/>
        <w:ind w:firstLine="7560" w:firstLineChars="36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202</w:t>
      </w:r>
      <w:r>
        <w:rPr>
          <w:rFonts w:hint="eastAsia" w:ascii="宋体" w:hAnsi="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cs="宋体"/>
          <w:color w:val="auto"/>
          <w:highlight w:val="none"/>
          <w:lang w:val="en-US" w:eastAsia="zh-CN"/>
        </w:rPr>
        <w:t>7</w:t>
      </w:r>
      <w:r>
        <w:rPr>
          <w:rFonts w:hint="eastAsia" w:ascii="宋体" w:hAnsi="宋体" w:eastAsia="宋体" w:cs="宋体"/>
          <w:color w:val="auto"/>
          <w:highlight w:val="none"/>
        </w:rPr>
        <w:t>月</w:t>
      </w:r>
      <w:r>
        <w:rPr>
          <w:rFonts w:hint="eastAsia" w:ascii="宋体" w:hAnsi="宋体" w:cs="宋体"/>
          <w:color w:val="auto"/>
          <w:highlight w:val="none"/>
          <w:lang w:val="en-US" w:eastAsia="zh-CN"/>
        </w:rPr>
        <w:t>1</w:t>
      </w:r>
      <w:r>
        <w:rPr>
          <w:rFonts w:hint="eastAsia" w:ascii="宋体" w:hAnsi="宋体" w:eastAsia="宋体" w:cs="宋体"/>
          <w:color w:val="auto"/>
          <w:highlight w:val="none"/>
        </w:rPr>
        <w:t>日</w:t>
      </w:r>
    </w:p>
    <w:p w14:paraId="079F0534">
      <w:pPr>
        <w:pStyle w:val="2"/>
        <w:keepNext w:val="0"/>
        <w:keepLines w:val="0"/>
        <w:numPr>
          <w:ilvl w:val="0"/>
          <w:numId w:val="0"/>
        </w:numPr>
        <w:tabs>
          <w:tab w:val="left" w:pos="432"/>
        </w:tabs>
        <w:spacing w:line="500" w:lineRule="exact"/>
        <w:jc w:val="center"/>
        <w:outlineLvl w:val="0"/>
        <w:rPr>
          <w:rFonts w:ascii="宋体" w:hAnsi="宋体"/>
          <w:color w:val="auto"/>
          <w:szCs w:val="44"/>
          <w:highlight w:val="none"/>
        </w:rPr>
      </w:pPr>
      <w:bookmarkStart w:id="41" w:name="_Toc31183"/>
      <w:bookmarkStart w:id="42" w:name="_Toc10174"/>
      <w:r>
        <w:rPr>
          <w:rFonts w:hint="eastAsia" w:ascii="宋体" w:hAnsi="宋体"/>
          <w:color w:val="auto"/>
          <w:szCs w:val="44"/>
          <w:highlight w:val="none"/>
        </w:rPr>
        <w:t>第二章 供应商须知</w:t>
      </w:r>
      <w:bookmarkEnd w:id="41"/>
      <w:bookmarkEnd w:id="42"/>
    </w:p>
    <w:p w14:paraId="0F741294">
      <w:pPr>
        <w:spacing w:after="156" w:afterLines="50" w:line="400" w:lineRule="exact"/>
        <w:jc w:val="center"/>
        <w:rPr>
          <w:rFonts w:ascii="宋体" w:hAnsi="宋体"/>
          <w:b/>
          <w:color w:val="auto"/>
          <w:sz w:val="28"/>
          <w:szCs w:val="32"/>
          <w:highlight w:val="none"/>
        </w:rPr>
      </w:pPr>
      <w:r>
        <w:rPr>
          <w:rFonts w:hint="eastAsia" w:ascii="宋体" w:hAnsi="宋体"/>
          <w:b/>
          <w:color w:val="auto"/>
          <w:sz w:val="28"/>
          <w:szCs w:val="32"/>
          <w:highlight w:val="none"/>
        </w:rPr>
        <w:t>供应商须知前附表</w:t>
      </w:r>
    </w:p>
    <w:tbl>
      <w:tblPr>
        <w:tblStyle w:val="36"/>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1"/>
        <w:gridCol w:w="7579"/>
      </w:tblGrid>
      <w:tr w14:paraId="231B2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817" w:type="dxa"/>
            <w:shd w:val="clear" w:color="auto" w:fill="D9D9D9"/>
            <w:vAlign w:val="center"/>
          </w:tcPr>
          <w:p w14:paraId="1092CA48">
            <w:pPr>
              <w:spacing w:line="38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271" w:type="dxa"/>
            <w:shd w:val="clear" w:color="auto" w:fill="D9D9D9"/>
            <w:vAlign w:val="center"/>
          </w:tcPr>
          <w:p w14:paraId="7EFEBAF4">
            <w:pPr>
              <w:spacing w:line="38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7579" w:type="dxa"/>
            <w:shd w:val="clear" w:color="auto" w:fill="D9D9D9"/>
            <w:vAlign w:val="center"/>
          </w:tcPr>
          <w:p w14:paraId="37FC9532">
            <w:pPr>
              <w:spacing w:line="380" w:lineRule="exact"/>
              <w:jc w:val="center"/>
              <w:rPr>
                <w:rFonts w:ascii="宋体" w:hAnsi="宋体"/>
                <w:b/>
                <w:color w:val="auto"/>
                <w:szCs w:val="21"/>
                <w:highlight w:val="none"/>
              </w:rPr>
            </w:pPr>
            <w:r>
              <w:rPr>
                <w:rFonts w:hint="eastAsia" w:ascii="宋体" w:hAnsi="宋体"/>
                <w:b/>
                <w:color w:val="auto"/>
                <w:szCs w:val="21"/>
                <w:highlight w:val="none"/>
              </w:rPr>
              <w:t>内  容</w:t>
            </w:r>
          </w:p>
        </w:tc>
      </w:tr>
      <w:tr w14:paraId="7A3F9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01BC179">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271" w:type="dxa"/>
            <w:vAlign w:val="center"/>
          </w:tcPr>
          <w:p w14:paraId="07FCB493">
            <w:pPr>
              <w:spacing w:line="380" w:lineRule="exact"/>
              <w:jc w:val="center"/>
              <w:rPr>
                <w:rFonts w:ascii="宋体" w:hAnsi="宋体"/>
                <w:color w:val="auto"/>
                <w:szCs w:val="21"/>
                <w:highlight w:val="none"/>
              </w:rPr>
            </w:pPr>
            <w:r>
              <w:rPr>
                <w:rFonts w:hint="eastAsia" w:ascii="宋体" w:hAnsi="宋体"/>
                <w:color w:val="auto"/>
                <w:szCs w:val="21"/>
                <w:highlight w:val="none"/>
              </w:rPr>
              <w:t>1.1</w:t>
            </w:r>
          </w:p>
        </w:tc>
        <w:tc>
          <w:tcPr>
            <w:tcW w:w="7579" w:type="dxa"/>
            <w:vAlign w:val="center"/>
          </w:tcPr>
          <w:p w14:paraId="440E958D">
            <w:pPr>
              <w:spacing w:line="380" w:lineRule="exact"/>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中国共产党贺州市平桂区委员会宣传部平桂工矿历史遗产数字化开发与融媒体传播平台建设项目</w:t>
            </w:r>
          </w:p>
          <w:p w14:paraId="67560065">
            <w:pPr>
              <w:spacing w:line="380" w:lineRule="exact"/>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HZZC2026-C3-030029-GXXZ</w:t>
            </w:r>
          </w:p>
        </w:tc>
      </w:tr>
      <w:tr w14:paraId="488AC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52A5877">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271" w:type="dxa"/>
            <w:vAlign w:val="center"/>
          </w:tcPr>
          <w:p w14:paraId="3B1D8FE6">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7579" w:type="dxa"/>
            <w:vAlign w:val="center"/>
          </w:tcPr>
          <w:p w14:paraId="74F4D85F">
            <w:pPr>
              <w:spacing w:line="380" w:lineRule="exact"/>
              <w:rPr>
                <w:rFonts w:ascii="宋体" w:hAnsi="宋体"/>
                <w:color w:val="auto"/>
                <w:highlight w:val="none"/>
              </w:rPr>
            </w:pPr>
            <w:r>
              <w:rPr>
                <w:rFonts w:hint="eastAsia" w:ascii="宋体" w:hAnsi="宋体"/>
                <w:color w:val="auto"/>
                <w:highlight w:val="none"/>
              </w:rPr>
              <w:t>供应商的基本条件：</w:t>
            </w:r>
          </w:p>
          <w:p w14:paraId="158915A3">
            <w:pPr>
              <w:spacing w:line="380" w:lineRule="exact"/>
              <w:rPr>
                <w:rFonts w:ascii="宋体" w:hAnsi="宋体"/>
                <w:color w:val="auto"/>
                <w:highlight w:val="none"/>
              </w:rPr>
            </w:pPr>
            <w:r>
              <w:rPr>
                <w:rFonts w:hint="eastAsia" w:ascii="宋体" w:hAnsi="宋体"/>
                <w:color w:val="auto"/>
                <w:highlight w:val="none"/>
              </w:rPr>
              <w:t>1.满足《中华人民共和国政府采购法》第二十二条规定；</w:t>
            </w:r>
          </w:p>
          <w:p w14:paraId="0B04A651">
            <w:pPr>
              <w:spacing w:line="440" w:lineRule="exact"/>
              <w:ind w:firstLine="0" w:firstLineChars="0"/>
              <w:rPr>
                <w:rFonts w:hint="eastAsia" w:ascii="宋体" w:hAnsi="宋体"/>
                <w:color w:val="auto"/>
                <w:highlight w:val="none"/>
              </w:rPr>
            </w:pPr>
            <w:r>
              <w:rPr>
                <w:rFonts w:hint="eastAsia" w:ascii="宋体" w:hAnsi="宋体"/>
                <w:color w:val="auto"/>
                <w:highlight w:val="none"/>
              </w:rPr>
              <w:t>2.落实政府采购政策需满足的资格要求：</w:t>
            </w:r>
            <w:r>
              <w:rPr>
                <w:rFonts w:hint="eastAsia" w:ascii="宋体" w:hAnsi="宋体"/>
                <w:color w:val="auto"/>
                <w:highlight w:val="none"/>
                <w:lang w:val="en-US" w:eastAsia="zh-CN"/>
              </w:rPr>
              <w:t>无</w:t>
            </w:r>
            <w:r>
              <w:rPr>
                <w:rFonts w:hint="eastAsia" w:ascii="宋体" w:hAnsi="宋体"/>
                <w:color w:val="auto"/>
                <w:highlight w:val="none"/>
              </w:rPr>
              <w:t>；</w:t>
            </w:r>
          </w:p>
          <w:p w14:paraId="654C1954">
            <w:pPr>
              <w:spacing w:line="440" w:lineRule="exact"/>
              <w:ind w:firstLine="0" w:firstLineChars="0"/>
              <w:rPr>
                <w:rFonts w:ascii="宋体" w:hAnsi="宋体"/>
                <w:color w:val="auto"/>
                <w:highlight w:val="none"/>
              </w:rPr>
            </w:pPr>
            <w:r>
              <w:rPr>
                <w:rFonts w:hint="eastAsia" w:ascii="宋体" w:hAnsi="宋体"/>
                <w:color w:val="auto"/>
                <w:highlight w:val="none"/>
              </w:rPr>
              <w:t>3.本项目的特定</w:t>
            </w:r>
            <w:r>
              <w:rPr>
                <w:rFonts w:hint="eastAsia" w:ascii="宋体" w:hAnsi="宋体" w:eastAsia="宋体" w:cs="Times New Roman"/>
                <w:color w:val="auto"/>
                <w:highlight w:val="none"/>
              </w:rPr>
              <w:t>资格要求：</w:t>
            </w:r>
            <w:r>
              <w:rPr>
                <w:rFonts w:hint="eastAsia" w:ascii="宋体" w:hAnsi="宋体" w:eastAsia="宋体" w:cs="Times New Roman"/>
                <w:color w:val="auto"/>
                <w:highlight w:val="none"/>
                <w:lang w:val="en-US" w:eastAsia="zh-CN"/>
              </w:rPr>
              <w:t>无</w:t>
            </w:r>
            <w:r>
              <w:rPr>
                <w:rFonts w:hint="eastAsia" w:ascii="宋体" w:hAnsi="宋体" w:eastAsia="宋体" w:cs="Times New Roman"/>
                <w:color w:val="auto"/>
                <w:highlight w:val="none"/>
                <w:lang w:eastAsia="zh-CN"/>
              </w:rPr>
              <w:t>。</w:t>
            </w:r>
          </w:p>
        </w:tc>
      </w:tr>
      <w:tr w14:paraId="39115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66FF46A2">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271" w:type="dxa"/>
            <w:vAlign w:val="center"/>
          </w:tcPr>
          <w:p w14:paraId="59D90FEA">
            <w:pPr>
              <w:spacing w:line="380" w:lineRule="exact"/>
              <w:jc w:val="center"/>
              <w:rPr>
                <w:rFonts w:ascii="宋体" w:hAnsi="宋体"/>
                <w:color w:val="auto"/>
                <w:szCs w:val="21"/>
                <w:highlight w:val="none"/>
              </w:rPr>
            </w:pPr>
            <w:r>
              <w:rPr>
                <w:rFonts w:hint="eastAsia" w:ascii="宋体" w:hAnsi="宋体"/>
                <w:color w:val="auto"/>
                <w:szCs w:val="21"/>
                <w:highlight w:val="none"/>
              </w:rPr>
              <w:t>11</w:t>
            </w:r>
          </w:p>
        </w:tc>
        <w:tc>
          <w:tcPr>
            <w:tcW w:w="7579" w:type="dxa"/>
            <w:vAlign w:val="center"/>
          </w:tcPr>
          <w:p w14:paraId="78A31A0A">
            <w:pPr>
              <w:spacing w:line="380" w:lineRule="exact"/>
              <w:rPr>
                <w:rFonts w:ascii="宋体" w:hAnsi="宋体"/>
                <w:color w:val="auto"/>
                <w:szCs w:val="21"/>
                <w:highlight w:val="none"/>
              </w:rPr>
            </w:pPr>
            <w:r>
              <w:rPr>
                <w:rFonts w:hint="eastAsia" w:ascii="宋体" w:hAnsi="宋体"/>
                <w:color w:val="auto"/>
                <w:szCs w:val="21"/>
                <w:highlight w:val="none"/>
              </w:rPr>
              <w:t>磋商有效期：自磋商截止之日起60日内。</w:t>
            </w:r>
          </w:p>
          <w:p w14:paraId="27123117">
            <w:pPr>
              <w:pStyle w:val="13"/>
              <w:widowControl w:val="0"/>
              <w:tabs>
                <w:tab w:val="clear" w:pos="454"/>
              </w:tabs>
              <w:spacing w:afterLines="0" w:line="380" w:lineRule="exact"/>
              <w:ind w:left="0" w:firstLine="0"/>
              <w:rPr>
                <w:rFonts w:ascii="宋体" w:hAnsi="宋体"/>
                <w:color w:val="auto"/>
                <w:sz w:val="21"/>
                <w:szCs w:val="21"/>
                <w:highlight w:val="none"/>
              </w:rPr>
            </w:pPr>
            <w:bookmarkStart w:id="43" w:name="_Toc254970540"/>
            <w:bookmarkStart w:id="44" w:name="_Toc254970681"/>
            <w:r>
              <w:rPr>
                <w:rFonts w:hint="eastAsia" w:ascii="宋体" w:hAnsi="宋体"/>
                <w:color w:val="auto"/>
                <w:sz w:val="21"/>
                <w:szCs w:val="21"/>
                <w:highlight w:val="none"/>
              </w:rPr>
              <w:t>1、未成交的响应文件磋商有效期内均应保持有效。</w:t>
            </w:r>
            <w:bookmarkEnd w:id="43"/>
            <w:bookmarkEnd w:id="44"/>
          </w:p>
          <w:p w14:paraId="749AA571">
            <w:pPr>
              <w:pStyle w:val="13"/>
              <w:widowControl w:val="0"/>
              <w:tabs>
                <w:tab w:val="clear" w:pos="454"/>
              </w:tabs>
              <w:spacing w:afterLines="0" w:line="380" w:lineRule="exact"/>
              <w:ind w:left="0" w:firstLine="0"/>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10"/>
                <w:sz w:val="21"/>
                <w:szCs w:val="21"/>
                <w:highlight w:val="none"/>
              </w:rPr>
              <w:t>成交供应商的响应文件自开标之日起至合同履行完毕止均应保持有效。</w:t>
            </w:r>
          </w:p>
        </w:tc>
      </w:tr>
      <w:tr w14:paraId="50DAF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817" w:type="dxa"/>
            <w:vAlign w:val="center"/>
          </w:tcPr>
          <w:p w14:paraId="0FB298F7">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271" w:type="dxa"/>
            <w:vAlign w:val="center"/>
          </w:tcPr>
          <w:p w14:paraId="38A78A90">
            <w:pPr>
              <w:spacing w:line="380" w:lineRule="exact"/>
              <w:jc w:val="center"/>
              <w:rPr>
                <w:rFonts w:ascii="宋体" w:hAnsi="宋体"/>
                <w:color w:val="auto"/>
                <w:szCs w:val="21"/>
                <w:highlight w:val="none"/>
              </w:rPr>
            </w:pPr>
            <w:r>
              <w:rPr>
                <w:rFonts w:hint="eastAsia" w:ascii="宋体" w:hAnsi="宋体"/>
                <w:color w:val="auto"/>
                <w:szCs w:val="21"/>
                <w:highlight w:val="none"/>
              </w:rPr>
              <w:t>12</w:t>
            </w:r>
          </w:p>
        </w:tc>
        <w:tc>
          <w:tcPr>
            <w:tcW w:w="7579" w:type="dxa"/>
            <w:vAlign w:val="center"/>
          </w:tcPr>
          <w:p w14:paraId="7A91B65C">
            <w:pPr>
              <w:spacing w:line="380" w:lineRule="exact"/>
              <w:rPr>
                <w:rFonts w:ascii="宋体" w:hAnsi="宋体"/>
                <w:b/>
                <w:color w:val="auto"/>
                <w:szCs w:val="21"/>
                <w:highlight w:val="none"/>
              </w:rPr>
            </w:pPr>
            <w:r>
              <w:rPr>
                <w:rFonts w:hint="eastAsia" w:ascii="宋体" w:hAnsi="宋体"/>
                <w:b w:val="0"/>
                <w:bCs/>
                <w:color w:val="auto"/>
                <w:szCs w:val="21"/>
                <w:highlight w:val="none"/>
              </w:rPr>
              <w:t>磋商保证金：</w:t>
            </w:r>
            <w:r>
              <w:rPr>
                <w:rFonts w:hint="eastAsia" w:ascii="宋体" w:hAnsi="宋体"/>
                <w:b w:val="0"/>
                <w:bCs/>
                <w:color w:val="auto"/>
                <w:szCs w:val="21"/>
                <w:highlight w:val="none"/>
                <w:lang w:eastAsia="zh-CN"/>
              </w:rPr>
              <w:t>无</w:t>
            </w:r>
            <w:r>
              <w:rPr>
                <w:rFonts w:hint="eastAsia" w:ascii="宋体" w:hAnsi="宋体"/>
                <w:b w:val="0"/>
                <w:bCs/>
                <w:color w:val="auto"/>
                <w:szCs w:val="21"/>
                <w:highlight w:val="none"/>
              </w:rPr>
              <w:t>。</w:t>
            </w:r>
          </w:p>
        </w:tc>
      </w:tr>
      <w:tr w14:paraId="4C147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817" w:type="dxa"/>
            <w:vAlign w:val="center"/>
          </w:tcPr>
          <w:p w14:paraId="65A91E83">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271" w:type="dxa"/>
            <w:vAlign w:val="center"/>
          </w:tcPr>
          <w:p w14:paraId="7C0F28E7">
            <w:pPr>
              <w:spacing w:line="380" w:lineRule="exact"/>
              <w:jc w:val="center"/>
              <w:rPr>
                <w:rFonts w:ascii="宋体" w:hAnsi="宋体"/>
                <w:color w:val="auto"/>
                <w:szCs w:val="21"/>
                <w:highlight w:val="none"/>
              </w:rPr>
            </w:pPr>
            <w:r>
              <w:rPr>
                <w:rFonts w:hint="eastAsia" w:ascii="宋体" w:hAnsi="宋体"/>
                <w:color w:val="auto"/>
                <w:szCs w:val="21"/>
                <w:highlight w:val="none"/>
              </w:rPr>
              <w:t>13</w:t>
            </w:r>
          </w:p>
        </w:tc>
        <w:tc>
          <w:tcPr>
            <w:tcW w:w="7579" w:type="dxa"/>
            <w:vAlign w:val="center"/>
          </w:tcPr>
          <w:p w14:paraId="6D979D00">
            <w:pPr>
              <w:spacing w:line="380" w:lineRule="exact"/>
              <w:rPr>
                <w:rFonts w:ascii="宋体" w:hAnsi="宋体"/>
                <w:color w:val="auto"/>
                <w:szCs w:val="21"/>
                <w:highlight w:val="none"/>
              </w:rPr>
            </w:pPr>
            <w:r>
              <w:rPr>
                <w:rFonts w:hint="eastAsia" w:ascii="宋体" w:hAnsi="宋体"/>
                <w:color w:val="auto"/>
                <w:szCs w:val="21"/>
                <w:highlight w:val="none"/>
              </w:rPr>
              <w:t>磋商报价要求：</w:t>
            </w:r>
          </w:p>
          <w:p w14:paraId="46F375E5">
            <w:pPr>
              <w:spacing w:line="380" w:lineRule="exact"/>
              <w:rPr>
                <w:rFonts w:ascii="宋体" w:hAnsi="宋体"/>
                <w:color w:val="auto"/>
                <w:szCs w:val="21"/>
                <w:highlight w:val="none"/>
              </w:rPr>
            </w:pPr>
            <w:r>
              <w:rPr>
                <w:rFonts w:hint="eastAsia" w:ascii="宋体" w:hAnsi="宋体"/>
                <w:color w:val="auto"/>
                <w:szCs w:val="21"/>
                <w:highlight w:val="none"/>
              </w:rPr>
              <w:t>1.磋商报价：供应商必须就所磋商项目的全部内容作完整唯一报价，漏项报价的或有选择的或有条件的报价，其磋商将视为无效。</w:t>
            </w:r>
          </w:p>
          <w:p w14:paraId="2F91F9C3">
            <w:pPr>
              <w:spacing w:line="380" w:lineRule="exact"/>
              <w:rPr>
                <w:rFonts w:ascii="宋体" w:hAnsi="宋体"/>
                <w:color w:val="auto"/>
                <w:szCs w:val="21"/>
                <w:highlight w:val="none"/>
              </w:rPr>
            </w:pPr>
            <w:r>
              <w:rPr>
                <w:rFonts w:hint="eastAsia" w:ascii="宋体" w:hAnsi="宋体"/>
                <w:color w:val="auto"/>
                <w:szCs w:val="21"/>
                <w:highlight w:val="none"/>
              </w:rPr>
              <w:t>2.成交供应商负责本项目所需服务的全部工作。</w:t>
            </w:r>
          </w:p>
        </w:tc>
      </w:tr>
      <w:tr w14:paraId="0DFA3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35224C2">
            <w:pPr>
              <w:spacing w:line="38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1271" w:type="dxa"/>
            <w:vAlign w:val="center"/>
          </w:tcPr>
          <w:p w14:paraId="4DAAEF9D">
            <w:pPr>
              <w:spacing w:line="380" w:lineRule="exact"/>
              <w:jc w:val="center"/>
              <w:rPr>
                <w:rFonts w:ascii="宋体" w:hAnsi="宋体"/>
                <w:color w:val="auto"/>
                <w:szCs w:val="21"/>
                <w:highlight w:val="none"/>
              </w:rPr>
            </w:pPr>
            <w:r>
              <w:rPr>
                <w:rFonts w:hint="eastAsia" w:ascii="宋体" w:hAnsi="宋体"/>
                <w:color w:val="auto"/>
                <w:szCs w:val="21"/>
                <w:highlight w:val="none"/>
              </w:rPr>
              <w:t>14</w:t>
            </w:r>
          </w:p>
        </w:tc>
        <w:tc>
          <w:tcPr>
            <w:tcW w:w="7579" w:type="dxa"/>
            <w:vAlign w:val="center"/>
          </w:tcPr>
          <w:p w14:paraId="505C2857">
            <w:pPr>
              <w:spacing w:line="420" w:lineRule="exact"/>
              <w:rPr>
                <w:rFonts w:ascii="宋体" w:hAnsi="宋体"/>
                <w:b/>
                <w:color w:val="auto"/>
                <w:szCs w:val="21"/>
                <w:highlight w:val="none"/>
              </w:rPr>
            </w:pPr>
            <w:r>
              <w:rPr>
                <w:rFonts w:hint="eastAsia" w:ascii="宋体" w:hAnsi="宋体" w:cs="宋体"/>
                <w:b/>
                <w:color w:val="auto"/>
                <w:szCs w:val="21"/>
                <w:highlight w:val="none"/>
              </w:rPr>
              <w:t>响应文件的递交和解密</w:t>
            </w:r>
          </w:p>
          <w:p w14:paraId="7CD1C12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w:t>
            </w:r>
            <w:r>
              <w:rPr>
                <w:rFonts w:hint="eastAsia" w:ascii="宋体" w:hAnsi="宋体"/>
                <w:color w:val="auto"/>
                <w:szCs w:val="21"/>
                <w:highlight w:val="none"/>
              </w:rPr>
              <w:t>响应文件提交截止时间：于</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13</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时00分</w:t>
            </w:r>
            <w:r>
              <w:rPr>
                <w:rFonts w:hint="eastAsia" w:ascii="宋体" w:hAnsi="宋体" w:cs="宋体"/>
                <w:color w:val="auto"/>
                <w:szCs w:val="21"/>
                <w:highlight w:val="none"/>
              </w:rPr>
              <w:t>之前将电子响应文件上传到</w:t>
            </w:r>
            <w:r>
              <w:rPr>
                <w:rFonts w:hint="eastAsia" w:ascii="宋体" w:hAnsi="宋体" w:eastAsia="宋体" w:cs="宋体"/>
                <w:i w:val="0"/>
                <w:iCs w:val="0"/>
                <w:caps w:val="0"/>
                <w:color w:val="auto"/>
                <w:spacing w:val="0"/>
                <w:sz w:val="21"/>
                <w:szCs w:val="21"/>
                <w:highlight w:val="none"/>
                <w:shd w:val="clear" w:fill="FFFFFF"/>
              </w:rPr>
              <w:t>广西政府采购云</w:t>
            </w:r>
            <w:r>
              <w:rPr>
                <w:rFonts w:hint="eastAsia" w:ascii="宋体" w:hAnsi="宋体" w:cs="宋体"/>
                <w:color w:val="auto"/>
                <w:szCs w:val="21"/>
                <w:highlight w:val="none"/>
              </w:rPr>
              <w:t>平台</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供应商在广西政府采购云平台提交电子版响应文件时，请填写参加远程开标活动经办人联系方式</w:t>
            </w:r>
            <w:r>
              <w:rPr>
                <w:rFonts w:hint="eastAsia" w:ascii="宋体" w:hAnsi="宋体" w:cs="宋体"/>
                <w:b/>
                <w:bCs/>
                <w:color w:val="auto"/>
                <w:szCs w:val="21"/>
                <w:highlight w:val="none"/>
              </w:rPr>
              <w:t>。</w:t>
            </w:r>
            <w:r>
              <w:rPr>
                <w:rFonts w:hint="eastAsia" w:ascii="宋体" w:hAnsi="宋体" w:cs="宋体"/>
                <w:color w:val="auto"/>
                <w:szCs w:val="21"/>
                <w:highlight w:val="none"/>
              </w:rPr>
              <w:t>应按照本项目采购文件和</w:t>
            </w:r>
            <w:r>
              <w:rPr>
                <w:rFonts w:hint="eastAsia" w:ascii="宋体" w:hAnsi="宋体" w:eastAsia="宋体" w:cs="宋体"/>
                <w:i w:val="0"/>
                <w:iCs w:val="0"/>
                <w:caps w:val="0"/>
                <w:color w:val="auto"/>
                <w:spacing w:val="0"/>
                <w:sz w:val="21"/>
                <w:szCs w:val="21"/>
                <w:highlight w:val="none"/>
                <w:shd w:val="clear" w:fill="FFFFFF"/>
              </w:rPr>
              <w:t>广西政府采购云</w:t>
            </w:r>
            <w:r>
              <w:rPr>
                <w:rFonts w:hint="eastAsia" w:ascii="宋体" w:hAnsi="宋体" w:cs="宋体"/>
                <w:color w:val="auto"/>
                <w:szCs w:val="21"/>
                <w:highlight w:val="none"/>
              </w:rPr>
              <w:t>平台的要求编制、加密传输响应文件。供应商在使用系统进行投标的过程中遇到涉及平台使用的任何问题，可致电</w:t>
            </w:r>
            <w:r>
              <w:rPr>
                <w:rFonts w:hint="eastAsia" w:ascii="宋体" w:hAnsi="宋体" w:eastAsia="宋体" w:cs="宋体"/>
                <w:i w:val="0"/>
                <w:iCs w:val="0"/>
                <w:caps w:val="0"/>
                <w:color w:val="auto"/>
                <w:spacing w:val="0"/>
                <w:sz w:val="21"/>
                <w:szCs w:val="21"/>
                <w:highlight w:val="none"/>
                <w:shd w:val="clear" w:fill="FFFFFF"/>
              </w:rPr>
              <w:t>广西政府采购云</w:t>
            </w:r>
            <w:r>
              <w:rPr>
                <w:rFonts w:hint="eastAsia" w:ascii="宋体" w:hAnsi="宋体" w:cs="宋体"/>
                <w:color w:val="auto"/>
                <w:szCs w:val="21"/>
                <w:highlight w:val="none"/>
              </w:rPr>
              <w:t>平台技术支持热线咨询，联系方式：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p w14:paraId="444469B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14.2响应文件解密时间：截标时间后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13</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时00</w:t>
            </w:r>
            <w:r>
              <w:rPr>
                <w:rFonts w:hint="eastAsia" w:ascii="宋体" w:hAnsi="宋体" w:cs="宋体"/>
                <w:color w:val="auto"/>
                <w:szCs w:val="21"/>
                <w:highlight w:val="none"/>
                <w:u w:val="single"/>
                <w:lang w:eastAsia="zh-CN"/>
              </w:rPr>
              <w:t>分</w:t>
            </w:r>
            <w:r>
              <w:rPr>
                <w:rFonts w:hint="eastAsia" w:ascii="宋体" w:hAnsi="宋体" w:cs="宋体"/>
                <w:bCs/>
                <w:color w:val="auto"/>
                <w:kern w:val="0"/>
                <w:szCs w:val="21"/>
                <w:highlight w:val="none"/>
                <w:u w:val="single"/>
              </w:rPr>
              <w:t>至</w:t>
            </w:r>
            <w:r>
              <w:rPr>
                <w:rFonts w:hint="eastAsia" w:ascii="宋体" w:hAnsi="宋体" w:cs="宋体"/>
                <w:bCs/>
                <w:color w:val="auto"/>
                <w:kern w:val="0"/>
                <w:szCs w:val="21"/>
                <w:highlight w:val="none"/>
                <w:u w:val="single"/>
                <w:lang w:val="en-US" w:eastAsia="zh-CN"/>
              </w:rPr>
              <w:t>9</w:t>
            </w:r>
            <w:r>
              <w:rPr>
                <w:rFonts w:hint="eastAsia" w:ascii="宋体" w:hAnsi="宋体" w:cs="宋体"/>
                <w:bCs/>
                <w:color w:val="auto"/>
                <w:kern w:val="0"/>
                <w:szCs w:val="21"/>
                <w:highlight w:val="none"/>
                <w:u w:val="single"/>
              </w:rPr>
              <w:t>时</w:t>
            </w:r>
            <w:r>
              <w:rPr>
                <w:rFonts w:hint="eastAsia" w:ascii="宋体" w:hAnsi="宋体" w:cs="宋体"/>
                <w:bCs/>
                <w:color w:val="auto"/>
                <w:kern w:val="0"/>
                <w:szCs w:val="21"/>
                <w:highlight w:val="none"/>
                <w:u w:val="single"/>
                <w:lang w:val="en-US" w:eastAsia="zh-CN"/>
              </w:rPr>
              <w:t>30</w:t>
            </w:r>
            <w:r>
              <w:rPr>
                <w:rFonts w:hint="eastAsia" w:ascii="宋体" w:hAnsi="宋体" w:cs="宋体"/>
                <w:bCs/>
                <w:color w:val="auto"/>
                <w:kern w:val="0"/>
                <w:szCs w:val="21"/>
                <w:highlight w:val="none"/>
                <w:u w:val="single"/>
              </w:rPr>
              <w:t>分)</w:t>
            </w:r>
            <w:r>
              <w:rPr>
                <w:rFonts w:hint="eastAsia" w:ascii="宋体" w:hAnsi="宋体" w:cs="宋体"/>
                <w:color w:val="auto"/>
                <w:szCs w:val="21"/>
                <w:highlight w:val="none"/>
              </w:rPr>
              <w:t>供应商可以登录</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平台，用“项目采购-开标评标”功能进行解密响应文件。若供应商在规定时间内无法解密或解密失败，可以以电子备份响应文件作为依据</w:t>
            </w:r>
            <w:r>
              <w:rPr>
                <w:rFonts w:hint="eastAsia" w:ascii="宋体" w:hAnsi="宋体" w:cs="宋体"/>
                <w:b/>
                <w:bCs/>
                <w:color w:val="auto"/>
                <w:szCs w:val="21"/>
                <w:highlight w:val="none"/>
              </w:rPr>
              <w:t>【在接到无法解密或解密失败的通知后，供应商可根据自身实际情况按通知时要求的时间到</w:t>
            </w:r>
            <w:r>
              <w:rPr>
                <w:rFonts w:hint="eastAsia" w:ascii="宋体" w:hAnsi="宋体" w:cs="宋体"/>
                <w:b/>
                <w:bCs/>
                <w:color w:val="auto"/>
                <w:szCs w:val="21"/>
                <w:highlight w:val="none"/>
                <w:lang w:val="en-US" w:eastAsia="zh-CN"/>
              </w:rPr>
              <w:t>广西翔正项目管理有限公司（贺州市太安巷56号）</w:t>
            </w:r>
            <w:r>
              <w:rPr>
                <w:rFonts w:hint="eastAsia" w:ascii="宋体" w:hAnsi="宋体" w:cs="宋体"/>
                <w:b/>
                <w:bCs/>
                <w:color w:val="auto"/>
                <w:szCs w:val="21"/>
                <w:highlight w:val="none"/>
              </w:rPr>
              <w:t>现场提交或以电子邮件的形式（以通知时所告知的电子邮箱地址为准）提交电子备份响应文件】</w:t>
            </w:r>
            <w:r>
              <w:rPr>
                <w:rFonts w:hint="eastAsia" w:ascii="宋体" w:hAnsi="宋体" w:cs="宋体"/>
                <w:color w:val="auto"/>
                <w:szCs w:val="21"/>
                <w:highlight w:val="none"/>
              </w:rPr>
              <w:t>，若电子备份响应文件与</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上传的电子响应文件被识别为不一致的，以电子备份响应文件作为评审依据；供应商按时在线解密响应文件的，以在线解密的响应文件作为评审依据。若供应商在规定时间内无法解密或解密失败且未提供电子备份响应文件的(包含提供的电子备份文件无效或无法解密的情况)，视为投标无效。</w:t>
            </w:r>
          </w:p>
          <w:p w14:paraId="056F874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14.3 除采购文件另有规定外，供应商所递交的响应文件不予退还。</w:t>
            </w:r>
          </w:p>
          <w:p w14:paraId="523062E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14.4 电子响应文件的相关说明</w:t>
            </w:r>
          </w:p>
          <w:p w14:paraId="2260783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供应商进行电子投标应安装客户端软件，并按照采购文件和电子交易平台的要求编制并加密响应文件。供应商未按规定加密的响应文件，电子交易平台将拒收。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电子交易平台将拒收。 </w:t>
            </w:r>
          </w:p>
          <w:p w14:paraId="6C6DAA7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tc>
      </w:tr>
      <w:tr w14:paraId="17036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2A066A1">
            <w:pPr>
              <w:spacing w:line="38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1271" w:type="dxa"/>
            <w:vAlign w:val="center"/>
          </w:tcPr>
          <w:p w14:paraId="3DD4D039">
            <w:pPr>
              <w:spacing w:line="380" w:lineRule="exact"/>
              <w:jc w:val="center"/>
              <w:rPr>
                <w:rFonts w:ascii="宋体" w:hAnsi="宋体"/>
                <w:color w:val="auto"/>
                <w:szCs w:val="21"/>
                <w:highlight w:val="none"/>
              </w:rPr>
            </w:pPr>
            <w:r>
              <w:rPr>
                <w:rFonts w:hint="eastAsia" w:ascii="宋体" w:hAnsi="宋体"/>
                <w:color w:val="auto"/>
                <w:szCs w:val="21"/>
                <w:highlight w:val="none"/>
              </w:rPr>
              <w:t>15</w:t>
            </w:r>
            <w:r>
              <w:rPr>
                <w:rFonts w:ascii="宋体" w:hAnsi="宋体"/>
                <w:color w:val="auto"/>
                <w:szCs w:val="21"/>
                <w:highlight w:val="none"/>
              </w:rPr>
              <w:t>.1</w:t>
            </w:r>
          </w:p>
        </w:tc>
        <w:tc>
          <w:tcPr>
            <w:tcW w:w="7579" w:type="dxa"/>
            <w:vAlign w:val="center"/>
          </w:tcPr>
          <w:p w14:paraId="1956D1C2">
            <w:pPr>
              <w:spacing w:line="380" w:lineRule="exact"/>
              <w:rPr>
                <w:rFonts w:ascii="宋体" w:hAnsi="宋体"/>
                <w:color w:val="auto"/>
                <w:szCs w:val="21"/>
                <w:highlight w:val="none"/>
              </w:rPr>
            </w:pPr>
            <w:r>
              <w:rPr>
                <w:rFonts w:hint="eastAsia" w:ascii="宋体" w:hAnsi="宋体"/>
                <w:color w:val="auto"/>
                <w:szCs w:val="21"/>
                <w:highlight w:val="none"/>
              </w:rPr>
              <w:t>参与电子投标的准备工作：</w:t>
            </w:r>
          </w:p>
          <w:p w14:paraId="10309BB9">
            <w:pPr>
              <w:spacing w:line="380" w:lineRule="exact"/>
              <w:rPr>
                <w:rFonts w:ascii="宋体" w:hAnsi="宋体"/>
                <w:color w:val="auto"/>
                <w:szCs w:val="21"/>
                <w:highlight w:val="none"/>
              </w:rPr>
            </w:pPr>
            <w:r>
              <w:rPr>
                <w:rFonts w:hint="eastAsia" w:ascii="宋体" w:hAnsi="宋体"/>
                <w:color w:val="auto"/>
                <w:szCs w:val="21"/>
                <w:highlight w:val="none"/>
              </w:rPr>
              <w:t>15.1.1本项目实行全流程电子化采购，供应商通过</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平台参与电子投标，并应做好以下相关准备工作：①在</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注册成为正式供应商（操作方法详见广西政府采购网—办事服务—办事指南）；②完成CA证书申领和绑定（费用由供应商自行承担，办理流程详见广西政府采购网—办事服务—下载专区，完成CA证书办理预计一周左右，建议供应商尽快办理）；③下载“广西壮族自治区全流程电子招投标项目管理系统--供应商客户端”（操作方法详见广西政府采购网—办事服务—下载专区，以下称“</w:t>
            </w:r>
            <w:r>
              <w:rPr>
                <w:rFonts w:hint="eastAsia" w:ascii="宋体" w:hAnsi="宋体" w:eastAsia="宋体" w:cs="宋体"/>
                <w:i w:val="0"/>
                <w:iCs w:val="0"/>
                <w:caps w:val="0"/>
                <w:color w:val="auto"/>
                <w:spacing w:val="0"/>
                <w:sz w:val="21"/>
                <w:szCs w:val="21"/>
                <w:highlight w:val="none"/>
                <w:shd w:val="clear" w:fill="FFFFFF"/>
                <w:lang w:eastAsia="zh-CN"/>
              </w:rPr>
              <w:t>广西政府采购云平台新版客户端</w:t>
            </w:r>
            <w:r>
              <w:rPr>
                <w:rFonts w:hint="eastAsia" w:ascii="宋体" w:hAnsi="宋体"/>
                <w:color w:val="auto"/>
                <w:szCs w:val="21"/>
                <w:highlight w:val="none"/>
              </w:rPr>
              <w:t>”）并安装成功，供应商应当在提交响应文件截止时间前在</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平台完成的身份认证，确保能够对相关数据电文进行加密和使用电子签章；④自备计算机和网络设备并确保能接入互联网（费用由供应商自行承担，设备确保可进行视频通话和读取</w:t>
            </w:r>
            <w:r>
              <w:rPr>
                <w:rFonts w:hint="eastAsia" w:ascii="宋体" w:hAnsi="宋体"/>
                <w:color w:val="auto"/>
                <w:szCs w:val="21"/>
                <w:highlight w:val="none"/>
                <w:lang w:eastAsia="zh-CN"/>
              </w:rPr>
              <w:t>广西政府采购云</w:t>
            </w:r>
            <w:r>
              <w:rPr>
                <w:rFonts w:hint="eastAsia" w:ascii="宋体" w:hAnsi="宋体"/>
                <w:color w:val="auto"/>
                <w:szCs w:val="21"/>
                <w:highlight w:val="none"/>
              </w:rPr>
              <w:t>CA证书）。因供应商未做好相关准备工作等自身原因导致无法参加本项目电子投标或投标失败的，造成的一切后果，由供应商自行承担。</w:t>
            </w:r>
          </w:p>
          <w:p w14:paraId="470B54B9">
            <w:pPr>
              <w:wordWrap w:val="0"/>
              <w:spacing w:line="380" w:lineRule="exact"/>
              <w:rPr>
                <w:rFonts w:ascii="宋体" w:hAnsi="宋体"/>
                <w:color w:val="auto"/>
                <w:szCs w:val="21"/>
                <w:highlight w:val="none"/>
              </w:rPr>
            </w:pPr>
            <w:r>
              <w:rPr>
                <w:rFonts w:hint="eastAsia" w:ascii="宋体" w:hAnsi="宋体"/>
                <w:color w:val="auto"/>
                <w:szCs w:val="21"/>
                <w:highlight w:val="none"/>
              </w:rPr>
              <w:t>15.1.2供应商应及时熟悉掌握电子标系统操作指南（见</w:t>
            </w:r>
            <w:r>
              <w:rPr>
                <w:rFonts w:hint="eastAsia" w:ascii="宋体" w:hAnsi="宋体"/>
                <w:color w:val="auto"/>
                <w:szCs w:val="21"/>
                <w:highlight w:val="none"/>
                <w:lang w:eastAsia="zh-CN"/>
              </w:rPr>
              <w:t>广西政府采购云</w:t>
            </w:r>
            <w:r>
              <w:rPr>
                <w:rFonts w:hint="eastAsia" w:ascii="宋体" w:hAnsi="宋体"/>
                <w:color w:val="auto"/>
                <w:szCs w:val="21"/>
                <w:highlight w:val="none"/>
              </w:rPr>
              <w:t>电子卖场首页右上角—服务中心—帮助文档—项目采购）：https://service.zcygov.cn/#/knowledges/tree?tag=AG1DtGwBFdiHxlNdhY0r。如遇平台技术问题详询</w:t>
            </w:r>
            <w:r>
              <w:rPr>
                <w:rFonts w:hint="eastAsia" w:ascii="宋体" w:hAnsi="宋体"/>
                <w:color w:val="auto"/>
                <w:szCs w:val="21"/>
                <w:highlight w:val="none"/>
                <w:lang w:eastAsia="zh-CN"/>
              </w:rPr>
              <w:t>95763</w:t>
            </w:r>
            <w:r>
              <w:rPr>
                <w:rFonts w:hint="eastAsia" w:ascii="宋体" w:hAnsi="宋体"/>
                <w:color w:val="auto"/>
                <w:szCs w:val="21"/>
                <w:highlight w:val="none"/>
              </w:rPr>
              <w:t>。</w:t>
            </w:r>
          </w:p>
        </w:tc>
      </w:tr>
      <w:tr w14:paraId="04D14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4A0E90D">
            <w:pPr>
              <w:spacing w:line="38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1271" w:type="dxa"/>
            <w:vAlign w:val="center"/>
          </w:tcPr>
          <w:p w14:paraId="1AF89CDD">
            <w:pPr>
              <w:spacing w:line="380" w:lineRule="exact"/>
              <w:jc w:val="center"/>
              <w:rPr>
                <w:rFonts w:ascii="宋体" w:hAnsi="宋体"/>
                <w:color w:val="auto"/>
                <w:szCs w:val="21"/>
                <w:highlight w:val="none"/>
              </w:rPr>
            </w:pPr>
            <w:r>
              <w:rPr>
                <w:rFonts w:hint="eastAsia" w:ascii="宋体" w:hAnsi="宋体"/>
                <w:color w:val="auto"/>
                <w:szCs w:val="21"/>
                <w:highlight w:val="none"/>
              </w:rPr>
              <w:t>15</w:t>
            </w:r>
            <w:r>
              <w:rPr>
                <w:rFonts w:ascii="宋体" w:hAnsi="宋体"/>
                <w:color w:val="auto"/>
                <w:szCs w:val="21"/>
                <w:highlight w:val="none"/>
              </w:rPr>
              <w:t>.</w:t>
            </w:r>
            <w:r>
              <w:rPr>
                <w:rFonts w:hint="eastAsia" w:ascii="宋体" w:hAnsi="宋体"/>
                <w:color w:val="auto"/>
                <w:szCs w:val="21"/>
                <w:highlight w:val="none"/>
              </w:rPr>
              <w:t>2</w:t>
            </w:r>
          </w:p>
        </w:tc>
        <w:tc>
          <w:tcPr>
            <w:tcW w:w="7579" w:type="dxa"/>
            <w:vAlign w:val="center"/>
          </w:tcPr>
          <w:p w14:paraId="7AFDE900">
            <w:pPr>
              <w:spacing w:line="380" w:lineRule="exact"/>
              <w:rPr>
                <w:rFonts w:ascii="宋体" w:hAnsi="宋体"/>
                <w:color w:val="auto"/>
                <w:szCs w:val="21"/>
                <w:highlight w:val="none"/>
              </w:rPr>
            </w:pPr>
            <w:r>
              <w:rPr>
                <w:rFonts w:hint="eastAsia" w:ascii="宋体" w:hAnsi="宋体"/>
                <w:color w:val="auto"/>
                <w:szCs w:val="21"/>
                <w:highlight w:val="none"/>
              </w:rPr>
              <w:t>电子响应文件的制作、加密</w:t>
            </w:r>
          </w:p>
          <w:p w14:paraId="6790888B">
            <w:pPr>
              <w:spacing w:line="380" w:lineRule="exact"/>
              <w:rPr>
                <w:rFonts w:ascii="宋体" w:hAnsi="宋体"/>
                <w:color w:val="auto"/>
                <w:szCs w:val="21"/>
                <w:highlight w:val="none"/>
              </w:rPr>
            </w:pPr>
            <w:r>
              <w:rPr>
                <w:rFonts w:hint="eastAsia" w:ascii="宋体" w:hAnsi="宋体"/>
                <w:color w:val="auto"/>
                <w:szCs w:val="21"/>
                <w:highlight w:val="none"/>
              </w:rPr>
              <w:t>15.2.1供应商制作电子响应文件前，必须</w:t>
            </w:r>
            <w:r>
              <w:rPr>
                <w:rFonts w:hint="eastAsia" w:ascii="宋体" w:hAnsi="宋体"/>
                <w:color w:val="auto"/>
                <w:szCs w:val="21"/>
                <w:highlight w:val="none"/>
                <w:lang w:eastAsia="zh-CN"/>
              </w:rPr>
              <w:t>登录广西政府采购云</w:t>
            </w:r>
            <w:r>
              <w:rPr>
                <w:rFonts w:hint="eastAsia" w:ascii="宋体" w:hAnsi="宋体"/>
                <w:color w:val="auto"/>
                <w:szCs w:val="21"/>
                <w:highlight w:val="none"/>
              </w:rPr>
              <w:t>平台进行采购文件的获取操作。</w:t>
            </w:r>
          </w:p>
          <w:p w14:paraId="3579FC57">
            <w:pPr>
              <w:spacing w:line="380" w:lineRule="exact"/>
              <w:rPr>
                <w:rFonts w:ascii="宋体" w:hAnsi="宋体"/>
                <w:color w:val="auto"/>
                <w:szCs w:val="21"/>
                <w:highlight w:val="none"/>
              </w:rPr>
            </w:pPr>
            <w:r>
              <w:rPr>
                <w:rFonts w:hint="eastAsia" w:ascii="宋体" w:hAnsi="宋体"/>
                <w:color w:val="auto"/>
                <w:szCs w:val="21"/>
                <w:highlight w:val="none"/>
              </w:rPr>
              <w:t>15.2.2供应商下载或获取采购文件后，登录“</w:t>
            </w:r>
            <w:r>
              <w:rPr>
                <w:rFonts w:hint="eastAsia" w:ascii="宋体" w:hAnsi="宋体" w:eastAsia="宋体" w:cs="宋体"/>
                <w:i w:val="0"/>
                <w:iCs w:val="0"/>
                <w:caps w:val="0"/>
                <w:color w:val="auto"/>
                <w:spacing w:val="0"/>
                <w:sz w:val="21"/>
                <w:szCs w:val="21"/>
                <w:highlight w:val="none"/>
                <w:shd w:val="clear" w:fill="FFFFFF"/>
                <w:lang w:eastAsia="zh-CN"/>
              </w:rPr>
              <w:t>广西政府采购云平台新版客户端</w:t>
            </w:r>
            <w:r>
              <w:rPr>
                <w:rFonts w:hint="eastAsia" w:ascii="宋体" w:hAnsi="宋体"/>
                <w:color w:val="auto"/>
                <w:szCs w:val="21"/>
                <w:highlight w:val="none"/>
              </w:rPr>
              <w:t>”，按照本采购文件规定的响应文件格式、顺序以及</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平台的要求，通过“</w:t>
            </w:r>
            <w:r>
              <w:rPr>
                <w:rFonts w:hint="eastAsia" w:ascii="宋体" w:hAnsi="宋体" w:eastAsia="宋体" w:cs="宋体"/>
                <w:i w:val="0"/>
                <w:iCs w:val="0"/>
                <w:caps w:val="0"/>
                <w:color w:val="auto"/>
                <w:spacing w:val="0"/>
                <w:sz w:val="21"/>
                <w:szCs w:val="21"/>
                <w:highlight w:val="none"/>
                <w:shd w:val="clear" w:fill="FFFFFF"/>
                <w:lang w:eastAsia="zh-CN"/>
              </w:rPr>
              <w:t>广西政府采购云平台新版客户端</w:t>
            </w:r>
            <w:r>
              <w:rPr>
                <w:rFonts w:hint="eastAsia" w:ascii="宋体" w:hAnsi="宋体"/>
                <w:color w:val="auto"/>
                <w:szCs w:val="21"/>
                <w:highlight w:val="none"/>
              </w:rPr>
              <w:t>”编制电子响应文件。</w:t>
            </w:r>
          </w:p>
          <w:p w14:paraId="47014620">
            <w:pPr>
              <w:spacing w:line="380" w:lineRule="exact"/>
              <w:rPr>
                <w:rFonts w:ascii="宋体" w:hAnsi="宋体"/>
                <w:color w:val="auto"/>
                <w:szCs w:val="21"/>
                <w:highlight w:val="none"/>
              </w:rPr>
            </w:pPr>
            <w:r>
              <w:rPr>
                <w:rFonts w:hint="eastAsia" w:ascii="宋体" w:hAnsi="宋体"/>
                <w:color w:val="auto"/>
                <w:szCs w:val="21"/>
                <w:highlight w:val="none"/>
              </w:rPr>
              <w:t>15.2.3供应商应按“</w:t>
            </w:r>
            <w:r>
              <w:rPr>
                <w:rFonts w:hint="eastAsia" w:ascii="宋体" w:hAnsi="宋体" w:eastAsia="宋体" w:cs="宋体"/>
                <w:i w:val="0"/>
                <w:iCs w:val="0"/>
                <w:caps w:val="0"/>
                <w:color w:val="auto"/>
                <w:spacing w:val="0"/>
                <w:sz w:val="21"/>
                <w:szCs w:val="21"/>
                <w:highlight w:val="none"/>
                <w:shd w:val="clear" w:fill="FFFFFF"/>
                <w:lang w:eastAsia="zh-CN"/>
              </w:rPr>
              <w:t>广西政府采购云平台新版客户端</w:t>
            </w:r>
            <w:r>
              <w:rPr>
                <w:rFonts w:hint="eastAsia" w:ascii="宋体" w:hAnsi="宋体"/>
                <w:color w:val="auto"/>
                <w:szCs w:val="21"/>
                <w:highlight w:val="none"/>
              </w:rPr>
              <w:t>”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6D8FFDF8">
            <w:pPr>
              <w:spacing w:line="380" w:lineRule="exact"/>
              <w:rPr>
                <w:rFonts w:ascii="宋体" w:hAnsi="宋体"/>
                <w:color w:val="auto"/>
                <w:szCs w:val="21"/>
                <w:highlight w:val="none"/>
              </w:rPr>
            </w:pPr>
            <w:r>
              <w:rPr>
                <w:rFonts w:hint="eastAsia" w:ascii="宋体" w:hAnsi="宋体"/>
                <w:color w:val="auto"/>
                <w:szCs w:val="21"/>
                <w:highlight w:val="none"/>
              </w:rPr>
              <w:t>15.2.4电子响应文件不得涂改，若有修改错漏处，须由法定代表人或授权委托代理人通过“</w:t>
            </w:r>
            <w:r>
              <w:rPr>
                <w:rFonts w:hint="eastAsia" w:ascii="宋体" w:hAnsi="宋体" w:eastAsia="宋体" w:cs="宋体"/>
                <w:i w:val="0"/>
                <w:iCs w:val="0"/>
                <w:caps w:val="0"/>
                <w:color w:val="auto"/>
                <w:spacing w:val="0"/>
                <w:sz w:val="21"/>
                <w:szCs w:val="21"/>
                <w:highlight w:val="none"/>
                <w:shd w:val="clear" w:fill="FFFFFF"/>
                <w:lang w:eastAsia="zh-CN"/>
              </w:rPr>
              <w:t>广西政府采购云平台新版客户端</w:t>
            </w:r>
            <w:r>
              <w:rPr>
                <w:rFonts w:hint="eastAsia" w:ascii="宋体" w:hAnsi="宋体"/>
                <w:color w:val="auto"/>
                <w:szCs w:val="21"/>
                <w:highlight w:val="none"/>
              </w:rPr>
              <w:t>”采用</w:t>
            </w:r>
            <w:r>
              <w:rPr>
                <w:rFonts w:hint="eastAsia" w:ascii="宋体" w:hAnsi="宋体"/>
                <w:color w:val="auto"/>
                <w:szCs w:val="21"/>
                <w:highlight w:val="none"/>
                <w:lang w:eastAsia="zh-CN"/>
              </w:rPr>
              <w:t>广西政府采购云</w:t>
            </w:r>
            <w:r>
              <w:rPr>
                <w:rFonts w:hint="eastAsia" w:ascii="宋体" w:hAnsi="宋体"/>
                <w:color w:val="auto"/>
                <w:szCs w:val="21"/>
                <w:highlight w:val="none"/>
              </w:rPr>
              <w:t>个人CA证书签章，没有办理</w:t>
            </w:r>
            <w:r>
              <w:rPr>
                <w:rFonts w:hint="eastAsia" w:ascii="宋体" w:hAnsi="宋体"/>
                <w:color w:val="auto"/>
                <w:szCs w:val="21"/>
                <w:highlight w:val="none"/>
                <w:lang w:eastAsia="zh-CN"/>
              </w:rPr>
              <w:t>广西政府采购云</w:t>
            </w:r>
            <w:r>
              <w:rPr>
                <w:rFonts w:hint="eastAsia" w:ascii="宋体" w:hAnsi="宋体"/>
                <w:color w:val="auto"/>
                <w:szCs w:val="21"/>
                <w:highlight w:val="none"/>
              </w:rPr>
              <w:t>个人CA证书签章的，在响应文件中响应位置手写签字后扫描或者拍照做成 PDF 的格式上传。因响应文件字迹潦草、表达不清、内容不完整、编排混乱导致响应文件被误读、漏读，或者在按采购文件规定的部位查找不到相关内容的，其不利后果由供应商自行承担。</w:t>
            </w:r>
          </w:p>
          <w:p w14:paraId="7AD038BE">
            <w:pPr>
              <w:spacing w:line="380" w:lineRule="exact"/>
              <w:rPr>
                <w:rFonts w:ascii="宋体" w:hAnsi="宋体"/>
                <w:color w:val="auto"/>
                <w:szCs w:val="21"/>
                <w:highlight w:val="none"/>
              </w:rPr>
            </w:pPr>
            <w:r>
              <w:rPr>
                <w:rFonts w:hint="eastAsia" w:ascii="宋体" w:hAnsi="宋体"/>
                <w:color w:val="auto"/>
                <w:szCs w:val="21"/>
                <w:highlight w:val="none"/>
              </w:rPr>
              <w:t>15.2.5供应商编制、生成电子响应文件后应当加密响应文件。供应商未按规定编制并加密的响应文件，</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平台将予以拒收。</w:t>
            </w:r>
          </w:p>
        </w:tc>
      </w:tr>
      <w:tr w14:paraId="5D9C2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7" w:type="dxa"/>
            <w:vAlign w:val="center"/>
          </w:tcPr>
          <w:p w14:paraId="2A7F31AD">
            <w:pPr>
              <w:spacing w:line="38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1271" w:type="dxa"/>
            <w:vAlign w:val="center"/>
          </w:tcPr>
          <w:p w14:paraId="7241D3D2">
            <w:pPr>
              <w:spacing w:line="380" w:lineRule="exact"/>
              <w:jc w:val="center"/>
              <w:rPr>
                <w:rFonts w:ascii="宋体" w:hAnsi="宋体"/>
                <w:color w:val="auto"/>
                <w:szCs w:val="21"/>
                <w:highlight w:val="none"/>
              </w:rPr>
            </w:pPr>
            <w:r>
              <w:rPr>
                <w:rFonts w:hint="eastAsia" w:ascii="宋体" w:hAnsi="宋体"/>
                <w:color w:val="auto"/>
                <w:szCs w:val="21"/>
                <w:highlight w:val="none"/>
              </w:rPr>
              <w:t>15.3</w:t>
            </w:r>
          </w:p>
        </w:tc>
        <w:tc>
          <w:tcPr>
            <w:tcW w:w="7579" w:type="dxa"/>
            <w:vAlign w:val="center"/>
          </w:tcPr>
          <w:p w14:paraId="53C283EE">
            <w:pPr>
              <w:spacing w:line="380" w:lineRule="exact"/>
              <w:rPr>
                <w:rFonts w:ascii="宋体" w:hAnsi="宋体"/>
                <w:color w:val="auto"/>
                <w:highlight w:val="none"/>
              </w:rPr>
            </w:pPr>
            <w:r>
              <w:rPr>
                <w:rFonts w:hint="eastAsia" w:ascii="宋体" w:hAnsi="宋体"/>
                <w:color w:val="auto"/>
                <w:highlight w:val="none"/>
              </w:rPr>
              <w:t>供应商公章及签字：</w:t>
            </w:r>
          </w:p>
          <w:p w14:paraId="429FA647">
            <w:pPr>
              <w:tabs>
                <w:tab w:val="left" w:pos="1305"/>
              </w:tabs>
              <w:spacing w:line="380" w:lineRule="exact"/>
              <w:rPr>
                <w:rFonts w:ascii="宋体" w:hAnsi="宋体"/>
                <w:color w:val="auto"/>
                <w:szCs w:val="21"/>
                <w:highlight w:val="none"/>
              </w:rPr>
            </w:pPr>
            <w:r>
              <w:rPr>
                <w:rFonts w:hint="eastAsia" w:ascii="宋体" w:hAnsi="宋体"/>
                <w:color w:val="auto"/>
                <w:szCs w:val="21"/>
                <w:highlight w:val="none"/>
              </w:rPr>
              <w:t>15.3.1本采购文件中描述供应商的“公章”是指供应商通过指定电子化政府采购平台办理数字证书（CA认证证书）获得的以法定主体行为名称制作的电子印章。</w:t>
            </w:r>
          </w:p>
          <w:p w14:paraId="02877868">
            <w:pPr>
              <w:tabs>
                <w:tab w:val="left" w:pos="1305"/>
              </w:tabs>
              <w:spacing w:line="380" w:lineRule="exact"/>
              <w:rPr>
                <w:rFonts w:ascii="宋体" w:hAnsi="宋体"/>
                <w:color w:val="auto"/>
                <w:szCs w:val="21"/>
                <w:highlight w:val="none"/>
              </w:rPr>
            </w:pPr>
            <w:r>
              <w:rPr>
                <w:rFonts w:hint="eastAsia" w:ascii="宋体" w:hAnsi="宋体"/>
                <w:color w:val="auto"/>
                <w:szCs w:val="21"/>
                <w:highlight w:val="none"/>
              </w:rPr>
              <w:t>15.3.2本采购文件中要求供应商对其电子响应文件的相关内容加盖公章的，均指采用CA证书签章。</w:t>
            </w:r>
          </w:p>
          <w:p w14:paraId="4CC247C9">
            <w:pPr>
              <w:tabs>
                <w:tab w:val="left" w:pos="1305"/>
              </w:tabs>
              <w:spacing w:line="380" w:lineRule="exact"/>
              <w:rPr>
                <w:rFonts w:ascii="宋体" w:hAnsi="宋体"/>
                <w:color w:val="auto"/>
                <w:szCs w:val="21"/>
                <w:highlight w:val="none"/>
              </w:rPr>
            </w:pPr>
            <w:r>
              <w:rPr>
                <w:rFonts w:hint="eastAsia" w:ascii="宋体" w:hAnsi="宋体"/>
                <w:color w:val="auto"/>
                <w:szCs w:val="21"/>
                <w:highlight w:val="none"/>
              </w:rPr>
              <w:t>15.3.3本采购文件中描述供应商的“签字”是指供应商通过指定电子化政府采购平台办理数字证书（CA认证证书）获得的以供应商法定代表人</w:t>
            </w:r>
          </w:p>
          <w:p w14:paraId="0E96E999">
            <w:pPr>
              <w:tabs>
                <w:tab w:val="left" w:pos="1305"/>
              </w:tabs>
              <w:spacing w:line="380" w:lineRule="exact"/>
              <w:rPr>
                <w:rFonts w:ascii="宋体" w:hAnsi="宋体"/>
                <w:color w:val="auto"/>
                <w:szCs w:val="21"/>
                <w:highlight w:val="none"/>
              </w:rPr>
            </w:pPr>
            <w:r>
              <w:rPr>
                <w:rFonts w:hint="eastAsia" w:ascii="宋体" w:hAnsi="宋体"/>
                <w:color w:val="auto"/>
                <w:szCs w:val="21"/>
                <w:highlight w:val="none"/>
              </w:rPr>
              <w:t>或者委托代理人姓名制作的个人电子印章或手写签字。没有办理个人CA证书的，可以为手写签字的形式。</w:t>
            </w:r>
          </w:p>
        </w:tc>
      </w:tr>
      <w:tr w14:paraId="14FFA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3148DC68">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1271" w:type="dxa"/>
            <w:vAlign w:val="center"/>
          </w:tcPr>
          <w:p w14:paraId="1F89CDA2">
            <w:pPr>
              <w:spacing w:line="380" w:lineRule="exact"/>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w:t>
            </w:r>
          </w:p>
        </w:tc>
        <w:tc>
          <w:tcPr>
            <w:tcW w:w="7579" w:type="dxa"/>
            <w:vAlign w:val="center"/>
          </w:tcPr>
          <w:p w14:paraId="5A7AA20B">
            <w:pPr>
              <w:spacing w:line="380" w:lineRule="exact"/>
              <w:rPr>
                <w:rFonts w:ascii="宋体" w:hAnsi="宋体"/>
                <w:color w:val="auto"/>
                <w:szCs w:val="21"/>
                <w:highlight w:val="none"/>
              </w:rPr>
            </w:pPr>
            <w:r>
              <w:rPr>
                <w:rFonts w:hint="eastAsia" w:ascii="宋体" w:hAnsi="宋体"/>
                <w:color w:val="auto"/>
                <w:szCs w:val="21"/>
                <w:highlight w:val="none"/>
              </w:rPr>
              <w:t>履约保证金：无</w:t>
            </w:r>
          </w:p>
        </w:tc>
      </w:tr>
      <w:tr w14:paraId="56F93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27C2C4D">
            <w:pPr>
              <w:spacing w:line="3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1</w:t>
            </w:r>
          </w:p>
        </w:tc>
        <w:tc>
          <w:tcPr>
            <w:tcW w:w="1271" w:type="dxa"/>
            <w:vAlign w:val="center"/>
          </w:tcPr>
          <w:p w14:paraId="32EA46A0">
            <w:pPr>
              <w:spacing w:line="380" w:lineRule="exact"/>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6.1</w:t>
            </w:r>
          </w:p>
        </w:tc>
        <w:tc>
          <w:tcPr>
            <w:tcW w:w="7579" w:type="dxa"/>
            <w:vAlign w:val="center"/>
          </w:tcPr>
          <w:p w14:paraId="030CEAD5">
            <w:pPr>
              <w:autoSpaceDE w:val="0"/>
              <w:autoSpaceDN w:val="0"/>
              <w:spacing w:line="380" w:lineRule="exact"/>
              <w:textAlignment w:val="bottom"/>
              <w:rPr>
                <w:rFonts w:ascii="宋体" w:hAnsi="宋体" w:cs="宋体"/>
                <w:color w:val="auto"/>
                <w:kern w:val="0"/>
                <w:szCs w:val="21"/>
                <w:highlight w:val="none"/>
              </w:rPr>
            </w:pPr>
            <w:r>
              <w:rPr>
                <w:rFonts w:hint="eastAsia" w:ascii="宋体" w:hAnsi="宋体"/>
                <w:color w:val="auto"/>
                <w:szCs w:val="21"/>
                <w:highlight w:val="none"/>
              </w:rPr>
              <w:t>签订合同时间：成交通知书发出之日起</w:t>
            </w:r>
            <w:r>
              <w:rPr>
                <w:rFonts w:hint="eastAsia" w:ascii="宋体" w:hAnsi="宋体"/>
                <w:color w:val="auto"/>
                <w:szCs w:val="21"/>
                <w:highlight w:val="none"/>
                <w:lang w:val="en-US" w:eastAsia="zh-CN"/>
              </w:rPr>
              <w:t>20</w:t>
            </w:r>
            <w:r>
              <w:rPr>
                <w:rFonts w:hint="eastAsia" w:ascii="宋体" w:hAnsi="宋体"/>
                <w:color w:val="auto"/>
                <w:szCs w:val="21"/>
                <w:highlight w:val="none"/>
              </w:rPr>
              <w:t>日内。</w:t>
            </w:r>
          </w:p>
        </w:tc>
      </w:tr>
      <w:tr w14:paraId="7409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316F7C3">
            <w:pPr>
              <w:spacing w:line="3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1271" w:type="dxa"/>
            <w:vAlign w:val="center"/>
          </w:tcPr>
          <w:p w14:paraId="7C98EC84">
            <w:pPr>
              <w:spacing w:line="380" w:lineRule="exact"/>
              <w:jc w:val="center"/>
              <w:rPr>
                <w:rFonts w:ascii="宋体" w:hAnsi="宋体"/>
                <w:color w:val="auto"/>
                <w:szCs w:val="21"/>
                <w:highlight w:val="none"/>
              </w:rPr>
            </w:pPr>
            <w:r>
              <w:rPr>
                <w:rFonts w:ascii="宋体" w:hAnsi="宋体"/>
                <w:color w:val="auto"/>
                <w:szCs w:val="21"/>
                <w:highlight w:val="none"/>
              </w:rPr>
              <w:t>29</w:t>
            </w:r>
          </w:p>
        </w:tc>
        <w:tc>
          <w:tcPr>
            <w:tcW w:w="7579" w:type="dxa"/>
            <w:vAlign w:val="center"/>
          </w:tcPr>
          <w:p w14:paraId="1C1785A5">
            <w:pPr>
              <w:autoSpaceDE w:val="0"/>
              <w:autoSpaceDN w:val="0"/>
              <w:spacing w:line="380" w:lineRule="exact"/>
              <w:textAlignment w:val="bottom"/>
              <w:rPr>
                <w:rFonts w:ascii="宋体" w:hAnsi="宋体"/>
                <w:color w:val="auto"/>
                <w:szCs w:val="21"/>
                <w:highlight w:val="none"/>
              </w:rPr>
            </w:pPr>
            <w:r>
              <w:rPr>
                <w:rFonts w:hint="eastAsia" w:ascii="宋体" w:hAnsi="宋体" w:cs="宋体"/>
                <w:b w:val="0"/>
                <w:bCs w:val="0"/>
                <w:color w:val="auto"/>
                <w:kern w:val="0"/>
                <w:szCs w:val="21"/>
                <w:highlight w:val="none"/>
                <w:u w:val="none"/>
              </w:rPr>
              <w:t>本项目采购代理服务费：</w:t>
            </w:r>
            <w:r>
              <w:rPr>
                <w:rFonts w:hint="eastAsia" w:ascii="宋体" w:hAnsi="宋体" w:eastAsia="宋体" w:cs="宋体"/>
                <w:b w:val="0"/>
                <w:bCs w:val="0"/>
                <w:color w:val="auto"/>
                <w:sz w:val="22"/>
                <w:szCs w:val="22"/>
                <w:highlight w:val="none"/>
                <w:u w:val="none"/>
              </w:rPr>
              <w:t>参照《广西壮族自治区工程建设其他费用定额》（桂建标【2018】37号）文</w:t>
            </w:r>
            <w:r>
              <w:rPr>
                <w:rFonts w:hint="eastAsia" w:ascii="宋体" w:hAnsi="宋体" w:eastAsia="宋体" w:cs="宋体"/>
                <w:b w:val="0"/>
                <w:bCs w:val="0"/>
                <w:color w:val="auto"/>
                <w:sz w:val="22"/>
                <w:szCs w:val="22"/>
                <w:highlight w:val="none"/>
                <w:u w:val="none"/>
                <w:lang w:val="en-US" w:eastAsia="zh-CN"/>
              </w:rPr>
              <w:t>服务类</w:t>
            </w:r>
            <w:r>
              <w:rPr>
                <w:rFonts w:hint="eastAsia" w:ascii="宋体" w:hAnsi="宋体" w:cs="宋体"/>
                <w:b w:val="0"/>
                <w:bCs w:val="0"/>
                <w:color w:val="auto"/>
                <w:kern w:val="0"/>
                <w:szCs w:val="21"/>
                <w:highlight w:val="none"/>
                <w:u w:val="none"/>
              </w:rPr>
              <w:t>收费</w:t>
            </w:r>
            <w:r>
              <w:rPr>
                <w:rFonts w:hint="eastAsia" w:ascii="宋体" w:hAnsi="宋体" w:cs="宋体"/>
                <w:color w:val="auto"/>
                <w:kern w:val="0"/>
                <w:szCs w:val="21"/>
                <w:highlight w:val="none"/>
              </w:rPr>
              <w:t>标准收取。由成交人在领取成交通知书前，向采购代理机构一次性支付。</w:t>
            </w:r>
          </w:p>
        </w:tc>
      </w:tr>
      <w:tr w14:paraId="60F37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33225A88">
            <w:pPr>
              <w:spacing w:line="3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3</w:t>
            </w:r>
          </w:p>
        </w:tc>
        <w:tc>
          <w:tcPr>
            <w:tcW w:w="1271" w:type="dxa"/>
            <w:vAlign w:val="center"/>
          </w:tcPr>
          <w:p w14:paraId="2ACF4CC4">
            <w:pPr>
              <w:spacing w:line="380" w:lineRule="exact"/>
              <w:jc w:val="center"/>
              <w:rPr>
                <w:rFonts w:ascii="宋体" w:hAnsi="宋体"/>
                <w:color w:val="auto"/>
                <w:szCs w:val="21"/>
                <w:highlight w:val="none"/>
              </w:rPr>
            </w:pPr>
          </w:p>
        </w:tc>
        <w:tc>
          <w:tcPr>
            <w:tcW w:w="7579" w:type="dxa"/>
            <w:vAlign w:val="center"/>
          </w:tcPr>
          <w:p w14:paraId="2049426B">
            <w:pPr>
              <w:spacing w:line="380" w:lineRule="exact"/>
              <w:rPr>
                <w:rFonts w:ascii="宋体" w:hAnsi="宋体" w:cs="宋体"/>
                <w:color w:val="auto"/>
                <w:kern w:val="0"/>
                <w:szCs w:val="21"/>
                <w:highlight w:val="none"/>
              </w:rPr>
            </w:pPr>
            <w:r>
              <w:rPr>
                <w:rFonts w:hint="eastAsia" w:ascii="宋体" w:hAnsi="宋体"/>
                <w:b/>
                <w:color w:val="auto"/>
                <w:szCs w:val="21"/>
                <w:highlight w:val="none"/>
              </w:rPr>
              <w:t>评标方法：</w:t>
            </w:r>
            <w:r>
              <w:rPr>
                <w:rFonts w:hint="eastAsia" w:ascii="宋体" w:hAnsi="宋体"/>
                <w:color w:val="auto"/>
                <w:szCs w:val="21"/>
                <w:highlight w:val="none"/>
              </w:rPr>
              <w:t>综合评分法（详见《第四章 评审办法及评分标准》）。</w:t>
            </w:r>
          </w:p>
        </w:tc>
      </w:tr>
      <w:tr w14:paraId="4071C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C6CA459">
            <w:pPr>
              <w:spacing w:line="3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1271" w:type="dxa"/>
            <w:vAlign w:val="center"/>
          </w:tcPr>
          <w:p w14:paraId="031A267B">
            <w:pPr>
              <w:spacing w:line="380" w:lineRule="exact"/>
              <w:jc w:val="center"/>
              <w:rPr>
                <w:rFonts w:ascii="宋体" w:hAnsi="宋体"/>
                <w:color w:val="auto"/>
                <w:szCs w:val="21"/>
                <w:highlight w:val="none"/>
              </w:rPr>
            </w:pPr>
          </w:p>
        </w:tc>
        <w:tc>
          <w:tcPr>
            <w:tcW w:w="7579" w:type="dxa"/>
            <w:vAlign w:val="center"/>
          </w:tcPr>
          <w:p w14:paraId="0C68E60C">
            <w:pPr>
              <w:spacing w:line="380" w:lineRule="exact"/>
              <w:rPr>
                <w:rFonts w:ascii="宋体" w:hAnsi="宋体" w:cs="宋体"/>
                <w:color w:val="auto"/>
                <w:highlight w:val="none"/>
              </w:rPr>
            </w:pPr>
            <w:r>
              <w:rPr>
                <w:rFonts w:hint="eastAsia" w:ascii="宋体" w:hAnsi="宋体" w:cs="宋体"/>
                <w:color w:val="auto"/>
                <w:highlight w:val="none"/>
              </w:rPr>
              <w:t>在对供应商资格审查时进行信用查询</w:t>
            </w:r>
          </w:p>
          <w:p w14:paraId="7BC6CE22">
            <w:pPr>
              <w:spacing w:line="380" w:lineRule="exact"/>
              <w:rPr>
                <w:rFonts w:ascii="宋体" w:hAnsi="宋体" w:cs="宋体"/>
                <w:color w:val="auto"/>
                <w:highlight w:val="none"/>
              </w:rPr>
            </w:pPr>
            <w:r>
              <w:rPr>
                <w:rFonts w:hint="eastAsia" w:ascii="宋体" w:hAnsi="宋体" w:cs="宋体"/>
                <w:color w:val="auto"/>
                <w:highlight w:val="none"/>
              </w:rPr>
              <w:t>查询渠道: “信用中国”网站(www.creditchina.gov.cn) 、中国政府采购网(www.ccgp.gov.cn)</w:t>
            </w:r>
          </w:p>
          <w:p w14:paraId="0A032503">
            <w:pPr>
              <w:spacing w:line="380" w:lineRule="exact"/>
              <w:rPr>
                <w:rFonts w:ascii="宋体" w:hAnsi="宋体" w:cs="宋体"/>
                <w:color w:val="auto"/>
                <w:highlight w:val="none"/>
              </w:rPr>
            </w:pPr>
            <w:r>
              <w:rPr>
                <w:rFonts w:hint="eastAsia" w:ascii="宋体" w:hAnsi="宋体" w:cs="宋体"/>
                <w:color w:val="auto"/>
                <w:highlight w:val="none"/>
              </w:rPr>
              <w:t>信用查询时间：资格审查时，由磋商小组通过</w:t>
            </w:r>
            <w:r>
              <w:rPr>
                <w:rFonts w:hint="eastAsia" w:ascii="宋体" w:hAnsi="宋体" w:cs="宋体"/>
                <w:color w:val="auto"/>
                <w:highlight w:val="none"/>
                <w:lang w:eastAsia="zh-CN"/>
              </w:rPr>
              <w:t>广西政府采购云</w:t>
            </w:r>
            <w:r>
              <w:rPr>
                <w:rFonts w:hint="eastAsia" w:ascii="宋体" w:hAnsi="宋体" w:cs="宋体"/>
                <w:color w:val="auto"/>
                <w:highlight w:val="none"/>
              </w:rPr>
              <w:t>平台在线查询。</w:t>
            </w:r>
          </w:p>
          <w:p w14:paraId="10C8D911">
            <w:pPr>
              <w:spacing w:line="380" w:lineRule="exact"/>
              <w:rPr>
                <w:rFonts w:ascii="宋体" w:hAnsi="宋体"/>
                <w:b/>
                <w:color w:val="auto"/>
                <w:szCs w:val="21"/>
                <w:highlight w:val="none"/>
              </w:rPr>
            </w:pPr>
            <w:r>
              <w:rPr>
                <w:rFonts w:hint="eastAsia" w:ascii="宋体" w:hAnsi="宋体" w:cs="宋体"/>
                <w:color w:val="auto"/>
                <w:highlight w:val="none"/>
              </w:rPr>
              <w:t>信用信息使用规则：对在“信用中国”网站(www.creditchina.gov.cn) 、中国政府采购网(www.ccgp.gov.cn)列入失信被执行人、</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B320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74F9ED6D">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1271" w:type="dxa"/>
            <w:vAlign w:val="center"/>
          </w:tcPr>
          <w:p w14:paraId="031B627F">
            <w:pPr>
              <w:spacing w:line="380" w:lineRule="exact"/>
              <w:jc w:val="center"/>
              <w:rPr>
                <w:rFonts w:ascii="宋体" w:hAnsi="宋体"/>
                <w:color w:val="auto"/>
                <w:szCs w:val="21"/>
                <w:highlight w:val="none"/>
              </w:rPr>
            </w:pPr>
          </w:p>
        </w:tc>
        <w:tc>
          <w:tcPr>
            <w:tcW w:w="7579" w:type="dxa"/>
            <w:vAlign w:val="center"/>
          </w:tcPr>
          <w:p w14:paraId="69EA0AC9">
            <w:pPr>
              <w:spacing w:line="380" w:lineRule="exact"/>
              <w:rPr>
                <w:rFonts w:hint="eastAsia" w:ascii="宋体" w:hAnsi="宋体" w:cs="宋体"/>
                <w:b/>
                <w:color w:val="auto"/>
                <w:sz w:val="24"/>
                <w:highlight w:val="none"/>
              </w:rPr>
            </w:pPr>
            <w:r>
              <w:rPr>
                <w:rFonts w:hint="eastAsia" w:ascii="宋体" w:hAnsi="宋体" w:cs="宋体"/>
                <w:b/>
                <w:color w:val="auto"/>
                <w:sz w:val="24"/>
                <w:highlight w:val="none"/>
              </w:rPr>
              <w:t>其他要求：供应商在广西政府采购云平台提交电子版响应文件；</w:t>
            </w:r>
          </w:p>
          <w:p w14:paraId="4AD36391">
            <w:pPr>
              <w:spacing w:line="380" w:lineRule="exact"/>
              <w:rPr>
                <w:rFonts w:hint="eastAsia" w:ascii="宋体" w:hAnsi="宋体" w:cs="宋体"/>
                <w:b/>
                <w:color w:val="auto"/>
                <w:sz w:val="24"/>
                <w:highlight w:val="none"/>
              </w:rPr>
            </w:pPr>
            <w:r>
              <w:rPr>
                <w:rFonts w:hint="eastAsia" w:ascii="宋体" w:hAnsi="宋体" w:cs="宋体"/>
                <w:b/>
                <w:color w:val="auto"/>
                <w:sz w:val="24"/>
                <w:highlight w:val="none"/>
              </w:rPr>
              <w:t>纸质响应文件要求：成交供应商领取成交通知书时需向代理机构提供纸质版响应文件存档，提供的纸质版响应文件必须与广西政府采购云平台提交的电子版响应文件内容一致，不允许有篡改。如项目验收时因所提供的纸质响应文件与评标的响应文件不一致造成纠纷时，所有责任由成交供应商承担。</w:t>
            </w:r>
          </w:p>
          <w:p w14:paraId="02A596A3">
            <w:pPr>
              <w:spacing w:line="380" w:lineRule="exact"/>
              <w:rPr>
                <w:rFonts w:hint="eastAsia" w:ascii="宋体" w:hAnsi="宋体" w:cs="宋体"/>
                <w:color w:val="auto"/>
                <w:highlight w:val="none"/>
              </w:rPr>
            </w:pPr>
            <w:r>
              <w:rPr>
                <w:rFonts w:hint="eastAsia" w:ascii="宋体" w:hAnsi="宋体" w:cs="宋体"/>
                <w:b/>
                <w:color w:val="auto"/>
                <w:sz w:val="24"/>
                <w:highlight w:val="none"/>
              </w:rPr>
              <w:t>纸质版响应文件份数要求：</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套。</w:t>
            </w:r>
          </w:p>
        </w:tc>
      </w:tr>
      <w:tr w14:paraId="7DA8A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4B803F66">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1271" w:type="dxa"/>
            <w:vAlign w:val="center"/>
          </w:tcPr>
          <w:p w14:paraId="14AF5AA8">
            <w:pPr>
              <w:spacing w:line="380" w:lineRule="exact"/>
              <w:jc w:val="center"/>
              <w:rPr>
                <w:rFonts w:ascii="宋体" w:hAnsi="宋体"/>
                <w:color w:val="auto"/>
                <w:szCs w:val="21"/>
                <w:highlight w:val="none"/>
              </w:rPr>
            </w:pPr>
          </w:p>
        </w:tc>
        <w:tc>
          <w:tcPr>
            <w:tcW w:w="7579" w:type="dxa"/>
            <w:vAlign w:val="center"/>
          </w:tcPr>
          <w:p w14:paraId="20F54840">
            <w:pPr>
              <w:autoSpaceDE w:val="0"/>
              <w:autoSpaceDN w:val="0"/>
              <w:spacing w:line="380" w:lineRule="exact"/>
              <w:textAlignment w:val="bottom"/>
              <w:rPr>
                <w:rFonts w:ascii="宋体" w:hAnsi="宋体"/>
                <w:b/>
                <w:color w:val="auto"/>
                <w:szCs w:val="21"/>
                <w:highlight w:val="none"/>
              </w:rPr>
            </w:pPr>
            <w:r>
              <w:rPr>
                <w:rFonts w:hint="eastAsia" w:ascii="宋体" w:hAnsi="宋体" w:cs="宋体"/>
                <w:bCs/>
                <w:color w:val="auto"/>
                <w:szCs w:val="21"/>
                <w:highlight w:val="none"/>
              </w:rPr>
              <w:t>采购标的对应的中小企业划分标准所属行业：信息传输业</w:t>
            </w:r>
          </w:p>
        </w:tc>
      </w:tr>
    </w:tbl>
    <w:p w14:paraId="7F908352">
      <w:pPr>
        <w:rPr>
          <w:color w:val="auto"/>
          <w:highlight w:val="none"/>
        </w:rPr>
      </w:pPr>
    </w:p>
    <w:p w14:paraId="6BF87C53">
      <w:pPr>
        <w:widowControl/>
        <w:jc w:val="left"/>
        <w:rPr>
          <w:color w:val="auto"/>
          <w:highlight w:val="none"/>
        </w:rPr>
      </w:pPr>
    </w:p>
    <w:p w14:paraId="51D86BA4">
      <w:pPr>
        <w:spacing w:line="560" w:lineRule="exact"/>
        <w:jc w:val="center"/>
        <w:rPr>
          <w:rFonts w:hint="eastAsia" w:ascii="宋体" w:hAnsi="宋体"/>
          <w:b/>
          <w:color w:val="auto"/>
          <w:sz w:val="28"/>
          <w:szCs w:val="32"/>
          <w:highlight w:val="none"/>
        </w:rPr>
      </w:pPr>
    </w:p>
    <w:p w14:paraId="367C66D8">
      <w:pPr>
        <w:spacing w:line="560" w:lineRule="exact"/>
        <w:jc w:val="center"/>
        <w:rPr>
          <w:rFonts w:hint="eastAsia" w:ascii="宋体" w:hAnsi="宋体"/>
          <w:b/>
          <w:color w:val="auto"/>
          <w:sz w:val="28"/>
          <w:szCs w:val="32"/>
          <w:highlight w:val="none"/>
        </w:rPr>
      </w:pPr>
    </w:p>
    <w:p w14:paraId="3F542F71">
      <w:pPr>
        <w:spacing w:line="560" w:lineRule="exact"/>
        <w:jc w:val="center"/>
        <w:rPr>
          <w:rFonts w:hint="eastAsia" w:ascii="宋体" w:hAnsi="宋体"/>
          <w:b/>
          <w:color w:val="auto"/>
          <w:sz w:val="28"/>
          <w:szCs w:val="32"/>
          <w:highlight w:val="none"/>
        </w:rPr>
      </w:pPr>
    </w:p>
    <w:p w14:paraId="4CC8C608">
      <w:pPr>
        <w:spacing w:line="560" w:lineRule="exact"/>
        <w:jc w:val="center"/>
        <w:rPr>
          <w:rFonts w:hint="eastAsia" w:ascii="宋体" w:hAnsi="宋体"/>
          <w:b/>
          <w:color w:val="auto"/>
          <w:sz w:val="28"/>
          <w:szCs w:val="32"/>
          <w:highlight w:val="none"/>
        </w:rPr>
      </w:pPr>
    </w:p>
    <w:p w14:paraId="28B1D5CD">
      <w:pPr>
        <w:spacing w:line="560" w:lineRule="exact"/>
        <w:jc w:val="center"/>
        <w:rPr>
          <w:rFonts w:hint="eastAsia" w:ascii="宋体" w:hAnsi="宋体"/>
          <w:b/>
          <w:color w:val="auto"/>
          <w:sz w:val="28"/>
          <w:szCs w:val="32"/>
          <w:highlight w:val="none"/>
        </w:rPr>
      </w:pPr>
    </w:p>
    <w:p w14:paraId="526213E4">
      <w:pPr>
        <w:spacing w:line="560" w:lineRule="exact"/>
        <w:jc w:val="center"/>
        <w:rPr>
          <w:rFonts w:hint="eastAsia" w:ascii="宋体" w:hAnsi="宋体"/>
          <w:b/>
          <w:color w:val="auto"/>
          <w:sz w:val="28"/>
          <w:szCs w:val="32"/>
          <w:highlight w:val="none"/>
        </w:rPr>
      </w:pPr>
    </w:p>
    <w:p w14:paraId="24F286C6">
      <w:pPr>
        <w:spacing w:line="560" w:lineRule="exact"/>
        <w:jc w:val="center"/>
        <w:rPr>
          <w:rFonts w:hint="eastAsia" w:ascii="宋体" w:hAnsi="宋体"/>
          <w:b/>
          <w:color w:val="auto"/>
          <w:sz w:val="28"/>
          <w:szCs w:val="32"/>
          <w:highlight w:val="none"/>
        </w:rPr>
      </w:pPr>
    </w:p>
    <w:p w14:paraId="0FC21FAA">
      <w:pPr>
        <w:spacing w:line="560" w:lineRule="exact"/>
        <w:jc w:val="center"/>
        <w:rPr>
          <w:rFonts w:hint="eastAsia" w:ascii="宋体" w:hAnsi="宋体"/>
          <w:b/>
          <w:color w:val="auto"/>
          <w:sz w:val="28"/>
          <w:szCs w:val="32"/>
          <w:highlight w:val="none"/>
        </w:rPr>
      </w:pPr>
    </w:p>
    <w:p w14:paraId="0C226F42">
      <w:pPr>
        <w:spacing w:line="560" w:lineRule="exact"/>
        <w:jc w:val="center"/>
        <w:rPr>
          <w:rFonts w:hint="eastAsia" w:ascii="宋体" w:hAnsi="宋体"/>
          <w:b/>
          <w:color w:val="auto"/>
          <w:sz w:val="28"/>
          <w:szCs w:val="32"/>
          <w:highlight w:val="none"/>
        </w:rPr>
      </w:pPr>
    </w:p>
    <w:p w14:paraId="2C9F7435">
      <w:pPr>
        <w:spacing w:line="560" w:lineRule="exact"/>
        <w:jc w:val="center"/>
        <w:rPr>
          <w:rFonts w:hint="eastAsia" w:ascii="宋体" w:hAnsi="宋体"/>
          <w:b/>
          <w:color w:val="auto"/>
          <w:sz w:val="28"/>
          <w:szCs w:val="32"/>
          <w:highlight w:val="none"/>
        </w:rPr>
      </w:pPr>
    </w:p>
    <w:p w14:paraId="76F59F29">
      <w:pPr>
        <w:spacing w:line="560" w:lineRule="exact"/>
        <w:jc w:val="center"/>
        <w:rPr>
          <w:rFonts w:hint="eastAsia" w:ascii="宋体" w:hAnsi="宋体"/>
          <w:b/>
          <w:color w:val="auto"/>
          <w:sz w:val="28"/>
          <w:szCs w:val="32"/>
          <w:highlight w:val="none"/>
        </w:rPr>
      </w:pPr>
    </w:p>
    <w:p w14:paraId="53E97928">
      <w:pPr>
        <w:spacing w:line="560" w:lineRule="exact"/>
        <w:jc w:val="center"/>
        <w:rPr>
          <w:rFonts w:hint="eastAsia" w:ascii="宋体" w:hAnsi="宋体"/>
          <w:b/>
          <w:color w:val="auto"/>
          <w:sz w:val="28"/>
          <w:szCs w:val="32"/>
          <w:highlight w:val="none"/>
        </w:rPr>
      </w:pPr>
    </w:p>
    <w:p w14:paraId="1F16C77B">
      <w:pPr>
        <w:spacing w:line="560" w:lineRule="exact"/>
        <w:jc w:val="center"/>
        <w:rPr>
          <w:rFonts w:hint="eastAsia" w:ascii="宋体" w:hAnsi="宋体"/>
          <w:b/>
          <w:color w:val="auto"/>
          <w:sz w:val="28"/>
          <w:szCs w:val="32"/>
          <w:highlight w:val="none"/>
        </w:rPr>
      </w:pPr>
    </w:p>
    <w:p w14:paraId="2436F703">
      <w:pPr>
        <w:spacing w:line="560" w:lineRule="exact"/>
        <w:jc w:val="center"/>
        <w:rPr>
          <w:rFonts w:ascii="宋体" w:hAnsi="宋体"/>
          <w:b/>
          <w:color w:val="auto"/>
          <w:sz w:val="28"/>
          <w:szCs w:val="32"/>
          <w:highlight w:val="none"/>
        </w:rPr>
      </w:pPr>
      <w:r>
        <w:rPr>
          <w:rFonts w:hint="eastAsia" w:ascii="宋体" w:hAnsi="宋体"/>
          <w:b/>
          <w:color w:val="auto"/>
          <w:sz w:val="28"/>
          <w:szCs w:val="32"/>
          <w:highlight w:val="none"/>
        </w:rPr>
        <w:t>供应商须知正文部分</w:t>
      </w:r>
    </w:p>
    <w:p w14:paraId="4FCE71EB">
      <w:pPr>
        <w:spacing w:before="93" w:beforeLines="30" w:after="93" w:afterLines="30" w:line="420" w:lineRule="exact"/>
        <w:jc w:val="center"/>
        <w:rPr>
          <w:rFonts w:ascii="宋体" w:hAnsi="宋体"/>
          <w:b/>
          <w:color w:val="auto"/>
          <w:sz w:val="24"/>
          <w:szCs w:val="21"/>
          <w:highlight w:val="none"/>
        </w:rPr>
      </w:pPr>
      <w:r>
        <w:rPr>
          <w:rFonts w:hint="eastAsia" w:ascii="宋体" w:hAnsi="宋体"/>
          <w:b/>
          <w:color w:val="auto"/>
          <w:sz w:val="24"/>
          <w:szCs w:val="21"/>
          <w:highlight w:val="none"/>
        </w:rPr>
        <w:t>一、总则</w:t>
      </w:r>
    </w:p>
    <w:p w14:paraId="0294632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601ED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CFA1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D03219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52CFF6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1C64F37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70BB32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104064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5B40AF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62FBFF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w:t>
      </w:r>
      <w:r>
        <w:rPr>
          <w:rFonts w:hint="eastAsia" w:ascii="宋体" w:hAnsi="宋体" w:eastAsia="宋体" w:cs="宋体"/>
          <w:color w:val="auto"/>
          <w:spacing w:val="-6"/>
          <w:szCs w:val="21"/>
          <w:highlight w:val="none"/>
          <w:lang w:val="en-US" w:eastAsia="zh-CN"/>
        </w:rPr>
        <w:t>文件</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Cs w:val="21"/>
          <w:highlight w:val="none"/>
        </w:rPr>
        <w:t>等所有内容的文件。</w:t>
      </w:r>
    </w:p>
    <w:p w14:paraId="4E72CC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w:t>
      </w:r>
      <w:r>
        <w:rPr>
          <w:rFonts w:hint="eastAsia" w:ascii="宋体" w:hAnsi="宋体" w:eastAsia="宋体" w:cs="宋体"/>
          <w:color w:val="000000"/>
          <w:szCs w:val="21"/>
          <w:lang w:eastAsia="zh-CN"/>
        </w:rPr>
        <w:t>：</w:t>
      </w:r>
      <w:r>
        <w:rPr>
          <w:rFonts w:hint="eastAsia" w:ascii="宋体" w:hAnsi="宋体" w:eastAsia="宋体" w:cs="宋体"/>
          <w:szCs w:val="21"/>
        </w:rPr>
        <w:t>详见</w:t>
      </w:r>
      <w:r>
        <w:rPr>
          <w:rFonts w:hint="eastAsia" w:ascii="宋体" w:hAnsi="宋体" w:eastAsia="宋体" w:cs="宋体"/>
          <w:szCs w:val="21"/>
          <w:lang w:eastAsia="zh-CN"/>
        </w:rPr>
        <w:t>供应商</w:t>
      </w:r>
      <w:r>
        <w:rPr>
          <w:rFonts w:hint="eastAsia" w:ascii="宋体" w:hAnsi="宋体" w:eastAsia="宋体" w:cs="宋体"/>
          <w:szCs w:val="21"/>
        </w:rPr>
        <w:t>须知前附表</w:t>
      </w:r>
      <w:r>
        <w:rPr>
          <w:rFonts w:hint="eastAsia" w:ascii="宋体" w:hAnsi="宋体" w:eastAsia="宋体" w:cs="宋体"/>
          <w:color w:val="auto"/>
          <w:szCs w:val="21"/>
          <w:highlight w:val="none"/>
        </w:rPr>
        <w:t>。</w:t>
      </w:r>
    </w:p>
    <w:p w14:paraId="308AB6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051BCB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6748F6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439AC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“首次报价”是指供应商提交的首次响应文件中的报价。</w:t>
      </w:r>
    </w:p>
    <w:p w14:paraId="6E06F377">
      <w:pPr>
        <w:spacing w:line="360" w:lineRule="auto"/>
        <w:ind w:firstLine="420" w:firstLineChars="200"/>
        <w:rPr>
          <w:rFonts w:hint="eastAsia"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”是指供应商提</w:t>
      </w:r>
      <w:r>
        <w:rPr>
          <w:rFonts w:hint="eastAsia" w:cs="宋体"/>
          <w:color w:val="auto"/>
          <w:szCs w:val="21"/>
          <w:highlight w:val="none"/>
        </w:rPr>
        <w:t>交的最后报价并经修正（如有）和政策功能价格扣除（如有）后的价格。</w:t>
      </w:r>
    </w:p>
    <w:p w14:paraId="3F3C1B3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697682C9">
      <w:pPr>
        <w:spacing w:line="360" w:lineRule="auto"/>
        <w:ind w:firstLine="420" w:firstLineChars="200"/>
        <w:rPr>
          <w:rFonts w:hint="eastAsia" w:cs="宋体"/>
          <w:color w:val="auto"/>
          <w:szCs w:val="21"/>
          <w:highlight w:val="none"/>
        </w:rPr>
      </w:pPr>
      <w:r>
        <w:rPr>
          <w:rFonts w:hint="eastAsia" w:cs="宋体"/>
          <w:color w:val="auto"/>
          <w:szCs w:val="21"/>
          <w:highlight w:val="none"/>
        </w:rPr>
        <w:t>供应商的资格条件详见“供应商须知前附表”。</w:t>
      </w:r>
    </w:p>
    <w:p w14:paraId="3E5779A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7FE6D7F5">
      <w:pPr>
        <w:spacing w:line="360" w:lineRule="auto"/>
        <w:ind w:firstLine="420" w:firstLineChars="200"/>
        <w:rPr>
          <w:rFonts w:hint="eastAsia" w:cs="宋体"/>
          <w:color w:val="auto"/>
          <w:szCs w:val="21"/>
          <w:highlight w:val="none"/>
        </w:rPr>
      </w:pPr>
      <w:r>
        <w:rPr>
          <w:rFonts w:hint="eastAsia"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E71567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6EA78F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6C09CA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3DC2A2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3A61F9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000000"/>
          <w:szCs w:val="21"/>
          <w:highlight w:val="none"/>
        </w:rPr>
        <w:t>6.1本项目不允许转包。</w:t>
      </w:r>
    </w:p>
    <w:p w14:paraId="7CA36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647BCA92">
      <w:pPr>
        <w:spacing w:line="360" w:lineRule="auto"/>
        <w:ind w:firstLine="482" w:firstLineChars="200"/>
        <w:rPr>
          <w:rFonts w:hint="eastAsia" w:ascii="黑体" w:hAnsi="黑体" w:eastAsia="黑体" w:cs="宋体"/>
          <w:b/>
          <w:bCs/>
          <w:color w:val="auto"/>
          <w:sz w:val="24"/>
          <w:highlight w:val="none"/>
        </w:rPr>
      </w:pPr>
      <w:bookmarkStart w:id="45" w:name="_Toc254970532"/>
      <w:bookmarkStart w:id="46" w:name="_Toc254970673"/>
      <w:r>
        <w:rPr>
          <w:rFonts w:hint="eastAsia" w:ascii="黑体" w:hAnsi="黑体" w:eastAsia="黑体" w:cs="宋体"/>
          <w:b/>
          <w:bCs/>
          <w:color w:val="auto"/>
          <w:sz w:val="24"/>
          <w:highlight w:val="none"/>
        </w:rPr>
        <w:t>7.特别说明</w:t>
      </w:r>
      <w:bookmarkEnd w:id="45"/>
      <w:bookmarkEnd w:id="46"/>
    </w:p>
    <w:p w14:paraId="6AF032B7">
      <w:pPr>
        <w:spacing w:line="360" w:lineRule="auto"/>
        <w:ind w:firstLine="420" w:firstLineChars="200"/>
        <w:rPr>
          <w:rFonts w:hint="eastAsia" w:ascii="宋体" w:hAnsi="宋体" w:eastAsia="宋体" w:cs="宋体"/>
          <w:color w:val="auto"/>
          <w:szCs w:val="21"/>
          <w:highlight w:val="none"/>
        </w:rPr>
      </w:pPr>
      <w:bookmarkStart w:id="47" w:name="_8.1提供相同品牌产品且通过资格审查、符合性审查的不同投标人参加同一合"/>
      <w:bookmarkEnd w:id="47"/>
      <w:r>
        <w:rPr>
          <w:rFonts w:hint="eastAsia" w:ascii="宋体" w:hAnsi="宋体" w:eastAsia="宋体" w:cs="宋体"/>
          <w:color w:val="auto"/>
          <w:szCs w:val="21"/>
          <w:highlight w:val="none"/>
        </w:rPr>
        <w:t>7.1</w:t>
      </w:r>
      <w:bookmarkStart w:id="48"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8"/>
    <w:p w14:paraId="033BB9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5155E7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w:t>
      </w:r>
      <w:r>
        <w:rPr>
          <w:rFonts w:hint="eastAsia" w:ascii="宋体" w:hAnsi="宋体" w:eastAsia="宋体" w:cs="宋体"/>
          <w:b w:val="0"/>
          <w:bCs w:val="0"/>
          <w:color w:val="000000"/>
          <w:szCs w:val="21"/>
        </w:rPr>
        <w:t>其响应文件作无效处理</w:t>
      </w:r>
      <w:r>
        <w:rPr>
          <w:rFonts w:hint="eastAsia" w:ascii="宋体" w:hAnsi="宋体" w:eastAsia="宋体" w:cs="宋体"/>
          <w:color w:val="000000"/>
          <w:szCs w:val="21"/>
        </w:rPr>
        <w:t>，</w:t>
      </w:r>
      <w:r>
        <w:rPr>
          <w:rFonts w:hint="eastAsia" w:ascii="宋体" w:hAnsi="宋体" w:eastAsia="宋体" w:cs="宋体"/>
          <w:color w:val="auto"/>
          <w:szCs w:val="21"/>
          <w:highlight w:val="none"/>
        </w:rPr>
        <w:t>将报监管部门查处；签订合同后发现的，成交供应商须依照《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》规定赔偿采购人，且民事赔偿并不免除违法供应商的行政与刑事责任。</w:t>
      </w:r>
    </w:p>
    <w:p w14:paraId="2ADDB88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46E97D4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5E7CB17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1138603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6F2A9D8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3998762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526C34A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0BA9B7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1C5DD71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p>
    <w:p w14:paraId="5CEB41A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3059956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5837FBD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1056D28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3D5405D0">
      <w:pPr>
        <w:tabs>
          <w:tab w:val="left" w:pos="6931"/>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（6）不同供应商的磋商保证金从同一单位或者个人账户转出。</w:t>
      </w:r>
      <w:r>
        <w:rPr>
          <w:rFonts w:hint="eastAsia" w:ascii="宋体" w:hAnsi="宋体" w:eastAsia="宋体" w:cs="宋体"/>
          <w:b/>
          <w:bCs/>
          <w:color w:val="auto"/>
          <w:szCs w:val="21"/>
          <w:highlight w:val="none"/>
        </w:rPr>
        <w:tab/>
      </w:r>
    </w:p>
    <w:p w14:paraId="15EFD29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7.6供应商有下列情形之一的，属于恶意串通行为，将报同级监督管理部门：</w:t>
      </w:r>
    </w:p>
    <w:p w14:paraId="3CAFEB7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5B24896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50E5BB6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1DA70E7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1E93C23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132DBA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0077F7E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（7）供应商与采购人或者采购代理机构之间、供应商相互之间，为谋求特定供应商成交或者排斥其他供应商的其他串通行为。</w:t>
      </w:r>
    </w:p>
    <w:p w14:paraId="3566E6D7">
      <w:pPr>
        <w:spacing w:before="156" w:beforeLines="50" w:after="156" w:afterLines="50" w:line="420" w:lineRule="exact"/>
        <w:jc w:val="center"/>
        <w:rPr>
          <w:rFonts w:ascii="宋体" w:hAnsi="宋体"/>
          <w:b/>
          <w:color w:val="auto"/>
          <w:sz w:val="24"/>
          <w:szCs w:val="21"/>
          <w:highlight w:val="none"/>
        </w:rPr>
      </w:pPr>
      <w:r>
        <w:rPr>
          <w:rFonts w:hint="eastAsia" w:ascii="宋体" w:hAnsi="宋体"/>
          <w:b/>
          <w:color w:val="auto"/>
          <w:sz w:val="24"/>
          <w:szCs w:val="21"/>
          <w:highlight w:val="none"/>
        </w:rPr>
        <w:t>二、磋商文件</w:t>
      </w:r>
    </w:p>
    <w:p w14:paraId="78C94C7A">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6. 竞争性磋商文件（以下简称磋商文件）的组成</w:t>
      </w:r>
    </w:p>
    <w:p w14:paraId="1E814139">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（1）竞争性磋商公告；</w:t>
      </w:r>
    </w:p>
    <w:p w14:paraId="4B8B7055">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（2）供应商须知；</w:t>
      </w:r>
    </w:p>
    <w:p w14:paraId="7F6047A7">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（3）项目采购需求；</w:t>
      </w:r>
    </w:p>
    <w:p w14:paraId="153962CA">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（4）评审办法及评分标准；</w:t>
      </w:r>
    </w:p>
    <w:p w14:paraId="6A2D40B7">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eastAsia="zh-CN"/>
        </w:rPr>
        <w:t>合同条款及格式</w:t>
      </w:r>
      <w:r>
        <w:rPr>
          <w:rFonts w:hint="eastAsia" w:ascii="宋体" w:hAnsi="宋体"/>
          <w:color w:val="auto"/>
          <w:szCs w:val="21"/>
          <w:highlight w:val="none"/>
        </w:rPr>
        <w:t>；</w:t>
      </w:r>
    </w:p>
    <w:p w14:paraId="3BDECD76">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（6）响应文件格式；</w:t>
      </w:r>
    </w:p>
    <w:p w14:paraId="7F716395">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（7）其他资料。</w:t>
      </w:r>
    </w:p>
    <w:p w14:paraId="2F2DF609">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7. 现场考察或答疑会</w:t>
      </w:r>
    </w:p>
    <w:p w14:paraId="5EEFBBE9">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不组织、不召开。</w:t>
      </w:r>
    </w:p>
    <w:p w14:paraId="725F7D1F">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8. 磋商文件的澄清与修改</w:t>
      </w:r>
    </w:p>
    <w:p w14:paraId="5678B450">
      <w:pPr>
        <w:tabs>
          <w:tab w:val="left" w:pos="2190"/>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8.1供应商必须认真阅读采购文件，发现其中有误或有不合理要求的，供应商尽可能在提交首次响应文件截止之日前，以书面形式向采购人、</w:t>
      </w:r>
      <w:r>
        <w:rPr>
          <w:rFonts w:hint="eastAsia" w:ascii="宋体" w:hAnsi="宋体"/>
          <w:color w:val="auto"/>
          <w:szCs w:val="21"/>
          <w:highlight w:val="none"/>
          <w:lang w:val="en-US" w:eastAsia="zh-CN"/>
        </w:rPr>
        <w:t>采购代理机构</w:t>
      </w:r>
      <w:r>
        <w:rPr>
          <w:rFonts w:hint="eastAsia" w:ascii="宋体" w:hAnsi="宋体"/>
          <w:color w:val="auto"/>
          <w:szCs w:val="21"/>
          <w:highlight w:val="none"/>
        </w:rPr>
        <w:t>提出。</w:t>
      </w:r>
    </w:p>
    <w:p w14:paraId="009C7078">
      <w:pPr>
        <w:tabs>
          <w:tab w:val="left" w:pos="2190"/>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8.2</w:t>
      </w:r>
      <w:r>
        <w:rPr>
          <w:rFonts w:ascii="宋体" w:hAnsi="宋体"/>
          <w:color w:val="auto"/>
          <w:szCs w:val="21"/>
          <w:highlight w:val="none"/>
        </w:rPr>
        <w:t>采购代理机构可以对已发出的</w:t>
      </w:r>
      <w:r>
        <w:rPr>
          <w:rFonts w:hint="eastAsia" w:ascii="宋体" w:hAnsi="宋体"/>
          <w:color w:val="auto"/>
          <w:szCs w:val="21"/>
          <w:highlight w:val="none"/>
        </w:rPr>
        <w:t>采购文件</w:t>
      </w:r>
      <w:r>
        <w:rPr>
          <w:rFonts w:ascii="宋体" w:hAnsi="宋体"/>
          <w:color w:val="auto"/>
          <w:szCs w:val="21"/>
          <w:highlight w:val="none"/>
        </w:rPr>
        <w:t>进行必要的澄清或者修改，但不得改变采购标的和资格条件。澄清或者修改应当在原公告发布媒体上发布澄清公告。澄清或者修改的内容为</w:t>
      </w:r>
      <w:r>
        <w:rPr>
          <w:rFonts w:hint="eastAsia" w:ascii="宋体" w:hAnsi="宋体"/>
          <w:color w:val="auto"/>
          <w:szCs w:val="21"/>
          <w:highlight w:val="none"/>
        </w:rPr>
        <w:t>采购文件</w:t>
      </w:r>
      <w:r>
        <w:rPr>
          <w:rFonts w:ascii="宋体" w:hAnsi="宋体"/>
          <w:color w:val="auto"/>
          <w:szCs w:val="21"/>
          <w:highlight w:val="none"/>
        </w:rPr>
        <w:t>的组成部分。澄清或者修改的内容可能影响</w:t>
      </w:r>
      <w:r>
        <w:rPr>
          <w:rFonts w:hint="eastAsia" w:ascii="宋体" w:hAnsi="宋体"/>
          <w:color w:val="auto"/>
          <w:szCs w:val="21"/>
          <w:highlight w:val="none"/>
        </w:rPr>
        <w:t>响应文件</w:t>
      </w:r>
      <w:r>
        <w:rPr>
          <w:rFonts w:ascii="宋体" w:hAnsi="宋体"/>
          <w:color w:val="auto"/>
          <w:szCs w:val="21"/>
          <w:highlight w:val="none"/>
        </w:rPr>
        <w:t>编制的，采购代理机构应当在</w:t>
      </w:r>
      <w:r>
        <w:rPr>
          <w:rFonts w:hint="eastAsia" w:ascii="宋体" w:hAnsi="宋体"/>
          <w:color w:val="auto"/>
          <w:szCs w:val="21"/>
          <w:highlight w:val="none"/>
        </w:rPr>
        <w:t>响应文件递交</w:t>
      </w:r>
      <w:r>
        <w:rPr>
          <w:rFonts w:ascii="宋体" w:hAnsi="宋体"/>
          <w:color w:val="auto"/>
          <w:szCs w:val="21"/>
          <w:highlight w:val="none"/>
        </w:rPr>
        <w:t>截止时间至少</w:t>
      </w:r>
      <w:r>
        <w:rPr>
          <w:rFonts w:hint="eastAsia" w:ascii="宋体" w:hAnsi="宋体"/>
          <w:color w:val="auto"/>
          <w:szCs w:val="21"/>
          <w:highlight w:val="none"/>
        </w:rPr>
        <w:t>5</w:t>
      </w:r>
      <w:r>
        <w:rPr>
          <w:rFonts w:ascii="宋体" w:hAnsi="宋体"/>
          <w:color w:val="auto"/>
          <w:szCs w:val="21"/>
          <w:highlight w:val="none"/>
        </w:rPr>
        <w:t>日前</w:t>
      </w:r>
      <w:r>
        <w:rPr>
          <w:rFonts w:hint="eastAsia" w:ascii="宋体" w:hAnsi="宋体"/>
          <w:color w:val="auto"/>
          <w:szCs w:val="21"/>
          <w:highlight w:val="none"/>
        </w:rPr>
        <w:t>在本项目采购公告发布的同一媒体上发布更正公告</w:t>
      </w:r>
      <w:r>
        <w:rPr>
          <w:rFonts w:ascii="宋体" w:hAnsi="宋体"/>
          <w:color w:val="auto"/>
          <w:szCs w:val="21"/>
          <w:highlight w:val="none"/>
        </w:rPr>
        <w:t>；不足</w:t>
      </w:r>
      <w:r>
        <w:rPr>
          <w:rFonts w:hint="eastAsia" w:ascii="宋体" w:hAnsi="宋体"/>
          <w:color w:val="auto"/>
          <w:szCs w:val="21"/>
          <w:highlight w:val="none"/>
        </w:rPr>
        <w:t>5</w:t>
      </w:r>
      <w:r>
        <w:rPr>
          <w:rFonts w:ascii="宋体" w:hAnsi="宋体"/>
          <w:color w:val="auto"/>
          <w:szCs w:val="21"/>
          <w:highlight w:val="none"/>
        </w:rPr>
        <w:t>日的，采购代理机构应当顺延提交</w:t>
      </w:r>
      <w:r>
        <w:rPr>
          <w:rFonts w:hint="eastAsia" w:ascii="宋体" w:hAnsi="宋体"/>
          <w:color w:val="auto"/>
          <w:szCs w:val="21"/>
          <w:highlight w:val="none"/>
        </w:rPr>
        <w:t>响应文件</w:t>
      </w:r>
      <w:r>
        <w:rPr>
          <w:rFonts w:ascii="宋体" w:hAnsi="宋体"/>
          <w:color w:val="auto"/>
          <w:szCs w:val="21"/>
          <w:highlight w:val="none"/>
        </w:rPr>
        <w:t>的截止时间。</w:t>
      </w:r>
    </w:p>
    <w:p w14:paraId="613755F7">
      <w:pPr>
        <w:spacing w:before="93" w:beforeLines="30" w:after="93" w:afterLines="30" w:line="420" w:lineRule="exact"/>
        <w:jc w:val="center"/>
        <w:rPr>
          <w:rFonts w:ascii="宋体" w:hAnsi="宋体"/>
          <w:b/>
          <w:color w:val="auto"/>
          <w:sz w:val="24"/>
          <w:szCs w:val="21"/>
          <w:highlight w:val="none"/>
        </w:rPr>
      </w:pPr>
      <w:r>
        <w:rPr>
          <w:rFonts w:hint="eastAsia" w:ascii="宋体" w:hAnsi="宋体"/>
          <w:b/>
          <w:color w:val="auto"/>
          <w:sz w:val="24"/>
          <w:szCs w:val="21"/>
          <w:highlight w:val="none"/>
        </w:rPr>
        <w:t>三、响应文件的编制</w:t>
      </w:r>
    </w:p>
    <w:p w14:paraId="22957AA8">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9. 响应文件编制基本要求</w:t>
      </w:r>
    </w:p>
    <w:p w14:paraId="490C5057">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9.1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14:paraId="2A1B07C9">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9.2供应商应认真阅读、并充分理解本文件的全部内容（包括所有的补充、修改内容），承诺并履行本文件中各项条款规定及要求。</w:t>
      </w:r>
    </w:p>
    <w:p w14:paraId="458BABF5">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9.3响应文件必须按本文件的全部内容，包括所有的补充通知及附件进行编制。</w:t>
      </w:r>
    </w:p>
    <w:p w14:paraId="520CF5BD">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9.4如因供应商只填写和提供了本文件要求的部分内容和附件，而给评审造成困难，其可能导致的结果和责任由供应商自行承担。</w:t>
      </w:r>
    </w:p>
    <w:p w14:paraId="43C8073E">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9.</w:t>
      </w:r>
      <w:r>
        <w:rPr>
          <w:rFonts w:ascii="宋体" w:hAnsi="宋体"/>
          <w:b/>
          <w:color w:val="auto"/>
          <w:szCs w:val="21"/>
          <w:highlight w:val="none"/>
        </w:rPr>
        <w:t>5</w:t>
      </w:r>
      <w:r>
        <w:rPr>
          <w:rFonts w:hint="eastAsia" w:ascii="宋体" w:hAnsi="宋体"/>
          <w:b/>
          <w:color w:val="auto"/>
          <w:szCs w:val="21"/>
          <w:highlight w:val="none"/>
        </w:rPr>
        <w:t>响应文件的组成（由资格证明文件、商务技术文件、报价文件组成。格式见第六章响应文件格式）</w:t>
      </w:r>
    </w:p>
    <w:p w14:paraId="228BEA99">
      <w:pPr>
        <w:tabs>
          <w:tab w:val="left" w:pos="6120"/>
        </w:tabs>
        <w:spacing w:line="42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9</w:t>
      </w:r>
      <w:r>
        <w:rPr>
          <w:rFonts w:ascii="宋体" w:hAnsi="宋体"/>
          <w:b/>
          <w:bCs/>
          <w:color w:val="auto"/>
          <w:szCs w:val="21"/>
          <w:highlight w:val="none"/>
        </w:rPr>
        <w:t>.5.1</w:t>
      </w:r>
      <w:r>
        <w:rPr>
          <w:rFonts w:hint="eastAsia" w:ascii="宋体" w:hAnsi="宋体"/>
          <w:b/>
          <w:bCs/>
          <w:color w:val="auto"/>
          <w:szCs w:val="21"/>
          <w:highlight w:val="none"/>
        </w:rPr>
        <w:t>资格证明文件：</w:t>
      </w:r>
    </w:p>
    <w:p w14:paraId="77794B9F">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hAnsi="宋体"/>
          <w:color w:val="auto"/>
          <w:szCs w:val="22"/>
          <w:highlight w:val="none"/>
        </w:rPr>
        <w:t>贺州市政府采购供应商信用承诺函</w:t>
      </w:r>
      <w:r>
        <w:rPr>
          <w:rFonts w:hint="eastAsia" w:ascii="宋体" w:hAnsi="宋体"/>
          <w:color w:val="auto"/>
          <w:szCs w:val="21"/>
          <w:highlight w:val="none"/>
        </w:rPr>
        <w:t>；</w:t>
      </w:r>
    </w:p>
    <w:p w14:paraId="61E1A602">
      <w:pPr>
        <w:spacing w:line="42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w:t>
      </w:r>
      <w:r>
        <w:rPr>
          <w:rFonts w:hint="eastAsia" w:ascii="宋体" w:hAnsi="宋体"/>
          <w:bCs/>
          <w:color w:val="auto"/>
          <w:szCs w:val="21"/>
          <w:highlight w:val="none"/>
        </w:rPr>
        <w:t>（</w:t>
      </w:r>
      <w:r>
        <w:rPr>
          <w:rFonts w:hint="eastAsia" w:ascii="宋体" w:hAnsi="宋体"/>
          <w:bCs/>
          <w:color w:val="auto"/>
          <w:szCs w:val="21"/>
          <w:highlight w:val="none"/>
          <w:lang w:val="en-US" w:eastAsia="zh-CN"/>
        </w:rPr>
        <w:t>2</w:t>
      </w:r>
      <w:r>
        <w:rPr>
          <w:rFonts w:hint="eastAsia" w:ascii="宋体" w:hAnsi="宋体"/>
          <w:bCs/>
          <w:color w:val="auto"/>
          <w:szCs w:val="21"/>
          <w:highlight w:val="none"/>
        </w:rPr>
        <w:t>）</w:t>
      </w:r>
      <w:bookmarkStart w:id="49" w:name="_Hlk98862672"/>
      <w:r>
        <w:rPr>
          <w:rFonts w:hint="eastAsia" w:ascii="宋体" w:hAnsi="宋体"/>
          <w:bCs/>
          <w:color w:val="auto"/>
          <w:szCs w:val="21"/>
          <w:highlight w:val="none"/>
        </w:rPr>
        <w:t>供应商关于参加政府采购活动前3年内在经营活动中没有重大违法记录及有关信用信息的书面声明；</w:t>
      </w:r>
    </w:p>
    <w:p w14:paraId="332A36CF">
      <w:pPr>
        <w:spacing w:line="420" w:lineRule="exact"/>
        <w:ind w:firstLine="420" w:firstLineChars="200"/>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）供</w:t>
      </w:r>
      <w:r>
        <w:rPr>
          <w:rFonts w:hint="eastAsia" w:ascii="宋体" w:hAnsi="宋体" w:eastAsia="宋体" w:cs="Times New Roman"/>
          <w:color w:val="auto"/>
          <w:szCs w:val="21"/>
          <w:highlight w:val="none"/>
          <w:lang w:eastAsia="zh-CN"/>
        </w:rPr>
        <w:t>应商直接控股、管理关系信息表</w:t>
      </w:r>
      <w:bookmarkEnd w:id="49"/>
      <w:r>
        <w:rPr>
          <w:rFonts w:hint="eastAsia" w:ascii="宋体" w:hAnsi="宋体" w:eastAsia="宋体" w:cs="Times New Roman"/>
          <w:color w:val="auto"/>
          <w:szCs w:val="21"/>
          <w:highlight w:val="none"/>
          <w:lang w:eastAsia="zh-CN"/>
        </w:rPr>
        <w:t xml:space="preserve">（请按第六章的格式求要填写）； </w:t>
      </w:r>
    </w:p>
    <w:p w14:paraId="7D879E93">
      <w:pPr>
        <w:spacing w:line="420" w:lineRule="exact"/>
        <w:ind w:firstLine="420" w:firstLineChars="200"/>
        <w:rPr>
          <w:rFonts w:hint="eastAsia" w:eastAsia="宋体"/>
          <w:color w:val="auto"/>
          <w:highlight w:val="none"/>
          <w:lang w:val="en-US" w:eastAsia="zh-CN"/>
        </w:rPr>
      </w:pPr>
      <w:r>
        <w:rPr>
          <w:rFonts w:hint="eastAsia" w:ascii="宋体" w:hAnsi="宋体"/>
          <w:color w:val="auto"/>
          <w:szCs w:val="21"/>
          <w:highlight w:val="none"/>
        </w:rPr>
        <w:t>★</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）中小企业声</w:t>
      </w:r>
      <w:r>
        <w:rPr>
          <w:rFonts w:hint="eastAsia" w:ascii="宋体" w:hAnsi="宋体"/>
          <w:color w:val="auto"/>
          <w:szCs w:val="21"/>
          <w:highlight w:val="none"/>
          <w:lang w:eastAsia="zh-CN"/>
        </w:rPr>
        <w:t>明函（或监狱企业的证明文件或</w:t>
      </w:r>
      <w:r>
        <w:rPr>
          <w:rFonts w:hint="eastAsia" w:ascii="宋体" w:hAnsi="宋体" w:cs="宋体"/>
          <w:bCs/>
          <w:color w:val="auto"/>
          <w:szCs w:val="21"/>
          <w:highlight w:val="none"/>
        </w:rPr>
        <w:t>残疾人福利性单位声明函）</w:t>
      </w:r>
      <w:r>
        <w:rPr>
          <w:rFonts w:hint="eastAsia" w:ascii="宋体" w:hAnsi="宋体" w:cs="宋体"/>
          <w:bCs/>
          <w:color w:val="auto"/>
          <w:szCs w:val="21"/>
          <w:highlight w:val="none"/>
          <w:lang w:val="en-US" w:eastAsia="zh-CN"/>
        </w:rPr>
        <w:t>；</w:t>
      </w:r>
    </w:p>
    <w:p w14:paraId="2442F437">
      <w:pPr>
        <w:autoSpaceDE w:val="0"/>
        <w:autoSpaceDN w:val="0"/>
        <w:snapToGrid w:val="0"/>
        <w:spacing w:line="400" w:lineRule="exact"/>
        <w:ind w:firstLine="630" w:firstLineChars="300"/>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5</w:t>
      </w:r>
      <w:r>
        <w:rPr>
          <w:rFonts w:hint="eastAsia" w:ascii="宋体" w:hAnsi="宋体"/>
          <w:bCs/>
          <w:color w:val="auto"/>
          <w:szCs w:val="21"/>
          <w:highlight w:val="none"/>
        </w:rPr>
        <w:t>）供应商认为必要提供的声明及文件资料。</w:t>
      </w:r>
      <w:r>
        <w:rPr>
          <w:rFonts w:hint="eastAsia" w:ascii="宋体" w:hAnsi="宋体"/>
          <w:b/>
          <w:bCs/>
          <w:color w:val="auto"/>
          <w:szCs w:val="21"/>
          <w:highlight w:val="none"/>
        </w:rPr>
        <w:t>（如有，请提供）</w:t>
      </w:r>
    </w:p>
    <w:p w14:paraId="20A70048">
      <w:pPr>
        <w:tabs>
          <w:tab w:val="left" w:pos="6120"/>
        </w:tabs>
        <w:spacing w:line="42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9</w:t>
      </w:r>
      <w:r>
        <w:rPr>
          <w:rFonts w:ascii="宋体" w:hAnsi="宋体"/>
          <w:b/>
          <w:bCs/>
          <w:color w:val="auto"/>
          <w:szCs w:val="21"/>
          <w:highlight w:val="none"/>
        </w:rPr>
        <w:t>.5.2</w:t>
      </w:r>
      <w:bookmarkStart w:id="50" w:name="_Hlk98844866"/>
      <w:r>
        <w:rPr>
          <w:rFonts w:hint="eastAsia" w:ascii="宋体" w:hAnsi="宋体"/>
          <w:b/>
          <w:bCs/>
          <w:color w:val="auto"/>
          <w:szCs w:val="21"/>
          <w:highlight w:val="none"/>
        </w:rPr>
        <w:t>商务技术文件</w:t>
      </w:r>
      <w:bookmarkEnd w:id="50"/>
      <w:r>
        <w:rPr>
          <w:rFonts w:hint="eastAsia" w:ascii="宋体" w:hAnsi="宋体"/>
          <w:b/>
          <w:bCs/>
          <w:color w:val="auto"/>
          <w:szCs w:val="21"/>
          <w:highlight w:val="none"/>
        </w:rPr>
        <w:t>：</w:t>
      </w:r>
    </w:p>
    <w:p w14:paraId="3555F933">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★（1）无串通竞标行为的承诺函；</w:t>
      </w:r>
      <w:r>
        <w:rPr>
          <w:rFonts w:ascii="宋体" w:hAnsi="宋体"/>
          <w:color w:val="auto"/>
          <w:szCs w:val="21"/>
          <w:highlight w:val="none"/>
        </w:rPr>
        <w:t xml:space="preserve"> </w:t>
      </w:r>
    </w:p>
    <w:p w14:paraId="1FE33A03">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hint="eastAsia" w:hAnsi="宋体"/>
          <w:color w:val="auto"/>
          <w:szCs w:val="22"/>
          <w:highlight w:val="none"/>
        </w:rPr>
        <w:t>法定代表人（负责人）身份证明原件，附：法定代表人（负责人）二代居民身份证复印件</w:t>
      </w:r>
      <w:r>
        <w:rPr>
          <w:rFonts w:hint="eastAsia" w:ascii="宋体" w:hAnsi="宋体"/>
          <w:color w:val="auto"/>
          <w:szCs w:val="21"/>
          <w:highlight w:val="none"/>
        </w:rPr>
        <w:t>；</w:t>
      </w:r>
    </w:p>
    <w:p w14:paraId="2A1CB33D">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hAnsi="宋体"/>
          <w:color w:val="auto"/>
          <w:szCs w:val="22"/>
          <w:highlight w:val="none"/>
        </w:rPr>
        <w:t>法定代表人（负责人）授权委托书原件，附：委托代理人二代居民身份证复印件；</w:t>
      </w:r>
      <w:r>
        <w:rPr>
          <w:rFonts w:hint="eastAsia" w:ascii="宋体" w:hAnsi="宋体"/>
          <w:b/>
          <w:bCs/>
          <w:color w:val="auto"/>
          <w:szCs w:val="21"/>
          <w:highlight w:val="none"/>
        </w:rPr>
        <w:t>（委托代理时必须提供）</w:t>
      </w:r>
    </w:p>
    <w:p w14:paraId="3FFC11E9">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）《项目采购需求》响应表；</w:t>
      </w:r>
    </w:p>
    <w:p w14:paraId="258B6D32">
      <w:pPr>
        <w:spacing w:line="420" w:lineRule="exact"/>
        <w:ind w:left="0" w:leftChars="0" w:firstLine="638" w:firstLineChars="304"/>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）项目服务方案；</w:t>
      </w:r>
    </w:p>
    <w:p w14:paraId="46FD541F">
      <w:pPr>
        <w:tabs>
          <w:tab w:val="left" w:pos="1305"/>
        </w:tabs>
        <w:spacing w:line="420" w:lineRule="exact"/>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）拟投入项目人员一览表</w:t>
      </w:r>
      <w:r>
        <w:rPr>
          <w:rFonts w:hint="eastAsia" w:ascii="宋体" w:hAnsi="宋体"/>
          <w:color w:val="auto"/>
          <w:szCs w:val="21"/>
          <w:highlight w:val="none"/>
          <w:lang w:eastAsia="zh-CN"/>
        </w:rPr>
        <w:t>；</w:t>
      </w:r>
    </w:p>
    <w:p w14:paraId="2EFA4A13">
      <w:pPr>
        <w:tabs>
          <w:tab w:val="left" w:pos="1305"/>
        </w:tabs>
        <w:spacing w:line="420" w:lineRule="exact"/>
        <w:ind w:firstLine="420" w:firstLineChars="200"/>
        <w:rPr>
          <w:rFonts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）磋商供应商完成过同类或类似项目业绩的相关证明材料</w:t>
      </w:r>
      <w:r>
        <w:rPr>
          <w:rFonts w:hint="eastAsia" w:ascii="宋体" w:hAnsi="宋体"/>
          <w:b/>
          <w:color w:val="auto"/>
          <w:szCs w:val="21"/>
          <w:highlight w:val="none"/>
        </w:rPr>
        <w:t>；</w:t>
      </w:r>
      <w:r>
        <w:rPr>
          <w:rFonts w:hint="eastAsia" w:ascii="宋体" w:hAnsi="宋体"/>
          <w:b/>
          <w:bCs/>
          <w:color w:val="auto"/>
          <w:szCs w:val="21"/>
          <w:highlight w:val="none"/>
        </w:rPr>
        <w:t>（如有，请提供）</w:t>
      </w:r>
    </w:p>
    <w:p w14:paraId="23736D98">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）供应商可结合本项目的评标办法视自身情况自行提交相关证明材料。</w:t>
      </w:r>
      <w:r>
        <w:rPr>
          <w:rFonts w:ascii="宋体" w:hAnsi="宋体"/>
          <w:b/>
          <w:bCs/>
          <w:color w:val="auto"/>
          <w:szCs w:val="21"/>
          <w:highlight w:val="none"/>
        </w:rPr>
        <w:t>（如有，请提供）</w:t>
      </w:r>
    </w:p>
    <w:p w14:paraId="6A6D030D">
      <w:pPr>
        <w:tabs>
          <w:tab w:val="left" w:pos="6120"/>
        </w:tabs>
        <w:spacing w:line="42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9</w:t>
      </w:r>
      <w:r>
        <w:rPr>
          <w:rFonts w:ascii="宋体" w:hAnsi="宋体"/>
          <w:b/>
          <w:bCs/>
          <w:color w:val="auto"/>
          <w:szCs w:val="21"/>
          <w:highlight w:val="none"/>
        </w:rPr>
        <w:t>.5.3</w:t>
      </w:r>
      <w:r>
        <w:rPr>
          <w:rFonts w:hint="eastAsia" w:ascii="宋体" w:hAnsi="宋体"/>
          <w:b/>
          <w:bCs/>
          <w:color w:val="auto"/>
          <w:szCs w:val="21"/>
          <w:highlight w:val="none"/>
        </w:rPr>
        <w:t>报价文件：</w:t>
      </w:r>
    </w:p>
    <w:p w14:paraId="4B85D764">
      <w:pPr>
        <w:spacing w:line="420" w:lineRule="exact"/>
        <w:ind w:firstLine="420" w:firstLineChars="200"/>
        <w:rPr>
          <w:rFonts w:ascii="宋体" w:hAnsi="宋体"/>
          <w:b/>
          <w:color w:val="auto"/>
          <w:szCs w:val="21"/>
          <w:highlight w:val="none"/>
        </w:rPr>
      </w:pPr>
      <w:r>
        <w:rPr>
          <w:rFonts w:hint="eastAsia" w:ascii="宋体" w:hAnsi="宋体"/>
          <w:color w:val="auto"/>
          <w:szCs w:val="21"/>
          <w:highlight w:val="none"/>
        </w:rPr>
        <w:t>★（1）磋商函及磋商声明函；</w:t>
      </w:r>
    </w:p>
    <w:p w14:paraId="0152A38D">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★（2）磋商报价表；</w:t>
      </w:r>
      <w:r>
        <w:rPr>
          <w:rFonts w:ascii="宋体" w:hAnsi="宋体"/>
          <w:color w:val="auto"/>
          <w:szCs w:val="21"/>
          <w:highlight w:val="none"/>
        </w:rPr>
        <w:t xml:space="preserve"> </w:t>
      </w:r>
    </w:p>
    <w:p w14:paraId="009FDB59">
      <w:pPr>
        <w:spacing w:line="420" w:lineRule="exact"/>
        <w:ind w:left="0" w:leftChars="0" w:firstLine="638" w:firstLineChars="304"/>
        <w:rPr>
          <w:rFonts w:ascii="宋体" w:hAnsi="宋体"/>
          <w:b/>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bCs/>
          <w:color w:val="auto"/>
          <w:szCs w:val="21"/>
          <w:highlight w:val="none"/>
        </w:rPr>
        <w:t>供应商认为需要提供的其他有关资料。</w:t>
      </w:r>
      <w:r>
        <w:rPr>
          <w:rFonts w:ascii="宋体" w:hAnsi="宋体"/>
          <w:b/>
          <w:bCs/>
          <w:color w:val="auto"/>
          <w:szCs w:val="21"/>
          <w:highlight w:val="none"/>
        </w:rPr>
        <w:t>（如有，请提供）</w:t>
      </w:r>
    </w:p>
    <w:p w14:paraId="13F8D3A0">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注：</w:t>
      </w:r>
    </w:p>
    <w:p w14:paraId="468894F1">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1）“9.</w:t>
      </w:r>
      <w:r>
        <w:rPr>
          <w:rFonts w:ascii="宋体" w:hAnsi="宋体" w:cs="宋体"/>
          <w:b/>
          <w:color w:val="auto"/>
          <w:szCs w:val="21"/>
          <w:highlight w:val="none"/>
        </w:rPr>
        <w:t>5</w:t>
      </w:r>
      <w:r>
        <w:rPr>
          <w:rFonts w:hint="eastAsia" w:ascii="宋体" w:hAnsi="宋体" w:cs="宋体"/>
          <w:b/>
          <w:color w:val="auto"/>
          <w:szCs w:val="21"/>
          <w:highlight w:val="none"/>
        </w:rPr>
        <w:t>响应文件的组成”中编号前标有“★”号的材料均为必须提供的材料；</w:t>
      </w:r>
    </w:p>
    <w:p w14:paraId="01214FF9">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供应商提供的以上相关证明材料必须真实有效，属于“必须提供”的文件须加盖供应商CA证书签章，否则竞标无效；其中“必须提供”的文件“响应文件（格式）”中有要求法定代表人或相应的授权委托代理人在规定位置签字的，可使用法定代表人或授权委托代理人个人CA证书签章，没有办理</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个人CA证书签章的可在响应文件中涉及到签字的位置手写签字后扫描或者拍照做成 PDF 的格式上传，无个人CA证书签章及手写签字的，响应文件按无效处理。</w:t>
      </w:r>
    </w:p>
    <w:p w14:paraId="07C4931C">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10. 计量单位</w:t>
      </w:r>
    </w:p>
    <w:p w14:paraId="12403D51">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10.1除技术要求中另有规定外，本文件所要求使用的计量单位均应采用国家法定计量单位。</w:t>
      </w:r>
    </w:p>
    <w:p w14:paraId="352B903E">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11.响应文件有效期</w:t>
      </w:r>
    </w:p>
    <w:p w14:paraId="1211457B">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11.1响应文件有效期按“供应商须知前附表”规定的期限，有效期不足的响应文件按无效处理。</w:t>
      </w:r>
    </w:p>
    <w:p w14:paraId="3E6B4DF2">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11.2未成交的响应文件有效期内均应保持有效。</w:t>
      </w:r>
    </w:p>
    <w:p w14:paraId="701C7545">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11.3成交供应商的响应文件自响应文件递交截止之日起至合同履行完毕止均应保持有效。</w:t>
      </w:r>
    </w:p>
    <w:p w14:paraId="78DDC55B">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12.磋商保证金</w:t>
      </w:r>
    </w:p>
    <w:p w14:paraId="4EBD2037">
      <w:pPr>
        <w:widowControl/>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本项目无磋商保证金。</w:t>
      </w:r>
    </w:p>
    <w:p w14:paraId="733197B4">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13. 磋商报价要求</w:t>
      </w:r>
    </w:p>
    <w:p w14:paraId="5E37D285">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13.1磋商报价：供应商必须就所磋商项目的全部内容作完整唯一报价，漏项报价的或有选择的或有条件的报价，其磋商将视为无效。</w:t>
      </w:r>
    </w:p>
    <w:p w14:paraId="0C00CC52">
      <w:pPr>
        <w:spacing w:line="42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13.2成交供应商负责本项目所需服务的全部工作。</w:t>
      </w:r>
    </w:p>
    <w:p w14:paraId="5ADAF804">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14.</w:t>
      </w:r>
      <w:r>
        <w:rPr>
          <w:rFonts w:hint="eastAsia" w:ascii="宋体" w:hAnsi="宋体" w:cs="宋体"/>
          <w:b/>
          <w:color w:val="auto"/>
          <w:szCs w:val="21"/>
          <w:highlight w:val="none"/>
        </w:rPr>
        <w:t>响应文件的递交和解密</w:t>
      </w:r>
    </w:p>
    <w:p w14:paraId="3A2654A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w:t>
      </w:r>
      <w:r>
        <w:rPr>
          <w:rFonts w:hint="eastAsia" w:ascii="宋体" w:hAnsi="宋体"/>
          <w:color w:val="auto"/>
          <w:szCs w:val="21"/>
          <w:highlight w:val="none"/>
        </w:rPr>
        <w:t>响应文件提交截止时间：于</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13</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时00分</w:t>
      </w:r>
      <w:r>
        <w:rPr>
          <w:rFonts w:hint="eastAsia" w:ascii="宋体" w:hAnsi="宋体" w:cs="宋体"/>
          <w:color w:val="auto"/>
          <w:szCs w:val="21"/>
          <w:highlight w:val="none"/>
        </w:rPr>
        <w:t>之前将电子响应文件上传到</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供应商在广西政府采购云平台提交电子版响应文件时，请填写参加远程开标活动经办人联系方式</w:t>
      </w:r>
      <w:r>
        <w:rPr>
          <w:rFonts w:hint="eastAsia" w:ascii="宋体" w:hAnsi="宋体" w:cs="宋体"/>
          <w:b/>
          <w:bCs/>
          <w:color w:val="auto"/>
          <w:szCs w:val="21"/>
          <w:highlight w:val="none"/>
        </w:rPr>
        <w:t>。</w:t>
      </w:r>
      <w:r>
        <w:rPr>
          <w:rFonts w:hint="eastAsia" w:ascii="宋体" w:hAnsi="宋体" w:cs="宋体"/>
          <w:color w:val="auto"/>
          <w:szCs w:val="21"/>
          <w:highlight w:val="none"/>
        </w:rPr>
        <w:t>应按照本项目采购文件和</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平台的要求编制、加密传输响应文件。供应商在使用系统进行投标的过程中遇到涉及平台使用的任何问题，可致电</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p w14:paraId="286E4E0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14.2响应文件解密时间：截标时间后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13</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时00分</w:t>
      </w:r>
      <w:r>
        <w:rPr>
          <w:rFonts w:hint="eastAsia" w:ascii="宋体" w:hAnsi="宋体" w:cs="宋体"/>
          <w:bCs/>
          <w:color w:val="auto"/>
          <w:kern w:val="0"/>
          <w:szCs w:val="21"/>
          <w:highlight w:val="none"/>
          <w:u w:val="single"/>
        </w:rPr>
        <w:t>至</w:t>
      </w:r>
      <w:r>
        <w:rPr>
          <w:rFonts w:hint="eastAsia" w:ascii="宋体" w:hAnsi="宋体" w:cs="宋体"/>
          <w:bCs/>
          <w:color w:val="auto"/>
          <w:kern w:val="0"/>
          <w:szCs w:val="21"/>
          <w:highlight w:val="none"/>
          <w:u w:val="single"/>
          <w:lang w:val="en-US" w:eastAsia="zh-CN"/>
        </w:rPr>
        <w:t>9</w:t>
      </w:r>
      <w:r>
        <w:rPr>
          <w:rFonts w:hint="eastAsia" w:ascii="宋体" w:hAnsi="宋体" w:cs="宋体"/>
          <w:bCs/>
          <w:color w:val="auto"/>
          <w:kern w:val="0"/>
          <w:szCs w:val="21"/>
          <w:highlight w:val="none"/>
          <w:u w:val="single"/>
        </w:rPr>
        <w:t>时</w:t>
      </w:r>
      <w:r>
        <w:rPr>
          <w:rFonts w:hint="eastAsia" w:ascii="宋体" w:hAnsi="宋体" w:cs="宋体"/>
          <w:bCs/>
          <w:color w:val="auto"/>
          <w:kern w:val="0"/>
          <w:szCs w:val="21"/>
          <w:highlight w:val="none"/>
          <w:u w:val="single"/>
          <w:lang w:val="en-US" w:eastAsia="zh-CN"/>
        </w:rPr>
        <w:t>30</w:t>
      </w:r>
      <w:r>
        <w:rPr>
          <w:rFonts w:hint="eastAsia" w:ascii="宋体" w:hAnsi="宋体" w:cs="宋体"/>
          <w:bCs/>
          <w:color w:val="auto"/>
          <w:kern w:val="0"/>
          <w:szCs w:val="21"/>
          <w:highlight w:val="none"/>
          <w:u w:val="single"/>
        </w:rPr>
        <w:t>分)</w:t>
      </w:r>
      <w:r>
        <w:rPr>
          <w:rFonts w:hint="eastAsia" w:ascii="宋体" w:hAnsi="宋体" w:cs="宋体"/>
          <w:color w:val="auto"/>
          <w:szCs w:val="21"/>
          <w:highlight w:val="none"/>
        </w:rPr>
        <w:t>供应商可以登录</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平台，用“项目采购-开标评标”功能进行解密响应文件。若供应商在规定时间内无法解密或解密失败，可以以电子备份响应文件作为依据</w:t>
      </w:r>
      <w:r>
        <w:rPr>
          <w:rFonts w:hint="eastAsia" w:ascii="宋体" w:hAnsi="宋体" w:cs="宋体"/>
          <w:b/>
          <w:bCs/>
          <w:color w:val="auto"/>
          <w:szCs w:val="21"/>
          <w:highlight w:val="none"/>
        </w:rPr>
        <w:t>【在接到无法解密或解密失败的通知后，供应商可根据自身实际情况按通知时要求的时间到</w:t>
      </w:r>
      <w:r>
        <w:rPr>
          <w:rFonts w:hint="eastAsia" w:ascii="宋体" w:hAnsi="宋体" w:cs="宋体"/>
          <w:b/>
          <w:bCs/>
          <w:color w:val="auto"/>
          <w:szCs w:val="21"/>
          <w:highlight w:val="none"/>
          <w:lang w:val="en-US" w:eastAsia="zh-CN"/>
        </w:rPr>
        <w:t>广西翔正项目管理有限公司（贺州市太安巷56号）</w:t>
      </w:r>
      <w:r>
        <w:rPr>
          <w:rFonts w:hint="eastAsia" w:ascii="宋体" w:hAnsi="宋体" w:cs="宋体"/>
          <w:b/>
          <w:bCs/>
          <w:color w:val="auto"/>
          <w:szCs w:val="21"/>
          <w:highlight w:val="none"/>
        </w:rPr>
        <w:t>现场提交或以电子邮件的形式（以通知时所告知的电子邮箱地址为准）提交电子备份响应文件】</w:t>
      </w:r>
      <w:r>
        <w:rPr>
          <w:rFonts w:hint="eastAsia" w:ascii="宋体" w:hAnsi="宋体" w:cs="宋体"/>
          <w:color w:val="auto"/>
          <w:szCs w:val="21"/>
          <w:highlight w:val="none"/>
        </w:rPr>
        <w:t>，若电子备份响应文件与</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上传的电子响应文件被识别为不一致的，以电子备份响应文件作为评审依据；供应商按时在线解密响应文件的，以在线解密的响应文件作为评审依据。若供应商在规定时间内无法解密或解密失败且未提供电子备份响应文件的(包含提供的电子备份文件无效或无法解密的情况)，视为投标无效。</w:t>
      </w:r>
    </w:p>
    <w:p w14:paraId="2AC66F9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14.3 除采购文件另有规定外，供应商所递交的响应文件不予退还。</w:t>
      </w:r>
    </w:p>
    <w:p w14:paraId="352143A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14.4 电子响应文件的相关说明</w:t>
      </w:r>
    </w:p>
    <w:p w14:paraId="2E3DBBE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供应商进行电子投标应安装客户端软件，并按照采购文件和电子交易平台的要求编制并加密响应文件。供应商未按规定加密的响应文件，电子交易平台将拒收。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电子交易平台将拒收。 </w:t>
      </w:r>
    </w:p>
    <w:p w14:paraId="365B4BD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66B96BF9">
      <w:pPr>
        <w:tabs>
          <w:tab w:val="left" w:pos="1305"/>
        </w:tabs>
        <w:spacing w:line="400" w:lineRule="exact"/>
        <w:rPr>
          <w:rFonts w:ascii="宋体" w:hAnsi="宋体"/>
          <w:b/>
          <w:color w:val="auto"/>
          <w:szCs w:val="21"/>
          <w:highlight w:val="none"/>
        </w:rPr>
      </w:pPr>
      <w:r>
        <w:rPr>
          <w:rFonts w:hint="eastAsia" w:ascii="宋体" w:hAnsi="宋体"/>
          <w:b/>
          <w:color w:val="auto"/>
          <w:szCs w:val="21"/>
          <w:highlight w:val="none"/>
        </w:rPr>
        <w:t>15. 电子响应文件的制作、加密、供应商公章及签字</w:t>
      </w:r>
    </w:p>
    <w:p w14:paraId="0E144AA2">
      <w:pPr>
        <w:tabs>
          <w:tab w:val="left" w:pos="1305"/>
        </w:tabs>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15.</w:t>
      </w:r>
      <w:r>
        <w:rPr>
          <w:rFonts w:ascii="宋体" w:hAnsi="宋体"/>
          <w:b/>
          <w:color w:val="auto"/>
          <w:szCs w:val="21"/>
          <w:highlight w:val="none"/>
        </w:rPr>
        <w:t>1</w:t>
      </w:r>
      <w:r>
        <w:rPr>
          <w:rFonts w:hint="eastAsia" w:ascii="宋体" w:hAnsi="宋体"/>
          <w:b/>
          <w:color w:val="auto"/>
          <w:szCs w:val="21"/>
          <w:highlight w:val="none"/>
        </w:rPr>
        <w:t>参与电子投标的准备工作</w:t>
      </w:r>
    </w:p>
    <w:p w14:paraId="065C4782">
      <w:pPr>
        <w:tabs>
          <w:tab w:val="left" w:pos="1635"/>
        </w:tabs>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15</w:t>
      </w:r>
      <w:r>
        <w:rPr>
          <w:rFonts w:ascii="宋体" w:hAnsi="宋体" w:cs="宋体"/>
          <w:color w:val="auto"/>
          <w:kern w:val="0"/>
          <w:szCs w:val="21"/>
          <w:highlight w:val="none"/>
        </w:rPr>
        <w:t>.1.1</w:t>
      </w:r>
      <w:r>
        <w:rPr>
          <w:rFonts w:hint="eastAsia" w:ascii="宋体" w:hAnsi="宋体"/>
          <w:bCs/>
          <w:color w:val="auto"/>
          <w:szCs w:val="21"/>
          <w:highlight w:val="none"/>
        </w:rPr>
        <w:t>本项目实行全流程电子化采购，供应商通过</w:t>
      </w:r>
      <w:r>
        <w:rPr>
          <w:rFonts w:hint="eastAsia" w:ascii="宋体" w:hAnsi="宋体"/>
          <w:bCs/>
          <w:color w:val="auto"/>
          <w:szCs w:val="21"/>
          <w:highlight w:val="none"/>
          <w:lang w:eastAsia="zh-CN"/>
        </w:rPr>
        <w:t>广西政府采购云</w:t>
      </w:r>
      <w:r>
        <w:rPr>
          <w:rFonts w:hint="eastAsia" w:ascii="宋体" w:hAnsi="宋体"/>
          <w:bCs/>
          <w:color w:val="auto"/>
          <w:szCs w:val="21"/>
          <w:highlight w:val="none"/>
        </w:rPr>
        <w:t>平台参与电子投标，并应做好以下相关准备工作：①在</w:t>
      </w:r>
      <w:r>
        <w:rPr>
          <w:rFonts w:hint="eastAsia" w:ascii="宋体" w:hAnsi="宋体"/>
          <w:bCs/>
          <w:color w:val="auto"/>
          <w:szCs w:val="21"/>
          <w:highlight w:val="none"/>
          <w:lang w:eastAsia="zh-CN"/>
        </w:rPr>
        <w:t>广西政府采购云</w:t>
      </w:r>
      <w:r>
        <w:rPr>
          <w:rFonts w:hint="eastAsia" w:ascii="宋体" w:hAnsi="宋体"/>
          <w:bCs/>
          <w:color w:val="auto"/>
          <w:szCs w:val="21"/>
          <w:highlight w:val="none"/>
        </w:rPr>
        <w:t>平台注册成为正式供应商（操作方法详见广西政府采购网—办事服务—办事指南）；②完成CA证书申领和绑定（费用由供应商自行承担，办理流程详见广西政府采购网—办事服务—下载专区，完成CA证书办理预计一周左右，建议供应商尽快办理）；③下载“广西壮族自治区全流程电子招投标项目管理系统--供应商客户端”（操作方法详见广西政府采购网—办事服务—下载专区，以下称“</w:t>
      </w:r>
      <w:r>
        <w:rPr>
          <w:rFonts w:hint="eastAsia" w:ascii="宋体" w:hAnsi="宋体" w:eastAsia="宋体" w:cs="宋体"/>
          <w:i w:val="0"/>
          <w:iCs w:val="0"/>
          <w:caps w:val="0"/>
          <w:color w:val="auto"/>
          <w:spacing w:val="0"/>
          <w:sz w:val="21"/>
          <w:szCs w:val="21"/>
          <w:highlight w:val="none"/>
          <w:shd w:val="clear" w:fill="FFFFFF"/>
          <w:lang w:eastAsia="zh-CN"/>
        </w:rPr>
        <w:t>广西政府采购云平台新版客户端</w:t>
      </w:r>
      <w:r>
        <w:rPr>
          <w:rFonts w:hint="eastAsia" w:ascii="宋体" w:hAnsi="宋体"/>
          <w:bCs/>
          <w:color w:val="auto"/>
          <w:szCs w:val="21"/>
          <w:highlight w:val="none"/>
        </w:rPr>
        <w:t>”）并安装成功，供应商应当在提交响应文件截止时间前在</w:t>
      </w:r>
      <w:r>
        <w:rPr>
          <w:rFonts w:hint="eastAsia" w:ascii="宋体" w:hAnsi="宋体"/>
          <w:bCs/>
          <w:color w:val="auto"/>
          <w:szCs w:val="21"/>
          <w:highlight w:val="none"/>
          <w:lang w:eastAsia="zh-CN"/>
        </w:rPr>
        <w:t>广西政府采购云</w:t>
      </w:r>
      <w:r>
        <w:rPr>
          <w:rFonts w:hint="eastAsia" w:ascii="宋体" w:hAnsi="宋体"/>
          <w:bCs/>
          <w:color w:val="auto"/>
          <w:szCs w:val="21"/>
          <w:highlight w:val="none"/>
        </w:rPr>
        <w:t>平台完成的身份认证，确保能够对相关数据电文进行加密和使用电子签章；④自备计算机和网络设备并确保能接入互联网（费用由供应商自行承担，设备确保可进行视频通话和读取</w:t>
      </w:r>
      <w:r>
        <w:rPr>
          <w:rFonts w:hint="eastAsia" w:ascii="宋体" w:hAnsi="宋体"/>
          <w:bCs/>
          <w:color w:val="auto"/>
          <w:szCs w:val="21"/>
          <w:highlight w:val="none"/>
          <w:lang w:eastAsia="zh-CN"/>
        </w:rPr>
        <w:t>广西政府采购云</w:t>
      </w:r>
      <w:r>
        <w:rPr>
          <w:rFonts w:hint="eastAsia" w:ascii="宋体" w:hAnsi="宋体"/>
          <w:bCs/>
          <w:color w:val="auto"/>
          <w:szCs w:val="21"/>
          <w:highlight w:val="none"/>
        </w:rPr>
        <w:t>CA证书）。因供应商未做好相关准备工作等自身原因导致无法参加本项目电子投标或投标失败的，造成的一切后果，由供应商自行承担</w:t>
      </w:r>
      <w:r>
        <w:rPr>
          <w:rFonts w:hint="eastAsia" w:ascii="宋体" w:hAnsi="宋体" w:cs="宋体"/>
          <w:color w:val="auto"/>
          <w:kern w:val="0"/>
          <w:szCs w:val="21"/>
          <w:highlight w:val="none"/>
        </w:rPr>
        <w:t>。</w:t>
      </w:r>
    </w:p>
    <w:p w14:paraId="3E16DD77">
      <w:pPr>
        <w:tabs>
          <w:tab w:val="left" w:pos="1635"/>
        </w:tabs>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15</w:t>
      </w:r>
      <w:r>
        <w:rPr>
          <w:rFonts w:ascii="宋体" w:hAnsi="宋体" w:cs="宋体"/>
          <w:color w:val="auto"/>
          <w:kern w:val="0"/>
          <w:szCs w:val="21"/>
          <w:highlight w:val="none"/>
        </w:rPr>
        <w:t>.1.2</w:t>
      </w:r>
      <w:r>
        <w:rPr>
          <w:rFonts w:hint="eastAsia" w:ascii="宋体" w:hAnsi="宋体" w:cs="宋体"/>
          <w:color w:val="auto"/>
          <w:kern w:val="0"/>
          <w:szCs w:val="21"/>
          <w:highlight w:val="none"/>
        </w:rPr>
        <w:t>供应商应及时熟悉掌握电子标系统操作指南（见</w:t>
      </w:r>
      <w:r>
        <w:rPr>
          <w:rFonts w:hint="eastAsia" w:ascii="宋体" w:hAnsi="宋体" w:cs="宋体"/>
          <w:color w:val="auto"/>
          <w:kern w:val="0"/>
          <w:szCs w:val="21"/>
          <w:highlight w:val="none"/>
          <w:lang w:eastAsia="zh-CN"/>
        </w:rPr>
        <w:t>广西政府采购云</w:t>
      </w:r>
      <w:r>
        <w:rPr>
          <w:rFonts w:hint="eastAsia" w:ascii="宋体" w:hAnsi="宋体" w:cs="宋体"/>
          <w:color w:val="auto"/>
          <w:kern w:val="0"/>
          <w:szCs w:val="21"/>
          <w:highlight w:val="none"/>
        </w:rPr>
        <w:t>电子卖场首页右上角—服务中心—帮助文档—项目采购）：https://service.zcygov.cn/#/knowledges/tree?tag=AG1DtGwBFdiHxlNdhY0r。如遇平台技术问题详询</w:t>
      </w:r>
      <w:r>
        <w:rPr>
          <w:rFonts w:hint="eastAsia" w:ascii="宋体" w:hAnsi="宋体" w:cs="宋体"/>
          <w:color w:val="auto"/>
          <w:kern w:val="0"/>
          <w:szCs w:val="21"/>
          <w:highlight w:val="none"/>
          <w:lang w:eastAsia="zh-CN"/>
        </w:rPr>
        <w:t>95763</w:t>
      </w:r>
      <w:r>
        <w:rPr>
          <w:rFonts w:hint="eastAsia" w:ascii="宋体" w:hAnsi="宋体" w:cs="宋体"/>
          <w:color w:val="auto"/>
          <w:kern w:val="0"/>
          <w:szCs w:val="21"/>
          <w:highlight w:val="none"/>
        </w:rPr>
        <w:t>。</w:t>
      </w:r>
    </w:p>
    <w:p w14:paraId="069B654E">
      <w:pPr>
        <w:tabs>
          <w:tab w:val="left" w:pos="1305"/>
        </w:tabs>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15.</w:t>
      </w:r>
      <w:r>
        <w:rPr>
          <w:rFonts w:ascii="宋体" w:hAnsi="宋体"/>
          <w:b/>
          <w:color w:val="auto"/>
          <w:szCs w:val="21"/>
          <w:highlight w:val="none"/>
        </w:rPr>
        <w:t>2</w:t>
      </w:r>
      <w:r>
        <w:rPr>
          <w:rFonts w:hint="eastAsia" w:ascii="宋体" w:hAnsi="宋体"/>
          <w:b/>
          <w:color w:val="auto"/>
          <w:szCs w:val="21"/>
          <w:highlight w:val="none"/>
        </w:rPr>
        <w:t>电子响应文件的制作、加密</w:t>
      </w:r>
    </w:p>
    <w:p w14:paraId="3AE1B615">
      <w:pPr>
        <w:tabs>
          <w:tab w:val="left" w:pos="130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w:t>
      </w:r>
      <w:r>
        <w:rPr>
          <w:rFonts w:ascii="宋体" w:hAnsi="宋体"/>
          <w:color w:val="auto"/>
          <w:szCs w:val="21"/>
          <w:highlight w:val="none"/>
        </w:rPr>
        <w:t>2</w:t>
      </w:r>
      <w:r>
        <w:rPr>
          <w:rFonts w:hint="eastAsia" w:ascii="宋体" w:hAnsi="宋体"/>
          <w:color w:val="auto"/>
          <w:szCs w:val="21"/>
          <w:highlight w:val="none"/>
        </w:rPr>
        <w:t>.1供应商制作电子响应文件前，必须</w:t>
      </w:r>
      <w:r>
        <w:rPr>
          <w:rFonts w:hint="eastAsia" w:ascii="宋体" w:hAnsi="宋体"/>
          <w:color w:val="auto"/>
          <w:szCs w:val="21"/>
          <w:highlight w:val="none"/>
          <w:lang w:eastAsia="zh-CN"/>
        </w:rPr>
        <w:t>登录广西政府采购云</w:t>
      </w:r>
      <w:r>
        <w:rPr>
          <w:rFonts w:hint="eastAsia" w:ascii="宋体" w:hAnsi="宋体"/>
          <w:color w:val="auto"/>
          <w:szCs w:val="21"/>
          <w:highlight w:val="none"/>
        </w:rPr>
        <w:t>平台进行采购文件的获取操作。</w:t>
      </w:r>
    </w:p>
    <w:p w14:paraId="6E6073F6">
      <w:pPr>
        <w:tabs>
          <w:tab w:val="left" w:pos="130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w:t>
      </w:r>
      <w:r>
        <w:rPr>
          <w:rFonts w:ascii="宋体" w:hAnsi="宋体"/>
          <w:color w:val="auto"/>
          <w:szCs w:val="21"/>
          <w:highlight w:val="none"/>
        </w:rPr>
        <w:t>2</w:t>
      </w:r>
      <w:r>
        <w:rPr>
          <w:rFonts w:hint="eastAsia" w:ascii="宋体" w:hAnsi="宋体"/>
          <w:color w:val="auto"/>
          <w:szCs w:val="21"/>
          <w:highlight w:val="none"/>
        </w:rPr>
        <w:t>.2供应商下载或获取采购文件后，登录“</w:t>
      </w:r>
      <w:r>
        <w:rPr>
          <w:rFonts w:hint="eastAsia" w:ascii="宋体" w:hAnsi="宋体" w:eastAsia="宋体" w:cs="宋体"/>
          <w:i w:val="0"/>
          <w:iCs w:val="0"/>
          <w:caps w:val="0"/>
          <w:color w:val="auto"/>
          <w:spacing w:val="0"/>
          <w:sz w:val="21"/>
          <w:szCs w:val="21"/>
          <w:highlight w:val="none"/>
          <w:shd w:val="clear" w:fill="FFFFFF"/>
          <w:lang w:eastAsia="zh-CN"/>
        </w:rPr>
        <w:t>广西政府采购云平台新版客户端</w:t>
      </w:r>
      <w:r>
        <w:rPr>
          <w:rFonts w:hint="eastAsia" w:ascii="宋体" w:hAnsi="宋体"/>
          <w:color w:val="auto"/>
          <w:szCs w:val="21"/>
          <w:highlight w:val="none"/>
        </w:rPr>
        <w:t>”，按照本采购文件规定的响应文件格式、顺序以及</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平台的要求，通过“</w:t>
      </w:r>
      <w:r>
        <w:rPr>
          <w:rFonts w:hint="eastAsia" w:ascii="宋体" w:hAnsi="宋体" w:eastAsia="宋体" w:cs="宋体"/>
          <w:i w:val="0"/>
          <w:iCs w:val="0"/>
          <w:caps w:val="0"/>
          <w:color w:val="auto"/>
          <w:spacing w:val="0"/>
          <w:sz w:val="21"/>
          <w:szCs w:val="21"/>
          <w:highlight w:val="none"/>
          <w:shd w:val="clear" w:fill="FFFFFF"/>
          <w:lang w:eastAsia="zh-CN"/>
        </w:rPr>
        <w:t>广西政府采购云平台新版客户端</w:t>
      </w:r>
      <w:r>
        <w:rPr>
          <w:rFonts w:hint="eastAsia" w:ascii="宋体" w:hAnsi="宋体"/>
          <w:color w:val="auto"/>
          <w:szCs w:val="21"/>
          <w:highlight w:val="none"/>
        </w:rPr>
        <w:t>”编制电子响应文件。</w:t>
      </w:r>
    </w:p>
    <w:p w14:paraId="70449BB3">
      <w:pPr>
        <w:tabs>
          <w:tab w:val="left" w:pos="130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w:t>
      </w:r>
      <w:r>
        <w:rPr>
          <w:rFonts w:ascii="宋体" w:hAnsi="宋体"/>
          <w:color w:val="auto"/>
          <w:szCs w:val="21"/>
          <w:highlight w:val="none"/>
        </w:rPr>
        <w:t>2</w:t>
      </w:r>
      <w:r>
        <w:rPr>
          <w:rFonts w:hint="eastAsia" w:ascii="宋体" w:hAnsi="宋体"/>
          <w:color w:val="auto"/>
          <w:szCs w:val="21"/>
          <w:highlight w:val="none"/>
        </w:rPr>
        <w:t>.3</w:t>
      </w:r>
      <w:r>
        <w:rPr>
          <w:rFonts w:hint="eastAsia" w:ascii="宋体" w:hAnsi="宋体" w:cs="宋体"/>
          <w:color w:val="auto"/>
          <w:szCs w:val="21"/>
          <w:highlight w:val="none"/>
        </w:rPr>
        <w:t>供应商应按“</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电子投标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r>
        <w:rPr>
          <w:rFonts w:hint="eastAsia" w:ascii="宋体" w:hAnsi="宋体"/>
          <w:color w:val="auto"/>
          <w:szCs w:val="21"/>
          <w:highlight w:val="none"/>
        </w:rPr>
        <w:t>。</w:t>
      </w:r>
    </w:p>
    <w:p w14:paraId="471F723E">
      <w:pPr>
        <w:tabs>
          <w:tab w:val="left" w:pos="130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w:t>
      </w:r>
      <w:r>
        <w:rPr>
          <w:rFonts w:ascii="宋体" w:hAnsi="宋体"/>
          <w:color w:val="auto"/>
          <w:szCs w:val="21"/>
          <w:highlight w:val="none"/>
        </w:rPr>
        <w:t>2</w:t>
      </w:r>
      <w:r>
        <w:rPr>
          <w:rFonts w:hint="eastAsia" w:ascii="宋体" w:hAnsi="宋体"/>
          <w:color w:val="auto"/>
          <w:szCs w:val="21"/>
          <w:highlight w:val="none"/>
        </w:rPr>
        <w:t>.4电子响应文件不得涂改，若有修改错漏处，须由法定代表人或授权委托代理人通过“</w:t>
      </w:r>
      <w:r>
        <w:rPr>
          <w:rFonts w:hint="eastAsia" w:ascii="宋体" w:hAnsi="宋体" w:eastAsia="宋体" w:cs="宋体"/>
          <w:i w:val="0"/>
          <w:iCs w:val="0"/>
          <w:caps w:val="0"/>
          <w:color w:val="auto"/>
          <w:spacing w:val="0"/>
          <w:sz w:val="21"/>
          <w:szCs w:val="21"/>
          <w:highlight w:val="none"/>
          <w:shd w:val="clear" w:fill="FFFFFF"/>
          <w:lang w:eastAsia="zh-CN"/>
        </w:rPr>
        <w:t>广西政府采购云平台新版客户端</w:t>
      </w:r>
      <w:r>
        <w:rPr>
          <w:rFonts w:hint="eastAsia" w:ascii="宋体" w:hAnsi="宋体"/>
          <w:color w:val="auto"/>
          <w:szCs w:val="21"/>
          <w:highlight w:val="none"/>
        </w:rPr>
        <w:t>”采用</w:t>
      </w:r>
      <w:r>
        <w:rPr>
          <w:rFonts w:hint="eastAsia" w:ascii="宋体" w:hAnsi="宋体"/>
          <w:color w:val="auto"/>
          <w:szCs w:val="21"/>
          <w:highlight w:val="none"/>
          <w:lang w:eastAsia="zh-CN"/>
        </w:rPr>
        <w:t>广西政府采购云</w:t>
      </w:r>
      <w:r>
        <w:rPr>
          <w:rFonts w:hint="eastAsia" w:ascii="宋体" w:hAnsi="宋体"/>
          <w:color w:val="auto"/>
          <w:szCs w:val="21"/>
          <w:highlight w:val="none"/>
        </w:rPr>
        <w:t>个人CA证书签章，没有办理</w:t>
      </w:r>
      <w:r>
        <w:rPr>
          <w:rFonts w:hint="eastAsia" w:ascii="宋体" w:hAnsi="宋体"/>
          <w:color w:val="auto"/>
          <w:szCs w:val="21"/>
          <w:highlight w:val="none"/>
          <w:lang w:eastAsia="zh-CN"/>
        </w:rPr>
        <w:t>广西政府采购云</w:t>
      </w:r>
      <w:r>
        <w:rPr>
          <w:rFonts w:hint="eastAsia" w:ascii="宋体" w:hAnsi="宋体"/>
          <w:color w:val="auto"/>
          <w:szCs w:val="21"/>
          <w:highlight w:val="none"/>
        </w:rPr>
        <w:t>个人CA证书签章的，在响应文件中响应位置手写签字后扫描或者拍照做成 PDF 的格式上传。因响应文件字迹潦草、表达不清、内容不完整、编排混乱导致响应文件被误读、漏读，或者在按采购文件规定的部位查找不到相关内容的，其不利后果由供应商自行承担。</w:t>
      </w:r>
    </w:p>
    <w:p w14:paraId="56B17EF4">
      <w:pPr>
        <w:tabs>
          <w:tab w:val="left" w:pos="130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w:t>
      </w:r>
      <w:r>
        <w:rPr>
          <w:rFonts w:ascii="宋体" w:hAnsi="宋体"/>
          <w:color w:val="auto"/>
          <w:szCs w:val="21"/>
          <w:highlight w:val="none"/>
        </w:rPr>
        <w:t>2</w:t>
      </w:r>
      <w:r>
        <w:rPr>
          <w:rFonts w:hint="eastAsia" w:ascii="宋体" w:hAnsi="宋体"/>
          <w:color w:val="auto"/>
          <w:szCs w:val="21"/>
          <w:highlight w:val="none"/>
        </w:rPr>
        <w:t>.5供应商编制、生成电子响应文件后应当加密响应文件。供应商未按规定编制并加密的响应文件，</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平台将予以拒收。</w:t>
      </w:r>
    </w:p>
    <w:p w14:paraId="4442EEAC">
      <w:pPr>
        <w:tabs>
          <w:tab w:val="left" w:pos="1305"/>
        </w:tabs>
        <w:spacing w:line="400" w:lineRule="exact"/>
        <w:ind w:firstLine="420" w:firstLineChars="200"/>
        <w:rPr>
          <w:rFonts w:ascii="宋体" w:hAnsi="宋体"/>
          <w:b/>
          <w:color w:val="auto"/>
          <w:szCs w:val="21"/>
          <w:highlight w:val="none"/>
        </w:rPr>
      </w:pPr>
      <w:r>
        <w:rPr>
          <w:rFonts w:hint="eastAsia" w:ascii="宋体" w:hAnsi="宋体"/>
          <w:color w:val="auto"/>
          <w:szCs w:val="21"/>
          <w:highlight w:val="none"/>
        </w:rPr>
        <w:t>15</w:t>
      </w: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供应商公章及签字</w:t>
      </w:r>
    </w:p>
    <w:p w14:paraId="44A46D0D">
      <w:pPr>
        <w:tabs>
          <w:tab w:val="left" w:pos="130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15.3.1本采购文件中描述供应商的“公章”是指供应商通过指定电子化政府采购平台办理数字证书（CA认证证书）获得的以法定主体行为名称制作的电子印章。</w:t>
      </w:r>
    </w:p>
    <w:p w14:paraId="0A5C177D">
      <w:pPr>
        <w:tabs>
          <w:tab w:val="left" w:pos="130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15.3.2本采购文件中要求供应商对其电子响应文件的相关内容加盖公章的，均指采用CA证书签章。</w:t>
      </w:r>
    </w:p>
    <w:p w14:paraId="28E14998">
      <w:pPr>
        <w:tabs>
          <w:tab w:val="left" w:pos="130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15.3.3本采购文件中描述供应商的“签字”是指供应商通过指定电子化政府采购平台办理数字证书（CA认证证书）获得的以供应商法定代表人或者委托代理人姓名制作的个人电子印章或手写签字。没有办理个人CA证书的，可以为手写签字的形式。</w:t>
      </w:r>
    </w:p>
    <w:p w14:paraId="50BE17D3">
      <w:pPr>
        <w:pStyle w:val="22"/>
        <w:spacing w:line="420" w:lineRule="exact"/>
        <w:outlineLvl w:val="2"/>
        <w:rPr>
          <w:rFonts w:hAnsi="宋体"/>
          <w:b/>
          <w:color w:val="auto"/>
          <w:sz w:val="21"/>
          <w:highlight w:val="none"/>
        </w:rPr>
      </w:pPr>
      <w:bookmarkStart w:id="51" w:name="_Toc13935"/>
      <w:r>
        <w:rPr>
          <w:rFonts w:hint="eastAsia" w:hAnsi="宋体"/>
          <w:b/>
          <w:color w:val="auto"/>
          <w:sz w:val="21"/>
          <w:highlight w:val="none"/>
        </w:rPr>
        <w:t>16.响应文件的修改及撤回</w:t>
      </w:r>
      <w:bookmarkEnd w:id="51"/>
    </w:p>
    <w:p w14:paraId="32B8FF02">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16.1供应商应当在提交响应文件截止时间前，将生成的电子响应文件上传提交至</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响应文件提交截止时间前可以补充、修改或撤回电子响应文件，补充、修改电子响应文件的，应当先行撤回原文件，补充、修改后重新传输提交，响应文件提交截止时间前未完成传输的，视为撤回响应文件。</w:t>
      </w:r>
    </w:p>
    <w:p w14:paraId="7B14E78C">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16.2在响应文件递交截止时间后的响应文件有效期内，供应商不得撤回其响应文件。</w:t>
      </w:r>
    </w:p>
    <w:p w14:paraId="723DF119">
      <w:pPr>
        <w:spacing w:before="93" w:beforeLines="30" w:after="93" w:afterLines="30" w:line="420" w:lineRule="exact"/>
        <w:jc w:val="center"/>
        <w:rPr>
          <w:rFonts w:ascii="宋体" w:hAnsi="宋体"/>
          <w:b/>
          <w:color w:val="auto"/>
          <w:sz w:val="24"/>
          <w:szCs w:val="21"/>
          <w:highlight w:val="none"/>
        </w:rPr>
      </w:pPr>
      <w:r>
        <w:rPr>
          <w:rFonts w:hint="eastAsia" w:ascii="宋体" w:hAnsi="宋体"/>
          <w:b/>
          <w:color w:val="auto"/>
          <w:sz w:val="24"/>
          <w:szCs w:val="21"/>
          <w:highlight w:val="none"/>
        </w:rPr>
        <w:t>四、竞争性磋商（简称磋商）与评审</w:t>
      </w:r>
    </w:p>
    <w:p w14:paraId="70F901CD">
      <w:pPr>
        <w:pStyle w:val="22"/>
        <w:spacing w:line="420" w:lineRule="exact"/>
        <w:ind w:firstLine="422" w:firstLineChars="200"/>
        <w:rPr>
          <w:rFonts w:hAnsi="宋体"/>
          <w:b/>
          <w:color w:val="auto"/>
          <w:sz w:val="21"/>
          <w:highlight w:val="none"/>
        </w:rPr>
      </w:pPr>
      <w:r>
        <w:rPr>
          <w:rFonts w:hint="eastAsia" w:hAnsi="宋体"/>
          <w:b/>
          <w:color w:val="auto"/>
          <w:sz w:val="21"/>
          <w:highlight w:val="none"/>
        </w:rPr>
        <w:t>1</w:t>
      </w:r>
      <w:r>
        <w:rPr>
          <w:rFonts w:hAnsi="宋体"/>
          <w:b/>
          <w:color w:val="auto"/>
          <w:sz w:val="21"/>
          <w:highlight w:val="none"/>
        </w:rPr>
        <w:t>7</w:t>
      </w:r>
      <w:r>
        <w:rPr>
          <w:rFonts w:hint="eastAsia" w:hAnsi="宋体"/>
          <w:b/>
          <w:color w:val="auto"/>
          <w:sz w:val="21"/>
          <w:highlight w:val="none"/>
        </w:rPr>
        <w:t>.</w:t>
      </w:r>
      <w:r>
        <w:rPr>
          <w:rFonts w:hint="eastAsia"/>
          <w:color w:val="auto"/>
          <w:highlight w:val="none"/>
        </w:rPr>
        <w:t xml:space="preserve"> </w:t>
      </w:r>
      <w:r>
        <w:rPr>
          <w:rFonts w:hint="eastAsia" w:hAnsi="宋体"/>
          <w:b/>
          <w:color w:val="auto"/>
          <w:sz w:val="21"/>
          <w:highlight w:val="none"/>
        </w:rPr>
        <w:t>磋商小组组成及磋商时间、地点、人员</w:t>
      </w:r>
    </w:p>
    <w:p w14:paraId="35B2C547">
      <w:pPr>
        <w:spacing w:line="42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17</w:t>
      </w:r>
      <w:r>
        <w:rPr>
          <w:rFonts w:hint="eastAsia" w:ascii="宋体" w:hAnsi="宋体" w:cs="宋体"/>
          <w:color w:val="auto"/>
          <w:kern w:val="0"/>
          <w:szCs w:val="21"/>
          <w:highlight w:val="none"/>
        </w:rPr>
        <w:t>.1磋商小组组成：</w:t>
      </w:r>
    </w:p>
    <w:p w14:paraId="470C1EE2">
      <w:pPr>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及评审工作由采购代理机构负责组织，具体磋商、评审工作由依法组建的磋商小组负责，磋商小组由采购人代表和有关方面的评审专家共3人以上单数组成，其中评审专家人数不得少于磋商小组成员总数的2/3。</w:t>
      </w:r>
    </w:p>
    <w:p w14:paraId="09BAAAB1">
      <w:pPr>
        <w:spacing w:line="42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17</w:t>
      </w:r>
      <w:r>
        <w:rPr>
          <w:rFonts w:hint="eastAsia" w:ascii="宋体" w:hAnsi="宋体" w:cs="宋体"/>
          <w:color w:val="auto"/>
          <w:kern w:val="0"/>
          <w:szCs w:val="21"/>
          <w:highlight w:val="none"/>
        </w:rPr>
        <w:t>.2 磋商时间、地点、人员：</w:t>
      </w:r>
    </w:p>
    <w:p w14:paraId="0ED3BCD1">
      <w:pPr>
        <w:spacing w:line="42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17</w:t>
      </w:r>
      <w:r>
        <w:rPr>
          <w:rFonts w:hint="eastAsia" w:ascii="宋体" w:hAnsi="宋体" w:cs="宋体"/>
          <w:color w:val="auto"/>
          <w:kern w:val="0"/>
          <w:szCs w:val="21"/>
          <w:highlight w:val="none"/>
        </w:rPr>
        <w:t>.2.1磋商时间：响应文件递交截止时间后（具体时间由本公司工作人员另行通知）。</w:t>
      </w:r>
    </w:p>
    <w:p w14:paraId="7B6793EF">
      <w:pPr>
        <w:spacing w:line="42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17</w:t>
      </w:r>
      <w:r>
        <w:rPr>
          <w:rFonts w:hint="eastAsia" w:ascii="宋体" w:hAnsi="宋体" w:cs="宋体"/>
          <w:color w:val="auto"/>
          <w:kern w:val="0"/>
          <w:szCs w:val="21"/>
          <w:highlight w:val="none"/>
        </w:rPr>
        <w:t>.2.2磋商地点：本项目需要磋商供应商代表在截标当天截标后，按磋商小组要求及时</w:t>
      </w:r>
      <w:r>
        <w:rPr>
          <w:rFonts w:hint="eastAsia" w:ascii="宋体" w:hAnsi="宋体" w:cs="宋体"/>
          <w:color w:val="auto"/>
          <w:kern w:val="0"/>
          <w:szCs w:val="21"/>
          <w:highlight w:val="none"/>
          <w:lang w:eastAsia="zh-CN"/>
        </w:rPr>
        <w:t>登录广西政府采购云</w:t>
      </w:r>
      <w:r>
        <w:rPr>
          <w:rFonts w:hint="eastAsia" w:ascii="宋体" w:hAnsi="宋体" w:cs="宋体"/>
          <w:color w:val="auto"/>
          <w:kern w:val="0"/>
          <w:szCs w:val="21"/>
          <w:highlight w:val="none"/>
        </w:rPr>
        <w:t>平台等候在线磋商。</w:t>
      </w:r>
    </w:p>
    <w:p w14:paraId="57F6605E">
      <w:pPr>
        <w:spacing w:line="42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17</w:t>
      </w:r>
      <w:r>
        <w:rPr>
          <w:rFonts w:hint="eastAsia" w:ascii="宋体" w:hAnsi="宋体" w:cs="宋体"/>
          <w:color w:val="auto"/>
          <w:kern w:val="0"/>
          <w:szCs w:val="21"/>
          <w:highlight w:val="none"/>
        </w:rPr>
        <w:t>.2.3磋商参加人员：供应商法定代表人或委托代理人持有效身份证原件和供应商</w:t>
      </w:r>
      <w:r>
        <w:rPr>
          <w:rFonts w:hint="eastAsia" w:ascii="宋体" w:hAnsi="宋体" w:cs="宋体"/>
          <w:color w:val="auto"/>
          <w:kern w:val="0"/>
          <w:szCs w:val="21"/>
          <w:highlight w:val="none"/>
          <w:lang w:eastAsia="zh-CN"/>
        </w:rPr>
        <w:t>广西政府采购云</w:t>
      </w:r>
      <w:r>
        <w:rPr>
          <w:rFonts w:hint="eastAsia" w:ascii="宋体" w:hAnsi="宋体" w:cs="宋体"/>
          <w:color w:val="auto"/>
          <w:kern w:val="0"/>
          <w:szCs w:val="21"/>
          <w:highlight w:val="none"/>
        </w:rPr>
        <w:t>平台CA数字证书参加磋商。请供应商按时到达指定地点等候磋商。</w:t>
      </w:r>
    </w:p>
    <w:p w14:paraId="3A1538D9">
      <w:pPr>
        <w:spacing w:line="42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17</w:t>
      </w:r>
      <w:r>
        <w:rPr>
          <w:rFonts w:hint="eastAsia" w:ascii="宋体" w:hAnsi="宋体" w:cs="宋体"/>
          <w:color w:val="auto"/>
          <w:kern w:val="0"/>
          <w:szCs w:val="21"/>
          <w:highlight w:val="none"/>
        </w:rPr>
        <w:t>.2.4响应文件递交截止时间后，由磋商小组在评标室内线上开启响应文件。</w:t>
      </w:r>
    </w:p>
    <w:p w14:paraId="12627BD9">
      <w:pPr>
        <w:spacing w:line="420" w:lineRule="exact"/>
        <w:ind w:firstLine="422" w:firstLineChars="200"/>
        <w:rPr>
          <w:rFonts w:ascii="宋体" w:hAnsi="宋体" w:cs="宋体"/>
          <w:b/>
          <w:color w:val="auto"/>
          <w:kern w:val="0"/>
          <w:szCs w:val="21"/>
          <w:highlight w:val="none"/>
        </w:rPr>
      </w:pPr>
      <w:r>
        <w:rPr>
          <w:rFonts w:ascii="宋体" w:hAnsi="宋体" w:cs="宋体"/>
          <w:b/>
          <w:color w:val="auto"/>
          <w:kern w:val="0"/>
          <w:szCs w:val="21"/>
          <w:highlight w:val="none"/>
        </w:rPr>
        <w:t>18</w:t>
      </w:r>
      <w:r>
        <w:rPr>
          <w:rFonts w:hint="eastAsia" w:ascii="宋体" w:hAnsi="宋体" w:cs="宋体"/>
          <w:b/>
          <w:color w:val="auto"/>
          <w:kern w:val="0"/>
          <w:szCs w:val="21"/>
          <w:highlight w:val="none"/>
        </w:rPr>
        <w:t>.评审程序及磋商要求</w:t>
      </w:r>
    </w:p>
    <w:p w14:paraId="01EC5B0C">
      <w:pPr>
        <w:spacing w:line="430" w:lineRule="exact"/>
        <w:ind w:firstLine="420" w:firstLineChars="200"/>
        <w:rPr>
          <w:rFonts w:ascii="宋体" w:hAnsi="宋体" w:cs="Arial"/>
          <w:color w:val="auto"/>
          <w:szCs w:val="21"/>
          <w:highlight w:val="none"/>
        </w:rPr>
      </w:pPr>
      <w:r>
        <w:rPr>
          <w:rFonts w:ascii="宋体" w:hAnsi="宋体" w:cs="Arial"/>
          <w:color w:val="auto"/>
          <w:szCs w:val="21"/>
          <w:highlight w:val="none"/>
        </w:rPr>
        <w:t>18.1磋商小组成员的通讯工具或相关电子设备交由</w:t>
      </w:r>
      <w:r>
        <w:rPr>
          <w:rFonts w:hint="eastAsia" w:ascii="宋体" w:hAnsi="宋体" w:cs="Arial"/>
          <w:color w:val="auto"/>
          <w:szCs w:val="21"/>
          <w:highlight w:val="none"/>
        </w:rPr>
        <w:t>采购代理机构</w:t>
      </w:r>
      <w:r>
        <w:rPr>
          <w:rFonts w:ascii="宋体" w:hAnsi="宋体" w:cs="Arial"/>
          <w:color w:val="auto"/>
          <w:szCs w:val="21"/>
          <w:highlight w:val="none"/>
        </w:rPr>
        <w:t>统一保管后到达评标室，采购代理机构核实</w:t>
      </w:r>
      <w:r>
        <w:rPr>
          <w:rFonts w:hint="eastAsia" w:ascii="宋体" w:hAnsi="宋体" w:cs="Arial"/>
          <w:color w:val="auto"/>
          <w:szCs w:val="21"/>
          <w:highlight w:val="none"/>
        </w:rPr>
        <w:t>磋商</w:t>
      </w:r>
      <w:r>
        <w:rPr>
          <w:rFonts w:ascii="宋体" w:hAnsi="宋体" w:cs="Arial"/>
          <w:color w:val="auto"/>
          <w:szCs w:val="21"/>
          <w:highlight w:val="none"/>
        </w:rPr>
        <w:t>小组成员身份，告知回避要求，宣布评审工作纪律和程序，推选磋商小组组长。</w:t>
      </w:r>
    </w:p>
    <w:p w14:paraId="7C5E2295">
      <w:pPr>
        <w:spacing w:line="430" w:lineRule="exact"/>
        <w:ind w:firstLine="420" w:firstLineChars="200"/>
        <w:rPr>
          <w:rFonts w:ascii="宋体" w:hAnsi="宋体" w:cs="Arial"/>
          <w:color w:val="auto"/>
          <w:szCs w:val="21"/>
          <w:highlight w:val="none"/>
        </w:rPr>
      </w:pPr>
      <w:r>
        <w:rPr>
          <w:rFonts w:ascii="宋体" w:hAnsi="宋体" w:cs="Arial"/>
          <w:color w:val="auto"/>
          <w:szCs w:val="21"/>
          <w:highlight w:val="none"/>
        </w:rPr>
        <w:t>18.2磋商小组应当对发布公告的竞争性</w:t>
      </w:r>
      <w:r>
        <w:rPr>
          <w:rFonts w:hint="eastAsia" w:ascii="宋体" w:hAnsi="宋体" w:cs="Arial"/>
          <w:color w:val="auto"/>
          <w:szCs w:val="21"/>
          <w:highlight w:val="none"/>
        </w:rPr>
        <w:t>磋商采购</w:t>
      </w:r>
      <w:r>
        <w:rPr>
          <w:rFonts w:ascii="宋体" w:hAnsi="宋体" w:cs="Arial"/>
          <w:color w:val="auto"/>
          <w:szCs w:val="21"/>
          <w:highlight w:val="none"/>
        </w:rPr>
        <w:t>文件进行确认，审查供应商的响应文件并作出评价；要求供应商解释或者澄清其响应文件；编写评审报告；告知采购人、采购代理机构在评审过程中发现的供应商的违法违规行为。</w:t>
      </w:r>
    </w:p>
    <w:p w14:paraId="3B6FCC06">
      <w:pPr>
        <w:spacing w:line="430" w:lineRule="exact"/>
        <w:ind w:firstLine="420" w:firstLineChars="200"/>
        <w:rPr>
          <w:rFonts w:ascii="宋体" w:hAnsi="宋体" w:cs="Arial"/>
          <w:color w:val="auto"/>
          <w:szCs w:val="21"/>
          <w:highlight w:val="none"/>
        </w:rPr>
      </w:pPr>
      <w:r>
        <w:rPr>
          <w:rFonts w:ascii="宋体" w:hAnsi="宋体" w:cs="Arial"/>
          <w:color w:val="auto"/>
          <w:szCs w:val="21"/>
          <w:highlight w:val="none"/>
        </w:rPr>
        <w:t>18.3 磋商小组依据竞争性</w:t>
      </w:r>
      <w:r>
        <w:rPr>
          <w:rFonts w:hint="eastAsia" w:ascii="宋体" w:hAnsi="宋体" w:cs="Arial"/>
          <w:color w:val="auto"/>
          <w:szCs w:val="21"/>
          <w:highlight w:val="none"/>
        </w:rPr>
        <w:t>磋商采购</w:t>
      </w:r>
      <w:r>
        <w:rPr>
          <w:rFonts w:ascii="宋体" w:hAnsi="宋体" w:cs="Arial"/>
          <w:color w:val="auto"/>
          <w:szCs w:val="21"/>
          <w:highlight w:val="none"/>
        </w:rPr>
        <w:t>文件的规定，首先对响应文件进行资格性审查，以确定供应商是否具备本项目供应商资格；再对通过资格性审查的供应商响应文件的有效性、完整性和对竞争性</w:t>
      </w:r>
      <w:r>
        <w:rPr>
          <w:rFonts w:hint="eastAsia" w:ascii="宋体" w:hAnsi="宋体" w:cs="Arial"/>
          <w:color w:val="auto"/>
          <w:szCs w:val="21"/>
          <w:highlight w:val="none"/>
        </w:rPr>
        <w:t>磋商采购</w:t>
      </w:r>
      <w:r>
        <w:rPr>
          <w:rFonts w:ascii="宋体" w:hAnsi="宋体" w:cs="Arial"/>
          <w:color w:val="auto"/>
          <w:szCs w:val="21"/>
          <w:highlight w:val="none"/>
        </w:rPr>
        <w:t>文件的响应程度进行符合性审查，以确定是否对竞争性</w:t>
      </w:r>
      <w:r>
        <w:rPr>
          <w:rFonts w:hint="eastAsia" w:ascii="宋体" w:hAnsi="宋体" w:cs="Arial"/>
          <w:color w:val="auto"/>
          <w:szCs w:val="21"/>
          <w:highlight w:val="none"/>
        </w:rPr>
        <w:t>磋商采购</w:t>
      </w:r>
      <w:r>
        <w:rPr>
          <w:rFonts w:ascii="宋体" w:hAnsi="宋体" w:cs="Arial"/>
          <w:color w:val="auto"/>
          <w:szCs w:val="21"/>
          <w:highlight w:val="none"/>
        </w:rPr>
        <w:t xml:space="preserve">文件的实质性要求做出响应。 </w:t>
      </w:r>
    </w:p>
    <w:p w14:paraId="52F86AE9">
      <w:pPr>
        <w:spacing w:line="430" w:lineRule="exact"/>
        <w:ind w:firstLine="420" w:firstLineChars="200"/>
        <w:rPr>
          <w:rFonts w:ascii="宋体" w:hAnsi="宋体" w:cs="Arial"/>
          <w:color w:val="auto"/>
          <w:szCs w:val="21"/>
          <w:highlight w:val="none"/>
        </w:rPr>
      </w:pPr>
      <w:r>
        <w:rPr>
          <w:rFonts w:ascii="宋体" w:hAnsi="宋体" w:cs="Arial"/>
          <w:color w:val="auto"/>
          <w:szCs w:val="21"/>
          <w:highlight w:val="none"/>
        </w:rPr>
        <w:t>18.4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Arial"/>
          <w:color w:val="auto"/>
          <w:szCs w:val="21"/>
          <w:highlight w:val="none"/>
          <w:lang w:eastAsia="zh-CN"/>
        </w:rPr>
        <w:t>广西政府采购云</w:t>
      </w:r>
      <w:r>
        <w:rPr>
          <w:rFonts w:ascii="宋体" w:hAnsi="宋体" w:cs="Arial"/>
          <w:color w:val="auto"/>
          <w:szCs w:val="21"/>
          <w:highlight w:val="none"/>
        </w:rPr>
        <w:t>平台采用在线书面形式，并加盖公章（CA证书签章），或者由法定代表人或其授权委托代理人个人CA证书签章（没有办理</w:t>
      </w:r>
      <w:r>
        <w:rPr>
          <w:rFonts w:hint="eastAsia" w:ascii="宋体" w:hAnsi="宋体" w:cs="Arial"/>
          <w:color w:val="auto"/>
          <w:szCs w:val="21"/>
          <w:highlight w:val="none"/>
          <w:lang w:eastAsia="zh-CN"/>
        </w:rPr>
        <w:t>广西政府采购云</w:t>
      </w:r>
      <w:r>
        <w:rPr>
          <w:rFonts w:ascii="宋体" w:hAnsi="宋体" w:cs="Arial"/>
          <w:color w:val="auto"/>
          <w:szCs w:val="21"/>
          <w:highlight w:val="none"/>
        </w:rPr>
        <w:t>个人CA证书签章的可在响应文件中涉及到签字的位置手写签字后扫描或者拍照做成 PDF 的格式上传）。根据竞争性</w:t>
      </w:r>
      <w:r>
        <w:rPr>
          <w:rFonts w:hint="eastAsia" w:ascii="宋体" w:hAnsi="宋体" w:cs="Arial"/>
          <w:color w:val="auto"/>
          <w:szCs w:val="21"/>
          <w:highlight w:val="none"/>
        </w:rPr>
        <w:t>磋商采购</w:t>
      </w:r>
      <w:r>
        <w:rPr>
          <w:rFonts w:ascii="宋体" w:hAnsi="宋体" w:cs="Arial"/>
          <w:color w:val="auto"/>
          <w:szCs w:val="21"/>
          <w:highlight w:val="none"/>
        </w:rPr>
        <w:t>文件规定的程序、评定成交的标准等事项与实质性响应竞争性</w:t>
      </w:r>
      <w:r>
        <w:rPr>
          <w:rFonts w:hint="eastAsia" w:ascii="宋体" w:hAnsi="宋体" w:cs="Arial"/>
          <w:color w:val="auto"/>
          <w:szCs w:val="21"/>
          <w:highlight w:val="none"/>
        </w:rPr>
        <w:t>磋商采购</w:t>
      </w:r>
      <w:r>
        <w:rPr>
          <w:rFonts w:ascii="宋体" w:hAnsi="宋体" w:cs="Arial"/>
          <w:color w:val="auto"/>
          <w:szCs w:val="21"/>
          <w:highlight w:val="none"/>
        </w:rPr>
        <w:t>文件要求的供应商进行</w:t>
      </w:r>
      <w:r>
        <w:rPr>
          <w:rFonts w:hint="eastAsia" w:ascii="宋体" w:hAnsi="宋体" w:cs="Arial"/>
          <w:color w:val="auto"/>
          <w:szCs w:val="21"/>
          <w:highlight w:val="none"/>
        </w:rPr>
        <w:t>磋商</w:t>
      </w:r>
      <w:r>
        <w:rPr>
          <w:rFonts w:ascii="宋体" w:hAnsi="宋体" w:cs="Arial"/>
          <w:color w:val="auto"/>
          <w:szCs w:val="21"/>
          <w:highlight w:val="none"/>
        </w:rPr>
        <w:t>。未实质性响应</w:t>
      </w:r>
      <w:r>
        <w:rPr>
          <w:rFonts w:hint="eastAsia" w:ascii="宋体" w:hAnsi="宋体" w:cs="Arial"/>
          <w:color w:val="auto"/>
          <w:szCs w:val="21"/>
          <w:highlight w:val="none"/>
        </w:rPr>
        <w:t>磋商采购</w:t>
      </w:r>
      <w:r>
        <w:rPr>
          <w:rFonts w:ascii="宋体" w:hAnsi="宋体" w:cs="Arial"/>
          <w:color w:val="auto"/>
          <w:szCs w:val="21"/>
          <w:highlight w:val="none"/>
        </w:rPr>
        <w:t>文件的响应文件按无效处理，磋商小组应当告知有关供应商。</w:t>
      </w:r>
    </w:p>
    <w:p w14:paraId="2B38296A">
      <w:pPr>
        <w:spacing w:line="42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1</w:t>
      </w:r>
      <w:r>
        <w:rPr>
          <w:rFonts w:ascii="宋体" w:hAnsi="宋体" w:cs="宋体"/>
          <w:b/>
          <w:color w:val="auto"/>
          <w:kern w:val="0"/>
          <w:szCs w:val="21"/>
          <w:highlight w:val="none"/>
        </w:rPr>
        <w:t>8</w:t>
      </w:r>
      <w:r>
        <w:rPr>
          <w:rFonts w:hint="eastAsia" w:ascii="宋体" w:hAnsi="宋体" w:cs="宋体"/>
          <w:b/>
          <w:color w:val="auto"/>
          <w:kern w:val="0"/>
          <w:szCs w:val="21"/>
          <w:highlight w:val="none"/>
        </w:rPr>
        <w:t>.</w:t>
      </w:r>
      <w:r>
        <w:rPr>
          <w:rFonts w:ascii="宋体" w:hAnsi="宋体" w:cs="宋体"/>
          <w:b/>
          <w:color w:val="auto"/>
          <w:kern w:val="0"/>
          <w:szCs w:val="21"/>
          <w:highlight w:val="none"/>
        </w:rPr>
        <w:t>5</w:t>
      </w:r>
      <w:r>
        <w:rPr>
          <w:rFonts w:hint="eastAsia" w:ascii="宋体" w:hAnsi="宋体" w:cs="宋体"/>
          <w:b/>
          <w:color w:val="auto"/>
          <w:kern w:val="0"/>
          <w:szCs w:val="21"/>
          <w:highlight w:val="none"/>
        </w:rPr>
        <w:t>磋商</w:t>
      </w:r>
    </w:p>
    <w:p w14:paraId="54172AD6">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磋商小组所有成员集中与单一供应商分别进行磋商，并给予所有实质性响应竞争性谈判文件要求的供应商平等的谈判机会。</w:t>
      </w:r>
    </w:p>
    <w:p w14:paraId="56490633">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E077B44">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对磋商文件作出的实质性变动是磋商文件的有效组成部分，磋商小组应当及时以书面形式同时通知所有参加磋商的供应商。</w:t>
      </w:r>
    </w:p>
    <w:p w14:paraId="5B21B3E3">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供应商应当按照磋商文件的变动情况和磋商小组的要求重新提交响应文件，并加盖公章（CA证书签章），或者由法定代表人或其授权委托代理人签字（或个人CA证书签章）。</w:t>
      </w:r>
      <w:r>
        <w:rPr>
          <w:rFonts w:ascii="宋体" w:hAnsi="宋体" w:cs="Arial"/>
          <w:color w:val="auto"/>
          <w:szCs w:val="21"/>
          <w:highlight w:val="none"/>
        </w:rPr>
        <w:t>逾时不交的，视同放弃</w:t>
      </w:r>
      <w:r>
        <w:rPr>
          <w:rFonts w:hint="eastAsia" w:ascii="宋体" w:hAnsi="宋体" w:cs="Arial"/>
          <w:color w:val="auto"/>
          <w:szCs w:val="21"/>
          <w:highlight w:val="none"/>
        </w:rPr>
        <w:t>磋商</w:t>
      </w:r>
      <w:r>
        <w:rPr>
          <w:rFonts w:ascii="宋体" w:hAnsi="宋体" w:cs="Arial"/>
          <w:color w:val="auto"/>
          <w:szCs w:val="21"/>
          <w:highlight w:val="none"/>
        </w:rPr>
        <w:t>。</w:t>
      </w:r>
    </w:p>
    <w:p w14:paraId="770C8142">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磋商中，磋商的任何一方不得透露与磋商有关的其他供应商的技术资料、价格和其他信息。</w:t>
      </w:r>
    </w:p>
    <w:p w14:paraId="07E7A242">
      <w:pPr>
        <w:spacing w:line="420" w:lineRule="exact"/>
        <w:ind w:firstLine="422" w:firstLineChars="200"/>
        <w:rPr>
          <w:rFonts w:ascii="宋体" w:hAnsi="宋体" w:cs="宋体"/>
          <w:b/>
          <w:color w:val="auto"/>
          <w:kern w:val="0"/>
          <w:szCs w:val="21"/>
          <w:highlight w:val="none"/>
        </w:rPr>
      </w:pPr>
      <w:bookmarkStart w:id="52" w:name="_Hlk96503740"/>
      <w:r>
        <w:rPr>
          <w:rFonts w:hint="eastAsia" w:ascii="宋体" w:hAnsi="宋体" w:cs="宋体"/>
          <w:b/>
          <w:color w:val="auto"/>
          <w:kern w:val="0"/>
          <w:szCs w:val="21"/>
          <w:highlight w:val="none"/>
        </w:rPr>
        <w:t>1</w:t>
      </w:r>
      <w:r>
        <w:rPr>
          <w:rFonts w:ascii="宋体" w:hAnsi="宋体" w:cs="宋体"/>
          <w:b/>
          <w:color w:val="auto"/>
          <w:kern w:val="0"/>
          <w:szCs w:val="21"/>
          <w:highlight w:val="none"/>
        </w:rPr>
        <w:t>8</w:t>
      </w:r>
      <w:r>
        <w:rPr>
          <w:rFonts w:hint="eastAsia" w:ascii="宋体" w:hAnsi="宋体" w:cs="宋体"/>
          <w:b/>
          <w:color w:val="auto"/>
          <w:kern w:val="0"/>
          <w:szCs w:val="21"/>
          <w:highlight w:val="none"/>
        </w:rPr>
        <w:t>.</w:t>
      </w:r>
      <w:r>
        <w:rPr>
          <w:rFonts w:ascii="宋体" w:hAnsi="宋体" w:cs="宋体"/>
          <w:b/>
          <w:color w:val="auto"/>
          <w:kern w:val="0"/>
          <w:szCs w:val="21"/>
          <w:highlight w:val="none"/>
        </w:rPr>
        <w:t>6</w:t>
      </w:r>
      <w:bookmarkEnd w:id="52"/>
      <w:r>
        <w:rPr>
          <w:rFonts w:hint="eastAsia" w:ascii="宋体" w:hAnsi="宋体" w:cs="宋体"/>
          <w:b/>
          <w:color w:val="auto"/>
          <w:kern w:val="0"/>
          <w:szCs w:val="21"/>
          <w:highlight w:val="none"/>
        </w:rPr>
        <w:t>最后报价</w:t>
      </w:r>
    </w:p>
    <w:p w14:paraId="38F079D6">
      <w:pPr>
        <w:spacing w:line="420" w:lineRule="exact"/>
        <w:ind w:firstLine="420" w:firstLineChars="200"/>
        <w:rPr>
          <w:rFonts w:ascii="宋体" w:hAnsi="宋体"/>
          <w:color w:val="auto"/>
          <w:szCs w:val="21"/>
          <w:highlight w:val="none"/>
        </w:rPr>
      </w:pPr>
      <w:r>
        <w:rPr>
          <w:rFonts w:ascii="宋体" w:hAnsi="宋体"/>
          <w:color w:val="auto"/>
          <w:szCs w:val="21"/>
          <w:highlight w:val="none"/>
        </w:rPr>
        <w:t>18.6</w:t>
      </w:r>
      <w:r>
        <w:rPr>
          <w:rFonts w:hint="eastAsia" w:ascii="宋体" w:hAnsi="宋体"/>
          <w:color w:val="auto"/>
          <w:szCs w:val="21"/>
          <w:highlight w:val="none"/>
        </w:rPr>
        <w:t>.1磋商文件能够详细列明采购标的的技术、服务要求的，磋商结束后，磋商小组应当要求所有继续参加磋商的供应商在规定时间内提交最后报价，提交最后报价的供应商不得少于3家。</w:t>
      </w:r>
    </w:p>
    <w:p w14:paraId="20009A55">
      <w:pPr>
        <w:spacing w:line="420" w:lineRule="exact"/>
        <w:ind w:firstLine="420" w:firstLineChars="200"/>
        <w:rPr>
          <w:rFonts w:ascii="宋体" w:hAnsi="宋体"/>
          <w:color w:val="auto"/>
          <w:szCs w:val="21"/>
          <w:highlight w:val="none"/>
        </w:rPr>
      </w:pPr>
      <w:r>
        <w:rPr>
          <w:rFonts w:ascii="宋体" w:hAnsi="宋体"/>
          <w:color w:val="auto"/>
          <w:szCs w:val="21"/>
          <w:highlight w:val="none"/>
        </w:rPr>
        <w:t>18.6</w:t>
      </w:r>
      <w:r>
        <w:rPr>
          <w:rFonts w:hint="eastAsia" w:ascii="宋体" w:hAnsi="宋体"/>
          <w:color w:val="auto"/>
          <w:szCs w:val="21"/>
          <w:highlight w:val="none"/>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594DAA3">
      <w:pPr>
        <w:spacing w:line="420" w:lineRule="exact"/>
        <w:ind w:firstLine="420" w:firstLineChars="200"/>
        <w:rPr>
          <w:rFonts w:ascii="宋体" w:hAnsi="宋体"/>
          <w:color w:val="auto"/>
          <w:szCs w:val="21"/>
          <w:highlight w:val="none"/>
        </w:rPr>
      </w:pPr>
      <w:r>
        <w:rPr>
          <w:rFonts w:ascii="宋体" w:hAnsi="宋体"/>
          <w:color w:val="auto"/>
          <w:szCs w:val="21"/>
          <w:highlight w:val="none"/>
        </w:rPr>
        <w:t>18.6</w:t>
      </w:r>
      <w:r>
        <w:rPr>
          <w:rFonts w:hint="eastAsia" w:ascii="宋体" w:hAnsi="宋体"/>
          <w:color w:val="auto"/>
          <w:szCs w:val="21"/>
          <w:highlight w:val="none"/>
        </w:rPr>
        <w:t>.3属于市场竞争不充分的科研项目，以及需要扶持的科技成果转化项目，提交最后报价的供应商可以为2家。</w:t>
      </w:r>
    </w:p>
    <w:p w14:paraId="0286A482">
      <w:pPr>
        <w:spacing w:line="420" w:lineRule="exact"/>
        <w:ind w:firstLine="420" w:firstLineChars="200"/>
        <w:rPr>
          <w:rFonts w:ascii="宋体" w:hAnsi="宋体"/>
          <w:color w:val="auto"/>
          <w:szCs w:val="21"/>
          <w:highlight w:val="none"/>
        </w:rPr>
      </w:pPr>
      <w:r>
        <w:rPr>
          <w:rFonts w:ascii="宋体" w:hAnsi="宋体"/>
          <w:color w:val="auto"/>
          <w:szCs w:val="21"/>
          <w:highlight w:val="none"/>
        </w:rPr>
        <w:t>18.6</w:t>
      </w:r>
      <w:r>
        <w:rPr>
          <w:rFonts w:hint="eastAsia" w:ascii="宋体" w:hAnsi="宋体"/>
          <w:color w:val="auto"/>
          <w:szCs w:val="21"/>
          <w:highlight w:val="none"/>
        </w:rPr>
        <w:t>.4根据财政部文件财库【2015】124号《财政部关于政府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3B5616F">
      <w:pPr>
        <w:spacing w:line="420" w:lineRule="exact"/>
        <w:ind w:firstLine="420" w:firstLineChars="200"/>
        <w:rPr>
          <w:rFonts w:ascii="宋体" w:hAnsi="宋体"/>
          <w:color w:val="auto"/>
          <w:szCs w:val="21"/>
          <w:highlight w:val="none"/>
        </w:rPr>
      </w:pPr>
      <w:r>
        <w:rPr>
          <w:rFonts w:ascii="宋体" w:hAnsi="宋体"/>
          <w:color w:val="auto"/>
          <w:szCs w:val="21"/>
          <w:highlight w:val="none"/>
        </w:rPr>
        <w:t>18.6</w:t>
      </w:r>
      <w:r>
        <w:rPr>
          <w:rFonts w:hint="eastAsia" w:ascii="宋体" w:hAnsi="宋体"/>
          <w:color w:val="auto"/>
          <w:szCs w:val="21"/>
          <w:highlight w:val="none"/>
        </w:rPr>
        <w:t>.5最后报价是供应商响应文件的有效组成部分。</w:t>
      </w:r>
    </w:p>
    <w:p w14:paraId="017A8640">
      <w:pPr>
        <w:spacing w:line="420" w:lineRule="exact"/>
        <w:ind w:firstLine="420" w:firstLineChars="200"/>
        <w:rPr>
          <w:rFonts w:hint="eastAsia" w:ascii="宋体" w:hAnsi="宋体"/>
          <w:color w:val="auto"/>
          <w:szCs w:val="21"/>
          <w:highlight w:val="none"/>
        </w:rPr>
      </w:pPr>
      <w:r>
        <w:rPr>
          <w:rFonts w:ascii="宋体" w:hAnsi="宋体"/>
          <w:color w:val="auto"/>
          <w:szCs w:val="21"/>
          <w:highlight w:val="none"/>
        </w:rPr>
        <w:t>18.6</w:t>
      </w:r>
      <w:r>
        <w:rPr>
          <w:rFonts w:hint="eastAsia" w:ascii="宋体" w:hAnsi="宋体"/>
          <w:color w:val="auto"/>
          <w:szCs w:val="21"/>
          <w:highlight w:val="none"/>
        </w:rPr>
        <w:t>.6 已经提交响应文件的供应商，在提交最后报价之前，可以根据磋商情况退出磋商。采购人、采购代理机构将退还退出磋商的供应商的保证金。</w:t>
      </w:r>
    </w:p>
    <w:p w14:paraId="01EC44DA">
      <w:pPr>
        <w:spacing w:line="42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18.6.7供应商最后报价不得高于响应文件内报价；任意一次报价高于采购预算价的，视为报价无效。</w:t>
      </w:r>
    </w:p>
    <w:p w14:paraId="0D1886E2">
      <w:pPr>
        <w:spacing w:line="420" w:lineRule="exact"/>
        <w:ind w:firstLine="420" w:firstLineChars="200"/>
        <w:rPr>
          <w:rFonts w:ascii="宋体" w:hAnsi="宋体"/>
          <w:color w:val="auto"/>
          <w:szCs w:val="21"/>
          <w:highlight w:val="none"/>
        </w:rPr>
      </w:pPr>
      <w:r>
        <w:rPr>
          <w:rFonts w:ascii="宋体" w:hAnsi="宋体"/>
          <w:color w:val="auto"/>
          <w:szCs w:val="21"/>
          <w:highlight w:val="none"/>
        </w:rPr>
        <w:t>18.6</w:t>
      </w: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 xml:space="preserve"> 响应供应商的报价均高于</w:t>
      </w:r>
      <w:r>
        <w:rPr>
          <w:rFonts w:hint="eastAsia" w:ascii="宋体" w:hAnsi="宋体"/>
          <w:color w:val="auto"/>
          <w:szCs w:val="21"/>
          <w:highlight w:val="none"/>
          <w:lang w:val="en-US" w:eastAsia="zh-CN"/>
        </w:rPr>
        <w:t>采购预算价</w:t>
      </w:r>
      <w:r>
        <w:rPr>
          <w:rFonts w:hint="eastAsia" w:ascii="宋体" w:hAnsi="宋体"/>
          <w:color w:val="auto"/>
          <w:szCs w:val="21"/>
          <w:highlight w:val="none"/>
        </w:rPr>
        <w:t>的，磋商活动终止。</w:t>
      </w:r>
    </w:p>
    <w:p w14:paraId="36B7235D">
      <w:pPr>
        <w:widowControl/>
        <w:tabs>
          <w:tab w:val="left" w:pos="540"/>
        </w:tabs>
        <w:spacing w:line="42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8</w:t>
      </w:r>
      <w:r>
        <w:rPr>
          <w:rFonts w:hint="eastAsia" w:ascii="宋体" w:hAnsi="宋体"/>
          <w:b/>
          <w:color w:val="auto"/>
          <w:szCs w:val="21"/>
          <w:highlight w:val="none"/>
        </w:rPr>
        <w:t>.</w:t>
      </w:r>
      <w:r>
        <w:rPr>
          <w:rFonts w:ascii="宋体" w:hAnsi="宋体"/>
          <w:b/>
          <w:color w:val="auto"/>
          <w:szCs w:val="21"/>
          <w:highlight w:val="none"/>
        </w:rPr>
        <w:t>7</w:t>
      </w:r>
      <w:r>
        <w:rPr>
          <w:rFonts w:hint="eastAsia" w:ascii="宋体" w:hAnsi="宋体"/>
          <w:b/>
          <w:color w:val="auto"/>
          <w:szCs w:val="21"/>
          <w:highlight w:val="none"/>
        </w:rPr>
        <w:t>最终磋商结束后，磋商小组不得再与供应商进行任何形式的商谈。</w:t>
      </w:r>
    </w:p>
    <w:p w14:paraId="69E85E82">
      <w:pPr>
        <w:widowControl/>
        <w:tabs>
          <w:tab w:val="left" w:pos="540"/>
        </w:tabs>
        <w:spacing w:line="420" w:lineRule="exact"/>
        <w:ind w:firstLine="422" w:firstLineChars="200"/>
        <w:jc w:val="left"/>
        <w:rPr>
          <w:rFonts w:ascii="宋体" w:hAnsi="宋体"/>
          <w:b/>
          <w:color w:val="auto"/>
          <w:szCs w:val="21"/>
          <w:highlight w:val="none"/>
        </w:rPr>
      </w:pPr>
      <w:r>
        <w:rPr>
          <w:rFonts w:ascii="宋体" w:hAnsi="宋体"/>
          <w:b/>
          <w:color w:val="auto"/>
          <w:szCs w:val="21"/>
          <w:highlight w:val="none"/>
        </w:rPr>
        <w:t>19</w:t>
      </w:r>
      <w:r>
        <w:rPr>
          <w:rFonts w:hint="eastAsia" w:ascii="宋体" w:hAnsi="宋体"/>
          <w:b/>
          <w:color w:val="auto"/>
          <w:szCs w:val="21"/>
          <w:highlight w:val="none"/>
        </w:rPr>
        <w:t>.评审与比较</w:t>
      </w:r>
    </w:p>
    <w:p w14:paraId="119934ED">
      <w:pPr>
        <w:spacing w:line="420" w:lineRule="exact"/>
        <w:ind w:firstLine="420" w:firstLineChars="200"/>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.1经磋商确定最终采购需求</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rPr>
        <w:t>和提交最后报价的供应商后，由磋商小组采用综合评分法对提交最后报价的供应商进行综合评分。</w:t>
      </w:r>
    </w:p>
    <w:p w14:paraId="0ED010F7">
      <w:pPr>
        <w:spacing w:line="420" w:lineRule="exact"/>
        <w:ind w:firstLine="420" w:firstLineChars="200"/>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.2评审原则。磋商小组必须公平、公正、客观，不带任何倾向性和启发性；不得向外界透露任何与评审有关的内容；任何单位和个人不得干扰、影响评审的正常进行。</w:t>
      </w:r>
    </w:p>
    <w:p w14:paraId="1C8FA6B3">
      <w:pPr>
        <w:spacing w:line="420" w:lineRule="exact"/>
        <w:ind w:firstLine="420" w:firstLineChars="200"/>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.3评审办法及评分标准详见第四章。</w:t>
      </w:r>
    </w:p>
    <w:p w14:paraId="3D60AF82">
      <w:pPr>
        <w:widowControl/>
        <w:tabs>
          <w:tab w:val="left" w:pos="540"/>
        </w:tabs>
        <w:spacing w:line="420" w:lineRule="exact"/>
        <w:ind w:firstLine="422" w:firstLineChars="200"/>
        <w:jc w:val="left"/>
        <w:rPr>
          <w:rFonts w:ascii="宋体" w:hAnsi="宋体"/>
          <w:b/>
          <w:bCs/>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0</w:t>
      </w:r>
      <w:r>
        <w:rPr>
          <w:rFonts w:hint="eastAsia" w:ascii="宋体" w:hAnsi="宋体"/>
          <w:b/>
          <w:color w:val="auto"/>
          <w:szCs w:val="21"/>
          <w:highlight w:val="none"/>
        </w:rPr>
        <w:t>.</w:t>
      </w:r>
      <w:r>
        <w:rPr>
          <w:rFonts w:hint="eastAsia" w:ascii="宋体" w:hAnsi="宋体"/>
          <w:b/>
          <w:bCs/>
          <w:color w:val="auto"/>
          <w:szCs w:val="21"/>
          <w:highlight w:val="none"/>
        </w:rPr>
        <w:t>在评标过程中出现法律法规和磋商文件均没有明确规定的情形时，由磋商小组现场协商解决，协商不一致的，由全体磋商小组投票表决，以得票率二分之一以上专家的意见为准。</w:t>
      </w:r>
    </w:p>
    <w:p w14:paraId="26D85F71">
      <w:pPr>
        <w:widowControl/>
        <w:tabs>
          <w:tab w:val="left" w:pos="540"/>
        </w:tabs>
        <w:spacing w:line="42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1</w:t>
      </w:r>
      <w:r>
        <w:rPr>
          <w:rFonts w:hint="eastAsia" w:ascii="宋体" w:hAnsi="宋体"/>
          <w:b/>
          <w:color w:val="auto"/>
          <w:szCs w:val="21"/>
          <w:highlight w:val="none"/>
        </w:rPr>
        <w:t>. 特别说明：</w:t>
      </w:r>
    </w:p>
    <w:p w14:paraId="4A24A22B">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.1供应商竞标所使用的资格、信誉、荣誉、业绩与企业认证必须为其组织所拥有。</w:t>
      </w:r>
    </w:p>
    <w:p w14:paraId="3D07075F">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.2供应商应仔细阅读竞争性磋商文件的所有内容，按照竞争性磋商文件的要求提交响应文件，并对所提供的全部资料的真实性承担法律责任。</w:t>
      </w:r>
    </w:p>
    <w:p w14:paraId="6371285B">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3供应商在竞标活动中提供任何虚假材料,其响应文件无效，并报监管部门查处；成交后发现的,成交供应商须依照《中华人民共和国消费者权益保护法》规定赔偿采购人，且民事赔偿并不免除违法供应商的行政与刑事责任。</w:t>
      </w:r>
    </w:p>
    <w:p w14:paraId="06D5FE99">
      <w:pPr>
        <w:widowControl/>
        <w:shd w:val="clear" w:color="auto" w:fill="FFFFFF"/>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1</w:t>
      </w:r>
      <w:r>
        <w:rPr>
          <w:rFonts w:hint="eastAsia" w:ascii="宋体" w:hAnsi="宋体"/>
          <w:b/>
          <w:color w:val="auto"/>
          <w:szCs w:val="21"/>
          <w:highlight w:val="none"/>
        </w:rPr>
        <w:t>.5属于下列情况之一者，响应文件无效：</w:t>
      </w:r>
    </w:p>
    <w:p w14:paraId="39EE1CAB">
      <w:pPr>
        <w:snapToGrid w:val="0"/>
        <w:spacing w:line="400" w:lineRule="exact"/>
        <w:ind w:firstLine="420" w:firstLineChars="200"/>
        <w:outlineLvl w:val="4"/>
        <w:rPr>
          <w:rFonts w:ascii="宋体" w:hAnsi="宋体"/>
          <w:color w:val="auto"/>
          <w:szCs w:val="21"/>
          <w:highlight w:val="none"/>
        </w:rPr>
      </w:pPr>
      <w:r>
        <w:rPr>
          <w:rFonts w:hint="eastAsia" w:ascii="宋体" w:hAnsi="宋体"/>
          <w:color w:val="auto"/>
          <w:szCs w:val="21"/>
          <w:highlight w:val="none"/>
        </w:rPr>
        <w:t>（1）未按竞争性磋商文件规定完整提交响应文件或未按规定要求签字、盖章的；</w:t>
      </w:r>
    </w:p>
    <w:p w14:paraId="7AF88932">
      <w:pPr>
        <w:snapToGrid w:val="0"/>
        <w:spacing w:line="400" w:lineRule="exact"/>
        <w:ind w:firstLine="420" w:firstLineChars="200"/>
        <w:outlineLvl w:val="4"/>
        <w:rPr>
          <w:rFonts w:ascii="宋体" w:hAnsi="宋体"/>
          <w:color w:val="auto"/>
          <w:szCs w:val="21"/>
          <w:highlight w:val="none"/>
        </w:rPr>
      </w:pPr>
      <w:r>
        <w:rPr>
          <w:rFonts w:hint="eastAsia" w:ascii="宋体" w:hAnsi="宋体"/>
          <w:color w:val="auto"/>
          <w:szCs w:val="21"/>
          <w:highlight w:val="none"/>
        </w:rPr>
        <w:t>（2）超越了按照法律法规规定必须获得行政许可或者行政审批的经营范围的；</w:t>
      </w:r>
    </w:p>
    <w:p w14:paraId="32795C5E">
      <w:pPr>
        <w:snapToGrid w:val="0"/>
        <w:spacing w:line="400" w:lineRule="exact"/>
        <w:ind w:firstLine="420" w:firstLineChars="200"/>
        <w:outlineLvl w:val="4"/>
        <w:rPr>
          <w:rFonts w:ascii="宋体" w:hAnsi="宋体"/>
          <w:color w:val="auto"/>
          <w:szCs w:val="21"/>
          <w:highlight w:val="none"/>
        </w:rPr>
      </w:pPr>
      <w:r>
        <w:rPr>
          <w:rFonts w:hint="eastAsia" w:ascii="宋体" w:hAnsi="宋体"/>
          <w:color w:val="auto"/>
          <w:szCs w:val="21"/>
          <w:highlight w:val="none"/>
        </w:rPr>
        <w:t>（3）不具备竞争性磋商文件规定的资格要求的；</w:t>
      </w:r>
    </w:p>
    <w:p w14:paraId="446C1BB1">
      <w:pPr>
        <w:snapToGrid w:val="0"/>
        <w:spacing w:line="400" w:lineRule="exact"/>
        <w:ind w:firstLine="420" w:firstLineChars="200"/>
        <w:outlineLvl w:val="4"/>
        <w:rPr>
          <w:rFonts w:ascii="宋体" w:hAnsi="宋体"/>
          <w:color w:val="auto"/>
          <w:szCs w:val="21"/>
          <w:highlight w:val="none"/>
        </w:rPr>
      </w:pPr>
      <w:r>
        <w:rPr>
          <w:rFonts w:hint="eastAsia" w:ascii="宋体" w:hAnsi="宋体"/>
          <w:color w:val="auto"/>
          <w:szCs w:val="21"/>
          <w:highlight w:val="none"/>
        </w:rPr>
        <w:t>（4）响应文件未按竞争性磋商文件的内容和要求编制，或提供虚假材料的；</w:t>
      </w:r>
    </w:p>
    <w:p w14:paraId="3B8DC0F4">
      <w:pPr>
        <w:snapToGrid w:val="0"/>
        <w:spacing w:line="400" w:lineRule="exact"/>
        <w:ind w:firstLine="420" w:firstLineChars="200"/>
        <w:outlineLvl w:val="4"/>
        <w:rPr>
          <w:rFonts w:ascii="宋体" w:hAnsi="宋体"/>
          <w:color w:val="auto"/>
          <w:szCs w:val="21"/>
          <w:highlight w:val="none"/>
        </w:rPr>
      </w:pPr>
      <w:r>
        <w:rPr>
          <w:rFonts w:hint="eastAsia" w:ascii="宋体" w:hAnsi="宋体"/>
          <w:color w:val="auto"/>
          <w:szCs w:val="21"/>
          <w:highlight w:val="none"/>
        </w:rPr>
        <w:t>（5）响应文件有效期、服务期限、售后服务等不能满足竞争性磋商文件要求的；</w:t>
      </w:r>
    </w:p>
    <w:p w14:paraId="0807EA22">
      <w:pPr>
        <w:snapToGrid w:val="0"/>
        <w:spacing w:line="400" w:lineRule="exact"/>
        <w:ind w:firstLine="420" w:firstLineChars="200"/>
        <w:outlineLvl w:val="4"/>
        <w:rPr>
          <w:rFonts w:ascii="宋体" w:hAnsi="宋体"/>
          <w:color w:val="auto"/>
          <w:szCs w:val="21"/>
          <w:highlight w:val="none"/>
        </w:rPr>
      </w:pPr>
      <w:r>
        <w:rPr>
          <w:rFonts w:hint="eastAsia" w:ascii="宋体" w:hAnsi="宋体"/>
          <w:color w:val="auto"/>
          <w:szCs w:val="21"/>
          <w:highlight w:val="none"/>
        </w:rPr>
        <w:t>（6）供应商未就“项目采购需求”中所有服务内容作完整唯一报价的，或未在报价范围内的；</w:t>
      </w:r>
    </w:p>
    <w:p w14:paraId="31E9CD7F">
      <w:pPr>
        <w:pStyle w:val="22"/>
        <w:spacing w:line="400" w:lineRule="exact"/>
        <w:ind w:firstLine="420" w:firstLineChars="200"/>
        <w:rPr>
          <w:rFonts w:hAnsi="宋体"/>
          <w:color w:val="auto"/>
          <w:sz w:val="21"/>
          <w:highlight w:val="none"/>
        </w:rPr>
      </w:pPr>
      <w:r>
        <w:rPr>
          <w:rFonts w:hint="eastAsia" w:hAnsi="宋体"/>
          <w:color w:val="auto"/>
          <w:sz w:val="21"/>
          <w:highlight w:val="none"/>
        </w:rPr>
        <w:t>（7）磋商供应商不在规定时间内对磋商内容进行应答的；</w:t>
      </w:r>
    </w:p>
    <w:p w14:paraId="2E6A3D02">
      <w:pPr>
        <w:pStyle w:val="22"/>
        <w:spacing w:line="400" w:lineRule="exact"/>
        <w:ind w:firstLine="420" w:firstLineChars="200"/>
        <w:rPr>
          <w:rFonts w:hAnsi="宋体"/>
          <w:color w:val="auto"/>
          <w:sz w:val="21"/>
          <w:highlight w:val="none"/>
        </w:rPr>
      </w:pPr>
      <w:r>
        <w:rPr>
          <w:rFonts w:hint="eastAsia" w:hAnsi="宋体"/>
          <w:color w:val="auto"/>
          <w:sz w:val="21"/>
          <w:highlight w:val="none"/>
        </w:rPr>
        <w:t>（8）未满足竞争性磋商文件全部实质性要求的或者响应文件有采购人不能接受的附加条件的；</w:t>
      </w:r>
    </w:p>
    <w:p w14:paraId="049A047A">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）响应文件实质性要求未做变动，供应商最终报价高于第一次报价的；</w:t>
      </w:r>
    </w:p>
    <w:p w14:paraId="7104B2B4">
      <w:pPr>
        <w:snapToGrid w:val="0"/>
        <w:spacing w:line="400" w:lineRule="exact"/>
        <w:ind w:firstLine="420" w:firstLineChars="200"/>
        <w:outlineLvl w:val="4"/>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）未完全响应采购文件实质性要求的；</w:t>
      </w:r>
    </w:p>
    <w:p w14:paraId="77967EAF">
      <w:pPr>
        <w:snapToGrid w:val="0"/>
        <w:spacing w:line="400" w:lineRule="exact"/>
        <w:ind w:firstLine="420" w:firstLineChars="200"/>
        <w:outlineLvl w:val="4"/>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）不符合法律、法规和</w:t>
      </w:r>
      <w:r>
        <w:rPr>
          <w:rFonts w:hint="eastAsia" w:hAnsi="宋体"/>
          <w:color w:val="auto"/>
          <w:szCs w:val="21"/>
          <w:highlight w:val="none"/>
        </w:rPr>
        <w:t>竞争性磋商文件</w:t>
      </w:r>
      <w:r>
        <w:rPr>
          <w:rFonts w:hint="eastAsia" w:ascii="宋体" w:hAnsi="宋体"/>
          <w:color w:val="auto"/>
          <w:szCs w:val="21"/>
          <w:highlight w:val="none"/>
        </w:rPr>
        <w:t>规定的其他无效情形。</w:t>
      </w:r>
    </w:p>
    <w:p w14:paraId="7CC047D6">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1</w:t>
      </w:r>
      <w:r>
        <w:rPr>
          <w:rFonts w:hint="eastAsia" w:ascii="宋体" w:hAnsi="宋体"/>
          <w:b/>
          <w:color w:val="auto"/>
          <w:szCs w:val="21"/>
          <w:highlight w:val="none"/>
        </w:rPr>
        <w:t>.6有下列情形之一的视为供应商相互串通竞标，响应文件将被视为无效：</w:t>
      </w:r>
    </w:p>
    <w:p w14:paraId="2E114CF4">
      <w:pPr>
        <w:spacing w:line="420" w:lineRule="exact"/>
        <w:ind w:firstLine="420" w:firstLineChars="200"/>
        <w:rPr>
          <w:rFonts w:ascii="宋体" w:hAnsi="宋体"/>
          <w:strike/>
          <w:color w:val="auto"/>
          <w:szCs w:val="21"/>
          <w:highlight w:val="none"/>
        </w:rPr>
      </w:pPr>
      <w:r>
        <w:rPr>
          <w:rFonts w:hint="eastAsia" w:ascii="宋体" w:hAnsi="宋体"/>
          <w:color w:val="auto"/>
          <w:szCs w:val="21"/>
          <w:highlight w:val="none"/>
        </w:rPr>
        <w:t>（1）不同供应商的响应文件由同一单位或者个人编制；或不同供应商报名的IP地址一致的；</w:t>
      </w:r>
    </w:p>
    <w:p w14:paraId="0823E4F7">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（2）不同供应商委托同一单位或者个人办理竞标事宜；</w:t>
      </w:r>
    </w:p>
    <w:p w14:paraId="4C251E88">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（3）不同的供应商的响应文件载明的项目管理员为同一个人；</w:t>
      </w:r>
    </w:p>
    <w:p w14:paraId="267CBF1F">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（4）不同供应商的响应文件异常一致或报价呈规律性差异；</w:t>
      </w:r>
    </w:p>
    <w:p w14:paraId="19AC00ED">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（5）不同供应商的响应文件相互混装；</w:t>
      </w:r>
    </w:p>
    <w:p w14:paraId="73CB1CE4">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（6）不同供应商的保证金从同一单位或者个人账户转出。</w:t>
      </w:r>
    </w:p>
    <w:p w14:paraId="1C494E84">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1</w:t>
      </w:r>
      <w:r>
        <w:rPr>
          <w:rFonts w:hint="eastAsia" w:ascii="宋体" w:hAnsi="宋体"/>
          <w:b/>
          <w:color w:val="auto"/>
          <w:szCs w:val="21"/>
          <w:highlight w:val="none"/>
        </w:rPr>
        <w:t>.7供应商有下列情形之一的，属于恶意串通行为：</w:t>
      </w:r>
    </w:p>
    <w:p w14:paraId="0D76D8D4">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（1）供应商直接或者间接从采购人或者采购代理机构处获得其他供应商的相关信息并修改其响应文件：</w:t>
      </w:r>
    </w:p>
    <w:p w14:paraId="59EDC428">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（2）供应商按照采购人或者采购代理机构的授意撤换、修改响应文件；</w:t>
      </w:r>
    </w:p>
    <w:p w14:paraId="1AA1C68B">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（3）供应商之间协商报价、技术方案等响应文件的实质性内容；</w:t>
      </w:r>
    </w:p>
    <w:p w14:paraId="45D4DE7B">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（4）属于同一集团、协会、商会等组织成员的供应商按照该组织要求协同参加政府采购活动；</w:t>
      </w:r>
    </w:p>
    <w:p w14:paraId="5C6E8D8A">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（5）供应商之间事先约定一致抬高或者压低报价,或者在采购项目中事先约定轮流以高价位或者低价位成交,或者事先约定由某一特定供应商成交,然后再参加竞标；</w:t>
      </w:r>
    </w:p>
    <w:p w14:paraId="48AE99B7">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（6）供应商之间商定部分供应商放弃参加政府采购活动或者放弃成交；</w:t>
      </w:r>
    </w:p>
    <w:p w14:paraId="2FCDBCF3">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（7）供应商与采购人或者采购代理机构之间、供应商相互之间，为谋求特定供应商成交或者排斥其他供应商的其他串通行为。</w:t>
      </w:r>
    </w:p>
    <w:p w14:paraId="157DD92E">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1</w:t>
      </w:r>
      <w:r>
        <w:rPr>
          <w:rFonts w:hint="eastAsia" w:ascii="宋体" w:hAnsi="宋体"/>
          <w:b/>
          <w:color w:val="auto"/>
          <w:szCs w:val="21"/>
          <w:highlight w:val="none"/>
        </w:rPr>
        <w:t>.8关联供应商不得参加同一合同项下政府采购活动，否则响应文件将被视为无效：</w:t>
      </w:r>
    </w:p>
    <w:p w14:paraId="37CFBADF">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（1）单位负责人为同一人或者存在直接控股、管理关系的不同的供应商，不得参加同一合同项下的政府采购活动；</w:t>
      </w:r>
    </w:p>
    <w:p w14:paraId="03B7E7F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）生产厂商授权给供应商后自己不得参加同一合同项下的政府采购活动；生产厂商对同一品牌同一型号的货物，仅能委托一个代理商参加竞标。</w:t>
      </w:r>
    </w:p>
    <w:p w14:paraId="4162258B">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21.9在“信用中国”网站(www.creditchina.gov.cn)、中国政府采购网(www.ccgp.gov.cn)等渠道列入失信被执行人、</w:t>
      </w:r>
      <w:r>
        <w:rPr>
          <w:rFonts w:hint="eastAsia" w:ascii="宋体" w:hAnsi="宋体"/>
          <w:b/>
          <w:color w:val="auto"/>
          <w:szCs w:val="21"/>
          <w:highlight w:val="none"/>
          <w:lang w:eastAsia="zh-CN"/>
        </w:rPr>
        <w:t>重大税收违法失信主体</w:t>
      </w:r>
      <w:r>
        <w:rPr>
          <w:rFonts w:hint="eastAsia" w:ascii="宋体" w:hAnsi="宋体"/>
          <w:b/>
          <w:color w:val="auto"/>
          <w:szCs w:val="21"/>
          <w:highlight w:val="none"/>
        </w:rPr>
        <w:t>、政府采购严重违法失信行为记录名单的供应商，不得参与本项目政府采购活动。</w:t>
      </w:r>
    </w:p>
    <w:p w14:paraId="779C7DF1">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21.10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29C46DF">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2</w:t>
      </w:r>
      <w:r>
        <w:rPr>
          <w:rFonts w:hint="eastAsia" w:ascii="宋体" w:hAnsi="宋体"/>
          <w:b/>
          <w:color w:val="auto"/>
          <w:szCs w:val="21"/>
          <w:highlight w:val="none"/>
        </w:rPr>
        <w:t>.出现下列情形之一的，采购人或者采购代理机构应当终止竞争性磋商采购活动，发布项目终止公告并说明原因，重新开展采购活动：</w:t>
      </w:r>
    </w:p>
    <w:p w14:paraId="65C21AF1">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（1）因情况变化，不再符合规定的竞争性磋商采购方式适用情形的；</w:t>
      </w:r>
    </w:p>
    <w:p w14:paraId="5CCEB56D">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1ABB3AB5">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（3）除本须知1</w:t>
      </w: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.3、1</w:t>
      </w: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.4及法律法规规定的情形外，在采购过程中符合要求的供应商或者报价未高于控制单价的供应商不足3家的。</w:t>
      </w:r>
    </w:p>
    <w:p w14:paraId="2A1B2E45">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3</w:t>
      </w:r>
      <w:r>
        <w:rPr>
          <w:rFonts w:hint="eastAsia" w:ascii="宋体" w:hAnsi="宋体"/>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2572B04E">
      <w:pPr>
        <w:spacing w:before="93" w:beforeLines="30" w:after="93" w:afterLines="30" w:line="420" w:lineRule="exact"/>
        <w:jc w:val="center"/>
        <w:rPr>
          <w:rFonts w:ascii="宋体" w:hAnsi="宋体"/>
          <w:b/>
          <w:color w:val="auto"/>
          <w:sz w:val="24"/>
          <w:szCs w:val="21"/>
          <w:highlight w:val="none"/>
        </w:rPr>
      </w:pPr>
      <w:r>
        <w:rPr>
          <w:rFonts w:hint="eastAsia" w:ascii="宋体" w:hAnsi="宋体"/>
          <w:b/>
          <w:color w:val="auto"/>
          <w:sz w:val="24"/>
          <w:szCs w:val="21"/>
          <w:highlight w:val="none"/>
        </w:rPr>
        <w:t>五、确定成交供应商办法及结果公告</w:t>
      </w:r>
    </w:p>
    <w:p w14:paraId="35F75E62">
      <w:pPr>
        <w:spacing w:line="42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4</w:t>
      </w:r>
      <w:r>
        <w:rPr>
          <w:rFonts w:hint="eastAsia" w:ascii="宋体" w:hAnsi="宋体"/>
          <w:color w:val="auto"/>
          <w:szCs w:val="21"/>
          <w:highlight w:val="none"/>
        </w:rPr>
        <w:t>.1</w:t>
      </w:r>
      <w:r>
        <w:rPr>
          <w:rFonts w:hint="eastAsia" w:ascii="宋体" w:hAnsi="宋体" w:cs="宋体"/>
          <w:color w:val="auto"/>
          <w:kern w:val="0"/>
          <w:szCs w:val="21"/>
          <w:highlight w:val="none"/>
        </w:rPr>
        <w:t>采购</w:t>
      </w:r>
      <w:r>
        <w:rPr>
          <w:rFonts w:hint="eastAsia" w:ascii="宋体" w:hAnsi="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136A5B7">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4</w:t>
      </w:r>
      <w:r>
        <w:rPr>
          <w:rFonts w:hint="eastAsia" w:ascii="宋体" w:hAnsi="宋体"/>
          <w:color w:val="auto"/>
          <w:szCs w:val="21"/>
          <w:highlight w:val="none"/>
        </w:rPr>
        <w:t>.2采购代理机构应当在成交供应商确定后2个工作日内，在竞争性磋商公告发布媒体上公告成交结果，同时向成交供应商发出成交通知书。</w:t>
      </w:r>
    </w:p>
    <w:p w14:paraId="04368414">
      <w:pPr>
        <w:spacing w:before="93" w:beforeLines="30" w:after="93" w:afterLines="30" w:line="420" w:lineRule="exact"/>
        <w:jc w:val="center"/>
        <w:rPr>
          <w:rFonts w:ascii="宋体" w:hAnsi="宋体"/>
          <w:b/>
          <w:color w:val="auto"/>
          <w:sz w:val="24"/>
          <w:szCs w:val="21"/>
          <w:highlight w:val="none"/>
        </w:rPr>
      </w:pPr>
      <w:r>
        <w:rPr>
          <w:rFonts w:hint="eastAsia" w:ascii="宋体" w:hAnsi="宋体"/>
          <w:b/>
          <w:color w:val="auto"/>
          <w:sz w:val="24"/>
          <w:szCs w:val="21"/>
          <w:highlight w:val="none"/>
        </w:rPr>
        <w:t>六、履约保证金</w:t>
      </w:r>
    </w:p>
    <w:p w14:paraId="2055FCC0">
      <w:pPr>
        <w:pStyle w:val="22"/>
        <w:spacing w:line="420" w:lineRule="exact"/>
        <w:ind w:firstLine="420" w:firstLineChars="200"/>
        <w:rPr>
          <w:rFonts w:hAnsi="宋体"/>
          <w:b/>
          <w:color w:val="auto"/>
          <w:sz w:val="24"/>
          <w:highlight w:val="none"/>
        </w:rPr>
      </w:pPr>
      <w:r>
        <w:rPr>
          <w:rFonts w:hint="eastAsia" w:hAnsi="宋体"/>
          <w:color w:val="auto"/>
          <w:kern w:val="2"/>
          <w:sz w:val="21"/>
          <w:szCs w:val="24"/>
          <w:highlight w:val="none"/>
        </w:rPr>
        <w:t>2</w:t>
      </w:r>
      <w:r>
        <w:rPr>
          <w:rFonts w:hAnsi="宋体"/>
          <w:color w:val="auto"/>
          <w:kern w:val="2"/>
          <w:sz w:val="21"/>
          <w:szCs w:val="24"/>
          <w:highlight w:val="none"/>
        </w:rPr>
        <w:t>5</w:t>
      </w:r>
      <w:r>
        <w:rPr>
          <w:rFonts w:hint="eastAsia" w:hAnsi="宋体"/>
          <w:color w:val="auto"/>
          <w:kern w:val="2"/>
          <w:sz w:val="21"/>
          <w:szCs w:val="24"/>
          <w:highlight w:val="none"/>
        </w:rPr>
        <w:t>.1本项目无履约保证金。</w:t>
      </w:r>
    </w:p>
    <w:p w14:paraId="74D9AA5B">
      <w:pPr>
        <w:spacing w:before="93" w:beforeLines="30" w:after="93" w:afterLines="30" w:line="420" w:lineRule="exact"/>
        <w:jc w:val="center"/>
        <w:rPr>
          <w:rFonts w:ascii="宋体" w:hAnsi="宋体"/>
          <w:b/>
          <w:color w:val="auto"/>
          <w:sz w:val="24"/>
          <w:szCs w:val="21"/>
          <w:highlight w:val="none"/>
        </w:rPr>
      </w:pPr>
      <w:r>
        <w:rPr>
          <w:rFonts w:hint="eastAsia" w:ascii="宋体" w:hAnsi="宋体"/>
          <w:b/>
          <w:color w:val="auto"/>
          <w:sz w:val="24"/>
          <w:szCs w:val="21"/>
          <w:highlight w:val="none"/>
        </w:rPr>
        <w:t>七、签订合同</w:t>
      </w:r>
    </w:p>
    <w:p w14:paraId="4A1FBDD5">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.1</w:t>
      </w:r>
      <w:r>
        <w:rPr>
          <w:rFonts w:hint="eastAsia" w:hAnsi="宋体"/>
          <w:color w:val="auto"/>
          <w:szCs w:val="21"/>
          <w:highlight w:val="none"/>
        </w:rPr>
        <w:t>签订合同时间：成交通知书发出之日起</w:t>
      </w:r>
      <w:r>
        <w:rPr>
          <w:rFonts w:hint="eastAsia" w:hAnsi="宋体"/>
          <w:color w:val="auto"/>
          <w:szCs w:val="21"/>
          <w:highlight w:val="none"/>
          <w:lang w:val="en-US" w:eastAsia="zh-CN"/>
        </w:rPr>
        <w:t>20</w:t>
      </w:r>
      <w:r>
        <w:rPr>
          <w:rFonts w:hint="eastAsia" w:hAnsi="宋体"/>
          <w:color w:val="auto"/>
          <w:szCs w:val="21"/>
          <w:highlight w:val="none"/>
        </w:rPr>
        <w:t>日内。成交供应商领取成交通知书后，应按规定与采购人签订合同</w:t>
      </w:r>
      <w:r>
        <w:rPr>
          <w:rFonts w:hint="eastAsia" w:ascii="宋体" w:hAnsi="宋体"/>
          <w:color w:val="auto"/>
          <w:szCs w:val="21"/>
          <w:highlight w:val="none"/>
        </w:rPr>
        <w:t>。</w:t>
      </w:r>
    </w:p>
    <w:p w14:paraId="5A8D37FB">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2政府采购合同签订应当采用政府采购合同格式文本，合同应内容完整、盖章齐全；项目合同的各要素和内容应与磋商文件、成交供应商的承诺、中标通知书等的内容一致；合同附件齐全；多页合同每页应顺序标出页码并盖骑缝章。</w:t>
      </w:r>
    </w:p>
    <w:p w14:paraId="5096E923">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.3合同备案存档：政府采购合同双方自签订之日起1个工作日内将</w:t>
      </w:r>
      <w:r>
        <w:rPr>
          <w:rFonts w:hint="eastAsia" w:ascii="宋体" w:hAnsi="宋体"/>
          <w:color w:val="auto"/>
          <w:szCs w:val="21"/>
          <w:highlight w:val="none"/>
          <w:lang w:val="en-US" w:eastAsia="zh-CN"/>
        </w:rPr>
        <w:t>一</w:t>
      </w:r>
      <w:r>
        <w:rPr>
          <w:rFonts w:hint="eastAsia" w:ascii="宋体" w:hAnsi="宋体"/>
          <w:color w:val="auto"/>
          <w:szCs w:val="21"/>
          <w:highlight w:val="none"/>
        </w:rPr>
        <w:t>份合同原件交</w:t>
      </w:r>
      <w:r>
        <w:rPr>
          <w:rFonts w:hint="eastAsia" w:ascii="宋体" w:hAnsi="宋体"/>
          <w:color w:val="auto"/>
          <w:szCs w:val="21"/>
          <w:highlight w:val="none"/>
          <w:lang w:val="en-US" w:eastAsia="zh-CN"/>
        </w:rPr>
        <w:t>给</w:t>
      </w:r>
      <w:r>
        <w:rPr>
          <w:rFonts w:hint="eastAsia" w:ascii="宋体" w:hAnsi="宋体"/>
          <w:color w:val="auto"/>
          <w:szCs w:val="21"/>
          <w:highlight w:val="none"/>
        </w:rPr>
        <w:t>采购代理机构</w:t>
      </w:r>
      <w:r>
        <w:rPr>
          <w:rFonts w:hint="eastAsia" w:ascii="宋体" w:hAnsi="宋体"/>
          <w:color w:val="auto"/>
          <w:szCs w:val="21"/>
          <w:highlight w:val="none"/>
          <w:lang w:eastAsia="zh-CN"/>
        </w:rPr>
        <w:t>，</w:t>
      </w:r>
      <w:r>
        <w:rPr>
          <w:rFonts w:hint="eastAsia" w:ascii="宋体" w:hAnsi="宋体"/>
          <w:color w:val="auto"/>
          <w:szCs w:val="21"/>
          <w:highlight w:val="none"/>
        </w:rPr>
        <w:t>采购代理机构将政府采购合同在省级以上人民政府财政部门指定媒体上公告并存档。</w:t>
      </w:r>
    </w:p>
    <w:p w14:paraId="307E2F87">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4成交通知书发出后，成交供应商有下列情形之一的，成交无效，采购代理机构不予退还其交纳的磋商保证金，采购人可追究成交供应商承担相应的法律责任。如采购人无正当理由拒签合同的，采购代理机构向成交供应商退还磋商保证金；采购人给成交供应商造成损失的，成交供应商可追究采购人承担相应的法律责任。</w:t>
      </w:r>
    </w:p>
    <w:p w14:paraId="24DF18CA">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（1）成交后无正当理由不与采购人或者采购代理机构按规定的时间、地点签订合同的；</w:t>
      </w:r>
    </w:p>
    <w:p w14:paraId="609E47E1">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（2）成交后与采购人签订对磋商文件和响应文件作了实质性修改的合同，或与采购人私下订立背离合同实质性内容的协议的；</w:t>
      </w:r>
    </w:p>
    <w:p w14:paraId="2A6E4B56">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（3）将成交项目转让给他人，或者在响应文件中未说明，且未经采购人或采购代理机构同意，将成交项目分包给他人的。</w:t>
      </w:r>
    </w:p>
    <w:p w14:paraId="5F2EA85C">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.5采购人在签订合同之前有权要求成交供应商提供本项目磋商文件要求的资料原件进行核查，成交供应商不得拒绝。如成交供应商拒绝提供，则自行承担由此产生的后果。</w:t>
      </w:r>
    </w:p>
    <w:p w14:paraId="543CFD4A">
      <w:pPr>
        <w:spacing w:line="390" w:lineRule="exact"/>
        <w:ind w:firstLine="420" w:firstLineChars="200"/>
        <w:rPr>
          <w:rFonts w:ascii="宋体" w:hAnsi="宋体"/>
          <w:b/>
          <w:color w:val="auto"/>
          <w:sz w:val="24"/>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.6成交供应商因不可抗力或者自身原因不能履行政府采购合同的，如仍在磋商有效期内，采购人可以与排位在成交供应商之后第一位的成交候选供应商签订政府采购合同，以此类推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也可以重新进行采购</w:t>
      </w:r>
      <w:r>
        <w:rPr>
          <w:rFonts w:hint="eastAsia" w:ascii="宋体" w:hAnsi="宋体"/>
          <w:color w:val="auto"/>
          <w:szCs w:val="21"/>
          <w:highlight w:val="none"/>
        </w:rPr>
        <w:t>。</w:t>
      </w:r>
    </w:p>
    <w:p w14:paraId="65618280">
      <w:pPr>
        <w:spacing w:line="39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八、政府采购合同公告</w:t>
      </w:r>
    </w:p>
    <w:p w14:paraId="48EB5B71">
      <w:pPr>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w:t>
      </w:r>
      <w:r>
        <w:rPr>
          <w:rFonts w:hint="eastAsia" w:ascii="宋体" w:hAnsi="宋体" w:cs="宋体"/>
          <w:color w:val="auto"/>
          <w:szCs w:val="21"/>
          <w:highlight w:val="none"/>
        </w:rPr>
        <w:t>.1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E25D29A">
      <w:pPr>
        <w:spacing w:line="39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九、适用法律</w:t>
      </w:r>
    </w:p>
    <w:p w14:paraId="015FE304">
      <w:pPr>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w:t>
      </w:r>
      <w:r>
        <w:rPr>
          <w:rFonts w:hint="eastAsia" w:ascii="宋体" w:hAnsi="宋体" w:cs="宋体"/>
          <w:color w:val="auto"/>
          <w:szCs w:val="21"/>
          <w:highlight w:val="none"/>
        </w:rPr>
        <w:t>. 采购当事人的一切活动均适用于《中华人民共和国政府采购法》、《中华人民共和国民法典》、《政府采购竞争性磋商采购方式管理暂行办法》及相关规定。</w:t>
      </w:r>
    </w:p>
    <w:p w14:paraId="73333A30">
      <w:pPr>
        <w:spacing w:line="39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十、其他事项</w:t>
      </w:r>
    </w:p>
    <w:p w14:paraId="62177E54">
      <w:pPr>
        <w:spacing w:line="390" w:lineRule="exact"/>
        <w:ind w:firstLine="420" w:firstLineChars="200"/>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 招标代理服务收费：</w:t>
      </w:r>
    </w:p>
    <w:p w14:paraId="616B73B1">
      <w:pPr>
        <w:spacing w:line="390" w:lineRule="exact"/>
        <w:ind w:firstLine="420" w:firstLineChars="200"/>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.1根据本项目采购人与采购代理机构签订的采购代理合同约定，本项目的招标代理服务费由成交人在领取成交通知书时，一次性向采购代理机构支付。</w:t>
      </w:r>
    </w:p>
    <w:p w14:paraId="7B03B517">
      <w:pPr>
        <w:spacing w:line="390" w:lineRule="exact"/>
        <w:ind w:firstLine="420" w:firstLineChars="200"/>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.2</w:t>
      </w:r>
      <w:r>
        <w:rPr>
          <w:rFonts w:hint="eastAsia" w:ascii="宋体" w:hAnsi="宋体" w:cs="宋体"/>
          <w:color w:val="auto"/>
          <w:highlight w:val="none"/>
        </w:rPr>
        <w:t>招标代理服务费:</w:t>
      </w:r>
      <w:r>
        <w:rPr>
          <w:rFonts w:hint="eastAsia" w:ascii="宋体" w:hAnsi="宋体" w:eastAsia="宋体" w:cs="宋体"/>
          <w:b w:val="0"/>
          <w:bCs w:val="0"/>
          <w:color w:val="auto"/>
          <w:sz w:val="22"/>
          <w:szCs w:val="22"/>
          <w:highlight w:val="none"/>
          <w:u w:val="none"/>
        </w:rPr>
        <w:t>参照《广西壮族自治区工程建设其他费用定额》（桂建标【2018】37号）文</w:t>
      </w:r>
      <w:r>
        <w:rPr>
          <w:rFonts w:hint="eastAsia" w:ascii="宋体" w:hAnsi="宋体" w:eastAsia="宋体" w:cs="宋体"/>
          <w:b w:val="0"/>
          <w:bCs w:val="0"/>
          <w:color w:val="auto"/>
          <w:sz w:val="22"/>
          <w:szCs w:val="22"/>
          <w:highlight w:val="none"/>
          <w:u w:val="none"/>
          <w:lang w:val="en-US" w:eastAsia="zh-CN"/>
        </w:rPr>
        <w:t>服务类</w:t>
      </w:r>
      <w:r>
        <w:rPr>
          <w:rFonts w:hint="eastAsia" w:ascii="宋体" w:hAnsi="宋体" w:cs="宋体"/>
          <w:b w:val="0"/>
          <w:bCs w:val="0"/>
          <w:color w:val="auto"/>
          <w:kern w:val="0"/>
          <w:szCs w:val="21"/>
          <w:highlight w:val="none"/>
          <w:u w:val="none"/>
        </w:rPr>
        <w:t>收费</w:t>
      </w:r>
      <w:r>
        <w:rPr>
          <w:rFonts w:hint="eastAsia" w:ascii="宋体" w:hAnsi="宋体" w:cs="宋体"/>
          <w:color w:val="auto"/>
          <w:kern w:val="0"/>
          <w:szCs w:val="21"/>
          <w:highlight w:val="none"/>
        </w:rPr>
        <w:t>标准收取。由成交人在领取成交通知书前，向采购代理机构一次性支付。</w:t>
      </w:r>
    </w:p>
    <w:p w14:paraId="1299E703">
      <w:pPr>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0</w:t>
      </w:r>
      <w:r>
        <w:rPr>
          <w:rFonts w:hint="eastAsia" w:ascii="宋体" w:hAnsi="宋体" w:cs="宋体"/>
          <w:color w:val="auto"/>
          <w:szCs w:val="21"/>
          <w:highlight w:val="none"/>
        </w:rPr>
        <w:t>.询问、质疑和投诉</w:t>
      </w:r>
    </w:p>
    <w:p w14:paraId="1B4032B7">
      <w:pPr>
        <w:spacing w:line="390" w:lineRule="exact"/>
        <w:ind w:firstLine="420" w:firstLineChars="200"/>
        <w:rPr>
          <w:rFonts w:ascii="宋体" w:hAnsi="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.1供应商对政府采购活动事项有疑问的，可以向采购</w:t>
      </w:r>
      <w:r>
        <w:rPr>
          <w:rFonts w:hint="eastAsia" w:ascii="宋体" w:hAnsi="宋体"/>
          <w:color w:val="auto"/>
          <w:szCs w:val="21"/>
          <w:highlight w:val="none"/>
        </w:rPr>
        <w:t>人、采购代理机构提出询问。</w:t>
      </w:r>
    </w:p>
    <w:p w14:paraId="7D5C60D8">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0</w:t>
      </w:r>
      <w:r>
        <w:rPr>
          <w:rFonts w:hint="eastAsia" w:ascii="宋体" w:hAnsi="宋体"/>
          <w:color w:val="auto"/>
          <w:szCs w:val="21"/>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302FCD84">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（一）对可以质疑的采购文件提出质疑的，为收到采购文件之日；</w:t>
      </w:r>
    </w:p>
    <w:p w14:paraId="493996CE">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（二）对采购过程提出质疑的，为各采购程序环节结束之日；</w:t>
      </w:r>
    </w:p>
    <w:p w14:paraId="52D1ADAB">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（三）对成交结果提出质疑的，为成交结果公告期限届满之日。</w:t>
      </w:r>
    </w:p>
    <w:p w14:paraId="2E455D6D">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供应商对招标采购单位的质疑答复不满意或者招标采购单位未在规定时间内作出答复的，可以在答复期满后十五个工作日内向同级采购监管部门投诉。</w:t>
      </w:r>
    </w:p>
    <w:p w14:paraId="5B0AA0F4">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0</w:t>
      </w:r>
      <w:r>
        <w:rPr>
          <w:rFonts w:hint="eastAsia" w:ascii="宋体" w:hAnsi="宋体"/>
          <w:color w:val="auto"/>
          <w:szCs w:val="21"/>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26587769">
      <w:pPr>
        <w:tabs>
          <w:tab w:val="left" w:pos="2190"/>
        </w:tabs>
        <w:spacing w:line="39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ascii="宋体" w:hAnsi="宋体"/>
          <w:color w:val="auto"/>
          <w:szCs w:val="21"/>
          <w:highlight w:val="none"/>
        </w:rPr>
        <w:t>0</w:t>
      </w:r>
      <w:r>
        <w:rPr>
          <w:rFonts w:hint="eastAsia" w:ascii="宋体" w:hAnsi="宋体"/>
          <w:color w:val="auto"/>
          <w:szCs w:val="21"/>
          <w:highlight w:val="none"/>
        </w:rPr>
        <w:t>.4质疑</w:t>
      </w:r>
      <w:r>
        <w:rPr>
          <w:rFonts w:ascii="宋体" w:hAnsi="宋体"/>
          <w:color w:val="auto"/>
          <w:szCs w:val="21"/>
          <w:highlight w:val="none"/>
        </w:rPr>
        <w:t>联系部门</w:t>
      </w:r>
      <w:r>
        <w:rPr>
          <w:rFonts w:hint="eastAsia" w:ascii="宋体" w:hAnsi="宋体"/>
          <w:color w:val="auto"/>
          <w:szCs w:val="21"/>
          <w:highlight w:val="none"/>
        </w:rPr>
        <w:t>：</w:t>
      </w:r>
      <w:r>
        <w:rPr>
          <w:rFonts w:hint="eastAsia" w:ascii="宋体" w:hAnsi="宋体"/>
          <w:color w:val="auto"/>
          <w:szCs w:val="21"/>
          <w:highlight w:val="none"/>
          <w:lang w:eastAsia="zh-CN"/>
        </w:rPr>
        <w:t>广西翔正项目管理有限公司</w:t>
      </w:r>
    </w:p>
    <w:p w14:paraId="3FCFFCB7">
      <w:pPr>
        <w:tabs>
          <w:tab w:val="left" w:pos="2190"/>
        </w:tabs>
        <w:spacing w:line="39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0774-</w:t>
      </w:r>
      <w:r>
        <w:rPr>
          <w:rFonts w:hint="eastAsia" w:ascii="宋体" w:hAnsi="宋体"/>
          <w:color w:val="auto"/>
          <w:szCs w:val="21"/>
          <w:highlight w:val="none"/>
          <w:lang w:val="en-US" w:eastAsia="zh-CN"/>
        </w:rPr>
        <w:t>5297678</w:t>
      </w:r>
    </w:p>
    <w:p w14:paraId="3F35FAB3">
      <w:pPr>
        <w:tabs>
          <w:tab w:val="left" w:pos="2190"/>
        </w:tabs>
        <w:spacing w:line="39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通讯地址：</w:t>
      </w:r>
      <w:r>
        <w:rPr>
          <w:rFonts w:hint="eastAsia" w:ascii="宋体" w:hAnsi="宋体"/>
          <w:color w:val="auto"/>
          <w:szCs w:val="21"/>
          <w:highlight w:val="none"/>
          <w:lang w:eastAsia="zh-CN"/>
        </w:rPr>
        <w:t>贺州市</w:t>
      </w:r>
      <w:r>
        <w:rPr>
          <w:rFonts w:hint="eastAsia" w:ascii="宋体" w:hAnsi="宋体"/>
          <w:color w:val="auto"/>
          <w:szCs w:val="21"/>
          <w:highlight w:val="none"/>
          <w:lang w:val="en-US" w:eastAsia="zh-CN"/>
        </w:rPr>
        <w:t>太安巷56号</w:t>
      </w:r>
    </w:p>
    <w:p w14:paraId="23599D2B">
      <w:pPr>
        <w:pStyle w:val="82"/>
        <w:spacing w:line="420" w:lineRule="exact"/>
        <w:ind w:firstLine="420"/>
        <w:jc w:val="both"/>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ascii="宋体" w:hAnsi="宋体"/>
          <w:color w:val="auto"/>
          <w:szCs w:val="21"/>
          <w:highlight w:val="none"/>
        </w:rPr>
        <w:t>0</w:t>
      </w:r>
      <w:r>
        <w:rPr>
          <w:rFonts w:hint="eastAsia" w:ascii="宋体" w:hAnsi="宋体"/>
          <w:color w:val="auto"/>
          <w:szCs w:val="21"/>
          <w:highlight w:val="none"/>
        </w:rPr>
        <w:t>.5投诉联系部门：</w:t>
      </w:r>
      <w:r>
        <w:rPr>
          <w:rFonts w:hint="eastAsia" w:ascii="宋体" w:hAnsi="宋体"/>
          <w:color w:val="auto"/>
          <w:szCs w:val="21"/>
          <w:highlight w:val="none"/>
          <w:lang w:eastAsia="zh-CN"/>
        </w:rPr>
        <w:t>贺州市</w:t>
      </w:r>
      <w:r>
        <w:rPr>
          <w:rFonts w:hint="eastAsia" w:ascii="宋体" w:hAnsi="宋体"/>
          <w:color w:val="auto"/>
          <w:szCs w:val="21"/>
          <w:highlight w:val="none"/>
          <w:lang w:val="en-US" w:eastAsia="zh-CN"/>
        </w:rPr>
        <w:t>平桂区</w:t>
      </w:r>
      <w:r>
        <w:rPr>
          <w:rFonts w:hint="eastAsia" w:ascii="宋体" w:hAnsi="宋体"/>
          <w:color w:val="auto"/>
          <w:szCs w:val="21"/>
          <w:highlight w:val="none"/>
          <w:lang w:eastAsia="zh-CN"/>
        </w:rPr>
        <w:t>财政局政府采购监督管理科</w:t>
      </w:r>
    </w:p>
    <w:p w14:paraId="486115E2">
      <w:pPr>
        <w:pStyle w:val="82"/>
        <w:spacing w:line="420" w:lineRule="exact"/>
        <w:ind w:firstLine="420"/>
        <w:jc w:val="both"/>
        <w:rPr>
          <w:rFonts w:hint="default" w:ascii="宋体" w:hAnsi="宋体" w:eastAsia="宋体"/>
          <w:color w:val="auto"/>
          <w:szCs w:val="21"/>
          <w:highlight w:val="none"/>
          <w:lang w:val="en-US" w:eastAsia="zh-CN"/>
        </w:rPr>
      </w:pPr>
      <w:r>
        <w:rPr>
          <w:rFonts w:hint="eastAsia" w:ascii="宋体" w:hAnsi="宋体"/>
          <w:color w:val="auto"/>
          <w:szCs w:val="21"/>
          <w:highlight w:val="none"/>
        </w:rPr>
        <w:t>电话：</w:t>
      </w:r>
      <w:r>
        <w:rPr>
          <w:rFonts w:hint="eastAsia" w:ascii="宋体" w:hAnsi="宋体"/>
          <w:color w:val="auto"/>
          <w:szCs w:val="21"/>
          <w:highlight w:val="none"/>
          <w:lang w:eastAsia="zh-CN"/>
        </w:rPr>
        <w:t>0774-</w:t>
      </w:r>
      <w:r>
        <w:rPr>
          <w:rFonts w:hint="eastAsia" w:ascii="宋体" w:hAnsi="宋体"/>
          <w:color w:val="auto"/>
          <w:szCs w:val="21"/>
          <w:highlight w:val="none"/>
          <w:lang w:val="en-US" w:eastAsia="zh-CN"/>
        </w:rPr>
        <w:t>8832896</w:t>
      </w:r>
    </w:p>
    <w:p w14:paraId="5A0A467F">
      <w:pPr>
        <w:tabs>
          <w:tab w:val="left" w:pos="2190"/>
        </w:tabs>
        <w:spacing w:line="390" w:lineRule="exact"/>
        <w:ind w:firstLine="420" w:firstLineChars="200"/>
        <w:rPr>
          <w:rFonts w:ascii="宋体" w:hAnsi="宋体"/>
          <w:color w:val="auto"/>
          <w:szCs w:val="21"/>
          <w:highlight w:val="none"/>
          <w:lang w:val="zh-CN"/>
        </w:rPr>
      </w:pPr>
      <w:r>
        <w:rPr>
          <w:rFonts w:hint="eastAsia" w:ascii="宋体" w:hAnsi="宋体"/>
          <w:color w:val="auto"/>
          <w:szCs w:val="21"/>
          <w:highlight w:val="none"/>
          <w:lang w:val="zh-CN"/>
        </w:rPr>
        <w:t>31.需要补充的其他内容</w:t>
      </w:r>
    </w:p>
    <w:p w14:paraId="25C70E55">
      <w:pPr>
        <w:tabs>
          <w:tab w:val="left" w:pos="2190"/>
        </w:tabs>
        <w:spacing w:line="390" w:lineRule="exact"/>
        <w:ind w:firstLine="420" w:firstLineChars="200"/>
        <w:rPr>
          <w:rFonts w:ascii="宋体" w:hAnsi="宋体"/>
          <w:color w:val="auto"/>
          <w:szCs w:val="21"/>
          <w:highlight w:val="none"/>
          <w:lang w:val="zh-CN"/>
        </w:rPr>
      </w:pPr>
      <w:r>
        <w:rPr>
          <w:rFonts w:hint="eastAsia" w:ascii="宋体" w:hAnsi="宋体"/>
          <w:color w:val="auto"/>
          <w:szCs w:val="21"/>
          <w:highlight w:val="none"/>
          <w:lang w:val="zh-CN"/>
        </w:rPr>
        <w:t>需要补充的其他内容：见供应商须知前附表。</w:t>
      </w:r>
    </w:p>
    <w:p w14:paraId="62C85262">
      <w:pPr>
        <w:pStyle w:val="3"/>
        <w:numPr>
          <w:ilvl w:val="0"/>
          <w:numId w:val="0"/>
        </w:numPr>
        <w:rPr>
          <w:color w:val="auto"/>
          <w:highlight w:val="none"/>
        </w:rPr>
      </w:pPr>
    </w:p>
    <w:p w14:paraId="12FD07E7">
      <w:pPr>
        <w:pStyle w:val="22"/>
        <w:spacing w:after="156" w:line="440" w:lineRule="exact"/>
        <w:rPr>
          <w:rFonts w:hint="eastAsia" w:hAnsi="宋体"/>
          <w:b/>
          <w:color w:val="auto"/>
          <w:sz w:val="28"/>
          <w:szCs w:val="28"/>
          <w:highlight w:val="none"/>
        </w:rPr>
      </w:pPr>
    </w:p>
    <w:p w14:paraId="4B6DC25B">
      <w:pPr>
        <w:pStyle w:val="20"/>
        <w:spacing w:before="156" w:beforeLines="50" w:after="240"/>
        <w:ind w:left="0" w:leftChars="0" w:right="0" w:rightChars="0"/>
        <w:jc w:val="both"/>
        <w:outlineLvl w:val="0"/>
        <w:rPr>
          <w:rFonts w:hint="eastAsia" w:ascii="宋体" w:hAnsi="宋体" w:cs="微软雅黑"/>
          <w:b/>
          <w:color w:val="auto"/>
          <w:kern w:val="0"/>
          <w:sz w:val="44"/>
          <w:szCs w:val="44"/>
          <w:highlight w:val="none"/>
        </w:rPr>
      </w:pPr>
      <w:bookmarkStart w:id="53" w:name="_Toc20412"/>
    </w:p>
    <w:p w14:paraId="4FA09A5D">
      <w:pPr>
        <w:pStyle w:val="20"/>
        <w:numPr>
          <w:ilvl w:val="0"/>
          <w:numId w:val="2"/>
        </w:numPr>
        <w:spacing w:before="156" w:beforeLines="50" w:after="240"/>
        <w:ind w:left="0" w:leftChars="0" w:right="0" w:rightChars="0"/>
        <w:jc w:val="center"/>
        <w:outlineLvl w:val="0"/>
        <w:rPr>
          <w:rFonts w:hint="eastAsia" w:ascii="宋体" w:hAnsi="宋体" w:cs="微软雅黑"/>
          <w:b/>
          <w:color w:val="auto"/>
          <w:kern w:val="0"/>
          <w:sz w:val="44"/>
          <w:szCs w:val="44"/>
          <w:highlight w:val="none"/>
        </w:rPr>
      </w:pPr>
      <w:r>
        <w:rPr>
          <w:rFonts w:ascii="宋体" w:hAnsi="宋体" w:cs="微软雅黑"/>
          <w:b/>
          <w:color w:val="auto"/>
          <w:kern w:val="0"/>
          <w:sz w:val="44"/>
          <w:szCs w:val="44"/>
          <w:highlight w:val="none"/>
        </w:rPr>
        <w:t xml:space="preserve"> </w:t>
      </w:r>
      <w:r>
        <w:rPr>
          <w:rFonts w:hint="eastAsia" w:ascii="宋体" w:hAnsi="宋体" w:cs="微软雅黑"/>
          <w:b/>
          <w:color w:val="auto"/>
          <w:kern w:val="0"/>
          <w:sz w:val="44"/>
          <w:szCs w:val="44"/>
          <w:highlight w:val="none"/>
        </w:rPr>
        <w:t>项目采购需求</w:t>
      </w:r>
      <w:bookmarkEnd w:id="53"/>
    </w:p>
    <w:p w14:paraId="4293740E">
      <w:pPr>
        <w:pStyle w:val="20"/>
        <w:numPr>
          <w:ilvl w:val="0"/>
          <w:numId w:val="0"/>
        </w:numPr>
        <w:spacing w:before="156" w:beforeLines="50" w:after="240"/>
        <w:ind w:right="0" w:rightChars="0"/>
        <w:jc w:val="both"/>
        <w:outlineLvl w:val="0"/>
        <w:rPr>
          <w:rFonts w:hint="eastAsia" w:ascii="宋体" w:hAnsi="宋体" w:eastAsia="宋体" w:cs="宋体"/>
          <w:snapToGrid w:val="0"/>
          <w:color w:val="auto"/>
          <w:kern w:val="21"/>
          <w:sz w:val="24"/>
          <w:szCs w:val="24"/>
          <w:highlight w:val="none"/>
          <w:lang w:val="en-US" w:eastAsia="zh-CN" w:bidi="ar-SA"/>
        </w:rPr>
      </w:pPr>
      <w:r>
        <w:rPr>
          <w:rFonts w:hint="eastAsia" w:ascii="宋体" w:hAnsi="宋体" w:eastAsia="宋体" w:cs="宋体"/>
          <w:snapToGrid w:val="0"/>
          <w:color w:val="auto"/>
          <w:kern w:val="21"/>
          <w:sz w:val="24"/>
          <w:szCs w:val="24"/>
          <w:highlight w:val="none"/>
          <w:lang w:val="en-US" w:eastAsia="zh-CN" w:bidi="ar-SA"/>
        </w:rPr>
        <w:t>项目名称：</w:t>
      </w:r>
      <w:r>
        <w:rPr>
          <w:rFonts w:hint="eastAsia" w:ascii="宋体" w:hAnsi="宋体" w:cs="宋体"/>
          <w:snapToGrid w:val="0"/>
          <w:color w:val="auto"/>
          <w:kern w:val="21"/>
          <w:sz w:val="24"/>
          <w:szCs w:val="24"/>
          <w:highlight w:val="none"/>
          <w:lang w:val="en-US" w:eastAsia="zh-CN" w:bidi="ar-SA"/>
        </w:rPr>
        <w:t>中国共产党贺州市平桂区委员会宣传部平桂工矿历史遗产数字化开发与融媒体传播平台建设项目</w:t>
      </w:r>
    </w:p>
    <w:p w14:paraId="1BDA0DB2">
      <w:pPr>
        <w:pStyle w:val="20"/>
        <w:numPr>
          <w:ilvl w:val="0"/>
          <w:numId w:val="0"/>
        </w:numPr>
        <w:spacing w:before="156" w:beforeLines="50" w:after="240"/>
        <w:ind w:right="0" w:rightChars="0"/>
        <w:jc w:val="both"/>
        <w:outlineLvl w:val="0"/>
        <w:rPr>
          <w:rFonts w:hint="eastAsia" w:ascii="宋体" w:hAnsi="宋体" w:cs="宋体"/>
          <w:snapToGrid w:val="0"/>
          <w:color w:val="auto"/>
          <w:kern w:val="21"/>
          <w:sz w:val="24"/>
          <w:szCs w:val="24"/>
          <w:highlight w:val="none"/>
          <w:lang w:val="en-US" w:eastAsia="zh-CN" w:bidi="ar-SA"/>
        </w:rPr>
      </w:pPr>
      <w:r>
        <w:rPr>
          <w:rFonts w:hint="eastAsia" w:ascii="宋体" w:hAnsi="宋体" w:cs="宋体"/>
          <w:snapToGrid w:val="0"/>
          <w:color w:val="auto"/>
          <w:kern w:val="21"/>
          <w:sz w:val="24"/>
          <w:szCs w:val="24"/>
          <w:highlight w:val="none"/>
          <w:lang w:val="en-US" w:eastAsia="zh-CN" w:bidi="ar-SA"/>
        </w:rPr>
        <w:t>采购预算：人民币玖拾伍万元（¥950000.00元）</w:t>
      </w:r>
    </w:p>
    <w:p w14:paraId="75436096">
      <w:pPr>
        <w:pStyle w:val="20"/>
        <w:numPr>
          <w:ilvl w:val="0"/>
          <w:numId w:val="0"/>
        </w:numPr>
        <w:spacing w:before="156" w:beforeLines="50" w:after="240"/>
        <w:ind w:right="0" w:rightChars="0"/>
        <w:jc w:val="both"/>
        <w:outlineLvl w:val="0"/>
        <w:rPr>
          <w:rFonts w:hint="default" w:ascii="宋体" w:hAnsi="宋体" w:cs="宋体"/>
          <w:snapToGrid w:val="0"/>
          <w:color w:val="auto"/>
          <w:kern w:val="21"/>
          <w:sz w:val="24"/>
          <w:szCs w:val="24"/>
          <w:highlight w:val="none"/>
          <w:lang w:val="en-US" w:eastAsia="zh-CN" w:bidi="ar-SA"/>
        </w:rPr>
      </w:pPr>
      <w:r>
        <w:rPr>
          <w:rFonts w:hint="default" w:ascii="宋体" w:hAnsi="宋体" w:cs="宋体"/>
          <w:snapToGrid w:val="0"/>
          <w:color w:val="auto"/>
          <w:kern w:val="21"/>
          <w:sz w:val="24"/>
          <w:szCs w:val="24"/>
          <w:highlight w:val="none"/>
          <w:lang w:val="en-US" w:eastAsia="zh-CN" w:bidi="ar-SA"/>
        </w:rPr>
        <w:t>采购标的对应的中小企业划分标准所属行业：信息传输业</w:t>
      </w:r>
    </w:p>
    <w:p w14:paraId="2527F0E2">
      <w:pPr>
        <w:pStyle w:val="20"/>
        <w:numPr>
          <w:ilvl w:val="0"/>
          <w:numId w:val="0"/>
        </w:numPr>
        <w:spacing w:before="156" w:beforeLines="50" w:after="240"/>
        <w:ind w:right="0" w:rightChars="0"/>
        <w:jc w:val="both"/>
        <w:outlineLvl w:val="0"/>
        <w:rPr>
          <w:rFonts w:hint="default" w:ascii="宋体" w:hAnsi="宋体" w:cs="宋体"/>
          <w:b/>
          <w:bCs/>
          <w:snapToGrid w:val="0"/>
          <w:color w:val="auto"/>
          <w:kern w:val="21"/>
          <w:sz w:val="24"/>
          <w:szCs w:val="24"/>
          <w:highlight w:val="none"/>
          <w:lang w:val="en-US" w:eastAsia="zh-CN" w:bidi="ar-SA"/>
        </w:rPr>
      </w:pPr>
      <w:r>
        <w:rPr>
          <w:rFonts w:hint="default" w:ascii="宋体" w:hAnsi="宋体" w:cs="宋体"/>
          <w:b/>
          <w:bCs/>
          <w:snapToGrid w:val="0"/>
          <w:color w:val="auto"/>
          <w:kern w:val="21"/>
          <w:sz w:val="24"/>
          <w:szCs w:val="24"/>
          <w:highlight w:val="none"/>
          <w:lang w:val="en-US" w:eastAsia="zh-CN" w:bidi="ar-SA"/>
        </w:rPr>
        <w:t>采购需求概况</w:t>
      </w:r>
      <w:r>
        <w:rPr>
          <w:rFonts w:hint="eastAsia" w:ascii="宋体" w:hAnsi="宋体" w:cs="宋体"/>
          <w:b/>
          <w:bCs/>
          <w:snapToGrid w:val="0"/>
          <w:color w:val="auto"/>
          <w:kern w:val="21"/>
          <w:sz w:val="24"/>
          <w:szCs w:val="24"/>
          <w:highlight w:val="none"/>
          <w:lang w:val="en-US" w:eastAsia="zh-CN" w:bidi="ar-SA"/>
        </w:rPr>
        <w:t>：</w:t>
      </w:r>
    </w:p>
    <w:p w14:paraId="22EECF85">
      <w:pPr>
        <w:rPr>
          <w:rFonts w:hint="eastAsia" w:asciiTheme="majorEastAsia" w:hAnsiTheme="majorEastAsia" w:eastAsiaTheme="majorEastAsia" w:cstheme="majorEastAsia"/>
          <w:b/>
          <w:bCs/>
          <w:caps w:val="0"/>
          <w:color w:val="auto"/>
          <w:spacing w:val="0"/>
          <w:kern w:val="0"/>
          <w:sz w:val="24"/>
          <w:szCs w:val="24"/>
          <w:highlight w:val="none"/>
          <w:shd w:val="clear" w:fill="FFFFFF"/>
          <w:lang w:val="en-US" w:eastAsia="zh-CN" w:bidi="ar"/>
        </w:rPr>
      </w:pPr>
    </w:p>
    <w:p w14:paraId="4DD26496">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黑体" w:hAnsi="黑体" w:eastAsia="黑体" w:cs="黑体"/>
          <w:b w:val="0"/>
          <w:bCs w:val="0"/>
          <w:i w:val="0"/>
          <w:iCs w:val="0"/>
          <w:caps w:val="0"/>
          <w:color w:val="auto"/>
          <w:spacing w:val="0"/>
          <w:sz w:val="24"/>
          <w:szCs w:val="24"/>
          <w:highlight w:val="none"/>
          <w:shd w:val="clear" w:fill="FFFFFF"/>
          <w:lang w:eastAsia="zh-CN"/>
        </w:rPr>
      </w:pPr>
      <w:r>
        <w:rPr>
          <w:rFonts w:hint="eastAsia" w:ascii="黑体" w:hAnsi="黑体" w:eastAsia="黑体" w:cs="黑体"/>
          <w:b w:val="0"/>
          <w:bCs w:val="0"/>
          <w:caps w:val="0"/>
          <w:color w:val="auto"/>
          <w:spacing w:val="0"/>
          <w:kern w:val="0"/>
          <w:sz w:val="24"/>
          <w:szCs w:val="24"/>
          <w:highlight w:val="none"/>
          <w:shd w:val="clear" w:fill="FFFFFF"/>
          <w:lang w:val="en-US" w:eastAsia="zh-CN" w:bidi="ar"/>
        </w:rPr>
        <w:t>一、数据采集、录入及存储服务内容</w:t>
      </w:r>
    </w:p>
    <w:p w14:paraId="73536E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仿宋_GB2312" w:hAnsi="仿宋_GB2312" w:eastAsia="仿宋_GB2312" w:cs="仿宋_GB2312"/>
          <w:i w:val="0"/>
          <w:iCs w:val="0"/>
          <w:caps w:val="0"/>
          <w:color w:val="auto"/>
          <w:spacing w:val="0"/>
          <w:sz w:val="24"/>
          <w:szCs w:val="24"/>
          <w:highlight w:val="none"/>
          <w:shd w:val="clear" w:fill="FFFFFF"/>
          <w:lang w:eastAsia="zh-CN"/>
        </w:rPr>
      </w:pPr>
      <w:r>
        <w:rPr>
          <w:rFonts w:hint="eastAsia" w:ascii="仿宋_GB2312" w:hAnsi="仿宋_GB2312" w:eastAsia="仿宋_GB2312" w:cs="仿宋_GB2312"/>
          <w:i w:val="0"/>
          <w:iCs w:val="0"/>
          <w:caps w:val="0"/>
          <w:color w:val="auto"/>
          <w:spacing w:val="0"/>
          <w:sz w:val="24"/>
          <w:szCs w:val="24"/>
          <w:highlight w:val="none"/>
          <w:shd w:val="clear" w:fill="FFFFFF"/>
          <w:lang w:eastAsia="zh-CN"/>
        </w:rPr>
        <w:t>围绕平桂工矿历史文化保护传承，系统开展文献、老照片、口述史音视频、工业遗址等资料的挖掘、收集等工作；</w:t>
      </w:r>
      <w:r>
        <w:rPr>
          <w:rFonts w:hint="eastAsia" w:ascii="仿宋_GB2312" w:hAnsi="仿宋_GB2312" w:eastAsia="仿宋_GB2312" w:cs="仿宋_GB2312"/>
          <w:i w:val="0"/>
          <w:iCs w:val="0"/>
          <w:caps w:val="0"/>
          <w:color w:val="auto"/>
          <w:spacing w:val="0"/>
          <w:sz w:val="24"/>
          <w:szCs w:val="24"/>
          <w:highlight w:val="none"/>
          <w:u w:val="single"/>
          <w:shd w:val="clear" w:fill="FFFFFF"/>
          <w:lang w:eastAsia="zh-CN"/>
        </w:rPr>
        <w:t>史料采集要求格式规范、画质清晰，</w:t>
      </w:r>
      <w:r>
        <w:rPr>
          <w:rFonts w:hint="eastAsia" w:ascii="仿宋_GB2312" w:hAnsi="仿宋_GB2312" w:eastAsia="仿宋_GB2312" w:cs="仿宋_GB2312"/>
          <w:i w:val="0"/>
          <w:iCs w:val="0"/>
          <w:caps w:val="0"/>
          <w:color w:val="auto"/>
          <w:spacing w:val="0"/>
          <w:sz w:val="24"/>
          <w:szCs w:val="24"/>
          <w:highlight w:val="none"/>
          <w:shd w:val="clear" w:fill="FFFFFF"/>
          <w:lang w:eastAsia="zh-CN"/>
        </w:rPr>
        <w:t>并完善名称、类型、版权等相关信息，做好分类存储，建立基础数据库，确保数据完整、可追溯，并采取必要的备份与安全措施</w:t>
      </w:r>
      <w:r>
        <w:rPr>
          <w:rFonts w:hint="eastAsia" w:ascii="仿宋_GB2312" w:hAnsi="仿宋_GB2312" w:eastAsia="仿宋_GB2312" w:cs="仿宋_GB2312"/>
          <w:i w:val="0"/>
          <w:iCs w:val="0"/>
          <w:caps w:val="0"/>
          <w:color w:val="auto"/>
          <w:spacing w:val="0"/>
          <w:sz w:val="24"/>
          <w:szCs w:val="24"/>
          <w:highlight w:val="none"/>
          <w:u w:val="single"/>
          <w:shd w:val="clear" w:fill="FFFFFF"/>
          <w:lang w:eastAsia="zh-CN"/>
        </w:rPr>
        <w:t>；对所有数据实行统一存储，</w:t>
      </w:r>
      <w:r>
        <w:rPr>
          <w:rFonts w:hint="eastAsia" w:ascii="仿宋_GB2312" w:hAnsi="仿宋_GB2312" w:eastAsia="仿宋_GB2312" w:cs="仿宋_GB2312"/>
          <w:i w:val="0"/>
          <w:iCs w:val="0"/>
          <w:caps w:val="0"/>
          <w:color w:val="auto"/>
          <w:spacing w:val="0"/>
          <w:sz w:val="24"/>
          <w:szCs w:val="24"/>
          <w:highlight w:val="none"/>
          <w:shd w:val="clear" w:fill="FFFFFF"/>
          <w:lang w:eastAsia="zh-CN"/>
        </w:rPr>
        <w:t>全程物理隔离、自主管控，确保数据安全、不丢失、不外泄，满足信息系统安全等级保护二级建设要求；通过实地扫描、图纸还原、三维建模等方式，复原所采集到的重要史料，为活化利用打下坚实基础。</w:t>
      </w:r>
    </w:p>
    <w:p w14:paraId="139B8D9A">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黑体" w:hAnsi="黑体" w:eastAsia="黑体" w:cs="黑体"/>
          <w:b w:val="0"/>
          <w:bCs w:val="0"/>
          <w:caps w:val="0"/>
          <w:color w:val="auto"/>
          <w:spacing w:val="0"/>
          <w:kern w:val="0"/>
          <w:sz w:val="24"/>
          <w:szCs w:val="24"/>
          <w:highlight w:val="none"/>
          <w:shd w:val="clear" w:fill="FFFFFF"/>
          <w:lang w:val="en-US" w:eastAsia="zh-CN" w:bidi="ar"/>
        </w:rPr>
      </w:pPr>
      <w:r>
        <w:rPr>
          <w:rFonts w:hint="eastAsia" w:ascii="黑体" w:hAnsi="黑体" w:eastAsia="黑体" w:cs="黑体"/>
          <w:b w:val="0"/>
          <w:bCs w:val="0"/>
          <w:caps w:val="0"/>
          <w:color w:val="auto"/>
          <w:spacing w:val="0"/>
          <w:kern w:val="0"/>
          <w:sz w:val="24"/>
          <w:szCs w:val="24"/>
          <w:highlight w:val="none"/>
          <w:shd w:val="clear" w:fill="FFFFFF"/>
          <w:lang w:val="en-US" w:eastAsia="zh-CN" w:bidi="ar"/>
        </w:rPr>
        <w:t>二、建设数字化利用与融媒体传播平台</w:t>
      </w:r>
      <w:bookmarkStart w:id="54" w:name="heading_25"/>
      <w:bookmarkStart w:id="55" w:name="_Toc1028372016"/>
    </w:p>
    <w:p w14:paraId="237D5BAF">
      <w:pPr>
        <w:spacing w:before="120" w:after="120" w:line="288" w:lineRule="auto"/>
        <w:ind w:left="0" w:firstLine="480" w:firstLineChars="200"/>
        <w:jc w:val="left"/>
        <w:rPr>
          <w:rFonts w:hint="eastAsia" w:ascii="仿宋_GB2312" w:hAnsi="仿宋_GB2312" w:eastAsia="仿宋_GB2312" w:cs="仿宋_GB2312"/>
          <w:b w:val="0"/>
          <w:bCs/>
          <w:i w:val="0"/>
          <w:iCs w:val="0"/>
          <w:caps w:val="0"/>
          <w:color w:val="auto"/>
          <w:spacing w:val="0"/>
          <w:sz w:val="24"/>
          <w:szCs w:val="24"/>
          <w:highlight w:val="none"/>
          <w:shd w:val="clear" w:fill="FFFFFF"/>
          <w:lang w:val="en-US" w:eastAsia="zh-CN"/>
        </w:rPr>
      </w:pPr>
      <w:r>
        <w:rPr>
          <w:rFonts w:hint="eastAsia" w:ascii="仿宋_GB2312" w:hAnsi="仿宋_GB2312" w:eastAsia="仿宋_GB2312" w:cs="仿宋_GB2312"/>
          <w:b w:val="0"/>
          <w:bCs/>
          <w:i w:val="0"/>
          <w:iCs w:val="0"/>
          <w:caps w:val="0"/>
          <w:color w:val="auto"/>
          <w:spacing w:val="0"/>
          <w:sz w:val="24"/>
          <w:szCs w:val="24"/>
          <w:highlight w:val="none"/>
          <w:shd w:val="clear" w:fill="FFFFFF"/>
          <w:lang w:val="en-US" w:eastAsia="zh-CN"/>
        </w:rPr>
        <w:t>建设统一的数字化资源管理与融媒体传播平台，具备内容管理、多终端适配、信息发布、互动传播等基本功能，支持后续扩展。</w:t>
      </w:r>
      <w:r>
        <w:rPr>
          <w:rFonts w:hint="eastAsia" w:ascii="仿宋_GB2312" w:hAnsi="仿宋_GB2312" w:eastAsia="仿宋_GB2312" w:cs="仿宋_GB2312"/>
          <w:color w:val="auto"/>
          <w:sz w:val="24"/>
          <w:szCs w:val="24"/>
          <w:highlight w:val="none"/>
        </w:rPr>
        <w:t>面向各类用户，提供数字化资源浏览检索、VR展馆沉浸式体验、文创交易与免费知识阅览，以及用户注册登录、收藏反馈等通用功能</w:t>
      </w:r>
      <w:r>
        <w:rPr>
          <w:rFonts w:hint="eastAsia" w:ascii="仿宋_GB2312" w:hAnsi="仿宋_GB2312" w:eastAsia="仿宋_GB2312" w:cs="仿宋_GB2312"/>
          <w:color w:val="auto"/>
          <w:sz w:val="24"/>
          <w:szCs w:val="24"/>
          <w:highlight w:val="none"/>
          <w:lang w:eastAsia="zh-CN"/>
        </w:rPr>
        <w:t>在内的</w:t>
      </w:r>
      <w:r>
        <w:rPr>
          <w:rFonts w:hint="eastAsia" w:ascii="仿宋_GB2312" w:hAnsi="仿宋_GB2312" w:eastAsia="仿宋_GB2312" w:cs="仿宋_GB2312"/>
          <w:color w:val="auto"/>
          <w:sz w:val="24"/>
          <w:szCs w:val="24"/>
          <w:highlight w:val="none"/>
        </w:rPr>
        <w:t>便捷服务</w:t>
      </w:r>
      <w:r>
        <w:rPr>
          <w:rFonts w:hint="eastAsia" w:ascii="仿宋_GB2312" w:hAnsi="仿宋_GB2312" w:eastAsia="仿宋_GB2312" w:cs="仿宋_GB2312"/>
          <w:color w:val="auto"/>
          <w:sz w:val="24"/>
          <w:szCs w:val="24"/>
          <w:highlight w:val="none"/>
          <w:lang w:eastAsia="zh-CN"/>
        </w:rPr>
        <w:t>；开发</w:t>
      </w:r>
      <w:r>
        <w:rPr>
          <w:rFonts w:hint="eastAsia" w:ascii="仿宋_GB2312" w:hAnsi="仿宋_GB2312" w:eastAsia="仿宋_GB2312" w:cs="仿宋_GB2312"/>
          <w:color w:val="auto"/>
          <w:sz w:val="24"/>
          <w:szCs w:val="24"/>
          <w:highlight w:val="none"/>
        </w:rPr>
        <w:t>包括数字化产品管理、VR线上数字展馆管理、文化创意和知识服务管理、后台通用管理</w:t>
      </w:r>
      <w:r>
        <w:rPr>
          <w:rFonts w:hint="eastAsia" w:ascii="仿宋_GB2312" w:hAnsi="仿宋_GB2312" w:eastAsia="仿宋_GB2312" w:cs="仿宋_GB2312"/>
          <w:color w:val="auto"/>
          <w:sz w:val="24"/>
          <w:szCs w:val="24"/>
          <w:highlight w:val="none"/>
          <w:lang w:eastAsia="zh-CN"/>
        </w:rPr>
        <w:t>等系统</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并确保各系统之间</w:t>
      </w:r>
      <w:r>
        <w:rPr>
          <w:rFonts w:hint="eastAsia" w:ascii="仿宋_GB2312" w:hAnsi="仿宋_GB2312" w:eastAsia="仿宋_GB2312" w:cs="仿宋_GB2312"/>
          <w:color w:val="auto"/>
          <w:sz w:val="24"/>
          <w:szCs w:val="24"/>
          <w:highlight w:val="none"/>
        </w:rPr>
        <w:t>（含小程序端）全流程衔接，</w:t>
      </w:r>
      <w:r>
        <w:rPr>
          <w:rFonts w:hint="eastAsia" w:ascii="仿宋_GB2312" w:hAnsi="仿宋_GB2312" w:eastAsia="仿宋_GB2312" w:cs="仿宋_GB2312"/>
          <w:color w:val="auto"/>
          <w:sz w:val="24"/>
          <w:szCs w:val="24"/>
          <w:highlight w:val="none"/>
          <w:lang w:eastAsia="zh-CN"/>
        </w:rPr>
        <w:t>实现</w:t>
      </w:r>
      <w:r>
        <w:rPr>
          <w:rFonts w:hint="eastAsia" w:ascii="仿宋_GB2312" w:hAnsi="仿宋_GB2312" w:eastAsia="仿宋_GB2312" w:cs="仿宋_GB2312"/>
          <w:color w:val="auto"/>
          <w:sz w:val="24"/>
          <w:szCs w:val="24"/>
          <w:highlight w:val="none"/>
        </w:rPr>
        <w:t>操作</w:t>
      </w:r>
      <w:r>
        <w:rPr>
          <w:rFonts w:hint="eastAsia" w:ascii="仿宋_GB2312" w:hAnsi="仿宋_GB2312" w:eastAsia="仿宋_GB2312" w:cs="仿宋_GB2312"/>
          <w:color w:val="auto"/>
          <w:sz w:val="24"/>
          <w:szCs w:val="24"/>
          <w:highlight w:val="none"/>
          <w:lang w:eastAsia="zh-CN"/>
        </w:rPr>
        <w:t>、反馈</w:t>
      </w:r>
      <w:r>
        <w:rPr>
          <w:rFonts w:hint="eastAsia" w:ascii="仿宋_GB2312" w:hAnsi="仿宋_GB2312" w:eastAsia="仿宋_GB2312" w:cs="仿宋_GB2312"/>
          <w:color w:val="auto"/>
          <w:sz w:val="24"/>
          <w:szCs w:val="24"/>
          <w:highlight w:val="none"/>
        </w:rPr>
        <w:t>实时同步</w:t>
      </w:r>
      <w:r>
        <w:rPr>
          <w:rFonts w:hint="eastAsia" w:ascii="仿宋_GB2312" w:hAnsi="仿宋_GB2312" w:eastAsia="仿宋_GB2312" w:cs="仿宋_GB2312"/>
          <w:color w:val="auto"/>
          <w:sz w:val="24"/>
          <w:szCs w:val="24"/>
          <w:highlight w:val="none"/>
          <w:lang w:eastAsia="zh-CN"/>
        </w:rPr>
        <w:t>，确保</w:t>
      </w:r>
      <w:r>
        <w:rPr>
          <w:rFonts w:hint="eastAsia" w:ascii="仿宋_GB2312" w:hAnsi="仿宋_GB2312" w:eastAsia="仿宋_GB2312" w:cs="仿宋_GB2312"/>
          <w:color w:val="auto"/>
          <w:sz w:val="24"/>
          <w:szCs w:val="24"/>
          <w:highlight w:val="none"/>
        </w:rPr>
        <w:t>数据一致、功能协同。</w:t>
      </w:r>
      <w:r>
        <w:rPr>
          <w:rFonts w:hint="eastAsia" w:ascii="仿宋_GB2312" w:hAnsi="仿宋_GB2312" w:eastAsia="仿宋_GB2312" w:cs="仿宋_GB2312"/>
          <w:b w:val="0"/>
          <w:bCs/>
          <w:i w:val="0"/>
          <w:iCs w:val="0"/>
          <w:caps w:val="0"/>
          <w:color w:val="auto"/>
          <w:spacing w:val="0"/>
          <w:sz w:val="24"/>
          <w:szCs w:val="24"/>
          <w:highlight w:val="none"/>
          <w:shd w:val="clear" w:fill="FFFFFF"/>
          <w:lang w:val="en-US" w:eastAsia="zh-CN"/>
        </w:rPr>
        <w:t>平台应安全稳定，满足平桂工矿历史文化资源的展示、检索与共享需求。</w:t>
      </w:r>
    </w:p>
    <w:p w14:paraId="203F1D11">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黑体" w:hAnsi="黑体" w:eastAsia="黑体" w:cs="黑体"/>
          <w:b w:val="0"/>
          <w:bCs w:val="0"/>
          <w:caps w:val="0"/>
          <w:color w:val="auto"/>
          <w:spacing w:val="0"/>
          <w:kern w:val="0"/>
          <w:sz w:val="24"/>
          <w:szCs w:val="24"/>
          <w:highlight w:val="none"/>
          <w:shd w:val="clear" w:fill="FFFFFF"/>
          <w:lang w:val="en-US" w:eastAsia="zh-CN" w:bidi="ar"/>
        </w:rPr>
      </w:pPr>
      <w:r>
        <w:rPr>
          <w:rFonts w:hint="eastAsia" w:ascii="黑体" w:hAnsi="黑体" w:eastAsia="黑体" w:cs="黑体"/>
          <w:b w:val="0"/>
          <w:bCs w:val="0"/>
          <w:caps w:val="0"/>
          <w:color w:val="auto"/>
          <w:spacing w:val="0"/>
          <w:kern w:val="0"/>
          <w:sz w:val="24"/>
          <w:szCs w:val="24"/>
          <w:highlight w:val="none"/>
          <w:shd w:val="clear" w:fill="FFFFFF"/>
          <w:lang w:val="en-US" w:eastAsia="zh-CN" w:bidi="ar"/>
        </w:rPr>
        <w:t>三、推进影视制作与宣传</w:t>
      </w:r>
    </w:p>
    <w:p w14:paraId="6483A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outlineLvl w:val="0"/>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lang w:eastAsia="zh-CN"/>
        </w:rPr>
        <w:t>围绕平桂工矿历史文化主题，摄制工矿文化整体宣传片，策划制作专题纪录片，打造城市/区域的形象名片，官方汇报、招商引资、大型活动的“门面担当”；以平桂工矿历史故事为背景，</w:t>
      </w:r>
      <w:r>
        <w:rPr>
          <w:rFonts w:hint="eastAsia" w:ascii="仿宋_GB2312" w:hAnsi="仿宋_GB2312" w:eastAsia="仿宋_GB2312" w:cs="仿宋_GB2312"/>
          <w:color w:val="auto"/>
          <w:sz w:val="24"/>
          <w:szCs w:val="24"/>
          <w:highlight w:val="none"/>
          <w:u w:val="single"/>
          <w:lang w:eastAsia="zh-CN"/>
        </w:rPr>
        <w:t>挖掘平桂工矿文化的当代价值，</w:t>
      </w:r>
      <w:r>
        <w:rPr>
          <w:rFonts w:hint="eastAsia" w:ascii="仿宋_GB2312" w:hAnsi="仿宋_GB2312" w:eastAsia="仿宋_GB2312" w:cs="仿宋_GB2312"/>
          <w:color w:val="auto"/>
          <w:sz w:val="24"/>
          <w:szCs w:val="24"/>
          <w:highlight w:val="none"/>
          <w:lang w:eastAsia="zh-CN"/>
        </w:rPr>
        <w:t>通过新媒体传播主力，</w:t>
      </w:r>
      <w:r>
        <w:rPr>
          <w:rFonts w:hint="eastAsia" w:ascii="仿宋_GB2312" w:hAnsi="仿宋_GB2312" w:eastAsia="仿宋_GB2312" w:cs="仿宋_GB2312"/>
          <w:color w:val="auto"/>
          <w:sz w:val="24"/>
          <w:szCs w:val="24"/>
          <w:highlight w:val="none"/>
          <w:u w:val="single"/>
          <w:lang w:eastAsia="zh-CN"/>
        </w:rPr>
        <w:t>创作摄制适合在新媒体平台发布的重点文化故事系列短片，引发公众情感共鸣</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eastAsia="zh-CN"/>
        </w:rPr>
        <w:t>梳理提炼平桂工矿文化精神内核，将其融入宣传内容，</w:t>
      </w:r>
      <w:r>
        <w:rPr>
          <w:rFonts w:hint="eastAsia" w:ascii="仿宋_GB2312" w:hAnsi="仿宋_GB2312" w:eastAsia="仿宋_GB2312" w:cs="仿宋_GB2312"/>
          <w:color w:val="auto"/>
          <w:sz w:val="24"/>
          <w:szCs w:val="24"/>
          <w:highlight w:val="none"/>
          <w:lang w:eastAsia="zh-CN"/>
        </w:rPr>
        <w:t>配合重要节点提供策划、拍摄、后期制作，开展线上线下的宣传推广活动，</w:t>
      </w:r>
      <w:r>
        <w:rPr>
          <w:rFonts w:hint="eastAsia" w:ascii="仿宋_GB2312" w:hAnsi="仿宋_GB2312" w:eastAsia="仿宋_GB2312" w:cs="仿宋_GB2312"/>
          <w:color w:val="auto"/>
          <w:sz w:val="24"/>
          <w:szCs w:val="24"/>
          <w:highlight w:val="none"/>
          <w:u w:val="single"/>
          <w:lang w:eastAsia="zh-CN"/>
        </w:rPr>
        <w:t>提供媒体各级主流媒体推送支持和服务，助力平桂工矿历史遗产文化破圈传播，持续提升项目的知晓度与影响力，推动平桂工矿历史文化的活态传承。</w:t>
      </w:r>
    </w:p>
    <w:p w14:paraId="7BA27A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outlineLvl w:val="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提升项目社会影响力。</w:t>
      </w:r>
    </w:p>
    <w:p w14:paraId="6F3F8780">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黑体" w:hAnsi="黑体" w:eastAsia="黑体" w:cs="黑体"/>
          <w:b w:val="0"/>
          <w:bCs w:val="0"/>
          <w:caps w:val="0"/>
          <w:color w:val="auto"/>
          <w:spacing w:val="0"/>
          <w:kern w:val="0"/>
          <w:sz w:val="24"/>
          <w:szCs w:val="24"/>
          <w:highlight w:val="none"/>
          <w:shd w:val="clear" w:fill="FFFFFF"/>
          <w:lang w:val="en-US" w:eastAsia="zh-CN" w:bidi="ar"/>
        </w:rPr>
      </w:pPr>
      <w:r>
        <w:rPr>
          <w:rFonts w:hint="eastAsia" w:ascii="黑体" w:hAnsi="黑体" w:eastAsia="黑体" w:cs="黑体"/>
          <w:b w:val="0"/>
          <w:bCs w:val="0"/>
          <w:caps w:val="0"/>
          <w:color w:val="auto"/>
          <w:spacing w:val="0"/>
          <w:kern w:val="0"/>
          <w:sz w:val="24"/>
          <w:szCs w:val="24"/>
          <w:highlight w:val="none"/>
          <w:shd w:val="clear" w:fill="FFFFFF"/>
          <w:lang w:val="en-US" w:eastAsia="zh-CN" w:bidi="ar"/>
        </w:rPr>
        <w:t>四、实施周期计划</w:t>
      </w:r>
      <w:bookmarkEnd w:id="54"/>
      <w:bookmarkEnd w:id="55"/>
    </w:p>
    <w:p w14:paraId="754F1651">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本项目整体实施</w:t>
      </w:r>
      <w:r>
        <w:rPr>
          <w:rFonts w:hint="eastAsia" w:ascii="仿宋_GB2312" w:hAnsi="仿宋_GB2312" w:eastAsia="仿宋_GB2312" w:cs="仿宋_GB2312"/>
          <w:color w:val="auto"/>
          <w:sz w:val="24"/>
          <w:szCs w:val="24"/>
          <w:highlight w:val="none"/>
          <w:lang w:val="en-US" w:eastAsia="zh-CN"/>
        </w:rPr>
        <w:t>计划为5个月</w:t>
      </w:r>
      <w:r>
        <w:rPr>
          <w:rFonts w:hint="eastAsia" w:ascii="仿宋_GB2312" w:hAnsi="仿宋_GB2312" w:eastAsia="仿宋_GB2312" w:cs="仿宋_GB2312"/>
          <w:color w:val="auto"/>
          <w:sz w:val="24"/>
          <w:szCs w:val="24"/>
          <w:highlight w:val="none"/>
        </w:rPr>
        <w:t>，采用“分阶段推进、模块化落地、全过程管控”的实施策略，确保项目高质量、按时完成。实施过程分为需求调研与方案细化、系统开发与模块构建、资源整合与内容填充、测试与优化、上线部署与培训、运维保障六大阶段，各阶段无缝衔接，明确核心任务、责任主体与里程碑节点</w:t>
      </w:r>
      <w:r>
        <w:rPr>
          <w:rFonts w:hint="eastAsia" w:ascii="仿宋_GB2312" w:hAnsi="仿宋_GB2312" w:eastAsia="仿宋_GB2312" w:cs="仿宋_GB2312"/>
          <w:color w:val="auto"/>
          <w:sz w:val="24"/>
          <w:szCs w:val="24"/>
          <w:highlight w:val="none"/>
          <w:lang w:val="en-US" w:eastAsia="zh-CN"/>
        </w:rPr>
        <w:t>。</w:t>
      </w:r>
    </w:p>
    <w:p w14:paraId="78D899ED">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黑体" w:hAnsi="黑体" w:eastAsia="黑体" w:cs="黑体"/>
          <w:b w:val="0"/>
          <w:bCs w:val="0"/>
          <w:caps w:val="0"/>
          <w:color w:val="auto"/>
          <w:spacing w:val="0"/>
          <w:kern w:val="0"/>
          <w:sz w:val="24"/>
          <w:szCs w:val="24"/>
          <w:highlight w:val="none"/>
          <w:shd w:val="clear" w:fill="FFFFFF"/>
          <w:lang w:val="en-US" w:eastAsia="zh-CN" w:bidi="ar"/>
        </w:rPr>
      </w:pPr>
      <w:r>
        <w:rPr>
          <w:rFonts w:hint="eastAsia" w:ascii="黑体" w:hAnsi="黑体" w:eastAsia="黑体" w:cs="黑体"/>
          <w:b w:val="0"/>
          <w:bCs w:val="0"/>
          <w:caps w:val="0"/>
          <w:color w:val="auto"/>
          <w:spacing w:val="0"/>
          <w:kern w:val="0"/>
          <w:sz w:val="24"/>
          <w:szCs w:val="24"/>
          <w:highlight w:val="none"/>
          <w:shd w:val="clear" w:fill="FFFFFF"/>
          <w:lang w:val="en-US" w:eastAsia="zh-CN" w:bidi="ar"/>
        </w:rPr>
        <w:t>五、商务条款</w:t>
      </w:r>
    </w:p>
    <w:tbl>
      <w:tblPr>
        <w:tblStyle w:val="36"/>
        <w:tblW w:w="5087"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7472"/>
      </w:tblGrid>
      <w:tr w14:paraId="361B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8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67BF77">
            <w:pPr>
              <w:keepNext w:val="0"/>
              <w:keepLines w:val="0"/>
              <w:pageBreakBefore w:val="0"/>
              <w:kinsoku/>
              <w:wordWrap/>
              <w:overflowPunct/>
              <w:topLinePunct w:val="0"/>
              <w:bidi w:val="0"/>
              <w:adjustRightInd/>
              <w:spacing w:line="56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报价要求</w:t>
            </w:r>
          </w:p>
        </w:tc>
        <w:tc>
          <w:tcPr>
            <w:tcW w:w="3813" w:type="pct"/>
            <w:tcBorders>
              <w:top w:val="single" w:color="auto" w:sz="4" w:space="0"/>
              <w:left w:val="single" w:color="auto" w:sz="4" w:space="0"/>
              <w:bottom w:val="single" w:color="auto" w:sz="4" w:space="0"/>
              <w:right w:val="single" w:color="auto" w:sz="4" w:space="0"/>
            </w:tcBorders>
            <w:noWrap w:val="0"/>
            <w:vAlign w:val="top"/>
          </w:tcPr>
          <w:p w14:paraId="1781BEF9">
            <w:pPr>
              <w:keepNext w:val="0"/>
              <w:keepLines w:val="0"/>
              <w:pageBreakBefore w:val="0"/>
              <w:kinsoku/>
              <w:wordWrap/>
              <w:overflowPunct/>
              <w:topLinePunct w:val="0"/>
              <w:bidi w:val="0"/>
              <w:adjustRightInd/>
              <w:spacing w:line="560" w:lineRule="exact"/>
              <w:ind w:firstLine="42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项目预算金额95</w:t>
            </w:r>
            <w:r>
              <w:rPr>
                <w:rFonts w:hint="eastAsia" w:asciiTheme="majorEastAsia" w:hAnsiTheme="majorEastAsia" w:eastAsiaTheme="majorEastAsia" w:cstheme="majorEastAsia"/>
                <w:bCs/>
                <w:color w:val="auto"/>
                <w:sz w:val="24"/>
                <w:szCs w:val="24"/>
                <w:highlight w:val="none"/>
              </w:rPr>
              <w:t>万元</w:t>
            </w:r>
            <w:r>
              <w:rPr>
                <w:rFonts w:hint="eastAsia" w:asciiTheme="majorEastAsia" w:hAnsiTheme="majorEastAsia" w:eastAsiaTheme="majorEastAsia" w:cstheme="majorEastAsia"/>
                <w:bCs/>
                <w:color w:val="auto"/>
                <w:sz w:val="24"/>
                <w:szCs w:val="24"/>
                <w:highlight w:val="none"/>
                <w:lang w:eastAsia="zh-CN"/>
              </w:rPr>
              <w:t>，</w:t>
            </w:r>
            <w:r>
              <w:rPr>
                <w:rFonts w:hint="eastAsia" w:asciiTheme="majorEastAsia" w:hAnsiTheme="majorEastAsia" w:eastAsiaTheme="majorEastAsia" w:cstheme="majorEastAsia"/>
                <w:bCs/>
                <w:color w:val="auto"/>
                <w:sz w:val="24"/>
                <w:szCs w:val="24"/>
                <w:highlight w:val="none"/>
              </w:rPr>
              <w:t>本项目以合同总价形式报价，超过最高限价的投标报价无效。</w:t>
            </w:r>
          </w:p>
          <w:p w14:paraId="112CC631">
            <w:pPr>
              <w:keepNext w:val="0"/>
              <w:keepLines w:val="0"/>
              <w:pageBreakBefore w:val="0"/>
              <w:kinsoku/>
              <w:wordWrap/>
              <w:overflowPunct/>
              <w:topLinePunct w:val="0"/>
              <w:bidi w:val="0"/>
              <w:adjustRightInd/>
              <w:spacing w:line="560" w:lineRule="exact"/>
              <w:ind w:firstLine="42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注：投标报价是履行合同的最终价格，投标人应充分考虑对投标报价中的货物和服务的报价，应包括完成本项工作所需的人工、材料、器材、管理、维护、保险、利润、税金、通讯器材、办公设备、政策性文件规定及合同包含的所有风险、责任等各项应有费用。投标报价除非因特殊原因并经买卖双方协商同意，投标人不得再要求追加任何费用。同时，除非合同条款中另有规定，否则，投标单位所报价格在合同实施期间不因市场变化因素而变动。</w:t>
            </w:r>
          </w:p>
        </w:tc>
      </w:tr>
      <w:tr w14:paraId="5C7F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8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B67EDC">
            <w:pPr>
              <w:keepNext w:val="0"/>
              <w:keepLines w:val="0"/>
              <w:pageBreakBefore w:val="0"/>
              <w:kinsoku/>
              <w:wordWrap/>
              <w:overflowPunct/>
              <w:topLinePunct w:val="0"/>
              <w:bidi w:val="0"/>
              <w:adjustRightInd/>
              <w:spacing w:line="560" w:lineRule="exact"/>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付款方式</w:t>
            </w:r>
          </w:p>
        </w:tc>
        <w:tc>
          <w:tcPr>
            <w:tcW w:w="3813" w:type="pct"/>
            <w:tcBorders>
              <w:top w:val="single" w:color="auto" w:sz="4" w:space="0"/>
              <w:left w:val="single" w:color="auto" w:sz="4" w:space="0"/>
              <w:bottom w:val="single" w:color="auto" w:sz="4" w:space="0"/>
              <w:right w:val="single" w:color="auto" w:sz="4" w:space="0"/>
            </w:tcBorders>
            <w:noWrap w:val="0"/>
            <w:vAlign w:val="top"/>
          </w:tcPr>
          <w:p w14:paraId="77A8CB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b w:val="0"/>
                <w:bCs w:val="0"/>
                <w:color w:val="auto"/>
                <w:sz w:val="24"/>
                <w:szCs w:val="24"/>
                <w:highlight w:val="none"/>
                <w:lang w:val="en-US" w:eastAsia="zh-CN"/>
              </w:rPr>
              <w:t>1.</w:t>
            </w:r>
            <w:r>
              <w:rPr>
                <w:rFonts w:hint="eastAsia" w:asciiTheme="majorEastAsia" w:hAnsiTheme="majorEastAsia" w:eastAsiaTheme="majorEastAsia" w:cstheme="majorEastAsia"/>
                <w:b w:val="0"/>
                <w:bCs w:val="0"/>
                <w:color w:val="auto"/>
                <w:sz w:val="24"/>
                <w:szCs w:val="24"/>
                <w:highlight w:val="none"/>
              </w:rPr>
              <w:t>合同签订</w:t>
            </w:r>
            <w:r>
              <w:rPr>
                <w:rFonts w:hint="eastAsia" w:asciiTheme="majorEastAsia" w:hAnsiTheme="majorEastAsia" w:eastAsiaTheme="majorEastAsia" w:cstheme="majorEastAsia"/>
                <w:b w:val="0"/>
                <w:bCs w:val="0"/>
                <w:color w:val="auto"/>
                <w:sz w:val="24"/>
                <w:szCs w:val="24"/>
                <w:highlight w:val="none"/>
                <w:lang w:val="en-US" w:eastAsia="zh-CN"/>
              </w:rPr>
              <w:t>15日</w:t>
            </w:r>
            <w:r>
              <w:rPr>
                <w:rFonts w:hint="eastAsia" w:asciiTheme="majorEastAsia" w:hAnsiTheme="majorEastAsia" w:eastAsiaTheme="majorEastAsia" w:cstheme="majorEastAsia"/>
                <w:b w:val="0"/>
                <w:bCs w:val="0"/>
                <w:color w:val="auto"/>
                <w:sz w:val="24"/>
                <w:szCs w:val="24"/>
                <w:highlight w:val="none"/>
              </w:rPr>
              <w:t>支付</w:t>
            </w:r>
            <w:r>
              <w:rPr>
                <w:rFonts w:hint="eastAsia" w:asciiTheme="majorEastAsia" w:hAnsiTheme="majorEastAsia" w:eastAsiaTheme="majorEastAsia" w:cstheme="majorEastAsia"/>
                <w:b w:val="0"/>
                <w:bCs w:val="0"/>
                <w:color w:val="auto"/>
                <w:sz w:val="24"/>
                <w:szCs w:val="24"/>
                <w:highlight w:val="none"/>
                <w:lang w:val="en-US" w:eastAsia="zh-CN"/>
              </w:rPr>
              <w:t>合同价</w:t>
            </w:r>
            <w:r>
              <w:rPr>
                <w:rFonts w:hint="eastAsia" w:asciiTheme="majorEastAsia" w:hAnsiTheme="majorEastAsia" w:eastAsiaTheme="majorEastAsia" w:cstheme="majorEastAsia"/>
                <w:b w:val="0"/>
                <w:bCs w:val="0"/>
                <w:color w:val="auto"/>
                <w:sz w:val="24"/>
                <w:szCs w:val="24"/>
                <w:highlight w:val="none"/>
              </w:rPr>
              <w:t>的</w:t>
            </w:r>
            <w:r>
              <w:rPr>
                <w:rFonts w:hint="eastAsia" w:asciiTheme="majorEastAsia" w:hAnsiTheme="majorEastAsia" w:eastAsiaTheme="majorEastAsia" w:cstheme="majorEastAsia"/>
                <w:b w:val="0"/>
                <w:bCs w:val="0"/>
                <w:color w:val="auto"/>
                <w:sz w:val="24"/>
                <w:szCs w:val="24"/>
                <w:highlight w:val="none"/>
                <w:lang w:val="en-US" w:eastAsia="zh-CN"/>
              </w:rPr>
              <w:t>3</w:t>
            </w:r>
            <w:r>
              <w:rPr>
                <w:rFonts w:hint="eastAsia" w:asciiTheme="majorEastAsia" w:hAnsiTheme="majorEastAsia" w:eastAsiaTheme="majorEastAsia" w:cstheme="majorEastAsia"/>
                <w:b w:val="0"/>
                <w:bCs w:val="0"/>
                <w:color w:val="auto"/>
                <w:sz w:val="24"/>
                <w:szCs w:val="24"/>
                <w:highlight w:val="none"/>
              </w:rPr>
              <w:t>0%</w:t>
            </w:r>
            <w:r>
              <w:rPr>
                <w:rFonts w:hint="eastAsia" w:asciiTheme="majorEastAsia" w:hAnsiTheme="majorEastAsia" w:eastAsiaTheme="majorEastAsia" w:cstheme="majorEastAsia"/>
                <w:b w:val="0"/>
                <w:bCs w:val="0"/>
                <w:color w:val="auto"/>
                <w:sz w:val="24"/>
                <w:szCs w:val="24"/>
                <w:highlight w:val="none"/>
                <w:lang w:val="en-US" w:eastAsia="zh-CN"/>
              </w:rPr>
              <w:t>作为</w:t>
            </w:r>
            <w:r>
              <w:rPr>
                <w:rFonts w:hint="eastAsia" w:asciiTheme="majorEastAsia" w:hAnsiTheme="majorEastAsia" w:eastAsiaTheme="majorEastAsia" w:cstheme="majorEastAsia"/>
                <w:b w:val="0"/>
                <w:bCs w:val="0"/>
                <w:color w:val="auto"/>
                <w:sz w:val="24"/>
                <w:szCs w:val="24"/>
                <w:highlight w:val="none"/>
              </w:rPr>
              <w:t>预付款；</w:t>
            </w:r>
            <w:r>
              <w:rPr>
                <w:rFonts w:hint="eastAsia" w:asciiTheme="majorEastAsia" w:hAnsiTheme="majorEastAsia" w:eastAsiaTheme="majorEastAsia" w:cstheme="majorEastAsia"/>
                <w:b w:val="0"/>
                <w:bCs w:val="0"/>
                <w:color w:val="auto"/>
                <w:sz w:val="24"/>
                <w:szCs w:val="24"/>
                <w:highlight w:val="none"/>
                <w:lang w:val="en-US" w:eastAsia="zh-CN"/>
              </w:rPr>
              <w:t>项目完成至50%支付合同款30%</w:t>
            </w:r>
            <w:r>
              <w:rPr>
                <w:rFonts w:hint="eastAsia" w:asciiTheme="majorEastAsia" w:hAnsiTheme="majorEastAsia" w:eastAsiaTheme="majorEastAsia" w:cstheme="majorEastAsia"/>
                <w:b w:val="0"/>
                <w:bCs w:val="0"/>
                <w:color w:val="auto"/>
                <w:sz w:val="24"/>
                <w:szCs w:val="24"/>
                <w:highlight w:val="none"/>
              </w:rPr>
              <w:t>；</w:t>
            </w:r>
            <w:r>
              <w:rPr>
                <w:rFonts w:hint="eastAsia" w:asciiTheme="majorEastAsia" w:hAnsiTheme="majorEastAsia" w:eastAsiaTheme="majorEastAsia" w:cstheme="majorEastAsia"/>
                <w:b w:val="0"/>
                <w:bCs w:val="0"/>
                <w:color w:val="auto"/>
                <w:sz w:val="24"/>
                <w:szCs w:val="24"/>
                <w:highlight w:val="none"/>
                <w:lang w:val="en-US" w:eastAsia="zh-CN"/>
              </w:rPr>
              <w:t>项目完成通过验收合格后，2026年底前</w:t>
            </w:r>
            <w:r>
              <w:rPr>
                <w:rFonts w:hint="eastAsia" w:asciiTheme="majorEastAsia" w:hAnsiTheme="majorEastAsia" w:eastAsiaTheme="majorEastAsia" w:cstheme="majorEastAsia"/>
                <w:b w:val="0"/>
                <w:bCs w:val="0"/>
                <w:color w:val="auto"/>
                <w:sz w:val="24"/>
                <w:szCs w:val="24"/>
                <w:highlight w:val="none"/>
              </w:rPr>
              <w:t>支付至</w:t>
            </w:r>
            <w:r>
              <w:rPr>
                <w:rFonts w:hint="eastAsia" w:asciiTheme="majorEastAsia" w:hAnsiTheme="majorEastAsia" w:eastAsiaTheme="majorEastAsia" w:cstheme="majorEastAsia"/>
                <w:b w:val="0"/>
                <w:bCs w:val="0"/>
                <w:color w:val="auto"/>
                <w:sz w:val="24"/>
                <w:szCs w:val="24"/>
                <w:highlight w:val="none"/>
                <w:lang w:val="en-US" w:eastAsia="zh-CN"/>
              </w:rPr>
              <w:t>合同</w:t>
            </w:r>
            <w:r>
              <w:rPr>
                <w:rFonts w:hint="eastAsia" w:asciiTheme="majorEastAsia" w:hAnsiTheme="majorEastAsia" w:eastAsiaTheme="majorEastAsia" w:cstheme="majorEastAsia"/>
                <w:b w:val="0"/>
                <w:bCs w:val="0"/>
                <w:color w:val="auto"/>
                <w:sz w:val="24"/>
                <w:szCs w:val="24"/>
                <w:highlight w:val="none"/>
              </w:rPr>
              <w:t>总额的</w:t>
            </w:r>
            <w:r>
              <w:rPr>
                <w:rFonts w:hint="eastAsia" w:asciiTheme="majorEastAsia" w:hAnsiTheme="majorEastAsia" w:eastAsiaTheme="majorEastAsia" w:cstheme="majorEastAsia"/>
                <w:b w:val="0"/>
                <w:bCs w:val="0"/>
                <w:color w:val="auto"/>
                <w:sz w:val="24"/>
                <w:szCs w:val="24"/>
                <w:highlight w:val="none"/>
                <w:lang w:val="en-US" w:eastAsia="zh-CN"/>
              </w:rPr>
              <w:t>100</w:t>
            </w:r>
            <w:r>
              <w:rPr>
                <w:rFonts w:hint="eastAsia" w:asciiTheme="majorEastAsia" w:hAnsiTheme="majorEastAsia" w:eastAsiaTheme="majorEastAsia" w:cstheme="majorEastAsia"/>
                <w:b w:val="0"/>
                <w:bCs w:val="0"/>
                <w:color w:val="auto"/>
                <w:sz w:val="24"/>
                <w:szCs w:val="24"/>
                <w:highlight w:val="none"/>
              </w:rPr>
              <w:t>%</w:t>
            </w:r>
            <w:r>
              <w:rPr>
                <w:rFonts w:hint="eastAsia" w:asciiTheme="majorEastAsia" w:hAnsiTheme="majorEastAsia" w:eastAsiaTheme="majorEastAsia" w:cstheme="majorEastAsia"/>
                <w:b w:val="0"/>
                <w:bCs w:val="0"/>
                <w:color w:val="auto"/>
                <w:sz w:val="24"/>
                <w:szCs w:val="24"/>
                <w:highlight w:val="none"/>
                <w:lang w:eastAsia="zh-CN"/>
              </w:rPr>
              <w:t>。</w:t>
            </w:r>
          </w:p>
          <w:p w14:paraId="1A8A73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2.采购人在收到发票后10个工作日内，将资金支付到合同约定的供应商账户。</w:t>
            </w:r>
          </w:p>
        </w:tc>
      </w:tr>
      <w:tr w14:paraId="4473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8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859D8F">
            <w:pPr>
              <w:keepNext w:val="0"/>
              <w:keepLines w:val="0"/>
              <w:pageBreakBefore w:val="0"/>
              <w:kinsoku/>
              <w:wordWrap/>
              <w:overflowPunct/>
              <w:topLinePunct w:val="0"/>
              <w:bidi w:val="0"/>
              <w:adjustRightInd/>
              <w:spacing w:line="56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履约保证金</w:t>
            </w:r>
          </w:p>
        </w:tc>
        <w:tc>
          <w:tcPr>
            <w:tcW w:w="3813" w:type="pct"/>
            <w:tcBorders>
              <w:top w:val="single" w:color="auto" w:sz="4" w:space="0"/>
              <w:left w:val="single" w:color="auto" w:sz="4" w:space="0"/>
              <w:bottom w:val="single" w:color="auto" w:sz="4" w:space="0"/>
              <w:right w:val="single" w:color="auto" w:sz="4" w:space="0"/>
            </w:tcBorders>
            <w:noWrap w:val="0"/>
            <w:vAlign w:val="top"/>
          </w:tcPr>
          <w:p w14:paraId="60C4BDA3">
            <w:pPr>
              <w:keepNext w:val="0"/>
              <w:keepLines w:val="0"/>
              <w:pageBreakBefore w:val="0"/>
              <w:kinsoku/>
              <w:wordWrap/>
              <w:overflowPunct/>
              <w:topLinePunct w:val="0"/>
              <w:autoSpaceDE w:val="0"/>
              <w:autoSpaceDN w:val="0"/>
              <w:bidi w:val="0"/>
              <w:adjustRightInd/>
              <w:snapToGrid w:val="0"/>
              <w:spacing w:line="560" w:lineRule="exact"/>
              <w:textAlignment w:val="bottom"/>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无需缴纳</w:t>
            </w:r>
          </w:p>
        </w:tc>
      </w:tr>
      <w:tr w14:paraId="2BFA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8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DDB3F8">
            <w:pPr>
              <w:keepNext w:val="0"/>
              <w:keepLines w:val="0"/>
              <w:pageBreakBefore w:val="0"/>
              <w:kinsoku/>
              <w:wordWrap/>
              <w:overflowPunct/>
              <w:topLinePunct w:val="0"/>
              <w:bidi w:val="0"/>
              <w:adjustRightInd/>
              <w:spacing w:line="56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服务期限及地点</w:t>
            </w:r>
          </w:p>
        </w:tc>
        <w:tc>
          <w:tcPr>
            <w:tcW w:w="3813" w:type="pct"/>
            <w:tcBorders>
              <w:top w:val="single" w:color="auto" w:sz="4" w:space="0"/>
              <w:left w:val="single" w:color="auto" w:sz="4" w:space="0"/>
              <w:bottom w:val="single" w:color="auto" w:sz="4" w:space="0"/>
              <w:right w:val="single" w:color="auto" w:sz="4" w:space="0"/>
            </w:tcBorders>
            <w:noWrap w:val="0"/>
            <w:vAlign w:val="top"/>
          </w:tcPr>
          <w:p w14:paraId="7D9D8BB1">
            <w:pPr>
              <w:keepNext w:val="0"/>
              <w:keepLines w:val="0"/>
              <w:pageBreakBefore w:val="0"/>
              <w:kinsoku/>
              <w:wordWrap/>
              <w:overflowPunct/>
              <w:topLinePunct w:val="0"/>
              <w:bidi w:val="0"/>
              <w:adjustRightInd/>
              <w:spacing w:line="5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1.服务期限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自合同签订之日起5个月。</w:t>
            </w:r>
          </w:p>
          <w:p w14:paraId="76DCCBA5">
            <w:pPr>
              <w:keepNext w:val="0"/>
              <w:keepLines w:val="0"/>
              <w:pageBreakBefore w:val="0"/>
              <w:kinsoku/>
              <w:wordWrap/>
              <w:overflowPunct/>
              <w:topLinePunct w:val="0"/>
              <w:bidi w:val="0"/>
              <w:adjustRightInd/>
              <w:spacing w:line="5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2.服务地点：</w:t>
            </w:r>
            <w:r>
              <w:rPr>
                <w:rFonts w:hint="eastAsia" w:asciiTheme="majorEastAsia" w:hAnsiTheme="majorEastAsia" w:eastAsiaTheme="majorEastAsia" w:cstheme="majorEastAsia"/>
                <w:bCs/>
                <w:color w:val="auto"/>
                <w:sz w:val="24"/>
                <w:szCs w:val="24"/>
                <w:highlight w:val="none"/>
              </w:rPr>
              <w:t>贺州市</w:t>
            </w:r>
            <w:r>
              <w:rPr>
                <w:rFonts w:hint="eastAsia" w:asciiTheme="majorEastAsia" w:hAnsiTheme="majorEastAsia" w:eastAsiaTheme="majorEastAsia" w:cstheme="majorEastAsia"/>
                <w:color w:val="auto"/>
                <w:sz w:val="24"/>
                <w:szCs w:val="24"/>
                <w:highlight w:val="none"/>
              </w:rPr>
              <w:t>。</w:t>
            </w:r>
          </w:p>
        </w:tc>
      </w:tr>
      <w:tr w14:paraId="358D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8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A9708">
            <w:pPr>
              <w:keepNext w:val="0"/>
              <w:keepLines w:val="0"/>
              <w:pageBreakBefore w:val="0"/>
              <w:kinsoku/>
              <w:wordWrap/>
              <w:overflowPunct/>
              <w:topLinePunct w:val="0"/>
              <w:bidi w:val="0"/>
              <w:adjustRightInd/>
              <w:spacing w:line="56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合同签订时间</w:t>
            </w:r>
          </w:p>
        </w:tc>
        <w:tc>
          <w:tcPr>
            <w:tcW w:w="3813" w:type="pct"/>
            <w:tcBorders>
              <w:top w:val="single" w:color="auto" w:sz="4" w:space="0"/>
              <w:left w:val="single" w:color="auto" w:sz="4" w:space="0"/>
              <w:bottom w:val="single" w:color="auto" w:sz="4" w:space="0"/>
              <w:right w:val="single" w:color="auto" w:sz="4" w:space="0"/>
            </w:tcBorders>
            <w:noWrap w:val="0"/>
            <w:vAlign w:val="center"/>
          </w:tcPr>
          <w:p w14:paraId="691D23D7">
            <w:pPr>
              <w:keepNext w:val="0"/>
              <w:keepLines w:val="0"/>
              <w:pageBreakBefore w:val="0"/>
              <w:kinsoku/>
              <w:wordWrap/>
              <w:overflowPunct/>
              <w:topLinePunct w:val="0"/>
              <w:bidi w:val="0"/>
              <w:adjustRightInd/>
              <w:spacing w:line="5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成交</w:t>
            </w:r>
            <w:r>
              <w:rPr>
                <w:rFonts w:hint="eastAsia" w:asciiTheme="majorEastAsia" w:hAnsiTheme="majorEastAsia" w:eastAsiaTheme="majorEastAsia" w:cstheme="majorEastAsia"/>
                <w:color w:val="auto"/>
                <w:sz w:val="24"/>
                <w:szCs w:val="24"/>
                <w:highlight w:val="none"/>
              </w:rPr>
              <w:t>通知书发出之日起</w:t>
            </w:r>
            <w:r>
              <w:rPr>
                <w:rFonts w:hint="eastAsia" w:asciiTheme="majorEastAsia" w:hAnsiTheme="majorEastAsia" w:eastAsiaTheme="majorEastAsia" w:cstheme="majorEastAsia"/>
                <w:color w:val="auto"/>
                <w:sz w:val="24"/>
                <w:szCs w:val="24"/>
                <w:highlight w:val="none"/>
                <w:lang w:val="en-US" w:eastAsia="zh-CN"/>
              </w:rPr>
              <w:t>25</w:t>
            </w:r>
            <w:r>
              <w:rPr>
                <w:rFonts w:hint="eastAsia" w:asciiTheme="majorEastAsia" w:hAnsiTheme="majorEastAsia" w:eastAsiaTheme="majorEastAsia" w:cstheme="majorEastAsia"/>
                <w:color w:val="auto"/>
                <w:sz w:val="24"/>
                <w:szCs w:val="24"/>
                <w:highlight w:val="none"/>
              </w:rPr>
              <w:t>日内。</w:t>
            </w:r>
          </w:p>
        </w:tc>
      </w:tr>
      <w:tr w14:paraId="65EC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D0CA7E">
            <w:pPr>
              <w:keepNext w:val="0"/>
              <w:keepLines w:val="0"/>
              <w:pageBreakBefore w:val="0"/>
              <w:kinsoku/>
              <w:wordWrap/>
              <w:overflowPunct/>
              <w:topLinePunct w:val="0"/>
              <w:bidi w:val="0"/>
              <w:adjustRightInd/>
              <w:spacing w:line="5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验收标准及条件</w:t>
            </w:r>
          </w:p>
        </w:tc>
        <w:tc>
          <w:tcPr>
            <w:tcW w:w="3813" w:type="pct"/>
            <w:tcBorders>
              <w:top w:val="single" w:color="auto" w:sz="4" w:space="0"/>
              <w:left w:val="single" w:color="auto" w:sz="4" w:space="0"/>
              <w:bottom w:val="single" w:color="auto" w:sz="4" w:space="0"/>
              <w:right w:val="single" w:color="auto" w:sz="4" w:space="0"/>
            </w:tcBorders>
            <w:noWrap w:val="0"/>
            <w:vAlign w:val="center"/>
          </w:tcPr>
          <w:p w14:paraId="120FE0B5">
            <w:pPr>
              <w:keepNext w:val="0"/>
              <w:keepLines w:val="0"/>
              <w:pageBreakBefore w:val="0"/>
              <w:kinsoku/>
              <w:wordWrap/>
              <w:overflowPunct/>
              <w:topLinePunct w:val="0"/>
              <w:bidi w:val="0"/>
              <w:adjustRightInd/>
              <w:spacing w:line="560" w:lineRule="exact"/>
              <w:ind w:left="0"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在项目完成且收到供应商验收申请后</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个工作日内组织开展履约验收</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验收标准</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达到国家现行有关技术规范、标准及规程，并满足</w:t>
            </w:r>
            <w:r>
              <w:rPr>
                <w:rFonts w:hint="eastAsia" w:asciiTheme="majorEastAsia" w:hAnsiTheme="majorEastAsia" w:eastAsiaTheme="majorEastAsia" w:cstheme="majorEastAsia"/>
                <w:color w:val="auto"/>
                <w:sz w:val="24"/>
                <w:szCs w:val="24"/>
                <w:highlight w:val="none"/>
                <w:lang w:eastAsia="zh-CN"/>
              </w:rPr>
              <w:t>采购人</w:t>
            </w:r>
            <w:r>
              <w:rPr>
                <w:rFonts w:hint="eastAsia" w:asciiTheme="majorEastAsia" w:hAnsiTheme="majorEastAsia" w:eastAsiaTheme="majorEastAsia" w:cstheme="majorEastAsia"/>
                <w:color w:val="auto"/>
                <w:sz w:val="24"/>
                <w:szCs w:val="24"/>
                <w:highlight w:val="none"/>
              </w:rPr>
              <w:t>所期望实现的质量目标。</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具体技术参数、数量、工期及验收标准以正式签订合同内容为准。</w:t>
            </w:r>
            <w:r>
              <w:rPr>
                <w:rFonts w:hint="eastAsia" w:asciiTheme="majorEastAsia" w:hAnsiTheme="majorEastAsia" w:eastAsiaTheme="majorEastAsia" w:cstheme="majorEastAsia"/>
                <w:color w:val="auto"/>
                <w:sz w:val="24"/>
                <w:szCs w:val="24"/>
                <w:highlight w:val="none"/>
                <w:lang w:eastAsia="zh-CN"/>
              </w:rPr>
              <w:t>）</w:t>
            </w:r>
          </w:p>
        </w:tc>
      </w:tr>
    </w:tbl>
    <w:p w14:paraId="48DDEE36">
      <w:pPr>
        <w:pStyle w:val="25"/>
        <w:rPr>
          <w:rFonts w:hint="eastAsia" w:ascii="宋体" w:hAnsi="宋体" w:eastAsia="宋体" w:cs="宋体"/>
          <w:color w:val="auto"/>
          <w:sz w:val="21"/>
          <w:szCs w:val="21"/>
          <w:highlight w:val="none"/>
        </w:rPr>
      </w:pPr>
    </w:p>
    <w:p w14:paraId="0C229FAD">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bookmarkStart w:id="56" w:name="_Toc26980"/>
      <w:bookmarkStart w:id="57" w:name="_Toc3259"/>
    </w:p>
    <w:p w14:paraId="2C482453">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1B9A1051">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0E270616">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14510B01">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5DB5AB26">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4D9DBC13">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4ADD7F4B">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6CEF61B2">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7F70DB55">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021D09EF">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3789ED7B">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68CB12D4">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52FC6F07">
      <w:pPr>
        <w:pStyle w:val="2"/>
        <w:keepNext w:val="0"/>
        <w:keepLines w:val="0"/>
        <w:numPr>
          <w:ilvl w:val="0"/>
          <w:numId w:val="0"/>
        </w:numPr>
        <w:tabs>
          <w:tab w:val="left" w:pos="432"/>
        </w:tabs>
        <w:spacing w:before="200" w:after="0" w:line="500" w:lineRule="exact"/>
        <w:jc w:val="center"/>
        <w:outlineLvl w:val="0"/>
        <w:rPr>
          <w:rFonts w:hint="eastAsia" w:ascii="宋体" w:hAnsi="宋体"/>
          <w:color w:val="auto"/>
          <w:szCs w:val="44"/>
          <w:highlight w:val="none"/>
        </w:rPr>
      </w:pPr>
    </w:p>
    <w:p w14:paraId="56737515">
      <w:pPr>
        <w:pStyle w:val="2"/>
        <w:keepNext w:val="0"/>
        <w:keepLines w:val="0"/>
        <w:numPr>
          <w:ilvl w:val="0"/>
          <w:numId w:val="0"/>
        </w:numPr>
        <w:tabs>
          <w:tab w:val="left" w:pos="432"/>
        </w:tabs>
        <w:spacing w:before="200" w:after="0" w:line="500" w:lineRule="exact"/>
        <w:jc w:val="center"/>
        <w:outlineLvl w:val="0"/>
        <w:rPr>
          <w:rFonts w:ascii="Times New Roman" w:hAnsi="Times New Roman"/>
          <w:color w:val="auto"/>
          <w:szCs w:val="24"/>
          <w:highlight w:val="none"/>
        </w:rPr>
      </w:pPr>
      <w:r>
        <w:rPr>
          <w:rFonts w:hint="eastAsia" w:ascii="宋体" w:hAnsi="宋体"/>
          <w:color w:val="auto"/>
          <w:szCs w:val="44"/>
          <w:highlight w:val="none"/>
        </w:rPr>
        <w:t>第四章  评审办法及评分标准</w:t>
      </w:r>
      <w:bookmarkEnd w:id="56"/>
      <w:bookmarkEnd w:id="57"/>
    </w:p>
    <w:p w14:paraId="74A9FD3B">
      <w:pPr>
        <w:keepNext w:val="0"/>
        <w:keepLines w:val="0"/>
        <w:widowControl/>
        <w:suppressLineNumbers w:val="0"/>
        <w:spacing w:line="360" w:lineRule="auto"/>
        <w:jc w:val="center"/>
        <w:rPr>
          <w:rFonts w:hint="eastAsia" w:ascii="宋体" w:hAnsi="宋体" w:eastAsia="宋体" w:cs="宋体"/>
          <w:b/>
          <w:bCs/>
          <w:color w:val="auto"/>
          <w:kern w:val="0"/>
          <w:sz w:val="21"/>
          <w:szCs w:val="21"/>
          <w:highlight w:val="none"/>
          <w:lang w:val="en-US" w:eastAsia="zh-CN" w:bidi="ar"/>
        </w:rPr>
      </w:pPr>
    </w:p>
    <w:p w14:paraId="5039BE2B">
      <w:pPr>
        <w:keepNext w:val="0"/>
        <w:keepLines w:val="0"/>
        <w:widowControl/>
        <w:suppressLineNumbers w:val="0"/>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kern w:val="0"/>
          <w:sz w:val="31"/>
          <w:szCs w:val="31"/>
          <w:highlight w:val="none"/>
          <w:lang w:val="en-US" w:eastAsia="zh-CN" w:bidi="ar"/>
        </w:rPr>
        <w:t>一、评审程序和评审方法</w:t>
      </w:r>
    </w:p>
    <w:p w14:paraId="0659B612">
      <w:pPr>
        <w:keepNext w:val="0"/>
        <w:keepLines w:val="0"/>
        <w:widowControl/>
        <w:suppressLineNumbers w:val="0"/>
        <w:spacing w:line="360" w:lineRule="auto"/>
        <w:ind w:left="0" w:leftChars="0" w:firstLine="369" w:firstLineChars="175"/>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1.资格审查 </w:t>
      </w:r>
    </w:p>
    <w:p w14:paraId="3264E366">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1.1 响应文件开启后，磋商小组依法对供应商的资格证明文件进行审查。 </w:t>
      </w:r>
    </w:p>
    <w:p w14:paraId="0CE4E2A4">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（1）查询渠道：“信用中国”网站（www.creditchina.gov.cn）、中国政府采购网（www.ccgp.gov.cn） </w:t>
      </w:r>
    </w:p>
    <w:p w14:paraId="7BD22CDF">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（2）信用查询截止时点：资格审查结束前 </w:t>
      </w:r>
    </w:p>
    <w:p w14:paraId="6AC7E04F">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（3）查询记录和证据留存方式：通过</w:t>
      </w:r>
      <w:r>
        <w:rPr>
          <w:rFonts w:hint="eastAsia" w:ascii="宋体" w:hAnsi="宋体" w:cs="宋体"/>
          <w:color w:val="auto"/>
          <w:kern w:val="0"/>
          <w:sz w:val="21"/>
          <w:szCs w:val="21"/>
          <w:highlight w:val="none"/>
          <w:lang w:val="en-US" w:eastAsia="zh-CN" w:bidi="ar"/>
        </w:rPr>
        <w:t>广西政府采购云</w:t>
      </w:r>
      <w:r>
        <w:rPr>
          <w:rFonts w:hint="eastAsia" w:ascii="宋体" w:hAnsi="宋体" w:eastAsia="宋体" w:cs="宋体"/>
          <w:color w:val="auto"/>
          <w:kern w:val="0"/>
          <w:sz w:val="21"/>
          <w:szCs w:val="21"/>
          <w:highlight w:val="none"/>
          <w:lang w:val="en-US" w:eastAsia="zh-CN" w:bidi="ar"/>
        </w:rPr>
        <w:t xml:space="preserve">平台链接到相关查询网站进行查询及记录。 </w:t>
      </w:r>
    </w:p>
    <w:p w14:paraId="6F75AF47">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（4）信用信息使用规则：根据财政部《关于在政府采购活动中查询及使用信用记录有关问题的通知》 （财库〔2016〕125 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 </w:t>
      </w:r>
    </w:p>
    <w:p w14:paraId="732BCB55">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1.2 资格审查标准为本磋商文件中载明对供应商资格要求的条件。资格审查采用合格制，凡符合磋商文件规定的供应商资格要求的响应文件均通过资格审查。 </w:t>
      </w:r>
    </w:p>
    <w:p w14:paraId="4632EE04">
      <w:pPr>
        <w:keepNext w:val="0"/>
        <w:keepLines w:val="0"/>
        <w:widowControl/>
        <w:suppressLineNumbers w:val="0"/>
        <w:spacing w:line="360" w:lineRule="auto"/>
        <w:ind w:left="0" w:leftChars="0" w:firstLine="369" w:firstLineChars="175"/>
        <w:jc w:val="left"/>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1.3 资格审查内容：</w:t>
      </w:r>
    </w:p>
    <w:p w14:paraId="081A05A8">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供应商有下列情形之一的，资格审查不通过，其响应文件按无效响应处理： </w:t>
      </w:r>
    </w:p>
    <w:p w14:paraId="2519A2E8">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（1）不具备磋商文件中规定的资格要求的； </w:t>
      </w:r>
    </w:p>
    <w:p w14:paraId="768E12FB">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（2）响应文件的资格证明文件缺少任一项“供应商须知正文部分”9.5.1资格证明文件规定的“必须提供”的文件资料的； </w:t>
      </w:r>
    </w:p>
    <w:p w14:paraId="6331869D">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（3）响应文件中的资格证明文件出现任一项不符合“供应商须知正文部分”9.5.1资格证明文件规定的“必须提供”的文件资料要求或者无效的； </w:t>
      </w:r>
    </w:p>
    <w:p w14:paraId="5789A435">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（4）同一合同项下的不同供应商，单位负责人为同一人或者存在直接控股、管理关系的；为本项目提供过整体设计、规范编制或者项目管理、监理、检测等服务的供应商，再参加该采购项目的其他采购活动的。 </w:t>
      </w:r>
    </w:p>
    <w:p w14:paraId="03C768E7">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1.4 通过资格审查的合格供应商不足 3 家的，不得进入符合性审查环节，采购人或者采购代理机构应当重新开展采购活动。 </w:t>
      </w:r>
    </w:p>
    <w:p w14:paraId="17BEF96F">
      <w:pPr>
        <w:keepNext w:val="0"/>
        <w:keepLines w:val="0"/>
        <w:widowControl/>
        <w:suppressLineNumbers w:val="0"/>
        <w:spacing w:line="360" w:lineRule="auto"/>
        <w:ind w:left="0" w:leftChars="0" w:firstLine="369" w:firstLineChars="175"/>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2.符合性审查 </w:t>
      </w:r>
    </w:p>
    <w:p w14:paraId="613D52D6">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2.1 由磋商小组对资格审查的合格供应商的响应文件的竞标报价、商务、技术等实质性要求进行符合性审查，以确定其是否满足磋商文件的实质性要求。 </w:t>
      </w:r>
    </w:p>
    <w:p w14:paraId="6DB94448">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2.2 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3745B2AE">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2.3 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供应商为自然人的，必须由本人签字并附身份证明。 </w:t>
      </w:r>
    </w:p>
    <w:p w14:paraId="639A00F5">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2.4 首次响应文件报价出现前后不一致的，按照下列规定修正： </w:t>
      </w:r>
    </w:p>
    <w:p w14:paraId="4DC9130C">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（1）响应文件中报价表内容与响应文件中相应内容不一致的，以报价表为准； </w:t>
      </w:r>
    </w:p>
    <w:p w14:paraId="188B7915">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（2）大写金额和小写金额不一致的，以大写金额为准； </w:t>
      </w:r>
    </w:p>
    <w:p w14:paraId="77247462">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（3）单价金额小数点或者百分比有明显错位的，以报价表的总价为准，并修改单价； </w:t>
      </w:r>
    </w:p>
    <w:p w14:paraId="075D8AA6">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（4）总价金额与按单价汇总金额不一致的，以单价金额计算结果为准。 </w:t>
      </w:r>
    </w:p>
    <w:p w14:paraId="03C3597A">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同时出现两种以上不一致的，按照以上（1）-（4）规定的顺序逐条进行修正。修正后的报价经供应商确认后产生约束力，供应商不确认的，其响应文件按无效响应处理。 </w:t>
      </w:r>
    </w:p>
    <w:p w14:paraId="635B5353">
      <w:pPr>
        <w:keepNext w:val="0"/>
        <w:keepLines w:val="0"/>
        <w:widowControl/>
        <w:suppressLineNumbers w:val="0"/>
        <w:spacing w:line="360" w:lineRule="auto"/>
        <w:ind w:left="0" w:leftChars="0" w:firstLine="369" w:firstLineChars="175"/>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2.5 符合性审查内容： </w:t>
      </w:r>
    </w:p>
    <w:p w14:paraId="41C027D7">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在评审时，如发现下列情形之一的，将被视为响应文件无效响应处理： </w:t>
      </w:r>
    </w:p>
    <w:p w14:paraId="1D0EC2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1333B3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C03B5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0B886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）未对竞标有效期作出响应或者响应文件承诺的竞标有效期不满足磋商文件要求；</w:t>
      </w:r>
    </w:p>
    <w:p w14:paraId="0C812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）响应文件的实质性内容未使用中文表述、使用计量单位不符合磋商文件要求；</w:t>
      </w:r>
    </w:p>
    <w:p w14:paraId="16AB8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）响应文件中的文件资料因填写不齐全或者内容虚假或者出现其他情形而导致被磋商小组认定无效；</w:t>
      </w:r>
    </w:p>
    <w:p w14:paraId="06F433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14:paraId="601A8A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14:paraId="10A346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）虚假竞标，或者出现其他情形而导致被磋商小组认定无效；</w:t>
      </w:r>
    </w:p>
    <w:p w14:paraId="2A62DC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）竞标技术方案不明确，磋商文件未允许但响应文件中存在一个或者一个以上备选（替代）竞标方案；</w:t>
      </w:r>
    </w:p>
    <w:p w14:paraId="2FA1BA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）响应文件标注的项目名称或者项目编号与竞争性磋商文件标注的项目名称或者项目编号不一致的；</w:t>
      </w:r>
    </w:p>
    <w:p w14:paraId="6701D6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）未响应磋商文件实质性要求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p>
    <w:p w14:paraId="4CDB2ECA">
      <w:pPr>
        <w:pStyle w:val="16"/>
        <w:ind w:firstLine="420" w:firstLineChars="200"/>
        <w:rPr>
          <w:rFonts w:hint="eastAsia" w:ascii="宋体" w:hAnsi="宋体" w:eastAsia="宋体" w:cs="宋体"/>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）提交的磋商保证金无效的或者未按照磋商文件的规定提交磋商保证金；</w:t>
      </w:r>
    </w:p>
    <w:p w14:paraId="301210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）法律、法规和磋商文件规定的其他无效情形。</w:t>
      </w:r>
    </w:p>
    <w:p w14:paraId="39E702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6F65ED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74019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1BA1A3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rPr>
        <w:t>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rPr>
        <w:t>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rPr>
        <w:t>的全部内容作唯一总价报价；供应商响应文件中存在有选择、有条件报价的（磋商文件允许有备选方案或者其他约定的除外）；</w:t>
      </w:r>
    </w:p>
    <w:p w14:paraId="2AD50D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rPr>
        <w:t>规定的采购预算金额或者最高限价的（如本项目公布了最高限价）；响应报价（包含首次报价、最后报价）超过磋商文件分项采购预算金额或者最高限价的（如本项目公布了最高限价）；</w:t>
      </w:r>
    </w:p>
    <w:p w14:paraId="0C8436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rPr>
        <w:t>规定的采购预算金额或者最高限价（如本项目公布了最高限价）；或者经供应商确认修正后响应报价（包含首次报价、最后报价）超过磋商文件分项采购预算金额或者最高限价的（如本项目公布了最高限价）。</w:t>
      </w:r>
    </w:p>
    <w:p w14:paraId="3F9C7334">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r>
        <w:rPr>
          <w:rFonts w:hint="eastAsia" w:ascii="宋体" w:hAnsi="宋体" w:eastAsia="宋体" w:cs="宋体"/>
          <w:color w:val="auto"/>
          <w:kern w:val="0"/>
          <w:sz w:val="21"/>
          <w:szCs w:val="21"/>
          <w:highlight w:val="none"/>
          <w:lang w:val="en-US" w:eastAsia="zh-CN" w:bidi="ar"/>
        </w:rPr>
        <w:t xml:space="preserve">2.6 磋商小组对响应文件进行评审，未实质性响应磋商文件的响应文件按无效响应处理，磋商小组应当将资格和符合性不通过的情况告知有关供应商。磋商小组从符合磋商文件规定的相应资格条件的供应商名单中确定不少于 3 家的供应商参加磋商。 </w:t>
      </w:r>
    </w:p>
    <w:p w14:paraId="350428E1">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2.7 非政府购买服务项目，通过符合性审查的合格供应商不足 3 家的，不得进入磋商环节，采购人或者采购代理机构应当重新开展采购活动。政府购买服务项目，按《财政部关于政府采购竞争性磋商采购方式管理暂行办法有关问题的补充通知》（财库〔2015〕124 号）规定，采购过程中通过符合性审查的供应商（社会资本）只有 2 家的，磋商采购活动可以继续进行。 </w:t>
      </w:r>
    </w:p>
    <w:p w14:paraId="315C3E11">
      <w:pPr>
        <w:keepNext w:val="0"/>
        <w:keepLines w:val="0"/>
        <w:widowControl/>
        <w:suppressLineNumbers w:val="0"/>
        <w:spacing w:line="360" w:lineRule="auto"/>
        <w:ind w:left="0" w:leftChars="0" w:firstLine="369" w:firstLineChars="175"/>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3.磋商程序 </w:t>
      </w:r>
    </w:p>
    <w:p w14:paraId="0CDBEB94">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3.1 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 </w:t>
      </w:r>
    </w:p>
    <w:p w14:paraId="48BB99E7">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3.2 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 </w:t>
      </w:r>
    </w:p>
    <w:p w14:paraId="67E81598">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3.3 对磋商文件作出的实质性变动是磋商文件的有效组成部分，由磋商小组及时以电子磋商记录形式同时通知所有参加磋商的供应商。 </w:t>
      </w:r>
    </w:p>
    <w:p w14:paraId="71BC6EC8">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3.4 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 </w:t>
      </w:r>
    </w:p>
    <w:p w14:paraId="479E8818">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3.5 磋商中，磋商的任何一方不得透露与磋商有关的其他供应商的技术资料、价格和其他信息。 </w:t>
      </w:r>
    </w:p>
    <w:p w14:paraId="0CED65D0">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3.6 对磋商过程提交的响应文件进行有效性、完整性和响应程度审查，通过审查的合格供应商不足 3 家的，采购人或者采购代理机构应当重新开展采购活动。 </w:t>
      </w:r>
    </w:p>
    <w:p w14:paraId="75B1B283">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3.7 根据《财政部关于政府采购竞争性磋商采购方式管理暂行办法有关问题的补充通知》（财库〔2015〕 </w:t>
      </w:r>
    </w:p>
    <w:p w14:paraId="408A9D24">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124 号）的规定，采用竞争性磋商采购方式采购的政府购买服务项目（含政府和社会资本合作项目），在采购过程中符合要求的供应商（社会资本）只有 2 家的，竞争性磋商采购活动可以继续进行。采购过程中 符合要求的供应商（社会资本）只有 1 家的，采购人（项目实施机构）或者采购代理机构应当终止竞争性磋商采购活动，发布项目终止公告并说明原因，重新开展采购活动。 </w:t>
      </w:r>
    </w:p>
    <w:p w14:paraId="6C8D01FD">
      <w:pPr>
        <w:keepNext w:val="0"/>
        <w:keepLines w:val="0"/>
        <w:widowControl/>
        <w:suppressLineNumbers w:val="0"/>
        <w:spacing w:line="360" w:lineRule="auto"/>
        <w:ind w:left="0" w:leftChars="0" w:firstLine="369" w:firstLineChars="175"/>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4. 最后报价 </w:t>
      </w:r>
    </w:p>
    <w:p w14:paraId="49CB2AE2">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4.1 磋商文件能够详细列明采购标的的技术、服务要求的，磋商结束后，由磋商小组要求所有继续参加磋商的供应商在规定时间内以电子文件形式提交最后报价，除本章第 2.7、3.</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 xml:space="preserve">、4.3 条外，提交最后报价的供应商不得少于 3 家，否则必须重新采购。 </w:t>
      </w:r>
    </w:p>
    <w:p w14:paraId="405D1347">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4.2 磋商文件不能详细列明采购标的的技术、服务要求，需经磋商由供应商提供最后设计方案或者解决方案的，磋商结束后，由磋商小组按照少数服从多数的原则投票推荐 3 家以上供应商的设计方案或者解决方案，并要求其在规定时间内以电子文件形式提交最后报价。 </w:t>
      </w:r>
    </w:p>
    <w:p w14:paraId="60BD105D">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4.3 最后报价是供应商响应文件的有效组成部分。符合《政府采购竞争性磋商采购方式管理暂行办法》（财库〔2014〕214 号）第三条第四项“市场竞争不充分的科研项目，以及需要扶持的科技成果转化项目”和本章第 3.8 条情形的，提交最后报价的供应商可以为 2 家。 </w:t>
      </w:r>
    </w:p>
    <w:p w14:paraId="72E865EB">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4.4 已经提交响应文件的供应商，在提交最后报价之前，可以根据磋商情况退出磋商，退出磋商的供应商的响应文件按无效响应处理。采购人、采购代理机构将退还退出磋商的供应商的保证金。 </w:t>
      </w:r>
    </w:p>
    <w:p w14:paraId="21AFA1BF">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4.5 供应商未在规定时间内提交最后报价的，视同退出磋商。 </w:t>
      </w:r>
    </w:p>
    <w:p w14:paraId="543B1AD4">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4.6 磋商小组收齐某一分标最后报价后或达到规定时间后统一开启，磋商小组对最后报价进行有效性、完整性和响应程度的审查。 </w:t>
      </w:r>
    </w:p>
    <w:p w14:paraId="3C64A234">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4.7 响应文件最后报价出现前后不一致的，按照本章第 2.4 条的规定修正。 </w:t>
      </w:r>
    </w:p>
    <w:p w14:paraId="06AE35F8">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4.8 经供应商确认修正后的最后报价作为评审及签订合同的依据。 </w:t>
      </w:r>
    </w:p>
    <w:p w14:paraId="03987700">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4.9 供应商出现最后报价按无效响应处理或者响应文件按无效响应处理时，磋商小组应当告知有关供应商。 </w:t>
      </w:r>
    </w:p>
    <w:p w14:paraId="2FF103E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bidi="ar"/>
        </w:rPr>
        <w:t>4.10 最后报价结束后，磋商小组不得再与供应商进行任何形式的商谈。</w:t>
      </w:r>
    </w:p>
    <w:p w14:paraId="1CA3FD6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lang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 xml:space="preserve">4.11 </w:t>
      </w:r>
      <w:r>
        <w:rPr>
          <w:rFonts w:hint="eastAsia" w:ascii="宋体" w:hAnsi="宋体" w:eastAsia="宋体" w:cs="宋体"/>
          <w:i w:val="0"/>
          <w:iCs w:val="0"/>
          <w:caps w:val="0"/>
          <w:color w:val="000000"/>
          <w:spacing w:val="0"/>
          <w:sz w:val="21"/>
          <w:szCs w:val="21"/>
          <w:highlight w:val="none"/>
          <w:shd w:val="clear" w:color="auto" w:fill="FFFFFF"/>
          <w:lang w:eastAsia="zh-CN"/>
        </w:rPr>
        <w:t>采购评审中出现下列情形之一的，</w:t>
      </w:r>
      <w:r>
        <w:rPr>
          <w:rFonts w:hint="eastAsia" w:ascii="宋体" w:hAnsi="宋体" w:eastAsia="宋体" w:cs="宋体"/>
          <w:i w:val="0"/>
          <w:iCs w:val="0"/>
          <w:caps w:val="0"/>
          <w:color w:val="000000"/>
          <w:spacing w:val="0"/>
          <w:sz w:val="21"/>
          <w:szCs w:val="21"/>
          <w:highlight w:val="none"/>
          <w:shd w:val="clear" w:color="auto" w:fill="FFFFFF"/>
          <w:lang w:eastAsia="zh-CN"/>
        </w:rPr>
        <w:t>磋商小组应当启动异常低价</w:t>
      </w:r>
      <w:r>
        <w:rPr>
          <w:rFonts w:hint="eastAsia" w:ascii="宋体" w:hAnsi="宋体" w:eastAsia="宋体" w:cs="宋体"/>
          <w:i w:val="0"/>
          <w:iCs w:val="0"/>
          <w:caps w:val="0"/>
          <w:color w:val="000000"/>
          <w:spacing w:val="0"/>
          <w:sz w:val="21"/>
          <w:szCs w:val="21"/>
          <w:highlight w:val="none"/>
          <w:shd w:val="clear" w:color="auto" w:fill="FFFFFF"/>
          <w:lang w:val="en-US" w:eastAsia="zh-CN"/>
        </w:rPr>
        <w:t>响应</w:t>
      </w:r>
      <w:r>
        <w:rPr>
          <w:rFonts w:hint="eastAsia" w:ascii="宋体" w:hAnsi="宋体" w:eastAsia="宋体" w:cs="宋体"/>
          <w:i w:val="0"/>
          <w:iCs w:val="0"/>
          <w:caps w:val="0"/>
          <w:color w:val="000000"/>
          <w:spacing w:val="0"/>
          <w:sz w:val="21"/>
          <w:szCs w:val="21"/>
          <w:highlight w:val="none"/>
          <w:shd w:val="clear" w:color="auto" w:fill="FFFFFF"/>
          <w:lang w:eastAsia="zh-CN"/>
        </w:rPr>
        <w:t>审查程序： （</w:t>
      </w:r>
      <w:r>
        <w:rPr>
          <w:rFonts w:hint="eastAsia" w:ascii="宋体" w:hAnsi="宋体" w:eastAsia="宋体" w:cs="宋体"/>
          <w:i w:val="0"/>
          <w:iCs w:val="0"/>
          <w:caps w:val="0"/>
          <w:color w:val="000000"/>
          <w:spacing w:val="0"/>
          <w:sz w:val="21"/>
          <w:szCs w:val="21"/>
          <w:highlight w:val="none"/>
          <w:shd w:val="clear" w:color="auto" w:fill="FFFFFF"/>
          <w:lang w:val="en-US" w:eastAsia="zh-CN"/>
        </w:rPr>
        <w:t>采购人可以结合具体项目实际情况，提高A/B/C项中启动异常低价投标（响应）审查的数值标准，但是最高不得超过65%）</w:t>
      </w:r>
    </w:p>
    <w:p w14:paraId="5862089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lang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A.最后报价</w:t>
      </w:r>
      <w:r>
        <w:rPr>
          <w:rFonts w:hint="eastAsia" w:ascii="宋体" w:hAnsi="宋体" w:eastAsia="宋体" w:cs="宋体"/>
          <w:i w:val="0"/>
          <w:iCs w:val="0"/>
          <w:caps w:val="0"/>
          <w:color w:val="000000"/>
          <w:spacing w:val="0"/>
          <w:sz w:val="21"/>
          <w:szCs w:val="21"/>
          <w:highlight w:val="none"/>
          <w:shd w:val="clear" w:color="auto" w:fill="FFFFFF"/>
          <w:lang w:eastAsia="zh-CN"/>
        </w:rPr>
        <w:t>低于全部通过符合性审查</w:t>
      </w:r>
      <w:r>
        <w:rPr>
          <w:rFonts w:hint="eastAsia" w:ascii="宋体" w:hAnsi="宋体" w:eastAsia="宋体" w:cs="宋体"/>
          <w:i w:val="0"/>
          <w:iCs w:val="0"/>
          <w:caps w:val="0"/>
          <w:color w:val="000000"/>
          <w:spacing w:val="0"/>
          <w:sz w:val="21"/>
          <w:szCs w:val="21"/>
          <w:highlight w:val="none"/>
          <w:shd w:val="clear" w:color="auto" w:fill="FFFFFF"/>
          <w:lang w:eastAsia="zh-CN"/>
        </w:rPr>
        <w:t>供应商最后报价平均值50%的，即</w:t>
      </w:r>
      <w:r>
        <w:rPr>
          <w:rFonts w:hint="eastAsia" w:ascii="宋体" w:hAnsi="宋体" w:eastAsia="宋体" w:cs="宋体"/>
          <w:i w:val="0"/>
          <w:iCs w:val="0"/>
          <w:caps w:val="0"/>
          <w:color w:val="000000"/>
          <w:spacing w:val="0"/>
          <w:sz w:val="21"/>
          <w:szCs w:val="21"/>
          <w:highlight w:val="none"/>
          <w:shd w:val="clear" w:color="auto" w:fill="FFFFFF"/>
          <w:lang w:eastAsia="zh-CN"/>
        </w:rPr>
        <w:t>最后报价＜全部通过符合性审查</w:t>
      </w:r>
      <w:r>
        <w:rPr>
          <w:rFonts w:hint="eastAsia" w:ascii="宋体" w:hAnsi="宋体" w:eastAsia="宋体" w:cs="宋体"/>
          <w:i w:val="0"/>
          <w:iCs w:val="0"/>
          <w:caps w:val="0"/>
          <w:color w:val="000000"/>
          <w:spacing w:val="0"/>
          <w:sz w:val="21"/>
          <w:szCs w:val="21"/>
          <w:highlight w:val="none"/>
          <w:shd w:val="clear" w:color="auto" w:fill="FFFFFF"/>
          <w:lang w:eastAsia="zh-CN"/>
        </w:rPr>
        <w:t xml:space="preserve">供应商最后报价平均值×50%； </w:t>
      </w:r>
    </w:p>
    <w:p w14:paraId="767D084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lang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B.</w:t>
      </w:r>
      <w:r>
        <w:rPr>
          <w:rFonts w:hint="eastAsia" w:ascii="宋体" w:hAnsi="宋体" w:eastAsia="宋体" w:cs="宋体"/>
          <w:i w:val="0"/>
          <w:iCs w:val="0"/>
          <w:caps w:val="0"/>
          <w:color w:val="000000"/>
          <w:spacing w:val="0"/>
          <w:sz w:val="21"/>
          <w:szCs w:val="21"/>
          <w:highlight w:val="none"/>
          <w:shd w:val="clear" w:color="auto" w:fill="FFFFFF"/>
          <w:lang w:eastAsia="zh-CN"/>
        </w:rPr>
        <w:t>最后报价低于通过符合性审查的次低报价</w:t>
      </w:r>
      <w:r>
        <w:rPr>
          <w:rFonts w:hint="eastAsia" w:ascii="宋体" w:hAnsi="宋体" w:eastAsia="宋体" w:cs="宋体"/>
          <w:i w:val="0"/>
          <w:iCs w:val="0"/>
          <w:caps w:val="0"/>
          <w:color w:val="000000"/>
          <w:spacing w:val="0"/>
          <w:sz w:val="21"/>
          <w:szCs w:val="21"/>
          <w:highlight w:val="none"/>
          <w:shd w:val="clear" w:color="auto" w:fill="FFFFFF"/>
          <w:lang w:eastAsia="zh-CN"/>
        </w:rPr>
        <w:t>供应商最后报价50%的，即</w:t>
      </w:r>
      <w:r>
        <w:rPr>
          <w:rFonts w:hint="eastAsia" w:ascii="宋体" w:hAnsi="宋体" w:eastAsia="宋体" w:cs="宋体"/>
          <w:i w:val="0"/>
          <w:iCs w:val="0"/>
          <w:caps w:val="0"/>
          <w:color w:val="000000"/>
          <w:spacing w:val="0"/>
          <w:sz w:val="21"/>
          <w:szCs w:val="21"/>
          <w:highlight w:val="none"/>
          <w:shd w:val="clear" w:color="auto" w:fill="FFFFFF"/>
          <w:lang w:eastAsia="zh-CN"/>
        </w:rPr>
        <w:t>最后报价＜通过符合性审查的次低报价</w:t>
      </w:r>
      <w:r>
        <w:rPr>
          <w:rFonts w:hint="eastAsia" w:ascii="宋体" w:hAnsi="宋体" w:eastAsia="宋体" w:cs="宋体"/>
          <w:i w:val="0"/>
          <w:iCs w:val="0"/>
          <w:caps w:val="0"/>
          <w:color w:val="000000"/>
          <w:spacing w:val="0"/>
          <w:sz w:val="21"/>
          <w:szCs w:val="21"/>
          <w:highlight w:val="none"/>
          <w:shd w:val="clear" w:color="auto" w:fill="FFFFFF"/>
          <w:lang w:eastAsia="zh-CN"/>
        </w:rPr>
        <w:t xml:space="preserve">供应商最后报价×50%； </w:t>
      </w:r>
    </w:p>
    <w:p w14:paraId="531E422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lang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C.</w:t>
      </w:r>
      <w:r>
        <w:rPr>
          <w:rFonts w:hint="eastAsia" w:ascii="宋体" w:hAnsi="宋体" w:eastAsia="宋体" w:cs="宋体"/>
          <w:i w:val="0"/>
          <w:iCs w:val="0"/>
          <w:caps w:val="0"/>
          <w:color w:val="000000"/>
          <w:spacing w:val="0"/>
          <w:sz w:val="21"/>
          <w:szCs w:val="21"/>
          <w:highlight w:val="none"/>
          <w:shd w:val="clear" w:color="auto" w:fill="FFFFFF"/>
          <w:lang w:eastAsia="zh-CN"/>
        </w:rPr>
        <w:t>最后报价低于采购项目最高限价45%的，即</w:t>
      </w:r>
      <w:r>
        <w:rPr>
          <w:rFonts w:hint="eastAsia" w:ascii="宋体" w:hAnsi="宋体" w:eastAsia="宋体" w:cs="宋体"/>
          <w:i w:val="0"/>
          <w:iCs w:val="0"/>
          <w:caps w:val="0"/>
          <w:color w:val="000000"/>
          <w:spacing w:val="0"/>
          <w:sz w:val="21"/>
          <w:szCs w:val="21"/>
          <w:highlight w:val="none"/>
          <w:shd w:val="clear" w:color="auto" w:fill="FFFFFF"/>
          <w:lang w:eastAsia="zh-CN"/>
        </w:rPr>
        <w:t>最后报价＜采购项目最高限价×45%；</w:t>
      </w:r>
    </w:p>
    <w:p w14:paraId="6F36F6C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highlight w:val="none"/>
          <w:shd w:val="clear" w:color="auto" w:fill="FFFFFF"/>
          <w:lang w:val="en-US" w:eastAsia="zh-CN"/>
        </w:rPr>
        <w:t>D.</w:t>
      </w:r>
      <w:r>
        <w:rPr>
          <w:rFonts w:hint="eastAsia" w:ascii="宋体" w:hAnsi="宋体" w:eastAsia="宋体" w:cs="宋体"/>
          <w:i w:val="0"/>
          <w:iCs w:val="0"/>
          <w:caps w:val="0"/>
          <w:color w:val="000000"/>
          <w:spacing w:val="0"/>
          <w:sz w:val="21"/>
          <w:szCs w:val="21"/>
          <w:highlight w:val="none"/>
          <w:shd w:val="clear" w:color="auto" w:fill="FFFFFF"/>
          <w:lang w:eastAsia="zh-CN"/>
        </w:rPr>
        <w:t>磋商小组基于专业判断，认为</w:t>
      </w:r>
      <w:r>
        <w:rPr>
          <w:rFonts w:hint="eastAsia" w:ascii="宋体" w:hAnsi="宋体" w:eastAsia="宋体" w:cs="宋体"/>
          <w:i w:val="0"/>
          <w:iCs w:val="0"/>
          <w:caps w:val="0"/>
          <w:color w:val="000000"/>
          <w:spacing w:val="0"/>
          <w:sz w:val="21"/>
          <w:szCs w:val="21"/>
          <w:highlight w:val="none"/>
          <w:shd w:val="clear" w:color="auto" w:fill="FFFFFF"/>
          <w:lang w:eastAsia="zh-CN"/>
        </w:rPr>
        <w:t>供应商报价过低，有可能影响产品质量或者不能诚信</w:t>
      </w:r>
      <w:r>
        <w:rPr>
          <w:rFonts w:hint="eastAsia" w:ascii="宋体" w:hAnsi="宋体" w:eastAsia="宋体" w:cs="宋体"/>
          <w:i w:val="0"/>
          <w:iCs w:val="0"/>
          <w:caps w:val="0"/>
          <w:color w:val="000000"/>
          <w:spacing w:val="0"/>
          <w:sz w:val="21"/>
          <w:szCs w:val="21"/>
          <w:highlight w:val="none"/>
          <w:shd w:val="clear" w:color="auto" w:fill="FFFFFF"/>
        </w:rPr>
        <w:t>履约的其</w:t>
      </w:r>
      <w:r>
        <w:rPr>
          <w:rFonts w:hint="eastAsia" w:ascii="宋体" w:hAnsi="宋体" w:eastAsia="宋体" w:cs="宋体"/>
          <w:i w:val="0"/>
          <w:iCs w:val="0"/>
          <w:caps w:val="0"/>
          <w:color w:val="000000"/>
          <w:spacing w:val="0"/>
          <w:sz w:val="21"/>
          <w:szCs w:val="21"/>
          <w:shd w:val="clear" w:color="auto" w:fill="FFFFFF"/>
        </w:rPr>
        <w:t>他情形。</w:t>
      </w:r>
    </w:p>
    <w:p w14:paraId="546272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相关法律法规对</w:t>
      </w:r>
      <w:r>
        <w:rPr>
          <w:rFonts w:hint="eastAsia" w:ascii="宋体" w:hAnsi="宋体" w:eastAsia="宋体" w:cs="宋体"/>
          <w:i w:val="0"/>
          <w:iCs w:val="0"/>
          <w:caps w:val="0"/>
          <w:color w:val="000000"/>
          <w:spacing w:val="0"/>
          <w:sz w:val="21"/>
          <w:szCs w:val="21"/>
          <w:shd w:val="clear" w:color="auto" w:fill="FFFFFF"/>
          <w:lang w:eastAsia="zh-CN"/>
        </w:rPr>
        <w:t>供应商</w:t>
      </w:r>
      <w:r>
        <w:rPr>
          <w:rFonts w:hint="eastAsia" w:ascii="宋体" w:hAnsi="宋体" w:eastAsia="宋体" w:cs="宋体"/>
          <w:i w:val="0"/>
          <w:iCs w:val="0"/>
          <w:caps w:val="0"/>
          <w:color w:val="000000"/>
          <w:spacing w:val="0"/>
          <w:sz w:val="21"/>
          <w:szCs w:val="21"/>
          <w:shd w:val="clear" w:color="auto" w:fill="FFFFFF"/>
        </w:rPr>
        <w:t>报价有规定的，从其规定。</w:t>
      </w:r>
    </w:p>
    <w:p w14:paraId="5D3D4A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 xml:space="preserve"> </w:t>
      </w:r>
      <w:r>
        <w:rPr>
          <w:rFonts w:hint="eastAsia" w:ascii="宋体" w:hAnsi="宋体" w:cs="宋体"/>
          <w:i w:val="0"/>
          <w:iCs w:val="0"/>
          <w:caps w:val="0"/>
          <w:color w:val="000000"/>
          <w:spacing w:val="0"/>
          <w:sz w:val="21"/>
          <w:szCs w:val="21"/>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lang w:val="en-US" w:eastAsia="zh-CN"/>
        </w:rPr>
        <w:t>4.12</w:t>
      </w:r>
      <w:r>
        <w:rPr>
          <w:rFonts w:hint="eastAsia" w:ascii="宋体" w:hAnsi="宋体" w:eastAsia="宋体" w:cs="宋体"/>
          <w:i w:val="0"/>
          <w:iCs w:val="0"/>
          <w:caps w:val="0"/>
          <w:color w:val="000000"/>
          <w:spacing w:val="0"/>
          <w:sz w:val="21"/>
          <w:szCs w:val="21"/>
          <w:shd w:val="clear" w:color="auto" w:fill="FFFFFF"/>
          <w:lang w:eastAsia="zh-CN"/>
        </w:rPr>
        <w:t>磋商小组</w:t>
      </w:r>
      <w:r>
        <w:rPr>
          <w:rFonts w:hint="eastAsia" w:ascii="宋体" w:hAnsi="宋体" w:eastAsia="宋体" w:cs="宋体"/>
          <w:i w:val="0"/>
          <w:iCs w:val="0"/>
          <w:caps w:val="0"/>
          <w:color w:val="000000"/>
          <w:spacing w:val="0"/>
          <w:sz w:val="21"/>
          <w:szCs w:val="21"/>
          <w:shd w:val="clear" w:color="auto" w:fill="FFFFFF"/>
        </w:rPr>
        <w:t>启动异常低价</w:t>
      </w:r>
      <w:r>
        <w:rPr>
          <w:rFonts w:hint="eastAsia" w:ascii="宋体" w:hAnsi="宋体" w:eastAsia="宋体" w:cs="宋体"/>
          <w:i w:val="0"/>
          <w:iCs w:val="0"/>
          <w:caps w:val="0"/>
          <w:color w:val="000000"/>
          <w:spacing w:val="0"/>
          <w:sz w:val="21"/>
          <w:szCs w:val="21"/>
          <w:shd w:val="clear" w:color="auto" w:fill="FFFFFF"/>
          <w:lang w:val="en-US" w:eastAsia="zh-CN"/>
        </w:rPr>
        <w:t>响应</w:t>
      </w:r>
      <w:r>
        <w:rPr>
          <w:rFonts w:hint="eastAsia" w:ascii="宋体" w:hAnsi="宋体" w:eastAsia="宋体" w:cs="宋体"/>
          <w:i w:val="0"/>
          <w:iCs w:val="0"/>
          <w:caps w:val="0"/>
          <w:color w:val="000000"/>
          <w:spacing w:val="0"/>
          <w:sz w:val="21"/>
          <w:szCs w:val="21"/>
          <w:shd w:val="clear" w:color="auto" w:fill="FFFFFF"/>
        </w:rPr>
        <w:t>审查后，属于上述A项至D项情形的，应当要求相关</w:t>
      </w:r>
      <w:r>
        <w:rPr>
          <w:rFonts w:hint="eastAsia" w:ascii="宋体" w:hAnsi="宋体" w:eastAsia="宋体" w:cs="宋体"/>
          <w:i w:val="0"/>
          <w:iCs w:val="0"/>
          <w:caps w:val="0"/>
          <w:color w:val="000000"/>
          <w:spacing w:val="0"/>
          <w:sz w:val="21"/>
          <w:szCs w:val="21"/>
          <w:shd w:val="clear" w:color="auto" w:fill="FFFFFF"/>
          <w:lang w:eastAsia="zh-CN"/>
        </w:rPr>
        <w:t>供应商</w:t>
      </w:r>
      <w:r>
        <w:rPr>
          <w:rFonts w:hint="eastAsia" w:ascii="宋体" w:hAnsi="宋体" w:eastAsia="宋体" w:cs="宋体"/>
          <w:i w:val="0"/>
          <w:iCs w:val="0"/>
          <w:caps w:val="0"/>
          <w:color w:val="000000"/>
          <w:spacing w:val="0"/>
          <w:sz w:val="21"/>
          <w:szCs w:val="21"/>
          <w:shd w:val="clear" w:color="auto" w:fill="FFFFFF"/>
        </w:rPr>
        <w:t>在</w:t>
      </w:r>
      <w:r>
        <w:rPr>
          <w:rFonts w:hint="eastAsia" w:ascii="宋体" w:hAnsi="宋体" w:eastAsia="宋体" w:cs="宋体"/>
          <w:i w:val="0"/>
          <w:iCs w:val="0"/>
          <w:caps w:val="0"/>
          <w:color w:val="000000"/>
          <w:spacing w:val="0"/>
          <w:sz w:val="21"/>
          <w:szCs w:val="21"/>
          <w:shd w:val="clear" w:color="auto" w:fill="FFFFFF"/>
          <w:lang w:eastAsia="zh-CN"/>
        </w:rPr>
        <w:t>评审</w:t>
      </w:r>
      <w:r>
        <w:rPr>
          <w:rFonts w:hint="eastAsia" w:ascii="宋体" w:hAnsi="宋体" w:eastAsia="宋体" w:cs="宋体"/>
          <w:i w:val="0"/>
          <w:iCs w:val="0"/>
          <w:caps w:val="0"/>
          <w:color w:val="000000"/>
          <w:spacing w:val="0"/>
          <w:sz w:val="21"/>
          <w:szCs w:val="21"/>
          <w:shd w:val="clear" w:color="auto" w:fill="FFFFFF"/>
        </w:rPr>
        <w:t>现场合理的时间内对</w:t>
      </w:r>
      <w:r>
        <w:rPr>
          <w:rFonts w:hint="eastAsia" w:ascii="宋体" w:hAnsi="宋体" w:eastAsia="宋体" w:cs="宋体"/>
          <w:i w:val="0"/>
          <w:iCs w:val="0"/>
          <w:caps w:val="0"/>
          <w:color w:val="000000"/>
          <w:spacing w:val="0"/>
          <w:sz w:val="21"/>
          <w:szCs w:val="21"/>
          <w:shd w:val="clear" w:color="auto" w:fill="FFFFFF"/>
          <w:lang w:eastAsia="zh-CN"/>
        </w:rPr>
        <w:t>响应</w:t>
      </w:r>
      <w:r>
        <w:rPr>
          <w:rFonts w:hint="eastAsia" w:ascii="宋体" w:hAnsi="宋体" w:eastAsia="宋体" w:cs="宋体"/>
          <w:i w:val="0"/>
          <w:iCs w:val="0"/>
          <w:caps w:val="0"/>
          <w:color w:val="000000"/>
          <w:spacing w:val="0"/>
          <w:sz w:val="21"/>
          <w:szCs w:val="21"/>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000000"/>
          <w:spacing w:val="0"/>
          <w:sz w:val="21"/>
          <w:szCs w:val="21"/>
          <w:shd w:val="clear" w:color="auto" w:fill="FFFFFF"/>
          <w:lang w:eastAsia="zh-CN"/>
        </w:rPr>
        <w:t>供应商</w:t>
      </w:r>
      <w:r>
        <w:rPr>
          <w:rFonts w:hint="eastAsia" w:ascii="宋体" w:hAnsi="宋体" w:eastAsia="宋体" w:cs="宋体"/>
          <w:i w:val="0"/>
          <w:iCs w:val="0"/>
          <w:caps w:val="0"/>
          <w:color w:val="000000"/>
          <w:spacing w:val="0"/>
          <w:sz w:val="21"/>
          <w:szCs w:val="21"/>
          <w:shd w:val="clear" w:color="auto" w:fill="FFFFFF"/>
        </w:rPr>
        <w:t>的合理时间一般不少于30分钟。其中，属于上述C项情形，</w:t>
      </w:r>
      <w:r>
        <w:rPr>
          <w:rFonts w:hint="eastAsia" w:ascii="宋体" w:hAnsi="宋体" w:eastAsia="宋体" w:cs="宋体"/>
          <w:i w:val="0"/>
          <w:iCs w:val="0"/>
          <w:caps w:val="0"/>
          <w:color w:val="000000"/>
          <w:spacing w:val="0"/>
          <w:sz w:val="21"/>
          <w:szCs w:val="21"/>
          <w:shd w:val="clear" w:color="auto" w:fill="FFFFFF"/>
          <w:lang w:eastAsia="zh-CN"/>
        </w:rPr>
        <w:t>供应商</w:t>
      </w:r>
      <w:r>
        <w:rPr>
          <w:rFonts w:hint="eastAsia" w:ascii="宋体" w:hAnsi="宋体" w:eastAsia="宋体" w:cs="宋体"/>
          <w:i w:val="0"/>
          <w:iCs w:val="0"/>
          <w:caps w:val="0"/>
          <w:color w:val="000000"/>
          <w:spacing w:val="0"/>
          <w:sz w:val="21"/>
          <w:szCs w:val="21"/>
          <w:shd w:val="clear" w:color="auto" w:fill="FFFFFF"/>
        </w:rPr>
        <w:t>已随</w:t>
      </w:r>
      <w:r>
        <w:rPr>
          <w:rFonts w:hint="eastAsia" w:ascii="宋体" w:hAnsi="宋体" w:eastAsia="宋体" w:cs="宋体"/>
          <w:i w:val="0"/>
          <w:iCs w:val="0"/>
          <w:caps w:val="0"/>
          <w:color w:val="000000"/>
          <w:spacing w:val="0"/>
          <w:sz w:val="21"/>
          <w:szCs w:val="21"/>
          <w:shd w:val="clear" w:color="auto" w:fill="FFFFFF"/>
          <w:lang w:eastAsia="zh-CN"/>
        </w:rPr>
        <w:t>响应文件</w:t>
      </w:r>
      <w:r>
        <w:rPr>
          <w:rFonts w:hint="eastAsia" w:ascii="宋体" w:hAnsi="宋体" w:eastAsia="宋体" w:cs="宋体"/>
          <w:i w:val="0"/>
          <w:iCs w:val="0"/>
          <w:caps w:val="0"/>
          <w:color w:val="000000"/>
          <w:spacing w:val="0"/>
          <w:sz w:val="21"/>
          <w:szCs w:val="21"/>
          <w:shd w:val="clear" w:color="auto" w:fill="FFFFFF"/>
        </w:rPr>
        <w:t>一并提交相关书面说明及必要的证明材料的，在</w:t>
      </w:r>
      <w:r>
        <w:rPr>
          <w:rFonts w:hint="eastAsia" w:ascii="宋体" w:hAnsi="宋体" w:eastAsia="宋体" w:cs="宋体"/>
          <w:i w:val="0"/>
          <w:iCs w:val="0"/>
          <w:caps w:val="0"/>
          <w:color w:val="000000"/>
          <w:spacing w:val="0"/>
          <w:sz w:val="21"/>
          <w:szCs w:val="21"/>
          <w:shd w:val="clear" w:color="auto" w:fill="FFFFFF"/>
          <w:lang w:eastAsia="zh-CN"/>
        </w:rPr>
        <w:t>评审</w:t>
      </w:r>
      <w:r>
        <w:rPr>
          <w:rFonts w:hint="eastAsia" w:ascii="宋体" w:hAnsi="宋体" w:eastAsia="宋体" w:cs="宋体"/>
          <w:i w:val="0"/>
          <w:iCs w:val="0"/>
          <w:caps w:val="0"/>
          <w:color w:val="000000"/>
          <w:spacing w:val="0"/>
          <w:sz w:val="21"/>
          <w:szCs w:val="21"/>
          <w:shd w:val="clear" w:color="auto" w:fill="FFFFFF"/>
        </w:rPr>
        <w:t>现场可不再重复提交。</w:t>
      </w:r>
    </w:p>
    <w:p w14:paraId="77CA9F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spacing w:val="0"/>
          <w:sz w:val="21"/>
          <w:szCs w:val="21"/>
          <w:shd w:val="clear" w:color="auto" w:fill="FFFFFF"/>
        </w:rPr>
        <w:t xml:space="preserve"> </w:t>
      </w:r>
      <w:r>
        <w:rPr>
          <w:rFonts w:hint="eastAsia" w:ascii="宋体" w:hAnsi="宋体" w:cs="宋体"/>
          <w:i w:val="0"/>
          <w:iCs w:val="0"/>
          <w:caps w:val="0"/>
          <w:color w:val="000000"/>
          <w:spacing w:val="0"/>
          <w:sz w:val="21"/>
          <w:szCs w:val="21"/>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lang w:val="en-US" w:eastAsia="zh-CN"/>
        </w:rPr>
        <w:t>4.13</w:t>
      </w:r>
      <w:r>
        <w:rPr>
          <w:rFonts w:hint="eastAsia" w:ascii="宋体" w:hAnsi="宋体" w:eastAsia="宋体" w:cs="宋体"/>
          <w:i w:val="0"/>
          <w:iCs w:val="0"/>
          <w:caps w:val="0"/>
          <w:color w:val="000000"/>
          <w:spacing w:val="0"/>
          <w:sz w:val="21"/>
          <w:szCs w:val="21"/>
          <w:shd w:val="clear" w:color="auto" w:fill="FFFFFF"/>
          <w:lang w:eastAsia="zh-CN"/>
        </w:rPr>
        <w:t>磋商小组</w:t>
      </w:r>
      <w:r>
        <w:rPr>
          <w:rFonts w:hint="eastAsia" w:ascii="宋体" w:hAnsi="宋体" w:eastAsia="宋体" w:cs="宋体"/>
          <w:i w:val="0"/>
          <w:iCs w:val="0"/>
          <w:caps w:val="0"/>
          <w:color w:val="000000"/>
          <w:spacing w:val="0"/>
          <w:sz w:val="21"/>
          <w:szCs w:val="21"/>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000000"/>
          <w:spacing w:val="0"/>
          <w:sz w:val="21"/>
          <w:szCs w:val="21"/>
          <w:shd w:val="clear" w:color="auto" w:fill="FFFFFF"/>
          <w:lang w:eastAsia="zh-CN"/>
        </w:rPr>
        <w:t>供应商</w:t>
      </w:r>
      <w:r>
        <w:rPr>
          <w:rFonts w:hint="eastAsia" w:ascii="宋体" w:hAnsi="宋体" w:eastAsia="宋体" w:cs="宋体"/>
          <w:b/>
          <w:bCs/>
          <w:i w:val="0"/>
          <w:iCs w:val="0"/>
          <w:caps w:val="0"/>
          <w:color w:val="000000"/>
          <w:spacing w:val="0"/>
          <w:sz w:val="21"/>
          <w:szCs w:val="21"/>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000000"/>
          <w:spacing w:val="0"/>
          <w:sz w:val="21"/>
          <w:szCs w:val="21"/>
          <w:shd w:val="clear" w:color="auto" w:fill="FFFFFF"/>
          <w:lang w:eastAsia="zh-CN"/>
        </w:rPr>
        <w:t>磋商小组</w:t>
      </w:r>
      <w:r>
        <w:rPr>
          <w:rFonts w:hint="eastAsia" w:ascii="宋体" w:hAnsi="宋体" w:eastAsia="宋体" w:cs="宋体"/>
          <w:b/>
          <w:bCs/>
          <w:i w:val="0"/>
          <w:iCs w:val="0"/>
          <w:caps w:val="0"/>
          <w:color w:val="000000"/>
          <w:spacing w:val="0"/>
          <w:sz w:val="21"/>
          <w:szCs w:val="21"/>
          <w:shd w:val="clear" w:color="auto" w:fill="FFFFFF"/>
        </w:rPr>
        <w:t>应当将其作为无效</w:t>
      </w:r>
      <w:r>
        <w:rPr>
          <w:rFonts w:hint="eastAsia" w:ascii="宋体" w:hAnsi="宋体" w:eastAsia="宋体" w:cs="宋体"/>
          <w:b/>
          <w:bCs/>
          <w:i w:val="0"/>
          <w:iCs w:val="0"/>
          <w:caps w:val="0"/>
          <w:color w:val="000000"/>
          <w:spacing w:val="0"/>
          <w:sz w:val="21"/>
          <w:szCs w:val="21"/>
          <w:shd w:val="clear" w:color="auto" w:fill="FFFFFF"/>
          <w:lang w:eastAsia="zh-CN"/>
        </w:rPr>
        <w:t>响应</w:t>
      </w:r>
      <w:r>
        <w:rPr>
          <w:rFonts w:hint="eastAsia" w:ascii="宋体" w:hAnsi="宋体" w:eastAsia="宋体" w:cs="宋体"/>
          <w:b/>
          <w:bCs/>
          <w:i w:val="0"/>
          <w:iCs w:val="0"/>
          <w:caps w:val="0"/>
          <w:color w:val="000000"/>
          <w:spacing w:val="0"/>
          <w:sz w:val="21"/>
          <w:szCs w:val="21"/>
          <w:shd w:val="clear" w:color="auto" w:fill="FFFFFF"/>
        </w:rPr>
        <w:t>处理。</w:t>
      </w:r>
    </w:p>
    <w:p w14:paraId="59BC172C">
      <w:pPr>
        <w:keepNext w:val="0"/>
        <w:keepLines w:val="0"/>
        <w:widowControl/>
        <w:suppressLineNumbers w:val="0"/>
        <w:spacing w:line="360" w:lineRule="auto"/>
        <w:ind w:left="0" w:leftChars="0" w:firstLine="369" w:firstLineChars="175"/>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5.比较与评价 </w:t>
      </w:r>
    </w:p>
    <w:p w14:paraId="7AC76BD0">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5.1 评审方法：综合评分法。 </w:t>
      </w:r>
    </w:p>
    <w:p w14:paraId="7B1A23D3">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5.2 经磋商确定最终采购需求和提交最后报价的供应商后，由磋商小组采用综合评分法对提交最后报价的供应商的响应文件和最后报价进行综合评分。 </w:t>
      </w:r>
    </w:p>
    <w:p w14:paraId="51156793">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5.3 评审时，磋商小组各成员应当独立对每个有效响应的文件进行评价、打分，然后汇总每个供应商每项评分因素的得分。 </w:t>
      </w:r>
    </w:p>
    <w:p w14:paraId="0CC88898">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（1）磋商小组按照磋商文件中规定的评审标准计算各供应商的报价得分。项目评审过程中，不得去掉最后报价中的最高报价和最低报价。 </w:t>
      </w:r>
    </w:p>
    <w:p w14:paraId="7DF47BC5">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（2）各供应商的得分为磋商小组所有成员的有效评分的算术平均数。 </w:t>
      </w:r>
    </w:p>
    <w:p w14:paraId="2120033C">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5.4 评标价为供应商的最后报价进行政策性扣除后的价格，评标价只是作为评审时使用。最终成交供应商的成交金额等于最后报价（如有修正，以确认修正后的最后报价为准）。 </w:t>
      </w:r>
    </w:p>
    <w:p w14:paraId="75BD3F8C">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5.5 由磋商小组根据综合评分情况，按照评审得分由高到低顺序推荐 3 名以上成交候选供应商，并编写评审报告。符合本章第 2.7、3.7、4.3 条情形的，可以推荐 2 家成交候选供应商。评审得分相同的，按照最后报价由低到高的顺序推荐。评审得分且最后报价相同的，按照技术指标优劣顺序推荐。 </w:t>
      </w:r>
    </w:p>
    <w:p w14:paraId="7EB179C3">
      <w:pPr>
        <w:keepNext w:val="0"/>
        <w:keepLines w:val="0"/>
        <w:widowControl/>
        <w:suppressLineNumbers w:val="0"/>
        <w:spacing w:line="360" w:lineRule="auto"/>
        <w:ind w:left="0" w:leftChars="0"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6A8B764">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二、评审标准</w:t>
      </w:r>
    </w:p>
    <w:p w14:paraId="422E97C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6.评审依据：磋商小组将以磋商响应文件为评审依据，对供应商的报价、技术、商务等方面内容按百分制打分。（计分方法按四舍五入取至百分位）</w:t>
      </w:r>
    </w:p>
    <w:tbl>
      <w:tblPr>
        <w:tblStyle w:val="89"/>
        <w:tblW w:w="10056" w:type="dxa"/>
        <w:tblInd w:w="2" w:type="dxa"/>
        <w:tblBorders>
          <w:top w:val="single" w:color="225E22" w:sz="2" w:space="0"/>
          <w:left w:val="single" w:color="225E22" w:sz="2" w:space="0"/>
          <w:bottom w:val="single" w:color="225E22" w:sz="2" w:space="0"/>
          <w:right w:val="single" w:color="225E22" w:sz="2" w:space="0"/>
          <w:insideH w:val="single" w:color="225E22" w:sz="2" w:space="0"/>
          <w:insideV w:val="single" w:color="225E22" w:sz="2" w:space="0"/>
        </w:tblBorders>
        <w:tblLayout w:type="fixed"/>
        <w:tblCellMar>
          <w:top w:w="0" w:type="dxa"/>
          <w:left w:w="0" w:type="dxa"/>
          <w:bottom w:w="0" w:type="dxa"/>
          <w:right w:w="0" w:type="dxa"/>
        </w:tblCellMar>
      </w:tblPr>
      <w:tblGrid>
        <w:gridCol w:w="518"/>
        <w:gridCol w:w="1291"/>
        <w:gridCol w:w="1841"/>
        <w:gridCol w:w="6406"/>
      </w:tblGrid>
      <w:tr w14:paraId="4AB1B3BC">
        <w:tblPrEx>
          <w:tblBorders>
            <w:top w:val="single" w:color="225E22" w:sz="2" w:space="0"/>
            <w:left w:val="single" w:color="225E22" w:sz="2" w:space="0"/>
            <w:bottom w:val="single" w:color="225E22" w:sz="2" w:space="0"/>
            <w:right w:val="single" w:color="225E22" w:sz="2" w:space="0"/>
            <w:insideH w:val="single" w:color="225E22" w:sz="2" w:space="0"/>
            <w:insideV w:val="single" w:color="225E22" w:sz="2" w:space="0"/>
          </w:tblBorders>
          <w:tblCellMar>
            <w:top w:w="0" w:type="dxa"/>
            <w:left w:w="0" w:type="dxa"/>
            <w:bottom w:w="0" w:type="dxa"/>
            <w:right w:w="0" w:type="dxa"/>
          </w:tblCellMar>
        </w:tblPrEx>
        <w:trPr>
          <w:trHeight w:val="500" w:hRule="atLeast"/>
        </w:trPr>
        <w:tc>
          <w:tcPr>
            <w:tcW w:w="1809" w:type="dxa"/>
            <w:gridSpan w:val="2"/>
            <w:vAlign w:val="top"/>
          </w:tcPr>
          <w:p w14:paraId="057B5B89">
            <w:pPr>
              <w:pStyle w:val="88"/>
              <w:spacing w:before="178" w:line="230" w:lineRule="auto"/>
              <w:ind w:left="698"/>
              <w:rPr>
                <w:color w:val="auto"/>
                <w:sz w:val="20"/>
                <w:szCs w:val="20"/>
                <w:highlight w:val="none"/>
              </w:rPr>
            </w:pPr>
            <w:r>
              <w:rPr>
                <w:b/>
                <w:bCs/>
                <w:color w:val="auto"/>
                <w:spacing w:val="4"/>
                <w:sz w:val="20"/>
                <w:szCs w:val="20"/>
                <w:highlight w:val="none"/>
              </w:rPr>
              <w:t>序号</w:t>
            </w:r>
          </w:p>
        </w:tc>
        <w:tc>
          <w:tcPr>
            <w:tcW w:w="1841" w:type="dxa"/>
            <w:vAlign w:val="top"/>
          </w:tcPr>
          <w:p w14:paraId="072F8CE8">
            <w:pPr>
              <w:pStyle w:val="88"/>
              <w:spacing w:before="179" w:line="228" w:lineRule="auto"/>
              <w:ind w:left="502"/>
              <w:rPr>
                <w:color w:val="auto"/>
                <w:sz w:val="20"/>
                <w:szCs w:val="20"/>
                <w:highlight w:val="none"/>
              </w:rPr>
            </w:pPr>
            <w:r>
              <w:rPr>
                <w:b/>
                <w:bCs/>
                <w:color w:val="auto"/>
                <w:spacing w:val="6"/>
                <w:sz w:val="20"/>
                <w:szCs w:val="20"/>
                <w:highlight w:val="none"/>
              </w:rPr>
              <w:t>评审因素</w:t>
            </w:r>
          </w:p>
        </w:tc>
        <w:tc>
          <w:tcPr>
            <w:tcW w:w="6406" w:type="dxa"/>
            <w:vAlign w:val="top"/>
          </w:tcPr>
          <w:p w14:paraId="6A134721">
            <w:pPr>
              <w:pStyle w:val="88"/>
              <w:spacing w:before="179" w:line="229" w:lineRule="auto"/>
              <w:ind w:left="2120"/>
              <w:rPr>
                <w:color w:val="auto"/>
                <w:sz w:val="20"/>
                <w:szCs w:val="20"/>
                <w:highlight w:val="none"/>
              </w:rPr>
            </w:pPr>
            <w:r>
              <w:rPr>
                <w:b/>
                <w:bCs/>
                <w:color w:val="auto"/>
                <w:spacing w:val="6"/>
                <w:sz w:val="20"/>
                <w:szCs w:val="20"/>
                <w:highlight w:val="none"/>
              </w:rPr>
              <w:t>评标标准</w:t>
            </w:r>
          </w:p>
        </w:tc>
      </w:tr>
      <w:tr w14:paraId="79C77294">
        <w:tblPrEx>
          <w:tblBorders>
            <w:top w:val="single" w:color="225E22" w:sz="2" w:space="0"/>
            <w:left w:val="single" w:color="225E22" w:sz="2" w:space="0"/>
            <w:bottom w:val="single" w:color="225E22" w:sz="2" w:space="0"/>
            <w:right w:val="single" w:color="225E22" w:sz="2" w:space="0"/>
            <w:insideH w:val="single" w:color="225E22" w:sz="2" w:space="0"/>
            <w:insideV w:val="single" w:color="225E22" w:sz="2" w:space="0"/>
          </w:tblBorders>
          <w:tblCellMar>
            <w:top w:w="0" w:type="dxa"/>
            <w:left w:w="0" w:type="dxa"/>
            <w:bottom w:w="0" w:type="dxa"/>
            <w:right w:w="0" w:type="dxa"/>
          </w:tblCellMar>
        </w:tblPrEx>
        <w:trPr>
          <w:trHeight w:val="2455" w:hRule="atLeast"/>
        </w:trPr>
        <w:tc>
          <w:tcPr>
            <w:tcW w:w="518" w:type="dxa"/>
            <w:vAlign w:val="top"/>
          </w:tcPr>
          <w:p w14:paraId="26AC8699">
            <w:pPr>
              <w:spacing w:line="270" w:lineRule="auto"/>
              <w:rPr>
                <w:rFonts w:ascii="Arial"/>
                <w:color w:val="auto"/>
                <w:sz w:val="21"/>
                <w:szCs w:val="24"/>
                <w:highlight w:val="none"/>
              </w:rPr>
            </w:pPr>
          </w:p>
          <w:p w14:paraId="4ED4C736">
            <w:pPr>
              <w:spacing w:line="270" w:lineRule="auto"/>
              <w:rPr>
                <w:rFonts w:ascii="Arial"/>
                <w:color w:val="auto"/>
                <w:sz w:val="21"/>
                <w:szCs w:val="24"/>
                <w:highlight w:val="none"/>
              </w:rPr>
            </w:pPr>
          </w:p>
          <w:p w14:paraId="4B8717B7">
            <w:pPr>
              <w:spacing w:line="271" w:lineRule="auto"/>
              <w:rPr>
                <w:rFonts w:ascii="Arial"/>
                <w:color w:val="auto"/>
                <w:sz w:val="21"/>
                <w:szCs w:val="24"/>
                <w:highlight w:val="none"/>
              </w:rPr>
            </w:pPr>
          </w:p>
          <w:p w14:paraId="12023EA8">
            <w:pPr>
              <w:spacing w:line="271" w:lineRule="auto"/>
              <w:rPr>
                <w:rFonts w:ascii="Arial"/>
                <w:color w:val="auto"/>
                <w:sz w:val="21"/>
                <w:szCs w:val="24"/>
                <w:highlight w:val="none"/>
              </w:rPr>
            </w:pPr>
          </w:p>
          <w:p w14:paraId="75FA4BDD">
            <w:pPr>
              <w:pStyle w:val="88"/>
              <w:spacing w:before="65" w:line="271" w:lineRule="exact"/>
              <w:ind w:left="228"/>
              <w:rPr>
                <w:color w:val="auto"/>
                <w:sz w:val="20"/>
                <w:szCs w:val="20"/>
                <w:highlight w:val="none"/>
              </w:rPr>
            </w:pPr>
            <w:r>
              <w:rPr>
                <w:color w:val="auto"/>
                <w:position w:val="1"/>
                <w:sz w:val="20"/>
                <w:szCs w:val="20"/>
                <w:highlight w:val="none"/>
              </w:rPr>
              <w:t>1</w:t>
            </w:r>
          </w:p>
        </w:tc>
        <w:tc>
          <w:tcPr>
            <w:tcW w:w="1291" w:type="dxa"/>
            <w:vAlign w:val="top"/>
          </w:tcPr>
          <w:p w14:paraId="4D4012E5">
            <w:pPr>
              <w:spacing w:line="241" w:lineRule="auto"/>
              <w:rPr>
                <w:rFonts w:ascii="Arial"/>
                <w:color w:val="auto"/>
                <w:sz w:val="21"/>
                <w:szCs w:val="24"/>
                <w:highlight w:val="none"/>
              </w:rPr>
            </w:pPr>
          </w:p>
          <w:p w14:paraId="7025327A">
            <w:pPr>
              <w:spacing w:line="242" w:lineRule="auto"/>
              <w:rPr>
                <w:rFonts w:ascii="Arial"/>
                <w:color w:val="auto"/>
                <w:sz w:val="21"/>
                <w:szCs w:val="24"/>
                <w:highlight w:val="none"/>
              </w:rPr>
            </w:pPr>
          </w:p>
          <w:p w14:paraId="36D60FFF">
            <w:pPr>
              <w:spacing w:line="242" w:lineRule="auto"/>
              <w:rPr>
                <w:rFonts w:ascii="Arial"/>
                <w:color w:val="auto"/>
                <w:sz w:val="21"/>
                <w:szCs w:val="24"/>
                <w:highlight w:val="none"/>
              </w:rPr>
            </w:pPr>
          </w:p>
          <w:p w14:paraId="3B86F69F">
            <w:pPr>
              <w:pStyle w:val="88"/>
              <w:spacing w:before="65" w:line="227" w:lineRule="auto"/>
              <w:ind w:left="333"/>
              <w:rPr>
                <w:color w:val="auto"/>
                <w:sz w:val="20"/>
                <w:szCs w:val="20"/>
                <w:highlight w:val="none"/>
              </w:rPr>
            </w:pPr>
            <w:r>
              <w:rPr>
                <w:b/>
                <w:bCs/>
                <w:color w:val="auto"/>
                <w:spacing w:val="5"/>
                <w:sz w:val="20"/>
                <w:szCs w:val="20"/>
                <w:highlight w:val="none"/>
              </w:rPr>
              <w:t>价格分</w:t>
            </w:r>
          </w:p>
          <w:p w14:paraId="0A810980">
            <w:pPr>
              <w:pStyle w:val="88"/>
              <w:spacing w:before="114" w:line="334" w:lineRule="auto"/>
              <w:ind w:left="440" w:right="199" w:hanging="229"/>
              <w:rPr>
                <w:color w:val="auto"/>
                <w:sz w:val="20"/>
                <w:szCs w:val="20"/>
                <w:highlight w:val="none"/>
              </w:rPr>
            </w:pPr>
            <w:r>
              <w:rPr>
                <w:b/>
                <w:bCs/>
                <w:color w:val="auto"/>
                <w:spacing w:val="-3"/>
                <w:sz w:val="20"/>
                <w:szCs w:val="20"/>
                <w:highlight w:val="none"/>
              </w:rPr>
              <w:t>（满分</w:t>
            </w:r>
            <w:r>
              <w:rPr>
                <w:color w:val="auto"/>
                <w:spacing w:val="-45"/>
                <w:sz w:val="20"/>
                <w:szCs w:val="20"/>
                <w:highlight w:val="none"/>
              </w:rPr>
              <w:t xml:space="preserve"> </w:t>
            </w:r>
            <w:r>
              <w:rPr>
                <w:color w:val="auto"/>
                <w:spacing w:val="-76"/>
                <w:sz w:val="20"/>
                <w:szCs w:val="20"/>
                <w:highlight w:val="none"/>
                <w:u w:val="single" w:color="auto"/>
              </w:rPr>
              <w:t xml:space="preserve"> </w:t>
            </w:r>
            <w:r>
              <w:rPr>
                <w:b/>
                <w:bCs/>
                <w:color w:val="auto"/>
                <w:spacing w:val="-3"/>
                <w:sz w:val="20"/>
                <w:szCs w:val="20"/>
                <w:highlight w:val="none"/>
                <w:u w:val="single" w:color="auto"/>
              </w:rPr>
              <w:t>10</w:t>
            </w:r>
            <w:r>
              <w:rPr>
                <w:b/>
                <w:bCs/>
                <w:color w:val="auto"/>
                <w:spacing w:val="-3"/>
                <w:sz w:val="20"/>
                <w:szCs w:val="20"/>
                <w:highlight w:val="none"/>
              </w:rPr>
              <w:t>分）</w:t>
            </w:r>
          </w:p>
        </w:tc>
        <w:tc>
          <w:tcPr>
            <w:tcW w:w="1841" w:type="dxa"/>
            <w:vAlign w:val="top"/>
          </w:tcPr>
          <w:p w14:paraId="55728FE4">
            <w:pPr>
              <w:spacing w:line="245" w:lineRule="auto"/>
              <w:rPr>
                <w:rFonts w:ascii="Arial"/>
                <w:color w:val="auto"/>
                <w:sz w:val="21"/>
                <w:szCs w:val="24"/>
                <w:highlight w:val="none"/>
              </w:rPr>
            </w:pPr>
          </w:p>
          <w:p w14:paraId="012A4FED">
            <w:pPr>
              <w:spacing w:line="245" w:lineRule="auto"/>
              <w:rPr>
                <w:rFonts w:ascii="Arial"/>
                <w:color w:val="auto"/>
                <w:sz w:val="21"/>
                <w:szCs w:val="24"/>
                <w:highlight w:val="none"/>
              </w:rPr>
            </w:pPr>
          </w:p>
          <w:p w14:paraId="4B7CACBD">
            <w:pPr>
              <w:spacing w:line="246" w:lineRule="auto"/>
              <w:rPr>
                <w:rFonts w:ascii="Arial"/>
                <w:color w:val="auto"/>
                <w:sz w:val="21"/>
                <w:szCs w:val="24"/>
                <w:highlight w:val="none"/>
              </w:rPr>
            </w:pPr>
          </w:p>
          <w:p w14:paraId="627DF6E9">
            <w:pPr>
              <w:spacing w:line="246" w:lineRule="auto"/>
              <w:rPr>
                <w:rFonts w:ascii="Arial"/>
                <w:color w:val="auto"/>
                <w:sz w:val="21"/>
                <w:szCs w:val="24"/>
                <w:highlight w:val="none"/>
              </w:rPr>
            </w:pPr>
          </w:p>
          <w:p w14:paraId="698A4096">
            <w:pPr>
              <w:pStyle w:val="88"/>
              <w:spacing w:before="65" w:line="227" w:lineRule="auto"/>
              <w:ind w:left="114"/>
              <w:rPr>
                <w:color w:val="auto"/>
                <w:sz w:val="20"/>
                <w:szCs w:val="20"/>
                <w:highlight w:val="none"/>
              </w:rPr>
            </w:pPr>
            <w:r>
              <w:rPr>
                <w:color w:val="auto"/>
                <w:spacing w:val="6"/>
                <w:sz w:val="20"/>
                <w:szCs w:val="20"/>
                <w:highlight w:val="none"/>
              </w:rPr>
              <w:t>投标报价（10分）</w:t>
            </w:r>
          </w:p>
        </w:tc>
        <w:tc>
          <w:tcPr>
            <w:tcW w:w="6406" w:type="dxa"/>
            <w:vAlign w:val="top"/>
          </w:tcPr>
          <w:p w14:paraId="0ABA9DC6">
            <w:pPr>
              <w:pStyle w:val="88"/>
              <w:spacing w:before="30" w:line="378" w:lineRule="auto"/>
              <w:ind w:left="121" w:right="107" w:firstLine="354"/>
              <w:rPr>
                <w:color w:val="auto"/>
                <w:sz w:val="20"/>
                <w:szCs w:val="20"/>
                <w:highlight w:val="none"/>
              </w:rPr>
            </w:pPr>
            <w:r>
              <w:rPr>
                <w:color w:val="auto"/>
                <w:spacing w:val="13"/>
                <w:sz w:val="20"/>
                <w:szCs w:val="20"/>
                <w:highlight w:val="none"/>
              </w:rPr>
              <w:t>本项目专门面向</w:t>
            </w:r>
            <w:r>
              <w:rPr>
                <w:rFonts w:hint="eastAsia"/>
                <w:color w:val="auto"/>
                <w:spacing w:val="13"/>
                <w:sz w:val="20"/>
                <w:szCs w:val="20"/>
                <w:highlight w:val="none"/>
                <w:lang w:val="en-US" w:eastAsia="zh-CN"/>
              </w:rPr>
              <w:t>小微</w:t>
            </w:r>
            <w:r>
              <w:rPr>
                <w:color w:val="auto"/>
                <w:spacing w:val="13"/>
                <w:sz w:val="20"/>
                <w:szCs w:val="20"/>
                <w:highlight w:val="none"/>
              </w:rPr>
              <w:t>企业采购，不再执行价格评</w:t>
            </w:r>
            <w:r>
              <w:rPr>
                <w:color w:val="auto"/>
                <w:spacing w:val="7"/>
                <w:sz w:val="20"/>
                <w:szCs w:val="20"/>
                <w:highlight w:val="none"/>
              </w:rPr>
              <w:t>审优惠的扶持政策。</w:t>
            </w:r>
          </w:p>
          <w:p w14:paraId="6257B806">
            <w:pPr>
              <w:pStyle w:val="88"/>
              <w:spacing w:before="1" w:line="376" w:lineRule="auto"/>
              <w:ind w:left="115" w:right="109" w:firstLine="395"/>
              <w:rPr>
                <w:color w:val="auto"/>
                <w:sz w:val="20"/>
                <w:szCs w:val="20"/>
                <w:highlight w:val="none"/>
              </w:rPr>
            </w:pPr>
            <w:r>
              <w:rPr>
                <w:color w:val="auto"/>
                <w:spacing w:val="15"/>
                <w:sz w:val="20"/>
                <w:szCs w:val="20"/>
                <w:highlight w:val="none"/>
              </w:rPr>
              <w:t>(1)满足招标文件要求且投标报价最低的投标报</w:t>
            </w:r>
            <w:r>
              <w:rPr>
                <w:color w:val="auto"/>
                <w:spacing w:val="8"/>
                <w:sz w:val="20"/>
                <w:szCs w:val="20"/>
                <w:highlight w:val="none"/>
              </w:rPr>
              <w:t>价为评标基准价，其价格分为满分。</w:t>
            </w:r>
          </w:p>
          <w:p w14:paraId="2C2F3E32">
            <w:pPr>
              <w:pStyle w:val="88"/>
              <w:spacing w:before="1" w:line="226" w:lineRule="auto"/>
              <w:ind w:left="511"/>
              <w:rPr>
                <w:color w:val="auto"/>
                <w:sz w:val="20"/>
                <w:szCs w:val="20"/>
                <w:highlight w:val="none"/>
              </w:rPr>
            </w:pPr>
            <w:r>
              <w:rPr>
                <w:color w:val="auto"/>
                <w:spacing w:val="3"/>
                <w:sz w:val="20"/>
                <w:szCs w:val="20"/>
                <w:highlight w:val="none"/>
              </w:rPr>
              <w:t>(2)价格分计算公式：</w:t>
            </w:r>
          </w:p>
          <w:p w14:paraId="6098D35F">
            <w:pPr>
              <w:pStyle w:val="88"/>
              <w:spacing w:before="162" w:line="227" w:lineRule="auto"/>
              <w:ind w:left="475"/>
              <w:rPr>
                <w:color w:val="auto"/>
                <w:sz w:val="20"/>
                <w:szCs w:val="20"/>
                <w:highlight w:val="none"/>
              </w:rPr>
            </w:pPr>
            <w:r>
              <w:rPr>
                <w:color w:val="auto"/>
                <w:spacing w:val="6"/>
                <w:sz w:val="20"/>
                <w:szCs w:val="20"/>
                <w:highlight w:val="none"/>
              </w:rPr>
              <w:t>价格分=（评标基准价／投标报价）</w:t>
            </w:r>
            <w:r>
              <w:rPr>
                <w:color w:val="auto"/>
                <w:spacing w:val="-47"/>
                <w:sz w:val="20"/>
                <w:szCs w:val="20"/>
                <w:highlight w:val="none"/>
              </w:rPr>
              <w:t xml:space="preserve"> </w:t>
            </w:r>
            <w:r>
              <w:rPr>
                <w:color w:val="auto"/>
                <w:spacing w:val="6"/>
                <w:sz w:val="20"/>
                <w:szCs w:val="20"/>
                <w:highlight w:val="none"/>
              </w:rPr>
              <w:t>×10分</w:t>
            </w:r>
          </w:p>
        </w:tc>
      </w:tr>
      <w:tr w14:paraId="7778E745">
        <w:tblPrEx>
          <w:tblBorders>
            <w:top w:val="single" w:color="225E22" w:sz="2" w:space="0"/>
            <w:left w:val="single" w:color="225E22" w:sz="2" w:space="0"/>
            <w:bottom w:val="single" w:color="225E22" w:sz="2" w:space="0"/>
            <w:right w:val="single" w:color="225E22" w:sz="2" w:space="0"/>
            <w:insideH w:val="single" w:color="225E22" w:sz="2" w:space="0"/>
            <w:insideV w:val="single" w:color="225E22" w:sz="2" w:space="0"/>
          </w:tblBorders>
          <w:tblCellMar>
            <w:top w:w="0" w:type="dxa"/>
            <w:left w:w="0" w:type="dxa"/>
            <w:bottom w:w="0" w:type="dxa"/>
            <w:right w:w="0" w:type="dxa"/>
          </w:tblCellMar>
        </w:tblPrEx>
        <w:trPr>
          <w:trHeight w:val="2455" w:hRule="atLeast"/>
        </w:trPr>
        <w:tc>
          <w:tcPr>
            <w:tcW w:w="518" w:type="dxa"/>
            <w:vMerge w:val="restart"/>
            <w:vAlign w:val="top"/>
          </w:tcPr>
          <w:p w14:paraId="0587BDA3">
            <w:pPr>
              <w:rPr>
                <w:rFonts w:ascii="Arial"/>
                <w:color w:val="auto"/>
                <w:sz w:val="21"/>
                <w:szCs w:val="24"/>
                <w:highlight w:val="none"/>
              </w:rPr>
            </w:pPr>
          </w:p>
          <w:p w14:paraId="00738180">
            <w:pPr>
              <w:spacing w:line="241" w:lineRule="auto"/>
              <w:rPr>
                <w:rFonts w:ascii="Arial"/>
                <w:color w:val="auto"/>
                <w:sz w:val="21"/>
                <w:szCs w:val="24"/>
                <w:highlight w:val="none"/>
              </w:rPr>
            </w:pPr>
          </w:p>
          <w:p w14:paraId="0F021D89">
            <w:pPr>
              <w:pStyle w:val="88"/>
              <w:spacing w:before="65" w:line="271" w:lineRule="exact"/>
              <w:ind w:left="215"/>
              <w:rPr>
                <w:color w:val="auto"/>
                <w:sz w:val="20"/>
                <w:szCs w:val="20"/>
                <w:highlight w:val="none"/>
              </w:rPr>
            </w:pPr>
            <w:r>
              <w:rPr>
                <w:color w:val="auto"/>
                <w:position w:val="1"/>
                <w:sz w:val="20"/>
                <w:szCs w:val="20"/>
                <w:highlight w:val="none"/>
              </w:rPr>
              <w:t>2</w:t>
            </w:r>
          </w:p>
        </w:tc>
        <w:tc>
          <w:tcPr>
            <w:tcW w:w="1291" w:type="dxa"/>
            <w:vMerge w:val="restart"/>
            <w:vAlign w:val="top"/>
          </w:tcPr>
          <w:p w14:paraId="6633FF20">
            <w:pPr>
              <w:spacing w:line="244" w:lineRule="auto"/>
              <w:rPr>
                <w:rFonts w:ascii="Arial"/>
                <w:color w:val="auto"/>
                <w:sz w:val="21"/>
                <w:szCs w:val="24"/>
                <w:highlight w:val="none"/>
              </w:rPr>
            </w:pPr>
          </w:p>
          <w:p w14:paraId="1BF8478E">
            <w:pPr>
              <w:spacing w:line="245" w:lineRule="auto"/>
              <w:rPr>
                <w:rFonts w:ascii="Arial"/>
                <w:color w:val="auto"/>
                <w:sz w:val="21"/>
                <w:szCs w:val="24"/>
                <w:highlight w:val="none"/>
              </w:rPr>
            </w:pPr>
          </w:p>
          <w:p w14:paraId="6035DA4E">
            <w:pPr>
              <w:pStyle w:val="88"/>
              <w:spacing w:before="65" w:line="228" w:lineRule="auto"/>
              <w:ind w:left="7"/>
              <w:rPr>
                <w:color w:val="auto"/>
                <w:sz w:val="20"/>
                <w:szCs w:val="20"/>
                <w:highlight w:val="none"/>
              </w:rPr>
            </w:pPr>
            <w:r>
              <w:rPr>
                <w:b/>
                <w:bCs/>
                <w:color w:val="auto"/>
                <w:spacing w:val="6"/>
                <w:sz w:val="20"/>
                <w:szCs w:val="20"/>
                <w:highlight w:val="none"/>
              </w:rPr>
              <w:t>技术分（满分</w:t>
            </w:r>
          </w:p>
          <w:p w14:paraId="4B666759">
            <w:pPr>
              <w:pStyle w:val="88"/>
              <w:spacing w:before="112" w:line="229" w:lineRule="auto"/>
              <w:ind w:left="311"/>
              <w:rPr>
                <w:color w:val="auto"/>
                <w:sz w:val="20"/>
                <w:szCs w:val="20"/>
                <w:highlight w:val="none"/>
              </w:rPr>
            </w:pPr>
            <w:r>
              <w:rPr>
                <w:b/>
                <w:bCs/>
                <w:color w:val="auto"/>
                <w:spacing w:val="-3"/>
                <w:sz w:val="20"/>
                <w:szCs w:val="20"/>
                <w:highlight w:val="none"/>
              </w:rPr>
              <w:t>70</w:t>
            </w:r>
            <w:r>
              <w:rPr>
                <w:color w:val="auto"/>
                <w:spacing w:val="-38"/>
                <w:sz w:val="20"/>
                <w:szCs w:val="20"/>
                <w:highlight w:val="none"/>
              </w:rPr>
              <w:t xml:space="preserve"> </w:t>
            </w:r>
            <w:r>
              <w:rPr>
                <w:b/>
                <w:bCs/>
                <w:color w:val="auto"/>
                <w:spacing w:val="-3"/>
                <w:sz w:val="20"/>
                <w:szCs w:val="20"/>
                <w:highlight w:val="none"/>
              </w:rPr>
              <w:t>分）</w:t>
            </w:r>
          </w:p>
        </w:tc>
        <w:tc>
          <w:tcPr>
            <w:tcW w:w="1841" w:type="dxa"/>
            <w:vAlign w:val="top"/>
          </w:tcPr>
          <w:p w14:paraId="78AC3EA8">
            <w:pPr>
              <w:spacing w:line="247" w:lineRule="auto"/>
              <w:rPr>
                <w:rFonts w:ascii="Arial"/>
                <w:color w:val="auto"/>
                <w:sz w:val="21"/>
                <w:szCs w:val="24"/>
                <w:highlight w:val="none"/>
              </w:rPr>
            </w:pPr>
          </w:p>
          <w:p w14:paraId="5EC5485A">
            <w:pPr>
              <w:spacing w:line="247" w:lineRule="auto"/>
              <w:rPr>
                <w:rFonts w:ascii="Arial"/>
                <w:color w:val="auto"/>
                <w:sz w:val="21"/>
                <w:szCs w:val="24"/>
                <w:highlight w:val="none"/>
              </w:rPr>
            </w:pPr>
          </w:p>
          <w:p w14:paraId="1C7F4EF2">
            <w:pPr>
              <w:spacing w:line="248" w:lineRule="auto"/>
              <w:rPr>
                <w:rFonts w:ascii="Arial"/>
                <w:color w:val="auto"/>
                <w:sz w:val="21"/>
                <w:szCs w:val="24"/>
                <w:highlight w:val="none"/>
              </w:rPr>
            </w:pPr>
          </w:p>
          <w:p w14:paraId="36694DED">
            <w:pPr>
              <w:pStyle w:val="88"/>
              <w:spacing w:before="65" w:line="378" w:lineRule="auto"/>
              <w:ind w:left="482" w:leftChars="0" w:right="132" w:rightChars="0" w:hanging="10" w:firstLineChars="0"/>
              <w:rPr>
                <w:color w:val="auto"/>
                <w:spacing w:val="6"/>
                <w:sz w:val="20"/>
                <w:szCs w:val="20"/>
                <w:highlight w:val="none"/>
              </w:rPr>
            </w:pPr>
            <w:r>
              <w:rPr>
                <w:color w:val="auto"/>
                <w:spacing w:val="8"/>
                <w:sz w:val="20"/>
                <w:szCs w:val="20"/>
                <w:highlight w:val="none"/>
              </w:rPr>
              <w:t>服务方案分</w:t>
            </w:r>
            <w:r>
              <w:rPr>
                <w:color w:val="auto"/>
                <w:spacing w:val="3"/>
                <w:sz w:val="20"/>
                <w:szCs w:val="20"/>
                <w:highlight w:val="none"/>
              </w:rPr>
              <w:t>（满分15分）</w:t>
            </w:r>
          </w:p>
        </w:tc>
        <w:tc>
          <w:tcPr>
            <w:tcW w:w="6406" w:type="dxa"/>
            <w:vAlign w:val="top"/>
          </w:tcPr>
          <w:p w14:paraId="707CF9D5">
            <w:pPr>
              <w:pStyle w:val="88"/>
              <w:spacing w:before="32" w:line="377" w:lineRule="auto"/>
              <w:ind w:left="113" w:right="107" w:firstLine="397"/>
              <w:rPr>
                <w:color w:val="auto"/>
                <w:sz w:val="20"/>
                <w:szCs w:val="20"/>
                <w:highlight w:val="none"/>
              </w:rPr>
            </w:pPr>
            <w:r>
              <w:rPr>
                <w:color w:val="auto"/>
                <w:spacing w:val="6"/>
                <w:sz w:val="20"/>
                <w:szCs w:val="20"/>
                <w:highlight w:val="none"/>
              </w:rPr>
              <w:t>(1)项目服务方案表述片面、粗略，对项目需求分</w:t>
            </w:r>
            <w:r>
              <w:rPr>
                <w:color w:val="auto"/>
                <w:spacing w:val="10"/>
                <w:sz w:val="20"/>
                <w:szCs w:val="20"/>
                <w:highlight w:val="none"/>
              </w:rPr>
              <w:t>析理解符合项目实际情况，无可行性，有进度控制计</w:t>
            </w:r>
            <w:r>
              <w:rPr>
                <w:color w:val="auto"/>
                <w:spacing w:val="8"/>
                <w:sz w:val="20"/>
                <w:szCs w:val="20"/>
                <w:highlight w:val="none"/>
              </w:rPr>
              <w:t>划表，实施进度安排和时间节点缺乏合理性,得5分。</w:t>
            </w:r>
          </w:p>
          <w:p w14:paraId="4C6D9950">
            <w:pPr>
              <w:pStyle w:val="88"/>
              <w:spacing w:line="377" w:lineRule="auto"/>
              <w:ind w:left="113" w:right="107" w:firstLine="370"/>
              <w:rPr>
                <w:color w:val="auto"/>
                <w:sz w:val="20"/>
                <w:szCs w:val="20"/>
                <w:highlight w:val="none"/>
              </w:rPr>
            </w:pPr>
            <w:r>
              <w:rPr>
                <w:color w:val="auto"/>
                <w:spacing w:val="8"/>
                <w:sz w:val="20"/>
                <w:szCs w:val="20"/>
                <w:highlight w:val="none"/>
              </w:rPr>
              <w:t>（2）项目服务方案表述全面，对项目需求</w:t>
            </w:r>
            <w:r>
              <w:rPr>
                <w:color w:val="auto"/>
                <w:spacing w:val="7"/>
                <w:sz w:val="20"/>
                <w:szCs w:val="20"/>
                <w:highlight w:val="none"/>
              </w:rPr>
              <w:t>分析理</w:t>
            </w:r>
            <w:r>
              <w:rPr>
                <w:color w:val="auto"/>
                <w:spacing w:val="10"/>
                <w:sz w:val="20"/>
                <w:szCs w:val="20"/>
                <w:highlight w:val="none"/>
              </w:rPr>
              <w:t>解较全、基本正确，服务方案具有可行性，有应急响应服务、服务质量保障，资源协调及应急服务预案，人员配置满足项目人员配置基本要求，有进度控制计</w:t>
            </w:r>
            <w:r>
              <w:rPr>
                <w:color w:val="auto"/>
                <w:spacing w:val="8"/>
                <w:sz w:val="20"/>
                <w:szCs w:val="20"/>
                <w:highlight w:val="none"/>
              </w:rPr>
              <w:t>划表，实施进度安排和时间节点合理可行，得10分。</w:t>
            </w:r>
          </w:p>
          <w:p w14:paraId="004A79E4">
            <w:pPr>
              <w:pStyle w:val="88"/>
              <w:spacing w:before="1" w:line="377" w:lineRule="auto"/>
              <w:ind w:left="113" w:right="38" w:firstLine="370"/>
              <w:rPr>
                <w:color w:val="auto"/>
                <w:sz w:val="20"/>
                <w:szCs w:val="20"/>
                <w:highlight w:val="none"/>
              </w:rPr>
            </w:pPr>
            <w:r>
              <w:rPr>
                <w:color w:val="auto"/>
                <w:spacing w:val="8"/>
                <w:sz w:val="20"/>
                <w:szCs w:val="20"/>
                <w:highlight w:val="none"/>
              </w:rPr>
              <w:t>（3）项目服务方案表述详细，对项目需求</w:t>
            </w:r>
            <w:r>
              <w:rPr>
                <w:color w:val="auto"/>
                <w:spacing w:val="7"/>
                <w:sz w:val="20"/>
                <w:szCs w:val="20"/>
                <w:highlight w:val="none"/>
              </w:rPr>
              <w:t>分析理</w:t>
            </w:r>
            <w:r>
              <w:rPr>
                <w:color w:val="auto"/>
                <w:spacing w:val="11"/>
                <w:sz w:val="20"/>
                <w:szCs w:val="20"/>
                <w:highlight w:val="none"/>
              </w:rPr>
              <w:t>解全面、贴合采购要求且正确，服务方案可行性强，</w:t>
            </w:r>
            <w:r>
              <w:rPr>
                <w:color w:val="auto"/>
                <w:spacing w:val="5"/>
                <w:sz w:val="20"/>
                <w:szCs w:val="20"/>
                <w:highlight w:val="none"/>
              </w:rPr>
              <w:t>具有项目定位、传播策略、具体制作思路与</w:t>
            </w:r>
            <w:r>
              <w:rPr>
                <w:color w:val="auto"/>
                <w:spacing w:val="4"/>
                <w:sz w:val="20"/>
                <w:szCs w:val="20"/>
                <w:highlight w:val="none"/>
              </w:rPr>
              <w:t>制作流程、</w:t>
            </w:r>
            <w:r>
              <w:rPr>
                <w:color w:val="auto"/>
                <w:spacing w:val="10"/>
                <w:sz w:val="20"/>
                <w:szCs w:val="20"/>
                <w:highlight w:val="none"/>
              </w:rPr>
              <w:t>服务质量保障措施、服务内容在采购需求基础上有拓</w:t>
            </w:r>
            <w:r>
              <w:rPr>
                <w:color w:val="auto"/>
                <w:spacing w:val="11"/>
                <w:sz w:val="20"/>
                <w:szCs w:val="20"/>
                <w:highlight w:val="none"/>
              </w:rPr>
              <w:t>展；资源协调及应急服务预案；具有人员配备齐全、分工明确，进度计划科学合理且有进度控制计划表，实施进度安排和时间节点合理、详细、可操作性强，</w:t>
            </w:r>
            <w:r>
              <w:rPr>
                <w:color w:val="auto"/>
                <w:spacing w:val="4"/>
                <w:sz w:val="20"/>
                <w:szCs w:val="20"/>
                <w:highlight w:val="none"/>
              </w:rPr>
              <w:t>得15分。</w:t>
            </w:r>
          </w:p>
          <w:p w14:paraId="11D1DF25">
            <w:pPr>
              <w:pStyle w:val="88"/>
              <w:spacing w:before="1" w:line="358" w:lineRule="auto"/>
              <w:ind w:left="117" w:leftChars="0" w:right="108" w:rightChars="0" w:firstLine="367" w:firstLineChars="0"/>
              <w:rPr>
                <w:color w:val="auto"/>
                <w:spacing w:val="6"/>
                <w:sz w:val="20"/>
                <w:szCs w:val="20"/>
                <w:highlight w:val="none"/>
              </w:rPr>
            </w:pPr>
            <w:r>
              <w:rPr>
                <w:color w:val="auto"/>
                <w:spacing w:val="8"/>
                <w:sz w:val="20"/>
                <w:szCs w:val="20"/>
                <w:highlight w:val="none"/>
              </w:rPr>
              <w:t>（注：不符合最低入档条件的按不入档处理并</w:t>
            </w:r>
            <w:r>
              <w:rPr>
                <w:color w:val="auto"/>
                <w:spacing w:val="7"/>
                <w:sz w:val="20"/>
                <w:szCs w:val="20"/>
                <w:highlight w:val="none"/>
              </w:rPr>
              <w:t>计0</w:t>
            </w:r>
            <w:r>
              <w:rPr>
                <w:color w:val="auto"/>
                <w:spacing w:val="-1"/>
                <w:sz w:val="20"/>
                <w:szCs w:val="20"/>
                <w:highlight w:val="none"/>
              </w:rPr>
              <w:t>分）</w:t>
            </w:r>
          </w:p>
        </w:tc>
      </w:tr>
      <w:tr w14:paraId="547B72B3">
        <w:tblPrEx>
          <w:tblBorders>
            <w:top w:val="single" w:color="225E22" w:sz="2" w:space="0"/>
            <w:left w:val="single" w:color="225E22" w:sz="2" w:space="0"/>
            <w:bottom w:val="single" w:color="225E22" w:sz="2" w:space="0"/>
            <w:right w:val="single" w:color="225E22" w:sz="2" w:space="0"/>
            <w:insideH w:val="single" w:color="225E22" w:sz="2" w:space="0"/>
            <w:insideV w:val="single" w:color="225E22" w:sz="2" w:space="0"/>
          </w:tblBorders>
          <w:tblCellMar>
            <w:top w:w="0" w:type="dxa"/>
            <w:left w:w="0" w:type="dxa"/>
            <w:bottom w:w="0" w:type="dxa"/>
            <w:right w:w="0" w:type="dxa"/>
          </w:tblCellMar>
        </w:tblPrEx>
        <w:trPr>
          <w:trHeight w:val="7699" w:hRule="atLeast"/>
        </w:trPr>
        <w:tc>
          <w:tcPr>
            <w:tcW w:w="518" w:type="dxa"/>
            <w:vMerge w:val="continue"/>
            <w:vAlign w:val="top"/>
          </w:tcPr>
          <w:p w14:paraId="42FB2FB1">
            <w:pPr>
              <w:rPr>
                <w:rFonts w:ascii="Arial"/>
                <w:color w:val="auto"/>
                <w:sz w:val="21"/>
                <w:szCs w:val="24"/>
                <w:highlight w:val="none"/>
              </w:rPr>
            </w:pPr>
          </w:p>
        </w:tc>
        <w:tc>
          <w:tcPr>
            <w:tcW w:w="1291" w:type="dxa"/>
            <w:vMerge w:val="continue"/>
            <w:vAlign w:val="top"/>
          </w:tcPr>
          <w:p w14:paraId="05757889">
            <w:pPr>
              <w:rPr>
                <w:rFonts w:ascii="Arial"/>
                <w:color w:val="auto"/>
                <w:sz w:val="21"/>
                <w:szCs w:val="24"/>
                <w:highlight w:val="none"/>
              </w:rPr>
            </w:pPr>
          </w:p>
        </w:tc>
        <w:tc>
          <w:tcPr>
            <w:tcW w:w="1841" w:type="dxa"/>
            <w:vAlign w:val="top"/>
          </w:tcPr>
          <w:p w14:paraId="55F6D9BB">
            <w:pPr>
              <w:spacing w:line="376" w:lineRule="auto"/>
              <w:rPr>
                <w:rFonts w:ascii="Arial"/>
                <w:color w:val="auto"/>
                <w:sz w:val="21"/>
                <w:szCs w:val="24"/>
                <w:highlight w:val="none"/>
              </w:rPr>
            </w:pPr>
          </w:p>
          <w:p w14:paraId="1EBAB0E3">
            <w:pPr>
              <w:pStyle w:val="88"/>
              <w:spacing w:before="65" w:line="378" w:lineRule="auto"/>
              <w:ind w:left="114" w:right="69" w:hanging="3"/>
              <w:rPr>
                <w:color w:val="auto"/>
                <w:sz w:val="20"/>
                <w:szCs w:val="20"/>
                <w:highlight w:val="none"/>
              </w:rPr>
            </w:pPr>
            <w:r>
              <w:rPr>
                <w:color w:val="auto"/>
                <w:spacing w:val="31"/>
                <w:sz w:val="20"/>
                <w:szCs w:val="20"/>
                <w:highlight w:val="none"/>
              </w:rPr>
              <w:t>选题策划方案内</w:t>
            </w:r>
            <w:r>
              <w:rPr>
                <w:color w:val="auto"/>
                <w:spacing w:val="5"/>
                <w:sz w:val="20"/>
                <w:szCs w:val="20"/>
                <w:highlight w:val="none"/>
              </w:rPr>
              <w:t>容分（满分30分）</w:t>
            </w:r>
          </w:p>
        </w:tc>
        <w:tc>
          <w:tcPr>
            <w:tcW w:w="6406" w:type="dxa"/>
            <w:vAlign w:val="top"/>
          </w:tcPr>
          <w:p w14:paraId="3FE80DAC">
            <w:pPr>
              <w:pStyle w:val="88"/>
              <w:spacing w:before="34" w:line="377" w:lineRule="auto"/>
              <w:ind w:left="114" w:right="107" w:firstLine="370"/>
              <w:rPr>
                <w:color w:val="auto"/>
                <w:sz w:val="20"/>
                <w:szCs w:val="20"/>
                <w:highlight w:val="none"/>
              </w:rPr>
            </w:pPr>
            <w:r>
              <w:rPr>
                <w:color w:val="auto"/>
                <w:spacing w:val="7"/>
                <w:sz w:val="20"/>
                <w:szCs w:val="20"/>
                <w:highlight w:val="none"/>
              </w:rPr>
              <w:t>（1）提供不少于11个选题策划方案，选题属于广</w:t>
            </w:r>
            <w:r>
              <w:rPr>
                <w:color w:val="auto"/>
                <w:spacing w:val="6"/>
                <w:sz w:val="20"/>
                <w:szCs w:val="20"/>
                <w:highlight w:val="none"/>
              </w:rPr>
              <w:t>西壮族自治区康养+旅游文化题材，但方案不全面、无</w:t>
            </w:r>
            <w:r>
              <w:rPr>
                <w:color w:val="auto"/>
                <w:spacing w:val="8"/>
                <w:sz w:val="20"/>
                <w:szCs w:val="20"/>
                <w:highlight w:val="none"/>
              </w:rPr>
              <w:t>创意、不清晰不完整，得15分。</w:t>
            </w:r>
          </w:p>
          <w:p w14:paraId="2A04C299">
            <w:pPr>
              <w:pStyle w:val="88"/>
              <w:spacing w:line="227" w:lineRule="auto"/>
              <w:ind w:left="484"/>
              <w:rPr>
                <w:color w:val="auto"/>
                <w:highlight w:val="none"/>
              </w:rPr>
            </w:pPr>
            <w:r>
              <w:rPr>
                <w:color w:val="auto"/>
                <w:spacing w:val="7"/>
                <w:sz w:val="20"/>
                <w:szCs w:val="20"/>
                <w:highlight w:val="none"/>
              </w:rPr>
              <w:t>（2）提供不少于14个选题策划方案，且选题符合</w:t>
            </w:r>
            <w:r>
              <w:rPr>
                <w:color w:val="auto"/>
                <w:spacing w:val="15"/>
                <w:highlight w:val="none"/>
              </w:rPr>
              <w:t>要求，能基本反映广西壮族自治区康养+旅游文化特</w:t>
            </w:r>
            <w:r>
              <w:rPr>
                <w:color w:val="auto"/>
                <w:spacing w:val="7"/>
                <w:highlight w:val="none"/>
              </w:rPr>
              <w:t>色，方案内容包含主题确定，</w:t>
            </w:r>
            <w:r>
              <w:rPr>
                <w:color w:val="auto"/>
                <w:spacing w:val="-60"/>
                <w:highlight w:val="none"/>
              </w:rPr>
              <w:t xml:space="preserve"> </w:t>
            </w:r>
            <w:r>
              <w:rPr>
                <w:color w:val="auto"/>
                <w:spacing w:val="7"/>
                <w:highlight w:val="none"/>
              </w:rPr>
              <w:t>内容呈现、</w:t>
            </w:r>
            <w:r>
              <w:rPr>
                <w:color w:val="auto"/>
                <w:spacing w:val="-58"/>
                <w:highlight w:val="none"/>
              </w:rPr>
              <w:t xml:space="preserve"> </w:t>
            </w:r>
            <w:r>
              <w:rPr>
                <w:color w:val="auto"/>
                <w:spacing w:val="7"/>
                <w:highlight w:val="none"/>
              </w:rPr>
              <w:t>内容大纲等</w:t>
            </w:r>
            <w:r>
              <w:rPr>
                <w:color w:val="auto"/>
                <w:spacing w:val="5"/>
                <w:highlight w:val="none"/>
              </w:rPr>
              <w:t>内容，得20分。</w:t>
            </w:r>
          </w:p>
          <w:p w14:paraId="03E76EB9">
            <w:pPr>
              <w:pStyle w:val="88"/>
              <w:spacing w:line="377" w:lineRule="auto"/>
              <w:ind w:left="114" w:right="107" w:firstLine="370"/>
              <w:rPr>
                <w:color w:val="auto"/>
                <w:highlight w:val="none"/>
              </w:rPr>
            </w:pPr>
            <w:r>
              <w:rPr>
                <w:color w:val="auto"/>
                <w:spacing w:val="7"/>
                <w:highlight w:val="none"/>
              </w:rPr>
              <w:t>（3）提供不少于17个选题策划方案，选题贴切且</w:t>
            </w:r>
            <w:r>
              <w:rPr>
                <w:color w:val="auto"/>
                <w:spacing w:val="6"/>
                <w:highlight w:val="none"/>
              </w:rPr>
              <w:t>内容新颖，能充分反映广西壮族自治区康养+旅游文化</w:t>
            </w:r>
            <w:r>
              <w:rPr>
                <w:color w:val="auto"/>
                <w:spacing w:val="10"/>
                <w:highlight w:val="none"/>
              </w:rPr>
              <w:t>特色，题材有创意，方案内容包含视频主题方案、选</w:t>
            </w:r>
            <w:r>
              <w:rPr>
                <w:color w:val="auto"/>
                <w:spacing w:val="9"/>
                <w:highlight w:val="none"/>
              </w:rPr>
              <w:t>题方案、</w:t>
            </w:r>
            <w:r>
              <w:rPr>
                <w:color w:val="auto"/>
                <w:spacing w:val="-59"/>
                <w:highlight w:val="none"/>
              </w:rPr>
              <w:t xml:space="preserve"> </w:t>
            </w:r>
            <w:r>
              <w:rPr>
                <w:color w:val="auto"/>
                <w:spacing w:val="9"/>
                <w:highlight w:val="none"/>
              </w:rPr>
              <w:t>内容大纲、主题的拍摄类型、表现手</w:t>
            </w:r>
            <w:r>
              <w:rPr>
                <w:color w:val="auto"/>
                <w:spacing w:val="8"/>
                <w:highlight w:val="none"/>
              </w:rPr>
              <w:t>法和故事结构等内容，具有视频制作方案，得25分。</w:t>
            </w:r>
          </w:p>
          <w:p w14:paraId="39F6D7F1">
            <w:pPr>
              <w:pStyle w:val="88"/>
              <w:spacing w:before="6" w:line="376" w:lineRule="auto"/>
              <w:ind w:left="113" w:right="53" w:firstLine="370"/>
              <w:rPr>
                <w:color w:val="auto"/>
                <w:highlight w:val="none"/>
              </w:rPr>
            </w:pPr>
            <w:r>
              <w:rPr>
                <w:color w:val="auto"/>
                <w:spacing w:val="7"/>
                <w:highlight w:val="none"/>
              </w:rPr>
              <w:t>（4）提供不少于20个选题策划方案，选题贴切且</w:t>
            </w:r>
            <w:r>
              <w:rPr>
                <w:color w:val="auto"/>
                <w:spacing w:val="10"/>
                <w:highlight w:val="none"/>
              </w:rPr>
              <w:t>内容新颖，能充分反映广西康养+旅游+文化特色，题材创意优秀、有详细拍摄脚本及配图，方案内容包含</w:t>
            </w:r>
            <w:r>
              <w:rPr>
                <w:color w:val="auto"/>
                <w:spacing w:val="9"/>
                <w:highlight w:val="none"/>
              </w:rPr>
              <w:t>视频主题方案、选题方案、</w:t>
            </w:r>
            <w:r>
              <w:rPr>
                <w:color w:val="auto"/>
                <w:spacing w:val="-59"/>
                <w:highlight w:val="none"/>
              </w:rPr>
              <w:t xml:space="preserve"> </w:t>
            </w:r>
            <w:r>
              <w:rPr>
                <w:color w:val="auto"/>
                <w:spacing w:val="9"/>
                <w:highlight w:val="none"/>
              </w:rPr>
              <w:t>内容大纲、主题的拍</w:t>
            </w:r>
            <w:r>
              <w:rPr>
                <w:color w:val="auto"/>
                <w:spacing w:val="8"/>
                <w:highlight w:val="none"/>
              </w:rPr>
              <w:t>摄类</w:t>
            </w:r>
            <w:r>
              <w:rPr>
                <w:color w:val="auto"/>
                <w:spacing w:val="4"/>
                <w:highlight w:val="none"/>
              </w:rPr>
              <w:t>型、表现手法和故事结构等内容，视频制作方案详细，得30分。</w:t>
            </w:r>
          </w:p>
          <w:p w14:paraId="5F38583B">
            <w:pPr>
              <w:pStyle w:val="88"/>
              <w:spacing w:line="359" w:lineRule="auto"/>
              <w:ind w:left="117" w:leftChars="0" w:right="108" w:rightChars="0" w:firstLine="367" w:firstLineChars="0"/>
              <w:rPr>
                <w:color w:val="auto"/>
                <w:spacing w:val="7"/>
                <w:sz w:val="20"/>
                <w:szCs w:val="20"/>
                <w:highlight w:val="none"/>
              </w:rPr>
            </w:pPr>
            <w:r>
              <w:rPr>
                <w:color w:val="auto"/>
                <w:spacing w:val="8"/>
                <w:highlight w:val="none"/>
              </w:rPr>
              <w:t>（注：不符合最低入档条件的按不入档处理并</w:t>
            </w:r>
            <w:r>
              <w:rPr>
                <w:color w:val="auto"/>
                <w:spacing w:val="7"/>
                <w:highlight w:val="none"/>
              </w:rPr>
              <w:t>计0</w:t>
            </w:r>
            <w:r>
              <w:rPr>
                <w:color w:val="auto"/>
                <w:spacing w:val="-1"/>
                <w:highlight w:val="none"/>
              </w:rPr>
              <w:t>分）</w:t>
            </w:r>
          </w:p>
        </w:tc>
      </w:tr>
      <w:tr w14:paraId="2D21DADB">
        <w:tblPrEx>
          <w:tblBorders>
            <w:top w:val="single" w:color="225E22" w:sz="2" w:space="0"/>
            <w:left w:val="single" w:color="225E22" w:sz="2" w:space="0"/>
            <w:bottom w:val="single" w:color="225E22" w:sz="2" w:space="0"/>
            <w:right w:val="single" w:color="225E22" w:sz="2" w:space="0"/>
            <w:insideH w:val="single" w:color="225E22" w:sz="2" w:space="0"/>
            <w:insideV w:val="single" w:color="225E22" w:sz="2" w:space="0"/>
          </w:tblBorders>
          <w:tblCellMar>
            <w:top w:w="0" w:type="dxa"/>
            <w:left w:w="0" w:type="dxa"/>
            <w:bottom w:w="0" w:type="dxa"/>
            <w:right w:w="0" w:type="dxa"/>
          </w:tblCellMar>
        </w:tblPrEx>
        <w:trPr>
          <w:trHeight w:val="1641" w:hRule="atLeast"/>
        </w:trPr>
        <w:tc>
          <w:tcPr>
            <w:tcW w:w="518" w:type="dxa"/>
            <w:vMerge w:val="continue"/>
            <w:vAlign w:val="top"/>
          </w:tcPr>
          <w:p w14:paraId="5CDD62DE">
            <w:pPr>
              <w:rPr>
                <w:rFonts w:ascii="Arial"/>
                <w:color w:val="auto"/>
                <w:sz w:val="21"/>
                <w:szCs w:val="24"/>
                <w:highlight w:val="none"/>
              </w:rPr>
            </w:pPr>
          </w:p>
        </w:tc>
        <w:tc>
          <w:tcPr>
            <w:tcW w:w="1291" w:type="dxa"/>
            <w:vMerge w:val="continue"/>
            <w:vAlign w:val="top"/>
          </w:tcPr>
          <w:p w14:paraId="502288D4">
            <w:pPr>
              <w:rPr>
                <w:rFonts w:ascii="Arial"/>
                <w:color w:val="auto"/>
                <w:sz w:val="21"/>
                <w:szCs w:val="24"/>
                <w:highlight w:val="none"/>
              </w:rPr>
            </w:pPr>
          </w:p>
        </w:tc>
        <w:tc>
          <w:tcPr>
            <w:tcW w:w="1841" w:type="dxa"/>
            <w:vAlign w:val="top"/>
          </w:tcPr>
          <w:p w14:paraId="3D856593">
            <w:pPr>
              <w:pStyle w:val="88"/>
              <w:spacing w:before="65" w:line="378" w:lineRule="auto"/>
              <w:ind w:right="114" w:rightChars="0" w:firstLine="216" w:firstLineChars="100"/>
              <w:rPr>
                <w:color w:val="auto"/>
                <w:spacing w:val="31"/>
                <w:sz w:val="20"/>
                <w:szCs w:val="20"/>
                <w:highlight w:val="none"/>
              </w:rPr>
            </w:pPr>
            <w:r>
              <w:rPr>
                <w:color w:val="auto"/>
                <w:spacing w:val="8"/>
                <w:highlight w:val="none"/>
              </w:rPr>
              <w:t>拟投入人员分</w:t>
            </w:r>
            <w:r>
              <w:rPr>
                <w:color w:val="auto"/>
                <w:spacing w:val="4"/>
                <w:highlight w:val="none"/>
              </w:rPr>
              <w:t>（满分25分）</w:t>
            </w:r>
          </w:p>
        </w:tc>
        <w:tc>
          <w:tcPr>
            <w:tcW w:w="6406" w:type="dxa"/>
            <w:vAlign w:val="top"/>
          </w:tcPr>
          <w:p w14:paraId="3748BDF4">
            <w:pPr>
              <w:pStyle w:val="88"/>
              <w:spacing w:before="36" w:line="374" w:lineRule="auto"/>
              <w:ind w:left="115" w:right="107" w:firstLine="369"/>
              <w:rPr>
                <w:color w:val="auto"/>
                <w:highlight w:val="none"/>
              </w:rPr>
            </w:pPr>
            <w:r>
              <w:rPr>
                <w:color w:val="auto"/>
                <w:spacing w:val="8"/>
                <w:highlight w:val="none"/>
              </w:rPr>
              <w:t>（1）拟投入团队主创人员均为公司在职人员的，</w:t>
            </w:r>
            <w:r>
              <w:rPr>
                <w:color w:val="auto"/>
                <w:spacing w:val="6"/>
                <w:highlight w:val="none"/>
              </w:rPr>
              <w:t>得3分。【</w:t>
            </w:r>
            <w:r>
              <w:rPr>
                <w:rFonts w:hint="eastAsia"/>
                <w:color w:val="auto"/>
                <w:spacing w:val="6"/>
                <w:highlight w:val="none"/>
                <w:lang w:val="en-US" w:eastAsia="zh-CN"/>
              </w:rPr>
              <w:t>竞</w:t>
            </w:r>
            <w:r>
              <w:rPr>
                <w:color w:val="auto"/>
                <w:spacing w:val="6"/>
                <w:highlight w:val="none"/>
              </w:rPr>
              <w:t>标文件中提供人员在职在岗证明材料</w:t>
            </w:r>
            <w:r>
              <w:rPr>
                <w:color w:val="auto"/>
                <w:spacing w:val="5"/>
                <w:highlight w:val="none"/>
              </w:rPr>
              <w:t>原件</w:t>
            </w:r>
            <w:r>
              <w:rPr>
                <w:color w:val="auto"/>
                <w:spacing w:val="10"/>
                <w:highlight w:val="none"/>
              </w:rPr>
              <w:t>彩色扫描件，如提供复印件须加盖投标人单位公章。</w:t>
            </w:r>
            <w:r>
              <w:rPr>
                <w:color w:val="auto"/>
                <w:spacing w:val="15"/>
                <w:highlight w:val="none"/>
              </w:rPr>
              <w:t xml:space="preserve"> </w:t>
            </w:r>
            <w:r>
              <w:rPr>
                <w:color w:val="auto"/>
                <w:spacing w:val="10"/>
                <w:highlight w:val="none"/>
              </w:rPr>
              <w:t>（如：与</w:t>
            </w:r>
            <w:r>
              <w:rPr>
                <w:rFonts w:hint="eastAsia"/>
                <w:color w:val="auto"/>
                <w:spacing w:val="10"/>
                <w:highlight w:val="none"/>
                <w:lang w:val="en-US" w:eastAsia="zh-CN"/>
              </w:rPr>
              <w:t>竞</w:t>
            </w:r>
            <w:r>
              <w:rPr>
                <w:color w:val="auto"/>
                <w:spacing w:val="10"/>
                <w:highlight w:val="none"/>
              </w:rPr>
              <w:t>标人签订的劳动合同或投标人为其缴纳的</w:t>
            </w:r>
            <w:r>
              <w:rPr>
                <w:color w:val="auto"/>
                <w:spacing w:val="8"/>
                <w:highlight w:val="none"/>
              </w:rPr>
              <w:t>投标截止之日前半年内任意</w:t>
            </w:r>
            <w:r>
              <w:rPr>
                <w:rFonts w:ascii="Times New Roman" w:hAnsi="Times New Roman" w:eastAsia="Times New Roman" w:cs="Times New Roman"/>
                <w:color w:val="auto"/>
                <w:spacing w:val="8"/>
                <w:highlight w:val="none"/>
              </w:rPr>
              <w:t>1</w:t>
            </w:r>
            <w:r>
              <w:rPr>
                <w:color w:val="auto"/>
                <w:spacing w:val="8"/>
                <w:highlight w:val="none"/>
              </w:rPr>
              <w:t>个月社保证明</w:t>
            </w:r>
            <w:r>
              <w:rPr>
                <w:color w:val="auto"/>
                <w:spacing w:val="-16"/>
                <w:highlight w:val="none"/>
              </w:rPr>
              <w:t>），</w:t>
            </w:r>
            <w:r>
              <w:rPr>
                <w:color w:val="auto"/>
                <w:spacing w:val="8"/>
                <w:highlight w:val="none"/>
              </w:rPr>
              <w:t>否则不</w:t>
            </w:r>
            <w:r>
              <w:rPr>
                <w:color w:val="auto"/>
                <w:spacing w:val="4"/>
                <w:highlight w:val="none"/>
              </w:rPr>
              <w:t>得分】</w:t>
            </w:r>
          </w:p>
          <w:p w14:paraId="28D40177">
            <w:pPr>
              <w:pStyle w:val="88"/>
              <w:spacing w:before="19" w:line="371" w:lineRule="auto"/>
              <w:ind w:left="114" w:right="22" w:firstLine="370"/>
              <w:rPr>
                <w:color w:val="auto"/>
                <w:highlight w:val="none"/>
              </w:rPr>
            </w:pPr>
            <w:r>
              <w:rPr>
                <w:color w:val="auto"/>
                <w:spacing w:val="8"/>
                <w:highlight w:val="none"/>
              </w:rPr>
              <w:t>（2）拟投入人员均具有与项目内容相关专业（传</w:t>
            </w:r>
            <w:r>
              <w:rPr>
                <w:color w:val="auto"/>
                <w:spacing w:val="5"/>
                <w:highlight w:val="none"/>
              </w:rPr>
              <w:t>媒类、艺术类、影视类、动画类）本科以上（含本科）</w:t>
            </w:r>
            <w:r>
              <w:rPr>
                <w:color w:val="auto"/>
                <w:spacing w:val="10"/>
                <w:highlight w:val="none"/>
              </w:rPr>
              <w:t>学历的一人得1分，满分得3分。（</w:t>
            </w:r>
            <w:r>
              <w:rPr>
                <w:rFonts w:hint="eastAsia"/>
                <w:color w:val="auto"/>
                <w:spacing w:val="10"/>
                <w:highlight w:val="none"/>
                <w:lang w:val="en-US" w:eastAsia="zh-CN"/>
              </w:rPr>
              <w:t>竞标</w:t>
            </w:r>
            <w:r>
              <w:rPr>
                <w:color w:val="auto"/>
                <w:spacing w:val="10"/>
                <w:highlight w:val="none"/>
              </w:rPr>
              <w:t>文件中提供相关证明材料彩色扫描件，如提供复印件须加盖投标人</w:t>
            </w:r>
            <w:r>
              <w:rPr>
                <w:color w:val="auto"/>
                <w:spacing w:val="8"/>
                <w:highlight w:val="none"/>
              </w:rPr>
              <w:t>单位公章，否则不得分）</w:t>
            </w:r>
          </w:p>
          <w:p w14:paraId="7DE171A6">
            <w:pPr>
              <w:pStyle w:val="88"/>
              <w:spacing w:before="1" w:line="377" w:lineRule="auto"/>
              <w:ind w:left="115" w:right="107" w:firstLine="369"/>
              <w:rPr>
                <w:color w:val="auto"/>
                <w:highlight w:val="none"/>
              </w:rPr>
            </w:pPr>
            <w:r>
              <w:rPr>
                <w:color w:val="auto"/>
                <w:spacing w:val="8"/>
                <w:highlight w:val="none"/>
              </w:rPr>
              <w:t>（</w:t>
            </w:r>
            <w:r>
              <w:rPr>
                <w:rFonts w:ascii="Times New Roman" w:hAnsi="Times New Roman" w:eastAsia="Times New Roman" w:cs="Times New Roman"/>
                <w:color w:val="auto"/>
                <w:spacing w:val="8"/>
                <w:highlight w:val="none"/>
              </w:rPr>
              <w:t>3</w:t>
            </w:r>
            <w:r>
              <w:rPr>
                <w:color w:val="auto"/>
                <w:spacing w:val="8"/>
                <w:highlight w:val="none"/>
              </w:rPr>
              <w:t>）拟投入人员包含民族、文化、艺术领</w:t>
            </w:r>
            <w:r>
              <w:rPr>
                <w:color w:val="auto"/>
                <w:spacing w:val="7"/>
                <w:highlight w:val="none"/>
              </w:rPr>
              <w:t>域的学</w:t>
            </w:r>
            <w:r>
              <w:rPr>
                <w:color w:val="auto"/>
                <w:spacing w:val="10"/>
                <w:highlight w:val="none"/>
              </w:rPr>
              <w:t>术顾问（具有上述学术顾问的正式聘用文件</w:t>
            </w:r>
            <w:r>
              <w:rPr>
                <w:color w:val="auto"/>
                <w:spacing w:val="17"/>
                <w:highlight w:val="none"/>
              </w:rPr>
              <w:t>），</w:t>
            </w:r>
            <w:r>
              <w:rPr>
                <w:color w:val="auto"/>
                <w:spacing w:val="10"/>
                <w:highlight w:val="none"/>
              </w:rPr>
              <w:t>且符</w:t>
            </w:r>
            <w:r>
              <w:rPr>
                <w:color w:val="auto"/>
                <w:spacing w:val="8"/>
                <w:highlight w:val="none"/>
              </w:rPr>
              <w:t>合以下条件得对应分值：</w:t>
            </w:r>
          </w:p>
          <w:p w14:paraId="4D47A56E">
            <w:pPr>
              <w:pStyle w:val="88"/>
              <w:spacing w:line="274" w:lineRule="exact"/>
              <w:ind w:left="473"/>
              <w:rPr>
                <w:color w:val="auto"/>
                <w:highlight w:val="none"/>
              </w:rPr>
            </w:pPr>
            <w:r>
              <w:rPr>
                <w:color w:val="auto"/>
                <w:spacing w:val="8"/>
                <w:position w:val="1"/>
                <w:highlight w:val="none"/>
              </w:rPr>
              <w:t>①具备高级职称：每人</w:t>
            </w:r>
            <w:r>
              <w:rPr>
                <w:rFonts w:ascii="Times New Roman" w:hAnsi="Times New Roman" w:eastAsia="Times New Roman" w:cs="Times New Roman"/>
                <w:color w:val="auto"/>
                <w:spacing w:val="8"/>
                <w:position w:val="1"/>
                <w:highlight w:val="none"/>
              </w:rPr>
              <w:t>2</w:t>
            </w:r>
            <w:r>
              <w:rPr>
                <w:color w:val="auto"/>
                <w:spacing w:val="8"/>
                <w:position w:val="1"/>
                <w:highlight w:val="none"/>
              </w:rPr>
              <w:t>分；</w:t>
            </w:r>
          </w:p>
          <w:p w14:paraId="3ADB7F34">
            <w:pPr>
              <w:pStyle w:val="88"/>
              <w:spacing w:before="133" w:line="274" w:lineRule="exact"/>
              <w:ind w:left="472" w:leftChars="0"/>
              <w:rPr>
                <w:color w:val="auto"/>
                <w:highlight w:val="none"/>
              </w:rPr>
            </w:pPr>
            <w:r>
              <w:rPr>
                <w:color w:val="auto"/>
                <w:spacing w:val="8"/>
                <w:position w:val="1"/>
                <w:highlight w:val="none"/>
              </w:rPr>
              <w:t>②具备中级职称：每人</w:t>
            </w:r>
            <w:r>
              <w:rPr>
                <w:rFonts w:ascii="Times New Roman" w:hAnsi="Times New Roman" w:eastAsia="Times New Roman" w:cs="Times New Roman"/>
                <w:color w:val="auto"/>
                <w:spacing w:val="8"/>
                <w:position w:val="1"/>
                <w:highlight w:val="none"/>
              </w:rPr>
              <w:t>1</w:t>
            </w:r>
            <w:r>
              <w:rPr>
                <w:color w:val="auto"/>
                <w:spacing w:val="8"/>
                <w:position w:val="1"/>
                <w:highlight w:val="none"/>
              </w:rPr>
              <w:t>分</w:t>
            </w:r>
            <w:r>
              <w:rPr>
                <w:color w:val="auto"/>
                <w:spacing w:val="7"/>
                <w:position w:val="1"/>
                <w:highlight w:val="none"/>
              </w:rPr>
              <w:t>。</w:t>
            </w:r>
          </w:p>
          <w:p w14:paraId="31B66CFD">
            <w:pPr>
              <w:pStyle w:val="88"/>
              <w:spacing w:before="134" w:line="381" w:lineRule="auto"/>
              <w:ind w:left="117" w:right="109" w:firstLine="366"/>
              <w:rPr>
                <w:color w:val="auto"/>
                <w:highlight w:val="none"/>
              </w:rPr>
            </w:pPr>
            <w:r>
              <w:rPr>
                <w:color w:val="auto"/>
                <w:spacing w:val="8"/>
                <w:highlight w:val="none"/>
              </w:rPr>
              <w:t>（本项满分</w:t>
            </w:r>
            <w:r>
              <w:rPr>
                <w:rFonts w:ascii="Times New Roman" w:hAnsi="Times New Roman" w:eastAsia="Times New Roman" w:cs="Times New Roman"/>
                <w:color w:val="auto"/>
                <w:spacing w:val="8"/>
                <w:highlight w:val="none"/>
              </w:rPr>
              <w:t>4</w:t>
            </w:r>
            <w:r>
              <w:rPr>
                <w:color w:val="auto"/>
                <w:spacing w:val="8"/>
                <w:highlight w:val="none"/>
              </w:rPr>
              <w:t>分，同一人员按最高职称计分</w:t>
            </w:r>
            <w:r>
              <w:rPr>
                <w:color w:val="auto"/>
                <w:spacing w:val="7"/>
                <w:highlight w:val="none"/>
              </w:rPr>
              <w:t>，不重</w:t>
            </w:r>
            <w:r>
              <w:rPr>
                <w:color w:val="auto"/>
                <w:spacing w:val="10"/>
                <w:highlight w:val="none"/>
              </w:rPr>
              <w:t>复累加；</w:t>
            </w:r>
            <w:r>
              <w:rPr>
                <w:rFonts w:hint="eastAsia"/>
                <w:color w:val="auto"/>
                <w:spacing w:val="10"/>
                <w:highlight w:val="none"/>
                <w:lang w:val="en-US" w:eastAsia="zh-CN"/>
              </w:rPr>
              <w:t>竞标</w:t>
            </w:r>
            <w:r>
              <w:rPr>
                <w:color w:val="auto"/>
                <w:spacing w:val="10"/>
                <w:highlight w:val="none"/>
              </w:rPr>
              <w:t>文件中提供相关证明材料彩色扫描件，</w:t>
            </w:r>
            <w:r>
              <w:rPr>
                <w:color w:val="auto"/>
                <w:spacing w:val="9"/>
                <w:highlight w:val="none"/>
              </w:rPr>
              <w:t>如提供复印件须加盖投标人单位公章，否则不得</w:t>
            </w:r>
            <w:r>
              <w:rPr>
                <w:color w:val="auto"/>
                <w:spacing w:val="8"/>
                <w:highlight w:val="none"/>
              </w:rPr>
              <w:t>分）</w:t>
            </w:r>
          </w:p>
          <w:p w14:paraId="4916150D">
            <w:pPr>
              <w:pStyle w:val="88"/>
              <w:spacing w:before="18" w:line="377" w:lineRule="auto"/>
              <w:ind w:left="114" w:right="53" w:firstLine="430"/>
              <w:rPr>
                <w:color w:val="auto"/>
                <w:highlight w:val="none"/>
              </w:rPr>
            </w:pPr>
            <w:r>
              <w:rPr>
                <w:color w:val="auto"/>
                <w:spacing w:val="5"/>
                <w:highlight w:val="none"/>
              </w:rPr>
              <w:t>（4）拟投入技术人员出具包含</w:t>
            </w:r>
            <w:r>
              <w:rPr>
                <w:color w:val="auto"/>
                <w:highlight w:val="none"/>
                <w:shd w:val="clear" w:fill="D9D9D9"/>
              </w:rPr>
              <w:t>caac</w:t>
            </w:r>
            <w:r>
              <w:rPr>
                <w:color w:val="auto"/>
                <w:spacing w:val="5"/>
                <w:highlight w:val="none"/>
              </w:rPr>
              <w:t>民用无人机驾</w:t>
            </w:r>
            <w:r>
              <w:rPr>
                <w:color w:val="auto"/>
                <w:spacing w:val="10"/>
                <w:highlight w:val="none"/>
              </w:rPr>
              <w:t>驶员合格证，摄影、多媒体制作</w:t>
            </w:r>
            <w:r>
              <w:rPr>
                <w:color w:val="auto"/>
                <w:spacing w:val="6"/>
                <w:highlight w:val="none"/>
              </w:rPr>
              <w:t>等相关的国家职业资格证书，每一样证件得1分，满分</w:t>
            </w:r>
            <w:r>
              <w:rPr>
                <w:color w:val="auto"/>
                <w:highlight w:val="none"/>
              </w:rPr>
              <w:t>5分。（</w:t>
            </w:r>
            <w:r>
              <w:rPr>
                <w:rFonts w:hint="eastAsia"/>
                <w:color w:val="auto"/>
                <w:highlight w:val="none"/>
                <w:lang w:val="en-US" w:eastAsia="zh-CN"/>
              </w:rPr>
              <w:t>竞标</w:t>
            </w:r>
            <w:r>
              <w:rPr>
                <w:color w:val="auto"/>
                <w:highlight w:val="none"/>
              </w:rPr>
              <w:t>文件中提供相关证明资料原件彩色扫描件，</w:t>
            </w:r>
            <w:r>
              <w:rPr>
                <w:color w:val="auto"/>
                <w:spacing w:val="9"/>
                <w:highlight w:val="none"/>
              </w:rPr>
              <w:t>如提供复印件须加盖投标人单位公章</w:t>
            </w:r>
            <w:r>
              <w:rPr>
                <w:rFonts w:hint="eastAsia"/>
                <w:color w:val="auto"/>
                <w:spacing w:val="9"/>
                <w:highlight w:val="none"/>
                <w:lang w:val="en-US" w:eastAsia="zh-CN"/>
              </w:rPr>
              <w:t>，</w:t>
            </w:r>
            <w:r>
              <w:rPr>
                <w:color w:val="auto"/>
                <w:spacing w:val="9"/>
                <w:highlight w:val="none"/>
              </w:rPr>
              <w:t>否则不得分）</w:t>
            </w:r>
          </w:p>
          <w:p w14:paraId="38ED4115">
            <w:pPr>
              <w:pStyle w:val="88"/>
              <w:spacing w:before="6" w:line="376" w:lineRule="auto"/>
              <w:ind w:left="114" w:right="107" w:firstLine="430"/>
              <w:rPr>
                <w:color w:val="auto"/>
                <w:highlight w:val="none"/>
              </w:rPr>
            </w:pPr>
            <w:r>
              <w:rPr>
                <w:color w:val="auto"/>
                <w:spacing w:val="5"/>
                <w:highlight w:val="none"/>
              </w:rPr>
              <w:t>（5）拟投入人员曾经在市级以上政府部门或权威</w:t>
            </w:r>
            <w:r>
              <w:rPr>
                <w:color w:val="auto"/>
                <w:spacing w:val="10"/>
                <w:highlight w:val="none"/>
              </w:rPr>
              <w:t>单位（如党委宣传部，广电局，广播电视台，影视艺术家协会，网络视听协会，文旅厅）举办的影视类比</w:t>
            </w:r>
            <w:r>
              <w:rPr>
                <w:color w:val="auto"/>
                <w:spacing w:val="6"/>
                <w:highlight w:val="none"/>
              </w:rPr>
              <w:t>赛获得奖项。每项2分，满分10分。（</w:t>
            </w:r>
            <w:r>
              <w:rPr>
                <w:rFonts w:hint="eastAsia"/>
                <w:color w:val="auto"/>
                <w:spacing w:val="6"/>
                <w:highlight w:val="none"/>
                <w:lang w:val="en-US" w:eastAsia="zh-CN"/>
              </w:rPr>
              <w:t>竞标</w:t>
            </w:r>
            <w:r>
              <w:rPr>
                <w:color w:val="auto"/>
                <w:spacing w:val="6"/>
                <w:highlight w:val="none"/>
              </w:rPr>
              <w:t>文</w:t>
            </w:r>
            <w:r>
              <w:rPr>
                <w:color w:val="auto"/>
                <w:spacing w:val="5"/>
                <w:highlight w:val="none"/>
              </w:rPr>
              <w:t>件中提供</w:t>
            </w:r>
            <w:r>
              <w:rPr>
                <w:color w:val="auto"/>
                <w:spacing w:val="10"/>
                <w:highlight w:val="none"/>
              </w:rPr>
              <w:t>相关证明资料原件彩色扫描件，如提供复印件须加盖</w:t>
            </w:r>
            <w:r>
              <w:rPr>
                <w:color w:val="auto"/>
                <w:spacing w:val="8"/>
                <w:highlight w:val="none"/>
              </w:rPr>
              <w:t>投标人单位公章，</w:t>
            </w:r>
            <w:r>
              <w:rPr>
                <w:rFonts w:hint="eastAsia"/>
                <w:color w:val="auto"/>
                <w:spacing w:val="9"/>
                <w:highlight w:val="none"/>
                <w:lang w:val="en-US" w:eastAsia="zh-CN"/>
              </w:rPr>
              <w:t>需提供获奖人员在半年内最近3个月的社保证明材料</w:t>
            </w:r>
            <w:r>
              <w:rPr>
                <w:color w:val="auto"/>
                <w:spacing w:val="9"/>
                <w:highlight w:val="none"/>
              </w:rPr>
              <w:t>，</w:t>
            </w:r>
            <w:r>
              <w:rPr>
                <w:color w:val="auto"/>
                <w:spacing w:val="8"/>
                <w:highlight w:val="none"/>
              </w:rPr>
              <w:t>否则不得分）</w:t>
            </w:r>
          </w:p>
          <w:p w14:paraId="36B900F5">
            <w:pPr>
              <w:pStyle w:val="88"/>
              <w:spacing w:before="133" w:line="274" w:lineRule="exact"/>
              <w:ind w:left="472" w:leftChars="0"/>
              <w:rPr>
                <w:color w:val="auto"/>
                <w:spacing w:val="8"/>
                <w:highlight w:val="none"/>
              </w:rPr>
            </w:pPr>
            <w:r>
              <w:rPr>
                <w:color w:val="auto"/>
                <w:spacing w:val="10"/>
                <w:highlight w:val="none"/>
              </w:rPr>
              <w:t>注：</w:t>
            </w:r>
            <w:r>
              <w:rPr>
                <w:rFonts w:hint="eastAsia"/>
                <w:color w:val="auto"/>
                <w:spacing w:val="10"/>
                <w:highlight w:val="none"/>
                <w:lang w:val="en-US" w:eastAsia="zh-CN"/>
              </w:rPr>
              <w:t>竞标</w:t>
            </w:r>
            <w:r>
              <w:rPr>
                <w:color w:val="auto"/>
                <w:spacing w:val="10"/>
                <w:highlight w:val="none"/>
              </w:rPr>
              <w:t>文件中提供拟投入人员的配置表（至少包含名字、职位、身份证号码）、拟投入人员的身份证扫描件、相关证书扫描件，相关奖项原件彩色扫描件，如提供复印件须加盖投标人单位公章，证明材料</w:t>
            </w:r>
            <w:r>
              <w:rPr>
                <w:color w:val="auto"/>
                <w:spacing w:val="7"/>
                <w:highlight w:val="none"/>
              </w:rPr>
              <w:t>不完整的不予评分。</w:t>
            </w:r>
          </w:p>
        </w:tc>
      </w:tr>
      <w:tr w14:paraId="3A819D72">
        <w:tblPrEx>
          <w:tblBorders>
            <w:top w:val="single" w:color="225E22" w:sz="2" w:space="0"/>
            <w:left w:val="single" w:color="225E22" w:sz="2" w:space="0"/>
            <w:bottom w:val="single" w:color="225E22" w:sz="2" w:space="0"/>
            <w:right w:val="single" w:color="225E22" w:sz="2" w:space="0"/>
            <w:insideH w:val="single" w:color="225E22" w:sz="2" w:space="0"/>
            <w:insideV w:val="single" w:color="225E22" w:sz="2" w:space="0"/>
          </w:tblBorders>
          <w:tblCellMar>
            <w:top w:w="0" w:type="dxa"/>
            <w:left w:w="0" w:type="dxa"/>
            <w:bottom w:w="0" w:type="dxa"/>
            <w:right w:w="0" w:type="dxa"/>
          </w:tblCellMar>
        </w:tblPrEx>
        <w:trPr>
          <w:trHeight w:val="1641" w:hRule="atLeast"/>
        </w:trPr>
        <w:tc>
          <w:tcPr>
            <w:tcW w:w="518" w:type="dxa"/>
            <w:tcBorders>
              <w:top w:val="single" w:color="auto" w:sz="4" w:space="0"/>
            </w:tcBorders>
            <w:vAlign w:val="top"/>
          </w:tcPr>
          <w:p w14:paraId="1FF1F4A5">
            <w:pPr>
              <w:spacing w:line="294" w:lineRule="auto"/>
              <w:rPr>
                <w:rFonts w:ascii="Arial"/>
                <w:color w:val="auto"/>
                <w:sz w:val="21"/>
                <w:highlight w:val="none"/>
              </w:rPr>
            </w:pPr>
          </w:p>
          <w:p w14:paraId="5F571DD8">
            <w:pPr>
              <w:spacing w:line="294" w:lineRule="auto"/>
              <w:rPr>
                <w:rFonts w:ascii="Arial"/>
                <w:color w:val="auto"/>
                <w:sz w:val="21"/>
                <w:highlight w:val="none"/>
              </w:rPr>
            </w:pPr>
          </w:p>
          <w:p w14:paraId="23E85D10">
            <w:pPr>
              <w:spacing w:line="294" w:lineRule="auto"/>
              <w:rPr>
                <w:rFonts w:ascii="Arial"/>
                <w:color w:val="auto"/>
                <w:sz w:val="21"/>
                <w:highlight w:val="none"/>
              </w:rPr>
            </w:pPr>
          </w:p>
          <w:p w14:paraId="4B66EAA3">
            <w:pPr>
              <w:pStyle w:val="88"/>
              <w:spacing w:before="65" w:line="269" w:lineRule="exact"/>
              <w:ind w:left="216" w:leftChars="0"/>
              <w:rPr>
                <w:rFonts w:ascii="Arial"/>
                <w:color w:val="auto"/>
                <w:sz w:val="21"/>
                <w:szCs w:val="24"/>
                <w:highlight w:val="none"/>
              </w:rPr>
            </w:pPr>
            <w:r>
              <w:rPr>
                <w:color w:val="auto"/>
                <w:position w:val="1"/>
                <w:highlight w:val="none"/>
              </w:rPr>
              <w:t>3</w:t>
            </w:r>
          </w:p>
        </w:tc>
        <w:tc>
          <w:tcPr>
            <w:tcW w:w="1291" w:type="dxa"/>
            <w:tcBorders>
              <w:top w:val="single" w:color="auto" w:sz="4" w:space="0"/>
            </w:tcBorders>
            <w:vAlign w:val="top"/>
          </w:tcPr>
          <w:p w14:paraId="3E7F3510">
            <w:pPr>
              <w:spacing w:line="351" w:lineRule="auto"/>
              <w:rPr>
                <w:rFonts w:ascii="Arial"/>
                <w:color w:val="auto"/>
                <w:sz w:val="21"/>
                <w:highlight w:val="none"/>
              </w:rPr>
            </w:pPr>
          </w:p>
          <w:p w14:paraId="59BD27B0">
            <w:pPr>
              <w:spacing w:line="352" w:lineRule="auto"/>
              <w:rPr>
                <w:rFonts w:ascii="Arial"/>
                <w:color w:val="auto"/>
                <w:sz w:val="21"/>
                <w:highlight w:val="none"/>
              </w:rPr>
            </w:pPr>
          </w:p>
          <w:p w14:paraId="0EE6562B">
            <w:pPr>
              <w:pStyle w:val="88"/>
              <w:spacing w:before="65" w:line="228" w:lineRule="auto"/>
              <w:ind w:right="2"/>
              <w:jc w:val="right"/>
              <w:rPr>
                <w:color w:val="auto"/>
                <w:highlight w:val="none"/>
              </w:rPr>
            </w:pPr>
            <w:r>
              <w:rPr>
                <w:b/>
                <w:bCs/>
                <w:color w:val="auto"/>
                <w:spacing w:val="-2"/>
                <w:highlight w:val="none"/>
              </w:rPr>
              <w:t>商</w:t>
            </w:r>
            <w:r>
              <w:rPr>
                <w:color w:val="auto"/>
                <w:spacing w:val="-53"/>
                <w:highlight w:val="none"/>
              </w:rPr>
              <w:t xml:space="preserve"> </w:t>
            </w:r>
            <w:r>
              <w:rPr>
                <w:b/>
                <w:bCs/>
                <w:color w:val="auto"/>
                <w:spacing w:val="-2"/>
                <w:highlight w:val="none"/>
              </w:rPr>
              <w:t>务</w:t>
            </w:r>
            <w:r>
              <w:rPr>
                <w:color w:val="auto"/>
                <w:spacing w:val="-56"/>
                <w:highlight w:val="none"/>
              </w:rPr>
              <w:t xml:space="preserve"> </w:t>
            </w:r>
            <w:r>
              <w:rPr>
                <w:b/>
                <w:bCs/>
                <w:color w:val="auto"/>
                <w:spacing w:val="-2"/>
                <w:highlight w:val="none"/>
              </w:rPr>
              <w:t>分（</w:t>
            </w:r>
            <w:r>
              <w:rPr>
                <w:color w:val="auto"/>
                <w:spacing w:val="-26"/>
                <w:highlight w:val="none"/>
              </w:rPr>
              <w:t xml:space="preserve"> </w:t>
            </w:r>
            <w:r>
              <w:rPr>
                <w:b/>
                <w:bCs/>
                <w:color w:val="auto"/>
                <w:spacing w:val="-2"/>
                <w:highlight w:val="none"/>
              </w:rPr>
              <w:t>20</w:t>
            </w:r>
          </w:p>
          <w:p w14:paraId="267A0244">
            <w:pPr>
              <w:pStyle w:val="88"/>
              <w:spacing w:before="112" w:line="229" w:lineRule="auto"/>
              <w:ind w:left="114" w:leftChars="0"/>
              <w:rPr>
                <w:rFonts w:ascii="Arial"/>
                <w:color w:val="auto"/>
                <w:sz w:val="21"/>
                <w:szCs w:val="24"/>
                <w:highlight w:val="none"/>
              </w:rPr>
            </w:pPr>
            <w:r>
              <w:rPr>
                <w:b/>
                <w:bCs/>
                <w:color w:val="auto"/>
                <w:spacing w:val="-3"/>
                <w:highlight w:val="none"/>
              </w:rPr>
              <w:t>分）</w:t>
            </w:r>
          </w:p>
        </w:tc>
        <w:tc>
          <w:tcPr>
            <w:tcW w:w="1841" w:type="dxa"/>
            <w:vAlign w:val="top"/>
          </w:tcPr>
          <w:p w14:paraId="058C11D1">
            <w:pPr>
              <w:spacing w:line="260" w:lineRule="auto"/>
              <w:rPr>
                <w:rFonts w:ascii="Arial"/>
                <w:color w:val="auto"/>
                <w:sz w:val="21"/>
                <w:highlight w:val="none"/>
              </w:rPr>
            </w:pPr>
          </w:p>
          <w:p w14:paraId="195C6C50">
            <w:pPr>
              <w:spacing w:line="261" w:lineRule="auto"/>
              <w:rPr>
                <w:rFonts w:ascii="Arial"/>
                <w:color w:val="auto"/>
                <w:sz w:val="21"/>
                <w:highlight w:val="none"/>
              </w:rPr>
            </w:pPr>
          </w:p>
          <w:p w14:paraId="0B1FD632">
            <w:pPr>
              <w:spacing w:line="261" w:lineRule="auto"/>
              <w:rPr>
                <w:rFonts w:ascii="Arial"/>
                <w:color w:val="auto"/>
                <w:sz w:val="21"/>
                <w:highlight w:val="none"/>
              </w:rPr>
            </w:pPr>
          </w:p>
          <w:p w14:paraId="4D2EDFB0">
            <w:pPr>
              <w:pStyle w:val="88"/>
              <w:spacing w:before="65" w:line="228" w:lineRule="auto"/>
              <w:ind w:left="111" w:leftChars="0"/>
              <w:rPr>
                <w:color w:val="auto"/>
                <w:spacing w:val="31"/>
                <w:sz w:val="20"/>
                <w:szCs w:val="20"/>
                <w:highlight w:val="none"/>
              </w:rPr>
            </w:pPr>
            <w:r>
              <w:rPr>
                <w:color w:val="auto"/>
                <w:spacing w:val="6"/>
                <w:highlight w:val="none"/>
              </w:rPr>
              <w:t>业绩（满分20分）</w:t>
            </w:r>
          </w:p>
        </w:tc>
        <w:tc>
          <w:tcPr>
            <w:tcW w:w="6406" w:type="dxa"/>
            <w:vAlign w:val="top"/>
          </w:tcPr>
          <w:p w14:paraId="0011B08D">
            <w:pPr>
              <w:pStyle w:val="88"/>
              <w:spacing w:before="34" w:line="377" w:lineRule="auto"/>
              <w:ind w:left="116" w:right="107"/>
              <w:jc w:val="both"/>
              <w:rPr>
                <w:color w:val="auto"/>
                <w:highlight w:val="none"/>
              </w:rPr>
            </w:pPr>
            <w:r>
              <w:rPr>
                <w:color w:val="auto"/>
                <w:spacing w:val="10"/>
                <w:highlight w:val="none"/>
              </w:rPr>
              <w:t>投标人的同类项目业绩（旅游文化、边关文化、民俗</w:t>
            </w:r>
            <w:r>
              <w:rPr>
                <w:color w:val="auto"/>
                <w:spacing w:val="6"/>
                <w:highlight w:val="none"/>
              </w:rPr>
              <w:t>文化、人物传记、群众文化）。每提供一项得4分，满</w:t>
            </w:r>
            <w:r>
              <w:rPr>
                <w:color w:val="auto"/>
                <w:spacing w:val="3"/>
                <w:highlight w:val="none"/>
              </w:rPr>
              <w:t>分20分。</w:t>
            </w:r>
          </w:p>
          <w:p w14:paraId="6619E6D7">
            <w:pPr>
              <w:pStyle w:val="88"/>
              <w:spacing w:before="1" w:line="358" w:lineRule="auto"/>
              <w:ind w:left="114" w:leftChars="0" w:right="107" w:rightChars="0"/>
              <w:jc w:val="both"/>
              <w:rPr>
                <w:color w:val="auto"/>
                <w:spacing w:val="7"/>
                <w:sz w:val="20"/>
                <w:szCs w:val="20"/>
                <w:highlight w:val="none"/>
              </w:rPr>
            </w:pPr>
            <w:r>
              <w:rPr>
                <w:color w:val="auto"/>
                <w:spacing w:val="10"/>
                <w:highlight w:val="none"/>
              </w:rPr>
              <w:t>注：投标人需提供合同关键页原件彩色扫描件，如提</w:t>
            </w:r>
            <w:r>
              <w:rPr>
                <w:color w:val="auto"/>
                <w:spacing w:val="9"/>
                <w:highlight w:val="none"/>
              </w:rPr>
              <w:t>供复印件须加盖投标人单位公章，否则不予评分。</w:t>
            </w:r>
          </w:p>
        </w:tc>
      </w:tr>
      <w:tr w14:paraId="23CBEF31">
        <w:tblPrEx>
          <w:tblBorders>
            <w:top w:val="single" w:color="225E22" w:sz="2" w:space="0"/>
            <w:left w:val="single" w:color="225E22" w:sz="2" w:space="0"/>
            <w:bottom w:val="single" w:color="225E22" w:sz="2" w:space="0"/>
            <w:right w:val="single" w:color="225E22" w:sz="2" w:space="0"/>
            <w:insideH w:val="single" w:color="225E22" w:sz="2" w:space="0"/>
            <w:insideV w:val="single" w:color="225E22" w:sz="2" w:space="0"/>
          </w:tblBorders>
          <w:tblCellMar>
            <w:top w:w="0" w:type="dxa"/>
            <w:left w:w="0" w:type="dxa"/>
            <w:bottom w:w="0" w:type="dxa"/>
            <w:right w:w="0" w:type="dxa"/>
          </w:tblCellMar>
        </w:tblPrEx>
        <w:trPr>
          <w:trHeight w:val="729" w:hRule="atLeast"/>
        </w:trPr>
        <w:tc>
          <w:tcPr>
            <w:tcW w:w="10056" w:type="dxa"/>
            <w:gridSpan w:val="4"/>
            <w:vAlign w:val="top"/>
          </w:tcPr>
          <w:p w14:paraId="028A99DA">
            <w:pPr>
              <w:pStyle w:val="88"/>
              <w:spacing w:before="113" w:line="228" w:lineRule="auto"/>
              <w:ind w:left="119"/>
              <w:rPr>
                <w:color w:val="auto"/>
                <w:highlight w:val="none"/>
              </w:rPr>
            </w:pPr>
            <w:r>
              <w:rPr>
                <w:b/>
                <w:bCs/>
                <w:color w:val="auto"/>
                <w:spacing w:val="4"/>
                <w:highlight w:val="none"/>
              </w:rPr>
              <w:t>总得分=1+2+3</w:t>
            </w:r>
          </w:p>
          <w:p w14:paraId="0E17CE08">
            <w:pPr>
              <w:pStyle w:val="88"/>
              <w:spacing w:before="112" w:line="227" w:lineRule="auto"/>
              <w:ind w:left="119"/>
              <w:outlineLvl w:val="1"/>
              <w:rPr>
                <w:color w:val="auto"/>
                <w:highlight w:val="none"/>
              </w:rPr>
            </w:pPr>
            <w:r>
              <w:rPr>
                <w:b/>
                <w:bCs/>
                <w:color w:val="auto"/>
                <w:spacing w:val="7"/>
                <w:highlight w:val="none"/>
              </w:rPr>
              <w:t>备注：本项目为服务类项目，不涉及节能环保政策考核。</w:t>
            </w:r>
          </w:p>
        </w:tc>
      </w:tr>
    </w:tbl>
    <w:p w14:paraId="13FC31D0">
      <w:pPr>
        <w:pStyle w:val="22"/>
        <w:spacing w:line="460" w:lineRule="exact"/>
        <w:ind w:firstLine="211" w:firstLineChars="100"/>
        <w:rPr>
          <w:rFonts w:hAnsi="宋体"/>
          <w:b/>
          <w:color w:val="auto"/>
          <w:sz w:val="21"/>
          <w:highlight w:val="none"/>
        </w:rPr>
      </w:pPr>
      <w:r>
        <w:rPr>
          <w:rFonts w:hint="eastAsia" w:hAnsi="宋体"/>
          <w:b/>
          <w:color w:val="auto"/>
          <w:sz w:val="21"/>
          <w:highlight w:val="none"/>
        </w:rPr>
        <w:t>三、成交候选人推荐原则</w:t>
      </w:r>
    </w:p>
    <w:p w14:paraId="2F7CDFE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磋商小组应当根据</w:t>
      </w:r>
      <w:r>
        <w:rPr>
          <w:rFonts w:hint="eastAsia" w:ascii="宋体" w:hAnsi="宋体"/>
          <w:bCs/>
          <w:color w:val="auto"/>
          <w:szCs w:val="21"/>
          <w:highlight w:val="none"/>
        </w:rPr>
        <w:t>综合</w:t>
      </w:r>
      <w:r>
        <w:rPr>
          <w:rFonts w:hint="eastAsia" w:ascii="宋体" w:hAnsi="宋体"/>
          <w:color w:val="auto"/>
          <w:szCs w:val="21"/>
          <w:highlight w:val="none"/>
        </w:rPr>
        <w:t>评分情况，按照评审总得分由高到低顺序推荐3</w:t>
      </w:r>
      <w:r>
        <w:rPr>
          <w:rFonts w:hint="eastAsia" w:ascii="宋体" w:hAnsi="宋体"/>
          <w:bCs/>
          <w:color w:val="auto"/>
          <w:szCs w:val="21"/>
          <w:highlight w:val="none"/>
        </w:rPr>
        <w:t>家</w:t>
      </w:r>
      <w:r>
        <w:rPr>
          <w:rFonts w:hint="eastAsia" w:ascii="宋体" w:hAnsi="宋体"/>
          <w:color w:val="auto"/>
          <w:szCs w:val="21"/>
          <w:highlight w:val="none"/>
        </w:rPr>
        <w:t>成交候选供应商，并编写评审报告。符合财库﹝</w:t>
      </w:r>
      <w:r>
        <w:rPr>
          <w:rFonts w:ascii="宋体" w:hAnsi="宋体"/>
          <w:color w:val="auto"/>
          <w:szCs w:val="21"/>
          <w:highlight w:val="none"/>
        </w:rPr>
        <w:t>2014</w:t>
      </w:r>
      <w:r>
        <w:rPr>
          <w:rFonts w:hint="eastAsia" w:ascii="宋体" w:hAnsi="宋体"/>
          <w:color w:val="auto"/>
          <w:szCs w:val="21"/>
          <w:highlight w:val="none"/>
        </w:rPr>
        <w:t>﹞</w:t>
      </w:r>
      <w:r>
        <w:rPr>
          <w:rFonts w:ascii="宋体" w:hAnsi="宋体"/>
          <w:color w:val="auto"/>
          <w:szCs w:val="21"/>
          <w:highlight w:val="none"/>
        </w:rPr>
        <w:t>214</w:t>
      </w:r>
      <w:r>
        <w:rPr>
          <w:rFonts w:hint="eastAsia" w:ascii="宋体" w:hAnsi="宋体"/>
          <w:color w:val="auto"/>
          <w:szCs w:val="21"/>
          <w:highlight w:val="none"/>
        </w:rPr>
        <w:t>号《政府采购竞争性磋商采购方式管理暂行办法》第二十一条第三款情形的，可以推荐</w:t>
      </w:r>
      <w:r>
        <w:rPr>
          <w:rFonts w:ascii="宋体" w:hAnsi="宋体"/>
          <w:color w:val="auto"/>
          <w:szCs w:val="21"/>
          <w:highlight w:val="none"/>
        </w:rPr>
        <w:t>2</w:t>
      </w:r>
      <w:r>
        <w:rPr>
          <w:rFonts w:hint="eastAsia" w:ascii="宋体" w:hAnsi="宋体"/>
          <w:color w:val="auto"/>
          <w:szCs w:val="21"/>
          <w:highlight w:val="none"/>
        </w:rPr>
        <w:t>家成交候选供应商。评审得分相同的，按照最后报价由低到高的顺序推荐。评审得分且最后报价相同的，</w:t>
      </w:r>
      <w:r>
        <w:rPr>
          <w:rFonts w:hint="eastAsia" w:ascii="宋体" w:hAnsi="宋体"/>
          <w:bCs/>
          <w:color w:val="auto"/>
          <w:szCs w:val="21"/>
          <w:highlight w:val="none"/>
        </w:rPr>
        <w:t>依次技术</w:t>
      </w:r>
      <w:r>
        <w:rPr>
          <w:rFonts w:hint="eastAsia" w:hAnsi="宋体"/>
          <w:color w:val="auto"/>
          <w:highlight w:val="none"/>
        </w:rPr>
        <w:t>分高、商务分高</w:t>
      </w:r>
      <w:r>
        <w:rPr>
          <w:rStyle w:val="76"/>
          <w:rFonts w:hint="eastAsia"/>
          <w:color w:val="auto"/>
          <w:szCs w:val="21"/>
          <w:highlight w:val="none"/>
        </w:rPr>
        <w:t>优先的顺序排列</w:t>
      </w:r>
      <w:r>
        <w:rPr>
          <w:rFonts w:hint="eastAsia" w:ascii="宋体" w:hAnsi="宋体"/>
          <w:bCs/>
          <w:color w:val="auto"/>
          <w:szCs w:val="21"/>
          <w:highlight w:val="none"/>
        </w:rPr>
        <w:t>并推荐成交候选供应商</w:t>
      </w:r>
      <w:r>
        <w:rPr>
          <w:rFonts w:hint="eastAsia" w:ascii="宋体" w:hAnsi="宋体"/>
          <w:color w:val="auto"/>
          <w:szCs w:val="21"/>
          <w:highlight w:val="none"/>
        </w:rPr>
        <w:t>。</w:t>
      </w:r>
    </w:p>
    <w:p w14:paraId="0C69A2CD">
      <w:pPr>
        <w:widowControl/>
        <w:jc w:val="left"/>
        <w:rPr>
          <w:rFonts w:ascii="宋体" w:hAnsi="宋体"/>
          <w:color w:val="auto"/>
          <w:szCs w:val="21"/>
          <w:highlight w:val="none"/>
        </w:rPr>
      </w:pPr>
      <w:r>
        <w:rPr>
          <w:rFonts w:ascii="宋体" w:hAnsi="宋体"/>
          <w:color w:val="auto"/>
          <w:szCs w:val="21"/>
          <w:highlight w:val="none"/>
        </w:rPr>
        <w:br w:type="page"/>
      </w:r>
    </w:p>
    <w:p w14:paraId="318DAA90">
      <w:pPr>
        <w:widowControl/>
        <w:spacing w:before="156" w:beforeLines="50" w:after="156" w:afterLines="50"/>
        <w:rPr>
          <w:rFonts w:ascii="宋体" w:hAnsi="宋体"/>
          <w:b/>
          <w:bCs/>
          <w:color w:val="auto"/>
          <w:highlight w:val="none"/>
        </w:rPr>
      </w:pPr>
      <w:r>
        <w:rPr>
          <w:rFonts w:hint="eastAsia" w:ascii="宋体" w:hAnsi="宋体" w:cs="宋体"/>
          <w:b/>
          <w:bCs/>
          <w:color w:val="auto"/>
          <w:sz w:val="28"/>
          <w:szCs w:val="28"/>
          <w:highlight w:val="none"/>
        </w:rPr>
        <w:t>附表</w:t>
      </w:r>
    </w:p>
    <w:p w14:paraId="713235B2">
      <w:pPr>
        <w:widowControl/>
        <w:spacing w:before="156" w:beforeLines="50" w:after="156" w:afterLines="50" w:line="400" w:lineRule="exact"/>
        <w:jc w:val="center"/>
        <w:outlineLvl w:val="0"/>
        <w:rPr>
          <w:rFonts w:ascii="宋体" w:hAnsi="宋体"/>
          <w:b/>
          <w:bCs/>
          <w:color w:val="auto"/>
          <w:sz w:val="28"/>
          <w:szCs w:val="28"/>
          <w:highlight w:val="none"/>
        </w:rPr>
      </w:pPr>
      <w:bookmarkStart w:id="58" w:name="_Toc16638"/>
      <w:bookmarkStart w:id="59" w:name="_Toc28361_WPSOffice_Level2"/>
      <w:r>
        <w:rPr>
          <w:rFonts w:ascii="宋体" w:hAnsi="宋体"/>
          <w:b/>
          <w:bCs/>
          <w:color w:val="auto"/>
          <w:sz w:val="28"/>
          <w:szCs w:val="28"/>
          <w:highlight w:val="none"/>
        </w:rPr>
        <w:t>大中小微型企业划分标准</w:t>
      </w:r>
      <w:bookmarkEnd w:id="58"/>
      <w:bookmarkEnd w:id="59"/>
    </w:p>
    <w:tbl>
      <w:tblPr>
        <w:tblStyle w:val="3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31"/>
        <w:gridCol w:w="709"/>
        <w:gridCol w:w="1125"/>
        <w:gridCol w:w="1701"/>
        <w:gridCol w:w="1426"/>
        <w:gridCol w:w="992"/>
      </w:tblGrid>
      <w:tr w14:paraId="2A68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951" w:type="dxa"/>
            <w:shd w:val="clear" w:color="auto" w:fill="8DB3E2"/>
            <w:vAlign w:val="center"/>
          </w:tcPr>
          <w:p w14:paraId="2A054DAB">
            <w:pPr>
              <w:widowControl/>
              <w:spacing w:line="240" w:lineRule="exact"/>
              <w:jc w:val="center"/>
              <w:rPr>
                <w:rFonts w:ascii="宋体" w:hAnsi="宋体"/>
                <w:b/>
                <w:bCs/>
                <w:color w:val="auto"/>
                <w:szCs w:val="21"/>
                <w:highlight w:val="none"/>
              </w:rPr>
            </w:pPr>
            <w:r>
              <w:rPr>
                <w:rFonts w:ascii="宋体" w:hAnsi="宋体"/>
                <w:b/>
                <w:bCs/>
                <w:color w:val="auto"/>
                <w:szCs w:val="21"/>
                <w:highlight w:val="none"/>
              </w:rPr>
              <w:t>行业名称</w:t>
            </w:r>
          </w:p>
        </w:tc>
        <w:tc>
          <w:tcPr>
            <w:tcW w:w="1531" w:type="dxa"/>
            <w:shd w:val="clear" w:color="auto" w:fill="8DB3E2"/>
            <w:vAlign w:val="center"/>
          </w:tcPr>
          <w:p w14:paraId="250D9169">
            <w:pPr>
              <w:widowControl/>
              <w:jc w:val="center"/>
              <w:rPr>
                <w:rFonts w:ascii="宋体" w:hAnsi="宋体"/>
                <w:b/>
                <w:bCs/>
                <w:color w:val="auto"/>
                <w:szCs w:val="21"/>
                <w:highlight w:val="none"/>
              </w:rPr>
            </w:pPr>
            <w:r>
              <w:rPr>
                <w:rFonts w:ascii="宋体" w:hAnsi="宋体"/>
                <w:b/>
                <w:bCs/>
                <w:color w:val="auto"/>
                <w:szCs w:val="21"/>
                <w:highlight w:val="none"/>
              </w:rPr>
              <w:t>指标名称</w:t>
            </w:r>
          </w:p>
        </w:tc>
        <w:tc>
          <w:tcPr>
            <w:tcW w:w="709" w:type="dxa"/>
            <w:shd w:val="clear" w:color="auto" w:fill="8DB3E2"/>
            <w:vAlign w:val="center"/>
          </w:tcPr>
          <w:p w14:paraId="74883EF9">
            <w:pPr>
              <w:widowControl/>
              <w:jc w:val="center"/>
              <w:rPr>
                <w:rFonts w:ascii="宋体" w:hAnsi="宋体"/>
                <w:b/>
                <w:bCs/>
                <w:color w:val="auto"/>
                <w:szCs w:val="21"/>
                <w:highlight w:val="none"/>
              </w:rPr>
            </w:pPr>
            <w:r>
              <w:rPr>
                <w:rFonts w:ascii="宋体" w:hAnsi="宋体"/>
                <w:b/>
                <w:bCs/>
                <w:color w:val="auto"/>
                <w:szCs w:val="21"/>
                <w:highlight w:val="none"/>
              </w:rPr>
              <w:t>计量</w:t>
            </w:r>
          </w:p>
          <w:p w14:paraId="7C60DD3F">
            <w:pPr>
              <w:widowControl/>
              <w:jc w:val="center"/>
              <w:rPr>
                <w:rFonts w:ascii="宋体" w:hAnsi="宋体"/>
                <w:b/>
                <w:bCs/>
                <w:color w:val="auto"/>
                <w:szCs w:val="21"/>
                <w:highlight w:val="none"/>
              </w:rPr>
            </w:pPr>
            <w:r>
              <w:rPr>
                <w:rFonts w:ascii="宋体" w:hAnsi="宋体"/>
                <w:b/>
                <w:bCs/>
                <w:color w:val="auto"/>
                <w:szCs w:val="21"/>
                <w:highlight w:val="none"/>
              </w:rPr>
              <w:t>单位</w:t>
            </w:r>
          </w:p>
        </w:tc>
        <w:tc>
          <w:tcPr>
            <w:tcW w:w="1125" w:type="dxa"/>
            <w:shd w:val="clear" w:color="auto" w:fill="8DB3E2"/>
            <w:vAlign w:val="center"/>
          </w:tcPr>
          <w:p w14:paraId="0DC6062D">
            <w:pPr>
              <w:widowControl/>
              <w:jc w:val="center"/>
              <w:rPr>
                <w:rFonts w:ascii="宋体" w:hAnsi="宋体"/>
                <w:b/>
                <w:bCs/>
                <w:color w:val="auto"/>
                <w:szCs w:val="21"/>
                <w:highlight w:val="none"/>
              </w:rPr>
            </w:pPr>
            <w:r>
              <w:rPr>
                <w:rFonts w:ascii="宋体" w:hAnsi="宋体"/>
                <w:b/>
                <w:bCs/>
                <w:color w:val="auto"/>
                <w:szCs w:val="21"/>
                <w:highlight w:val="none"/>
              </w:rPr>
              <w:t>大型</w:t>
            </w:r>
          </w:p>
        </w:tc>
        <w:tc>
          <w:tcPr>
            <w:tcW w:w="1701" w:type="dxa"/>
            <w:shd w:val="clear" w:color="auto" w:fill="8DB3E2"/>
            <w:vAlign w:val="center"/>
          </w:tcPr>
          <w:p w14:paraId="058ADDCD">
            <w:pPr>
              <w:widowControl/>
              <w:jc w:val="center"/>
              <w:rPr>
                <w:rFonts w:ascii="宋体" w:hAnsi="宋体"/>
                <w:b/>
                <w:bCs/>
                <w:color w:val="auto"/>
                <w:szCs w:val="21"/>
                <w:highlight w:val="none"/>
              </w:rPr>
            </w:pPr>
            <w:r>
              <w:rPr>
                <w:rFonts w:ascii="宋体" w:hAnsi="宋体"/>
                <w:b/>
                <w:bCs/>
                <w:color w:val="auto"/>
                <w:szCs w:val="21"/>
                <w:highlight w:val="none"/>
              </w:rPr>
              <w:t>中型</w:t>
            </w:r>
          </w:p>
        </w:tc>
        <w:tc>
          <w:tcPr>
            <w:tcW w:w="1426" w:type="dxa"/>
            <w:shd w:val="clear" w:color="auto" w:fill="8DB3E2"/>
            <w:vAlign w:val="center"/>
          </w:tcPr>
          <w:p w14:paraId="6F71D367">
            <w:pPr>
              <w:widowControl/>
              <w:jc w:val="center"/>
              <w:rPr>
                <w:rFonts w:ascii="宋体" w:hAnsi="宋体"/>
                <w:b/>
                <w:bCs/>
                <w:color w:val="auto"/>
                <w:szCs w:val="21"/>
                <w:highlight w:val="none"/>
              </w:rPr>
            </w:pPr>
            <w:r>
              <w:rPr>
                <w:rFonts w:ascii="宋体" w:hAnsi="宋体"/>
                <w:b/>
                <w:bCs/>
                <w:color w:val="auto"/>
                <w:szCs w:val="21"/>
                <w:highlight w:val="none"/>
              </w:rPr>
              <w:t>小型</w:t>
            </w:r>
          </w:p>
        </w:tc>
        <w:tc>
          <w:tcPr>
            <w:tcW w:w="992" w:type="dxa"/>
            <w:shd w:val="clear" w:color="auto" w:fill="8DB3E2"/>
            <w:vAlign w:val="center"/>
          </w:tcPr>
          <w:p w14:paraId="791D7214">
            <w:pPr>
              <w:widowControl/>
              <w:jc w:val="center"/>
              <w:rPr>
                <w:rFonts w:ascii="宋体" w:hAnsi="宋体"/>
                <w:b/>
                <w:bCs/>
                <w:color w:val="auto"/>
                <w:szCs w:val="21"/>
                <w:highlight w:val="none"/>
              </w:rPr>
            </w:pPr>
            <w:r>
              <w:rPr>
                <w:rFonts w:ascii="宋体" w:hAnsi="宋体"/>
                <w:b/>
                <w:bCs/>
                <w:color w:val="auto"/>
                <w:szCs w:val="21"/>
                <w:highlight w:val="none"/>
              </w:rPr>
              <w:t>微型</w:t>
            </w:r>
          </w:p>
        </w:tc>
      </w:tr>
      <w:tr w14:paraId="3421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Align w:val="center"/>
          </w:tcPr>
          <w:p w14:paraId="23C7ECED">
            <w:pPr>
              <w:widowControl/>
              <w:spacing w:line="240" w:lineRule="exact"/>
              <w:jc w:val="left"/>
              <w:rPr>
                <w:rFonts w:ascii="宋体" w:hAnsi="宋体"/>
                <w:color w:val="auto"/>
                <w:szCs w:val="21"/>
                <w:highlight w:val="none"/>
              </w:rPr>
            </w:pPr>
            <w:r>
              <w:rPr>
                <w:rFonts w:ascii="宋体" w:hAnsi="宋体"/>
                <w:color w:val="auto"/>
                <w:szCs w:val="21"/>
                <w:highlight w:val="none"/>
              </w:rPr>
              <w:t>农、林、牧、渔业</w:t>
            </w:r>
          </w:p>
        </w:tc>
        <w:tc>
          <w:tcPr>
            <w:tcW w:w="1531" w:type="dxa"/>
            <w:vAlign w:val="center"/>
          </w:tcPr>
          <w:p w14:paraId="4F085834">
            <w:pPr>
              <w:widowControl/>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6D5E6FE0">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72474D5E">
            <w:pPr>
              <w:widowControl/>
              <w:jc w:val="center"/>
              <w:rPr>
                <w:rFonts w:ascii="宋体" w:hAnsi="宋体"/>
                <w:color w:val="auto"/>
                <w:szCs w:val="21"/>
                <w:highlight w:val="none"/>
              </w:rPr>
            </w:pPr>
            <w:r>
              <w:rPr>
                <w:rFonts w:ascii="宋体" w:hAnsi="宋体"/>
                <w:color w:val="auto"/>
                <w:szCs w:val="21"/>
                <w:highlight w:val="none"/>
              </w:rPr>
              <w:t>Y≥20000</w:t>
            </w:r>
          </w:p>
        </w:tc>
        <w:tc>
          <w:tcPr>
            <w:tcW w:w="1701" w:type="dxa"/>
            <w:vAlign w:val="center"/>
          </w:tcPr>
          <w:p w14:paraId="09D97289">
            <w:pPr>
              <w:widowControl/>
              <w:jc w:val="center"/>
              <w:rPr>
                <w:rFonts w:ascii="宋体" w:hAnsi="宋体"/>
                <w:color w:val="auto"/>
                <w:szCs w:val="21"/>
                <w:highlight w:val="none"/>
              </w:rPr>
            </w:pPr>
            <w:r>
              <w:rPr>
                <w:rFonts w:ascii="宋体" w:hAnsi="宋体"/>
                <w:color w:val="auto"/>
                <w:szCs w:val="21"/>
                <w:highlight w:val="none"/>
              </w:rPr>
              <w:t>500≤Y＜20000</w:t>
            </w:r>
          </w:p>
        </w:tc>
        <w:tc>
          <w:tcPr>
            <w:tcW w:w="1426" w:type="dxa"/>
            <w:vAlign w:val="center"/>
          </w:tcPr>
          <w:p w14:paraId="2DEBDFEE">
            <w:pPr>
              <w:widowControl/>
              <w:jc w:val="center"/>
              <w:rPr>
                <w:rFonts w:ascii="宋体" w:hAnsi="宋体"/>
                <w:color w:val="auto"/>
                <w:szCs w:val="21"/>
                <w:highlight w:val="none"/>
              </w:rPr>
            </w:pPr>
            <w:r>
              <w:rPr>
                <w:rFonts w:ascii="宋体" w:hAnsi="宋体"/>
                <w:color w:val="auto"/>
                <w:szCs w:val="21"/>
                <w:highlight w:val="none"/>
              </w:rPr>
              <w:t>50≤Y＜500</w:t>
            </w:r>
          </w:p>
        </w:tc>
        <w:tc>
          <w:tcPr>
            <w:tcW w:w="992" w:type="dxa"/>
            <w:vAlign w:val="center"/>
          </w:tcPr>
          <w:p w14:paraId="0A5B0AAA">
            <w:pPr>
              <w:widowControl/>
              <w:jc w:val="center"/>
              <w:rPr>
                <w:rFonts w:ascii="宋体" w:hAnsi="宋体"/>
                <w:color w:val="auto"/>
                <w:szCs w:val="21"/>
                <w:highlight w:val="none"/>
              </w:rPr>
            </w:pPr>
            <w:r>
              <w:rPr>
                <w:rFonts w:ascii="宋体" w:hAnsi="宋体"/>
                <w:color w:val="auto"/>
                <w:szCs w:val="21"/>
                <w:highlight w:val="none"/>
              </w:rPr>
              <w:t>Y＜50</w:t>
            </w:r>
          </w:p>
        </w:tc>
      </w:tr>
      <w:tr w14:paraId="2D2B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05F0FC55">
            <w:pPr>
              <w:widowControl/>
              <w:spacing w:line="240" w:lineRule="exact"/>
              <w:jc w:val="left"/>
              <w:rPr>
                <w:rFonts w:ascii="宋体" w:hAnsi="宋体"/>
                <w:color w:val="auto"/>
                <w:szCs w:val="21"/>
                <w:highlight w:val="none"/>
              </w:rPr>
            </w:pPr>
            <w:r>
              <w:rPr>
                <w:rFonts w:ascii="宋体" w:hAnsi="宋体"/>
                <w:color w:val="auto"/>
                <w:szCs w:val="21"/>
                <w:highlight w:val="none"/>
              </w:rPr>
              <w:t>工业 *</w:t>
            </w:r>
          </w:p>
        </w:tc>
        <w:tc>
          <w:tcPr>
            <w:tcW w:w="1531" w:type="dxa"/>
            <w:vAlign w:val="center"/>
          </w:tcPr>
          <w:p w14:paraId="65332A3E">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0C68E2CB">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75F9AC2E">
            <w:pPr>
              <w:widowControl/>
              <w:jc w:val="center"/>
              <w:rPr>
                <w:rFonts w:ascii="宋体" w:hAnsi="宋体"/>
                <w:color w:val="auto"/>
                <w:szCs w:val="21"/>
                <w:highlight w:val="none"/>
              </w:rPr>
            </w:pPr>
            <w:r>
              <w:rPr>
                <w:rFonts w:ascii="宋体" w:hAnsi="宋体"/>
                <w:color w:val="auto"/>
                <w:szCs w:val="21"/>
                <w:highlight w:val="none"/>
              </w:rPr>
              <w:t>X≥1000</w:t>
            </w:r>
          </w:p>
        </w:tc>
        <w:tc>
          <w:tcPr>
            <w:tcW w:w="1701" w:type="dxa"/>
            <w:vAlign w:val="center"/>
          </w:tcPr>
          <w:p w14:paraId="023C8C6B">
            <w:pPr>
              <w:widowControl/>
              <w:jc w:val="center"/>
              <w:rPr>
                <w:rFonts w:ascii="宋体" w:hAnsi="宋体"/>
                <w:color w:val="auto"/>
                <w:szCs w:val="21"/>
                <w:highlight w:val="none"/>
              </w:rPr>
            </w:pPr>
            <w:r>
              <w:rPr>
                <w:rFonts w:ascii="宋体" w:hAnsi="宋体"/>
                <w:color w:val="auto"/>
                <w:szCs w:val="21"/>
                <w:highlight w:val="none"/>
              </w:rPr>
              <w:t>300≤X＜1000</w:t>
            </w:r>
          </w:p>
        </w:tc>
        <w:tc>
          <w:tcPr>
            <w:tcW w:w="1426" w:type="dxa"/>
            <w:vAlign w:val="center"/>
          </w:tcPr>
          <w:p w14:paraId="5BA53F01">
            <w:pPr>
              <w:widowControl/>
              <w:jc w:val="center"/>
              <w:rPr>
                <w:rFonts w:ascii="宋体" w:hAnsi="宋体"/>
                <w:color w:val="auto"/>
                <w:szCs w:val="21"/>
                <w:highlight w:val="none"/>
              </w:rPr>
            </w:pPr>
            <w:r>
              <w:rPr>
                <w:rFonts w:ascii="宋体" w:hAnsi="宋体"/>
                <w:color w:val="auto"/>
                <w:szCs w:val="21"/>
                <w:highlight w:val="none"/>
              </w:rPr>
              <w:t>20≤X＜300</w:t>
            </w:r>
          </w:p>
        </w:tc>
        <w:tc>
          <w:tcPr>
            <w:tcW w:w="992" w:type="dxa"/>
            <w:vAlign w:val="center"/>
          </w:tcPr>
          <w:p w14:paraId="08045D69">
            <w:pPr>
              <w:widowControl/>
              <w:jc w:val="center"/>
              <w:rPr>
                <w:rFonts w:ascii="宋体" w:hAnsi="宋体"/>
                <w:color w:val="auto"/>
                <w:szCs w:val="21"/>
                <w:highlight w:val="none"/>
              </w:rPr>
            </w:pPr>
            <w:r>
              <w:rPr>
                <w:rFonts w:ascii="宋体" w:hAnsi="宋体"/>
                <w:color w:val="auto"/>
                <w:szCs w:val="21"/>
                <w:highlight w:val="none"/>
              </w:rPr>
              <w:t>X＜20</w:t>
            </w:r>
          </w:p>
        </w:tc>
      </w:tr>
      <w:tr w14:paraId="6DAC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56ADFCC6">
            <w:pPr>
              <w:widowControl/>
              <w:jc w:val="left"/>
              <w:rPr>
                <w:rFonts w:ascii="宋体" w:hAnsi="宋体"/>
                <w:color w:val="auto"/>
                <w:szCs w:val="21"/>
                <w:highlight w:val="none"/>
              </w:rPr>
            </w:pPr>
          </w:p>
        </w:tc>
        <w:tc>
          <w:tcPr>
            <w:tcW w:w="1531" w:type="dxa"/>
            <w:vAlign w:val="center"/>
          </w:tcPr>
          <w:p w14:paraId="3D734356">
            <w:pPr>
              <w:widowControl/>
              <w:spacing w:line="240" w:lineRule="exact"/>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7E06FCFD">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79D57D3B">
            <w:pPr>
              <w:widowControl/>
              <w:jc w:val="center"/>
              <w:rPr>
                <w:rFonts w:ascii="宋体" w:hAnsi="宋体"/>
                <w:color w:val="auto"/>
                <w:szCs w:val="21"/>
                <w:highlight w:val="none"/>
              </w:rPr>
            </w:pPr>
            <w:r>
              <w:rPr>
                <w:rFonts w:ascii="宋体" w:hAnsi="宋体"/>
                <w:color w:val="auto"/>
                <w:szCs w:val="21"/>
                <w:highlight w:val="none"/>
              </w:rPr>
              <w:t>Y≥40000</w:t>
            </w:r>
          </w:p>
        </w:tc>
        <w:tc>
          <w:tcPr>
            <w:tcW w:w="1701" w:type="dxa"/>
            <w:vAlign w:val="center"/>
          </w:tcPr>
          <w:p w14:paraId="2FAC9F0E">
            <w:pPr>
              <w:widowControl/>
              <w:jc w:val="center"/>
              <w:rPr>
                <w:rFonts w:ascii="宋体" w:hAnsi="宋体"/>
                <w:color w:val="auto"/>
                <w:szCs w:val="21"/>
                <w:highlight w:val="none"/>
              </w:rPr>
            </w:pPr>
            <w:r>
              <w:rPr>
                <w:rFonts w:ascii="宋体" w:hAnsi="宋体"/>
                <w:color w:val="auto"/>
                <w:szCs w:val="21"/>
                <w:highlight w:val="none"/>
              </w:rPr>
              <w:t>2000≤Y＜40000</w:t>
            </w:r>
          </w:p>
        </w:tc>
        <w:tc>
          <w:tcPr>
            <w:tcW w:w="1426" w:type="dxa"/>
            <w:vAlign w:val="center"/>
          </w:tcPr>
          <w:p w14:paraId="4628A349">
            <w:pPr>
              <w:widowControl/>
              <w:jc w:val="center"/>
              <w:rPr>
                <w:rFonts w:ascii="宋体" w:hAnsi="宋体"/>
                <w:color w:val="auto"/>
                <w:szCs w:val="21"/>
                <w:highlight w:val="none"/>
              </w:rPr>
            </w:pPr>
            <w:r>
              <w:rPr>
                <w:rFonts w:ascii="宋体" w:hAnsi="宋体"/>
                <w:color w:val="auto"/>
                <w:szCs w:val="21"/>
                <w:highlight w:val="none"/>
              </w:rPr>
              <w:t>300≤Y＜2000</w:t>
            </w:r>
          </w:p>
        </w:tc>
        <w:tc>
          <w:tcPr>
            <w:tcW w:w="992" w:type="dxa"/>
            <w:vAlign w:val="center"/>
          </w:tcPr>
          <w:p w14:paraId="049588E5">
            <w:pPr>
              <w:widowControl/>
              <w:jc w:val="center"/>
              <w:rPr>
                <w:rFonts w:ascii="宋体" w:hAnsi="宋体"/>
                <w:color w:val="auto"/>
                <w:szCs w:val="21"/>
                <w:highlight w:val="none"/>
              </w:rPr>
            </w:pPr>
            <w:r>
              <w:rPr>
                <w:rFonts w:ascii="宋体" w:hAnsi="宋体"/>
                <w:color w:val="auto"/>
                <w:szCs w:val="21"/>
                <w:highlight w:val="none"/>
              </w:rPr>
              <w:t>Y＜300</w:t>
            </w:r>
          </w:p>
        </w:tc>
      </w:tr>
      <w:tr w14:paraId="2746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731B1900">
            <w:pPr>
              <w:widowControl/>
              <w:spacing w:line="240" w:lineRule="exact"/>
              <w:jc w:val="left"/>
              <w:rPr>
                <w:rFonts w:ascii="宋体" w:hAnsi="宋体"/>
                <w:color w:val="auto"/>
                <w:szCs w:val="21"/>
                <w:highlight w:val="none"/>
              </w:rPr>
            </w:pPr>
            <w:r>
              <w:rPr>
                <w:rFonts w:ascii="宋体" w:hAnsi="宋体"/>
                <w:color w:val="auto"/>
                <w:szCs w:val="21"/>
                <w:highlight w:val="none"/>
              </w:rPr>
              <w:t>建筑业</w:t>
            </w:r>
          </w:p>
        </w:tc>
        <w:tc>
          <w:tcPr>
            <w:tcW w:w="1531" w:type="dxa"/>
            <w:vAlign w:val="center"/>
          </w:tcPr>
          <w:p w14:paraId="1DC679DB">
            <w:pPr>
              <w:widowControl/>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2CD9105B">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53A0F467">
            <w:pPr>
              <w:widowControl/>
              <w:jc w:val="center"/>
              <w:rPr>
                <w:rFonts w:ascii="宋体" w:hAnsi="宋体"/>
                <w:color w:val="auto"/>
                <w:szCs w:val="21"/>
                <w:highlight w:val="none"/>
              </w:rPr>
            </w:pPr>
            <w:r>
              <w:rPr>
                <w:rFonts w:ascii="宋体" w:hAnsi="宋体"/>
                <w:color w:val="auto"/>
                <w:szCs w:val="21"/>
                <w:highlight w:val="none"/>
              </w:rPr>
              <w:t>Y≥80000</w:t>
            </w:r>
          </w:p>
        </w:tc>
        <w:tc>
          <w:tcPr>
            <w:tcW w:w="1701" w:type="dxa"/>
            <w:vAlign w:val="center"/>
          </w:tcPr>
          <w:p w14:paraId="7FEA90D5">
            <w:pPr>
              <w:widowControl/>
              <w:jc w:val="center"/>
              <w:rPr>
                <w:rFonts w:ascii="宋体" w:hAnsi="宋体"/>
                <w:color w:val="auto"/>
                <w:szCs w:val="21"/>
                <w:highlight w:val="none"/>
              </w:rPr>
            </w:pPr>
            <w:r>
              <w:rPr>
                <w:rFonts w:ascii="宋体" w:hAnsi="宋体"/>
                <w:color w:val="auto"/>
                <w:szCs w:val="21"/>
                <w:highlight w:val="none"/>
              </w:rPr>
              <w:t>6000≤Y＜80000</w:t>
            </w:r>
          </w:p>
        </w:tc>
        <w:tc>
          <w:tcPr>
            <w:tcW w:w="1426" w:type="dxa"/>
            <w:vAlign w:val="center"/>
          </w:tcPr>
          <w:p w14:paraId="7F0EE8CC">
            <w:pPr>
              <w:widowControl/>
              <w:jc w:val="center"/>
              <w:rPr>
                <w:rFonts w:ascii="宋体" w:hAnsi="宋体"/>
                <w:color w:val="auto"/>
                <w:szCs w:val="21"/>
                <w:highlight w:val="none"/>
              </w:rPr>
            </w:pPr>
            <w:r>
              <w:rPr>
                <w:rFonts w:ascii="宋体" w:hAnsi="宋体"/>
                <w:color w:val="auto"/>
                <w:szCs w:val="21"/>
                <w:highlight w:val="none"/>
              </w:rPr>
              <w:t>300≤Y＜6000</w:t>
            </w:r>
          </w:p>
        </w:tc>
        <w:tc>
          <w:tcPr>
            <w:tcW w:w="992" w:type="dxa"/>
            <w:vAlign w:val="center"/>
          </w:tcPr>
          <w:p w14:paraId="00CE03D3">
            <w:pPr>
              <w:widowControl/>
              <w:jc w:val="center"/>
              <w:rPr>
                <w:rFonts w:ascii="宋体" w:hAnsi="宋体"/>
                <w:color w:val="auto"/>
                <w:szCs w:val="21"/>
                <w:highlight w:val="none"/>
              </w:rPr>
            </w:pPr>
            <w:r>
              <w:rPr>
                <w:rFonts w:ascii="宋体" w:hAnsi="宋体"/>
                <w:color w:val="auto"/>
                <w:szCs w:val="21"/>
                <w:highlight w:val="none"/>
              </w:rPr>
              <w:t>Y＜300</w:t>
            </w:r>
          </w:p>
        </w:tc>
      </w:tr>
      <w:tr w14:paraId="06B8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3FE97FF7">
            <w:pPr>
              <w:widowControl/>
              <w:jc w:val="left"/>
              <w:rPr>
                <w:rFonts w:ascii="宋体" w:hAnsi="宋体"/>
                <w:color w:val="auto"/>
                <w:szCs w:val="21"/>
                <w:highlight w:val="none"/>
              </w:rPr>
            </w:pPr>
          </w:p>
        </w:tc>
        <w:tc>
          <w:tcPr>
            <w:tcW w:w="1531" w:type="dxa"/>
            <w:vAlign w:val="center"/>
          </w:tcPr>
          <w:p w14:paraId="4B869F67">
            <w:pPr>
              <w:widowControl/>
              <w:spacing w:line="240" w:lineRule="exact"/>
              <w:jc w:val="center"/>
              <w:rPr>
                <w:rFonts w:ascii="宋体" w:hAnsi="宋体"/>
                <w:color w:val="auto"/>
                <w:szCs w:val="21"/>
                <w:highlight w:val="none"/>
              </w:rPr>
            </w:pPr>
            <w:r>
              <w:rPr>
                <w:rFonts w:ascii="宋体" w:hAnsi="宋体"/>
                <w:color w:val="auto"/>
                <w:szCs w:val="21"/>
                <w:highlight w:val="none"/>
              </w:rPr>
              <w:t>资产总额(Z)</w:t>
            </w:r>
          </w:p>
        </w:tc>
        <w:tc>
          <w:tcPr>
            <w:tcW w:w="709" w:type="dxa"/>
            <w:vAlign w:val="center"/>
          </w:tcPr>
          <w:p w14:paraId="1207BA76">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54C70297">
            <w:pPr>
              <w:widowControl/>
              <w:jc w:val="center"/>
              <w:rPr>
                <w:rFonts w:ascii="宋体" w:hAnsi="宋体"/>
                <w:color w:val="auto"/>
                <w:szCs w:val="21"/>
                <w:highlight w:val="none"/>
              </w:rPr>
            </w:pPr>
            <w:r>
              <w:rPr>
                <w:rFonts w:ascii="宋体" w:hAnsi="宋体"/>
                <w:color w:val="auto"/>
                <w:szCs w:val="21"/>
                <w:highlight w:val="none"/>
              </w:rPr>
              <w:t>Z≥80000</w:t>
            </w:r>
          </w:p>
        </w:tc>
        <w:tc>
          <w:tcPr>
            <w:tcW w:w="1701" w:type="dxa"/>
            <w:vAlign w:val="center"/>
          </w:tcPr>
          <w:p w14:paraId="0F1788DF">
            <w:pPr>
              <w:widowControl/>
              <w:jc w:val="center"/>
              <w:rPr>
                <w:rFonts w:ascii="宋体" w:hAnsi="宋体"/>
                <w:color w:val="auto"/>
                <w:szCs w:val="21"/>
                <w:highlight w:val="none"/>
              </w:rPr>
            </w:pPr>
            <w:r>
              <w:rPr>
                <w:rFonts w:ascii="宋体" w:hAnsi="宋体"/>
                <w:color w:val="auto"/>
                <w:szCs w:val="21"/>
                <w:highlight w:val="none"/>
              </w:rPr>
              <w:t>5000≤Z＜80000</w:t>
            </w:r>
          </w:p>
        </w:tc>
        <w:tc>
          <w:tcPr>
            <w:tcW w:w="1426" w:type="dxa"/>
            <w:vAlign w:val="center"/>
          </w:tcPr>
          <w:p w14:paraId="627FF50E">
            <w:pPr>
              <w:widowControl/>
              <w:jc w:val="center"/>
              <w:rPr>
                <w:rFonts w:ascii="宋体" w:hAnsi="宋体"/>
                <w:color w:val="auto"/>
                <w:szCs w:val="21"/>
                <w:highlight w:val="none"/>
              </w:rPr>
            </w:pPr>
            <w:r>
              <w:rPr>
                <w:rFonts w:ascii="宋体" w:hAnsi="宋体"/>
                <w:color w:val="auto"/>
                <w:szCs w:val="21"/>
                <w:highlight w:val="none"/>
              </w:rPr>
              <w:t>300≤Z＜5000</w:t>
            </w:r>
          </w:p>
        </w:tc>
        <w:tc>
          <w:tcPr>
            <w:tcW w:w="992" w:type="dxa"/>
            <w:vAlign w:val="center"/>
          </w:tcPr>
          <w:p w14:paraId="0118F404">
            <w:pPr>
              <w:widowControl/>
              <w:jc w:val="center"/>
              <w:rPr>
                <w:rFonts w:ascii="宋体" w:hAnsi="宋体"/>
                <w:color w:val="auto"/>
                <w:szCs w:val="21"/>
                <w:highlight w:val="none"/>
              </w:rPr>
            </w:pPr>
            <w:r>
              <w:rPr>
                <w:rFonts w:ascii="宋体" w:hAnsi="宋体"/>
                <w:color w:val="auto"/>
                <w:szCs w:val="21"/>
                <w:highlight w:val="none"/>
              </w:rPr>
              <w:t>Z＜300</w:t>
            </w:r>
          </w:p>
        </w:tc>
      </w:tr>
      <w:tr w14:paraId="7F2B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1366A1FF">
            <w:pPr>
              <w:widowControl/>
              <w:spacing w:line="240" w:lineRule="exact"/>
              <w:jc w:val="left"/>
              <w:rPr>
                <w:rFonts w:ascii="宋体" w:hAnsi="宋体"/>
                <w:color w:val="auto"/>
                <w:szCs w:val="21"/>
                <w:highlight w:val="none"/>
              </w:rPr>
            </w:pPr>
            <w:r>
              <w:rPr>
                <w:rFonts w:ascii="宋体" w:hAnsi="宋体"/>
                <w:color w:val="auto"/>
                <w:szCs w:val="21"/>
                <w:highlight w:val="none"/>
              </w:rPr>
              <w:t>批发业</w:t>
            </w:r>
          </w:p>
        </w:tc>
        <w:tc>
          <w:tcPr>
            <w:tcW w:w="1531" w:type="dxa"/>
            <w:vAlign w:val="center"/>
          </w:tcPr>
          <w:p w14:paraId="1A633440">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48CCED44">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560D55C5">
            <w:pPr>
              <w:widowControl/>
              <w:jc w:val="center"/>
              <w:rPr>
                <w:rFonts w:ascii="宋体" w:hAnsi="宋体"/>
                <w:color w:val="auto"/>
                <w:szCs w:val="21"/>
                <w:highlight w:val="none"/>
              </w:rPr>
            </w:pPr>
            <w:r>
              <w:rPr>
                <w:rFonts w:ascii="宋体" w:hAnsi="宋体"/>
                <w:color w:val="auto"/>
                <w:szCs w:val="21"/>
                <w:highlight w:val="none"/>
              </w:rPr>
              <w:t>X≥200</w:t>
            </w:r>
          </w:p>
        </w:tc>
        <w:tc>
          <w:tcPr>
            <w:tcW w:w="1701" w:type="dxa"/>
            <w:vAlign w:val="center"/>
          </w:tcPr>
          <w:p w14:paraId="633605A0">
            <w:pPr>
              <w:widowControl/>
              <w:jc w:val="center"/>
              <w:rPr>
                <w:rFonts w:ascii="宋体" w:hAnsi="宋体"/>
                <w:color w:val="auto"/>
                <w:szCs w:val="21"/>
                <w:highlight w:val="none"/>
              </w:rPr>
            </w:pPr>
            <w:r>
              <w:rPr>
                <w:rFonts w:ascii="宋体" w:hAnsi="宋体"/>
                <w:color w:val="auto"/>
                <w:szCs w:val="21"/>
                <w:highlight w:val="none"/>
              </w:rPr>
              <w:t>20≤X＜200</w:t>
            </w:r>
          </w:p>
        </w:tc>
        <w:tc>
          <w:tcPr>
            <w:tcW w:w="1426" w:type="dxa"/>
            <w:vAlign w:val="center"/>
          </w:tcPr>
          <w:p w14:paraId="3D7CD2ED">
            <w:pPr>
              <w:widowControl/>
              <w:jc w:val="center"/>
              <w:rPr>
                <w:rFonts w:ascii="宋体" w:hAnsi="宋体"/>
                <w:color w:val="auto"/>
                <w:szCs w:val="21"/>
                <w:highlight w:val="none"/>
              </w:rPr>
            </w:pPr>
            <w:r>
              <w:rPr>
                <w:rFonts w:ascii="宋体" w:hAnsi="宋体"/>
                <w:color w:val="auto"/>
                <w:szCs w:val="21"/>
                <w:highlight w:val="none"/>
              </w:rPr>
              <w:t>5≤X＜20</w:t>
            </w:r>
          </w:p>
        </w:tc>
        <w:tc>
          <w:tcPr>
            <w:tcW w:w="992" w:type="dxa"/>
            <w:vAlign w:val="center"/>
          </w:tcPr>
          <w:p w14:paraId="5B779BC3">
            <w:pPr>
              <w:widowControl/>
              <w:jc w:val="center"/>
              <w:rPr>
                <w:rFonts w:ascii="宋体" w:hAnsi="宋体"/>
                <w:color w:val="auto"/>
                <w:szCs w:val="21"/>
                <w:highlight w:val="none"/>
              </w:rPr>
            </w:pPr>
            <w:r>
              <w:rPr>
                <w:rFonts w:ascii="宋体" w:hAnsi="宋体"/>
                <w:color w:val="auto"/>
                <w:szCs w:val="21"/>
                <w:highlight w:val="none"/>
              </w:rPr>
              <w:t>X＜5</w:t>
            </w:r>
          </w:p>
        </w:tc>
      </w:tr>
      <w:tr w14:paraId="5CF2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63AE4117">
            <w:pPr>
              <w:widowControl/>
              <w:jc w:val="left"/>
              <w:rPr>
                <w:rFonts w:ascii="宋体" w:hAnsi="宋体"/>
                <w:color w:val="auto"/>
                <w:szCs w:val="21"/>
                <w:highlight w:val="none"/>
              </w:rPr>
            </w:pPr>
          </w:p>
        </w:tc>
        <w:tc>
          <w:tcPr>
            <w:tcW w:w="1531" w:type="dxa"/>
            <w:vAlign w:val="center"/>
          </w:tcPr>
          <w:p w14:paraId="1774B383">
            <w:pPr>
              <w:widowControl/>
              <w:spacing w:line="240" w:lineRule="exact"/>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1C69055E">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5310C009">
            <w:pPr>
              <w:widowControl/>
              <w:jc w:val="center"/>
              <w:rPr>
                <w:rFonts w:ascii="宋体" w:hAnsi="宋体"/>
                <w:color w:val="auto"/>
                <w:szCs w:val="21"/>
                <w:highlight w:val="none"/>
              </w:rPr>
            </w:pPr>
            <w:r>
              <w:rPr>
                <w:rFonts w:ascii="宋体" w:hAnsi="宋体"/>
                <w:color w:val="auto"/>
                <w:szCs w:val="21"/>
                <w:highlight w:val="none"/>
              </w:rPr>
              <w:t>Y≥40000</w:t>
            </w:r>
          </w:p>
        </w:tc>
        <w:tc>
          <w:tcPr>
            <w:tcW w:w="1701" w:type="dxa"/>
            <w:vAlign w:val="center"/>
          </w:tcPr>
          <w:p w14:paraId="0B82E47B">
            <w:pPr>
              <w:widowControl/>
              <w:jc w:val="center"/>
              <w:rPr>
                <w:rFonts w:ascii="宋体" w:hAnsi="宋体"/>
                <w:color w:val="auto"/>
                <w:szCs w:val="21"/>
                <w:highlight w:val="none"/>
              </w:rPr>
            </w:pPr>
            <w:r>
              <w:rPr>
                <w:rFonts w:ascii="宋体" w:hAnsi="宋体"/>
                <w:color w:val="auto"/>
                <w:szCs w:val="21"/>
                <w:highlight w:val="none"/>
              </w:rPr>
              <w:t>5000≤Y＜40000</w:t>
            </w:r>
          </w:p>
        </w:tc>
        <w:tc>
          <w:tcPr>
            <w:tcW w:w="1426" w:type="dxa"/>
            <w:vAlign w:val="center"/>
          </w:tcPr>
          <w:p w14:paraId="2971F6A1">
            <w:pPr>
              <w:widowControl/>
              <w:ind w:left="-1" w:leftChars="-1" w:hanging="1"/>
              <w:jc w:val="center"/>
              <w:rPr>
                <w:rFonts w:ascii="宋体" w:hAnsi="宋体"/>
                <w:color w:val="auto"/>
                <w:szCs w:val="21"/>
                <w:highlight w:val="none"/>
              </w:rPr>
            </w:pPr>
            <w:r>
              <w:rPr>
                <w:rFonts w:ascii="宋体" w:hAnsi="宋体"/>
                <w:color w:val="auto"/>
                <w:szCs w:val="21"/>
                <w:highlight w:val="none"/>
              </w:rPr>
              <w:t>1000≤Y＜5000</w:t>
            </w:r>
          </w:p>
        </w:tc>
        <w:tc>
          <w:tcPr>
            <w:tcW w:w="992" w:type="dxa"/>
            <w:vAlign w:val="center"/>
          </w:tcPr>
          <w:p w14:paraId="4A83A7AF">
            <w:pPr>
              <w:widowControl/>
              <w:jc w:val="center"/>
              <w:rPr>
                <w:rFonts w:ascii="宋体" w:hAnsi="宋体"/>
                <w:color w:val="auto"/>
                <w:szCs w:val="21"/>
                <w:highlight w:val="none"/>
              </w:rPr>
            </w:pPr>
            <w:r>
              <w:rPr>
                <w:rFonts w:ascii="宋体" w:hAnsi="宋体"/>
                <w:color w:val="auto"/>
                <w:szCs w:val="21"/>
                <w:highlight w:val="none"/>
              </w:rPr>
              <w:t>Y＜1000</w:t>
            </w:r>
          </w:p>
        </w:tc>
      </w:tr>
      <w:tr w14:paraId="57AB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5392CA3B">
            <w:pPr>
              <w:widowControl/>
              <w:spacing w:line="240" w:lineRule="exact"/>
              <w:jc w:val="left"/>
              <w:rPr>
                <w:rFonts w:ascii="宋体" w:hAnsi="宋体"/>
                <w:color w:val="auto"/>
                <w:szCs w:val="21"/>
                <w:highlight w:val="none"/>
              </w:rPr>
            </w:pPr>
            <w:r>
              <w:rPr>
                <w:rFonts w:ascii="宋体" w:hAnsi="宋体"/>
                <w:color w:val="auto"/>
                <w:szCs w:val="21"/>
                <w:highlight w:val="none"/>
              </w:rPr>
              <w:t>零售业</w:t>
            </w:r>
          </w:p>
        </w:tc>
        <w:tc>
          <w:tcPr>
            <w:tcW w:w="1531" w:type="dxa"/>
            <w:vAlign w:val="center"/>
          </w:tcPr>
          <w:p w14:paraId="6803044A">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1EC14C2E">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0C651561">
            <w:pPr>
              <w:widowControl/>
              <w:jc w:val="center"/>
              <w:rPr>
                <w:rFonts w:ascii="宋体" w:hAnsi="宋体"/>
                <w:color w:val="auto"/>
                <w:szCs w:val="21"/>
                <w:highlight w:val="none"/>
              </w:rPr>
            </w:pPr>
            <w:r>
              <w:rPr>
                <w:rFonts w:ascii="宋体" w:hAnsi="宋体"/>
                <w:color w:val="auto"/>
                <w:szCs w:val="21"/>
                <w:highlight w:val="none"/>
              </w:rPr>
              <w:t>X≥300</w:t>
            </w:r>
          </w:p>
        </w:tc>
        <w:tc>
          <w:tcPr>
            <w:tcW w:w="1701" w:type="dxa"/>
            <w:vAlign w:val="center"/>
          </w:tcPr>
          <w:p w14:paraId="2081FF43">
            <w:pPr>
              <w:widowControl/>
              <w:jc w:val="center"/>
              <w:rPr>
                <w:rFonts w:ascii="宋体" w:hAnsi="宋体"/>
                <w:color w:val="auto"/>
                <w:szCs w:val="21"/>
                <w:highlight w:val="none"/>
              </w:rPr>
            </w:pPr>
            <w:r>
              <w:rPr>
                <w:rFonts w:ascii="宋体" w:hAnsi="宋体"/>
                <w:color w:val="auto"/>
                <w:szCs w:val="21"/>
                <w:highlight w:val="none"/>
              </w:rPr>
              <w:t>50≤X＜300</w:t>
            </w:r>
          </w:p>
        </w:tc>
        <w:tc>
          <w:tcPr>
            <w:tcW w:w="1426" w:type="dxa"/>
            <w:vAlign w:val="center"/>
          </w:tcPr>
          <w:p w14:paraId="21B126CA">
            <w:pPr>
              <w:widowControl/>
              <w:ind w:left="-1" w:leftChars="-1" w:hanging="1"/>
              <w:jc w:val="center"/>
              <w:rPr>
                <w:rFonts w:ascii="宋体" w:hAnsi="宋体"/>
                <w:color w:val="auto"/>
                <w:szCs w:val="21"/>
                <w:highlight w:val="none"/>
              </w:rPr>
            </w:pPr>
            <w:r>
              <w:rPr>
                <w:rFonts w:ascii="宋体" w:hAnsi="宋体"/>
                <w:color w:val="auto"/>
                <w:szCs w:val="21"/>
                <w:highlight w:val="none"/>
              </w:rPr>
              <w:t xml:space="preserve">10≤X＜50 </w:t>
            </w:r>
          </w:p>
        </w:tc>
        <w:tc>
          <w:tcPr>
            <w:tcW w:w="992" w:type="dxa"/>
            <w:vAlign w:val="center"/>
          </w:tcPr>
          <w:p w14:paraId="5D94CDD7">
            <w:pPr>
              <w:widowControl/>
              <w:jc w:val="center"/>
              <w:rPr>
                <w:rFonts w:ascii="宋体" w:hAnsi="宋体"/>
                <w:color w:val="auto"/>
                <w:szCs w:val="21"/>
                <w:highlight w:val="none"/>
              </w:rPr>
            </w:pPr>
            <w:r>
              <w:rPr>
                <w:rFonts w:ascii="宋体" w:hAnsi="宋体"/>
                <w:color w:val="auto"/>
                <w:szCs w:val="21"/>
                <w:highlight w:val="none"/>
              </w:rPr>
              <w:t>X＜10</w:t>
            </w:r>
          </w:p>
        </w:tc>
      </w:tr>
      <w:tr w14:paraId="54FB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3283D766">
            <w:pPr>
              <w:widowControl/>
              <w:jc w:val="left"/>
              <w:rPr>
                <w:rFonts w:ascii="宋体" w:hAnsi="宋体"/>
                <w:color w:val="auto"/>
                <w:szCs w:val="21"/>
                <w:highlight w:val="none"/>
              </w:rPr>
            </w:pPr>
          </w:p>
        </w:tc>
        <w:tc>
          <w:tcPr>
            <w:tcW w:w="1531" w:type="dxa"/>
            <w:vAlign w:val="center"/>
          </w:tcPr>
          <w:p w14:paraId="27EC0A20">
            <w:pPr>
              <w:widowControl/>
              <w:spacing w:line="240" w:lineRule="exact"/>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56D986E4">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42A430E7">
            <w:pPr>
              <w:widowControl/>
              <w:jc w:val="center"/>
              <w:rPr>
                <w:rFonts w:ascii="宋体" w:hAnsi="宋体"/>
                <w:color w:val="auto"/>
                <w:szCs w:val="21"/>
                <w:highlight w:val="none"/>
              </w:rPr>
            </w:pPr>
            <w:r>
              <w:rPr>
                <w:rFonts w:ascii="宋体" w:hAnsi="宋体"/>
                <w:color w:val="auto"/>
                <w:szCs w:val="21"/>
                <w:highlight w:val="none"/>
              </w:rPr>
              <w:t>Y≥20000</w:t>
            </w:r>
          </w:p>
        </w:tc>
        <w:tc>
          <w:tcPr>
            <w:tcW w:w="1701" w:type="dxa"/>
            <w:vAlign w:val="center"/>
          </w:tcPr>
          <w:p w14:paraId="3D77AA40">
            <w:pPr>
              <w:widowControl/>
              <w:jc w:val="center"/>
              <w:rPr>
                <w:rFonts w:ascii="宋体" w:hAnsi="宋体"/>
                <w:color w:val="auto"/>
                <w:szCs w:val="21"/>
                <w:highlight w:val="none"/>
              </w:rPr>
            </w:pPr>
            <w:r>
              <w:rPr>
                <w:rFonts w:ascii="宋体" w:hAnsi="宋体"/>
                <w:color w:val="auto"/>
                <w:szCs w:val="21"/>
                <w:highlight w:val="none"/>
              </w:rPr>
              <w:t>500≤Y＜20000</w:t>
            </w:r>
          </w:p>
        </w:tc>
        <w:tc>
          <w:tcPr>
            <w:tcW w:w="1426" w:type="dxa"/>
            <w:vAlign w:val="center"/>
          </w:tcPr>
          <w:p w14:paraId="156EBA8A">
            <w:pPr>
              <w:widowControl/>
              <w:ind w:left="-1" w:leftChars="-1" w:hanging="1"/>
              <w:jc w:val="center"/>
              <w:rPr>
                <w:rFonts w:ascii="宋体" w:hAnsi="宋体"/>
                <w:color w:val="auto"/>
                <w:szCs w:val="21"/>
                <w:highlight w:val="none"/>
              </w:rPr>
            </w:pPr>
            <w:r>
              <w:rPr>
                <w:rFonts w:ascii="宋体" w:hAnsi="宋体"/>
                <w:color w:val="auto"/>
                <w:szCs w:val="21"/>
                <w:highlight w:val="none"/>
              </w:rPr>
              <w:t>100≤Y＜500</w:t>
            </w:r>
          </w:p>
        </w:tc>
        <w:tc>
          <w:tcPr>
            <w:tcW w:w="992" w:type="dxa"/>
            <w:vAlign w:val="center"/>
          </w:tcPr>
          <w:p w14:paraId="191C519B">
            <w:pPr>
              <w:widowControl/>
              <w:jc w:val="center"/>
              <w:rPr>
                <w:rFonts w:ascii="宋体" w:hAnsi="宋体"/>
                <w:color w:val="auto"/>
                <w:szCs w:val="21"/>
                <w:highlight w:val="none"/>
              </w:rPr>
            </w:pPr>
            <w:r>
              <w:rPr>
                <w:rFonts w:ascii="宋体" w:hAnsi="宋体"/>
                <w:color w:val="auto"/>
                <w:szCs w:val="21"/>
                <w:highlight w:val="none"/>
              </w:rPr>
              <w:t>Y＜100</w:t>
            </w:r>
          </w:p>
        </w:tc>
      </w:tr>
      <w:tr w14:paraId="5804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77F243EF">
            <w:pPr>
              <w:widowControl/>
              <w:spacing w:line="240" w:lineRule="exact"/>
              <w:jc w:val="left"/>
              <w:rPr>
                <w:rFonts w:ascii="宋体" w:hAnsi="宋体"/>
                <w:color w:val="auto"/>
                <w:szCs w:val="21"/>
                <w:highlight w:val="none"/>
              </w:rPr>
            </w:pPr>
            <w:r>
              <w:rPr>
                <w:rFonts w:ascii="宋体" w:hAnsi="宋体"/>
                <w:color w:val="auto"/>
                <w:szCs w:val="21"/>
                <w:highlight w:val="none"/>
              </w:rPr>
              <w:t>交通运输业 *</w:t>
            </w:r>
          </w:p>
        </w:tc>
        <w:tc>
          <w:tcPr>
            <w:tcW w:w="1531" w:type="dxa"/>
            <w:vAlign w:val="center"/>
          </w:tcPr>
          <w:p w14:paraId="30EDD491">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46B335AB">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259CBDD0">
            <w:pPr>
              <w:widowControl/>
              <w:jc w:val="center"/>
              <w:rPr>
                <w:rFonts w:ascii="宋体" w:hAnsi="宋体"/>
                <w:color w:val="auto"/>
                <w:szCs w:val="21"/>
                <w:highlight w:val="none"/>
              </w:rPr>
            </w:pPr>
            <w:r>
              <w:rPr>
                <w:rFonts w:ascii="宋体" w:hAnsi="宋体"/>
                <w:color w:val="auto"/>
                <w:szCs w:val="21"/>
                <w:highlight w:val="none"/>
              </w:rPr>
              <w:t>X≥1000</w:t>
            </w:r>
          </w:p>
        </w:tc>
        <w:tc>
          <w:tcPr>
            <w:tcW w:w="1701" w:type="dxa"/>
            <w:vAlign w:val="center"/>
          </w:tcPr>
          <w:p w14:paraId="1FE862C8">
            <w:pPr>
              <w:widowControl/>
              <w:jc w:val="center"/>
              <w:rPr>
                <w:rFonts w:ascii="宋体" w:hAnsi="宋体"/>
                <w:color w:val="auto"/>
                <w:szCs w:val="21"/>
                <w:highlight w:val="none"/>
              </w:rPr>
            </w:pPr>
            <w:r>
              <w:rPr>
                <w:rFonts w:ascii="宋体" w:hAnsi="宋体"/>
                <w:color w:val="auto"/>
                <w:szCs w:val="21"/>
                <w:highlight w:val="none"/>
              </w:rPr>
              <w:t>300≤X＜1000</w:t>
            </w:r>
          </w:p>
        </w:tc>
        <w:tc>
          <w:tcPr>
            <w:tcW w:w="1426" w:type="dxa"/>
            <w:vAlign w:val="center"/>
          </w:tcPr>
          <w:p w14:paraId="3AC3BEEA">
            <w:pPr>
              <w:widowControl/>
              <w:jc w:val="center"/>
              <w:rPr>
                <w:rFonts w:ascii="宋体" w:hAnsi="宋体"/>
                <w:color w:val="auto"/>
                <w:szCs w:val="21"/>
                <w:highlight w:val="none"/>
              </w:rPr>
            </w:pPr>
            <w:r>
              <w:rPr>
                <w:rFonts w:ascii="宋体" w:hAnsi="宋体"/>
                <w:color w:val="auto"/>
                <w:szCs w:val="21"/>
                <w:highlight w:val="none"/>
              </w:rPr>
              <w:t>20≤X＜300</w:t>
            </w:r>
          </w:p>
        </w:tc>
        <w:tc>
          <w:tcPr>
            <w:tcW w:w="992" w:type="dxa"/>
            <w:vAlign w:val="center"/>
          </w:tcPr>
          <w:p w14:paraId="4BA6AB6B">
            <w:pPr>
              <w:widowControl/>
              <w:jc w:val="center"/>
              <w:rPr>
                <w:rFonts w:ascii="宋体" w:hAnsi="宋体"/>
                <w:color w:val="auto"/>
                <w:szCs w:val="21"/>
                <w:highlight w:val="none"/>
              </w:rPr>
            </w:pPr>
            <w:r>
              <w:rPr>
                <w:rFonts w:ascii="宋体" w:hAnsi="宋体"/>
                <w:color w:val="auto"/>
                <w:szCs w:val="21"/>
                <w:highlight w:val="none"/>
              </w:rPr>
              <w:t>X＜20</w:t>
            </w:r>
          </w:p>
        </w:tc>
      </w:tr>
      <w:tr w14:paraId="77CD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0D76D7B7">
            <w:pPr>
              <w:widowControl/>
              <w:jc w:val="left"/>
              <w:rPr>
                <w:rFonts w:ascii="宋体" w:hAnsi="宋体"/>
                <w:color w:val="auto"/>
                <w:szCs w:val="21"/>
                <w:highlight w:val="none"/>
              </w:rPr>
            </w:pPr>
          </w:p>
        </w:tc>
        <w:tc>
          <w:tcPr>
            <w:tcW w:w="1531" w:type="dxa"/>
            <w:vAlign w:val="center"/>
          </w:tcPr>
          <w:p w14:paraId="52068F03">
            <w:pPr>
              <w:widowControl/>
              <w:spacing w:line="240" w:lineRule="exact"/>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7477870F">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0A93BD78">
            <w:pPr>
              <w:widowControl/>
              <w:jc w:val="center"/>
              <w:rPr>
                <w:rFonts w:ascii="宋体" w:hAnsi="宋体"/>
                <w:color w:val="auto"/>
                <w:szCs w:val="21"/>
                <w:highlight w:val="none"/>
              </w:rPr>
            </w:pPr>
            <w:r>
              <w:rPr>
                <w:rFonts w:ascii="宋体" w:hAnsi="宋体"/>
                <w:color w:val="auto"/>
                <w:szCs w:val="21"/>
                <w:highlight w:val="none"/>
              </w:rPr>
              <w:t>Y≥30000</w:t>
            </w:r>
          </w:p>
        </w:tc>
        <w:tc>
          <w:tcPr>
            <w:tcW w:w="1701" w:type="dxa"/>
            <w:vAlign w:val="center"/>
          </w:tcPr>
          <w:p w14:paraId="272F0B53">
            <w:pPr>
              <w:widowControl/>
              <w:jc w:val="center"/>
              <w:rPr>
                <w:rFonts w:ascii="宋体" w:hAnsi="宋体"/>
                <w:color w:val="auto"/>
                <w:szCs w:val="21"/>
                <w:highlight w:val="none"/>
              </w:rPr>
            </w:pPr>
            <w:r>
              <w:rPr>
                <w:rFonts w:ascii="宋体" w:hAnsi="宋体"/>
                <w:color w:val="auto"/>
                <w:szCs w:val="21"/>
                <w:highlight w:val="none"/>
              </w:rPr>
              <w:t>3000≤Y＜30000</w:t>
            </w:r>
          </w:p>
        </w:tc>
        <w:tc>
          <w:tcPr>
            <w:tcW w:w="1426" w:type="dxa"/>
            <w:vAlign w:val="center"/>
          </w:tcPr>
          <w:p w14:paraId="5528A20E">
            <w:pPr>
              <w:widowControl/>
              <w:jc w:val="center"/>
              <w:rPr>
                <w:rFonts w:ascii="宋体" w:hAnsi="宋体"/>
                <w:color w:val="auto"/>
                <w:szCs w:val="21"/>
                <w:highlight w:val="none"/>
              </w:rPr>
            </w:pPr>
            <w:r>
              <w:rPr>
                <w:rFonts w:ascii="宋体" w:hAnsi="宋体"/>
                <w:color w:val="auto"/>
                <w:szCs w:val="21"/>
                <w:highlight w:val="none"/>
              </w:rPr>
              <w:t>200≤Y＜3000</w:t>
            </w:r>
          </w:p>
        </w:tc>
        <w:tc>
          <w:tcPr>
            <w:tcW w:w="992" w:type="dxa"/>
            <w:vAlign w:val="center"/>
          </w:tcPr>
          <w:p w14:paraId="515935CF">
            <w:pPr>
              <w:widowControl/>
              <w:jc w:val="center"/>
              <w:rPr>
                <w:rFonts w:ascii="宋体" w:hAnsi="宋体"/>
                <w:color w:val="auto"/>
                <w:szCs w:val="21"/>
                <w:highlight w:val="none"/>
              </w:rPr>
            </w:pPr>
            <w:r>
              <w:rPr>
                <w:rFonts w:ascii="宋体" w:hAnsi="宋体"/>
                <w:color w:val="auto"/>
                <w:szCs w:val="21"/>
                <w:highlight w:val="none"/>
              </w:rPr>
              <w:t>Y＜200</w:t>
            </w:r>
          </w:p>
        </w:tc>
      </w:tr>
      <w:tr w14:paraId="3879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5A1A5D8B">
            <w:pPr>
              <w:widowControl/>
              <w:spacing w:line="240" w:lineRule="exact"/>
              <w:jc w:val="left"/>
              <w:rPr>
                <w:rFonts w:ascii="宋体" w:hAnsi="宋体"/>
                <w:color w:val="auto"/>
                <w:szCs w:val="21"/>
                <w:highlight w:val="none"/>
              </w:rPr>
            </w:pPr>
            <w:r>
              <w:rPr>
                <w:rFonts w:ascii="宋体" w:hAnsi="宋体"/>
                <w:color w:val="auto"/>
                <w:szCs w:val="21"/>
                <w:highlight w:val="none"/>
              </w:rPr>
              <w:t>仓储业*</w:t>
            </w:r>
          </w:p>
        </w:tc>
        <w:tc>
          <w:tcPr>
            <w:tcW w:w="1531" w:type="dxa"/>
            <w:vAlign w:val="center"/>
          </w:tcPr>
          <w:p w14:paraId="4DAFAFF2">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21C81702">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0FAA1B8D">
            <w:pPr>
              <w:widowControl/>
              <w:jc w:val="center"/>
              <w:rPr>
                <w:rFonts w:ascii="宋体" w:hAnsi="宋体"/>
                <w:color w:val="auto"/>
                <w:szCs w:val="21"/>
                <w:highlight w:val="none"/>
              </w:rPr>
            </w:pPr>
            <w:r>
              <w:rPr>
                <w:rFonts w:ascii="宋体" w:hAnsi="宋体"/>
                <w:color w:val="auto"/>
                <w:szCs w:val="21"/>
                <w:highlight w:val="none"/>
              </w:rPr>
              <w:t>X≥200</w:t>
            </w:r>
          </w:p>
        </w:tc>
        <w:tc>
          <w:tcPr>
            <w:tcW w:w="1701" w:type="dxa"/>
            <w:vAlign w:val="center"/>
          </w:tcPr>
          <w:p w14:paraId="78FEE221">
            <w:pPr>
              <w:widowControl/>
              <w:ind w:left="19" w:leftChars="-51" w:hanging="126" w:hangingChars="60"/>
              <w:jc w:val="center"/>
              <w:rPr>
                <w:rFonts w:ascii="宋体" w:hAnsi="宋体"/>
                <w:color w:val="auto"/>
                <w:szCs w:val="21"/>
                <w:highlight w:val="none"/>
              </w:rPr>
            </w:pPr>
            <w:r>
              <w:rPr>
                <w:rFonts w:ascii="宋体" w:hAnsi="宋体"/>
                <w:color w:val="auto"/>
                <w:szCs w:val="21"/>
                <w:highlight w:val="none"/>
              </w:rPr>
              <w:t>100≤X＜200</w:t>
            </w:r>
          </w:p>
        </w:tc>
        <w:tc>
          <w:tcPr>
            <w:tcW w:w="1426" w:type="dxa"/>
            <w:vAlign w:val="center"/>
          </w:tcPr>
          <w:p w14:paraId="7502C827">
            <w:pPr>
              <w:widowControl/>
              <w:jc w:val="center"/>
              <w:rPr>
                <w:rFonts w:ascii="宋体" w:hAnsi="宋体"/>
                <w:color w:val="auto"/>
                <w:szCs w:val="21"/>
                <w:highlight w:val="none"/>
              </w:rPr>
            </w:pPr>
            <w:r>
              <w:rPr>
                <w:rFonts w:ascii="宋体" w:hAnsi="宋体"/>
                <w:color w:val="auto"/>
                <w:szCs w:val="21"/>
                <w:highlight w:val="none"/>
              </w:rPr>
              <w:t>20≤X＜100</w:t>
            </w:r>
          </w:p>
        </w:tc>
        <w:tc>
          <w:tcPr>
            <w:tcW w:w="992" w:type="dxa"/>
            <w:vAlign w:val="center"/>
          </w:tcPr>
          <w:p w14:paraId="4D260165">
            <w:pPr>
              <w:widowControl/>
              <w:jc w:val="center"/>
              <w:rPr>
                <w:rFonts w:ascii="宋体" w:hAnsi="宋体"/>
                <w:color w:val="auto"/>
                <w:szCs w:val="21"/>
                <w:highlight w:val="none"/>
              </w:rPr>
            </w:pPr>
            <w:r>
              <w:rPr>
                <w:rFonts w:ascii="宋体" w:hAnsi="宋体"/>
                <w:color w:val="auto"/>
                <w:szCs w:val="21"/>
                <w:highlight w:val="none"/>
              </w:rPr>
              <w:t>X＜20</w:t>
            </w:r>
          </w:p>
        </w:tc>
      </w:tr>
      <w:tr w14:paraId="51D4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4BE4218C">
            <w:pPr>
              <w:widowControl/>
              <w:jc w:val="left"/>
              <w:rPr>
                <w:rFonts w:ascii="宋体" w:hAnsi="宋体"/>
                <w:color w:val="auto"/>
                <w:szCs w:val="21"/>
                <w:highlight w:val="none"/>
              </w:rPr>
            </w:pPr>
          </w:p>
        </w:tc>
        <w:tc>
          <w:tcPr>
            <w:tcW w:w="1531" w:type="dxa"/>
            <w:vAlign w:val="center"/>
          </w:tcPr>
          <w:p w14:paraId="081BD15B">
            <w:pPr>
              <w:widowControl/>
              <w:spacing w:line="240" w:lineRule="exact"/>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7B9CF218">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234653E8">
            <w:pPr>
              <w:widowControl/>
              <w:jc w:val="center"/>
              <w:rPr>
                <w:rFonts w:ascii="宋体" w:hAnsi="宋体"/>
                <w:color w:val="auto"/>
                <w:szCs w:val="21"/>
                <w:highlight w:val="none"/>
              </w:rPr>
            </w:pPr>
            <w:r>
              <w:rPr>
                <w:rFonts w:ascii="宋体" w:hAnsi="宋体"/>
                <w:color w:val="auto"/>
                <w:szCs w:val="21"/>
                <w:highlight w:val="none"/>
              </w:rPr>
              <w:t>Y≥30000</w:t>
            </w:r>
          </w:p>
        </w:tc>
        <w:tc>
          <w:tcPr>
            <w:tcW w:w="1701" w:type="dxa"/>
            <w:vAlign w:val="center"/>
          </w:tcPr>
          <w:p w14:paraId="49A86ED9">
            <w:pPr>
              <w:widowControl/>
              <w:jc w:val="center"/>
              <w:rPr>
                <w:rFonts w:ascii="宋体" w:hAnsi="宋体"/>
                <w:color w:val="auto"/>
                <w:szCs w:val="21"/>
                <w:highlight w:val="none"/>
              </w:rPr>
            </w:pPr>
            <w:r>
              <w:rPr>
                <w:rFonts w:ascii="宋体" w:hAnsi="宋体"/>
                <w:color w:val="auto"/>
                <w:szCs w:val="21"/>
                <w:highlight w:val="none"/>
              </w:rPr>
              <w:t>1000≤Y＜30000</w:t>
            </w:r>
          </w:p>
        </w:tc>
        <w:tc>
          <w:tcPr>
            <w:tcW w:w="1426" w:type="dxa"/>
            <w:vAlign w:val="center"/>
          </w:tcPr>
          <w:p w14:paraId="7B82CDFA">
            <w:pPr>
              <w:widowControl/>
              <w:jc w:val="center"/>
              <w:rPr>
                <w:rFonts w:ascii="宋体" w:hAnsi="宋体"/>
                <w:color w:val="auto"/>
                <w:szCs w:val="21"/>
                <w:highlight w:val="none"/>
              </w:rPr>
            </w:pPr>
            <w:r>
              <w:rPr>
                <w:rFonts w:ascii="宋体" w:hAnsi="宋体"/>
                <w:color w:val="auto"/>
                <w:szCs w:val="21"/>
                <w:highlight w:val="none"/>
              </w:rPr>
              <w:t>100≤Y＜1000</w:t>
            </w:r>
          </w:p>
        </w:tc>
        <w:tc>
          <w:tcPr>
            <w:tcW w:w="992" w:type="dxa"/>
            <w:vAlign w:val="center"/>
          </w:tcPr>
          <w:p w14:paraId="259D9067">
            <w:pPr>
              <w:widowControl/>
              <w:jc w:val="center"/>
              <w:rPr>
                <w:rFonts w:ascii="宋体" w:hAnsi="宋体"/>
                <w:color w:val="auto"/>
                <w:szCs w:val="21"/>
                <w:highlight w:val="none"/>
              </w:rPr>
            </w:pPr>
            <w:r>
              <w:rPr>
                <w:rFonts w:ascii="宋体" w:hAnsi="宋体"/>
                <w:color w:val="auto"/>
                <w:szCs w:val="21"/>
                <w:highlight w:val="none"/>
              </w:rPr>
              <w:t>Y＜100</w:t>
            </w:r>
          </w:p>
        </w:tc>
      </w:tr>
      <w:tr w14:paraId="2F87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641BDAD0">
            <w:pPr>
              <w:widowControl/>
              <w:spacing w:line="240" w:lineRule="exact"/>
              <w:jc w:val="left"/>
              <w:rPr>
                <w:rFonts w:ascii="宋体" w:hAnsi="宋体"/>
                <w:color w:val="auto"/>
                <w:szCs w:val="21"/>
                <w:highlight w:val="none"/>
              </w:rPr>
            </w:pPr>
            <w:r>
              <w:rPr>
                <w:rFonts w:ascii="宋体" w:hAnsi="宋体"/>
                <w:color w:val="auto"/>
                <w:szCs w:val="21"/>
                <w:highlight w:val="none"/>
              </w:rPr>
              <w:t>邮政业</w:t>
            </w:r>
          </w:p>
        </w:tc>
        <w:tc>
          <w:tcPr>
            <w:tcW w:w="1531" w:type="dxa"/>
            <w:vAlign w:val="center"/>
          </w:tcPr>
          <w:p w14:paraId="19E742E8">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1444F18B">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73C59D7E">
            <w:pPr>
              <w:widowControl/>
              <w:jc w:val="center"/>
              <w:rPr>
                <w:rFonts w:ascii="宋体" w:hAnsi="宋体"/>
                <w:color w:val="auto"/>
                <w:szCs w:val="21"/>
                <w:highlight w:val="none"/>
              </w:rPr>
            </w:pPr>
            <w:r>
              <w:rPr>
                <w:rFonts w:ascii="宋体" w:hAnsi="宋体"/>
                <w:color w:val="auto"/>
                <w:szCs w:val="21"/>
                <w:highlight w:val="none"/>
              </w:rPr>
              <w:t>X≥1000</w:t>
            </w:r>
          </w:p>
        </w:tc>
        <w:tc>
          <w:tcPr>
            <w:tcW w:w="1701" w:type="dxa"/>
            <w:vAlign w:val="center"/>
          </w:tcPr>
          <w:p w14:paraId="7792ED9D">
            <w:pPr>
              <w:widowControl/>
              <w:jc w:val="center"/>
              <w:rPr>
                <w:rFonts w:ascii="宋体" w:hAnsi="宋体"/>
                <w:color w:val="auto"/>
                <w:szCs w:val="21"/>
                <w:highlight w:val="none"/>
              </w:rPr>
            </w:pPr>
            <w:r>
              <w:rPr>
                <w:rFonts w:ascii="宋体" w:hAnsi="宋体"/>
                <w:color w:val="auto"/>
                <w:szCs w:val="21"/>
                <w:highlight w:val="none"/>
              </w:rPr>
              <w:t>300≤X＜1000</w:t>
            </w:r>
          </w:p>
        </w:tc>
        <w:tc>
          <w:tcPr>
            <w:tcW w:w="1426" w:type="dxa"/>
            <w:vAlign w:val="center"/>
          </w:tcPr>
          <w:p w14:paraId="097065B0">
            <w:pPr>
              <w:widowControl/>
              <w:jc w:val="center"/>
              <w:rPr>
                <w:rFonts w:ascii="宋体" w:hAnsi="宋体"/>
                <w:color w:val="auto"/>
                <w:szCs w:val="21"/>
                <w:highlight w:val="none"/>
              </w:rPr>
            </w:pPr>
            <w:r>
              <w:rPr>
                <w:rFonts w:ascii="宋体" w:hAnsi="宋体"/>
                <w:color w:val="auto"/>
                <w:szCs w:val="21"/>
                <w:highlight w:val="none"/>
              </w:rPr>
              <w:t>20≤X＜300</w:t>
            </w:r>
          </w:p>
        </w:tc>
        <w:tc>
          <w:tcPr>
            <w:tcW w:w="992" w:type="dxa"/>
            <w:vAlign w:val="center"/>
          </w:tcPr>
          <w:p w14:paraId="2471F165">
            <w:pPr>
              <w:widowControl/>
              <w:jc w:val="center"/>
              <w:rPr>
                <w:rFonts w:ascii="宋体" w:hAnsi="宋体"/>
                <w:color w:val="auto"/>
                <w:szCs w:val="21"/>
                <w:highlight w:val="none"/>
              </w:rPr>
            </w:pPr>
            <w:r>
              <w:rPr>
                <w:rFonts w:ascii="宋体" w:hAnsi="宋体"/>
                <w:color w:val="auto"/>
                <w:szCs w:val="21"/>
                <w:highlight w:val="none"/>
              </w:rPr>
              <w:t>X＜20</w:t>
            </w:r>
          </w:p>
        </w:tc>
      </w:tr>
      <w:tr w14:paraId="46A9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72738FE8">
            <w:pPr>
              <w:widowControl/>
              <w:jc w:val="left"/>
              <w:rPr>
                <w:rFonts w:ascii="宋体" w:hAnsi="宋体"/>
                <w:color w:val="auto"/>
                <w:szCs w:val="21"/>
                <w:highlight w:val="none"/>
              </w:rPr>
            </w:pPr>
          </w:p>
        </w:tc>
        <w:tc>
          <w:tcPr>
            <w:tcW w:w="1531" w:type="dxa"/>
            <w:vAlign w:val="center"/>
          </w:tcPr>
          <w:p w14:paraId="3E93082F">
            <w:pPr>
              <w:widowControl/>
              <w:spacing w:line="240" w:lineRule="exact"/>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13F09DDF">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0494B053">
            <w:pPr>
              <w:widowControl/>
              <w:jc w:val="center"/>
              <w:rPr>
                <w:rFonts w:ascii="宋体" w:hAnsi="宋体"/>
                <w:color w:val="auto"/>
                <w:szCs w:val="21"/>
                <w:highlight w:val="none"/>
              </w:rPr>
            </w:pPr>
            <w:r>
              <w:rPr>
                <w:rFonts w:ascii="宋体" w:hAnsi="宋体"/>
                <w:color w:val="auto"/>
                <w:szCs w:val="21"/>
                <w:highlight w:val="none"/>
              </w:rPr>
              <w:t>Y≥30000</w:t>
            </w:r>
          </w:p>
        </w:tc>
        <w:tc>
          <w:tcPr>
            <w:tcW w:w="1701" w:type="dxa"/>
            <w:vAlign w:val="center"/>
          </w:tcPr>
          <w:p w14:paraId="33980DA4">
            <w:pPr>
              <w:widowControl/>
              <w:jc w:val="center"/>
              <w:rPr>
                <w:rFonts w:ascii="宋体" w:hAnsi="宋体"/>
                <w:color w:val="auto"/>
                <w:szCs w:val="21"/>
                <w:highlight w:val="none"/>
              </w:rPr>
            </w:pPr>
            <w:r>
              <w:rPr>
                <w:rFonts w:ascii="宋体" w:hAnsi="宋体"/>
                <w:color w:val="auto"/>
                <w:szCs w:val="21"/>
                <w:highlight w:val="none"/>
              </w:rPr>
              <w:t>2000≤Y＜30000</w:t>
            </w:r>
          </w:p>
        </w:tc>
        <w:tc>
          <w:tcPr>
            <w:tcW w:w="1426" w:type="dxa"/>
            <w:vAlign w:val="center"/>
          </w:tcPr>
          <w:p w14:paraId="510086E0">
            <w:pPr>
              <w:widowControl/>
              <w:jc w:val="center"/>
              <w:rPr>
                <w:rFonts w:ascii="宋体" w:hAnsi="宋体"/>
                <w:color w:val="auto"/>
                <w:szCs w:val="21"/>
                <w:highlight w:val="none"/>
              </w:rPr>
            </w:pPr>
            <w:r>
              <w:rPr>
                <w:rFonts w:ascii="宋体" w:hAnsi="宋体"/>
                <w:color w:val="auto"/>
                <w:szCs w:val="21"/>
                <w:highlight w:val="none"/>
              </w:rPr>
              <w:t>100≤Y＜2000</w:t>
            </w:r>
          </w:p>
        </w:tc>
        <w:tc>
          <w:tcPr>
            <w:tcW w:w="992" w:type="dxa"/>
            <w:vAlign w:val="center"/>
          </w:tcPr>
          <w:p w14:paraId="67453B7B">
            <w:pPr>
              <w:widowControl/>
              <w:jc w:val="center"/>
              <w:rPr>
                <w:rFonts w:ascii="宋体" w:hAnsi="宋体"/>
                <w:color w:val="auto"/>
                <w:szCs w:val="21"/>
                <w:highlight w:val="none"/>
              </w:rPr>
            </w:pPr>
            <w:r>
              <w:rPr>
                <w:rFonts w:ascii="宋体" w:hAnsi="宋体"/>
                <w:color w:val="auto"/>
                <w:szCs w:val="21"/>
                <w:highlight w:val="none"/>
              </w:rPr>
              <w:t>Y＜100</w:t>
            </w:r>
          </w:p>
        </w:tc>
      </w:tr>
      <w:tr w14:paraId="04DD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56262359">
            <w:pPr>
              <w:widowControl/>
              <w:spacing w:line="240" w:lineRule="exact"/>
              <w:jc w:val="left"/>
              <w:rPr>
                <w:rFonts w:ascii="宋体" w:hAnsi="宋体"/>
                <w:color w:val="auto"/>
                <w:szCs w:val="21"/>
                <w:highlight w:val="none"/>
              </w:rPr>
            </w:pPr>
            <w:r>
              <w:rPr>
                <w:rFonts w:ascii="宋体" w:hAnsi="宋体"/>
                <w:color w:val="auto"/>
                <w:szCs w:val="21"/>
                <w:highlight w:val="none"/>
              </w:rPr>
              <w:t>住宿业</w:t>
            </w:r>
          </w:p>
        </w:tc>
        <w:tc>
          <w:tcPr>
            <w:tcW w:w="1531" w:type="dxa"/>
            <w:vAlign w:val="center"/>
          </w:tcPr>
          <w:p w14:paraId="2B81D513">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64A16F13">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76943614">
            <w:pPr>
              <w:widowControl/>
              <w:jc w:val="center"/>
              <w:rPr>
                <w:rFonts w:ascii="宋体" w:hAnsi="宋体"/>
                <w:color w:val="auto"/>
                <w:szCs w:val="21"/>
                <w:highlight w:val="none"/>
              </w:rPr>
            </w:pPr>
            <w:r>
              <w:rPr>
                <w:rFonts w:ascii="宋体" w:hAnsi="宋体"/>
                <w:color w:val="auto"/>
                <w:szCs w:val="21"/>
                <w:highlight w:val="none"/>
              </w:rPr>
              <w:t>X≥300</w:t>
            </w:r>
          </w:p>
        </w:tc>
        <w:tc>
          <w:tcPr>
            <w:tcW w:w="1701" w:type="dxa"/>
            <w:vAlign w:val="center"/>
          </w:tcPr>
          <w:p w14:paraId="5CEEDB70">
            <w:pPr>
              <w:widowControl/>
              <w:ind w:left="19" w:leftChars="-51" w:hanging="126" w:hangingChars="60"/>
              <w:jc w:val="center"/>
              <w:rPr>
                <w:rFonts w:ascii="宋体" w:hAnsi="宋体"/>
                <w:color w:val="auto"/>
                <w:szCs w:val="21"/>
                <w:highlight w:val="none"/>
              </w:rPr>
            </w:pPr>
            <w:r>
              <w:rPr>
                <w:rFonts w:ascii="宋体" w:hAnsi="宋体"/>
                <w:color w:val="auto"/>
                <w:szCs w:val="21"/>
                <w:highlight w:val="none"/>
              </w:rPr>
              <w:t>100≤X＜300</w:t>
            </w:r>
          </w:p>
        </w:tc>
        <w:tc>
          <w:tcPr>
            <w:tcW w:w="1426" w:type="dxa"/>
            <w:vAlign w:val="center"/>
          </w:tcPr>
          <w:p w14:paraId="4EBD11D0">
            <w:pPr>
              <w:widowControl/>
              <w:jc w:val="center"/>
              <w:rPr>
                <w:rFonts w:ascii="宋体" w:hAnsi="宋体"/>
                <w:color w:val="auto"/>
                <w:szCs w:val="21"/>
                <w:highlight w:val="none"/>
              </w:rPr>
            </w:pPr>
            <w:r>
              <w:rPr>
                <w:rFonts w:ascii="宋体" w:hAnsi="宋体"/>
                <w:color w:val="auto"/>
                <w:szCs w:val="21"/>
                <w:highlight w:val="none"/>
              </w:rPr>
              <w:t>10≤X＜100</w:t>
            </w:r>
          </w:p>
        </w:tc>
        <w:tc>
          <w:tcPr>
            <w:tcW w:w="992" w:type="dxa"/>
            <w:vAlign w:val="center"/>
          </w:tcPr>
          <w:p w14:paraId="41C2F5E4">
            <w:pPr>
              <w:widowControl/>
              <w:jc w:val="center"/>
              <w:rPr>
                <w:rFonts w:ascii="宋体" w:hAnsi="宋体"/>
                <w:color w:val="auto"/>
                <w:szCs w:val="21"/>
                <w:highlight w:val="none"/>
              </w:rPr>
            </w:pPr>
            <w:r>
              <w:rPr>
                <w:rFonts w:ascii="宋体" w:hAnsi="宋体"/>
                <w:color w:val="auto"/>
                <w:szCs w:val="21"/>
                <w:highlight w:val="none"/>
              </w:rPr>
              <w:t>X＜10</w:t>
            </w:r>
          </w:p>
        </w:tc>
      </w:tr>
      <w:tr w14:paraId="0A39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4866BC86">
            <w:pPr>
              <w:widowControl/>
              <w:jc w:val="left"/>
              <w:rPr>
                <w:rFonts w:ascii="宋体" w:hAnsi="宋体"/>
                <w:color w:val="auto"/>
                <w:szCs w:val="21"/>
                <w:highlight w:val="none"/>
              </w:rPr>
            </w:pPr>
          </w:p>
        </w:tc>
        <w:tc>
          <w:tcPr>
            <w:tcW w:w="1531" w:type="dxa"/>
            <w:vAlign w:val="center"/>
          </w:tcPr>
          <w:p w14:paraId="33013D16">
            <w:pPr>
              <w:widowControl/>
              <w:spacing w:line="240" w:lineRule="exact"/>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23951D94">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38B042B0">
            <w:pPr>
              <w:widowControl/>
              <w:jc w:val="center"/>
              <w:rPr>
                <w:rFonts w:ascii="宋体" w:hAnsi="宋体"/>
                <w:color w:val="auto"/>
                <w:szCs w:val="21"/>
                <w:highlight w:val="none"/>
              </w:rPr>
            </w:pPr>
            <w:r>
              <w:rPr>
                <w:rFonts w:ascii="宋体" w:hAnsi="宋体"/>
                <w:color w:val="auto"/>
                <w:szCs w:val="21"/>
                <w:highlight w:val="none"/>
              </w:rPr>
              <w:t>Y≥10000</w:t>
            </w:r>
          </w:p>
        </w:tc>
        <w:tc>
          <w:tcPr>
            <w:tcW w:w="1701" w:type="dxa"/>
            <w:vAlign w:val="center"/>
          </w:tcPr>
          <w:p w14:paraId="13A8E0BD">
            <w:pPr>
              <w:widowControl/>
              <w:jc w:val="center"/>
              <w:rPr>
                <w:rFonts w:ascii="宋体" w:hAnsi="宋体"/>
                <w:color w:val="auto"/>
                <w:szCs w:val="21"/>
                <w:highlight w:val="none"/>
              </w:rPr>
            </w:pPr>
            <w:r>
              <w:rPr>
                <w:rFonts w:ascii="宋体" w:hAnsi="宋体"/>
                <w:color w:val="auto"/>
                <w:szCs w:val="21"/>
                <w:highlight w:val="none"/>
              </w:rPr>
              <w:t>2000≤Y＜10000</w:t>
            </w:r>
          </w:p>
        </w:tc>
        <w:tc>
          <w:tcPr>
            <w:tcW w:w="1426" w:type="dxa"/>
            <w:vAlign w:val="center"/>
          </w:tcPr>
          <w:p w14:paraId="4060BBE9">
            <w:pPr>
              <w:widowControl/>
              <w:jc w:val="center"/>
              <w:rPr>
                <w:rFonts w:ascii="宋体" w:hAnsi="宋体"/>
                <w:color w:val="auto"/>
                <w:szCs w:val="21"/>
                <w:highlight w:val="none"/>
              </w:rPr>
            </w:pPr>
            <w:r>
              <w:rPr>
                <w:rFonts w:ascii="宋体" w:hAnsi="宋体"/>
                <w:color w:val="auto"/>
                <w:szCs w:val="21"/>
                <w:highlight w:val="none"/>
              </w:rPr>
              <w:t>100≤Y＜2000</w:t>
            </w:r>
          </w:p>
        </w:tc>
        <w:tc>
          <w:tcPr>
            <w:tcW w:w="992" w:type="dxa"/>
            <w:vAlign w:val="center"/>
          </w:tcPr>
          <w:p w14:paraId="1163D538">
            <w:pPr>
              <w:widowControl/>
              <w:jc w:val="center"/>
              <w:rPr>
                <w:rFonts w:ascii="宋体" w:hAnsi="宋体"/>
                <w:color w:val="auto"/>
                <w:szCs w:val="21"/>
                <w:highlight w:val="none"/>
              </w:rPr>
            </w:pPr>
            <w:r>
              <w:rPr>
                <w:rFonts w:ascii="宋体" w:hAnsi="宋体"/>
                <w:color w:val="auto"/>
                <w:szCs w:val="21"/>
                <w:highlight w:val="none"/>
              </w:rPr>
              <w:t>Y＜100</w:t>
            </w:r>
          </w:p>
        </w:tc>
      </w:tr>
      <w:tr w14:paraId="71E1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1926A57E">
            <w:pPr>
              <w:widowControl/>
              <w:spacing w:line="240" w:lineRule="exact"/>
              <w:jc w:val="left"/>
              <w:rPr>
                <w:rFonts w:ascii="宋体" w:hAnsi="宋体"/>
                <w:color w:val="auto"/>
                <w:szCs w:val="21"/>
                <w:highlight w:val="none"/>
              </w:rPr>
            </w:pPr>
            <w:r>
              <w:rPr>
                <w:rFonts w:ascii="宋体" w:hAnsi="宋体"/>
                <w:color w:val="auto"/>
                <w:szCs w:val="21"/>
                <w:highlight w:val="none"/>
              </w:rPr>
              <w:t>餐饮业</w:t>
            </w:r>
          </w:p>
        </w:tc>
        <w:tc>
          <w:tcPr>
            <w:tcW w:w="1531" w:type="dxa"/>
            <w:vAlign w:val="center"/>
          </w:tcPr>
          <w:p w14:paraId="57B20859">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0A88261A">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188C3E1D">
            <w:pPr>
              <w:widowControl/>
              <w:jc w:val="center"/>
              <w:rPr>
                <w:rFonts w:ascii="宋体" w:hAnsi="宋体"/>
                <w:color w:val="auto"/>
                <w:szCs w:val="21"/>
                <w:highlight w:val="none"/>
              </w:rPr>
            </w:pPr>
            <w:r>
              <w:rPr>
                <w:rFonts w:ascii="宋体" w:hAnsi="宋体"/>
                <w:color w:val="auto"/>
                <w:szCs w:val="21"/>
                <w:highlight w:val="none"/>
              </w:rPr>
              <w:t>X≥300</w:t>
            </w:r>
          </w:p>
        </w:tc>
        <w:tc>
          <w:tcPr>
            <w:tcW w:w="1701" w:type="dxa"/>
            <w:vAlign w:val="center"/>
          </w:tcPr>
          <w:p w14:paraId="57BC3A84">
            <w:pPr>
              <w:widowControl/>
              <w:ind w:left="19" w:leftChars="-51" w:hanging="126" w:hangingChars="60"/>
              <w:jc w:val="center"/>
              <w:rPr>
                <w:rFonts w:ascii="宋体" w:hAnsi="宋体"/>
                <w:color w:val="auto"/>
                <w:szCs w:val="21"/>
                <w:highlight w:val="none"/>
              </w:rPr>
            </w:pPr>
            <w:r>
              <w:rPr>
                <w:rFonts w:ascii="宋体" w:hAnsi="宋体"/>
                <w:color w:val="auto"/>
                <w:szCs w:val="21"/>
                <w:highlight w:val="none"/>
              </w:rPr>
              <w:t xml:space="preserve">100≤X＜300 </w:t>
            </w:r>
          </w:p>
        </w:tc>
        <w:tc>
          <w:tcPr>
            <w:tcW w:w="1426" w:type="dxa"/>
            <w:vAlign w:val="center"/>
          </w:tcPr>
          <w:p w14:paraId="2DAE5C1B">
            <w:pPr>
              <w:widowControl/>
              <w:jc w:val="center"/>
              <w:rPr>
                <w:rFonts w:ascii="宋体" w:hAnsi="宋体"/>
                <w:color w:val="auto"/>
                <w:szCs w:val="21"/>
                <w:highlight w:val="none"/>
              </w:rPr>
            </w:pPr>
            <w:r>
              <w:rPr>
                <w:rFonts w:ascii="宋体" w:hAnsi="宋体"/>
                <w:color w:val="auto"/>
                <w:szCs w:val="21"/>
                <w:highlight w:val="none"/>
              </w:rPr>
              <w:t>10≤X＜100</w:t>
            </w:r>
          </w:p>
        </w:tc>
        <w:tc>
          <w:tcPr>
            <w:tcW w:w="992" w:type="dxa"/>
            <w:vAlign w:val="center"/>
          </w:tcPr>
          <w:p w14:paraId="36267E77">
            <w:pPr>
              <w:widowControl/>
              <w:jc w:val="center"/>
              <w:rPr>
                <w:rFonts w:ascii="宋体" w:hAnsi="宋体"/>
                <w:color w:val="auto"/>
                <w:szCs w:val="21"/>
                <w:highlight w:val="none"/>
              </w:rPr>
            </w:pPr>
            <w:r>
              <w:rPr>
                <w:rFonts w:ascii="宋体" w:hAnsi="宋体"/>
                <w:color w:val="auto"/>
                <w:szCs w:val="21"/>
                <w:highlight w:val="none"/>
              </w:rPr>
              <w:t>X＜10</w:t>
            </w:r>
          </w:p>
        </w:tc>
      </w:tr>
      <w:tr w14:paraId="409C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377A3DB0">
            <w:pPr>
              <w:widowControl/>
              <w:jc w:val="left"/>
              <w:rPr>
                <w:rFonts w:ascii="宋体" w:hAnsi="宋体"/>
                <w:color w:val="auto"/>
                <w:szCs w:val="21"/>
                <w:highlight w:val="none"/>
              </w:rPr>
            </w:pPr>
          </w:p>
        </w:tc>
        <w:tc>
          <w:tcPr>
            <w:tcW w:w="1531" w:type="dxa"/>
            <w:vAlign w:val="center"/>
          </w:tcPr>
          <w:p w14:paraId="16CDEBEF">
            <w:pPr>
              <w:widowControl/>
              <w:spacing w:line="240" w:lineRule="exact"/>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37C7B014">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22A88E45">
            <w:pPr>
              <w:widowControl/>
              <w:jc w:val="center"/>
              <w:rPr>
                <w:rFonts w:ascii="宋体" w:hAnsi="宋体"/>
                <w:color w:val="auto"/>
                <w:szCs w:val="21"/>
                <w:highlight w:val="none"/>
              </w:rPr>
            </w:pPr>
            <w:r>
              <w:rPr>
                <w:rFonts w:ascii="宋体" w:hAnsi="宋体"/>
                <w:color w:val="auto"/>
                <w:szCs w:val="21"/>
                <w:highlight w:val="none"/>
              </w:rPr>
              <w:t>Y≥10000</w:t>
            </w:r>
          </w:p>
        </w:tc>
        <w:tc>
          <w:tcPr>
            <w:tcW w:w="1701" w:type="dxa"/>
            <w:vAlign w:val="center"/>
          </w:tcPr>
          <w:p w14:paraId="08BA8001">
            <w:pPr>
              <w:widowControl/>
              <w:jc w:val="center"/>
              <w:rPr>
                <w:rFonts w:ascii="宋体" w:hAnsi="宋体"/>
                <w:color w:val="auto"/>
                <w:szCs w:val="21"/>
                <w:highlight w:val="none"/>
              </w:rPr>
            </w:pPr>
            <w:r>
              <w:rPr>
                <w:rFonts w:ascii="宋体" w:hAnsi="宋体"/>
                <w:color w:val="auto"/>
                <w:szCs w:val="21"/>
                <w:highlight w:val="none"/>
              </w:rPr>
              <w:t>2000≤Y＜10000</w:t>
            </w:r>
          </w:p>
        </w:tc>
        <w:tc>
          <w:tcPr>
            <w:tcW w:w="1426" w:type="dxa"/>
            <w:vAlign w:val="center"/>
          </w:tcPr>
          <w:p w14:paraId="59A87E04">
            <w:pPr>
              <w:widowControl/>
              <w:jc w:val="center"/>
              <w:rPr>
                <w:rFonts w:ascii="宋体" w:hAnsi="宋体"/>
                <w:color w:val="auto"/>
                <w:szCs w:val="21"/>
                <w:highlight w:val="none"/>
              </w:rPr>
            </w:pPr>
            <w:r>
              <w:rPr>
                <w:rFonts w:ascii="宋体" w:hAnsi="宋体"/>
                <w:color w:val="auto"/>
                <w:szCs w:val="21"/>
                <w:highlight w:val="none"/>
              </w:rPr>
              <w:t>100≤Y＜2000</w:t>
            </w:r>
          </w:p>
        </w:tc>
        <w:tc>
          <w:tcPr>
            <w:tcW w:w="992" w:type="dxa"/>
            <w:vAlign w:val="center"/>
          </w:tcPr>
          <w:p w14:paraId="7883ED77">
            <w:pPr>
              <w:widowControl/>
              <w:jc w:val="center"/>
              <w:rPr>
                <w:rFonts w:ascii="宋体" w:hAnsi="宋体"/>
                <w:color w:val="auto"/>
                <w:szCs w:val="21"/>
                <w:highlight w:val="none"/>
              </w:rPr>
            </w:pPr>
            <w:r>
              <w:rPr>
                <w:rFonts w:ascii="宋体" w:hAnsi="宋体"/>
                <w:color w:val="auto"/>
                <w:szCs w:val="21"/>
                <w:highlight w:val="none"/>
              </w:rPr>
              <w:t>Y＜100</w:t>
            </w:r>
          </w:p>
        </w:tc>
      </w:tr>
      <w:tr w14:paraId="5677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6B3B3BF1">
            <w:pPr>
              <w:widowControl/>
              <w:spacing w:line="240" w:lineRule="exact"/>
              <w:jc w:val="left"/>
              <w:rPr>
                <w:rFonts w:ascii="宋体" w:hAnsi="宋体"/>
                <w:color w:val="auto"/>
                <w:szCs w:val="21"/>
                <w:highlight w:val="none"/>
              </w:rPr>
            </w:pPr>
            <w:r>
              <w:rPr>
                <w:rFonts w:ascii="宋体" w:hAnsi="宋体"/>
                <w:color w:val="auto"/>
                <w:szCs w:val="21"/>
                <w:highlight w:val="none"/>
              </w:rPr>
              <w:t>信息传输业 *</w:t>
            </w:r>
          </w:p>
        </w:tc>
        <w:tc>
          <w:tcPr>
            <w:tcW w:w="1531" w:type="dxa"/>
            <w:vAlign w:val="center"/>
          </w:tcPr>
          <w:p w14:paraId="60DFA0E8">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61DB361A">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5ADE69BA">
            <w:pPr>
              <w:widowControl/>
              <w:jc w:val="center"/>
              <w:rPr>
                <w:rFonts w:ascii="宋体" w:hAnsi="宋体"/>
                <w:color w:val="auto"/>
                <w:szCs w:val="21"/>
                <w:highlight w:val="none"/>
              </w:rPr>
            </w:pPr>
            <w:r>
              <w:rPr>
                <w:rFonts w:ascii="宋体" w:hAnsi="宋体"/>
                <w:color w:val="auto"/>
                <w:szCs w:val="21"/>
                <w:highlight w:val="none"/>
              </w:rPr>
              <w:t>X≥2000</w:t>
            </w:r>
          </w:p>
        </w:tc>
        <w:tc>
          <w:tcPr>
            <w:tcW w:w="1701" w:type="dxa"/>
            <w:vAlign w:val="center"/>
          </w:tcPr>
          <w:p w14:paraId="56E7793E">
            <w:pPr>
              <w:widowControl/>
              <w:jc w:val="center"/>
              <w:rPr>
                <w:rFonts w:ascii="宋体" w:hAnsi="宋体"/>
                <w:color w:val="auto"/>
                <w:szCs w:val="21"/>
                <w:highlight w:val="none"/>
              </w:rPr>
            </w:pPr>
            <w:r>
              <w:rPr>
                <w:rFonts w:ascii="宋体" w:hAnsi="宋体"/>
                <w:color w:val="auto"/>
                <w:szCs w:val="21"/>
                <w:highlight w:val="none"/>
              </w:rPr>
              <w:t>100≤X＜2000</w:t>
            </w:r>
          </w:p>
        </w:tc>
        <w:tc>
          <w:tcPr>
            <w:tcW w:w="1426" w:type="dxa"/>
            <w:vAlign w:val="center"/>
          </w:tcPr>
          <w:p w14:paraId="38C42C90">
            <w:pPr>
              <w:widowControl/>
              <w:jc w:val="center"/>
              <w:rPr>
                <w:rFonts w:ascii="宋体" w:hAnsi="宋体"/>
                <w:color w:val="auto"/>
                <w:szCs w:val="21"/>
                <w:highlight w:val="none"/>
              </w:rPr>
            </w:pPr>
            <w:r>
              <w:rPr>
                <w:rFonts w:ascii="宋体" w:hAnsi="宋体"/>
                <w:color w:val="auto"/>
                <w:szCs w:val="21"/>
                <w:highlight w:val="none"/>
              </w:rPr>
              <w:t>10≤X＜100</w:t>
            </w:r>
          </w:p>
        </w:tc>
        <w:tc>
          <w:tcPr>
            <w:tcW w:w="992" w:type="dxa"/>
            <w:vAlign w:val="center"/>
          </w:tcPr>
          <w:p w14:paraId="0F1F4283">
            <w:pPr>
              <w:widowControl/>
              <w:jc w:val="center"/>
              <w:rPr>
                <w:rFonts w:ascii="宋体" w:hAnsi="宋体"/>
                <w:color w:val="auto"/>
                <w:szCs w:val="21"/>
                <w:highlight w:val="none"/>
              </w:rPr>
            </w:pPr>
            <w:r>
              <w:rPr>
                <w:rFonts w:ascii="宋体" w:hAnsi="宋体"/>
                <w:color w:val="auto"/>
                <w:szCs w:val="21"/>
                <w:highlight w:val="none"/>
              </w:rPr>
              <w:t>X＜10</w:t>
            </w:r>
          </w:p>
        </w:tc>
      </w:tr>
      <w:tr w14:paraId="6E77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951" w:type="dxa"/>
            <w:vMerge w:val="continue"/>
            <w:vAlign w:val="center"/>
          </w:tcPr>
          <w:p w14:paraId="3B388D1F">
            <w:pPr>
              <w:widowControl/>
              <w:jc w:val="left"/>
              <w:rPr>
                <w:rFonts w:ascii="宋体" w:hAnsi="宋体"/>
                <w:color w:val="auto"/>
                <w:szCs w:val="21"/>
                <w:highlight w:val="none"/>
              </w:rPr>
            </w:pPr>
          </w:p>
        </w:tc>
        <w:tc>
          <w:tcPr>
            <w:tcW w:w="1531" w:type="dxa"/>
            <w:vAlign w:val="center"/>
          </w:tcPr>
          <w:p w14:paraId="0D57C3BD">
            <w:pPr>
              <w:widowControl/>
              <w:spacing w:line="240" w:lineRule="exact"/>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004D6784">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7698CAF5">
            <w:pPr>
              <w:widowControl/>
              <w:jc w:val="center"/>
              <w:rPr>
                <w:rFonts w:ascii="宋体" w:hAnsi="宋体"/>
                <w:color w:val="auto"/>
                <w:szCs w:val="21"/>
                <w:highlight w:val="none"/>
              </w:rPr>
            </w:pPr>
            <w:r>
              <w:rPr>
                <w:rFonts w:ascii="宋体" w:hAnsi="宋体"/>
                <w:color w:val="auto"/>
                <w:szCs w:val="21"/>
                <w:highlight w:val="none"/>
              </w:rPr>
              <w:t>Y≥100000</w:t>
            </w:r>
          </w:p>
        </w:tc>
        <w:tc>
          <w:tcPr>
            <w:tcW w:w="1701" w:type="dxa"/>
            <w:vAlign w:val="center"/>
          </w:tcPr>
          <w:p w14:paraId="5EDDEF62">
            <w:pPr>
              <w:widowControl/>
              <w:jc w:val="center"/>
              <w:rPr>
                <w:rFonts w:ascii="宋体" w:hAnsi="宋体"/>
                <w:color w:val="auto"/>
                <w:szCs w:val="21"/>
                <w:highlight w:val="none"/>
              </w:rPr>
            </w:pPr>
            <w:r>
              <w:rPr>
                <w:rFonts w:ascii="宋体" w:hAnsi="宋体"/>
                <w:color w:val="auto"/>
                <w:szCs w:val="21"/>
                <w:highlight w:val="none"/>
              </w:rPr>
              <w:t>1000≤Y＜100000</w:t>
            </w:r>
          </w:p>
        </w:tc>
        <w:tc>
          <w:tcPr>
            <w:tcW w:w="1426" w:type="dxa"/>
            <w:vAlign w:val="center"/>
          </w:tcPr>
          <w:p w14:paraId="4B91C5D3">
            <w:pPr>
              <w:widowControl/>
              <w:jc w:val="center"/>
              <w:rPr>
                <w:rFonts w:ascii="宋体" w:hAnsi="宋体"/>
                <w:color w:val="auto"/>
                <w:szCs w:val="21"/>
                <w:highlight w:val="none"/>
              </w:rPr>
            </w:pPr>
            <w:r>
              <w:rPr>
                <w:rFonts w:ascii="宋体" w:hAnsi="宋体"/>
                <w:color w:val="auto"/>
                <w:szCs w:val="21"/>
                <w:highlight w:val="none"/>
              </w:rPr>
              <w:t>100≤Y＜1000</w:t>
            </w:r>
          </w:p>
        </w:tc>
        <w:tc>
          <w:tcPr>
            <w:tcW w:w="992" w:type="dxa"/>
            <w:vAlign w:val="center"/>
          </w:tcPr>
          <w:p w14:paraId="62C8F041">
            <w:pPr>
              <w:widowControl/>
              <w:jc w:val="center"/>
              <w:rPr>
                <w:rFonts w:ascii="宋体" w:hAnsi="宋体"/>
                <w:color w:val="auto"/>
                <w:szCs w:val="21"/>
                <w:highlight w:val="none"/>
              </w:rPr>
            </w:pPr>
            <w:r>
              <w:rPr>
                <w:rFonts w:ascii="宋体" w:hAnsi="宋体"/>
                <w:color w:val="auto"/>
                <w:szCs w:val="21"/>
                <w:highlight w:val="none"/>
              </w:rPr>
              <w:t>Y＜100</w:t>
            </w:r>
          </w:p>
        </w:tc>
      </w:tr>
      <w:tr w14:paraId="7115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4D2188B6">
            <w:pPr>
              <w:widowControl/>
              <w:spacing w:line="240" w:lineRule="exact"/>
              <w:jc w:val="left"/>
              <w:rPr>
                <w:rFonts w:ascii="宋体" w:hAnsi="宋体"/>
                <w:color w:val="auto"/>
                <w:spacing w:val="-12"/>
                <w:szCs w:val="21"/>
                <w:highlight w:val="none"/>
              </w:rPr>
            </w:pPr>
            <w:r>
              <w:rPr>
                <w:rFonts w:ascii="宋体" w:hAnsi="宋体"/>
                <w:color w:val="auto"/>
                <w:spacing w:val="-12"/>
                <w:szCs w:val="21"/>
                <w:highlight w:val="none"/>
              </w:rPr>
              <w:t>软件和信息技术服</w:t>
            </w:r>
            <w:r>
              <w:rPr>
                <w:rFonts w:ascii="宋体" w:hAnsi="宋体"/>
                <w:color w:val="auto"/>
                <w:szCs w:val="21"/>
                <w:highlight w:val="none"/>
              </w:rPr>
              <w:t>务业</w:t>
            </w:r>
          </w:p>
        </w:tc>
        <w:tc>
          <w:tcPr>
            <w:tcW w:w="1531" w:type="dxa"/>
            <w:vAlign w:val="center"/>
          </w:tcPr>
          <w:p w14:paraId="109E8CEE">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3715BDFC">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70D3E932">
            <w:pPr>
              <w:widowControl/>
              <w:jc w:val="center"/>
              <w:rPr>
                <w:rFonts w:ascii="宋体" w:hAnsi="宋体"/>
                <w:color w:val="auto"/>
                <w:szCs w:val="21"/>
                <w:highlight w:val="none"/>
              </w:rPr>
            </w:pPr>
            <w:r>
              <w:rPr>
                <w:rFonts w:ascii="宋体" w:hAnsi="宋体"/>
                <w:color w:val="auto"/>
                <w:szCs w:val="21"/>
                <w:highlight w:val="none"/>
              </w:rPr>
              <w:t>X≥300</w:t>
            </w:r>
          </w:p>
        </w:tc>
        <w:tc>
          <w:tcPr>
            <w:tcW w:w="1701" w:type="dxa"/>
            <w:vAlign w:val="center"/>
          </w:tcPr>
          <w:p w14:paraId="5B698966">
            <w:pPr>
              <w:widowControl/>
              <w:ind w:left="19" w:leftChars="-51" w:hanging="126" w:hangingChars="60"/>
              <w:jc w:val="center"/>
              <w:rPr>
                <w:rFonts w:ascii="宋体" w:hAnsi="宋体"/>
                <w:color w:val="auto"/>
                <w:szCs w:val="21"/>
                <w:highlight w:val="none"/>
              </w:rPr>
            </w:pPr>
            <w:r>
              <w:rPr>
                <w:rFonts w:ascii="宋体" w:hAnsi="宋体"/>
                <w:color w:val="auto"/>
                <w:szCs w:val="21"/>
                <w:highlight w:val="none"/>
              </w:rPr>
              <w:t xml:space="preserve">100≤X＜300 </w:t>
            </w:r>
          </w:p>
        </w:tc>
        <w:tc>
          <w:tcPr>
            <w:tcW w:w="1426" w:type="dxa"/>
            <w:vAlign w:val="center"/>
          </w:tcPr>
          <w:p w14:paraId="557D7DF7">
            <w:pPr>
              <w:widowControl/>
              <w:jc w:val="center"/>
              <w:rPr>
                <w:rFonts w:ascii="宋体" w:hAnsi="宋体"/>
                <w:color w:val="auto"/>
                <w:szCs w:val="21"/>
                <w:highlight w:val="none"/>
              </w:rPr>
            </w:pPr>
            <w:r>
              <w:rPr>
                <w:rFonts w:ascii="宋体" w:hAnsi="宋体"/>
                <w:color w:val="auto"/>
                <w:szCs w:val="21"/>
                <w:highlight w:val="none"/>
              </w:rPr>
              <w:t>10≤X＜100</w:t>
            </w:r>
          </w:p>
        </w:tc>
        <w:tc>
          <w:tcPr>
            <w:tcW w:w="992" w:type="dxa"/>
            <w:vAlign w:val="center"/>
          </w:tcPr>
          <w:p w14:paraId="0F6C424A">
            <w:pPr>
              <w:widowControl/>
              <w:jc w:val="center"/>
              <w:rPr>
                <w:rFonts w:ascii="宋体" w:hAnsi="宋体"/>
                <w:color w:val="auto"/>
                <w:szCs w:val="21"/>
                <w:highlight w:val="none"/>
              </w:rPr>
            </w:pPr>
            <w:r>
              <w:rPr>
                <w:rFonts w:ascii="宋体" w:hAnsi="宋体"/>
                <w:color w:val="auto"/>
                <w:szCs w:val="21"/>
                <w:highlight w:val="none"/>
              </w:rPr>
              <w:t>X＜10</w:t>
            </w:r>
          </w:p>
        </w:tc>
      </w:tr>
      <w:tr w14:paraId="304C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41F83CA5">
            <w:pPr>
              <w:widowControl/>
              <w:jc w:val="left"/>
              <w:rPr>
                <w:rFonts w:ascii="宋体" w:hAnsi="宋体"/>
                <w:color w:val="auto"/>
                <w:spacing w:val="-12"/>
                <w:szCs w:val="21"/>
                <w:highlight w:val="none"/>
              </w:rPr>
            </w:pPr>
          </w:p>
        </w:tc>
        <w:tc>
          <w:tcPr>
            <w:tcW w:w="1531" w:type="dxa"/>
            <w:vAlign w:val="center"/>
          </w:tcPr>
          <w:p w14:paraId="0E86035C">
            <w:pPr>
              <w:widowControl/>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17CEFB4B">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38A2E1E1">
            <w:pPr>
              <w:widowControl/>
              <w:jc w:val="center"/>
              <w:rPr>
                <w:rFonts w:ascii="宋体" w:hAnsi="宋体"/>
                <w:color w:val="auto"/>
                <w:szCs w:val="21"/>
                <w:highlight w:val="none"/>
              </w:rPr>
            </w:pPr>
            <w:r>
              <w:rPr>
                <w:rFonts w:ascii="宋体" w:hAnsi="宋体"/>
                <w:color w:val="auto"/>
                <w:szCs w:val="21"/>
                <w:highlight w:val="none"/>
              </w:rPr>
              <w:t>Y≥10000</w:t>
            </w:r>
          </w:p>
        </w:tc>
        <w:tc>
          <w:tcPr>
            <w:tcW w:w="1701" w:type="dxa"/>
            <w:vAlign w:val="center"/>
          </w:tcPr>
          <w:p w14:paraId="7A6D0BC9">
            <w:pPr>
              <w:widowControl/>
              <w:jc w:val="center"/>
              <w:rPr>
                <w:rFonts w:ascii="宋体" w:hAnsi="宋体"/>
                <w:color w:val="auto"/>
                <w:szCs w:val="21"/>
                <w:highlight w:val="none"/>
              </w:rPr>
            </w:pPr>
            <w:r>
              <w:rPr>
                <w:rFonts w:ascii="宋体" w:hAnsi="宋体"/>
                <w:color w:val="auto"/>
                <w:szCs w:val="21"/>
                <w:highlight w:val="none"/>
              </w:rPr>
              <w:t>1000≤Y＜10000</w:t>
            </w:r>
          </w:p>
        </w:tc>
        <w:tc>
          <w:tcPr>
            <w:tcW w:w="1426" w:type="dxa"/>
            <w:vAlign w:val="center"/>
          </w:tcPr>
          <w:p w14:paraId="296F4E4B">
            <w:pPr>
              <w:widowControl/>
              <w:jc w:val="center"/>
              <w:rPr>
                <w:rFonts w:ascii="宋体" w:hAnsi="宋体"/>
                <w:color w:val="auto"/>
                <w:szCs w:val="21"/>
                <w:highlight w:val="none"/>
              </w:rPr>
            </w:pPr>
            <w:r>
              <w:rPr>
                <w:rFonts w:ascii="宋体" w:hAnsi="宋体"/>
                <w:color w:val="auto"/>
                <w:szCs w:val="21"/>
                <w:highlight w:val="none"/>
              </w:rPr>
              <w:t>50≤Y＜1000</w:t>
            </w:r>
          </w:p>
        </w:tc>
        <w:tc>
          <w:tcPr>
            <w:tcW w:w="992" w:type="dxa"/>
            <w:vAlign w:val="center"/>
          </w:tcPr>
          <w:p w14:paraId="3F0A8F2F">
            <w:pPr>
              <w:widowControl/>
              <w:jc w:val="center"/>
              <w:rPr>
                <w:rFonts w:ascii="宋体" w:hAnsi="宋体"/>
                <w:color w:val="auto"/>
                <w:szCs w:val="21"/>
                <w:highlight w:val="none"/>
              </w:rPr>
            </w:pPr>
            <w:r>
              <w:rPr>
                <w:rFonts w:ascii="宋体" w:hAnsi="宋体"/>
                <w:color w:val="auto"/>
                <w:szCs w:val="21"/>
                <w:highlight w:val="none"/>
              </w:rPr>
              <w:t>Y＜50</w:t>
            </w:r>
          </w:p>
        </w:tc>
      </w:tr>
      <w:tr w14:paraId="0169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33F76280">
            <w:pPr>
              <w:widowControl/>
              <w:spacing w:line="240" w:lineRule="exact"/>
              <w:jc w:val="left"/>
              <w:rPr>
                <w:rFonts w:ascii="宋体" w:hAnsi="宋体"/>
                <w:color w:val="auto"/>
                <w:szCs w:val="21"/>
                <w:highlight w:val="none"/>
              </w:rPr>
            </w:pPr>
            <w:r>
              <w:rPr>
                <w:rFonts w:ascii="宋体" w:hAnsi="宋体"/>
                <w:color w:val="auto"/>
                <w:szCs w:val="21"/>
                <w:highlight w:val="none"/>
              </w:rPr>
              <w:t>房地产开发经营</w:t>
            </w:r>
          </w:p>
        </w:tc>
        <w:tc>
          <w:tcPr>
            <w:tcW w:w="1531" w:type="dxa"/>
            <w:vAlign w:val="center"/>
          </w:tcPr>
          <w:p w14:paraId="735D9239">
            <w:pPr>
              <w:widowControl/>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429A3B1C">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66E89163">
            <w:pPr>
              <w:widowControl/>
              <w:jc w:val="center"/>
              <w:rPr>
                <w:rFonts w:ascii="宋体" w:hAnsi="宋体"/>
                <w:color w:val="auto"/>
                <w:szCs w:val="21"/>
                <w:highlight w:val="none"/>
              </w:rPr>
            </w:pPr>
            <w:r>
              <w:rPr>
                <w:rFonts w:ascii="宋体" w:hAnsi="宋体"/>
                <w:color w:val="auto"/>
                <w:szCs w:val="21"/>
                <w:highlight w:val="none"/>
              </w:rPr>
              <w:t>Y≥200000</w:t>
            </w:r>
          </w:p>
        </w:tc>
        <w:tc>
          <w:tcPr>
            <w:tcW w:w="1701" w:type="dxa"/>
            <w:vAlign w:val="center"/>
          </w:tcPr>
          <w:p w14:paraId="320129A8">
            <w:pPr>
              <w:widowControl/>
              <w:jc w:val="center"/>
              <w:rPr>
                <w:rFonts w:ascii="宋体" w:hAnsi="宋体"/>
                <w:color w:val="auto"/>
                <w:szCs w:val="21"/>
                <w:highlight w:val="none"/>
              </w:rPr>
            </w:pPr>
            <w:r>
              <w:rPr>
                <w:rFonts w:ascii="宋体" w:hAnsi="宋体"/>
                <w:color w:val="auto"/>
                <w:szCs w:val="21"/>
                <w:highlight w:val="none"/>
              </w:rPr>
              <w:t>1000≤Y＜200000</w:t>
            </w:r>
          </w:p>
        </w:tc>
        <w:tc>
          <w:tcPr>
            <w:tcW w:w="1426" w:type="dxa"/>
            <w:vAlign w:val="center"/>
          </w:tcPr>
          <w:p w14:paraId="25396C5D">
            <w:pPr>
              <w:widowControl/>
              <w:jc w:val="center"/>
              <w:rPr>
                <w:rFonts w:ascii="宋体" w:hAnsi="宋体"/>
                <w:color w:val="auto"/>
                <w:szCs w:val="21"/>
                <w:highlight w:val="none"/>
              </w:rPr>
            </w:pPr>
            <w:r>
              <w:rPr>
                <w:rFonts w:ascii="宋体" w:hAnsi="宋体"/>
                <w:color w:val="auto"/>
                <w:szCs w:val="21"/>
                <w:highlight w:val="none"/>
              </w:rPr>
              <w:t>100≤Y＜1000</w:t>
            </w:r>
          </w:p>
        </w:tc>
        <w:tc>
          <w:tcPr>
            <w:tcW w:w="992" w:type="dxa"/>
            <w:vAlign w:val="center"/>
          </w:tcPr>
          <w:p w14:paraId="3D14479D">
            <w:pPr>
              <w:widowControl/>
              <w:jc w:val="center"/>
              <w:rPr>
                <w:rFonts w:ascii="宋体" w:hAnsi="宋体"/>
                <w:color w:val="auto"/>
                <w:szCs w:val="21"/>
                <w:highlight w:val="none"/>
              </w:rPr>
            </w:pPr>
            <w:r>
              <w:rPr>
                <w:rFonts w:ascii="宋体" w:hAnsi="宋体"/>
                <w:color w:val="auto"/>
                <w:szCs w:val="21"/>
                <w:highlight w:val="none"/>
              </w:rPr>
              <w:t>Y＜100</w:t>
            </w:r>
          </w:p>
        </w:tc>
      </w:tr>
      <w:tr w14:paraId="3CF7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0A5AC5FB">
            <w:pPr>
              <w:widowControl/>
              <w:jc w:val="left"/>
              <w:rPr>
                <w:rFonts w:ascii="宋体" w:hAnsi="宋体"/>
                <w:color w:val="auto"/>
                <w:szCs w:val="21"/>
                <w:highlight w:val="none"/>
              </w:rPr>
            </w:pPr>
          </w:p>
        </w:tc>
        <w:tc>
          <w:tcPr>
            <w:tcW w:w="1531" w:type="dxa"/>
            <w:vAlign w:val="center"/>
          </w:tcPr>
          <w:p w14:paraId="70695DA7">
            <w:pPr>
              <w:widowControl/>
              <w:spacing w:line="240" w:lineRule="exact"/>
              <w:jc w:val="center"/>
              <w:rPr>
                <w:rFonts w:ascii="宋体" w:hAnsi="宋体"/>
                <w:color w:val="auto"/>
                <w:szCs w:val="21"/>
                <w:highlight w:val="none"/>
              </w:rPr>
            </w:pPr>
            <w:r>
              <w:rPr>
                <w:rFonts w:ascii="宋体" w:hAnsi="宋体"/>
                <w:color w:val="auto"/>
                <w:szCs w:val="21"/>
                <w:highlight w:val="none"/>
              </w:rPr>
              <w:t>资产总额(Z)</w:t>
            </w:r>
          </w:p>
        </w:tc>
        <w:tc>
          <w:tcPr>
            <w:tcW w:w="709" w:type="dxa"/>
            <w:vAlign w:val="center"/>
          </w:tcPr>
          <w:p w14:paraId="6BE2D531">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0D60AC75">
            <w:pPr>
              <w:widowControl/>
              <w:jc w:val="center"/>
              <w:rPr>
                <w:rFonts w:ascii="宋体" w:hAnsi="宋体"/>
                <w:color w:val="auto"/>
                <w:szCs w:val="21"/>
                <w:highlight w:val="none"/>
              </w:rPr>
            </w:pPr>
            <w:r>
              <w:rPr>
                <w:rFonts w:ascii="宋体" w:hAnsi="宋体"/>
                <w:color w:val="auto"/>
                <w:szCs w:val="21"/>
                <w:highlight w:val="none"/>
              </w:rPr>
              <w:t>Z≥10000</w:t>
            </w:r>
          </w:p>
        </w:tc>
        <w:tc>
          <w:tcPr>
            <w:tcW w:w="1701" w:type="dxa"/>
            <w:vAlign w:val="center"/>
          </w:tcPr>
          <w:p w14:paraId="37CBDF25">
            <w:pPr>
              <w:widowControl/>
              <w:jc w:val="center"/>
              <w:rPr>
                <w:rFonts w:ascii="宋体" w:hAnsi="宋体"/>
                <w:color w:val="auto"/>
                <w:szCs w:val="21"/>
                <w:highlight w:val="none"/>
              </w:rPr>
            </w:pPr>
            <w:r>
              <w:rPr>
                <w:rFonts w:ascii="宋体" w:hAnsi="宋体"/>
                <w:color w:val="auto"/>
                <w:szCs w:val="21"/>
                <w:highlight w:val="none"/>
              </w:rPr>
              <w:t>5000≤Z＜10000</w:t>
            </w:r>
          </w:p>
        </w:tc>
        <w:tc>
          <w:tcPr>
            <w:tcW w:w="1426" w:type="dxa"/>
            <w:vAlign w:val="center"/>
          </w:tcPr>
          <w:p w14:paraId="79F2E82D">
            <w:pPr>
              <w:widowControl/>
              <w:jc w:val="center"/>
              <w:rPr>
                <w:rFonts w:ascii="宋体" w:hAnsi="宋体"/>
                <w:color w:val="auto"/>
                <w:szCs w:val="21"/>
                <w:highlight w:val="none"/>
              </w:rPr>
            </w:pPr>
            <w:r>
              <w:rPr>
                <w:rFonts w:ascii="宋体" w:hAnsi="宋体"/>
                <w:color w:val="auto"/>
                <w:szCs w:val="21"/>
                <w:highlight w:val="none"/>
              </w:rPr>
              <w:t>2000≤Z＜5000</w:t>
            </w:r>
          </w:p>
        </w:tc>
        <w:tc>
          <w:tcPr>
            <w:tcW w:w="992" w:type="dxa"/>
            <w:vAlign w:val="center"/>
          </w:tcPr>
          <w:p w14:paraId="0A1C6829">
            <w:pPr>
              <w:widowControl/>
              <w:jc w:val="center"/>
              <w:rPr>
                <w:rFonts w:ascii="宋体" w:hAnsi="宋体"/>
                <w:color w:val="auto"/>
                <w:szCs w:val="21"/>
                <w:highlight w:val="none"/>
              </w:rPr>
            </w:pPr>
            <w:r>
              <w:rPr>
                <w:rFonts w:ascii="宋体" w:hAnsi="宋体"/>
                <w:color w:val="auto"/>
                <w:szCs w:val="21"/>
                <w:highlight w:val="none"/>
              </w:rPr>
              <w:t>Z＜2000</w:t>
            </w:r>
          </w:p>
        </w:tc>
      </w:tr>
      <w:tr w14:paraId="48EA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74045BD6">
            <w:pPr>
              <w:widowControl/>
              <w:spacing w:line="240" w:lineRule="exact"/>
              <w:jc w:val="left"/>
              <w:rPr>
                <w:rFonts w:ascii="宋体" w:hAnsi="宋体"/>
                <w:color w:val="auto"/>
                <w:szCs w:val="21"/>
                <w:highlight w:val="none"/>
              </w:rPr>
            </w:pPr>
            <w:r>
              <w:rPr>
                <w:rFonts w:ascii="宋体" w:hAnsi="宋体"/>
                <w:color w:val="auto"/>
                <w:szCs w:val="21"/>
                <w:highlight w:val="none"/>
              </w:rPr>
              <w:t>物业管理</w:t>
            </w:r>
          </w:p>
        </w:tc>
        <w:tc>
          <w:tcPr>
            <w:tcW w:w="1531" w:type="dxa"/>
            <w:vAlign w:val="center"/>
          </w:tcPr>
          <w:p w14:paraId="40C69328">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0D426107">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51E84937">
            <w:pPr>
              <w:widowControl/>
              <w:jc w:val="center"/>
              <w:rPr>
                <w:rFonts w:ascii="宋体" w:hAnsi="宋体"/>
                <w:color w:val="auto"/>
                <w:szCs w:val="21"/>
                <w:highlight w:val="none"/>
              </w:rPr>
            </w:pPr>
            <w:r>
              <w:rPr>
                <w:rFonts w:ascii="宋体" w:hAnsi="宋体"/>
                <w:color w:val="auto"/>
                <w:szCs w:val="21"/>
                <w:highlight w:val="none"/>
              </w:rPr>
              <w:t>X≥1000</w:t>
            </w:r>
          </w:p>
        </w:tc>
        <w:tc>
          <w:tcPr>
            <w:tcW w:w="1701" w:type="dxa"/>
            <w:vAlign w:val="center"/>
          </w:tcPr>
          <w:p w14:paraId="5A01F0D1">
            <w:pPr>
              <w:widowControl/>
              <w:jc w:val="center"/>
              <w:rPr>
                <w:rFonts w:ascii="宋体" w:hAnsi="宋体"/>
                <w:color w:val="auto"/>
                <w:szCs w:val="21"/>
                <w:highlight w:val="none"/>
              </w:rPr>
            </w:pPr>
            <w:r>
              <w:rPr>
                <w:rFonts w:ascii="宋体" w:hAnsi="宋体"/>
                <w:color w:val="auto"/>
                <w:szCs w:val="21"/>
                <w:highlight w:val="none"/>
              </w:rPr>
              <w:t>300≤X＜1000</w:t>
            </w:r>
          </w:p>
        </w:tc>
        <w:tc>
          <w:tcPr>
            <w:tcW w:w="1426" w:type="dxa"/>
            <w:vAlign w:val="center"/>
          </w:tcPr>
          <w:p w14:paraId="615CFDBC">
            <w:pPr>
              <w:widowControl/>
              <w:jc w:val="center"/>
              <w:rPr>
                <w:rFonts w:ascii="宋体" w:hAnsi="宋体"/>
                <w:color w:val="auto"/>
                <w:szCs w:val="21"/>
                <w:highlight w:val="none"/>
              </w:rPr>
            </w:pPr>
            <w:r>
              <w:rPr>
                <w:rFonts w:ascii="宋体" w:hAnsi="宋体"/>
                <w:color w:val="auto"/>
                <w:szCs w:val="21"/>
                <w:highlight w:val="none"/>
              </w:rPr>
              <w:t>100≤X＜300</w:t>
            </w:r>
          </w:p>
        </w:tc>
        <w:tc>
          <w:tcPr>
            <w:tcW w:w="992" w:type="dxa"/>
            <w:vAlign w:val="center"/>
          </w:tcPr>
          <w:p w14:paraId="2A68A316">
            <w:pPr>
              <w:widowControl/>
              <w:jc w:val="center"/>
              <w:rPr>
                <w:rFonts w:ascii="宋体" w:hAnsi="宋体"/>
                <w:color w:val="auto"/>
                <w:szCs w:val="21"/>
                <w:highlight w:val="none"/>
              </w:rPr>
            </w:pPr>
            <w:r>
              <w:rPr>
                <w:rFonts w:ascii="宋体" w:hAnsi="宋体"/>
                <w:color w:val="auto"/>
                <w:szCs w:val="21"/>
                <w:highlight w:val="none"/>
              </w:rPr>
              <w:t>X＜100</w:t>
            </w:r>
          </w:p>
        </w:tc>
      </w:tr>
      <w:tr w14:paraId="3929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182EAE2D">
            <w:pPr>
              <w:widowControl/>
              <w:jc w:val="left"/>
              <w:rPr>
                <w:rFonts w:ascii="宋体" w:hAnsi="宋体"/>
                <w:color w:val="auto"/>
                <w:szCs w:val="21"/>
                <w:highlight w:val="none"/>
              </w:rPr>
            </w:pPr>
          </w:p>
        </w:tc>
        <w:tc>
          <w:tcPr>
            <w:tcW w:w="1531" w:type="dxa"/>
            <w:vAlign w:val="center"/>
          </w:tcPr>
          <w:p w14:paraId="47376897">
            <w:pPr>
              <w:widowControl/>
              <w:spacing w:line="240" w:lineRule="exact"/>
              <w:jc w:val="center"/>
              <w:rPr>
                <w:rFonts w:ascii="宋体" w:hAnsi="宋体"/>
                <w:color w:val="auto"/>
                <w:szCs w:val="21"/>
                <w:highlight w:val="none"/>
              </w:rPr>
            </w:pPr>
            <w:r>
              <w:rPr>
                <w:rFonts w:ascii="宋体" w:hAnsi="宋体"/>
                <w:color w:val="auto"/>
                <w:szCs w:val="21"/>
                <w:highlight w:val="none"/>
              </w:rPr>
              <w:t>营业收入(Y)</w:t>
            </w:r>
          </w:p>
        </w:tc>
        <w:tc>
          <w:tcPr>
            <w:tcW w:w="709" w:type="dxa"/>
            <w:vAlign w:val="center"/>
          </w:tcPr>
          <w:p w14:paraId="2585FB28">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5A521308">
            <w:pPr>
              <w:widowControl/>
              <w:jc w:val="center"/>
              <w:rPr>
                <w:rFonts w:ascii="宋体" w:hAnsi="宋体"/>
                <w:color w:val="auto"/>
                <w:szCs w:val="21"/>
                <w:highlight w:val="none"/>
              </w:rPr>
            </w:pPr>
            <w:r>
              <w:rPr>
                <w:rFonts w:ascii="宋体" w:hAnsi="宋体"/>
                <w:color w:val="auto"/>
                <w:szCs w:val="21"/>
                <w:highlight w:val="none"/>
              </w:rPr>
              <w:t>Y≥5000</w:t>
            </w:r>
          </w:p>
        </w:tc>
        <w:tc>
          <w:tcPr>
            <w:tcW w:w="1701" w:type="dxa"/>
            <w:vAlign w:val="center"/>
          </w:tcPr>
          <w:p w14:paraId="6953510E">
            <w:pPr>
              <w:widowControl/>
              <w:ind w:left="19" w:leftChars="-51" w:hanging="126" w:hangingChars="60"/>
              <w:jc w:val="center"/>
              <w:rPr>
                <w:rFonts w:ascii="宋体" w:hAnsi="宋体"/>
                <w:color w:val="auto"/>
                <w:szCs w:val="21"/>
                <w:highlight w:val="none"/>
              </w:rPr>
            </w:pPr>
            <w:r>
              <w:rPr>
                <w:rFonts w:ascii="宋体" w:hAnsi="宋体"/>
                <w:color w:val="auto"/>
                <w:szCs w:val="21"/>
                <w:highlight w:val="none"/>
              </w:rPr>
              <w:t>1000≤Y＜5000</w:t>
            </w:r>
          </w:p>
        </w:tc>
        <w:tc>
          <w:tcPr>
            <w:tcW w:w="1426" w:type="dxa"/>
            <w:vAlign w:val="center"/>
          </w:tcPr>
          <w:p w14:paraId="2FECA598">
            <w:pPr>
              <w:widowControl/>
              <w:jc w:val="center"/>
              <w:rPr>
                <w:rFonts w:ascii="宋体" w:hAnsi="宋体"/>
                <w:color w:val="auto"/>
                <w:szCs w:val="21"/>
                <w:highlight w:val="none"/>
              </w:rPr>
            </w:pPr>
            <w:r>
              <w:rPr>
                <w:rFonts w:ascii="宋体" w:hAnsi="宋体"/>
                <w:color w:val="auto"/>
                <w:szCs w:val="21"/>
                <w:highlight w:val="none"/>
              </w:rPr>
              <w:t>500≤Y＜1000</w:t>
            </w:r>
          </w:p>
        </w:tc>
        <w:tc>
          <w:tcPr>
            <w:tcW w:w="992" w:type="dxa"/>
            <w:vAlign w:val="center"/>
          </w:tcPr>
          <w:p w14:paraId="3FF5902E">
            <w:pPr>
              <w:widowControl/>
              <w:jc w:val="center"/>
              <w:rPr>
                <w:rFonts w:ascii="宋体" w:hAnsi="宋体"/>
                <w:color w:val="auto"/>
                <w:szCs w:val="21"/>
                <w:highlight w:val="none"/>
              </w:rPr>
            </w:pPr>
            <w:r>
              <w:rPr>
                <w:rFonts w:ascii="宋体" w:hAnsi="宋体"/>
                <w:color w:val="auto"/>
                <w:szCs w:val="21"/>
                <w:highlight w:val="none"/>
              </w:rPr>
              <w:t>Y＜500</w:t>
            </w:r>
          </w:p>
        </w:tc>
      </w:tr>
      <w:tr w14:paraId="7162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2BFAAE7E">
            <w:pPr>
              <w:widowControl/>
              <w:spacing w:line="240" w:lineRule="exact"/>
              <w:jc w:val="left"/>
              <w:rPr>
                <w:rFonts w:ascii="宋体" w:hAnsi="宋体"/>
                <w:color w:val="auto"/>
                <w:szCs w:val="21"/>
                <w:highlight w:val="none"/>
              </w:rPr>
            </w:pPr>
            <w:r>
              <w:rPr>
                <w:rFonts w:ascii="宋体" w:hAnsi="宋体"/>
                <w:color w:val="auto"/>
                <w:szCs w:val="21"/>
                <w:highlight w:val="none"/>
              </w:rPr>
              <w:t>租赁和商务服务业</w:t>
            </w:r>
          </w:p>
        </w:tc>
        <w:tc>
          <w:tcPr>
            <w:tcW w:w="1531" w:type="dxa"/>
            <w:vAlign w:val="center"/>
          </w:tcPr>
          <w:p w14:paraId="0CE9E630">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63A411F8">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7117D219">
            <w:pPr>
              <w:widowControl/>
              <w:jc w:val="center"/>
              <w:rPr>
                <w:rFonts w:ascii="宋体" w:hAnsi="宋体"/>
                <w:color w:val="auto"/>
                <w:szCs w:val="21"/>
                <w:highlight w:val="none"/>
              </w:rPr>
            </w:pPr>
            <w:r>
              <w:rPr>
                <w:rFonts w:ascii="宋体" w:hAnsi="宋体"/>
                <w:color w:val="auto"/>
                <w:szCs w:val="21"/>
                <w:highlight w:val="none"/>
              </w:rPr>
              <w:t>X≥300</w:t>
            </w:r>
          </w:p>
        </w:tc>
        <w:tc>
          <w:tcPr>
            <w:tcW w:w="1701" w:type="dxa"/>
            <w:vAlign w:val="center"/>
          </w:tcPr>
          <w:p w14:paraId="4E577EAF">
            <w:pPr>
              <w:widowControl/>
              <w:ind w:left="19" w:leftChars="-51" w:hanging="126" w:hangingChars="60"/>
              <w:jc w:val="center"/>
              <w:rPr>
                <w:rFonts w:ascii="宋体" w:hAnsi="宋体"/>
                <w:color w:val="auto"/>
                <w:szCs w:val="21"/>
                <w:highlight w:val="none"/>
              </w:rPr>
            </w:pPr>
            <w:r>
              <w:rPr>
                <w:rFonts w:ascii="宋体" w:hAnsi="宋体"/>
                <w:color w:val="auto"/>
                <w:szCs w:val="21"/>
                <w:highlight w:val="none"/>
              </w:rPr>
              <w:t>100≤X＜300</w:t>
            </w:r>
          </w:p>
        </w:tc>
        <w:tc>
          <w:tcPr>
            <w:tcW w:w="1426" w:type="dxa"/>
            <w:vAlign w:val="center"/>
          </w:tcPr>
          <w:p w14:paraId="7884A2E9">
            <w:pPr>
              <w:widowControl/>
              <w:jc w:val="center"/>
              <w:rPr>
                <w:rFonts w:ascii="宋体" w:hAnsi="宋体"/>
                <w:color w:val="auto"/>
                <w:szCs w:val="21"/>
                <w:highlight w:val="none"/>
              </w:rPr>
            </w:pPr>
            <w:r>
              <w:rPr>
                <w:rFonts w:ascii="宋体" w:hAnsi="宋体"/>
                <w:color w:val="auto"/>
                <w:szCs w:val="21"/>
                <w:highlight w:val="none"/>
              </w:rPr>
              <w:t>10≤X＜100</w:t>
            </w:r>
          </w:p>
        </w:tc>
        <w:tc>
          <w:tcPr>
            <w:tcW w:w="992" w:type="dxa"/>
            <w:vAlign w:val="center"/>
          </w:tcPr>
          <w:p w14:paraId="543E7D96">
            <w:pPr>
              <w:widowControl/>
              <w:jc w:val="center"/>
              <w:rPr>
                <w:rFonts w:ascii="宋体" w:hAnsi="宋体"/>
                <w:color w:val="auto"/>
                <w:szCs w:val="21"/>
                <w:highlight w:val="none"/>
              </w:rPr>
            </w:pPr>
            <w:r>
              <w:rPr>
                <w:rFonts w:ascii="宋体" w:hAnsi="宋体"/>
                <w:color w:val="auto"/>
                <w:szCs w:val="21"/>
                <w:highlight w:val="none"/>
              </w:rPr>
              <w:t>X＜10</w:t>
            </w:r>
          </w:p>
        </w:tc>
      </w:tr>
      <w:tr w14:paraId="5AB1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39555A6C">
            <w:pPr>
              <w:widowControl/>
              <w:jc w:val="left"/>
              <w:rPr>
                <w:rFonts w:ascii="宋体" w:hAnsi="宋体"/>
                <w:color w:val="auto"/>
                <w:szCs w:val="21"/>
                <w:highlight w:val="none"/>
              </w:rPr>
            </w:pPr>
          </w:p>
        </w:tc>
        <w:tc>
          <w:tcPr>
            <w:tcW w:w="1531" w:type="dxa"/>
            <w:vAlign w:val="center"/>
          </w:tcPr>
          <w:p w14:paraId="58E7D11C">
            <w:pPr>
              <w:widowControl/>
              <w:spacing w:line="240" w:lineRule="exact"/>
              <w:jc w:val="center"/>
              <w:rPr>
                <w:rFonts w:ascii="宋体" w:hAnsi="宋体"/>
                <w:color w:val="auto"/>
                <w:szCs w:val="21"/>
                <w:highlight w:val="none"/>
              </w:rPr>
            </w:pPr>
            <w:r>
              <w:rPr>
                <w:rFonts w:ascii="宋体" w:hAnsi="宋体"/>
                <w:color w:val="auto"/>
                <w:szCs w:val="21"/>
                <w:highlight w:val="none"/>
              </w:rPr>
              <w:t>资产总额(Z)</w:t>
            </w:r>
          </w:p>
        </w:tc>
        <w:tc>
          <w:tcPr>
            <w:tcW w:w="709" w:type="dxa"/>
            <w:vAlign w:val="center"/>
          </w:tcPr>
          <w:p w14:paraId="66F5A34E">
            <w:pPr>
              <w:widowControl/>
              <w:jc w:val="center"/>
              <w:rPr>
                <w:rFonts w:ascii="宋体" w:hAnsi="宋体"/>
                <w:color w:val="auto"/>
                <w:szCs w:val="21"/>
                <w:highlight w:val="none"/>
              </w:rPr>
            </w:pPr>
            <w:r>
              <w:rPr>
                <w:rFonts w:ascii="宋体" w:hAnsi="宋体"/>
                <w:color w:val="auto"/>
                <w:szCs w:val="21"/>
                <w:highlight w:val="none"/>
              </w:rPr>
              <w:t>万元</w:t>
            </w:r>
          </w:p>
        </w:tc>
        <w:tc>
          <w:tcPr>
            <w:tcW w:w="1125" w:type="dxa"/>
            <w:vAlign w:val="center"/>
          </w:tcPr>
          <w:p w14:paraId="54F8B541">
            <w:pPr>
              <w:widowControl/>
              <w:jc w:val="center"/>
              <w:rPr>
                <w:rFonts w:ascii="宋体" w:hAnsi="宋体"/>
                <w:color w:val="auto"/>
                <w:szCs w:val="21"/>
                <w:highlight w:val="none"/>
              </w:rPr>
            </w:pPr>
            <w:r>
              <w:rPr>
                <w:rFonts w:ascii="宋体" w:hAnsi="宋体"/>
                <w:color w:val="auto"/>
                <w:szCs w:val="21"/>
                <w:highlight w:val="none"/>
              </w:rPr>
              <w:t>Z≥120000</w:t>
            </w:r>
          </w:p>
        </w:tc>
        <w:tc>
          <w:tcPr>
            <w:tcW w:w="1701" w:type="dxa"/>
            <w:vAlign w:val="center"/>
          </w:tcPr>
          <w:p w14:paraId="64454D2A">
            <w:pPr>
              <w:widowControl/>
              <w:jc w:val="center"/>
              <w:rPr>
                <w:rFonts w:ascii="宋体" w:hAnsi="宋体"/>
                <w:color w:val="auto"/>
                <w:szCs w:val="21"/>
                <w:highlight w:val="none"/>
              </w:rPr>
            </w:pPr>
            <w:r>
              <w:rPr>
                <w:rFonts w:ascii="宋体" w:hAnsi="宋体"/>
                <w:color w:val="auto"/>
                <w:szCs w:val="21"/>
                <w:highlight w:val="none"/>
              </w:rPr>
              <w:t>8000≤Z＜120000</w:t>
            </w:r>
          </w:p>
        </w:tc>
        <w:tc>
          <w:tcPr>
            <w:tcW w:w="1426" w:type="dxa"/>
            <w:vAlign w:val="center"/>
          </w:tcPr>
          <w:p w14:paraId="63C61E46">
            <w:pPr>
              <w:widowControl/>
              <w:jc w:val="center"/>
              <w:rPr>
                <w:rFonts w:ascii="宋体" w:hAnsi="宋体"/>
                <w:color w:val="auto"/>
                <w:szCs w:val="21"/>
                <w:highlight w:val="none"/>
              </w:rPr>
            </w:pPr>
            <w:r>
              <w:rPr>
                <w:rFonts w:ascii="宋体" w:hAnsi="宋体"/>
                <w:color w:val="auto"/>
                <w:szCs w:val="21"/>
                <w:highlight w:val="none"/>
              </w:rPr>
              <w:t>100≤Z＜8000</w:t>
            </w:r>
          </w:p>
        </w:tc>
        <w:tc>
          <w:tcPr>
            <w:tcW w:w="992" w:type="dxa"/>
            <w:vAlign w:val="center"/>
          </w:tcPr>
          <w:p w14:paraId="1301C304">
            <w:pPr>
              <w:widowControl/>
              <w:jc w:val="center"/>
              <w:rPr>
                <w:rFonts w:ascii="宋体" w:hAnsi="宋体"/>
                <w:color w:val="auto"/>
                <w:szCs w:val="21"/>
                <w:highlight w:val="none"/>
              </w:rPr>
            </w:pPr>
            <w:r>
              <w:rPr>
                <w:rFonts w:ascii="宋体" w:hAnsi="宋体"/>
                <w:color w:val="auto"/>
                <w:szCs w:val="21"/>
                <w:highlight w:val="none"/>
              </w:rPr>
              <w:t>Z＜100</w:t>
            </w:r>
          </w:p>
        </w:tc>
      </w:tr>
      <w:tr w14:paraId="62F7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Align w:val="center"/>
          </w:tcPr>
          <w:p w14:paraId="5726B40D">
            <w:pPr>
              <w:widowControl/>
              <w:spacing w:line="240" w:lineRule="exact"/>
              <w:jc w:val="left"/>
              <w:rPr>
                <w:rFonts w:ascii="宋体" w:hAnsi="宋体"/>
                <w:color w:val="auto"/>
                <w:szCs w:val="21"/>
                <w:highlight w:val="none"/>
              </w:rPr>
            </w:pPr>
            <w:r>
              <w:rPr>
                <w:rFonts w:ascii="宋体" w:hAnsi="宋体"/>
                <w:color w:val="auto"/>
                <w:szCs w:val="21"/>
                <w:highlight w:val="none"/>
              </w:rPr>
              <w:t>其他未列明行业 *</w:t>
            </w:r>
          </w:p>
        </w:tc>
        <w:tc>
          <w:tcPr>
            <w:tcW w:w="1531" w:type="dxa"/>
            <w:vAlign w:val="center"/>
          </w:tcPr>
          <w:p w14:paraId="4407A6F0">
            <w:pPr>
              <w:widowControl/>
              <w:jc w:val="center"/>
              <w:rPr>
                <w:rFonts w:ascii="宋体" w:hAnsi="宋体"/>
                <w:color w:val="auto"/>
                <w:szCs w:val="21"/>
                <w:highlight w:val="none"/>
              </w:rPr>
            </w:pPr>
            <w:r>
              <w:rPr>
                <w:rFonts w:ascii="宋体" w:hAnsi="宋体"/>
                <w:color w:val="auto"/>
                <w:szCs w:val="21"/>
                <w:highlight w:val="none"/>
              </w:rPr>
              <w:t>从业人员(X)</w:t>
            </w:r>
          </w:p>
        </w:tc>
        <w:tc>
          <w:tcPr>
            <w:tcW w:w="709" w:type="dxa"/>
            <w:vAlign w:val="center"/>
          </w:tcPr>
          <w:p w14:paraId="5CB4A4A0">
            <w:pPr>
              <w:widowControl/>
              <w:jc w:val="center"/>
              <w:rPr>
                <w:rFonts w:ascii="宋体" w:hAnsi="宋体"/>
                <w:color w:val="auto"/>
                <w:szCs w:val="21"/>
                <w:highlight w:val="none"/>
              </w:rPr>
            </w:pPr>
            <w:r>
              <w:rPr>
                <w:rFonts w:ascii="宋体" w:hAnsi="宋体"/>
                <w:color w:val="auto"/>
                <w:szCs w:val="21"/>
                <w:highlight w:val="none"/>
              </w:rPr>
              <w:t>人</w:t>
            </w:r>
          </w:p>
        </w:tc>
        <w:tc>
          <w:tcPr>
            <w:tcW w:w="1125" w:type="dxa"/>
            <w:vAlign w:val="center"/>
          </w:tcPr>
          <w:p w14:paraId="7259571F">
            <w:pPr>
              <w:widowControl/>
              <w:jc w:val="center"/>
              <w:rPr>
                <w:rFonts w:ascii="宋体" w:hAnsi="宋体"/>
                <w:color w:val="auto"/>
                <w:szCs w:val="21"/>
                <w:highlight w:val="none"/>
              </w:rPr>
            </w:pPr>
            <w:r>
              <w:rPr>
                <w:rFonts w:ascii="宋体" w:hAnsi="宋体"/>
                <w:color w:val="auto"/>
                <w:szCs w:val="21"/>
                <w:highlight w:val="none"/>
              </w:rPr>
              <w:t>X≥300</w:t>
            </w:r>
          </w:p>
        </w:tc>
        <w:tc>
          <w:tcPr>
            <w:tcW w:w="1701" w:type="dxa"/>
            <w:vAlign w:val="center"/>
          </w:tcPr>
          <w:p w14:paraId="76037A37">
            <w:pPr>
              <w:widowControl/>
              <w:ind w:left="19" w:leftChars="-51" w:hanging="126" w:hangingChars="60"/>
              <w:jc w:val="center"/>
              <w:rPr>
                <w:rFonts w:ascii="宋体" w:hAnsi="宋体"/>
                <w:color w:val="auto"/>
                <w:szCs w:val="21"/>
                <w:highlight w:val="none"/>
              </w:rPr>
            </w:pPr>
            <w:r>
              <w:rPr>
                <w:rFonts w:ascii="宋体" w:hAnsi="宋体"/>
                <w:color w:val="auto"/>
                <w:szCs w:val="21"/>
                <w:highlight w:val="none"/>
              </w:rPr>
              <w:t>100≤X＜300</w:t>
            </w:r>
          </w:p>
        </w:tc>
        <w:tc>
          <w:tcPr>
            <w:tcW w:w="1426" w:type="dxa"/>
            <w:vAlign w:val="center"/>
          </w:tcPr>
          <w:p w14:paraId="00D559BB">
            <w:pPr>
              <w:widowControl/>
              <w:jc w:val="center"/>
              <w:rPr>
                <w:rFonts w:ascii="宋体" w:hAnsi="宋体"/>
                <w:color w:val="auto"/>
                <w:szCs w:val="21"/>
                <w:highlight w:val="none"/>
              </w:rPr>
            </w:pPr>
            <w:r>
              <w:rPr>
                <w:rFonts w:ascii="宋体" w:hAnsi="宋体"/>
                <w:color w:val="auto"/>
                <w:szCs w:val="21"/>
                <w:highlight w:val="none"/>
              </w:rPr>
              <w:t>10≤X＜100</w:t>
            </w:r>
          </w:p>
        </w:tc>
        <w:tc>
          <w:tcPr>
            <w:tcW w:w="992" w:type="dxa"/>
            <w:vAlign w:val="center"/>
          </w:tcPr>
          <w:p w14:paraId="19F62BA5">
            <w:pPr>
              <w:widowControl/>
              <w:jc w:val="center"/>
              <w:rPr>
                <w:rFonts w:ascii="宋体" w:hAnsi="宋体"/>
                <w:color w:val="auto"/>
                <w:szCs w:val="21"/>
                <w:highlight w:val="none"/>
              </w:rPr>
            </w:pPr>
            <w:r>
              <w:rPr>
                <w:rFonts w:ascii="宋体" w:hAnsi="宋体"/>
                <w:color w:val="auto"/>
                <w:szCs w:val="21"/>
                <w:highlight w:val="none"/>
              </w:rPr>
              <w:t>X＜10</w:t>
            </w:r>
          </w:p>
        </w:tc>
      </w:tr>
    </w:tbl>
    <w:p w14:paraId="7C36BF95">
      <w:pPr>
        <w:widowControl/>
        <w:spacing w:line="540" w:lineRule="exact"/>
        <w:rPr>
          <w:rFonts w:ascii="宋体" w:hAnsi="宋体"/>
          <w:color w:val="auto"/>
          <w:szCs w:val="21"/>
          <w:highlight w:val="none"/>
        </w:rPr>
      </w:pPr>
      <w:r>
        <w:rPr>
          <w:rFonts w:ascii="宋体" w:hAnsi="宋体"/>
          <w:color w:val="auto"/>
          <w:szCs w:val="21"/>
          <w:highlight w:val="none"/>
        </w:rPr>
        <w:t>说明：</w:t>
      </w:r>
    </w:p>
    <w:p w14:paraId="7048CB9A">
      <w:pPr>
        <w:pStyle w:val="22"/>
        <w:spacing w:after="156" w:line="380" w:lineRule="exact"/>
        <w:ind w:firstLine="420" w:firstLineChars="200"/>
        <w:contextualSpacing/>
        <w:rPr>
          <w:rFonts w:hAnsi="宋体"/>
          <w:color w:val="auto"/>
          <w:sz w:val="21"/>
          <w:highlight w:val="none"/>
        </w:rPr>
      </w:pPr>
      <w:r>
        <w:rPr>
          <w:rFonts w:hAnsi="宋体"/>
          <w:color w:val="auto"/>
          <w:sz w:val="21"/>
          <w:highlight w:val="none"/>
        </w:rPr>
        <w:t>1.大型、中型和小型企业须同时满足所列指标的下限，否则下划一档；微型企业只须满足所列指标中的一项即可。</w:t>
      </w:r>
    </w:p>
    <w:p w14:paraId="286EEB72">
      <w:pPr>
        <w:pStyle w:val="22"/>
        <w:spacing w:after="156" w:line="380" w:lineRule="exact"/>
        <w:ind w:firstLine="420" w:firstLineChars="200"/>
        <w:contextualSpacing/>
        <w:rPr>
          <w:rFonts w:hAnsi="宋体"/>
          <w:color w:val="auto"/>
          <w:sz w:val="21"/>
          <w:highlight w:val="none"/>
        </w:rPr>
      </w:pPr>
      <w:r>
        <w:rPr>
          <w:rFonts w:hAnsi="宋体"/>
          <w:color w:val="auto"/>
          <w:sz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E9F51A7">
      <w:pPr>
        <w:pStyle w:val="22"/>
        <w:spacing w:after="156" w:line="380" w:lineRule="exact"/>
        <w:ind w:firstLine="420" w:firstLineChars="200"/>
        <w:contextualSpacing/>
        <w:rPr>
          <w:rFonts w:hAnsi="宋体"/>
          <w:color w:val="auto"/>
          <w:sz w:val="21"/>
          <w:highlight w:val="none"/>
        </w:rPr>
      </w:pPr>
      <w:r>
        <w:rPr>
          <w:rFonts w:hAnsi="宋体"/>
          <w:color w:val="auto"/>
          <w:sz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A69F9E9">
      <w:pPr>
        <w:pStyle w:val="16"/>
        <w:rPr>
          <w:rFonts w:ascii="宋体" w:hAnsi="宋体"/>
          <w:color w:val="auto"/>
          <w:highlight w:val="none"/>
        </w:rPr>
      </w:pPr>
    </w:p>
    <w:p w14:paraId="06BB20D8">
      <w:pPr>
        <w:topLinePunct/>
        <w:spacing w:line="440" w:lineRule="exact"/>
        <w:ind w:firstLine="720" w:firstLineChars="200"/>
        <w:rPr>
          <w:rFonts w:ascii="宋体" w:hAnsi="宋体" w:cs="¿¬Ìå"/>
          <w:color w:val="auto"/>
          <w:sz w:val="36"/>
          <w:szCs w:val="36"/>
          <w:highlight w:val="none"/>
        </w:rPr>
      </w:pPr>
    </w:p>
    <w:p w14:paraId="20A0C2EC">
      <w:pPr>
        <w:spacing w:line="460" w:lineRule="exact"/>
        <w:ind w:firstLine="420" w:firstLineChars="200"/>
        <w:rPr>
          <w:rFonts w:ascii="宋体"/>
          <w:color w:val="auto"/>
          <w:szCs w:val="21"/>
          <w:highlight w:val="none"/>
        </w:rPr>
      </w:pPr>
    </w:p>
    <w:p w14:paraId="58AE8E61">
      <w:pPr>
        <w:pStyle w:val="2"/>
        <w:keepNext w:val="0"/>
        <w:keepLines w:val="0"/>
        <w:numPr>
          <w:ilvl w:val="0"/>
          <w:numId w:val="0"/>
        </w:numPr>
        <w:tabs>
          <w:tab w:val="left" w:pos="432"/>
        </w:tabs>
        <w:spacing w:line="500" w:lineRule="exact"/>
        <w:jc w:val="center"/>
        <w:outlineLvl w:val="0"/>
        <w:rPr>
          <w:rFonts w:hint="eastAsia" w:ascii="宋体" w:hAnsi="宋体"/>
          <w:color w:val="auto"/>
          <w:szCs w:val="44"/>
          <w:highlight w:val="none"/>
        </w:rPr>
      </w:pPr>
      <w:bookmarkStart w:id="60" w:name="_Toc16961"/>
      <w:bookmarkStart w:id="61" w:name="_Toc22406"/>
    </w:p>
    <w:p w14:paraId="3322B3B6">
      <w:pPr>
        <w:pStyle w:val="2"/>
        <w:keepNext w:val="0"/>
        <w:keepLines w:val="0"/>
        <w:numPr>
          <w:ilvl w:val="0"/>
          <w:numId w:val="0"/>
        </w:numPr>
        <w:tabs>
          <w:tab w:val="left" w:pos="432"/>
        </w:tabs>
        <w:spacing w:line="500" w:lineRule="exact"/>
        <w:jc w:val="center"/>
        <w:outlineLvl w:val="0"/>
        <w:rPr>
          <w:rFonts w:hint="eastAsia" w:ascii="宋体" w:hAnsi="宋体"/>
          <w:color w:val="auto"/>
          <w:szCs w:val="44"/>
          <w:highlight w:val="none"/>
        </w:rPr>
      </w:pPr>
    </w:p>
    <w:p w14:paraId="76BAA317">
      <w:pPr>
        <w:pStyle w:val="2"/>
        <w:keepNext w:val="0"/>
        <w:keepLines w:val="0"/>
        <w:numPr>
          <w:ilvl w:val="0"/>
          <w:numId w:val="0"/>
        </w:numPr>
        <w:tabs>
          <w:tab w:val="left" w:pos="432"/>
        </w:tabs>
        <w:spacing w:line="500" w:lineRule="exact"/>
        <w:jc w:val="center"/>
        <w:outlineLvl w:val="0"/>
        <w:rPr>
          <w:rFonts w:hint="eastAsia" w:ascii="宋体" w:hAnsi="宋体"/>
          <w:color w:val="auto"/>
          <w:szCs w:val="44"/>
          <w:highlight w:val="none"/>
        </w:rPr>
      </w:pPr>
    </w:p>
    <w:p w14:paraId="63262728">
      <w:pPr>
        <w:pStyle w:val="2"/>
        <w:keepNext w:val="0"/>
        <w:keepLines w:val="0"/>
        <w:numPr>
          <w:ilvl w:val="0"/>
          <w:numId w:val="0"/>
        </w:numPr>
        <w:tabs>
          <w:tab w:val="left" w:pos="432"/>
        </w:tabs>
        <w:spacing w:line="500" w:lineRule="exact"/>
        <w:jc w:val="center"/>
        <w:outlineLvl w:val="0"/>
        <w:rPr>
          <w:rFonts w:hint="eastAsia" w:ascii="宋体" w:hAnsi="宋体"/>
          <w:color w:val="auto"/>
          <w:szCs w:val="44"/>
          <w:highlight w:val="none"/>
        </w:rPr>
      </w:pPr>
    </w:p>
    <w:p w14:paraId="5867F3FD">
      <w:pPr>
        <w:pStyle w:val="2"/>
        <w:keepNext w:val="0"/>
        <w:keepLines w:val="0"/>
        <w:numPr>
          <w:ilvl w:val="0"/>
          <w:numId w:val="0"/>
        </w:numPr>
        <w:tabs>
          <w:tab w:val="left" w:pos="432"/>
        </w:tabs>
        <w:spacing w:line="500" w:lineRule="exact"/>
        <w:jc w:val="center"/>
        <w:outlineLvl w:val="0"/>
        <w:rPr>
          <w:rFonts w:hint="eastAsia" w:ascii="宋体" w:hAnsi="宋体"/>
          <w:color w:val="auto"/>
          <w:szCs w:val="44"/>
          <w:highlight w:val="none"/>
        </w:rPr>
      </w:pPr>
    </w:p>
    <w:p w14:paraId="5C379CE0">
      <w:pPr>
        <w:pStyle w:val="2"/>
        <w:keepNext w:val="0"/>
        <w:keepLines w:val="0"/>
        <w:numPr>
          <w:ilvl w:val="0"/>
          <w:numId w:val="0"/>
        </w:numPr>
        <w:tabs>
          <w:tab w:val="left" w:pos="432"/>
        </w:tabs>
        <w:spacing w:line="500" w:lineRule="exact"/>
        <w:jc w:val="center"/>
        <w:outlineLvl w:val="0"/>
        <w:rPr>
          <w:rFonts w:hint="eastAsia" w:ascii="宋体" w:hAnsi="宋体"/>
          <w:color w:val="auto"/>
          <w:szCs w:val="44"/>
          <w:highlight w:val="none"/>
        </w:rPr>
      </w:pPr>
    </w:p>
    <w:p w14:paraId="44AC83B0">
      <w:pPr>
        <w:pStyle w:val="2"/>
        <w:keepNext w:val="0"/>
        <w:keepLines w:val="0"/>
        <w:numPr>
          <w:ilvl w:val="0"/>
          <w:numId w:val="0"/>
        </w:numPr>
        <w:tabs>
          <w:tab w:val="left" w:pos="432"/>
        </w:tabs>
        <w:spacing w:line="500" w:lineRule="exact"/>
        <w:jc w:val="center"/>
        <w:outlineLvl w:val="0"/>
        <w:rPr>
          <w:rFonts w:hint="eastAsia" w:ascii="宋体" w:hAnsi="宋体"/>
          <w:color w:val="auto"/>
          <w:szCs w:val="44"/>
          <w:highlight w:val="none"/>
        </w:rPr>
      </w:pPr>
    </w:p>
    <w:p w14:paraId="3811D053">
      <w:pPr>
        <w:pStyle w:val="2"/>
        <w:keepNext w:val="0"/>
        <w:keepLines w:val="0"/>
        <w:numPr>
          <w:ilvl w:val="0"/>
          <w:numId w:val="0"/>
        </w:numPr>
        <w:tabs>
          <w:tab w:val="left" w:pos="432"/>
        </w:tabs>
        <w:spacing w:line="500" w:lineRule="exact"/>
        <w:jc w:val="center"/>
        <w:outlineLvl w:val="0"/>
        <w:rPr>
          <w:rFonts w:hint="eastAsia" w:ascii="宋体" w:hAnsi="宋体"/>
          <w:color w:val="auto"/>
          <w:szCs w:val="44"/>
          <w:highlight w:val="none"/>
        </w:rPr>
      </w:pPr>
    </w:p>
    <w:p w14:paraId="5041B181">
      <w:pPr>
        <w:pStyle w:val="2"/>
        <w:keepNext w:val="0"/>
        <w:keepLines w:val="0"/>
        <w:numPr>
          <w:ilvl w:val="0"/>
          <w:numId w:val="0"/>
        </w:numPr>
        <w:tabs>
          <w:tab w:val="left" w:pos="432"/>
        </w:tabs>
        <w:spacing w:line="500" w:lineRule="exact"/>
        <w:jc w:val="center"/>
        <w:outlineLvl w:val="0"/>
        <w:rPr>
          <w:rFonts w:hint="eastAsia" w:ascii="宋体" w:hAnsi="宋体"/>
          <w:color w:val="auto"/>
          <w:szCs w:val="44"/>
          <w:highlight w:val="none"/>
        </w:rPr>
      </w:pPr>
    </w:p>
    <w:p w14:paraId="4A7A5A8E">
      <w:pPr>
        <w:pStyle w:val="2"/>
        <w:keepNext w:val="0"/>
        <w:keepLines w:val="0"/>
        <w:numPr>
          <w:ilvl w:val="0"/>
          <w:numId w:val="0"/>
        </w:numPr>
        <w:tabs>
          <w:tab w:val="left" w:pos="432"/>
        </w:tabs>
        <w:spacing w:line="500" w:lineRule="exact"/>
        <w:jc w:val="center"/>
        <w:outlineLvl w:val="0"/>
        <w:rPr>
          <w:rFonts w:hint="eastAsia" w:ascii="宋体" w:hAnsi="宋体" w:eastAsia="宋体"/>
          <w:color w:val="auto"/>
          <w:szCs w:val="44"/>
          <w:highlight w:val="none"/>
          <w:lang w:eastAsia="zh-CN"/>
        </w:rPr>
      </w:pPr>
      <w:r>
        <w:rPr>
          <w:rFonts w:hint="eastAsia" w:ascii="宋体" w:hAnsi="宋体"/>
          <w:color w:val="auto"/>
          <w:szCs w:val="44"/>
          <w:highlight w:val="none"/>
        </w:rPr>
        <w:t xml:space="preserve">第五章   </w:t>
      </w:r>
      <w:bookmarkEnd w:id="60"/>
      <w:bookmarkEnd w:id="61"/>
      <w:r>
        <w:rPr>
          <w:rFonts w:hint="eastAsia" w:ascii="宋体" w:hAnsi="宋体"/>
          <w:color w:val="auto"/>
          <w:szCs w:val="44"/>
          <w:highlight w:val="none"/>
          <w:lang w:eastAsia="zh-CN"/>
        </w:rPr>
        <w:t>合同条款及格式</w:t>
      </w:r>
    </w:p>
    <w:p w14:paraId="4FB32BD8">
      <w:pPr>
        <w:pStyle w:val="22"/>
        <w:jc w:val="center"/>
        <w:rPr>
          <w:rFonts w:ascii="Times New Roman" w:hAnsi="Times New Roman" w:cs="宋体"/>
          <w:color w:val="auto"/>
          <w:sz w:val="84"/>
          <w:highlight w:val="none"/>
        </w:rPr>
      </w:pPr>
    </w:p>
    <w:p w14:paraId="5F66CFBF">
      <w:pPr>
        <w:pStyle w:val="22"/>
        <w:jc w:val="center"/>
        <w:rPr>
          <w:rFonts w:ascii="Times New Roman" w:hAnsi="Times New Roman"/>
          <w:color w:val="auto"/>
          <w:sz w:val="84"/>
          <w:highlight w:val="none"/>
        </w:rPr>
      </w:pPr>
      <w:r>
        <w:rPr>
          <w:rFonts w:ascii="Times New Roman" w:hAnsi="Times New Roman" w:cs="宋体"/>
          <w:color w:val="auto"/>
          <w:sz w:val="84"/>
          <w:highlight w:val="none"/>
        </w:rPr>
        <w:t>政府采购合同书</w:t>
      </w:r>
    </w:p>
    <w:p w14:paraId="3ACFCD18">
      <w:pPr>
        <w:pStyle w:val="22"/>
        <w:jc w:val="center"/>
        <w:rPr>
          <w:rFonts w:ascii="Times New Roman" w:hAnsi="Times New Roman"/>
          <w:color w:val="auto"/>
          <w:sz w:val="32"/>
          <w:highlight w:val="none"/>
        </w:rPr>
      </w:pPr>
    </w:p>
    <w:p w14:paraId="4311F9EC">
      <w:pPr>
        <w:pStyle w:val="22"/>
        <w:jc w:val="center"/>
        <w:rPr>
          <w:rFonts w:ascii="Times New Roman" w:hAnsi="Times New Roman"/>
          <w:color w:val="auto"/>
          <w:sz w:val="32"/>
          <w:highlight w:val="none"/>
        </w:rPr>
      </w:pPr>
    </w:p>
    <w:p w14:paraId="190005EF">
      <w:pPr>
        <w:pStyle w:val="22"/>
        <w:jc w:val="center"/>
        <w:rPr>
          <w:rFonts w:ascii="Times New Roman" w:hAnsi="Times New Roman"/>
          <w:color w:val="auto"/>
          <w:sz w:val="32"/>
          <w:highlight w:val="none"/>
        </w:rPr>
      </w:pPr>
    </w:p>
    <w:p w14:paraId="55A76211">
      <w:pPr>
        <w:pStyle w:val="22"/>
        <w:jc w:val="center"/>
        <w:rPr>
          <w:rFonts w:ascii="Times New Roman" w:hAnsi="Times New Roman"/>
          <w:color w:val="auto"/>
          <w:sz w:val="32"/>
          <w:highlight w:val="none"/>
        </w:rPr>
      </w:pPr>
      <w:r>
        <w:rPr>
          <w:rFonts w:ascii="Times New Roman" w:hAnsi="Times New Roman" w:cs="宋体"/>
          <w:color w:val="auto"/>
          <w:sz w:val="32"/>
          <w:highlight w:val="none"/>
        </w:rPr>
        <w:t>合同名称：</w:t>
      </w:r>
    </w:p>
    <w:p w14:paraId="02BE89D1">
      <w:pPr>
        <w:pStyle w:val="22"/>
        <w:jc w:val="center"/>
        <w:rPr>
          <w:rFonts w:ascii="Times New Roman" w:hAnsi="Times New Roman"/>
          <w:color w:val="auto"/>
          <w:sz w:val="32"/>
          <w:highlight w:val="none"/>
        </w:rPr>
      </w:pPr>
      <w:r>
        <w:rPr>
          <w:rFonts w:ascii="Times New Roman" w:hAnsi="Times New Roman" w:cs="宋体"/>
          <w:color w:val="auto"/>
          <w:sz w:val="32"/>
          <w:highlight w:val="none"/>
        </w:rPr>
        <w:t>项目编号：</w:t>
      </w:r>
    </w:p>
    <w:p w14:paraId="5990D6C3">
      <w:pPr>
        <w:pStyle w:val="22"/>
        <w:jc w:val="center"/>
        <w:rPr>
          <w:rFonts w:ascii="Times New Roman" w:hAnsi="Times New Roman"/>
          <w:color w:val="auto"/>
          <w:sz w:val="32"/>
          <w:highlight w:val="none"/>
        </w:rPr>
      </w:pPr>
    </w:p>
    <w:p w14:paraId="0DA4DCD8">
      <w:pPr>
        <w:pStyle w:val="22"/>
        <w:jc w:val="center"/>
        <w:rPr>
          <w:rFonts w:ascii="Times New Roman" w:hAnsi="Times New Roman"/>
          <w:color w:val="auto"/>
          <w:sz w:val="32"/>
          <w:highlight w:val="none"/>
        </w:rPr>
      </w:pPr>
    </w:p>
    <w:p w14:paraId="2A8798FA">
      <w:pPr>
        <w:pStyle w:val="22"/>
        <w:jc w:val="center"/>
        <w:rPr>
          <w:rFonts w:ascii="Times New Roman" w:hAnsi="Times New Roman"/>
          <w:color w:val="auto"/>
          <w:sz w:val="32"/>
          <w:highlight w:val="none"/>
        </w:rPr>
      </w:pPr>
      <w:r>
        <w:rPr>
          <w:rFonts w:ascii="Times New Roman" w:hAnsi="Times New Roman" w:cs="宋体"/>
          <w:color w:val="auto"/>
          <w:sz w:val="32"/>
          <w:highlight w:val="none"/>
        </w:rPr>
        <w:t>签订合同地点：</w:t>
      </w:r>
    </w:p>
    <w:p w14:paraId="5D8F984D">
      <w:pPr>
        <w:pStyle w:val="22"/>
        <w:jc w:val="center"/>
        <w:rPr>
          <w:rFonts w:ascii="Times New Roman" w:hAnsi="Times New Roman"/>
          <w:color w:val="auto"/>
          <w:sz w:val="32"/>
          <w:highlight w:val="none"/>
        </w:rPr>
      </w:pPr>
      <w:r>
        <w:rPr>
          <w:rFonts w:ascii="Times New Roman" w:hAnsi="Times New Roman" w:cs="宋体"/>
          <w:color w:val="auto"/>
          <w:sz w:val="32"/>
          <w:highlight w:val="none"/>
        </w:rPr>
        <w:t>签订合同时间：</w:t>
      </w:r>
    </w:p>
    <w:p w14:paraId="690329C9">
      <w:pPr>
        <w:pStyle w:val="22"/>
        <w:jc w:val="center"/>
        <w:rPr>
          <w:rFonts w:ascii="Times New Roman" w:hAnsi="Times New Roman"/>
          <w:color w:val="auto"/>
          <w:sz w:val="32"/>
          <w:highlight w:val="none"/>
        </w:rPr>
      </w:pPr>
    </w:p>
    <w:p w14:paraId="05BE5ECC">
      <w:pPr>
        <w:widowControl/>
        <w:tabs>
          <w:tab w:val="center" w:pos="4153"/>
          <w:tab w:val="left" w:pos="4225"/>
        </w:tabs>
        <w:jc w:val="center"/>
        <w:rPr>
          <w:rFonts w:hint="eastAsia" w:hAnsi="宋体" w:cs="宋体"/>
          <w:color w:val="auto"/>
          <w:kern w:val="0"/>
          <w:sz w:val="32"/>
          <w:szCs w:val="32"/>
          <w:highlight w:val="none"/>
        </w:rPr>
      </w:pPr>
    </w:p>
    <w:p w14:paraId="17896B11">
      <w:pPr>
        <w:widowControl/>
        <w:tabs>
          <w:tab w:val="center" w:pos="4153"/>
          <w:tab w:val="left" w:pos="4225"/>
        </w:tabs>
        <w:jc w:val="center"/>
        <w:rPr>
          <w:rFonts w:hint="eastAsia" w:hAnsi="宋体" w:cs="宋体"/>
          <w:color w:val="auto"/>
          <w:kern w:val="0"/>
          <w:sz w:val="28"/>
          <w:szCs w:val="28"/>
          <w:highlight w:val="none"/>
        </w:rPr>
      </w:pPr>
    </w:p>
    <w:p w14:paraId="1FAF6A24">
      <w:pPr>
        <w:widowControl/>
        <w:tabs>
          <w:tab w:val="center" w:pos="4153"/>
          <w:tab w:val="left" w:pos="4225"/>
        </w:tabs>
        <w:jc w:val="center"/>
        <w:rPr>
          <w:rFonts w:hint="eastAsia" w:hAnsi="宋体" w:cs="宋体"/>
          <w:color w:val="auto"/>
          <w:kern w:val="0"/>
          <w:sz w:val="28"/>
          <w:szCs w:val="28"/>
          <w:highlight w:val="none"/>
        </w:rPr>
      </w:pPr>
    </w:p>
    <w:p w14:paraId="35FB0138">
      <w:pPr>
        <w:pStyle w:val="22"/>
        <w:jc w:val="center"/>
        <w:rPr>
          <w:rFonts w:hAnsi="宋体" w:cs="宋体"/>
          <w:color w:val="auto"/>
          <w:kern w:val="0"/>
          <w:sz w:val="24"/>
          <w:highlight w:val="none"/>
        </w:rPr>
      </w:pPr>
    </w:p>
    <w:p w14:paraId="5BF32D0F">
      <w:pPr>
        <w:pStyle w:val="22"/>
        <w:jc w:val="center"/>
        <w:rPr>
          <w:rFonts w:hint="eastAsia"/>
          <w:b/>
          <w:color w:val="auto"/>
          <w:sz w:val="32"/>
          <w:highlight w:val="none"/>
        </w:rPr>
      </w:pPr>
    </w:p>
    <w:p w14:paraId="23EF5064">
      <w:pPr>
        <w:pStyle w:val="22"/>
        <w:jc w:val="center"/>
        <w:rPr>
          <w:rFonts w:hint="eastAsia"/>
          <w:b/>
          <w:color w:val="auto"/>
          <w:sz w:val="32"/>
          <w:highlight w:val="none"/>
        </w:rPr>
      </w:pPr>
      <w:r>
        <w:rPr>
          <w:rFonts w:hint="eastAsia"/>
          <w:b/>
          <w:color w:val="auto"/>
          <w:sz w:val="32"/>
          <w:highlight w:val="none"/>
        </w:rPr>
        <w:t>合 同 书</w:t>
      </w:r>
    </w:p>
    <w:p w14:paraId="62861791">
      <w:pPr>
        <w:pStyle w:val="22"/>
        <w:spacing w:line="340" w:lineRule="exact"/>
        <w:ind w:firstLine="420"/>
        <w:rPr>
          <w:rFonts w:hint="eastAsia"/>
          <w:color w:val="auto"/>
          <w:highlight w:val="none"/>
        </w:rPr>
      </w:pPr>
    </w:p>
    <w:p w14:paraId="68594445">
      <w:pPr>
        <w:snapToGrid w:val="0"/>
        <w:spacing w:line="400" w:lineRule="exact"/>
        <w:ind w:right="480" w:firstLine="7350" w:firstLineChars="3500"/>
        <w:rPr>
          <w:rFonts w:hint="eastAsia" w:hAnsi="宋体"/>
          <w:bCs/>
          <w:color w:val="auto"/>
          <w:szCs w:val="21"/>
          <w:highlight w:val="none"/>
          <w:u w:val="single"/>
        </w:rPr>
      </w:pPr>
      <w:r>
        <w:rPr>
          <w:rFonts w:hint="eastAsia" w:hAnsi="宋体"/>
          <w:bCs/>
          <w:color w:val="auto"/>
          <w:szCs w:val="21"/>
          <w:highlight w:val="none"/>
        </w:rPr>
        <w:t>合同编号：</w:t>
      </w:r>
    </w:p>
    <w:p w14:paraId="460D8E7F">
      <w:pPr>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pacing w:val="-20"/>
          <w:szCs w:val="21"/>
          <w:highlight w:val="none"/>
        </w:rPr>
        <w:t xml:space="preserve">采  购  </w:t>
      </w:r>
      <w:r>
        <w:rPr>
          <w:rFonts w:hint="eastAsia" w:ascii="宋体" w:hAnsi="宋体" w:eastAsia="宋体" w:cs="宋体"/>
          <w:color w:val="auto"/>
          <w:szCs w:val="21"/>
          <w:highlight w:val="none"/>
        </w:rPr>
        <w:t>编 号：</w:t>
      </w:r>
      <w:r>
        <w:rPr>
          <w:rFonts w:hint="eastAsia" w:ascii="宋体" w:hAnsi="宋体" w:eastAsia="宋体" w:cs="宋体"/>
          <w:color w:val="auto"/>
          <w:szCs w:val="21"/>
          <w:highlight w:val="none"/>
          <w:u w:val="single"/>
        </w:rPr>
        <w:t xml:space="preserve">                           </w:t>
      </w:r>
    </w:p>
    <w:p w14:paraId="5353665B">
      <w:pPr>
        <w:snapToGrid w:val="0"/>
        <w:spacing w:line="400" w:lineRule="exact"/>
        <w:ind w:left="5565" w:hanging="5565" w:hangingChars="26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 应 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项 目 名 称</w:t>
      </w:r>
      <w:r>
        <w:rPr>
          <w:rFonts w:hint="eastAsia" w:ascii="宋体" w:hAnsi="宋体" w:eastAsia="宋体" w:cs="宋体"/>
          <w:color w:val="auto"/>
          <w:spacing w:val="-20"/>
          <w:szCs w:val="21"/>
          <w:highlight w:val="none"/>
        </w:rPr>
        <w:t>：</w:t>
      </w:r>
      <w:r>
        <w:rPr>
          <w:rFonts w:hint="eastAsia" w:ascii="宋体" w:hAnsi="宋体" w:eastAsia="宋体" w:cs="宋体"/>
          <w:color w:val="auto"/>
          <w:szCs w:val="21"/>
          <w:highlight w:val="none"/>
          <w:u w:val="single"/>
        </w:rPr>
        <w:t xml:space="preserve">                           </w:t>
      </w:r>
    </w:p>
    <w:p w14:paraId="115000F0">
      <w:pPr>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签  订  地  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订</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B935C98">
      <w:pPr>
        <w:widowControl/>
        <w:spacing w:line="360" w:lineRule="auto"/>
        <w:ind w:firstLine="420" w:firstLineChars="200"/>
        <w:jc w:val="left"/>
        <w:rPr>
          <w:rFonts w:hint="eastAsia" w:ascii="宋体" w:hAnsi="宋体" w:eastAsia="宋体" w:cs="宋体"/>
          <w:color w:val="auto"/>
          <w:kern w:val="0"/>
          <w:szCs w:val="21"/>
          <w:highlight w:val="none"/>
        </w:rPr>
      </w:pPr>
    </w:p>
    <w:p w14:paraId="2E16915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甲乙双方特有按下述条款和条件签署本合同书（以下简称合同）：</w:t>
      </w:r>
    </w:p>
    <w:p w14:paraId="7C7A989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1、合同文件</w:t>
      </w:r>
    </w:p>
    <w:p w14:paraId="0A4181F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本合同所附下列文件是构成本合同不可分割的部分：</w:t>
      </w:r>
    </w:p>
    <w:p w14:paraId="3055D78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（1）合同基本条款；</w:t>
      </w:r>
    </w:p>
    <w:p w14:paraId="451E433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（2）竞争性磋商文件项目采购需求表；</w:t>
      </w:r>
    </w:p>
    <w:p w14:paraId="583AD49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（3）竞争性磋商文件的澄清和修改；</w:t>
      </w:r>
    </w:p>
    <w:p w14:paraId="7DABB34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（4）磋商报价表；</w:t>
      </w:r>
    </w:p>
    <w:p w14:paraId="4F8A441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（5）服务技术方案；</w:t>
      </w:r>
    </w:p>
    <w:p w14:paraId="7A00C6C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（6）中标（成交）供应商澄清函；</w:t>
      </w:r>
    </w:p>
    <w:p w14:paraId="0073DE8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（7）甲、乙双方商定经确认后的补充协议。</w:t>
      </w:r>
    </w:p>
    <w:p w14:paraId="5F530CB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（8）其他与本合同相关的资料。</w:t>
      </w:r>
    </w:p>
    <w:p w14:paraId="4D2C022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2、合同范围和条件</w:t>
      </w:r>
    </w:p>
    <w:p w14:paraId="627091C0">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本合同的服务和条件应与上述合同文件的规定相一致。</w:t>
      </w:r>
    </w:p>
    <w:p w14:paraId="0B62F37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3、服务内容</w:t>
      </w:r>
    </w:p>
    <w:p w14:paraId="6E17307C">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本合同所涉及的乙方应提供的管理和服务内容应包含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服务内容以及《合同基本条款》。</w:t>
      </w:r>
    </w:p>
    <w:p w14:paraId="0A743F6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4、合同金额</w:t>
      </w:r>
    </w:p>
    <w:p w14:paraId="6953F779">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根据中标（成交）通知书的中标内容，合同的总金额为（大写）：</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人民币。</w:t>
      </w:r>
    </w:p>
    <w:p w14:paraId="0DE7CA41">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、付款方式</w:t>
      </w:r>
    </w:p>
    <w:p w14:paraId="2BD48E13">
      <w:pPr>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合同签订15日支付合同价的30%作为预付款；项目完成至50%支付合同款30%；项目完成通过验收合格后，2026年底前支付至合同总额的100%。</w:t>
      </w:r>
    </w:p>
    <w:p w14:paraId="77856047">
      <w:pPr>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lang w:val="en-US" w:eastAsia="zh-CN"/>
        </w:rPr>
        <w:t>2</w:t>
      </w:r>
      <w:r>
        <w:rPr>
          <w:rFonts w:hint="eastAsia" w:ascii="宋体" w:hAnsi="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采购人在收到发票后</w:t>
      </w:r>
      <w:r>
        <w:rPr>
          <w:rFonts w:hint="eastAsia" w:ascii="宋体" w:hAnsi="宋体" w:eastAsia="宋体" w:cs="宋体"/>
          <w:color w:val="auto"/>
          <w:kern w:val="0"/>
          <w:szCs w:val="21"/>
          <w:highlight w:val="none"/>
          <w:u w:val="single"/>
          <w:lang w:val="en-US" w:eastAsia="zh-CN"/>
        </w:rPr>
        <w:t>10个工作日内</w:t>
      </w:r>
      <w:r>
        <w:rPr>
          <w:rFonts w:hint="eastAsia" w:ascii="宋体" w:hAnsi="宋体" w:eastAsia="宋体" w:cs="宋体"/>
          <w:color w:val="auto"/>
          <w:kern w:val="0"/>
          <w:szCs w:val="21"/>
          <w:highlight w:val="none"/>
          <w:u w:val="single"/>
        </w:rPr>
        <w:t>，将资金支付到合同约定的供应商账户。</w:t>
      </w:r>
    </w:p>
    <w:p w14:paraId="48CC105F">
      <w:pPr>
        <w:widowControl/>
        <w:numPr>
          <w:ilvl w:val="0"/>
          <w:numId w:val="3"/>
        </w:numPr>
        <w:spacing w:line="360" w:lineRule="auto"/>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合同履行期限</w:t>
      </w:r>
    </w:p>
    <w:p w14:paraId="1715F59A">
      <w:pPr>
        <w:widowControl/>
        <w:numPr>
          <w:ilvl w:val="0"/>
          <w:numId w:val="0"/>
        </w:num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szCs w:val="21"/>
          <w:highlight w:val="none"/>
          <w:u w:val="single"/>
        </w:rPr>
        <w:t>服务期</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个月，</w:t>
      </w:r>
      <w:r>
        <w:rPr>
          <w:rFonts w:hint="eastAsia" w:ascii="宋体" w:hAnsi="宋体" w:cs="宋体"/>
          <w:color w:val="auto"/>
          <w:szCs w:val="21"/>
          <w:highlight w:val="none"/>
          <w:u w:val="single"/>
          <w:lang w:val="en-US" w:eastAsia="zh-CN"/>
        </w:rPr>
        <w:t xml:space="preserve">  年  月  日至    年  月  日</w:t>
      </w:r>
      <w:r>
        <w:rPr>
          <w:rFonts w:hint="eastAsia" w:ascii="宋体" w:hAnsi="宋体" w:eastAsia="宋体" w:cs="宋体"/>
          <w:color w:val="auto"/>
          <w:szCs w:val="21"/>
          <w:highlight w:val="none"/>
          <w:u w:val="single"/>
        </w:rPr>
        <w:t>。</w:t>
      </w:r>
    </w:p>
    <w:p w14:paraId="1C5794D5">
      <w:pPr>
        <w:widowControl/>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7、验收</w:t>
      </w:r>
      <w:r>
        <w:rPr>
          <w:rFonts w:hint="eastAsia" w:ascii="宋体" w:hAnsi="宋体" w:eastAsia="宋体" w:cs="宋体"/>
          <w:color w:val="auto"/>
          <w:kern w:val="0"/>
          <w:szCs w:val="21"/>
          <w:highlight w:val="none"/>
          <w:lang w:val="en-US" w:eastAsia="zh-CN"/>
        </w:rPr>
        <w:t>标准</w:t>
      </w:r>
    </w:p>
    <w:p w14:paraId="1FB39067">
      <w:pPr>
        <w:pStyle w:val="69"/>
        <w:keepNext w:val="0"/>
        <w:keepLines w:val="0"/>
        <w:pageBreakBefore w:val="0"/>
        <w:widowControl/>
        <w:kinsoku/>
        <w:wordWrap/>
        <w:overflowPunct/>
        <w:topLinePunct w:val="0"/>
        <w:autoSpaceDE/>
        <w:autoSpaceDN/>
        <w:bidi w:val="0"/>
        <w:adjustRightInd/>
        <w:snapToGrid/>
        <w:spacing w:before="0" w:line="360" w:lineRule="exact"/>
        <w:ind w:left="0" w:leftChars="0" w:firstLine="420" w:firstLineChars="200"/>
        <w:jc w:val="left"/>
        <w:textAlignment w:val="auto"/>
        <w:rPr>
          <w:rFonts w:hint="eastAsia" w:ascii="宋体" w:hAnsi="宋体" w:eastAsia="宋体" w:cs="宋体"/>
          <w:bCs/>
          <w:color w:val="auto"/>
          <w:kern w:val="0"/>
          <w:sz w:val="21"/>
          <w:szCs w:val="21"/>
          <w:highlight w:val="none"/>
          <w:u w:val="none"/>
          <w:shd w:val="clear" w:color="auto" w:fill="auto"/>
          <w:lang w:val="en-US" w:eastAsia="zh-CN" w:bidi="ar-SA"/>
        </w:rPr>
      </w:pPr>
      <w:r>
        <w:rPr>
          <w:rFonts w:hint="default" w:ascii="宋体" w:hAnsi="宋体" w:eastAsia="宋体" w:cs="宋体"/>
          <w:bCs/>
          <w:color w:val="auto"/>
          <w:kern w:val="0"/>
          <w:sz w:val="21"/>
          <w:szCs w:val="21"/>
          <w:highlight w:val="none"/>
          <w:u w:val="none"/>
          <w:shd w:val="clear" w:color="auto" w:fill="auto"/>
          <w:lang w:val="en-US" w:eastAsia="zh-CN" w:bidi="ar-SA"/>
        </w:rPr>
        <w:t>按磋商文件项目的服务内容以及国家和行业验收规范要求进行验收。中标供应商应提供服务的有效检验文件，经采购人认可后，与合同的服务内容一起作为服务验收标准，采购人可对服务内容进行调试，中标供应商应派出有经验、高水平的技术人员协助此项工作。采购人对服务验收合格后，签署验收书</w:t>
      </w:r>
      <w:r>
        <w:rPr>
          <w:rFonts w:hint="eastAsia" w:ascii="宋体" w:hAnsi="宋体" w:eastAsia="宋体" w:cs="宋体"/>
          <w:bCs/>
          <w:color w:val="auto"/>
          <w:kern w:val="0"/>
          <w:sz w:val="21"/>
          <w:szCs w:val="21"/>
          <w:highlight w:val="none"/>
          <w:u w:val="none"/>
          <w:shd w:val="clear" w:color="auto" w:fill="auto"/>
          <w:lang w:val="en-US" w:eastAsia="zh-CN" w:bidi="ar-SA"/>
        </w:rPr>
        <w:t>。</w:t>
      </w:r>
    </w:p>
    <w:p w14:paraId="13C13AA2">
      <w:pPr>
        <w:widowControl/>
        <w:numPr>
          <w:ilvl w:val="0"/>
          <w:numId w:val="0"/>
        </w:numPr>
        <w:spacing w:line="360" w:lineRule="auto"/>
        <w:ind w:left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8、验收时间 </w:t>
      </w:r>
    </w:p>
    <w:p w14:paraId="503C00FA">
      <w:pPr>
        <w:widowControl/>
        <w:numPr>
          <w:ilvl w:val="0"/>
          <w:numId w:val="0"/>
        </w:num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在项目完成且收到供应商验收申请后5个工作日内组织开展履约验收。</w:t>
      </w:r>
    </w:p>
    <w:p w14:paraId="03109FE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、合同生效及其它</w:t>
      </w:r>
    </w:p>
    <w:p w14:paraId="1C0B99E8">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本合同正本一式陆份，具有同等法律效力，甲乙双方各执两份，</w:t>
      </w:r>
      <w:r>
        <w:rPr>
          <w:rFonts w:hint="eastAsia" w:ascii="宋体" w:hAnsi="宋体" w:eastAsia="宋体" w:cs="宋体"/>
          <w:color w:val="auto"/>
          <w:szCs w:val="21"/>
          <w:highlight w:val="none"/>
        </w:rPr>
        <w:t>财政部门（政府采购监管部门）、采购代理机构各一份。</w:t>
      </w:r>
    </w:p>
    <w:p w14:paraId="035DF81C">
      <w:pPr>
        <w:widowControl/>
        <w:spacing w:line="360" w:lineRule="auto"/>
        <w:ind w:firstLine="420" w:firstLineChars="200"/>
        <w:jc w:val="left"/>
        <w:rPr>
          <w:rFonts w:hint="eastAsia" w:ascii="宋体" w:hAnsi="宋体" w:eastAsia="宋体" w:cs="宋体"/>
          <w:color w:val="auto"/>
          <w:kern w:val="0"/>
          <w:sz w:val="21"/>
          <w:szCs w:val="21"/>
          <w:highlight w:val="none"/>
        </w:rPr>
      </w:pPr>
    </w:p>
    <w:p w14:paraId="3E53BD8A">
      <w:pPr>
        <w:pStyle w:val="22"/>
        <w:spacing w:line="4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乙方：</w:t>
      </w:r>
      <w:r>
        <w:rPr>
          <w:rFonts w:hint="eastAsia" w:ascii="宋体" w:hAnsi="宋体" w:eastAsia="宋体" w:cs="宋体"/>
          <w:color w:val="auto"/>
          <w:sz w:val="21"/>
          <w:szCs w:val="21"/>
          <w:highlight w:val="none"/>
          <w:u w:val="single"/>
        </w:rPr>
        <w:t xml:space="preserve">                                    </w:t>
      </w:r>
    </w:p>
    <w:p w14:paraId="6886C9B7">
      <w:pPr>
        <w:pStyle w:val="22"/>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u w:val="single"/>
        </w:rPr>
        <w:t xml:space="preserve">                                    </w:t>
      </w:r>
    </w:p>
    <w:p w14:paraId="2E598CBD">
      <w:pPr>
        <w:pStyle w:val="22"/>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u w:val="single"/>
        </w:rPr>
        <w:t xml:space="preserve">                              </w:t>
      </w:r>
    </w:p>
    <w:p w14:paraId="5CBCD85E">
      <w:pPr>
        <w:pStyle w:val="22"/>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 xml:space="preserve">                              </w:t>
      </w:r>
    </w:p>
    <w:p w14:paraId="3DC2A05C">
      <w:pPr>
        <w:pStyle w:val="22"/>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w:t>
      </w:r>
      <w:r>
        <w:rPr>
          <w:rFonts w:hint="eastAsia" w:ascii="宋体" w:hAnsi="宋体" w:eastAsia="宋体" w:cs="宋体"/>
          <w:color w:val="auto"/>
          <w:sz w:val="21"/>
          <w:szCs w:val="21"/>
          <w:highlight w:val="none"/>
          <w:u w:val="single"/>
        </w:rPr>
        <w:t xml:space="preserve">                                    </w:t>
      </w:r>
    </w:p>
    <w:p w14:paraId="5F39C012">
      <w:pPr>
        <w:pStyle w:val="22"/>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4DED4BCC">
      <w:pPr>
        <w:pStyle w:val="22"/>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B588F55">
      <w:pPr>
        <w:pStyle w:val="22"/>
        <w:spacing w:line="4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14:paraId="13D3763E">
      <w:pPr>
        <w:pStyle w:val="22"/>
        <w:spacing w:line="4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开户名称：</w:t>
      </w:r>
      <w:r>
        <w:rPr>
          <w:rFonts w:hint="eastAsia" w:ascii="宋体" w:hAnsi="宋体" w:eastAsia="宋体" w:cs="宋体"/>
          <w:color w:val="auto"/>
          <w:sz w:val="21"/>
          <w:szCs w:val="21"/>
          <w:highlight w:val="none"/>
          <w:u w:val="single"/>
        </w:rPr>
        <w:t xml:space="preserve">                                </w:t>
      </w:r>
    </w:p>
    <w:p w14:paraId="6B5F39ED">
      <w:pPr>
        <w:pStyle w:val="22"/>
        <w:spacing w:line="4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银行账号：</w:t>
      </w:r>
      <w:r>
        <w:rPr>
          <w:rFonts w:hint="eastAsia" w:ascii="宋体" w:hAnsi="宋体" w:eastAsia="宋体" w:cs="宋体"/>
          <w:color w:val="auto"/>
          <w:sz w:val="21"/>
          <w:szCs w:val="21"/>
          <w:highlight w:val="none"/>
          <w:u w:val="single"/>
        </w:rPr>
        <w:t xml:space="preserve">                                </w:t>
      </w:r>
    </w:p>
    <w:p w14:paraId="785A516B">
      <w:pPr>
        <w:pStyle w:val="22"/>
        <w:spacing w:line="460" w:lineRule="exact"/>
        <w:ind w:left="178" w:leftChars="85"/>
        <w:rPr>
          <w:rFonts w:hint="eastAsia" w:ascii="宋体" w:hAnsi="宋体" w:eastAsia="宋体" w:cs="宋体"/>
          <w:color w:val="auto"/>
          <w:sz w:val="21"/>
          <w:szCs w:val="21"/>
          <w:highlight w:val="none"/>
        </w:rPr>
      </w:pPr>
    </w:p>
    <w:p w14:paraId="32F17985">
      <w:pPr>
        <w:pStyle w:val="22"/>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3802065">
      <w:pPr>
        <w:pStyle w:val="22"/>
        <w:spacing w:line="360" w:lineRule="exact"/>
        <w:ind w:firstLine="420"/>
        <w:rPr>
          <w:rFonts w:hint="eastAsia" w:ascii="宋体" w:hAnsi="宋体" w:eastAsia="宋体" w:cs="宋体"/>
          <w:color w:val="auto"/>
          <w:sz w:val="21"/>
          <w:szCs w:val="21"/>
          <w:highlight w:val="none"/>
        </w:rPr>
      </w:pPr>
    </w:p>
    <w:p w14:paraId="5BB6A053">
      <w:pPr>
        <w:pStyle w:val="22"/>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p w14:paraId="07F6455F">
      <w:pPr>
        <w:autoSpaceDE w:val="0"/>
        <w:autoSpaceDN w:val="0"/>
        <w:adjustRightInd w:val="0"/>
        <w:spacing w:line="48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合同签订地点：</w:t>
      </w:r>
    </w:p>
    <w:p w14:paraId="520013DE">
      <w:pPr>
        <w:pStyle w:val="22"/>
        <w:spacing w:line="360" w:lineRule="auto"/>
        <w:ind w:firstLine="480"/>
        <w:jc w:val="center"/>
        <w:rPr>
          <w:rFonts w:hint="eastAsia" w:hAnsi="宋体" w:cs="宋体"/>
          <w:b/>
          <w:bCs/>
          <w:color w:val="auto"/>
          <w:sz w:val="32"/>
          <w:szCs w:val="32"/>
          <w:highlight w:val="none"/>
        </w:rPr>
      </w:pPr>
    </w:p>
    <w:p w14:paraId="568D18E1">
      <w:pPr>
        <w:rPr>
          <w:rFonts w:hint="eastAsia"/>
          <w:color w:val="auto"/>
          <w:highlight w:val="none"/>
        </w:rPr>
      </w:pPr>
    </w:p>
    <w:p w14:paraId="790994C7">
      <w:pPr>
        <w:pStyle w:val="22"/>
        <w:spacing w:line="360" w:lineRule="auto"/>
        <w:ind w:firstLine="480"/>
        <w:jc w:val="center"/>
        <w:rPr>
          <w:rFonts w:hint="eastAsia" w:hAnsi="宋体" w:cs="宋体"/>
          <w:b/>
          <w:bCs/>
          <w:color w:val="auto"/>
          <w:sz w:val="32"/>
          <w:szCs w:val="32"/>
          <w:highlight w:val="none"/>
        </w:rPr>
      </w:pPr>
      <w:r>
        <w:rPr>
          <w:rFonts w:hint="eastAsia" w:hAnsi="宋体" w:cs="宋体"/>
          <w:b/>
          <w:bCs/>
          <w:color w:val="auto"/>
          <w:sz w:val="32"/>
          <w:szCs w:val="32"/>
          <w:highlight w:val="none"/>
        </w:rPr>
        <w:t>合同基本条款</w:t>
      </w:r>
    </w:p>
    <w:p w14:paraId="7A6A9ADF">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一、说明</w:t>
      </w:r>
    </w:p>
    <w:p w14:paraId="316FF66F">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1.1合同基本条款是指买方（以下简称甲方）和中标人（以下简称乙方）应共同遵守的基本原则，并作为双方签约的依据。对于合同的其他条款，双方应本着互谅互让的精神，在谈判中协商解决。</w:t>
      </w:r>
    </w:p>
    <w:p w14:paraId="342EFA24">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1.2制定《合同基本条款》的依据是：《中华人民共和国合同法》。</w:t>
      </w:r>
    </w:p>
    <w:p w14:paraId="148DC251">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1.3政府采购合同以书面方式签订。</w:t>
      </w:r>
    </w:p>
    <w:p w14:paraId="56F5FB05">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二、服务条款</w:t>
      </w:r>
    </w:p>
    <w:p w14:paraId="377B2F85">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2.1甲、乙双方应将竞争性磋商文件、响应文件及磋商小组委员会确认的</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贺州</w:t>
      </w:r>
      <w:r>
        <w:rPr>
          <w:rFonts w:hint="eastAsia" w:hAnsi="宋体" w:cs="宋体"/>
          <w:color w:val="auto"/>
          <w:sz w:val="21"/>
          <w:szCs w:val="21"/>
          <w:highlight w:val="none"/>
          <w:u w:val="single"/>
          <w:lang w:val="en-US" w:eastAsia="zh-CN"/>
        </w:rPr>
        <w:t>市</w:t>
      </w:r>
      <w:r>
        <w:rPr>
          <w:rFonts w:hint="eastAsia" w:ascii="宋体" w:hAnsi="宋体" w:eastAsia="宋体" w:cs="宋体"/>
          <w:color w:val="auto"/>
          <w:sz w:val="21"/>
          <w:szCs w:val="21"/>
          <w:highlight w:val="none"/>
          <w:u w:val="single"/>
        </w:rPr>
        <w:t>12345</w:t>
      </w:r>
      <w:r>
        <w:rPr>
          <w:rFonts w:hint="eastAsia" w:ascii="宋体" w:hAnsi="宋体" w:eastAsia="宋体" w:cs="宋体"/>
          <w:color w:val="auto"/>
          <w:sz w:val="21"/>
          <w:szCs w:val="21"/>
          <w:highlight w:val="none"/>
          <w:u w:val="single"/>
          <w:lang w:eastAsia="zh-CN"/>
        </w:rPr>
        <w:t>政务</w:t>
      </w:r>
      <w:r>
        <w:rPr>
          <w:rFonts w:hint="eastAsia" w:ascii="宋体" w:hAnsi="宋体" w:eastAsia="宋体" w:cs="宋体"/>
          <w:color w:val="auto"/>
          <w:sz w:val="21"/>
          <w:szCs w:val="21"/>
          <w:highlight w:val="none"/>
          <w:u w:val="single"/>
        </w:rPr>
        <w:t>服务</w:t>
      </w:r>
      <w:r>
        <w:rPr>
          <w:rFonts w:hint="eastAsia" w:ascii="宋体" w:hAnsi="宋体" w:eastAsia="宋体" w:cs="宋体"/>
          <w:color w:val="auto"/>
          <w:sz w:val="21"/>
          <w:szCs w:val="21"/>
          <w:highlight w:val="none"/>
          <w:u w:val="single"/>
          <w:lang w:eastAsia="zh-CN"/>
        </w:rPr>
        <w:t>便民</w:t>
      </w:r>
      <w:r>
        <w:rPr>
          <w:rFonts w:hint="eastAsia" w:ascii="宋体" w:hAnsi="宋体" w:eastAsia="宋体" w:cs="宋体"/>
          <w:color w:val="auto"/>
          <w:sz w:val="21"/>
          <w:szCs w:val="21"/>
          <w:highlight w:val="none"/>
          <w:u w:val="single"/>
        </w:rPr>
        <w:t>热线服务</w:t>
      </w:r>
      <w:r>
        <w:rPr>
          <w:rFonts w:hint="eastAsia" w:ascii="宋体" w:hAnsi="宋体" w:eastAsia="宋体" w:cs="宋体"/>
          <w:color w:val="auto"/>
          <w:sz w:val="21"/>
          <w:szCs w:val="21"/>
          <w:highlight w:val="none"/>
        </w:rPr>
        <w:t>内容等作为本条款的基础。</w:t>
      </w:r>
    </w:p>
    <w:p w14:paraId="12AA31EB">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服务要求及乙方对质量负责条件和期限</w:t>
      </w:r>
    </w:p>
    <w:p w14:paraId="239E76B2">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3.1乙方应按磋商文件规定的时间向甲方提供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服务。</w:t>
      </w:r>
    </w:p>
    <w:p w14:paraId="10FF5A99">
      <w:pPr>
        <w:widowControl/>
        <w:numPr>
          <w:ilvl w:val="0"/>
          <w:numId w:val="0"/>
        </w:num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合同履行期限</w:t>
      </w:r>
      <w:r>
        <w:rPr>
          <w:rFonts w:hint="eastAsia" w:ascii="宋体" w:hAnsi="宋体" w:eastAsia="宋体" w:cs="宋体"/>
          <w:color w:val="auto"/>
          <w:sz w:val="21"/>
          <w:szCs w:val="21"/>
          <w:highlight w:val="none"/>
          <w:u w:val="none"/>
        </w:rPr>
        <w:t>：</w:t>
      </w:r>
      <w:r>
        <w:rPr>
          <w:rFonts w:hint="eastAsia" w:ascii="宋体" w:hAnsi="宋体" w:eastAsia="宋体" w:cs="宋体"/>
          <w:color w:val="auto"/>
          <w:szCs w:val="21"/>
          <w:highlight w:val="none"/>
          <w:u w:val="single"/>
        </w:rPr>
        <w:t>服务期</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个月，</w:t>
      </w:r>
      <w:r>
        <w:rPr>
          <w:rFonts w:hint="eastAsia" w:ascii="宋体" w:hAnsi="宋体" w:cs="宋体"/>
          <w:color w:val="auto"/>
          <w:szCs w:val="21"/>
          <w:highlight w:val="none"/>
          <w:u w:val="single"/>
          <w:lang w:val="en-US" w:eastAsia="zh-CN"/>
        </w:rPr>
        <w:t xml:space="preserve">  年  月  日至    年  月  日</w:t>
      </w:r>
      <w:r>
        <w:rPr>
          <w:rFonts w:hint="eastAsia" w:ascii="宋体" w:hAnsi="宋体" w:eastAsia="宋体" w:cs="宋体"/>
          <w:color w:val="auto"/>
          <w:szCs w:val="21"/>
          <w:highlight w:val="none"/>
          <w:u w:val="single"/>
        </w:rPr>
        <w:t>。</w:t>
      </w:r>
    </w:p>
    <w:p w14:paraId="55E56D4F">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四、服务保证</w:t>
      </w:r>
    </w:p>
    <w:p w14:paraId="0D26A5F3">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（一）甲方的权利与义务</w:t>
      </w:r>
    </w:p>
    <w:p w14:paraId="523F65F4">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4.1按成交合同约定向乙方支付承包服务费；</w:t>
      </w:r>
    </w:p>
    <w:p w14:paraId="7EA482F0">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4.2甲方有权定期或不定期按招标约定标准进行检查，如发现不符合要求，先以口头形式通知乙方立即整改。</w:t>
      </w:r>
    </w:p>
    <w:p w14:paraId="49246CF8">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4.3甲方为乙方提供简单日常工作场所；</w:t>
      </w:r>
    </w:p>
    <w:p w14:paraId="30A5D256">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F373FB">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（二）乙方的权利与义务</w:t>
      </w:r>
    </w:p>
    <w:p w14:paraId="2A76D56C">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4.6乙方须严格按照甲方及采购要求完成各项工作；</w:t>
      </w:r>
    </w:p>
    <w:p w14:paraId="7E27AFC5">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4.7乙方对服务工作认真负责，并定期征求甲方对服务工作的意见和建议：对存在的问题及时处理。</w:t>
      </w:r>
    </w:p>
    <w:p w14:paraId="7E9AB2DF">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4.8乙方可根据自身的工作特点针对甲方的服务要求自行安排工作程序和人员；</w:t>
      </w:r>
    </w:p>
    <w:p w14:paraId="32114102">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乙方应负责承担所有员工安全保险、工资、劳保福利及其它一切费用，在服务过程中，遵循安全操作，文明作业的有关规定，采取严格的安全措施，如发生自身或伤及他人的人身安全事故，责任与费用由乙方承担。</w:t>
      </w:r>
    </w:p>
    <w:p w14:paraId="18E26210">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五、付款方式</w:t>
      </w:r>
    </w:p>
    <w:p w14:paraId="7C8410B4">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5.1本合同以人民币付款。</w:t>
      </w:r>
    </w:p>
    <w:p w14:paraId="791A1F46">
      <w:pPr>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1"/>
          <w:szCs w:val="21"/>
          <w:highlight w:val="none"/>
          <w:lang w:val="en-US" w:eastAsia="zh-CN" w:bidi="ar-SA"/>
        </w:rPr>
        <w:t>5.2付款方式：</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合同签订15日支付合同价的30%作为预付款；项目完成至50%支付合同款30%；项目完成通过验收合格后，2026年底前支付至合同总额的100%。</w:t>
      </w:r>
    </w:p>
    <w:p w14:paraId="1E915430">
      <w:pPr>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lang w:val="en-US" w:eastAsia="zh-CN"/>
        </w:rPr>
        <w:t>2</w:t>
      </w:r>
      <w:r>
        <w:rPr>
          <w:rFonts w:hint="eastAsia" w:ascii="宋体" w:hAnsi="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采购人在收到发票后</w:t>
      </w:r>
      <w:r>
        <w:rPr>
          <w:rFonts w:hint="eastAsia" w:ascii="宋体" w:hAnsi="宋体" w:eastAsia="宋体" w:cs="宋体"/>
          <w:color w:val="auto"/>
          <w:kern w:val="0"/>
          <w:szCs w:val="21"/>
          <w:highlight w:val="none"/>
          <w:u w:val="single"/>
          <w:lang w:val="en-US" w:eastAsia="zh-CN"/>
        </w:rPr>
        <w:t>10个工作日内</w:t>
      </w:r>
      <w:r>
        <w:rPr>
          <w:rFonts w:hint="eastAsia" w:ascii="宋体" w:hAnsi="宋体" w:eastAsia="宋体" w:cs="宋体"/>
          <w:color w:val="auto"/>
          <w:kern w:val="0"/>
          <w:szCs w:val="21"/>
          <w:highlight w:val="none"/>
          <w:u w:val="single"/>
        </w:rPr>
        <w:t>，将资金支付到合同约定的供应商账户。</w:t>
      </w:r>
    </w:p>
    <w:p w14:paraId="27DFC71F">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六、不可抗力事件处理</w:t>
      </w:r>
    </w:p>
    <w:p w14:paraId="29921651">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6.1在合同有效期限内，任何一方因不可抗力事件导致不能按时履行合同，则合同履行期可延长，期延长期与不可抗力影响期相同。由于不可抗力事件导致合同的根本目的不能实现时，一方可解除合同。</w:t>
      </w:r>
    </w:p>
    <w:p w14:paraId="71D78BE8">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6.2不可抗力事件发生后，应立即通知对方，并寄送有关权威机构出具的证明。</w:t>
      </w:r>
    </w:p>
    <w:p w14:paraId="00578BBB">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6.3合同内容变更，提前终止必须提前三十天书面通知对方，否则按每月服务费的50%承担违约责任。</w:t>
      </w:r>
    </w:p>
    <w:p w14:paraId="726CCEB0">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6.4不可抗力事件延续120天以上，双方应通过友好协商，确定是否继续履行合同。</w:t>
      </w:r>
    </w:p>
    <w:p w14:paraId="30CBDC1F">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七、仲裁或诉讼</w:t>
      </w:r>
    </w:p>
    <w:p w14:paraId="065829C4">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7.1双方在履行合同中所发生的一切争议，应通过协商解决。如协商不成，按合同事先约定的条款，向仲裁委员会申请仲裁，或向人民法院提起诉讼。</w:t>
      </w:r>
    </w:p>
    <w:p w14:paraId="0C800BA2">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八、合同生效及其它</w:t>
      </w:r>
    </w:p>
    <w:p w14:paraId="5DED6B22">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8.1合同经双方法定代表人或委托代理人签字并加盖单位公。</w:t>
      </w:r>
    </w:p>
    <w:p w14:paraId="56730BC1">
      <w:pPr>
        <w:pStyle w:val="22"/>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8.2合同履行中，如需修改或补充合同内容，由双方协商另签署书面修改或补充协议并作为主合同不可分割的一部分。</w:t>
      </w:r>
    </w:p>
    <w:p w14:paraId="43E9093B">
      <w:pPr>
        <w:pStyle w:val="22"/>
        <w:jc w:val="center"/>
        <w:rPr>
          <w:rFonts w:hAnsi="宋体" w:cs="宋体"/>
          <w:b/>
          <w:color w:val="auto"/>
          <w:sz w:val="21"/>
          <w:highlight w:val="none"/>
        </w:rPr>
      </w:pPr>
    </w:p>
    <w:p w14:paraId="38A4DFD2">
      <w:pPr>
        <w:pStyle w:val="22"/>
        <w:jc w:val="center"/>
        <w:rPr>
          <w:rFonts w:hAnsi="宋体" w:cs="宋体"/>
          <w:b/>
          <w:color w:val="auto"/>
          <w:sz w:val="36"/>
          <w:szCs w:val="36"/>
          <w:highlight w:val="none"/>
        </w:rPr>
      </w:pPr>
    </w:p>
    <w:p w14:paraId="3BE8FEF7">
      <w:pPr>
        <w:rPr>
          <w:color w:val="auto"/>
          <w:highlight w:val="none"/>
        </w:rPr>
      </w:pPr>
    </w:p>
    <w:p w14:paraId="1747D6E6">
      <w:pPr>
        <w:pStyle w:val="3"/>
        <w:keepNext w:val="0"/>
        <w:keepLines w:val="0"/>
        <w:numPr>
          <w:ilvl w:val="0"/>
          <w:numId w:val="0"/>
        </w:numPr>
        <w:spacing w:line="500" w:lineRule="exact"/>
        <w:jc w:val="center"/>
        <w:outlineLvl w:val="9"/>
        <w:rPr>
          <w:rFonts w:ascii="宋体" w:hAnsi="宋体"/>
          <w:color w:val="auto"/>
          <w:szCs w:val="44"/>
          <w:highlight w:val="none"/>
        </w:rPr>
      </w:pPr>
    </w:p>
    <w:p w14:paraId="6CAB3AF3">
      <w:pPr>
        <w:rPr>
          <w:rFonts w:ascii="宋体" w:hAnsi="宋体"/>
          <w:color w:val="auto"/>
          <w:szCs w:val="44"/>
          <w:highlight w:val="none"/>
        </w:rPr>
      </w:pPr>
    </w:p>
    <w:p w14:paraId="3D262610">
      <w:pPr>
        <w:rPr>
          <w:color w:val="auto"/>
          <w:highlight w:val="none"/>
        </w:rPr>
      </w:pPr>
    </w:p>
    <w:p w14:paraId="2E2C8CCD">
      <w:pPr>
        <w:pStyle w:val="3"/>
        <w:keepNext w:val="0"/>
        <w:keepLines w:val="0"/>
        <w:numPr>
          <w:ilvl w:val="0"/>
          <w:numId w:val="0"/>
        </w:numPr>
        <w:spacing w:line="500" w:lineRule="exact"/>
        <w:jc w:val="center"/>
        <w:outlineLvl w:val="9"/>
        <w:rPr>
          <w:rFonts w:ascii="宋体" w:hAnsi="宋体"/>
          <w:color w:val="auto"/>
          <w:szCs w:val="44"/>
          <w:highlight w:val="none"/>
        </w:rPr>
      </w:pPr>
    </w:p>
    <w:p w14:paraId="270DCE8E">
      <w:pPr>
        <w:pStyle w:val="2"/>
        <w:keepNext w:val="0"/>
        <w:keepLines w:val="0"/>
        <w:numPr>
          <w:ilvl w:val="0"/>
          <w:numId w:val="0"/>
        </w:numPr>
        <w:tabs>
          <w:tab w:val="left" w:pos="432"/>
        </w:tabs>
        <w:spacing w:line="500" w:lineRule="exact"/>
        <w:ind w:left="210" w:leftChars="0"/>
        <w:jc w:val="center"/>
        <w:outlineLvl w:val="0"/>
        <w:rPr>
          <w:rFonts w:hint="eastAsia" w:ascii="宋体" w:hAnsi="宋体"/>
          <w:color w:val="auto"/>
          <w:sz w:val="40"/>
          <w:szCs w:val="56"/>
          <w:highlight w:val="none"/>
          <w:lang w:val="en-US" w:eastAsia="zh-CN"/>
        </w:rPr>
      </w:pPr>
      <w:bookmarkStart w:id="62" w:name="_Toc12518"/>
      <w:bookmarkStart w:id="63" w:name="_Toc13026"/>
    </w:p>
    <w:p w14:paraId="4163E1E0">
      <w:pPr>
        <w:pStyle w:val="2"/>
        <w:keepNext w:val="0"/>
        <w:keepLines w:val="0"/>
        <w:numPr>
          <w:ilvl w:val="0"/>
          <w:numId w:val="0"/>
        </w:numPr>
        <w:tabs>
          <w:tab w:val="left" w:pos="432"/>
        </w:tabs>
        <w:spacing w:line="500" w:lineRule="exact"/>
        <w:ind w:left="210" w:leftChars="0"/>
        <w:jc w:val="center"/>
        <w:outlineLvl w:val="0"/>
        <w:rPr>
          <w:rFonts w:hint="eastAsia" w:ascii="宋体" w:hAnsi="宋体"/>
          <w:color w:val="auto"/>
          <w:sz w:val="40"/>
          <w:szCs w:val="56"/>
          <w:highlight w:val="none"/>
          <w:lang w:val="en-US" w:eastAsia="zh-CN"/>
        </w:rPr>
      </w:pPr>
    </w:p>
    <w:p w14:paraId="0B0D8257">
      <w:pPr>
        <w:pStyle w:val="2"/>
        <w:keepNext w:val="0"/>
        <w:keepLines w:val="0"/>
        <w:numPr>
          <w:ilvl w:val="0"/>
          <w:numId w:val="0"/>
        </w:numPr>
        <w:tabs>
          <w:tab w:val="left" w:pos="432"/>
        </w:tabs>
        <w:spacing w:line="500" w:lineRule="exact"/>
        <w:ind w:left="210" w:leftChars="0"/>
        <w:jc w:val="center"/>
        <w:outlineLvl w:val="0"/>
        <w:rPr>
          <w:rFonts w:hint="eastAsia" w:ascii="宋体" w:hAnsi="宋体"/>
          <w:color w:val="auto"/>
          <w:sz w:val="40"/>
          <w:szCs w:val="56"/>
          <w:highlight w:val="none"/>
          <w:lang w:val="en-US" w:eastAsia="zh-CN"/>
        </w:rPr>
      </w:pPr>
    </w:p>
    <w:p w14:paraId="55BF3E44">
      <w:pPr>
        <w:rPr>
          <w:rFonts w:hint="eastAsia" w:ascii="宋体" w:hAnsi="宋体"/>
          <w:color w:val="auto"/>
          <w:sz w:val="40"/>
          <w:szCs w:val="56"/>
          <w:highlight w:val="none"/>
          <w:lang w:val="en-US" w:eastAsia="zh-CN"/>
        </w:rPr>
      </w:pPr>
    </w:p>
    <w:p w14:paraId="5B1403A1">
      <w:pPr>
        <w:pStyle w:val="3"/>
        <w:numPr>
          <w:ilvl w:val="0"/>
          <w:numId w:val="0"/>
        </w:numPr>
        <w:rPr>
          <w:rFonts w:hint="eastAsia"/>
          <w:color w:val="auto"/>
          <w:highlight w:val="none"/>
          <w:lang w:val="en-US" w:eastAsia="zh-CN"/>
        </w:rPr>
      </w:pPr>
    </w:p>
    <w:p w14:paraId="7256B9FA">
      <w:pPr>
        <w:rPr>
          <w:rFonts w:hint="eastAsia"/>
          <w:color w:val="auto"/>
          <w:highlight w:val="none"/>
          <w:lang w:val="en-US" w:eastAsia="zh-CN"/>
        </w:rPr>
      </w:pPr>
    </w:p>
    <w:p w14:paraId="7F69E9CC">
      <w:pPr>
        <w:pStyle w:val="2"/>
        <w:keepNext w:val="0"/>
        <w:keepLines w:val="0"/>
        <w:numPr>
          <w:ilvl w:val="0"/>
          <w:numId w:val="0"/>
        </w:numPr>
        <w:tabs>
          <w:tab w:val="left" w:pos="432"/>
        </w:tabs>
        <w:spacing w:line="500" w:lineRule="exact"/>
        <w:ind w:left="210" w:leftChars="0"/>
        <w:jc w:val="center"/>
        <w:outlineLvl w:val="0"/>
        <w:rPr>
          <w:rFonts w:ascii="宋体" w:hAnsi="宋体"/>
          <w:color w:val="auto"/>
          <w:sz w:val="40"/>
          <w:szCs w:val="56"/>
          <w:highlight w:val="none"/>
        </w:rPr>
      </w:pPr>
      <w:r>
        <w:rPr>
          <w:rFonts w:hint="eastAsia" w:ascii="宋体" w:hAnsi="宋体"/>
          <w:color w:val="auto"/>
          <w:sz w:val="40"/>
          <w:szCs w:val="56"/>
          <w:highlight w:val="none"/>
          <w:lang w:val="en-US" w:eastAsia="zh-CN"/>
        </w:rPr>
        <w:t xml:space="preserve">第六章   </w:t>
      </w:r>
      <w:r>
        <w:rPr>
          <w:rFonts w:hint="eastAsia" w:ascii="宋体" w:hAnsi="宋体"/>
          <w:color w:val="auto"/>
          <w:sz w:val="40"/>
          <w:szCs w:val="56"/>
          <w:highlight w:val="none"/>
        </w:rPr>
        <w:t>响应文件格式</w:t>
      </w:r>
      <w:bookmarkEnd w:id="62"/>
      <w:bookmarkEnd w:id="63"/>
    </w:p>
    <w:p w14:paraId="1EDB0C94">
      <w:pPr>
        <w:rPr>
          <w:color w:val="auto"/>
          <w:highlight w:val="none"/>
        </w:rPr>
      </w:pPr>
    </w:p>
    <w:p w14:paraId="7EC22C5F">
      <w:pPr>
        <w:widowControl/>
        <w:jc w:val="left"/>
        <w:rPr>
          <w:color w:val="auto"/>
          <w:highlight w:val="none"/>
        </w:rPr>
      </w:pPr>
    </w:p>
    <w:p w14:paraId="4A944F7B">
      <w:pPr>
        <w:rPr>
          <w:color w:val="auto"/>
          <w:highlight w:val="none"/>
        </w:rPr>
      </w:pPr>
    </w:p>
    <w:p w14:paraId="3A4046B6">
      <w:pPr>
        <w:spacing w:line="360" w:lineRule="auto"/>
        <w:jc w:val="center"/>
        <w:rPr>
          <w:rFonts w:ascii="宋体" w:hAnsi="宋体"/>
          <w:b/>
          <w:color w:val="auto"/>
          <w:sz w:val="32"/>
          <w:szCs w:val="32"/>
          <w:highlight w:val="none"/>
        </w:rPr>
      </w:pPr>
    </w:p>
    <w:p w14:paraId="63203781">
      <w:pPr>
        <w:pStyle w:val="3"/>
        <w:numPr>
          <w:ilvl w:val="0"/>
          <w:numId w:val="0"/>
        </w:numPr>
        <w:rPr>
          <w:color w:val="auto"/>
          <w:highlight w:val="none"/>
        </w:rPr>
      </w:pPr>
    </w:p>
    <w:p w14:paraId="04367AF2">
      <w:pPr>
        <w:rPr>
          <w:rFonts w:hAnsi="宋体"/>
          <w:color w:val="auto"/>
          <w:sz w:val="32"/>
          <w:szCs w:val="36"/>
          <w:highlight w:val="none"/>
        </w:rPr>
      </w:pPr>
    </w:p>
    <w:p w14:paraId="332D46EC">
      <w:pPr>
        <w:spacing w:before="156" w:beforeLines="50" w:after="156" w:afterLines="50" w:line="660" w:lineRule="exact"/>
        <w:jc w:val="center"/>
        <w:rPr>
          <w:rFonts w:hint="eastAsia" w:ascii="宋体" w:hAnsi="宋体"/>
          <w:b/>
          <w:bCs/>
          <w:color w:val="auto"/>
          <w:sz w:val="36"/>
          <w:szCs w:val="36"/>
          <w:highlight w:val="none"/>
        </w:rPr>
      </w:pPr>
    </w:p>
    <w:p w14:paraId="1513DFEB">
      <w:pPr>
        <w:spacing w:before="156" w:beforeLines="50" w:after="156" w:afterLines="50" w:line="660" w:lineRule="exact"/>
        <w:jc w:val="center"/>
        <w:rPr>
          <w:rFonts w:hint="eastAsia" w:ascii="宋体" w:hAnsi="宋体"/>
          <w:b/>
          <w:bCs/>
          <w:color w:val="auto"/>
          <w:sz w:val="36"/>
          <w:szCs w:val="36"/>
          <w:highlight w:val="none"/>
        </w:rPr>
      </w:pPr>
    </w:p>
    <w:p w14:paraId="7CB89BC2">
      <w:pPr>
        <w:spacing w:before="156" w:beforeLines="50" w:after="156" w:afterLines="50" w:line="660" w:lineRule="exact"/>
        <w:jc w:val="center"/>
        <w:rPr>
          <w:rFonts w:hint="eastAsia" w:ascii="宋体" w:hAnsi="宋体"/>
          <w:b/>
          <w:bCs/>
          <w:color w:val="auto"/>
          <w:sz w:val="36"/>
          <w:szCs w:val="36"/>
          <w:highlight w:val="none"/>
        </w:rPr>
      </w:pPr>
    </w:p>
    <w:p w14:paraId="61D02F43">
      <w:pPr>
        <w:spacing w:before="156" w:beforeLines="50" w:after="156" w:afterLines="50" w:line="660" w:lineRule="exact"/>
        <w:jc w:val="center"/>
        <w:rPr>
          <w:rFonts w:hint="eastAsia" w:ascii="宋体" w:hAnsi="宋体"/>
          <w:b/>
          <w:bCs/>
          <w:color w:val="auto"/>
          <w:sz w:val="36"/>
          <w:szCs w:val="36"/>
          <w:highlight w:val="none"/>
        </w:rPr>
      </w:pPr>
    </w:p>
    <w:p w14:paraId="5F893AC3">
      <w:pPr>
        <w:spacing w:before="156" w:beforeLines="50" w:after="156" w:afterLines="50" w:line="660" w:lineRule="exact"/>
        <w:jc w:val="center"/>
        <w:rPr>
          <w:rFonts w:hint="eastAsia" w:ascii="宋体" w:hAnsi="宋体"/>
          <w:b/>
          <w:bCs/>
          <w:color w:val="auto"/>
          <w:sz w:val="36"/>
          <w:szCs w:val="36"/>
          <w:highlight w:val="none"/>
        </w:rPr>
      </w:pPr>
    </w:p>
    <w:p w14:paraId="0112C0E4">
      <w:pPr>
        <w:spacing w:before="156" w:beforeLines="50" w:after="156" w:afterLines="50" w:line="660" w:lineRule="exact"/>
        <w:jc w:val="center"/>
        <w:rPr>
          <w:rFonts w:hint="eastAsia" w:ascii="宋体" w:hAnsi="宋体"/>
          <w:b/>
          <w:bCs/>
          <w:color w:val="auto"/>
          <w:sz w:val="36"/>
          <w:szCs w:val="36"/>
          <w:highlight w:val="none"/>
        </w:rPr>
      </w:pPr>
    </w:p>
    <w:p w14:paraId="2884FB01">
      <w:pPr>
        <w:spacing w:before="156" w:beforeLines="50" w:after="156" w:afterLines="50" w:line="660" w:lineRule="exact"/>
        <w:jc w:val="center"/>
        <w:rPr>
          <w:rFonts w:hint="eastAsia" w:ascii="宋体" w:hAnsi="宋体"/>
          <w:b/>
          <w:bCs/>
          <w:color w:val="auto"/>
          <w:sz w:val="36"/>
          <w:szCs w:val="36"/>
          <w:highlight w:val="none"/>
        </w:rPr>
      </w:pPr>
    </w:p>
    <w:p w14:paraId="7FF01EBC">
      <w:pPr>
        <w:spacing w:before="156" w:beforeLines="50" w:after="156" w:afterLines="50" w:line="660" w:lineRule="exact"/>
        <w:jc w:val="center"/>
        <w:rPr>
          <w:rFonts w:ascii="宋体" w:hAnsi="宋体"/>
          <w:b/>
          <w:bCs/>
          <w:color w:val="auto"/>
          <w:sz w:val="36"/>
          <w:szCs w:val="36"/>
          <w:highlight w:val="none"/>
        </w:rPr>
      </w:pPr>
      <w:r>
        <w:rPr>
          <w:rFonts w:hint="eastAsia" w:ascii="宋体" w:hAnsi="宋体"/>
          <w:b/>
          <w:bCs/>
          <w:color w:val="auto"/>
          <w:sz w:val="36"/>
          <w:szCs w:val="36"/>
          <w:highlight w:val="none"/>
        </w:rPr>
        <w:t xml:space="preserve">第一节 </w:t>
      </w:r>
      <w:r>
        <w:rPr>
          <w:rFonts w:ascii="宋体" w:hAnsi="宋体"/>
          <w:b/>
          <w:bCs/>
          <w:color w:val="auto"/>
          <w:sz w:val="36"/>
          <w:szCs w:val="36"/>
          <w:highlight w:val="none"/>
        </w:rPr>
        <w:t xml:space="preserve"> </w:t>
      </w:r>
      <w:r>
        <w:rPr>
          <w:rFonts w:hint="eastAsia" w:ascii="宋体" w:hAnsi="宋体"/>
          <w:b/>
          <w:bCs/>
          <w:color w:val="auto"/>
          <w:sz w:val="36"/>
          <w:szCs w:val="36"/>
          <w:highlight w:val="none"/>
        </w:rPr>
        <w:t>资格证明文件格式</w:t>
      </w:r>
    </w:p>
    <w:p w14:paraId="485A2C6B">
      <w:pPr>
        <w:snapToGrid w:val="0"/>
        <w:ind w:right="1284"/>
        <w:rPr>
          <w:rFonts w:ascii="宋体" w:hAnsi="宋体" w:cs="¿¬Ìå"/>
          <w:b/>
          <w:color w:val="auto"/>
          <w:sz w:val="32"/>
          <w:szCs w:val="32"/>
          <w:highlight w:val="none"/>
        </w:rPr>
      </w:pPr>
    </w:p>
    <w:p w14:paraId="06C18457">
      <w:pPr>
        <w:snapToGrid w:val="0"/>
        <w:rPr>
          <w:rFonts w:ascii="宋体" w:hAnsi="宋体" w:cs="¿¬Ìå"/>
          <w:b/>
          <w:color w:val="auto"/>
          <w:sz w:val="44"/>
          <w:szCs w:val="44"/>
          <w:highlight w:val="none"/>
        </w:rPr>
      </w:pPr>
    </w:p>
    <w:p w14:paraId="0D780406">
      <w:pPr>
        <w:pStyle w:val="16"/>
        <w:rPr>
          <w:rFonts w:ascii="宋体" w:hAnsi="宋体"/>
          <w:color w:val="auto"/>
          <w:highlight w:val="none"/>
        </w:rPr>
      </w:pPr>
    </w:p>
    <w:p w14:paraId="15A2B8D8">
      <w:pPr>
        <w:rPr>
          <w:rFonts w:ascii="宋体" w:hAnsi="宋体"/>
          <w:color w:val="auto"/>
          <w:highlight w:val="none"/>
        </w:rPr>
      </w:pPr>
    </w:p>
    <w:p w14:paraId="376A802A">
      <w:pPr>
        <w:snapToGrid w:val="0"/>
        <w:rPr>
          <w:rFonts w:ascii="宋体" w:hAnsi="宋体" w:cs="¿¬Ìå"/>
          <w:bCs/>
          <w:color w:val="auto"/>
          <w:sz w:val="44"/>
          <w:szCs w:val="44"/>
          <w:highlight w:val="none"/>
        </w:rPr>
      </w:pPr>
      <w:r>
        <w:rPr>
          <w:rFonts w:hint="eastAsia" w:ascii="宋体" w:hAnsi="宋体" w:cs="¿¬Ìå"/>
          <w:b/>
          <w:color w:val="auto"/>
          <w:sz w:val="44"/>
          <w:szCs w:val="44"/>
          <w:highlight w:val="none"/>
        </w:rPr>
        <w:t xml:space="preserve"> </w:t>
      </w:r>
      <w:r>
        <w:rPr>
          <w:rFonts w:ascii="宋体" w:hAnsi="宋体" w:cs="¿¬Ìå"/>
          <w:b/>
          <w:color w:val="auto"/>
          <w:sz w:val="44"/>
          <w:szCs w:val="44"/>
          <w:highlight w:val="none"/>
        </w:rPr>
        <w:t xml:space="preserve">                              </w:t>
      </w:r>
      <w:r>
        <w:rPr>
          <w:rFonts w:hint="eastAsia" w:ascii="宋体" w:hAnsi="宋体" w:cs="¿¬Ìå"/>
          <w:bCs/>
          <w:color w:val="auto"/>
          <w:sz w:val="36"/>
          <w:szCs w:val="36"/>
          <w:highlight w:val="none"/>
        </w:rPr>
        <w:t>电子响应文件</w:t>
      </w:r>
    </w:p>
    <w:p w14:paraId="426E8655">
      <w:pPr>
        <w:snapToGrid w:val="0"/>
        <w:rPr>
          <w:rFonts w:ascii="宋体" w:hAnsi="宋体" w:cs="¿¬Ìå"/>
          <w:b/>
          <w:color w:val="auto"/>
          <w:sz w:val="44"/>
          <w:szCs w:val="44"/>
          <w:highlight w:val="none"/>
        </w:rPr>
      </w:pPr>
    </w:p>
    <w:p w14:paraId="54AF0524">
      <w:pPr>
        <w:pStyle w:val="16"/>
        <w:rPr>
          <w:rFonts w:ascii="宋体" w:hAnsi="宋体"/>
          <w:color w:val="auto"/>
          <w:highlight w:val="none"/>
        </w:rPr>
      </w:pPr>
    </w:p>
    <w:p w14:paraId="7B1AB994">
      <w:pPr>
        <w:rPr>
          <w:rFonts w:ascii="宋体" w:hAnsi="宋体"/>
          <w:color w:val="auto"/>
          <w:highlight w:val="none"/>
        </w:rPr>
      </w:pPr>
    </w:p>
    <w:p w14:paraId="058A56E6">
      <w:pPr>
        <w:rPr>
          <w:rFonts w:ascii="宋体" w:hAnsi="宋体"/>
          <w:color w:val="auto"/>
          <w:highlight w:val="none"/>
        </w:rPr>
      </w:pPr>
    </w:p>
    <w:p w14:paraId="784452D6">
      <w:pPr>
        <w:snapToGrid w:val="0"/>
        <w:jc w:val="center"/>
        <w:rPr>
          <w:rFonts w:ascii="宋体" w:hAnsi="宋体" w:cs="¿¬Ìå"/>
          <w:b/>
          <w:color w:val="auto"/>
          <w:sz w:val="40"/>
          <w:szCs w:val="40"/>
          <w:highlight w:val="none"/>
        </w:rPr>
      </w:pPr>
      <w:r>
        <w:rPr>
          <w:rFonts w:hint="eastAsia" w:ascii="宋体" w:hAnsi="宋体" w:cs="¿¬Ìå"/>
          <w:bCs/>
          <w:color w:val="auto"/>
          <w:sz w:val="56"/>
          <w:szCs w:val="56"/>
          <w:highlight w:val="none"/>
        </w:rPr>
        <w:t>资格证明文件</w:t>
      </w:r>
    </w:p>
    <w:p w14:paraId="01051C88">
      <w:pPr>
        <w:rPr>
          <w:rFonts w:ascii="宋体" w:hAnsi="宋体" w:cs="¿¬Ìå"/>
          <w:bCs/>
          <w:color w:val="auto"/>
          <w:sz w:val="30"/>
          <w:szCs w:val="30"/>
          <w:highlight w:val="none"/>
        </w:rPr>
      </w:pPr>
    </w:p>
    <w:p w14:paraId="43C830B6">
      <w:pPr>
        <w:rPr>
          <w:rFonts w:ascii="宋体" w:hAnsi="宋体" w:cs="¿¬Ìå"/>
          <w:bCs/>
          <w:color w:val="auto"/>
          <w:sz w:val="30"/>
          <w:szCs w:val="30"/>
          <w:highlight w:val="none"/>
        </w:rPr>
      </w:pPr>
    </w:p>
    <w:p w14:paraId="044986C5">
      <w:pPr>
        <w:spacing w:after="156" w:afterLines="50"/>
        <w:rPr>
          <w:rFonts w:ascii="宋体" w:hAnsi="宋体" w:cs="¿¬Ìå"/>
          <w:bCs/>
          <w:color w:val="auto"/>
          <w:sz w:val="28"/>
          <w:szCs w:val="28"/>
          <w:highlight w:val="none"/>
        </w:rPr>
      </w:pPr>
    </w:p>
    <w:p w14:paraId="0E5BD331">
      <w:pPr>
        <w:spacing w:after="156" w:afterLines="50" w:line="360" w:lineRule="auto"/>
        <w:ind w:firstLine="560" w:firstLineChars="200"/>
        <w:rPr>
          <w:rFonts w:hint="default" w:ascii="宋体" w:hAnsi="宋体" w:eastAsia="宋体" w:cs="¿¬Ìå"/>
          <w:b w:val="0"/>
          <w:bCs/>
          <w:color w:val="auto"/>
          <w:sz w:val="28"/>
          <w:szCs w:val="28"/>
          <w:highlight w:val="none"/>
          <w:u w:val="single"/>
          <w:lang w:val="en-US" w:eastAsia="zh-CN"/>
        </w:rPr>
      </w:pPr>
      <w:r>
        <w:rPr>
          <w:rFonts w:hint="eastAsia" w:ascii="宋体" w:hAnsi="宋体" w:cs="¿¬Ìå"/>
          <w:b w:val="0"/>
          <w:bCs/>
          <w:color w:val="auto"/>
          <w:sz w:val="28"/>
          <w:szCs w:val="28"/>
          <w:highlight w:val="none"/>
        </w:rPr>
        <w:t>项目名称：</w:t>
      </w:r>
    </w:p>
    <w:p w14:paraId="3EF0BE64">
      <w:pPr>
        <w:spacing w:after="156" w:afterLines="50" w:line="360" w:lineRule="auto"/>
        <w:ind w:firstLine="560" w:firstLineChars="200"/>
        <w:rPr>
          <w:rFonts w:ascii="宋体" w:hAnsi="宋体" w:cs="¿¬Ìå"/>
          <w:b w:val="0"/>
          <w:bCs/>
          <w:color w:val="auto"/>
          <w:sz w:val="28"/>
          <w:szCs w:val="28"/>
          <w:highlight w:val="none"/>
          <w:u w:val="single"/>
        </w:rPr>
      </w:pPr>
      <w:r>
        <w:rPr>
          <w:rFonts w:hint="eastAsia" w:ascii="宋体" w:hAnsi="宋体" w:cs="¿¬Ìå"/>
          <w:b w:val="0"/>
          <w:bCs/>
          <w:color w:val="auto"/>
          <w:sz w:val="28"/>
          <w:szCs w:val="28"/>
          <w:highlight w:val="none"/>
        </w:rPr>
        <w:t>项目编号：</w:t>
      </w:r>
    </w:p>
    <w:p w14:paraId="7BD816BE">
      <w:pPr>
        <w:snapToGrid w:val="0"/>
        <w:spacing w:before="156" w:beforeLines="50" w:after="50"/>
        <w:rPr>
          <w:rFonts w:ascii="宋体" w:hAnsi="宋体"/>
          <w:color w:val="auto"/>
          <w:sz w:val="28"/>
          <w:szCs w:val="28"/>
          <w:highlight w:val="none"/>
        </w:rPr>
      </w:pPr>
    </w:p>
    <w:p w14:paraId="2974A944">
      <w:pPr>
        <w:snapToGrid w:val="0"/>
        <w:spacing w:before="156" w:beforeLines="50" w:after="50"/>
        <w:rPr>
          <w:rFonts w:ascii="宋体" w:hAnsi="宋体"/>
          <w:color w:val="auto"/>
          <w:sz w:val="28"/>
          <w:szCs w:val="28"/>
          <w:highlight w:val="none"/>
        </w:rPr>
      </w:pPr>
    </w:p>
    <w:p w14:paraId="6B74A23C">
      <w:pPr>
        <w:snapToGrid w:val="0"/>
        <w:spacing w:before="156" w:beforeLines="50" w:after="50"/>
        <w:rPr>
          <w:rFonts w:ascii="宋体" w:hAnsi="宋体"/>
          <w:color w:val="auto"/>
          <w:sz w:val="28"/>
          <w:szCs w:val="28"/>
          <w:highlight w:val="none"/>
        </w:rPr>
      </w:pPr>
    </w:p>
    <w:p w14:paraId="4623A4E4">
      <w:pPr>
        <w:pStyle w:val="17"/>
        <w:spacing w:after="156" w:line="600" w:lineRule="exact"/>
        <w:ind w:firstLine="840" w:firstLineChars="300"/>
        <w:rPr>
          <w:rFonts w:ascii="宋体" w:hAnsi="宋体" w:cs="¿¬Ìå"/>
          <w:bCs/>
          <w:color w:val="auto"/>
          <w:sz w:val="28"/>
          <w:szCs w:val="28"/>
          <w:highlight w:val="none"/>
          <w:u w:val="single"/>
        </w:rPr>
      </w:pPr>
      <w:r>
        <w:rPr>
          <w:rFonts w:hint="eastAsia" w:ascii="宋体" w:hAnsi="宋体" w:cs="¿¬Ìå"/>
          <w:bCs/>
          <w:color w:val="auto"/>
          <w:sz w:val="28"/>
          <w:szCs w:val="28"/>
          <w:highlight w:val="none"/>
        </w:rPr>
        <w:t>供应商 [公章(CA签章)]：</w:t>
      </w:r>
      <w:r>
        <w:rPr>
          <w:rFonts w:hint="eastAsia" w:ascii="宋体" w:hAnsi="宋体" w:cs="¿¬Ìå"/>
          <w:bCs/>
          <w:color w:val="auto"/>
          <w:sz w:val="28"/>
          <w:szCs w:val="28"/>
          <w:highlight w:val="none"/>
          <w:u w:val="single"/>
        </w:rPr>
        <w:t xml:space="preserve">          </w:t>
      </w:r>
      <w:r>
        <w:rPr>
          <w:rFonts w:ascii="宋体" w:hAnsi="宋体" w:cs="¿¬Ìå"/>
          <w:bCs/>
          <w:color w:val="auto"/>
          <w:sz w:val="28"/>
          <w:szCs w:val="28"/>
          <w:highlight w:val="none"/>
          <w:u w:val="single"/>
        </w:rPr>
        <w:t xml:space="preserve">   </w:t>
      </w:r>
      <w:r>
        <w:rPr>
          <w:rFonts w:hint="eastAsia" w:ascii="宋体" w:hAnsi="宋体" w:cs="¿¬Ìå"/>
          <w:bCs/>
          <w:color w:val="auto"/>
          <w:sz w:val="28"/>
          <w:szCs w:val="28"/>
          <w:highlight w:val="none"/>
          <w:u w:val="single"/>
        </w:rPr>
        <w:t xml:space="preserve">       </w:t>
      </w:r>
    </w:p>
    <w:p w14:paraId="1F1DA9F8">
      <w:pPr>
        <w:pStyle w:val="18"/>
        <w:ind w:firstLine="400"/>
        <w:rPr>
          <w:rFonts w:ascii="宋体" w:hAnsi="宋体"/>
          <w:color w:val="auto"/>
          <w:sz w:val="20"/>
          <w:szCs w:val="22"/>
          <w:highlight w:val="none"/>
        </w:rPr>
      </w:pPr>
    </w:p>
    <w:p w14:paraId="44B7298A">
      <w:pPr>
        <w:pStyle w:val="17"/>
        <w:spacing w:after="156" w:line="600" w:lineRule="exact"/>
        <w:ind w:firstLine="840" w:firstLineChars="300"/>
        <w:jc w:val="both"/>
        <w:rPr>
          <w:rFonts w:ascii="宋体" w:hAnsi="宋体" w:cs="¿¬Ìå"/>
          <w:bCs/>
          <w:color w:val="auto"/>
          <w:sz w:val="28"/>
          <w:szCs w:val="28"/>
          <w:highlight w:val="none"/>
        </w:rPr>
      </w:pPr>
      <w:bookmarkStart w:id="64" w:name="_Toc15933_WPSOffice_Level2"/>
      <w:bookmarkStart w:id="65" w:name="_Toc26465_WPSOffice_Level2"/>
      <w:r>
        <w:rPr>
          <w:rFonts w:hint="eastAsia" w:ascii="宋体" w:hAnsi="宋体" w:cs="¿¬Ìå"/>
          <w:bCs/>
          <w:color w:val="auto"/>
          <w:sz w:val="28"/>
          <w:szCs w:val="28"/>
          <w:highlight w:val="none"/>
        </w:rPr>
        <w:t>日期：</w:t>
      </w:r>
      <w:r>
        <w:rPr>
          <w:rFonts w:hint="eastAsia" w:ascii="宋体" w:hAnsi="宋体" w:cs="¿¬Ìå"/>
          <w:bCs/>
          <w:color w:val="auto"/>
          <w:sz w:val="28"/>
          <w:szCs w:val="28"/>
          <w:highlight w:val="none"/>
          <w:u w:val="single"/>
        </w:rPr>
        <w:t xml:space="preserve">    </w:t>
      </w:r>
      <w:r>
        <w:rPr>
          <w:rFonts w:ascii="宋体" w:hAnsi="宋体" w:cs="¿¬Ìå"/>
          <w:bCs/>
          <w:color w:val="auto"/>
          <w:sz w:val="28"/>
          <w:szCs w:val="28"/>
          <w:highlight w:val="none"/>
          <w:u w:val="single"/>
        </w:rPr>
        <w:t xml:space="preserve">   </w:t>
      </w:r>
      <w:r>
        <w:rPr>
          <w:rFonts w:hint="eastAsia" w:ascii="宋体" w:hAnsi="宋体" w:cs="¿¬Ìå"/>
          <w:bCs/>
          <w:color w:val="auto"/>
          <w:sz w:val="28"/>
          <w:szCs w:val="28"/>
          <w:highlight w:val="none"/>
          <w:u w:val="single"/>
        </w:rPr>
        <w:t xml:space="preserve">  </w:t>
      </w:r>
      <w:r>
        <w:rPr>
          <w:rFonts w:hint="eastAsia" w:ascii="宋体" w:hAnsi="宋体" w:cs="¿¬Ìå"/>
          <w:bCs/>
          <w:color w:val="auto"/>
          <w:sz w:val="28"/>
          <w:szCs w:val="28"/>
          <w:highlight w:val="none"/>
        </w:rPr>
        <w:t>年</w:t>
      </w:r>
      <w:r>
        <w:rPr>
          <w:rFonts w:hint="eastAsia" w:ascii="宋体" w:hAnsi="宋体" w:cs="¿¬Ìå"/>
          <w:bCs/>
          <w:color w:val="auto"/>
          <w:sz w:val="28"/>
          <w:szCs w:val="28"/>
          <w:highlight w:val="none"/>
          <w:u w:val="single"/>
        </w:rPr>
        <w:t xml:space="preserve">      </w:t>
      </w:r>
      <w:r>
        <w:rPr>
          <w:rFonts w:hint="eastAsia" w:ascii="宋体" w:hAnsi="宋体" w:cs="¿¬Ìå"/>
          <w:bCs/>
          <w:color w:val="auto"/>
          <w:sz w:val="28"/>
          <w:szCs w:val="28"/>
          <w:highlight w:val="none"/>
        </w:rPr>
        <w:t>月</w:t>
      </w:r>
      <w:r>
        <w:rPr>
          <w:rFonts w:hint="eastAsia" w:ascii="宋体" w:hAnsi="宋体" w:cs="¿¬Ìå"/>
          <w:bCs/>
          <w:color w:val="auto"/>
          <w:sz w:val="28"/>
          <w:szCs w:val="28"/>
          <w:highlight w:val="none"/>
          <w:u w:val="single"/>
        </w:rPr>
        <w:t xml:space="preserve">       </w:t>
      </w:r>
      <w:r>
        <w:rPr>
          <w:rFonts w:hint="eastAsia" w:ascii="宋体" w:hAnsi="宋体" w:cs="¿¬Ìå"/>
          <w:bCs/>
          <w:color w:val="auto"/>
          <w:sz w:val="28"/>
          <w:szCs w:val="28"/>
          <w:highlight w:val="none"/>
        </w:rPr>
        <w:t>日</w:t>
      </w:r>
      <w:bookmarkEnd w:id="64"/>
      <w:bookmarkEnd w:id="65"/>
    </w:p>
    <w:p w14:paraId="38775692">
      <w:pPr>
        <w:pStyle w:val="18"/>
        <w:ind w:firstLine="420"/>
        <w:rPr>
          <w:rFonts w:ascii="宋体" w:hAnsi="宋体"/>
          <w:color w:val="auto"/>
          <w:highlight w:val="none"/>
        </w:rPr>
      </w:pPr>
    </w:p>
    <w:p w14:paraId="2145E433">
      <w:pPr>
        <w:pStyle w:val="18"/>
        <w:ind w:firstLine="420"/>
        <w:rPr>
          <w:rFonts w:ascii="宋体" w:hAnsi="宋体"/>
          <w:color w:val="auto"/>
          <w:highlight w:val="none"/>
        </w:rPr>
      </w:pPr>
    </w:p>
    <w:p w14:paraId="3B8B6698">
      <w:pPr>
        <w:pStyle w:val="22"/>
        <w:tabs>
          <w:tab w:val="left" w:pos="7560"/>
          <w:tab w:val="left" w:pos="7920"/>
        </w:tabs>
        <w:spacing w:line="360" w:lineRule="auto"/>
        <w:jc w:val="center"/>
        <w:rPr>
          <w:rFonts w:hAnsi="宋体"/>
          <w:color w:val="auto"/>
          <w:sz w:val="36"/>
          <w:szCs w:val="36"/>
          <w:highlight w:val="none"/>
        </w:rPr>
      </w:pPr>
    </w:p>
    <w:p w14:paraId="05629ECC">
      <w:pPr>
        <w:pStyle w:val="22"/>
        <w:tabs>
          <w:tab w:val="left" w:pos="7560"/>
          <w:tab w:val="left" w:pos="7920"/>
        </w:tabs>
        <w:spacing w:line="360" w:lineRule="auto"/>
        <w:jc w:val="center"/>
        <w:rPr>
          <w:rFonts w:hAnsi="宋体"/>
          <w:color w:val="auto"/>
          <w:sz w:val="36"/>
          <w:szCs w:val="36"/>
          <w:highlight w:val="none"/>
        </w:rPr>
      </w:pPr>
    </w:p>
    <w:p w14:paraId="7CB99289">
      <w:pPr>
        <w:jc w:val="center"/>
        <w:rPr>
          <w:rFonts w:ascii="宋体" w:hAnsi="宋体"/>
          <w:b/>
          <w:color w:val="auto"/>
          <w:sz w:val="32"/>
          <w:szCs w:val="32"/>
          <w:highlight w:val="none"/>
        </w:rPr>
      </w:pPr>
      <w:r>
        <w:rPr>
          <w:rFonts w:hint="eastAsia" w:ascii="宋体" w:hAnsi="宋体"/>
          <w:b/>
          <w:color w:val="auto"/>
          <w:sz w:val="32"/>
          <w:szCs w:val="32"/>
          <w:highlight w:val="none"/>
        </w:rPr>
        <w:t>资格证明文件</w:t>
      </w:r>
      <w:r>
        <w:rPr>
          <w:rFonts w:ascii="宋体" w:hAnsi="宋体"/>
          <w:b/>
          <w:color w:val="auto"/>
          <w:sz w:val="32"/>
          <w:szCs w:val="32"/>
          <w:highlight w:val="none"/>
        </w:rPr>
        <w:t>目录</w:t>
      </w:r>
    </w:p>
    <w:p w14:paraId="241466A1">
      <w:pPr>
        <w:spacing w:line="460" w:lineRule="exact"/>
        <w:rPr>
          <w:rFonts w:ascii="宋体" w:hAnsi="宋体"/>
          <w:b/>
          <w:bCs/>
          <w:color w:val="auto"/>
          <w:sz w:val="24"/>
          <w:highlight w:val="none"/>
        </w:rPr>
      </w:pPr>
    </w:p>
    <w:p w14:paraId="78BA5516">
      <w:pPr>
        <w:spacing w:line="460" w:lineRule="exact"/>
        <w:rPr>
          <w:rFonts w:hint="eastAsia" w:ascii="宋体" w:hAnsi="宋体" w:eastAsia="宋体"/>
          <w:color w:val="auto"/>
          <w:sz w:val="24"/>
          <w:highlight w:val="none"/>
          <w:lang w:eastAsia="zh-CN"/>
        </w:rPr>
      </w:pPr>
      <w:r>
        <w:rPr>
          <w:rFonts w:hint="eastAsia" w:ascii="宋体" w:hAnsi="宋体"/>
          <w:color w:val="auto"/>
          <w:sz w:val="24"/>
          <w:highlight w:val="none"/>
        </w:rPr>
        <w:t>一、</w:t>
      </w:r>
      <w:r>
        <w:rPr>
          <w:rFonts w:hint="eastAsia" w:ascii="宋体" w:hAnsi="宋体"/>
          <w:color w:val="auto"/>
          <w:sz w:val="24"/>
          <w:highlight w:val="none"/>
          <w:lang w:eastAsia="zh-CN"/>
        </w:rPr>
        <w:t>贺州市政府采购供应商信用承诺函</w:t>
      </w:r>
    </w:p>
    <w:p w14:paraId="558D2AFB">
      <w:pPr>
        <w:pStyle w:val="22"/>
        <w:tabs>
          <w:tab w:val="left" w:pos="7560"/>
          <w:tab w:val="left" w:pos="7920"/>
        </w:tabs>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二、供应商关于参加政府采购活动前3年内在经营活动中没有重大违法记录及有关信用信</w:t>
      </w:r>
    </w:p>
    <w:p w14:paraId="7006051F">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息的书面声明</w:t>
      </w:r>
    </w:p>
    <w:p w14:paraId="72D7EB46">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三、供应商直接控股、管理关系信息表</w:t>
      </w:r>
    </w:p>
    <w:p w14:paraId="793DE2C7">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四、中小企业声明函（或监狱企业的证明文件或残疾人福利性单位声明函）</w:t>
      </w:r>
    </w:p>
    <w:p w14:paraId="4B789C5D">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五、供应商认为必要提供的声明及文件资料</w:t>
      </w:r>
    </w:p>
    <w:p w14:paraId="2891D7B4">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7722694A">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7A2D482A">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6FF4EEA3">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166BA90C">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4D1C0767">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297728BF">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4C2F83A9">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7DEBECBD">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453F3752">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434C9574">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711FB7FF">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03F11858">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36305523">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03BCDBA0">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3822B72E">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4695C589">
      <w:pPr>
        <w:pStyle w:val="22"/>
        <w:tabs>
          <w:tab w:val="left" w:pos="7560"/>
          <w:tab w:val="left" w:pos="7920"/>
        </w:tabs>
        <w:spacing w:line="360" w:lineRule="auto"/>
        <w:jc w:val="both"/>
        <w:rPr>
          <w:rFonts w:hint="eastAsia" w:ascii="宋体" w:hAnsi="宋体" w:eastAsia="宋体" w:cs="Times New Roman"/>
          <w:color w:val="auto"/>
          <w:kern w:val="2"/>
          <w:sz w:val="24"/>
          <w:szCs w:val="24"/>
          <w:highlight w:val="none"/>
          <w:lang w:val="en-US" w:eastAsia="zh-CN" w:bidi="ar-SA"/>
        </w:rPr>
      </w:pPr>
    </w:p>
    <w:p w14:paraId="4A60C5BC">
      <w:pPr>
        <w:rPr>
          <w:color w:val="auto"/>
          <w:highlight w:val="none"/>
        </w:rPr>
      </w:pPr>
    </w:p>
    <w:p w14:paraId="1E135F43">
      <w:pPr>
        <w:rPr>
          <w:color w:val="auto"/>
          <w:highlight w:val="none"/>
        </w:rPr>
      </w:pPr>
    </w:p>
    <w:p w14:paraId="43B4F7DF">
      <w:pPr>
        <w:numPr>
          <w:ilvl w:val="0"/>
          <w:numId w:val="4"/>
        </w:numPr>
        <w:tabs>
          <w:tab w:val="left" w:pos="1305"/>
        </w:tabs>
        <w:spacing w:before="156" w:beforeLines="50" w:after="156" w:afterLines="50" w:line="520" w:lineRule="exact"/>
        <w:jc w:val="left"/>
        <w:rPr>
          <w:rFonts w:ascii="宋体" w:hAnsi="宋体"/>
          <w:b/>
          <w:color w:val="auto"/>
          <w:sz w:val="28"/>
          <w:szCs w:val="28"/>
          <w:highlight w:val="none"/>
        </w:rPr>
      </w:pPr>
      <w:r>
        <w:rPr>
          <w:rFonts w:hint="eastAsia" w:ascii="宋体" w:hAnsi="宋体"/>
          <w:b/>
          <w:color w:val="auto"/>
          <w:sz w:val="28"/>
          <w:szCs w:val="28"/>
          <w:highlight w:val="none"/>
          <w:lang w:eastAsia="zh-CN"/>
        </w:rPr>
        <w:t>贺州市政府采购供应商信用承诺函</w:t>
      </w:r>
    </w:p>
    <w:p w14:paraId="6B9FDF7A">
      <w:pPr>
        <w:spacing w:line="360" w:lineRule="auto"/>
        <w:ind w:left="0" w:leftChars="0" w:firstLine="562" w:firstLineChars="200"/>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贺州市政府采购供应商信用承诺函(格式)</w:t>
      </w:r>
    </w:p>
    <w:p w14:paraId="205C0949">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p>
    <w:p w14:paraId="32420E2B">
      <w:pPr>
        <w:keepNext w:val="0"/>
        <w:keepLines w:val="0"/>
        <w:widowControl/>
        <w:suppressLineNumbers w:val="0"/>
        <w:spacing w:line="360" w:lineRule="auto"/>
        <w:jc w:val="left"/>
        <w:rPr>
          <w:rFonts w:hint="default"/>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致(采购人或采购代理机构):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6B2BEA03">
      <w:pPr>
        <w:keepNext w:val="0"/>
        <w:keepLines w:val="0"/>
        <w:widowControl/>
        <w:suppressLineNumbers w:val="0"/>
        <w:spacing w:line="360" w:lineRule="auto"/>
        <w:ind w:firstLine="420" w:firstLineChars="2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供应商名称: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4EF9F696">
      <w:pPr>
        <w:keepNext w:val="0"/>
        <w:keepLines w:val="0"/>
        <w:widowControl/>
        <w:suppressLineNumbers w:val="0"/>
        <w:spacing w:line="360" w:lineRule="auto"/>
        <w:ind w:firstLine="420" w:firstLineChars="200"/>
        <w:jc w:val="left"/>
        <w:rPr>
          <w:rFonts w:hint="default"/>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统一社会信用代码: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6F12BD3C">
      <w:pPr>
        <w:keepNext w:val="0"/>
        <w:keepLines w:val="0"/>
        <w:widowControl/>
        <w:suppressLineNumbers w:val="0"/>
        <w:spacing w:line="360" w:lineRule="auto"/>
        <w:ind w:firstLine="420" w:firstLineChars="200"/>
        <w:jc w:val="left"/>
        <w:rPr>
          <w:rFonts w:hint="default"/>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供应商地址:</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2CFB7DEA">
      <w:pPr>
        <w:keepNext w:val="0"/>
        <w:keepLines w:val="0"/>
        <w:widowControl/>
        <w:suppressLineNumbers w:val="0"/>
        <w:spacing w:line="360" w:lineRule="auto"/>
        <w:ind w:firstLine="420" w:firstLineChars="2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 </w:t>
      </w:r>
    </w:p>
    <w:p w14:paraId="45B9792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1.我单位具有符合采购文件资格要求独立承担民事责任的能力。 </w:t>
      </w:r>
    </w:p>
    <w:p w14:paraId="65E3C4E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2.我单位具有符合采购文件资格要求的财务状况报告。 </w:t>
      </w:r>
    </w:p>
    <w:p w14:paraId="667DCA2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3.我单位具有符合采购文件资格要求的依法缴纳税收和社会保障记录的良好记录。 </w:t>
      </w:r>
    </w:p>
    <w:p w14:paraId="17107D0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4.我单位具有符合采购文件资格要求履行合同所必需的设备和专业技术能力。 </w:t>
      </w:r>
    </w:p>
    <w:p w14:paraId="1F63E6A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5.参加政府采购活动前三年内，在经营活动中没有重大违法记录。 </w:t>
      </w:r>
    </w:p>
    <w:p w14:paraId="6A8B49AC">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p>
    <w:p w14:paraId="1F946104">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若我单位承诺不实，自愿承担提供虚假材料谋取中标、成交的法律责任。 </w:t>
      </w:r>
    </w:p>
    <w:p w14:paraId="1AC3349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4C5D31E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648270D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供应商名称(公章):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04F2D5D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31DF26C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法定代表人或授权代表(签名):</w:t>
      </w:r>
      <w:r>
        <w:rPr>
          <w:rFonts w:hint="eastAsia" w:ascii="宋体" w:hAnsi="宋体" w:eastAsia="宋体" w:cs="宋体"/>
          <w:color w:val="auto"/>
          <w:kern w:val="0"/>
          <w:sz w:val="21"/>
          <w:szCs w:val="21"/>
          <w:highlight w:val="none"/>
          <w:u w:val="single"/>
          <w:lang w:val="en-US" w:eastAsia="zh-CN" w:bidi="ar"/>
        </w:rPr>
        <w:t xml:space="preserve">                </w:t>
      </w:r>
    </w:p>
    <w:p w14:paraId="7A71E6E1">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p>
    <w:p w14:paraId="444258E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日期: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日 </w:t>
      </w:r>
    </w:p>
    <w:p w14:paraId="033FE39F">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p>
    <w:p w14:paraId="0DC6099F">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 1.供应商须在投标(响应)文件中按此模板（格式）提供承诺函，未提供视为未实质性响应招标(采购)文件要求，按无效投标(响应)处理。 </w:t>
      </w:r>
    </w:p>
    <w:p w14:paraId="764A7079">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2.供应商的法定代表人(其他组织的为负责人)或者授权代表的签名或盖章应真实、有效，如由授权代表签名或盖章的，应提供“法定代表人授权书”。</w:t>
      </w:r>
    </w:p>
    <w:p w14:paraId="30ED33D0">
      <w:pPr>
        <w:tabs>
          <w:tab w:val="left" w:pos="1305"/>
        </w:tabs>
        <w:spacing w:before="156" w:beforeLines="50" w:after="156" w:afterLines="50" w:line="520" w:lineRule="exact"/>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、供应商关于参加政府采购活动前3年内在经营活动中没有重大违法记录及有关信用信息的书面声明</w:t>
      </w:r>
    </w:p>
    <w:p w14:paraId="6A6135AF">
      <w:pPr>
        <w:tabs>
          <w:tab w:val="left" w:pos="1305"/>
        </w:tabs>
        <w:spacing w:line="460" w:lineRule="exact"/>
        <w:jc w:val="center"/>
        <w:rPr>
          <w:rFonts w:ascii="宋体" w:hAnsi="宋体" w:cs="宋体"/>
          <w:b/>
          <w:color w:val="auto"/>
          <w:sz w:val="28"/>
          <w:szCs w:val="28"/>
          <w:highlight w:val="none"/>
        </w:rPr>
      </w:pPr>
    </w:p>
    <w:p w14:paraId="2ACC3BE2">
      <w:pPr>
        <w:tabs>
          <w:tab w:val="left" w:pos="1305"/>
        </w:tabs>
        <w:spacing w:line="46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声 </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明</w:t>
      </w:r>
    </w:p>
    <w:p w14:paraId="4FFBFA84">
      <w:pPr>
        <w:snapToGrid w:val="0"/>
        <w:spacing w:line="500" w:lineRule="exact"/>
        <w:outlineLvl w:val="4"/>
        <w:rPr>
          <w:rFonts w:hint="eastAsia" w:ascii="宋体" w:hAnsi="宋体" w:cs="宋体"/>
          <w:b/>
          <w:color w:val="auto"/>
          <w:sz w:val="21"/>
          <w:szCs w:val="21"/>
          <w:highlight w:val="none"/>
        </w:rPr>
      </w:pPr>
    </w:p>
    <w:p w14:paraId="04F4F8E9">
      <w:pPr>
        <w:snapToGrid w:val="0"/>
        <w:spacing w:line="500" w:lineRule="exact"/>
        <w:outlineLvl w:val="4"/>
        <w:rPr>
          <w:rFonts w:ascii="宋体" w:hAnsi="宋体" w:cs="宋体"/>
          <w:color w:val="auto"/>
          <w:sz w:val="21"/>
          <w:szCs w:val="21"/>
          <w:highlight w:val="none"/>
        </w:rPr>
      </w:pPr>
      <w:r>
        <w:rPr>
          <w:rFonts w:hint="eastAsia" w:ascii="宋体" w:hAnsi="宋体" w:cs="宋体"/>
          <w:b/>
          <w:color w:val="auto"/>
          <w:sz w:val="21"/>
          <w:szCs w:val="21"/>
          <w:highlight w:val="none"/>
        </w:rPr>
        <w:t>致</w:t>
      </w:r>
      <w:r>
        <w:rPr>
          <w:rFonts w:hint="eastAsia" w:ascii="宋体" w:hAnsi="宋体" w:cs="宋体"/>
          <w:color w:val="auto"/>
          <w:sz w:val="21"/>
          <w:szCs w:val="21"/>
          <w:highlight w:val="none"/>
        </w:rPr>
        <w:t>：</w:t>
      </w:r>
      <w:r>
        <w:rPr>
          <w:rFonts w:hint="eastAsia" w:ascii="宋体" w:hAnsi="宋体"/>
          <w:color w:val="auto"/>
          <w:sz w:val="21"/>
          <w:szCs w:val="21"/>
          <w:highlight w:val="none"/>
          <w:u w:val="single"/>
        </w:rPr>
        <w:t>（采购人名称）</w:t>
      </w:r>
    </w:p>
    <w:p w14:paraId="666DA5C1">
      <w:pPr>
        <w:pStyle w:val="22"/>
        <w:spacing w:line="440" w:lineRule="exact"/>
        <w:ind w:firstLine="420" w:firstLineChars="200"/>
        <w:rPr>
          <w:rFonts w:hAnsi="宋体"/>
          <w:color w:val="auto"/>
          <w:sz w:val="21"/>
          <w:szCs w:val="21"/>
          <w:highlight w:val="none"/>
        </w:rPr>
      </w:pPr>
      <w:r>
        <w:rPr>
          <w:rFonts w:hint="eastAsia" w:hAnsi="宋体"/>
          <w:color w:val="auto"/>
          <w:sz w:val="21"/>
          <w:szCs w:val="21"/>
          <w:highlight w:val="none"/>
        </w:rPr>
        <w:t>我（公司）郑重声明，在参加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条件，我方对此声明负全部法律责任。</w:t>
      </w:r>
    </w:p>
    <w:p w14:paraId="6869184E">
      <w:pPr>
        <w:pStyle w:val="22"/>
        <w:spacing w:line="440" w:lineRule="exact"/>
        <w:ind w:firstLine="420" w:firstLineChars="200"/>
        <w:rPr>
          <w:rFonts w:hAnsi="宋体"/>
          <w:color w:val="auto"/>
          <w:sz w:val="21"/>
          <w:szCs w:val="21"/>
          <w:highlight w:val="none"/>
        </w:rPr>
      </w:pPr>
      <w:r>
        <w:rPr>
          <w:rFonts w:hint="eastAsia" w:hAnsi="宋体"/>
          <w:color w:val="auto"/>
          <w:sz w:val="21"/>
          <w:szCs w:val="21"/>
          <w:highlight w:val="none"/>
        </w:rPr>
        <w:t>特此声明！</w:t>
      </w:r>
    </w:p>
    <w:p w14:paraId="75590FAA">
      <w:pPr>
        <w:pStyle w:val="12"/>
        <w:spacing w:after="156" w:line="500" w:lineRule="exact"/>
        <w:ind w:left="0" w:firstLine="0" w:firstLineChars="0"/>
        <w:rPr>
          <w:rFonts w:ascii="宋体" w:hAnsi="宋体"/>
          <w:color w:val="auto"/>
          <w:sz w:val="21"/>
          <w:szCs w:val="21"/>
          <w:highlight w:val="none"/>
        </w:rPr>
      </w:pPr>
    </w:p>
    <w:p w14:paraId="548FEEB5">
      <w:pPr>
        <w:pStyle w:val="22"/>
        <w:spacing w:line="500" w:lineRule="exact"/>
        <w:ind w:firstLine="2100" w:firstLineChars="1000"/>
        <w:rPr>
          <w:rFonts w:hAnsi="宋体"/>
          <w:color w:val="auto"/>
          <w:sz w:val="21"/>
          <w:szCs w:val="21"/>
          <w:highlight w:val="none"/>
          <w:u w:val="single"/>
        </w:rPr>
      </w:pPr>
      <w:r>
        <w:rPr>
          <w:rFonts w:hint="eastAsia" w:hAnsi="宋体"/>
          <w:color w:val="auto"/>
          <w:sz w:val="21"/>
          <w:szCs w:val="21"/>
          <w:highlight w:val="none"/>
        </w:rPr>
        <w:t>供应商</w:t>
      </w:r>
      <w:r>
        <w:rPr>
          <w:rFonts w:hint="eastAsia" w:hAnsi="宋体" w:cs="宋体"/>
          <w:color w:val="auto"/>
          <w:sz w:val="21"/>
          <w:szCs w:val="21"/>
          <w:highlight w:val="none"/>
        </w:rPr>
        <w:t>（</w:t>
      </w:r>
      <w:r>
        <w:rPr>
          <w:rFonts w:hint="eastAsia" w:hAnsi="宋体"/>
          <w:color w:val="auto"/>
          <w:sz w:val="21"/>
          <w:szCs w:val="21"/>
          <w:highlight w:val="none"/>
        </w:rPr>
        <w:t>CA证书签章</w:t>
      </w:r>
      <w:r>
        <w:rPr>
          <w:rFonts w:hint="eastAsia" w:hAnsi="宋体" w:cs="宋体"/>
          <w:color w:val="auto"/>
          <w:sz w:val="21"/>
          <w:szCs w:val="21"/>
          <w:highlight w:val="none"/>
        </w:rPr>
        <w:t>）</w:t>
      </w:r>
      <w:r>
        <w:rPr>
          <w:rFonts w:hint="eastAsia" w:hAnsi="宋体"/>
          <w:color w:val="auto"/>
          <w:sz w:val="21"/>
          <w:szCs w:val="21"/>
          <w:highlight w:val="none"/>
        </w:rPr>
        <w:t>：</w:t>
      </w:r>
      <w:r>
        <w:rPr>
          <w:rFonts w:hint="eastAsia" w:hAnsi="宋体"/>
          <w:color w:val="auto"/>
          <w:sz w:val="21"/>
          <w:szCs w:val="21"/>
          <w:highlight w:val="none"/>
          <w:u w:val="single"/>
        </w:rPr>
        <w:t xml:space="preserve">                           </w:t>
      </w:r>
    </w:p>
    <w:p w14:paraId="04181B3B">
      <w:pPr>
        <w:pStyle w:val="22"/>
        <w:spacing w:line="500" w:lineRule="exact"/>
        <w:ind w:firstLine="2100" w:firstLineChars="1000"/>
        <w:rPr>
          <w:rFonts w:hAnsi="宋体"/>
          <w:color w:val="auto"/>
          <w:sz w:val="21"/>
          <w:szCs w:val="21"/>
          <w:highlight w:val="none"/>
        </w:rPr>
      </w:pPr>
      <w:r>
        <w:rPr>
          <w:rFonts w:hint="eastAsia" w:hAnsi="宋体"/>
          <w:color w:val="auto"/>
          <w:sz w:val="21"/>
          <w:szCs w:val="21"/>
          <w:highlight w:val="none"/>
        </w:rPr>
        <w:t>日期：</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日</w:t>
      </w:r>
    </w:p>
    <w:p w14:paraId="19B8DAE8">
      <w:pPr>
        <w:rPr>
          <w:rFonts w:ascii="宋体" w:hAnsi="宋体"/>
          <w:b/>
          <w:color w:val="auto"/>
          <w:sz w:val="21"/>
          <w:szCs w:val="21"/>
          <w:highlight w:val="none"/>
        </w:rPr>
      </w:pPr>
      <w:r>
        <w:rPr>
          <w:rFonts w:ascii="宋体" w:hAnsi="宋体"/>
          <w:b/>
          <w:color w:val="auto"/>
          <w:sz w:val="21"/>
          <w:szCs w:val="21"/>
          <w:highlight w:val="none"/>
        </w:rPr>
        <w:br w:type="page"/>
      </w:r>
    </w:p>
    <w:p w14:paraId="3D709511">
      <w:pPr>
        <w:tabs>
          <w:tab w:val="left" w:pos="1305"/>
        </w:tabs>
        <w:spacing w:before="156" w:beforeLines="50" w:after="156" w:afterLines="50" w:line="520" w:lineRule="exact"/>
        <w:jc w:val="both"/>
        <w:rPr>
          <w:rFonts w:ascii="宋体" w:hAnsi="宋体"/>
          <w:b/>
          <w:color w:val="auto"/>
          <w:sz w:val="28"/>
          <w:szCs w:val="28"/>
          <w:highlight w:val="none"/>
        </w:rPr>
      </w:pPr>
      <w:r>
        <w:rPr>
          <w:rFonts w:hint="eastAsia" w:ascii="宋体" w:hAnsi="宋体"/>
          <w:b/>
          <w:color w:val="auto"/>
          <w:sz w:val="28"/>
          <w:szCs w:val="28"/>
          <w:highlight w:val="none"/>
          <w:lang w:val="en-US" w:eastAsia="zh-CN"/>
        </w:rPr>
        <w:t>三</w:t>
      </w:r>
      <w:r>
        <w:rPr>
          <w:rFonts w:hint="eastAsia" w:ascii="宋体" w:hAnsi="宋体"/>
          <w:b/>
          <w:color w:val="auto"/>
          <w:sz w:val="28"/>
          <w:szCs w:val="28"/>
          <w:highlight w:val="none"/>
        </w:rPr>
        <w:t>、供应商直接控股、管理关系信息表</w:t>
      </w:r>
    </w:p>
    <w:p w14:paraId="69DCFE4A">
      <w:pPr>
        <w:snapToGrid w:val="0"/>
        <w:spacing w:before="156" w:beforeLines="50" w:after="50"/>
        <w:jc w:val="center"/>
        <w:rPr>
          <w:rFonts w:ascii="宋体" w:hAnsi="宋体"/>
          <w:b/>
          <w:color w:val="auto"/>
          <w:sz w:val="28"/>
          <w:szCs w:val="28"/>
          <w:highlight w:val="none"/>
        </w:rPr>
      </w:pPr>
    </w:p>
    <w:p w14:paraId="6E1AA6CF">
      <w:pPr>
        <w:snapToGrid w:val="0"/>
        <w:spacing w:before="156" w:beforeLines="50" w:after="50"/>
        <w:jc w:val="center"/>
        <w:rPr>
          <w:rFonts w:ascii="宋体" w:hAnsi="宋体"/>
          <w:b/>
          <w:color w:val="auto"/>
          <w:sz w:val="28"/>
          <w:szCs w:val="28"/>
          <w:highlight w:val="none"/>
        </w:rPr>
      </w:pPr>
      <w:r>
        <w:rPr>
          <w:rFonts w:hint="eastAsia" w:ascii="宋体" w:hAnsi="宋体"/>
          <w:b/>
          <w:color w:val="auto"/>
          <w:sz w:val="28"/>
          <w:szCs w:val="28"/>
          <w:highlight w:val="none"/>
        </w:rPr>
        <w:t>供应商直接控股股东信息表</w:t>
      </w:r>
    </w:p>
    <w:tbl>
      <w:tblPr>
        <w:tblStyle w:val="3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4009"/>
        <w:gridCol w:w="1131"/>
      </w:tblGrid>
      <w:tr w14:paraId="0AB07BB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17B0284">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D1A516">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75E7EA">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出资比例</w:t>
            </w:r>
          </w:p>
        </w:tc>
        <w:tc>
          <w:tcPr>
            <w:tcW w:w="400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E9F6981">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身份证号码或者统一社会信用代码</w:t>
            </w:r>
          </w:p>
        </w:tc>
        <w:tc>
          <w:tcPr>
            <w:tcW w:w="113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6A3FAE9">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6EB5488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2C3D3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DB68F1">
            <w:pPr>
              <w:spacing w:line="360" w:lineRule="auto"/>
              <w:jc w:val="center"/>
              <w:rPr>
                <w:rFonts w:ascii="宋体" w:hAnsi="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B75A63">
            <w:pPr>
              <w:spacing w:line="360" w:lineRule="auto"/>
              <w:jc w:val="center"/>
              <w:rPr>
                <w:rFonts w:ascii="宋体" w:hAnsi="宋体" w:cs="宋体"/>
                <w:color w:val="auto"/>
                <w:sz w:val="21"/>
                <w:szCs w:val="21"/>
                <w:highlight w:val="none"/>
              </w:rPr>
            </w:pPr>
          </w:p>
        </w:tc>
        <w:tc>
          <w:tcPr>
            <w:tcW w:w="40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98BF4">
            <w:pPr>
              <w:spacing w:line="360" w:lineRule="auto"/>
              <w:jc w:val="center"/>
              <w:rPr>
                <w:rFonts w:ascii="宋体" w:hAnsi="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21B22A">
            <w:pPr>
              <w:spacing w:line="360" w:lineRule="auto"/>
              <w:jc w:val="center"/>
              <w:rPr>
                <w:rFonts w:ascii="宋体" w:hAnsi="宋体" w:cs="宋体"/>
                <w:color w:val="auto"/>
                <w:sz w:val="21"/>
                <w:szCs w:val="21"/>
                <w:highlight w:val="none"/>
              </w:rPr>
            </w:pPr>
          </w:p>
        </w:tc>
      </w:tr>
      <w:tr w14:paraId="7A2C59A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DC0F1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8BF7D2">
            <w:pPr>
              <w:spacing w:line="360" w:lineRule="auto"/>
              <w:jc w:val="center"/>
              <w:rPr>
                <w:rFonts w:ascii="宋体" w:hAnsi="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24B21A">
            <w:pPr>
              <w:spacing w:line="360" w:lineRule="auto"/>
              <w:jc w:val="center"/>
              <w:rPr>
                <w:rFonts w:ascii="宋体" w:hAnsi="宋体" w:cs="宋体"/>
                <w:color w:val="auto"/>
                <w:sz w:val="21"/>
                <w:szCs w:val="21"/>
                <w:highlight w:val="none"/>
              </w:rPr>
            </w:pPr>
          </w:p>
        </w:tc>
        <w:tc>
          <w:tcPr>
            <w:tcW w:w="40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3E6CAC">
            <w:pPr>
              <w:spacing w:line="360" w:lineRule="auto"/>
              <w:jc w:val="center"/>
              <w:rPr>
                <w:rFonts w:ascii="宋体" w:hAnsi="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3FA7B9">
            <w:pPr>
              <w:spacing w:line="360" w:lineRule="auto"/>
              <w:jc w:val="center"/>
              <w:rPr>
                <w:rFonts w:ascii="宋体" w:hAnsi="宋体" w:cs="宋体"/>
                <w:color w:val="auto"/>
                <w:sz w:val="21"/>
                <w:szCs w:val="21"/>
                <w:highlight w:val="none"/>
              </w:rPr>
            </w:pPr>
          </w:p>
        </w:tc>
      </w:tr>
      <w:tr w14:paraId="3A1298D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5FE6DB">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D4BE46">
            <w:pPr>
              <w:spacing w:line="360" w:lineRule="auto"/>
              <w:jc w:val="center"/>
              <w:rPr>
                <w:rFonts w:ascii="宋体" w:hAnsi="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0E9E40">
            <w:pPr>
              <w:spacing w:line="360" w:lineRule="auto"/>
              <w:jc w:val="center"/>
              <w:rPr>
                <w:rFonts w:ascii="宋体" w:hAnsi="宋体" w:cs="宋体"/>
                <w:color w:val="auto"/>
                <w:sz w:val="21"/>
                <w:szCs w:val="21"/>
                <w:highlight w:val="none"/>
              </w:rPr>
            </w:pPr>
          </w:p>
        </w:tc>
        <w:tc>
          <w:tcPr>
            <w:tcW w:w="40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9C3FA3">
            <w:pPr>
              <w:spacing w:line="360" w:lineRule="auto"/>
              <w:jc w:val="center"/>
              <w:rPr>
                <w:rFonts w:ascii="宋体" w:hAnsi="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689BF3">
            <w:pPr>
              <w:spacing w:line="360" w:lineRule="auto"/>
              <w:jc w:val="center"/>
              <w:rPr>
                <w:rFonts w:ascii="宋体" w:hAnsi="宋体" w:cs="宋体"/>
                <w:color w:val="auto"/>
                <w:sz w:val="21"/>
                <w:szCs w:val="21"/>
                <w:highlight w:val="none"/>
              </w:rPr>
            </w:pPr>
          </w:p>
        </w:tc>
      </w:tr>
      <w:tr w14:paraId="00427C6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7B02A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210402">
            <w:pPr>
              <w:spacing w:line="360" w:lineRule="auto"/>
              <w:jc w:val="center"/>
              <w:rPr>
                <w:rFonts w:ascii="宋体" w:hAnsi="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1B87E">
            <w:pPr>
              <w:spacing w:line="360" w:lineRule="auto"/>
              <w:jc w:val="center"/>
              <w:rPr>
                <w:rFonts w:ascii="宋体" w:hAnsi="宋体" w:cs="宋体"/>
                <w:color w:val="auto"/>
                <w:sz w:val="21"/>
                <w:szCs w:val="21"/>
                <w:highlight w:val="none"/>
              </w:rPr>
            </w:pPr>
          </w:p>
        </w:tc>
        <w:tc>
          <w:tcPr>
            <w:tcW w:w="40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7B55F4">
            <w:pPr>
              <w:spacing w:line="360" w:lineRule="auto"/>
              <w:jc w:val="center"/>
              <w:rPr>
                <w:rFonts w:ascii="宋体" w:hAnsi="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43C707">
            <w:pPr>
              <w:spacing w:line="360" w:lineRule="auto"/>
              <w:jc w:val="center"/>
              <w:rPr>
                <w:rFonts w:ascii="宋体" w:hAnsi="宋体" w:cs="宋体"/>
                <w:color w:val="auto"/>
                <w:sz w:val="21"/>
                <w:szCs w:val="21"/>
                <w:highlight w:val="none"/>
              </w:rPr>
            </w:pPr>
          </w:p>
        </w:tc>
      </w:tr>
    </w:tbl>
    <w:p w14:paraId="715E9D24">
      <w:pPr>
        <w:snapToGrid w:val="0"/>
        <w:spacing w:line="460" w:lineRule="exact"/>
        <w:jc w:val="left"/>
        <w:rPr>
          <w:rFonts w:ascii="宋体" w:hAnsi="宋体"/>
          <w:color w:val="auto"/>
          <w:sz w:val="21"/>
          <w:szCs w:val="21"/>
          <w:highlight w:val="none"/>
        </w:rPr>
      </w:pPr>
      <w:r>
        <w:rPr>
          <w:rFonts w:hint="eastAsia" w:ascii="宋体" w:hAnsi="宋体"/>
          <w:color w:val="auto"/>
          <w:sz w:val="21"/>
          <w:szCs w:val="21"/>
          <w:highlight w:val="none"/>
        </w:rPr>
        <w:t>注：</w:t>
      </w:r>
    </w:p>
    <w:p w14:paraId="719669DA">
      <w:pPr>
        <w:snapToGrid w:val="0"/>
        <w:spacing w:line="460" w:lineRule="exact"/>
        <w:jc w:val="left"/>
        <w:rPr>
          <w:rFonts w:ascii="宋体" w:hAnsi="宋体"/>
          <w:color w:val="auto"/>
          <w:sz w:val="21"/>
          <w:szCs w:val="21"/>
          <w:highlight w:val="none"/>
        </w:rPr>
      </w:pPr>
      <w:r>
        <w:rPr>
          <w:rFonts w:hint="eastAsia" w:ascii="宋体" w:hAnsi="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6DD7F4F">
      <w:pPr>
        <w:snapToGrid w:val="0"/>
        <w:spacing w:line="460" w:lineRule="exact"/>
        <w:jc w:val="left"/>
        <w:rPr>
          <w:rFonts w:ascii="宋体" w:hAnsi="宋体"/>
          <w:color w:val="auto"/>
          <w:sz w:val="21"/>
          <w:szCs w:val="21"/>
          <w:highlight w:val="none"/>
        </w:rPr>
      </w:pPr>
      <w:r>
        <w:rPr>
          <w:rFonts w:hint="eastAsia" w:ascii="宋体" w:hAnsi="宋体"/>
          <w:color w:val="auto"/>
          <w:sz w:val="21"/>
          <w:szCs w:val="21"/>
          <w:highlight w:val="none"/>
        </w:rPr>
        <w:t>2.本表所指的控股关系仅限于直接控股关系，不包括间接的控股关系。公司实际控制人与公司之间的关系不属于本表所指的直接控股关系。</w:t>
      </w:r>
    </w:p>
    <w:p w14:paraId="3BCE6E24">
      <w:pPr>
        <w:snapToGrid w:val="0"/>
        <w:spacing w:line="460" w:lineRule="exact"/>
        <w:jc w:val="left"/>
        <w:rPr>
          <w:rFonts w:ascii="宋体" w:hAnsi="宋体"/>
          <w:color w:val="auto"/>
          <w:sz w:val="21"/>
          <w:szCs w:val="21"/>
          <w:highlight w:val="none"/>
        </w:rPr>
      </w:pPr>
      <w:r>
        <w:rPr>
          <w:rFonts w:hint="eastAsia" w:ascii="宋体" w:hAnsi="宋体"/>
          <w:color w:val="auto"/>
          <w:sz w:val="21"/>
          <w:szCs w:val="21"/>
          <w:highlight w:val="none"/>
        </w:rPr>
        <w:t>3.供应商不存在直接控股股东的，则填“无”。</w:t>
      </w:r>
    </w:p>
    <w:p w14:paraId="21B7B883">
      <w:pPr>
        <w:pStyle w:val="22"/>
        <w:spacing w:line="500" w:lineRule="exact"/>
        <w:ind w:firstLine="2100" w:firstLineChars="1000"/>
        <w:rPr>
          <w:rFonts w:hAnsi="宋体"/>
          <w:color w:val="auto"/>
          <w:sz w:val="21"/>
          <w:szCs w:val="21"/>
          <w:highlight w:val="none"/>
        </w:rPr>
      </w:pPr>
    </w:p>
    <w:p w14:paraId="00AB9528">
      <w:pPr>
        <w:pStyle w:val="22"/>
        <w:spacing w:line="500" w:lineRule="exact"/>
        <w:ind w:firstLine="2100" w:firstLineChars="1000"/>
        <w:rPr>
          <w:rFonts w:hAnsi="宋体"/>
          <w:color w:val="auto"/>
          <w:sz w:val="21"/>
          <w:szCs w:val="21"/>
          <w:highlight w:val="none"/>
          <w:u w:val="single"/>
        </w:rPr>
      </w:pPr>
      <w:r>
        <w:rPr>
          <w:rFonts w:hint="eastAsia" w:hAnsi="宋体"/>
          <w:color w:val="auto"/>
          <w:sz w:val="21"/>
          <w:szCs w:val="21"/>
          <w:highlight w:val="none"/>
        </w:rPr>
        <w:t>供应商</w:t>
      </w:r>
      <w:r>
        <w:rPr>
          <w:rFonts w:hint="eastAsia" w:hAnsi="宋体" w:cs="宋体"/>
          <w:color w:val="auto"/>
          <w:sz w:val="21"/>
          <w:szCs w:val="21"/>
          <w:highlight w:val="none"/>
        </w:rPr>
        <w:t>（</w:t>
      </w:r>
      <w:r>
        <w:rPr>
          <w:rFonts w:hint="eastAsia" w:hAnsi="宋体"/>
          <w:color w:val="auto"/>
          <w:sz w:val="21"/>
          <w:szCs w:val="21"/>
          <w:highlight w:val="none"/>
        </w:rPr>
        <w:t>CA证书签章</w:t>
      </w:r>
      <w:r>
        <w:rPr>
          <w:rFonts w:hint="eastAsia" w:hAnsi="宋体" w:cs="宋体"/>
          <w:color w:val="auto"/>
          <w:sz w:val="21"/>
          <w:szCs w:val="21"/>
          <w:highlight w:val="none"/>
        </w:rPr>
        <w:t>）</w:t>
      </w:r>
      <w:r>
        <w:rPr>
          <w:rFonts w:hint="eastAsia" w:hAnsi="宋体"/>
          <w:color w:val="auto"/>
          <w:sz w:val="21"/>
          <w:szCs w:val="21"/>
          <w:highlight w:val="none"/>
        </w:rPr>
        <w:t>：</w:t>
      </w:r>
      <w:r>
        <w:rPr>
          <w:rFonts w:hint="eastAsia" w:hAnsi="宋体"/>
          <w:color w:val="auto"/>
          <w:sz w:val="21"/>
          <w:szCs w:val="21"/>
          <w:highlight w:val="none"/>
          <w:u w:val="single"/>
        </w:rPr>
        <w:t xml:space="preserve">                           </w:t>
      </w:r>
    </w:p>
    <w:p w14:paraId="438E4752">
      <w:pPr>
        <w:pStyle w:val="22"/>
        <w:spacing w:line="500" w:lineRule="exact"/>
        <w:ind w:firstLine="2100" w:firstLineChars="1000"/>
        <w:rPr>
          <w:rFonts w:hAnsi="宋体"/>
          <w:color w:val="auto"/>
          <w:sz w:val="21"/>
          <w:szCs w:val="21"/>
          <w:highlight w:val="none"/>
        </w:rPr>
      </w:pPr>
      <w:r>
        <w:rPr>
          <w:rFonts w:hint="eastAsia" w:hAnsi="宋体"/>
          <w:color w:val="auto"/>
          <w:sz w:val="21"/>
          <w:szCs w:val="21"/>
          <w:highlight w:val="none"/>
        </w:rPr>
        <w:t>日期：</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日</w:t>
      </w:r>
    </w:p>
    <w:p w14:paraId="15FE0795">
      <w:pPr>
        <w:pStyle w:val="22"/>
        <w:spacing w:line="500" w:lineRule="exact"/>
        <w:ind w:firstLine="480"/>
        <w:rPr>
          <w:rFonts w:hAnsi="宋体"/>
          <w:color w:val="auto"/>
          <w:sz w:val="24"/>
          <w:szCs w:val="24"/>
          <w:highlight w:val="none"/>
        </w:rPr>
      </w:pPr>
    </w:p>
    <w:p w14:paraId="43A992BF">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7EF85DE6">
      <w:pPr>
        <w:snapToGrid w:val="0"/>
        <w:jc w:val="center"/>
        <w:rPr>
          <w:rFonts w:ascii="宋体" w:hAnsi="宋体"/>
          <w:b/>
          <w:color w:val="auto"/>
          <w:sz w:val="28"/>
          <w:szCs w:val="28"/>
          <w:highlight w:val="none"/>
        </w:rPr>
      </w:pPr>
    </w:p>
    <w:p w14:paraId="43601820">
      <w:pPr>
        <w:snapToGrid w:val="0"/>
        <w:jc w:val="center"/>
        <w:rPr>
          <w:rFonts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478C5D78">
      <w:pPr>
        <w:snapToGrid w:val="0"/>
        <w:jc w:val="center"/>
        <w:rPr>
          <w:rFonts w:ascii="宋体" w:hAnsi="宋体"/>
          <w:b/>
          <w:color w:val="auto"/>
          <w:sz w:val="28"/>
          <w:szCs w:val="28"/>
          <w:highlight w:val="none"/>
        </w:rPr>
      </w:pPr>
    </w:p>
    <w:tbl>
      <w:tblPr>
        <w:tblStyle w:val="3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65EB3E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2D030E">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5DE1E8">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DE44ED">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6A9117">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198CB0B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2D53C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6F0BDE">
            <w:pPr>
              <w:spacing w:line="360" w:lineRule="auto"/>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ADB60">
            <w:pPr>
              <w:spacing w:line="360" w:lineRule="auto"/>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5511C4">
            <w:pPr>
              <w:spacing w:line="360" w:lineRule="auto"/>
              <w:jc w:val="center"/>
              <w:rPr>
                <w:rFonts w:ascii="宋体" w:hAnsi="宋体" w:cs="宋体"/>
                <w:color w:val="auto"/>
                <w:sz w:val="21"/>
                <w:szCs w:val="21"/>
                <w:highlight w:val="none"/>
              </w:rPr>
            </w:pPr>
          </w:p>
        </w:tc>
      </w:tr>
      <w:tr w14:paraId="7C0B0B3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6442A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863A0B">
            <w:pPr>
              <w:spacing w:line="360" w:lineRule="auto"/>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C21E24">
            <w:pPr>
              <w:spacing w:line="360" w:lineRule="auto"/>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81F37E">
            <w:pPr>
              <w:spacing w:line="360" w:lineRule="auto"/>
              <w:jc w:val="center"/>
              <w:rPr>
                <w:rFonts w:ascii="宋体" w:hAnsi="宋体" w:cs="宋体"/>
                <w:color w:val="auto"/>
                <w:sz w:val="21"/>
                <w:szCs w:val="21"/>
                <w:highlight w:val="none"/>
              </w:rPr>
            </w:pPr>
          </w:p>
        </w:tc>
      </w:tr>
      <w:tr w14:paraId="62DB022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193CD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B2D65E">
            <w:pPr>
              <w:spacing w:line="360" w:lineRule="auto"/>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1D5B07">
            <w:pPr>
              <w:spacing w:line="360" w:lineRule="auto"/>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89C11D">
            <w:pPr>
              <w:spacing w:line="360" w:lineRule="auto"/>
              <w:jc w:val="center"/>
              <w:rPr>
                <w:rFonts w:ascii="宋体" w:hAnsi="宋体" w:cs="宋体"/>
                <w:color w:val="auto"/>
                <w:sz w:val="21"/>
                <w:szCs w:val="21"/>
                <w:highlight w:val="none"/>
              </w:rPr>
            </w:pPr>
          </w:p>
        </w:tc>
      </w:tr>
      <w:tr w14:paraId="07FE5EC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317F0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976408">
            <w:pPr>
              <w:spacing w:line="360" w:lineRule="auto"/>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62EAA2">
            <w:pPr>
              <w:spacing w:line="360" w:lineRule="auto"/>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4D8B1">
            <w:pPr>
              <w:spacing w:line="360" w:lineRule="auto"/>
              <w:jc w:val="center"/>
              <w:rPr>
                <w:rFonts w:ascii="宋体" w:hAnsi="宋体" w:cs="宋体"/>
                <w:color w:val="auto"/>
                <w:sz w:val="21"/>
                <w:szCs w:val="21"/>
                <w:highlight w:val="none"/>
              </w:rPr>
            </w:pPr>
          </w:p>
        </w:tc>
      </w:tr>
    </w:tbl>
    <w:p w14:paraId="265AE7C8">
      <w:pPr>
        <w:snapToGrid w:val="0"/>
        <w:spacing w:line="460" w:lineRule="exact"/>
        <w:jc w:val="left"/>
        <w:rPr>
          <w:rFonts w:ascii="宋体" w:hAnsi="宋体"/>
          <w:color w:val="auto"/>
          <w:sz w:val="21"/>
          <w:szCs w:val="21"/>
          <w:highlight w:val="none"/>
        </w:rPr>
      </w:pPr>
      <w:r>
        <w:rPr>
          <w:rFonts w:hint="eastAsia" w:ascii="宋体" w:hAnsi="宋体"/>
          <w:color w:val="auto"/>
          <w:sz w:val="21"/>
          <w:szCs w:val="21"/>
          <w:highlight w:val="none"/>
        </w:rPr>
        <w:t>注：</w:t>
      </w:r>
    </w:p>
    <w:p w14:paraId="76CBC8BD">
      <w:pPr>
        <w:snapToGrid w:val="0"/>
        <w:spacing w:line="460" w:lineRule="exact"/>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556A57FA">
      <w:pPr>
        <w:snapToGrid w:val="0"/>
        <w:spacing w:line="460" w:lineRule="exact"/>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13B3ACCC">
      <w:pPr>
        <w:snapToGrid w:val="0"/>
        <w:spacing w:line="460" w:lineRule="exact"/>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3.供应商不存在直接管理关系的，则填“无”。</w:t>
      </w:r>
    </w:p>
    <w:p w14:paraId="6855A241">
      <w:pPr>
        <w:snapToGrid w:val="0"/>
        <w:spacing w:line="360" w:lineRule="auto"/>
        <w:jc w:val="left"/>
        <w:rPr>
          <w:rFonts w:ascii="宋体" w:hAnsi="宋体"/>
          <w:color w:val="auto"/>
          <w:sz w:val="21"/>
          <w:szCs w:val="21"/>
          <w:highlight w:val="none"/>
        </w:rPr>
      </w:pPr>
    </w:p>
    <w:p w14:paraId="1C2F189A">
      <w:pPr>
        <w:pStyle w:val="12"/>
        <w:spacing w:after="156" w:line="500" w:lineRule="exact"/>
        <w:ind w:firstLine="480"/>
        <w:rPr>
          <w:rFonts w:ascii="宋体" w:hAnsi="宋体"/>
          <w:color w:val="auto"/>
          <w:sz w:val="21"/>
          <w:szCs w:val="21"/>
          <w:highlight w:val="none"/>
        </w:rPr>
      </w:pPr>
    </w:p>
    <w:p w14:paraId="48AFA865">
      <w:pPr>
        <w:pStyle w:val="22"/>
        <w:spacing w:line="500" w:lineRule="exact"/>
        <w:ind w:firstLine="2100" w:firstLineChars="1000"/>
        <w:rPr>
          <w:rFonts w:hAnsi="宋体"/>
          <w:color w:val="auto"/>
          <w:sz w:val="21"/>
          <w:szCs w:val="21"/>
          <w:highlight w:val="none"/>
          <w:u w:val="single"/>
        </w:rPr>
      </w:pPr>
      <w:r>
        <w:rPr>
          <w:rFonts w:hint="eastAsia" w:hAnsi="宋体"/>
          <w:color w:val="auto"/>
          <w:sz w:val="21"/>
          <w:szCs w:val="21"/>
          <w:highlight w:val="none"/>
        </w:rPr>
        <w:t>供应商</w:t>
      </w:r>
      <w:r>
        <w:rPr>
          <w:rFonts w:hint="eastAsia" w:hAnsi="宋体" w:cs="宋体"/>
          <w:color w:val="auto"/>
          <w:sz w:val="21"/>
          <w:szCs w:val="21"/>
          <w:highlight w:val="none"/>
        </w:rPr>
        <w:t>（</w:t>
      </w:r>
      <w:r>
        <w:rPr>
          <w:rFonts w:hint="eastAsia" w:hAnsi="宋体"/>
          <w:color w:val="auto"/>
          <w:sz w:val="21"/>
          <w:szCs w:val="21"/>
          <w:highlight w:val="none"/>
        </w:rPr>
        <w:t>CA证书签章</w:t>
      </w:r>
      <w:r>
        <w:rPr>
          <w:rFonts w:hint="eastAsia" w:hAnsi="宋体" w:cs="宋体"/>
          <w:color w:val="auto"/>
          <w:sz w:val="21"/>
          <w:szCs w:val="21"/>
          <w:highlight w:val="none"/>
        </w:rPr>
        <w:t>）</w:t>
      </w:r>
      <w:r>
        <w:rPr>
          <w:rFonts w:hint="eastAsia" w:hAnsi="宋体"/>
          <w:color w:val="auto"/>
          <w:sz w:val="21"/>
          <w:szCs w:val="21"/>
          <w:highlight w:val="none"/>
        </w:rPr>
        <w:t>：</w:t>
      </w:r>
      <w:r>
        <w:rPr>
          <w:rFonts w:hint="eastAsia" w:hAnsi="宋体"/>
          <w:color w:val="auto"/>
          <w:sz w:val="21"/>
          <w:szCs w:val="21"/>
          <w:highlight w:val="none"/>
          <w:u w:val="single"/>
        </w:rPr>
        <w:t xml:space="preserve">                           </w:t>
      </w:r>
    </w:p>
    <w:p w14:paraId="308CCE17">
      <w:pPr>
        <w:pStyle w:val="22"/>
        <w:spacing w:line="500" w:lineRule="exact"/>
        <w:ind w:firstLine="2100" w:firstLineChars="1000"/>
        <w:rPr>
          <w:rFonts w:hAnsi="宋体"/>
          <w:color w:val="auto"/>
          <w:sz w:val="21"/>
          <w:szCs w:val="21"/>
          <w:highlight w:val="none"/>
        </w:rPr>
      </w:pPr>
      <w:r>
        <w:rPr>
          <w:rFonts w:hint="eastAsia" w:hAnsi="宋体"/>
          <w:color w:val="auto"/>
          <w:sz w:val="21"/>
          <w:szCs w:val="21"/>
          <w:highlight w:val="none"/>
        </w:rPr>
        <w:t>日期：</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日</w:t>
      </w:r>
    </w:p>
    <w:p w14:paraId="32C5D406">
      <w:pPr>
        <w:tabs>
          <w:tab w:val="left" w:pos="1305"/>
        </w:tabs>
        <w:spacing w:line="460" w:lineRule="exact"/>
        <w:jc w:val="center"/>
        <w:rPr>
          <w:rFonts w:ascii="宋体" w:hAnsi="宋体"/>
          <w:b/>
          <w:color w:val="auto"/>
          <w:sz w:val="24"/>
          <w:highlight w:val="none"/>
        </w:rPr>
      </w:pPr>
    </w:p>
    <w:p w14:paraId="7A460321">
      <w:pPr>
        <w:rPr>
          <w:rFonts w:ascii="宋体" w:hAnsi="宋体"/>
          <w:b/>
          <w:color w:val="auto"/>
          <w:sz w:val="28"/>
          <w:szCs w:val="28"/>
          <w:highlight w:val="none"/>
        </w:rPr>
      </w:pPr>
      <w:r>
        <w:rPr>
          <w:rFonts w:ascii="宋体" w:hAnsi="宋体"/>
          <w:b/>
          <w:color w:val="auto"/>
          <w:sz w:val="28"/>
          <w:szCs w:val="28"/>
          <w:highlight w:val="none"/>
        </w:rPr>
        <w:br w:type="page"/>
      </w:r>
    </w:p>
    <w:p w14:paraId="2D969496">
      <w:pPr>
        <w:pStyle w:val="86"/>
        <w:jc w:val="center"/>
        <w:rPr>
          <w:rFonts w:cs="¿¬Ìå"/>
          <w:b/>
          <w:bCs/>
          <w:color w:val="auto"/>
          <w:szCs w:val="21"/>
          <w:highlight w:val="none"/>
        </w:rPr>
      </w:pPr>
      <w:r>
        <w:rPr>
          <w:rFonts w:hint="eastAsia"/>
          <w:b/>
          <w:bCs/>
          <w:color w:val="auto"/>
          <w:sz w:val="28"/>
          <w:szCs w:val="28"/>
          <w:highlight w:val="none"/>
          <w:lang w:val="en-US" w:eastAsia="zh-CN"/>
        </w:rPr>
        <w:t>四</w:t>
      </w:r>
      <w:r>
        <w:rPr>
          <w:rFonts w:hint="eastAsia"/>
          <w:b/>
          <w:bCs/>
          <w:color w:val="auto"/>
          <w:sz w:val="28"/>
          <w:szCs w:val="28"/>
          <w:highlight w:val="none"/>
        </w:rPr>
        <w:t>、中小企业声明函（或</w:t>
      </w:r>
      <w:r>
        <w:rPr>
          <w:b/>
          <w:bCs/>
          <w:color w:val="auto"/>
          <w:sz w:val="28"/>
          <w:szCs w:val="28"/>
          <w:highlight w:val="none"/>
        </w:rPr>
        <w:t>监狱企业的证明文件</w:t>
      </w:r>
      <w:r>
        <w:rPr>
          <w:rFonts w:hint="eastAsia"/>
          <w:b/>
          <w:bCs/>
          <w:color w:val="auto"/>
          <w:sz w:val="28"/>
          <w:szCs w:val="28"/>
          <w:highlight w:val="none"/>
        </w:rPr>
        <w:t>或残疾人福利性单位声明函）</w:t>
      </w:r>
    </w:p>
    <w:p w14:paraId="3DEED26C">
      <w:pPr>
        <w:pStyle w:val="32"/>
        <w:jc w:val="center"/>
        <w:rPr>
          <w:rFonts w:hAnsi="宋体" w:cs="¿¬Ìå"/>
          <w:b/>
          <w:bCs/>
          <w:color w:val="auto"/>
          <w:szCs w:val="21"/>
          <w:highlight w:val="none"/>
        </w:rPr>
      </w:pPr>
      <w:r>
        <w:rPr>
          <w:rFonts w:hint="eastAsia" w:hAnsi="宋体" w:cs="¿¬Ìå"/>
          <w:b/>
          <w:bCs/>
          <w:color w:val="auto"/>
          <w:szCs w:val="21"/>
          <w:highlight w:val="none"/>
        </w:rPr>
        <w:t>1、中小企业声明函（格式）</w:t>
      </w:r>
    </w:p>
    <w:p w14:paraId="400FE5C7">
      <w:pPr>
        <w:spacing w:line="360" w:lineRule="auto"/>
        <w:ind w:left="-426" w:right="142" w:firstLine="6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(单位名称）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采购活动，提供的服务全部由符合政策要求的中小企业制造。相关企业（含联合体中的中小企业、签订分包意向协议的中小企业）的具体情况如下：</w:t>
      </w:r>
    </w:p>
    <w:p w14:paraId="61BC82C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w:t>
      </w:r>
      <w:r>
        <w:rPr>
          <w:rFonts w:hint="eastAsia" w:ascii="宋体" w:hAnsi="宋体" w:eastAsia="宋体" w:cs="宋体"/>
          <w:color w:val="auto"/>
          <w:sz w:val="21"/>
          <w:szCs w:val="21"/>
          <w:highlight w:val="none"/>
          <w:lang w:val="en-US" w:eastAsia="zh-CN"/>
        </w:rPr>
        <w:t>承接企业</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，从业人员人，营业收入为万元，资产总额为万元，属于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556A93F4">
      <w:pPr>
        <w:tabs>
          <w:tab w:val="left" w:pos="1065"/>
          <w:tab w:val="left" w:pos="6477"/>
        </w:tabs>
        <w:spacing w:line="360" w:lineRule="auto"/>
        <w:ind w:left="-426" w:right="-58" w:firstLine="655"/>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w:t>
      </w:r>
      <w:r>
        <w:rPr>
          <w:rFonts w:hint="eastAsia" w:ascii="宋体" w:hAnsi="宋体" w:eastAsia="宋体" w:cs="宋体"/>
          <w:color w:val="auto"/>
          <w:sz w:val="21"/>
          <w:szCs w:val="21"/>
          <w:highlight w:val="none"/>
          <w:lang w:val="en-US" w:eastAsia="zh-CN"/>
        </w:rPr>
        <w:t>承接企业</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，从业人员人，营业收入为万元，资产总额为万元，属于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73D92B89">
      <w:pPr>
        <w:spacing w:line="360" w:lineRule="auto"/>
        <w:ind w:left="142" w:right="142"/>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1E5AF2A0">
      <w:pPr>
        <w:spacing w:line="360" w:lineRule="auto"/>
        <w:ind w:left="-405" w:leftChars="-193" w:right="142" w:firstLine="396" w:firstLineChars="189"/>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39455E94">
      <w:pPr>
        <w:spacing w:line="360" w:lineRule="auto"/>
        <w:ind w:left="-426" w:right="142" w:firstLine="56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5FD109B0">
      <w:pPr>
        <w:spacing w:line="360" w:lineRule="auto"/>
        <w:ind w:left="3960" w:right="1808"/>
        <w:contextualSpacing/>
        <w:rPr>
          <w:rFonts w:hint="eastAsia" w:ascii="宋体" w:hAnsi="宋体" w:eastAsia="宋体" w:cs="宋体"/>
          <w:color w:val="auto"/>
          <w:sz w:val="21"/>
          <w:szCs w:val="21"/>
          <w:highlight w:val="none"/>
        </w:rPr>
      </w:pPr>
    </w:p>
    <w:p w14:paraId="141B294B">
      <w:pPr>
        <w:autoSpaceDE w:val="0"/>
        <w:autoSpaceDN w:val="0"/>
        <w:spacing w:line="360" w:lineRule="auto"/>
        <w:ind w:left="4305" w:leftChars="2050" w:firstLine="630" w:firstLineChars="300"/>
        <w:rPr>
          <w:rFonts w:hint="eastAsia" w:ascii="宋体" w:hAnsi="宋体" w:eastAsia="宋体" w:cs="宋体"/>
          <w:color w:val="auto"/>
          <w:kern w:val="0"/>
          <w:sz w:val="21"/>
          <w:szCs w:val="21"/>
          <w:highlight w:val="none"/>
        </w:rPr>
      </w:pPr>
    </w:p>
    <w:p w14:paraId="41C34819">
      <w:pPr>
        <w:autoSpaceDE w:val="0"/>
        <w:autoSpaceDN w:val="0"/>
        <w:spacing w:line="360" w:lineRule="auto"/>
        <w:ind w:left="4305" w:leftChars="2050"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w:t>
      </w:r>
      <w:r>
        <w:rPr>
          <w:rFonts w:hint="eastAsia" w:ascii="宋体" w:hAnsi="宋体" w:eastAsia="宋体" w:cs="宋体"/>
          <w:color w:val="auto"/>
          <w:kern w:val="0"/>
          <w:sz w:val="21"/>
          <w:szCs w:val="21"/>
          <w:highlight w:val="none"/>
          <w:lang w:val="en-US" w:eastAsia="zh-CN"/>
        </w:rPr>
        <w:t>盖</w:t>
      </w:r>
      <w:r>
        <w:rPr>
          <w:rFonts w:hint="eastAsia" w:ascii="宋体" w:hAnsi="宋体" w:eastAsia="宋体" w:cs="宋体"/>
          <w:color w:val="auto"/>
          <w:kern w:val="0"/>
          <w:sz w:val="21"/>
          <w:szCs w:val="21"/>
          <w:highlight w:val="none"/>
        </w:rPr>
        <w:t>章）：</w:t>
      </w:r>
    </w:p>
    <w:p w14:paraId="603DA6FB">
      <w:pPr>
        <w:autoSpaceDE w:val="0"/>
        <w:autoSpaceDN w:val="0"/>
        <w:spacing w:line="360" w:lineRule="auto"/>
        <w:ind w:firstLine="5670" w:firstLineChars="27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年</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月</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日</w:t>
      </w:r>
    </w:p>
    <w:p w14:paraId="188598D3">
      <w:pPr>
        <w:spacing w:line="360" w:lineRule="auto"/>
        <w:ind w:left="3960" w:right="1808"/>
        <w:contextualSpacing/>
        <w:rPr>
          <w:rFonts w:hint="eastAsia" w:ascii="宋体" w:hAnsi="宋体" w:eastAsia="宋体" w:cs="宋体"/>
          <w:color w:val="auto"/>
          <w:sz w:val="21"/>
          <w:szCs w:val="21"/>
          <w:highlight w:val="none"/>
        </w:rPr>
      </w:pPr>
    </w:p>
    <w:p w14:paraId="63CD784B">
      <w:pPr>
        <w:spacing w:line="360" w:lineRule="auto"/>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7B5AB6F">
      <w:pPr>
        <w:spacing w:line="400" w:lineRule="exact"/>
        <w:ind w:firstLine="506" w:firstLineChars="200"/>
        <w:rPr>
          <w:rFonts w:ascii="宋体" w:hAnsi="宋体"/>
          <w:b/>
          <w:color w:val="auto"/>
          <w:spacing w:val="6"/>
          <w:sz w:val="24"/>
          <w:highlight w:val="none"/>
        </w:rPr>
      </w:pPr>
    </w:p>
    <w:p w14:paraId="2F9241B8">
      <w:pPr>
        <w:spacing w:line="400" w:lineRule="exact"/>
        <w:ind w:firstLine="506" w:firstLineChars="200"/>
        <w:rPr>
          <w:rFonts w:ascii="宋体" w:hAnsi="宋体"/>
          <w:b/>
          <w:color w:val="auto"/>
          <w:spacing w:val="6"/>
          <w:sz w:val="24"/>
          <w:highlight w:val="none"/>
        </w:rPr>
      </w:pPr>
    </w:p>
    <w:p w14:paraId="3EE00F45">
      <w:pPr>
        <w:spacing w:line="400" w:lineRule="exact"/>
        <w:ind w:firstLine="506" w:firstLineChars="200"/>
        <w:rPr>
          <w:rFonts w:ascii="宋体" w:hAnsi="宋体"/>
          <w:b/>
          <w:color w:val="auto"/>
          <w:spacing w:val="6"/>
          <w:sz w:val="24"/>
          <w:highlight w:val="none"/>
        </w:rPr>
      </w:pPr>
    </w:p>
    <w:p w14:paraId="0132B817">
      <w:pPr>
        <w:rPr>
          <w:rFonts w:ascii="宋体" w:hAnsi="宋体"/>
          <w:b/>
          <w:color w:val="auto"/>
          <w:sz w:val="28"/>
          <w:szCs w:val="28"/>
          <w:highlight w:val="none"/>
        </w:rPr>
      </w:pPr>
      <w:r>
        <w:rPr>
          <w:rFonts w:ascii="宋体" w:hAnsi="宋体"/>
          <w:b/>
          <w:color w:val="auto"/>
          <w:sz w:val="28"/>
          <w:szCs w:val="28"/>
          <w:highlight w:val="none"/>
        </w:rPr>
        <w:br w:type="page"/>
      </w:r>
    </w:p>
    <w:p w14:paraId="050BEF77">
      <w:pPr>
        <w:pStyle w:val="27"/>
        <w:rPr>
          <w:color w:val="auto"/>
          <w:highlight w:val="none"/>
        </w:rPr>
      </w:pPr>
    </w:p>
    <w:p w14:paraId="6EF87B94">
      <w:pPr>
        <w:tabs>
          <w:tab w:val="left" w:pos="1305"/>
        </w:tabs>
        <w:spacing w:before="156" w:beforeLines="50" w:after="156" w:afterLines="50" w:line="520" w:lineRule="exact"/>
        <w:jc w:val="center"/>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rPr>
        <w:t>、</w:t>
      </w:r>
      <w:r>
        <w:rPr>
          <w:rFonts w:ascii="宋体" w:hAnsi="宋体"/>
          <w:b/>
          <w:color w:val="auto"/>
          <w:sz w:val="28"/>
          <w:szCs w:val="28"/>
          <w:highlight w:val="none"/>
        </w:rPr>
        <w:t>监狱企业的证明文件</w:t>
      </w:r>
    </w:p>
    <w:p w14:paraId="220D8633">
      <w:pPr>
        <w:tabs>
          <w:tab w:val="left" w:pos="1305"/>
        </w:tabs>
        <w:spacing w:before="156" w:beforeLines="50" w:after="156" w:afterLines="50" w:line="520" w:lineRule="exact"/>
        <w:rPr>
          <w:rFonts w:ascii="宋体" w:hAnsi="宋体"/>
          <w:b/>
          <w:color w:val="auto"/>
          <w:sz w:val="28"/>
          <w:szCs w:val="28"/>
          <w:highlight w:val="none"/>
        </w:rPr>
      </w:pPr>
      <w:r>
        <w:rPr>
          <w:rFonts w:hint="eastAsia" w:ascii="宋体" w:hAnsi="宋体"/>
          <w:b/>
          <w:color w:val="auto"/>
          <w:sz w:val="28"/>
          <w:szCs w:val="28"/>
          <w:highlight w:val="none"/>
        </w:rPr>
        <w:t>备注：</w:t>
      </w:r>
      <w:r>
        <w:rPr>
          <w:rFonts w:ascii="宋体" w:hAnsi="宋体"/>
          <w:b/>
          <w:color w:val="auto"/>
          <w:sz w:val="28"/>
          <w:szCs w:val="28"/>
          <w:highlight w:val="none"/>
        </w:rPr>
        <w:t>提供由省级以上监狱管理局、戒毒管理局（含新疆生产建设兵团）出具的属于监狱企业的证明文件, 否则不予享受优惠政策</w:t>
      </w:r>
      <w:r>
        <w:rPr>
          <w:rFonts w:hint="eastAsia" w:ascii="宋体" w:hAnsi="宋体"/>
          <w:b/>
          <w:color w:val="auto"/>
          <w:sz w:val="28"/>
          <w:szCs w:val="28"/>
          <w:highlight w:val="none"/>
        </w:rPr>
        <w:t>。</w:t>
      </w:r>
      <w:r>
        <w:rPr>
          <w:rFonts w:ascii="宋体" w:hAnsi="宋体"/>
          <w:b/>
          <w:color w:val="auto"/>
          <w:sz w:val="28"/>
          <w:szCs w:val="28"/>
          <w:highlight w:val="none"/>
        </w:rPr>
        <w:t xml:space="preserve"> </w:t>
      </w:r>
    </w:p>
    <w:p w14:paraId="6B222D35">
      <w:pPr>
        <w:tabs>
          <w:tab w:val="left" w:pos="1305"/>
        </w:tabs>
        <w:spacing w:line="460" w:lineRule="exact"/>
        <w:jc w:val="center"/>
        <w:rPr>
          <w:rFonts w:ascii="宋体" w:hAnsi="宋体"/>
          <w:b/>
          <w:color w:val="auto"/>
          <w:sz w:val="24"/>
          <w:highlight w:val="none"/>
        </w:rPr>
      </w:pPr>
    </w:p>
    <w:p w14:paraId="33A2B9C4">
      <w:pPr>
        <w:pStyle w:val="32"/>
        <w:jc w:val="center"/>
        <w:rPr>
          <w:rFonts w:hAnsi="宋体" w:cs="¿¬Ìå"/>
          <w:b/>
          <w:bCs/>
          <w:color w:val="auto"/>
          <w:szCs w:val="21"/>
          <w:highlight w:val="none"/>
        </w:rPr>
      </w:pPr>
    </w:p>
    <w:p w14:paraId="4CD98EB2">
      <w:pPr>
        <w:pStyle w:val="32"/>
        <w:jc w:val="center"/>
        <w:rPr>
          <w:rFonts w:hAnsi="宋体" w:cs="¿¬Ìå"/>
          <w:b/>
          <w:bCs/>
          <w:color w:val="auto"/>
          <w:szCs w:val="21"/>
          <w:highlight w:val="none"/>
        </w:rPr>
      </w:pPr>
      <w:r>
        <w:rPr>
          <w:rFonts w:hint="eastAsia" w:hAnsi="宋体" w:cs="¿¬Ìå"/>
          <w:b/>
          <w:bCs/>
          <w:color w:val="auto"/>
          <w:szCs w:val="21"/>
          <w:highlight w:val="none"/>
        </w:rPr>
        <w:t>3、残疾人福利性单位声明函（格式）</w:t>
      </w:r>
    </w:p>
    <w:p w14:paraId="4C20B329">
      <w:pPr>
        <w:spacing w:line="460" w:lineRule="exact"/>
        <w:ind w:firstLine="420" w:firstLineChars="200"/>
        <w:rPr>
          <w:rFonts w:ascii="宋体" w:hAnsi="宋体" w:cs="¿¬Ìå"/>
          <w:color w:val="auto"/>
          <w:szCs w:val="21"/>
          <w:highlight w:val="none"/>
        </w:rPr>
      </w:pPr>
      <w:r>
        <w:rPr>
          <w:rFonts w:hint="eastAsia" w:ascii="宋体" w:hAnsi="宋体" w:cs="¿¬Ìå"/>
          <w:color w:val="auto"/>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Ìå"/>
          <w:color w:val="auto"/>
          <w:szCs w:val="21"/>
          <w:highlight w:val="none"/>
          <w:u w:val="single"/>
        </w:rPr>
        <w:t xml:space="preserve">      </w:t>
      </w:r>
      <w:r>
        <w:rPr>
          <w:rFonts w:hint="eastAsia" w:ascii="宋体" w:hAnsi="宋体" w:cs="¿¬Ìå"/>
          <w:color w:val="auto"/>
          <w:szCs w:val="21"/>
          <w:highlight w:val="none"/>
        </w:rPr>
        <w:t>单位的</w:t>
      </w:r>
      <w:r>
        <w:rPr>
          <w:rFonts w:hint="eastAsia" w:ascii="宋体" w:hAnsi="宋体" w:cs="¿¬Ìå"/>
          <w:color w:val="auto"/>
          <w:szCs w:val="21"/>
          <w:highlight w:val="none"/>
          <w:u w:val="single"/>
        </w:rPr>
        <w:t xml:space="preserve">           </w:t>
      </w:r>
      <w:r>
        <w:rPr>
          <w:rFonts w:hint="eastAsia" w:ascii="宋体" w:hAnsi="宋体" w:cs="¿¬Ìå"/>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9529812">
      <w:pPr>
        <w:spacing w:line="460" w:lineRule="exact"/>
        <w:ind w:firstLine="420" w:firstLineChars="200"/>
        <w:rPr>
          <w:rFonts w:ascii="宋体" w:hAnsi="宋体" w:cs="¿¬Ìå"/>
          <w:color w:val="auto"/>
          <w:szCs w:val="21"/>
          <w:highlight w:val="none"/>
        </w:rPr>
      </w:pPr>
      <w:r>
        <w:rPr>
          <w:rFonts w:hint="eastAsia" w:ascii="宋体" w:hAnsi="宋体" w:cs="¿¬Ìå"/>
          <w:color w:val="auto"/>
          <w:szCs w:val="21"/>
          <w:highlight w:val="none"/>
        </w:rPr>
        <w:t>本单位对上述声明的真实性负责。如有虚假，将依法承担相应责任。</w:t>
      </w:r>
    </w:p>
    <w:p w14:paraId="29FDB054">
      <w:pPr>
        <w:spacing w:line="360" w:lineRule="auto"/>
        <w:rPr>
          <w:rFonts w:ascii="宋体" w:hAnsi="宋体" w:cs="¿¬Ìå"/>
          <w:color w:val="auto"/>
          <w:szCs w:val="21"/>
          <w:highlight w:val="none"/>
        </w:rPr>
      </w:pPr>
    </w:p>
    <w:p w14:paraId="7359943B">
      <w:pPr>
        <w:spacing w:line="360" w:lineRule="auto"/>
        <w:rPr>
          <w:rFonts w:ascii="宋体" w:hAnsi="宋体" w:cs="¿¬Ìå"/>
          <w:color w:val="auto"/>
          <w:szCs w:val="21"/>
          <w:highlight w:val="none"/>
        </w:rPr>
      </w:pPr>
    </w:p>
    <w:p w14:paraId="4F34C1D5">
      <w:pPr>
        <w:spacing w:line="460" w:lineRule="exact"/>
        <w:ind w:firstLine="6195" w:firstLineChars="2950"/>
        <w:rPr>
          <w:rFonts w:ascii="宋体" w:hAnsi="宋体" w:cs="¿¬Ìå"/>
          <w:color w:val="auto"/>
          <w:szCs w:val="21"/>
          <w:highlight w:val="none"/>
        </w:rPr>
      </w:pPr>
      <w:r>
        <w:rPr>
          <w:rFonts w:hint="eastAsia" w:ascii="宋体" w:hAnsi="宋体" w:cs="¿¬Ìå"/>
          <w:color w:val="auto"/>
          <w:szCs w:val="21"/>
          <w:highlight w:val="none"/>
        </w:rPr>
        <w:t>单位名称（盖章）：</w:t>
      </w:r>
    </w:p>
    <w:p w14:paraId="4DF61B4B">
      <w:pPr>
        <w:rPr>
          <w:rFonts w:hint="eastAsia" w:cs="¿¬Ìå"/>
          <w:color w:val="auto"/>
          <w:szCs w:val="21"/>
          <w:highlight w:val="none"/>
        </w:rPr>
      </w:pPr>
      <w:r>
        <w:rPr>
          <w:rFonts w:hint="eastAsia" w:cs="¿¬Ìå"/>
          <w:color w:val="auto"/>
          <w:szCs w:val="21"/>
          <w:highlight w:val="none"/>
        </w:rPr>
        <w:t xml:space="preserve">                            </w:t>
      </w:r>
      <w:r>
        <w:rPr>
          <w:rFonts w:hint="eastAsia" w:cs="¿¬Ìå"/>
          <w:color w:val="auto"/>
          <w:szCs w:val="21"/>
          <w:highlight w:val="none"/>
          <w:lang w:val="en-US" w:eastAsia="zh-CN"/>
        </w:rPr>
        <w:t xml:space="preserve">                              </w:t>
      </w:r>
      <w:r>
        <w:rPr>
          <w:rFonts w:hint="eastAsia" w:cs="¿¬Ìå"/>
          <w:color w:val="auto"/>
          <w:szCs w:val="21"/>
          <w:highlight w:val="none"/>
        </w:rPr>
        <w:t xml:space="preserve">    日  期：</w:t>
      </w:r>
    </w:p>
    <w:p w14:paraId="53D4F457">
      <w:pPr>
        <w:rPr>
          <w:rFonts w:hint="eastAsia" w:cs="¿¬Ìå"/>
          <w:color w:val="auto"/>
          <w:szCs w:val="21"/>
          <w:highlight w:val="none"/>
        </w:rPr>
      </w:pPr>
    </w:p>
    <w:p w14:paraId="627C3429">
      <w:pPr>
        <w:rPr>
          <w:rFonts w:hint="eastAsia" w:cs="¿¬Ìå"/>
          <w:color w:val="auto"/>
          <w:szCs w:val="21"/>
          <w:highlight w:val="none"/>
        </w:rPr>
      </w:pPr>
    </w:p>
    <w:p w14:paraId="5CBDBB79">
      <w:pPr>
        <w:rPr>
          <w:rFonts w:hint="eastAsia" w:cs="¿¬Ìå"/>
          <w:color w:val="auto"/>
          <w:szCs w:val="21"/>
          <w:highlight w:val="none"/>
        </w:rPr>
      </w:pPr>
    </w:p>
    <w:p w14:paraId="533697BF">
      <w:pPr>
        <w:pStyle w:val="27"/>
        <w:rPr>
          <w:rFonts w:hint="eastAsia" w:cs="¿¬Ìå"/>
          <w:color w:val="auto"/>
          <w:szCs w:val="21"/>
          <w:highlight w:val="none"/>
        </w:rPr>
      </w:pPr>
    </w:p>
    <w:p w14:paraId="4CB2758B">
      <w:pPr>
        <w:rPr>
          <w:rFonts w:hint="eastAsia" w:cs="¿¬Ìå"/>
          <w:color w:val="auto"/>
          <w:szCs w:val="21"/>
          <w:highlight w:val="none"/>
        </w:rPr>
      </w:pPr>
    </w:p>
    <w:p w14:paraId="0B25E317">
      <w:pPr>
        <w:pStyle w:val="27"/>
        <w:rPr>
          <w:rFonts w:hint="eastAsia"/>
          <w:color w:val="auto"/>
          <w:highlight w:val="none"/>
        </w:rPr>
      </w:pPr>
    </w:p>
    <w:p w14:paraId="670A668F">
      <w:pPr>
        <w:rPr>
          <w:rFonts w:hint="eastAsia" w:cs="¿¬Ìå"/>
          <w:color w:val="auto"/>
          <w:szCs w:val="21"/>
          <w:highlight w:val="none"/>
        </w:rPr>
      </w:pPr>
    </w:p>
    <w:p w14:paraId="0A9F392B">
      <w:pPr>
        <w:jc w:val="center"/>
        <w:rPr>
          <w:rFonts w:ascii="宋体" w:hAnsi="宋体"/>
          <w:b/>
          <w:color w:val="auto"/>
          <w:sz w:val="28"/>
          <w:szCs w:val="28"/>
          <w:highlight w:val="none"/>
        </w:rPr>
      </w:pPr>
      <w:r>
        <w:rPr>
          <w:rFonts w:hint="eastAsia" w:ascii="宋体" w:hAnsi="宋体"/>
          <w:b/>
          <w:color w:val="auto"/>
          <w:sz w:val="28"/>
          <w:szCs w:val="28"/>
          <w:highlight w:val="none"/>
          <w:lang w:eastAsia="zh-CN"/>
        </w:rPr>
        <w:t>十</w:t>
      </w:r>
      <w:r>
        <w:rPr>
          <w:rFonts w:hint="eastAsia" w:ascii="宋体" w:hAnsi="宋体"/>
          <w:b/>
          <w:color w:val="auto"/>
          <w:sz w:val="28"/>
          <w:szCs w:val="28"/>
          <w:highlight w:val="none"/>
        </w:rPr>
        <w:t>、供应商认为必要提供的声明及文件资料</w:t>
      </w:r>
    </w:p>
    <w:p w14:paraId="3DB0AA2E">
      <w:pPr>
        <w:pStyle w:val="12"/>
        <w:ind w:firstLine="420"/>
        <w:rPr>
          <w:color w:val="auto"/>
          <w:highlight w:val="none"/>
        </w:rPr>
      </w:pPr>
    </w:p>
    <w:p w14:paraId="55A1E623">
      <w:pPr>
        <w:pStyle w:val="22"/>
        <w:tabs>
          <w:tab w:val="left" w:pos="7560"/>
          <w:tab w:val="left" w:pos="7920"/>
        </w:tabs>
        <w:spacing w:line="360" w:lineRule="auto"/>
        <w:jc w:val="center"/>
        <w:rPr>
          <w:rFonts w:hint="default" w:hAnsi="宋体" w:eastAsia="宋体"/>
          <w:color w:val="auto"/>
          <w:sz w:val="40"/>
          <w:szCs w:val="36"/>
          <w:highlight w:val="none"/>
          <w:lang w:val="en-US" w:eastAsia="zh-CN"/>
        </w:rPr>
      </w:pPr>
      <w:r>
        <w:rPr>
          <w:rFonts w:hint="eastAsia" w:ascii="宋体" w:hAnsi="宋体" w:eastAsia="宋体" w:cs="宋体"/>
          <w:b w:val="0"/>
          <w:bCs w:val="0"/>
          <w:color w:val="auto"/>
          <w:sz w:val="21"/>
          <w:szCs w:val="22"/>
          <w:highlight w:val="none"/>
        </w:rPr>
        <w:t>分公司竞标承诺书或总(上级)公司的授权书</w:t>
      </w:r>
      <w:r>
        <w:rPr>
          <w:rFonts w:hint="eastAsia" w:ascii="宋体" w:hAnsi="宋体" w:eastAsia="宋体" w:cs="宋体"/>
          <w:b w:val="0"/>
          <w:bCs w:val="0"/>
          <w:color w:val="auto"/>
          <w:sz w:val="21"/>
          <w:szCs w:val="22"/>
          <w:highlight w:val="none"/>
          <w:lang w:eastAsia="zh-CN"/>
        </w:rPr>
        <w:t>（</w:t>
      </w:r>
      <w:r>
        <w:rPr>
          <w:rFonts w:hint="eastAsia" w:ascii="宋体" w:hAnsi="宋体" w:eastAsia="宋体" w:cs="宋体"/>
          <w:b w:val="0"/>
          <w:bCs w:val="0"/>
          <w:color w:val="auto"/>
          <w:sz w:val="21"/>
          <w:szCs w:val="22"/>
          <w:highlight w:val="none"/>
          <w:lang w:val="en-US" w:eastAsia="zh-CN"/>
        </w:rPr>
        <w:t>如有）等供应商认为必要提供的声明及文件资料</w:t>
      </w:r>
    </w:p>
    <w:p w14:paraId="3E6CE5D9">
      <w:pPr>
        <w:widowControl/>
        <w:jc w:val="left"/>
        <w:rPr>
          <w:rFonts w:ascii="宋体" w:hAnsi="宋体"/>
          <w:color w:val="auto"/>
          <w:kern w:val="0"/>
          <w:sz w:val="40"/>
          <w:szCs w:val="36"/>
          <w:highlight w:val="none"/>
        </w:rPr>
      </w:pPr>
      <w:r>
        <w:rPr>
          <w:rFonts w:hAnsi="宋体"/>
          <w:color w:val="auto"/>
          <w:sz w:val="40"/>
          <w:szCs w:val="36"/>
          <w:highlight w:val="none"/>
        </w:rPr>
        <w:br w:type="page"/>
      </w:r>
    </w:p>
    <w:p w14:paraId="2778E07B">
      <w:pPr>
        <w:spacing w:before="156" w:beforeLines="50" w:after="156" w:afterLines="50" w:line="660" w:lineRule="exact"/>
        <w:jc w:val="center"/>
        <w:rPr>
          <w:rFonts w:ascii="宋体" w:hAnsi="宋体"/>
          <w:b/>
          <w:bCs/>
          <w:color w:val="auto"/>
          <w:sz w:val="36"/>
          <w:szCs w:val="36"/>
          <w:highlight w:val="none"/>
        </w:rPr>
      </w:pPr>
      <w:r>
        <w:rPr>
          <w:rFonts w:hint="eastAsia" w:ascii="宋体" w:hAnsi="宋体"/>
          <w:b/>
          <w:bCs/>
          <w:color w:val="auto"/>
          <w:sz w:val="36"/>
          <w:szCs w:val="36"/>
          <w:highlight w:val="none"/>
        </w:rPr>
        <w:t xml:space="preserve">第二节 </w:t>
      </w:r>
      <w:r>
        <w:rPr>
          <w:rFonts w:ascii="宋体" w:hAnsi="宋体"/>
          <w:b/>
          <w:bCs/>
          <w:color w:val="auto"/>
          <w:sz w:val="36"/>
          <w:szCs w:val="36"/>
          <w:highlight w:val="none"/>
        </w:rPr>
        <w:t xml:space="preserve"> </w:t>
      </w:r>
      <w:r>
        <w:rPr>
          <w:rFonts w:hint="eastAsia" w:ascii="宋体" w:hAnsi="宋体"/>
          <w:b/>
          <w:bCs/>
          <w:color w:val="auto"/>
          <w:sz w:val="36"/>
          <w:szCs w:val="36"/>
          <w:highlight w:val="none"/>
        </w:rPr>
        <w:t>商务技术文件格式</w:t>
      </w:r>
    </w:p>
    <w:p w14:paraId="39C0FA94">
      <w:pPr>
        <w:snapToGrid w:val="0"/>
        <w:ind w:right="1284"/>
        <w:rPr>
          <w:rFonts w:ascii="宋体" w:hAnsi="宋体" w:cs="¿¬Ìå"/>
          <w:b/>
          <w:color w:val="auto"/>
          <w:sz w:val="32"/>
          <w:szCs w:val="32"/>
          <w:highlight w:val="none"/>
        </w:rPr>
      </w:pPr>
    </w:p>
    <w:p w14:paraId="3404A444">
      <w:pPr>
        <w:snapToGrid w:val="0"/>
        <w:rPr>
          <w:rFonts w:ascii="宋体" w:hAnsi="宋体" w:cs="¿¬Ìå"/>
          <w:b/>
          <w:color w:val="auto"/>
          <w:sz w:val="44"/>
          <w:szCs w:val="44"/>
          <w:highlight w:val="none"/>
        </w:rPr>
      </w:pPr>
    </w:p>
    <w:p w14:paraId="746ABC7D">
      <w:pPr>
        <w:pStyle w:val="16"/>
        <w:rPr>
          <w:rFonts w:ascii="宋体" w:hAnsi="宋体"/>
          <w:color w:val="auto"/>
          <w:highlight w:val="none"/>
        </w:rPr>
      </w:pPr>
    </w:p>
    <w:p w14:paraId="7A5A7C79">
      <w:pPr>
        <w:rPr>
          <w:rFonts w:ascii="宋体" w:hAnsi="宋体"/>
          <w:color w:val="auto"/>
          <w:highlight w:val="none"/>
        </w:rPr>
      </w:pPr>
    </w:p>
    <w:p w14:paraId="05495AA2">
      <w:pPr>
        <w:snapToGrid w:val="0"/>
        <w:rPr>
          <w:rFonts w:ascii="宋体" w:hAnsi="宋体" w:cs="¿¬Ìå"/>
          <w:bCs/>
          <w:color w:val="auto"/>
          <w:sz w:val="44"/>
          <w:szCs w:val="44"/>
          <w:highlight w:val="none"/>
        </w:rPr>
      </w:pPr>
      <w:r>
        <w:rPr>
          <w:rFonts w:hint="eastAsia" w:ascii="宋体" w:hAnsi="宋体" w:cs="¿¬Ìå"/>
          <w:b/>
          <w:color w:val="auto"/>
          <w:sz w:val="44"/>
          <w:szCs w:val="44"/>
          <w:highlight w:val="none"/>
        </w:rPr>
        <w:t xml:space="preserve"> </w:t>
      </w:r>
      <w:r>
        <w:rPr>
          <w:rFonts w:ascii="宋体" w:hAnsi="宋体" w:cs="¿¬Ìå"/>
          <w:b/>
          <w:color w:val="auto"/>
          <w:sz w:val="44"/>
          <w:szCs w:val="44"/>
          <w:highlight w:val="none"/>
        </w:rPr>
        <w:t xml:space="preserve">                              </w:t>
      </w:r>
      <w:r>
        <w:rPr>
          <w:rFonts w:hint="eastAsia" w:ascii="宋体" w:hAnsi="宋体" w:cs="¿¬Ìå"/>
          <w:bCs/>
          <w:color w:val="auto"/>
          <w:sz w:val="36"/>
          <w:szCs w:val="36"/>
          <w:highlight w:val="none"/>
        </w:rPr>
        <w:t>电子响应文件</w:t>
      </w:r>
    </w:p>
    <w:p w14:paraId="72AA000C">
      <w:pPr>
        <w:snapToGrid w:val="0"/>
        <w:rPr>
          <w:rFonts w:ascii="宋体" w:hAnsi="宋体" w:cs="¿¬Ìå"/>
          <w:b/>
          <w:color w:val="auto"/>
          <w:sz w:val="44"/>
          <w:szCs w:val="44"/>
          <w:highlight w:val="none"/>
        </w:rPr>
      </w:pPr>
    </w:p>
    <w:p w14:paraId="26FBE4FD">
      <w:pPr>
        <w:pStyle w:val="16"/>
        <w:rPr>
          <w:rFonts w:ascii="宋体" w:hAnsi="宋体"/>
          <w:color w:val="auto"/>
          <w:highlight w:val="none"/>
        </w:rPr>
      </w:pPr>
    </w:p>
    <w:p w14:paraId="3FF0E0E0">
      <w:pPr>
        <w:rPr>
          <w:rFonts w:ascii="宋体" w:hAnsi="宋体"/>
          <w:color w:val="auto"/>
          <w:highlight w:val="none"/>
        </w:rPr>
      </w:pPr>
    </w:p>
    <w:p w14:paraId="44C75A95">
      <w:pPr>
        <w:rPr>
          <w:rFonts w:ascii="宋体" w:hAnsi="宋体"/>
          <w:color w:val="auto"/>
          <w:highlight w:val="none"/>
        </w:rPr>
      </w:pPr>
    </w:p>
    <w:p w14:paraId="1CCDC2A6">
      <w:pPr>
        <w:snapToGrid w:val="0"/>
        <w:jc w:val="center"/>
        <w:rPr>
          <w:rFonts w:ascii="宋体" w:hAnsi="宋体" w:cs="¿¬Ìå"/>
          <w:b/>
          <w:color w:val="auto"/>
          <w:sz w:val="40"/>
          <w:szCs w:val="40"/>
          <w:highlight w:val="none"/>
        </w:rPr>
      </w:pPr>
      <w:r>
        <w:rPr>
          <w:rFonts w:hint="eastAsia" w:ascii="宋体" w:hAnsi="宋体" w:cs="¿¬Ìå"/>
          <w:bCs/>
          <w:color w:val="auto"/>
          <w:sz w:val="56"/>
          <w:szCs w:val="56"/>
          <w:highlight w:val="none"/>
        </w:rPr>
        <w:t>商务技术文件</w:t>
      </w:r>
    </w:p>
    <w:p w14:paraId="21617CC9">
      <w:pPr>
        <w:rPr>
          <w:rFonts w:ascii="宋体" w:hAnsi="宋体" w:cs="¿¬Ìå"/>
          <w:bCs/>
          <w:color w:val="auto"/>
          <w:sz w:val="30"/>
          <w:szCs w:val="30"/>
          <w:highlight w:val="none"/>
        </w:rPr>
      </w:pPr>
    </w:p>
    <w:p w14:paraId="70C5D877">
      <w:pPr>
        <w:spacing w:after="156" w:afterLines="50"/>
        <w:rPr>
          <w:rFonts w:ascii="宋体" w:hAnsi="宋体" w:cs="¿¬Ìå"/>
          <w:bCs/>
          <w:color w:val="auto"/>
          <w:sz w:val="28"/>
          <w:szCs w:val="28"/>
          <w:highlight w:val="none"/>
        </w:rPr>
      </w:pPr>
    </w:p>
    <w:p w14:paraId="529CCEDB">
      <w:pPr>
        <w:spacing w:after="156" w:afterLines="50" w:line="360" w:lineRule="auto"/>
        <w:ind w:firstLine="560" w:firstLineChars="200"/>
        <w:rPr>
          <w:rFonts w:hint="default" w:ascii="宋体" w:hAnsi="宋体" w:eastAsia="宋体" w:cs="¿¬Ìå"/>
          <w:b w:val="0"/>
          <w:bCs/>
          <w:color w:val="auto"/>
          <w:sz w:val="28"/>
          <w:szCs w:val="28"/>
          <w:highlight w:val="none"/>
          <w:u w:val="single"/>
          <w:lang w:val="en-US" w:eastAsia="zh-CN"/>
        </w:rPr>
      </w:pPr>
      <w:r>
        <w:rPr>
          <w:rFonts w:hint="eastAsia" w:ascii="宋体" w:hAnsi="宋体" w:cs="¿¬Ìå"/>
          <w:b w:val="0"/>
          <w:bCs/>
          <w:color w:val="auto"/>
          <w:sz w:val="28"/>
          <w:szCs w:val="28"/>
          <w:highlight w:val="none"/>
        </w:rPr>
        <w:t>项目名称：</w:t>
      </w:r>
    </w:p>
    <w:p w14:paraId="156077A7">
      <w:pPr>
        <w:spacing w:after="156" w:afterLines="50" w:line="360" w:lineRule="auto"/>
        <w:ind w:firstLine="560" w:firstLineChars="200"/>
        <w:rPr>
          <w:rFonts w:ascii="宋体" w:hAnsi="宋体" w:cs="¿¬Ìå"/>
          <w:b w:val="0"/>
          <w:bCs/>
          <w:color w:val="auto"/>
          <w:sz w:val="28"/>
          <w:szCs w:val="28"/>
          <w:highlight w:val="none"/>
          <w:u w:val="single"/>
        </w:rPr>
      </w:pPr>
      <w:r>
        <w:rPr>
          <w:rFonts w:hint="eastAsia" w:ascii="宋体" w:hAnsi="宋体" w:cs="¿¬Ìå"/>
          <w:b w:val="0"/>
          <w:bCs/>
          <w:color w:val="auto"/>
          <w:sz w:val="28"/>
          <w:szCs w:val="28"/>
          <w:highlight w:val="none"/>
        </w:rPr>
        <w:t>项目编号：</w:t>
      </w:r>
    </w:p>
    <w:p w14:paraId="696F3F91">
      <w:pPr>
        <w:snapToGrid w:val="0"/>
        <w:spacing w:before="156" w:beforeLines="50" w:after="50"/>
        <w:rPr>
          <w:rFonts w:ascii="宋体" w:hAnsi="宋体" w:cs="¿¬Ìå"/>
          <w:bCs/>
          <w:color w:val="auto"/>
          <w:sz w:val="28"/>
          <w:szCs w:val="28"/>
          <w:highlight w:val="none"/>
        </w:rPr>
      </w:pPr>
    </w:p>
    <w:p w14:paraId="2BE028D0">
      <w:pPr>
        <w:snapToGrid w:val="0"/>
        <w:spacing w:before="156" w:beforeLines="50" w:after="50"/>
        <w:rPr>
          <w:rFonts w:ascii="宋体" w:hAnsi="宋体"/>
          <w:color w:val="auto"/>
          <w:sz w:val="28"/>
          <w:szCs w:val="28"/>
          <w:highlight w:val="none"/>
        </w:rPr>
      </w:pPr>
    </w:p>
    <w:p w14:paraId="3A7C75E3">
      <w:pPr>
        <w:snapToGrid w:val="0"/>
        <w:spacing w:before="156" w:beforeLines="50" w:after="50"/>
        <w:rPr>
          <w:rFonts w:ascii="宋体" w:hAnsi="宋体"/>
          <w:color w:val="auto"/>
          <w:sz w:val="28"/>
          <w:szCs w:val="28"/>
          <w:highlight w:val="none"/>
        </w:rPr>
      </w:pPr>
    </w:p>
    <w:p w14:paraId="78D205C7">
      <w:pPr>
        <w:snapToGrid w:val="0"/>
        <w:spacing w:before="156" w:beforeLines="50" w:after="50"/>
        <w:rPr>
          <w:rFonts w:ascii="宋体" w:hAnsi="宋体"/>
          <w:color w:val="auto"/>
          <w:sz w:val="28"/>
          <w:szCs w:val="28"/>
          <w:highlight w:val="none"/>
        </w:rPr>
      </w:pPr>
    </w:p>
    <w:p w14:paraId="1C38BC1B">
      <w:pPr>
        <w:pStyle w:val="17"/>
        <w:spacing w:after="156" w:line="600" w:lineRule="exact"/>
        <w:ind w:firstLine="840" w:firstLineChars="300"/>
        <w:rPr>
          <w:rFonts w:ascii="宋体" w:hAnsi="宋体" w:cs="¿¬Ìå"/>
          <w:bCs/>
          <w:color w:val="auto"/>
          <w:sz w:val="28"/>
          <w:szCs w:val="28"/>
          <w:highlight w:val="none"/>
          <w:u w:val="single"/>
        </w:rPr>
      </w:pPr>
      <w:r>
        <w:rPr>
          <w:rFonts w:hint="eastAsia" w:ascii="宋体" w:hAnsi="宋体" w:cs="¿¬Ìå"/>
          <w:bCs/>
          <w:color w:val="auto"/>
          <w:sz w:val="28"/>
          <w:szCs w:val="28"/>
          <w:highlight w:val="none"/>
        </w:rPr>
        <w:t>供应商 [公章(CA签章)]：</w:t>
      </w:r>
      <w:r>
        <w:rPr>
          <w:rFonts w:hint="eastAsia" w:ascii="宋体" w:hAnsi="宋体" w:cs="¿¬Ìå"/>
          <w:bCs/>
          <w:color w:val="auto"/>
          <w:sz w:val="28"/>
          <w:szCs w:val="28"/>
          <w:highlight w:val="none"/>
          <w:u w:val="single"/>
        </w:rPr>
        <w:t xml:space="preserve">          </w:t>
      </w:r>
      <w:r>
        <w:rPr>
          <w:rFonts w:ascii="宋体" w:hAnsi="宋体" w:cs="¿¬Ìå"/>
          <w:bCs/>
          <w:color w:val="auto"/>
          <w:sz w:val="28"/>
          <w:szCs w:val="28"/>
          <w:highlight w:val="none"/>
          <w:u w:val="single"/>
        </w:rPr>
        <w:t xml:space="preserve">   </w:t>
      </w:r>
      <w:r>
        <w:rPr>
          <w:rFonts w:hint="eastAsia" w:ascii="宋体" w:hAnsi="宋体" w:cs="¿¬Ìå"/>
          <w:bCs/>
          <w:color w:val="auto"/>
          <w:sz w:val="28"/>
          <w:szCs w:val="28"/>
          <w:highlight w:val="none"/>
          <w:u w:val="single"/>
        </w:rPr>
        <w:t xml:space="preserve">       </w:t>
      </w:r>
    </w:p>
    <w:p w14:paraId="3B625556">
      <w:pPr>
        <w:pStyle w:val="18"/>
        <w:ind w:firstLine="400"/>
        <w:rPr>
          <w:rFonts w:ascii="宋体" w:hAnsi="宋体"/>
          <w:color w:val="auto"/>
          <w:sz w:val="20"/>
          <w:szCs w:val="22"/>
          <w:highlight w:val="none"/>
        </w:rPr>
      </w:pPr>
    </w:p>
    <w:p w14:paraId="72F6D143">
      <w:pPr>
        <w:pStyle w:val="17"/>
        <w:spacing w:after="156" w:line="600" w:lineRule="exact"/>
        <w:jc w:val="center"/>
        <w:rPr>
          <w:rFonts w:ascii="宋体" w:hAnsi="宋体" w:cs="¿¬Ìå"/>
          <w:bCs/>
          <w:color w:val="auto"/>
          <w:sz w:val="28"/>
          <w:szCs w:val="28"/>
          <w:highlight w:val="none"/>
        </w:rPr>
      </w:pPr>
      <w:r>
        <w:rPr>
          <w:rFonts w:hint="eastAsia" w:ascii="宋体" w:hAnsi="宋体" w:cs="¿¬Ìå"/>
          <w:bCs/>
          <w:color w:val="auto"/>
          <w:sz w:val="28"/>
          <w:szCs w:val="28"/>
          <w:highlight w:val="none"/>
        </w:rPr>
        <w:t>日期：</w:t>
      </w:r>
      <w:r>
        <w:rPr>
          <w:rFonts w:hint="eastAsia" w:ascii="宋体" w:hAnsi="宋体" w:cs="¿¬Ìå"/>
          <w:bCs/>
          <w:color w:val="auto"/>
          <w:sz w:val="28"/>
          <w:szCs w:val="28"/>
          <w:highlight w:val="none"/>
          <w:u w:val="single"/>
        </w:rPr>
        <w:t xml:space="preserve">    </w:t>
      </w:r>
      <w:r>
        <w:rPr>
          <w:rFonts w:ascii="宋体" w:hAnsi="宋体" w:cs="¿¬Ìå"/>
          <w:bCs/>
          <w:color w:val="auto"/>
          <w:sz w:val="28"/>
          <w:szCs w:val="28"/>
          <w:highlight w:val="none"/>
          <w:u w:val="single"/>
        </w:rPr>
        <w:t xml:space="preserve">   </w:t>
      </w:r>
      <w:r>
        <w:rPr>
          <w:rFonts w:hint="eastAsia" w:ascii="宋体" w:hAnsi="宋体" w:cs="¿¬Ìå"/>
          <w:bCs/>
          <w:color w:val="auto"/>
          <w:sz w:val="28"/>
          <w:szCs w:val="28"/>
          <w:highlight w:val="none"/>
          <w:u w:val="single"/>
        </w:rPr>
        <w:t xml:space="preserve">  </w:t>
      </w:r>
      <w:r>
        <w:rPr>
          <w:rFonts w:hint="eastAsia" w:ascii="宋体" w:hAnsi="宋体" w:cs="¿¬Ìå"/>
          <w:bCs/>
          <w:color w:val="auto"/>
          <w:sz w:val="28"/>
          <w:szCs w:val="28"/>
          <w:highlight w:val="none"/>
        </w:rPr>
        <w:t>年</w:t>
      </w:r>
      <w:r>
        <w:rPr>
          <w:rFonts w:hint="eastAsia" w:ascii="宋体" w:hAnsi="宋体" w:cs="¿¬Ìå"/>
          <w:bCs/>
          <w:color w:val="auto"/>
          <w:sz w:val="28"/>
          <w:szCs w:val="28"/>
          <w:highlight w:val="none"/>
          <w:u w:val="single"/>
        </w:rPr>
        <w:t xml:space="preserve">      </w:t>
      </w:r>
      <w:r>
        <w:rPr>
          <w:rFonts w:hint="eastAsia" w:ascii="宋体" w:hAnsi="宋体" w:cs="¿¬Ìå"/>
          <w:bCs/>
          <w:color w:val="auto"/>
          <w:sz w:val="28"/>
          <w:szCs w:val="28"/>
          <w:highlight w:val="none"/>
        </w:rPr>
        <w:t>月</w:t>
      </w:r>
      <w:r>
        <w:rPr>
          <w:rFonts w:hint="eastAsia" w:ascii="宋体" w:hAnsi="宋体" w:cs="¿¬Ìå"/>
          <w:bCs/>
          <w:color w:val="auto"/>
          <w:sz w:val="28"/>
          <w:szCs w:val="28"/>
          <w:highlight w:val="none"/>
          <w:u w:val="single"/>
        </w:rPr>
        <w:t xml:space="preserve">       </w:t>
      </w:r>
      <w:r>
        <w:rPr>
          <w:rFonts w:hint="eastAsia" w:ascii="宋体" w:hAnsi="宋体" w:cs="¿¬Ìå"/>
          <w:bCs/>
          <w:color w:val="auto"/>
          <w:sz w:val="28"/>
          <w:szCs w:val="28"/>
          <w:highlight w:val="none"/>
        </w:rPr>
        <w:t>日</w:t>
      </w:r>
    </w:p>
    <w:p w14:paraId="746ABFBF">
      <w:pPr>
        <w:pStyle w:val="18"/>
        <w:ind w:firstLine="420"/>
        <w:rPr>
          <w:rFonts w:ascii="宋体" w:hAnsi="宋体"/>
          <w:color w:val="auto"/>
          <w:highlight w:val="none"/>
        </w:rPr>
      </w:pPr>
    </w:p>
    <w:p w14:paraId="7FD74BFE">
      <w:pPr>
        <w:pStyle w:val="18"/>
        <w:ind w:firstLine="420"/>
        <w:rPr>
          <w:rFonts w:ascii="宋体" w:hAnsi="宋体"/>
          <w:color w:val="auto"/>
          <w:highlight w:val="none"/>
        </w:rPr>
      </w:pPr>
    </w:p>
    <w:p w14:paraId="55AC5FE1">
      <w:pPr>
        <w:pStyle w:val="18"/>
        <w:ind w:firstLine="420"/>
        <w:rPr>
          <w:rFonts w:ascii="宋体" w:hAnsi="宋体"/>
          <w:color w:val="auto"/>
          <w:highlight w:val="none"/>
        </w:rPr>
      </w:pPr>
    </w:p>
    <w:p w14:paraId="6E0EA0F8">
      <w:pPr>
        <w:pStyle w:val="18"/>
        <w:ind w:firstLine="420"/>
        <w:rPr>
          <w:rFonts w:ascii="宋体" w:hAnsi="宋体"/>
          <w:color w:val="auto"/>
          <w:highlight w:val="none"/>
        </w:rPr>
      </w:pPr>
    </w:p>
    <w:p w14:paraId="50DA6CFC">
      <w:pPr>
        <w:pStyle w:val="18"/>
        <w:ind w:firstLine="420"/>
        <w:rPr>
          <w:rFonts w:ascii="宋体" w:hAnsi="宋体"/>
          <w:color w:val="auto"/>
          <w:highlight w:val="none"/>
        </w:rPr>
      </w:pPr>
    </w:p>
    <w:p w14:paraId="7ED58856">
      <w:pPr>
        <w:jc w:val="center"/>
        <w:rPr>
          <w:rFonts w:ascii="宋体" w:hAnsi="宋体"/>
          <w:b/>
          <w:color w:val="auto"/>
          <w:sz w:val="32"/>
          <w:szCs w:val="32"/>
          <w:highlight w:val="none"/>
        </w:rPr>
      </w:pPr>
      <w:r>
        <w:rPr>
          <w:rFonts w:hint="eastAsia" w:ascii="宋体" w:hAnsi="宋体"/>
          <w:b/>
          <w:color w:val="auto"/>
          <w:sz w:val="32"/>
          <w:szCs w:val="32"/>
          <w:highlight w:val="none"/>
        </w:rPr>
        <w:t>商务技术文件</w:t>
      </w:r>
      <w:r>
        <w:rPr>
          <w:rFonts w:ascii="宋体" w:hAnsi="宋体"/>
          <w:b/>
          <w:color w:val="auto"/>
          <w:sz w:val="32"/>
          <w:szCs w:val="32"/>
          <w:highlight w:val="none"/>
        </w:rPr>
        <w:t>目录</w:t>
      </w:r>
    </w:p>
    <w:p w14:paraId="1A668AF8">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 xml:space="preserve">无串通竞标行为的承诺函 </w:t>
      </w:r>
    </w:p>
    <w:p w14:paraId="7A93FEAD">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8"/>
          <w:highlight w:val="none"/>
        </w:rPr>
        <w:t>法定代表人（负责人）身份证明原件，附：法定代表人（负责人）二代居民身份证复印件</w:t>
      </w:r>
    </w:p>
    <w:p w14:paraId="6C7ECE4A">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8"/>
          <w:highlight w:val="none"/>
        </w:rPr>
        <w:t>法定代表人（负责人）授权委托书原件，附：委托代理人二代居民身份证复印件</w:t>
      </w:r>
      <w:r>
        <w:rPr>
          <w:rFonts w:hint="eastAsia" w:ascii="宋体" w:hAnsi="宋体" w:eastAsia="宋体" w:cs="宋体"/>
          <w:b w:val="0"/>
          <w:bCs w:val="0"/>
          <w:color w:val="auto"/>
          <w:sz w:val="24"/>
          <w:szCs w:val="24"/>
          <w:highlight w:val="none"/>
        </w:rPr>
        <w:t>（委托代理时必须提供）</w:t>
      </w:r>
    </w:p>
    <w:p w14:paraId="12DABA9C">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《项目采购需求》响应表</w:t>
      </w:r>
    </w:p>
    <w:p w14:paraId="6E633750">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项目服务方案</w:t>
      </w:r>
    </w:p>
    <w:p w14:paraId="05EF335D">
      <w:pPr>
        <w:tabs>
          <w:tab w:val="left" w:pos="1305"/>
        </w:tabs>
        <w:spacing w:line="4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、拟投入项目人员一览表</w:t>
      </w:r>
    </w:p>
    <w:p w14:paraId="3F112C70">
      <w:pPr>
        <w:tabs>
          <w:tab w:val="left" w:pos="1305"/>
        </w:tabs>
        <w:spacing w:line="420" w:lineRule="exact"/>
        <w:ind w:firstLine="480" w:firstLineChars="20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供磋商供应商完成过同类或类似项目业绩的相关证明材料</w:t>
      </w:r>
    </w:p>
    <w:p w14:paraId="7C74244A">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供应商可结合本项目的评标办法视自身情况自行提交相关证明材料</w:t>
      </w:r>
    </w:p>
    <w:p w14:paraId="0537847C">
      <w:pPr>
        <w:widowControl/>
        <w:jc w:val="left"/>
        <w:rPr>
          <w:rFonts w:ascii="宋体" w:hAnsi="宋体"/>
          <w:color w:val="auto"/>
          <w:kern w:val="0"/>
          <w:sz w:val="40"/>
          <w:szCs w:val="36"/>
          <w:highlight w:val="none"/>
        </w:rPr>
      </w:pPr>
      <w:r>
        <w:rPr>
          <w:rFonts w:hAnsi="宋体"/>
          <w:color w:val="auto"/>
          <w:sz w:val="40"/>
          <w:szCs w:val="36"/>
          <w:highlight w:val="none"/>
        </w:rPr>
        <w:br w:type="page"/>
      </w:r>
    </w:p>
    <w:p w14:paraId="4E61060E">
      <w:pPr>
        <w:tabs>
          <w:tab w:val="left" w:pos="1305"/>
        </w:tabs>
        <w:spacing w:before="156" w:beforeLines="50" w:after="156" w:afterLines="50" w:line="520" w:lineRule="exact"/>
        <w:jc w:val="center"/>
        <w:rPr>
          <w:rFonts w:ascii="宋体" w:hAnsi="宋体"/>
          <w:b/>
          <w:color w:val="auto"/>
          <w:sz w:val="24"/>
          <w:highlight w:val="none"/>
        </w:rPr>
      </w:pPr>
      <w:r>
        <w:rPr>
          <w:rFonts w:hint="eastAsia" w:ascii="宋体" w:hAnsi="宋体"/>
          <w:b/>
          <w:color w:val="auto"/>
          <w:sz w:val="28"/>
          <w:szCs w:val="28"/>
          <w:highlight w:val="none"/>
        </w:rPr>
        <w:t>一、</w:t>
      </w:r>
      <w:r>
        <w:rPr>
          <w:rFonts w:ascii="宋体" w:hAnsi="宋体"/>
          <w:b/>
          <w:color w:val="auto"/>
          <w:sz w:val="28"/>
          <w:szCs w:val="28"/>
          <w:highlight w:val="none"/>
        </w:rPr>
        <w:t>无串通竞标行为的承诺函</w:t>
      </w:r>
    </w:p>
    <w:p w14:paraId="375D5E8F">
      <w:pPr>
        <w:spacing w:before="156" w:beforeLines="50" w:after="156" w:afterLines="50" w:line="520" w:lineRule="exact"/>
        <w:jc w:val="center"/>
        <w:rPr>
          <w:rFonts w:ascii="宋体" w:hAnsi="宋体"/>
          <w:b/>
          <w:bCs/>
          <w:color w:val="auto"/>
          <w:sz w:val="24"/>
          <w:szCs w:val="24"/>
          <w:highlight w:val="none"/>
        </w:rPr>
      </w:pPr>
      <w:r>
        <w:rPr>
          <w:rFonts w:hint="eastAsia" w:ascii="宋体" w:hAnsi="宋体" w:cs="微软雅黑"/>
          <w:b/>
          <w:bCs/>
          <w:color w:val="auto"/>
          <w:sz w:val="24"/>
          <w:szCs w:val="24"/>
          <w:highlight w:val="none"/>
        </w:rPr>
        <w:t>无串通竞标行为的承诺函</w:t>
      </w:r>
    </w:p>
    <w:p w14:paraId="2237479C">
      <w:pPr>
        <w:spacing w:line="460" w:lineRule="exact"/>
        <w:ind w:firstLine="422" w:firstLineChars="200"/>
        <w:contextualSpacing/>
        <w:rPr>
          <w:rFonts w:ascii="宋体" w:hAnsi="宋体"/>
          <w:b/>
          <w:bCs/>
          <w:color w:val="auto"/>
          <w:sz w:val="21"/>
          <w:szCs w:val="21"/>
          <w:highlight w:val="none"/>
        </w:rPr>
      </w:pPr>
      <w:r>
        <w:rPr>
          <w:rFonts w:hint="eastAsia" w:ascii="宋体" w:hAnsi="宋体"/>
          <w:b/>
          <w:bCs/>
          <w:color w:val="auto"/>
          <w:sz w:val="21"/>
          <w:szCs w:val="21"/>
          <w:highlight w:val="none"/>
        </w:rPr>
        <w:t>一、我方承诺无下列相互串通竞标的情形：</w:t>
      </w:r>
    </w:p>
    <w:p w14:paraId="1FBBD196">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 xml:space="preserve">1.不同供应商的响应文件由同一单位或者个人编制； </w:t>
      </w:r>
    </w:p>
    <w:p w14:paraId="664EBEDF">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2.不同供应商委托同一单位或者个人办理竞标事宜；</w:t>
      </w:r>
    </w:p>
    <w:p w14:paraId="7E8DA5EE">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3.不同供应商的响应文件载明的项目管理员为同一个人；</w:t>
      </w:r>
    </w:p>
    <w:p w14:paraId="0E7635DB">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4.不</w:t>
      </w:r>
      <w:r>
        <w:rPr>
          <w:rFonts w:hint="eastAsia" w:ascii="宋体" w:hAnsi="宋体"/>
          <w:color w:val="auto"/>
          <w:spacing w:val="-6"/>
          <w:sz w:val="21"/>
          <w:szCs w:val="21"/>
          <w:highlight w:val="none"/>
        </w:rPr>
        <w:t>同供应商的响应文件异常一致或者竞标报价呈规律性差异；</w:t>
      </w:r>
    </w:p>
    <w:p w14:paraId="65909B8C">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5.不同供应商的响应文件相互混装；</w:t>
      </w:r>
    </w:p>
    <w:p w14:paraId="03D185F7">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6.不同供应商的磋商保证金从同一单位或者个人账户转出。</w:t>
      </w:r>
    </w:p>
    <w:p w14:paraId="0CEC9FF4">
      <w:pPr>
        <w:spacing w:line="460" w:lineRule="exact"/>
        <w:ind w:firstLine="422" w:firstLineChars="200"/>
        <w:contextualSpacing/>
        <w:rPr>
          <w:rFonts w:ascii="宋体" w:hAnsi="宋体"/>
          <w:b/>
          <w:bCs/>
          <w:color w:val="auto"/>
          <w:sz w:val="21"/>
          <w:szCs w:val="21"/>
          <w:highlight w:val="none"/>
        </w:rPr>
      </w:pPr>
      <w:r>
        <w:rPr>
          <w:rFonts w:hint="eastAsia" w:ascii="宋体" w:hAnsi="宋体"/>
          <w:b/>
          <w:bCs/>
          <w:color w:val="auto"/>
          <w:sz w:val="21"/>
          <w:szCs w:val="21"/>
          <w:highlight w:val="none"/>
        </w:rPr>
        <w:t>二、我方承诺无下列恶意串通的情形：</w:t>
      </w:r>
    </w:p>
    <w:p w14:paraId="43243C7B">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1.供应商直接或者间接从采购人或者采购代理机构处获得其他供应商的相关信息并修改其响应文件；</w:t>
      </w:r>
    </w:p>
    <w:p w14:paraId="237B0218">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2.供应商按照采购人或者采购代理机构的授意撤换、修改响应文件；</w:t>
      </w:r>
    </w:p>
    <w:p w14:paraId="6B7F670A">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3.供</w:t>
      </w:r>
      <w:r>
        <w:rPr>
          <w:rFonts w:hint="eastAsia" w:ascii="宋体" w:hAnsi="宋体"/>
          <w:color w:val="auto"/>
          <w:spacing w:val="-6"/>
          <w:sz w:val="21"/>
          <w:szCs w:val="21"/>
          <w:highlight w:val="none"/>
        </w:rPr>
        <w:t>应商之间协商报价、技术方案等响应文件的实质性内容；</w:t>
      </w:r>
    </w:p>
    <w:p w14:paraId="1BB134BF">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4.属于同一集团、协会、商会等组织成员的供应商按照该组织要求协同参加政府采购活动；</w:t>
      </w:r>
    </w:p>
    <w:p w14:paraId="4FF1064D">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3150C6C1">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6.供应商之间商定部分供应商放弃参加政府采购活动或者放弃成交；</w:t>
      </w:r>
    </w:p>
    <w:p w14:paraId="13C36EB1">
      <w:pPr>
        <w:spacing w:line="460" w:lineRule="exact"/>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7.供应商与采购人或者采购代理机构之间、供应商相互之间，为</w:t>
      </w:r>
      <w:r>
        <w:rPr>
          <w:rFonts w:hint="eastAsia" w:ascii="宋体" w:hAnsi="宋体"/>
          <w:color w:val="auto"/>
          <w:spacing w:val="-6"/>
          <w:sz w:val="21"/>
          <w:szCs w:val="21"/>
          <w:highlight w:val="none"/>
        </w:rPr>
        <w:t>谋求特定供应商成交或者排斥其他供应商的其他串通行为。</w:t>
      </w:r>
    </w:p>
    <w:p w14:paraId="264F61F0">
      <w:pPr>
        <w:spacing w:line="460" w:lineRule="exact"/>
        <w:ind w:firstLine="420" w:firstLineChars="200"/>
        <w:contextualSpacing/>
        <w:rPr>
          <w:rFonts w:ascii="宋体" w:hAnsi="宋体"/>
          <w:color w:val="auto"/>
          <w:sz w:val="21"/>
          <w:szCs w:val="21"/>
          <w:highlight w:val="none"/>
        </w:rPr>
      </w:pPr>
    </w:p>
    <w:p w14:paraId="12E821A7">
      <w:pPr>
        <w:spacing w:line="460" w:lineRule="exact"/>
        <w:ind w:firstLine="422" w:firstLineChars="200"/>
        <w:contextualSpacing/>
        <w:rPr>
          <w:rFonts w:ascii="宋体" w:hAnsi="宋体"/>
          <w:b/>
          <w:bCs/>
          <w:color w:val="auto"/>
          <w:sz w:val="21"/>
          <w:szCs w:val="21"/>
          <w:highlight w:val="none"/>
        </w:rPr>
      </w:pPr>
      <w:r>
        <w:rPr>
          <w:rFonts w:hint="eastAsia" w:ascii="宋体" w:hAnsi="宋体"/>
          <w:b/>
          <w:bCs/>
          <w:color w:val="auto"/>
          <w:sz w:val="21"/>
          <w:szCs w:val="21"/>
          <w:highlight w:val="none"/>
        </w:rPr>
        <w:t>以上情形一经核查属实，我方愿意承担一切后果，并不再寻求任何旨在减轻或者免除法律责任的辩解。</w:t>
      </w:r>
    </w:p>
    <w:p w14:paraId="01EC918D">
      <w:pPr>
        <w:pStyle w:val="16"/>
        <w:rPr>
          <w:rFonts w:ascii="宋体" w:hAnsi="宋体"/>
          <w:color w:val="auto"/>
          <w:highlight w:val="none"/>
        </w:rPr>
      </w:pPr>
    </w:p>
    <w:p w14:paraId="45D31DE6">
      <w:pPr>
        <w:pStyle w:val="22"/>
        <w:spacing w:after="156" w:line="500" w:lineRule="exact"/>
        <w:ind w:firstLine="2100" w:firstLineChars="1000"/>
        <w:rPr>
          <w:rFonts w:hAnsi="宋体"/>
          <w:color w:val="auto"/>
          <w:sz w:val="21"/>
          <w:szCs w:val="21"/>
          <w:highlight w:val="none"/>
          <w:u w:val="single"/>
        </w:rPr>
      </w:pPr>
      <w:r>
        <w:rPr>
          <w:rFonts w:hint="eastAsia" w:hAnsi="宋体"/>
          <w:color w:val="auto"/>
          <w:sz w:val="21"/>
          <w:szCs w:val="21"/>
          <w:highlight w:val="none"/>
        </w:rPr>
        <w:t>供应商</w:t>
      </w:r>
      <w:r>
        <w:rPr>
          <w:rFonts w:hint="eastAsia" w:hAnsi="宋体" w:cs="宋体"/>
          <w:color w:val="auto"/>
          <w:sz w:val="21"/>
          <w:szCs w:val="21"/>
          <w:highlight w:val="none"/>
        </w:rPr>
        <w:t>（</w:t>
      </w:r>
      <w:r>
        <w:rPr>
          <w:rFonts w:hint="eastAsia" w:hAnsi="宋体"/>
          <w:color w:val="auto"/>
          <w:sz w:val="21"/>
          <w:szCs w:val="21"/>
          <w:highlight w:val="none"/>
        </w:rPr>
        <w:t>CA证书签章</w:t>
      </w:r>
      <w:r>
        <w:rPr>
          <w:rFonts w:hint="eastAsia" w:hAnsi="宋体" w:cs="宋体"/>
          <w:color w:val="auto"/>
          <w:sz w:val="21"/>
          <w:szCs w:val="21"/>
          <w:highlight w:val="none"/>
        </w:rPr>
        <w:t>）</w:t>
      </w:r>
      <w:r>
        <w:rPr>
          <w:rFonts w:hint="eastAsia" w:hAnsi="宋体"/>
          <w:color w:val="auto"/>
          <w:sz w:val="21"/>
          <w:szCs w:val="21"/>
          <w:highlight w:val="none"/>
        </w:rPr>
        <w:t>：</w:t>
      </w:r>
      <w:r>
        <w:rPr>
          <w:rFonts w:hint="eastAsia" w:hAnsi="宋体"/>
          <w:color w:val="auto"/>
          <w:sz w:val="21"/>
          <w:szCs w:val="21"/>
          <w:highlight w:val="none"/>
          <w:u w:val="single"/>
        </w:rPr>
        <w:t xml:space="preserve">                           </w:t>
      </w:r>
    </w:p>
    <w:p w14:paraId="76D6BB10">
      <w:pPr>
        <w:pStyle w:val="22"/>
        <w:spacing w:after="156" w:line="500" w:lineRule="exact"/>
        <w:ind w:firstLine="2100" w:firstLineChars="1000"/>
        <w:rPr>
          <w:rFonts w:hAnsi="宋体"/>
          <w:color w:val="auto"/>
          <w:sz w:val="21"/>
          <w:szCs w:val="21"/>
          <w:highlight w:val="none"/>
        </w:rPr>
      </w:pPr>
      <w:r>
        <w:rPr>
          <w:rFonts w:hint="eastAsia" w:hAnsi="宋体"/>
          <w:color w:val="auto"/>
          <w:sz w:val="21"/>
          <w:szCs w:val="21"/>
          <w:highlight w:val="none"/>
        </w:rPr>
        <w:t>日期：</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日</w:t>
      </w:r>
    </w:p>
    <w:p w14:paraId="2271658A">
      <w:pPr>
        <w:tabs>
          <w:tab w:val="left" w:pos="1305"/>
        </w:tabs>
        <w:spacing w:line="460" w:lineRule="exact"/>
        <w:jc w:val="center"/>
        <w:rPr>
          <w:rFonts w:ascii="宋体" w:hAnsi="宋体"/>
          <w:b/>
          <w:color w:val="auto"/>
          <w:sz w:val="24"/>
          <w:highlight w:val="none"/>
        </w:rPr>
      </w:pPr>
    </w:p>
    <w:p w14:paraId="4F012767">
      <w:pPr>
        <w:tabs>
          <w:tab w:val="left" w:pos="1305"/>
        </w:tabs>
        <w:spacing w:line="460" w:lineRule="exact"/>
        <w:jc w:val="center"/>
        <w:rPr>
          <w:rFonts w:ascii="宋体" w:hAnsi="宋体"/>
          <w:b/>
          <w:color w:val="auto"/>
          <w:sz w:val="24"/>
          <w:highlight w:val="none"/>
        </w:rPr>
      </w:pPr>
    </w:p>
    <w:p w14:paraId="48EAF113">
      <w:pPr>
        <w:tabs>
          <w:tab w:val="left" w:pos="1305"/>
        </w:tabs>
        <w:spacing w:before="156" w:beforeLines="50" w:after="156" w:afterLines="50" w:line="520" w:lineRule="exact"/>
        <w:jc w:val="center"/>
        <w:rPr>
          <w:rFonts w:ascii="宋体" w:hAnsi="宋体"/>
          <w:b/>
          <w:color w:val="auto"/>
          <w:sz w:val="28"/>
          <w:szCs w:val="28"/>
          <w:highlight w:val="none"/>
        </w:rPr>
      </w:pPr>
      <w:r>
        <w:rPr>
          <w:rFonts w:hint="eastAsia" w:ascii="宋体" w:hAnsi="宋体"/>
          <w:b/>
          <w:color w:val="auto"/>
          <w:sz w:val="28"/>
          <w:szCs w:val="28"/>
          <w:highlight w:val="none"/>
        </w:rPr>
        <w:t>二、法定代表人（负责人）身份证明</w:t>
      </w:r>
    </w:p>
    <w:p w14:paraId="481F40DF">
      <w:pPr>
        <w:spacing w:line="480" w:lineRule="auto"/>
        <w:ind w:firstLine="602" w:firstLineChars="250"/>
        <w:jc w:val="center"/>
        <w:rPr>
          <w:rFonts w:hint="eastAsia" w:hAnsi="宋体"/>
          <w:b/>
          <w:color w:val="auto"/>
          <w:kern w:val="2"/>
          <w:sz w:val="24"/>
          <w:szCs w:val="24"/>
          <w:highlight w:val="none"/>
        </w:rPr>
      </w:pPr>
      <w:r>
        <w:rPr>
          <w:rFonts w:hint="eastAsia" w:ascii="宋体" w:hAnsi="宋体"/>
          <w:b/>
          <w:color w:val="auto"/>
          <w:sz w:val="24"/>
          <w:szCs w:val="24"/>
          <w:highlight w:val="none"/>
        </w:rPr>
        <w:t>法定代表人（负责人）身份证明</w:t>
      </w:r>
    </w:p>
    <w:p w14:paraId="24DC7808">
      <w:pPr>
        <w:spacing w:line="560" w:lineRule="exact"/>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 应 商：</w:t>
      </w:r>
      <w:r>
        <w:rPr>
          <w:rFonts w:hint="eastAsia" w:ascii="宋体" w:hAnsi="宋体" w:eastAsia="宋体" w:cs="宋体"/>
          <w:color w:val="auto"/>
          <w:kern w:val="2"/>
          <w:sz w:val="21"/>
          <w:szCs w:val="21"/>
          <w:highlight w:val="none"/>
          <w:u w:val="single"/>
        </w:rPr>
        <w:t xml:space="preserve">                                                        </w:t>
      </w:r>
    </w:p>
    <w:p w14:paraId="493BD4DF">
      <w:pPr>
        <w:spacing w:line="560" w:lineRule="exact"/>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单位性质：</w:t>
      </w:r>
      <w:r>
        <w:rPr>
          <w:rFonts w:hint="eastAsia" w:ascii="宋体" w:hAnsi="宋体" w:eastAsia="宋体" w:cs="宋体"/>
          <w:color w:val="auto"/>
          <w:kern w:val="2"/>
          <w:sz w:val="21"/>
          <w:szCs w:val="21"/>
          <w:highlight w:val="none"/>
          <w:u w:val="single"/>
        </w:rPr>
        <w:t xml:space="preserve">                                                        </w:t>
      </w:r>
    </w:p>
    <w:p w14:paraId="39FBDD62">
      <w:pPr>
        <w:spacing w:line="560" w:lineRule="exact"/>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p>
    <w:p w14:paraId="2A44FCCD">
      <w:pPr>
        <w:spacing w:line="560" w:lineRule="exact"/>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成立时间：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p w14:paraId="5CB13FA9">
      <w:pPr>
        <w:spacing w:line="560" w:lineRule="exact"/>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经营期限：</w:t>
      </w:r>
      <w:r>
        <w:rPr>
          <w:rFonts w:hint="eastAsia" w:ascii="宋体" w:hAnsi="宋体" w:eastAsia="宋体" w:cs="宋体"/>
          <w:color w:val="auto"/>
          <w:kern w:val="2"/>
          <w:sz w:val="21"/>
          <w:szCs w:val="21"/>
          <w:highlight w:val="none"/>
          <w:u w:val="single"/>
        </w:rPr>
        <w:t xml:space="preserve">                                                        </w:t>
      </w:r>
    </w:p>
    <w:p w14:paraId="20D20A39">
      <w:pPr>
        <w:spacing w:line="560" w:lineRule="exact"/>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    名：</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性     别：</w:t>
      </w:r>
      <w:r>
        <w:rPr>
          <w:rFonts w:hint="eastAsia" w:ascii="宋体" w:hAnsi="宋体" w:eastAsia="宋体" w:cs="宋体"/>
          <w:color w:val="auto"/>
          <w:kern w:val="2"/>
          <w:sz w:val="21"/>
          <w:szCs w:val="21"/>
          <w:highlight w:val="none"/>
          <w:u w:val="single"/>
        </w:rPr>
        <w:t xml:space="preserve">                   </w:t>
      </w:r>
    </w:p>
    <w:p w14:paraId="0A7526BE">
      <w:pPr>
        <w:spacing w:line="560" w:lineRule="exact"/>
        <w:ind w:firstLine="525" w:firstLineChars="250"/>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年    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职     务：</w:t>
      </w:r>
      <w:r>
        <w:rPr>
          <w:rFonts w:hint="eastAsia" w:ascii="宋体" w:hAnsi="宋体" w:eastAsia="宋体" w:cs="宋体"/>
          <w:color w:val="auto"/>
          <w:kern w:val="2"/>
          <w:sz w:val="21"/>
          <w:szCs w:val="21"/>
          <w:highlight w:val="none"/>
          <w:u w:val="single"/>
        </w:rPr>
        <w:t xml:space="preserve">                   </w:t>
      </w:r>
    </w:p>
    <w:p w14:paraId="20A5A0E6">
      <w:pPr>
        <w:spacing w:line="560" w:lineRule="exact"/>
        <w:ind w:firstLine="525" w:firstLineChars="250"/>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身份证号：</w:t>
      </w:r>
      <w:r>
        <w:rPr>
          <w:rFonts w:hint="eastAsia" w:ascii="宋体" w:hAnsi="宋体" w:eastAsia="宋体" w:cs="宋体"/>
          <w:color w:val="auto"/>
          <w:kern w:val="2"/>
          <w:sz w:val="21"/>
          <w:szCs w:val="21"/>
          <w:highlight w:val="none"/>
          <w:u w:val="single"/>
        </w:rPr>
        <w:t xml:space="preserve">                           </w:t>
      </w:r>
    </w:p>
    <w:p w14:paraId="345AFECB">
      <w:pPr>
        <w:spacing w:line="560" w:lineRule="exact"/>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系</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（供应商名称）的法定代表人（负责人）。</w:t>
      </w:r>
    </w:p>
    <w:p w14:paraId="26F6DEC6">
      <w:pPr>
        <w:spacing w:line="560" w:lineRule="exact"/>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特此证明。</w:t>
      </w:r>
    </w:p>
    <w:p w14:paraId="7DA3377B">
      <w:pPr>
        <w:spacing w:line="500" w:lineRule="exact"/>
        <w:rPr>
          <w:rFonts w:hint="eastAsia" w:ascii="宋体" w:hAnsi="宋体" w:eastAsia="宋体" w:cs="宋体"/>
          <w:color w:val="auto"/>
          <w:kern w:val="2"/>
          <w:sz w:val="21"/>
          <w:szCs w:val="21"/>
          <w:highlight w:val="none"/>
        </w:rPr>
      </w:pPr>
    </w:p>
    <w:p w14:paraId="5A16F7FE">
      <w:pPr>
        <w:spacing w:line="500" w:lineRule="exact"/>
        <w:rPr>
          <w:rFonts w:hint="eastAsia" w:ascii="宋体" w:hAnsi="宋体" w:eastAsia="宋体" w:cs="宋体"/>
          <w:color w:val="auto"/>
          <w:kern w:val="2"/>
          <w:sz w:val="21"/>
          <w:szCs w:val="21"/>
          <w:highlight w:val="none"/>
        </w:rPr>
      </w:pPr>
    </w:p>
    <w:p w14:paraId="11F8ADFD">
      <w:pPr>
        <w:wordWrap w:val="0"/>
        <w:spacing w:line="500" w:lineRule="exact"/>
        <w:jc w:val="righ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供应商（CA证书签章）：</w:t>
      </w:r>
      <w:r>
        <w:rPr>
          <w:rFonts w:hint="eastAsia" w:ascii="宋体" w:hAnsi="宋体" w:eastAsia="宋体" w:cs="宋体"/>
          <w:color w:val="auto"/>
          <w:kern w:val="2"/>
          <w:sz w:val="21"/>
          <w:szCs w:val="21"/>
          <w:highlight w:val="none"/>
          <w:u w:val="single"/>
        </w:rPr>
        <w:t xml:space="preserve">                          </w:t>
      </w:r>
    </w:p>
    <w:p w14:paraId="5EE5C8E2">
      <w:pPr>
        <w:wordWrap w:val="0"/>
        <w:spacing w:line="500" w:lineRule="exact"/>
        <w:jc w:val="righ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p w14:paraId="16FF5EFC">
      <w:pPr>
        <w:widowControl/>
        <w:jc w:val="left"/>
        <w:rPr>
          <w:rFonts w:hint="eastAsia" w:ascii="宋体" w:hAnsi="宋体" w:eastAsia="宋体" w:cs="宋体"/>
          <w:color w:val="auto"/>
          <w:sz w:val="21"/>
          <w:szCs w:val="21"/>
          <w:highlight w:val="none"/>
        </w:rPr>
      </w:pPr>
    </w:p>
    <w:p w14:paraId="2C00004B">
      <w:pPr>
        <w:widowControl/>
        <w:jc w:val="left"/>
        <w:rPr>
          <w:rFonts w:hint="eastAsia" w:ascii="宋体" w:hAnsi="宋体" w:eastAsia="宋体" w:cs="宋体"/>
          <w:color w:val="auto"/>
          <w:sz w:val="21"/>
          <w:szCs w:val="21"/>
          <w:highlight w:val="none"/>
        </w:rPr>
      </w:pPr>
    </w:p>
    <w:p w14:paraId="12B2FBE6">
      <w:pPr>
        <w:widowControl/>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附：加盖供应商单位公章的法定代表人（负责人）二代居民身份证复印件。</w:t>
      </w:r>
    </w:p>
    <w:p w14:paraId="5241E1C3">
      <w:pPr>
        <w:tabs>
          <w:tab w:val="left" w:pos="1305"/>
        </w:tabs>
        <w:spacing w:before="156" w:beforeLines="50" w:after="156" w:afterLines="50" w:line="520" w:lineRule="exact"/>
        <w:jc w:val="center"/>
        <w:rPr>
          <w:rFonts w:hint="eastAsia" w:ascii="宋体" w:hAnsi="宋体"/>
          <w:b/>
          <w:color w:val="auto"/>
          <w:sz w:val="28"/>
          <w:szCs w:val="28"/>
          <w:highlight w:val="none"/>
        </w:rPr>
      </w:pPr>
    </w:p>
    <w:p w14:paraId="0D850C5C">
      <w:pPr>
        <w:tabs>
          <w:tab w:val="left" w:pos="1305"/>
        </w:tabs>
        <w:spacing w:before="156" w:beforeLines="50" w:after="156" w:afterLines="50" w:line="520" w:lineRule="exact"/>
        <w:jc w:val="center"/>
        <w:rPr>
          <w:rFonts w:hint="eastAsia" w:ascii="宋体" w:hAnsi="宋体"/>
          <w:b/>
          <w:color w:val="auto"/>
          <w:sz w:val="28"/>
          <w:szCs w:val="28"/>
          <w:highlight w:val="none"/>
        </w:rPr>
      </w:pPr>
    </w:p>
    <w:p w14:paraId="61221C4C">
      <w:pPr>
        <w:pStyle w:val="5"/>
        <w:numPr>
          <w:ilvl w:val="3"/>
          <w:numId w:val="0"/>
        </w:numPr>
        <w:rPr>
          <w:rFonts w:hint="eastAsia"/>
          <w:color w:val="auto"/>
          <w:highlight w:val="none"/>
        </w:rPr>
      </w:pPr>
    </w:p>
    <w:p w14:paraId="34AE9942">
      <w:pPr>
        <w:rPr>
          <w:rFonts w:hint="eastAsia"/>
          <w:color w:val="auto"/>
          <w:highlight w:val="none"/>
        </w:rPr>
      </w:pPr>
    </w:p>
    <w:p w14:paraId="3DDEA53B">
      <w:pPr>
        <w:rPr>
          <w:rFonts w:hint="eastAsia"/>
          <w:color w:val="auto"/>
          <w:highlight w:val="none"/>
        </w:rPr>
      </w:pPr>
    </w:p>
    <w:p w14:paraId="75C7A12C">
      <w:pPr>
        <w:tabs>
          <w:tab w:val="left" w:pos="1305"/>
        </w:tabs>
        <w:spacing w:before="156" w:beforeLines="50" w:after="156" w:afterLines="50" w:line="520" w:lineRule="exact"/>
        <w:jc w:val="center"/>
        <w:rPr>
          <w:rFonts w:hint="eastAsia" w:ascii="宋体" w:hAnsi="宋体"/>
          <w:b/>
          <w:color w:val="auto"/>
          <w:sz w:val="28"/>
          <w:szCs w:val="28"/>
          <w:highlight w:val="none"/>
        </w:rPr>
      </w:pPr>
    </w:p>
    <w:p w14:paraId="292DF5FF">
      <w:pPr>
        <w:tabs>
          <w:tab w:val="left" w:pos="1305"/>
        </w:tabs>
        <w:spacing w:before="156" w:beforeLines="50" w:after="156" w:afterLines="50" w:line="5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三、法定代表人（负责人）授权委托书</w:t>
      </w:r>
    </w:p>
    <w:p w14:paraId="1B90F692">
      <w:pPr>
        <w:tabs>
          <w:tab w:val="left" w:pos="1305"/>
        </w:tabs>
        <w:spacing w:before="156" w:beforeLines="50" w:after="156" w:afterLines="50" w:line="520" w:lineRule="exact"/>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法定代表人（负责人）授权委托书</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如有委托时</w:t>
      </w:r>
      <w:r>
        <w:rPr>
          <w:rFonts w:hint="eastAsia" w:ascii="宋体" w:hAnsi="宋体"/>
          <w:b/>
          <w:color w:val="auto"/>
          <w:sz w:val="24"/>
          <w:szCs w:val="24"/>
          <w:highlight w:val="none"/>
          <w:lang w:eastAsia="zh-CN"/>
        </w:rPr>
        <w:t>）</w:t>
      </w:r>
    </w:p>
    <w:p w14:paraId="00DC4C92">
      <w:pPr>
        <w:snapToGrid w:val="0"/>
        <w:spacing w:line="460" w:lineRule="exact"/>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 xml:space="preserve">（采购人名称）  </w:t>
      </w:r>
    </w:p>
    <w:p w14:paraId="2471A575">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我 </w:t>
      </w:r>
      <w:r>
        <w:rPr>
          <w:rFonts w:hint="eastAsia" w:ascii="宋体" w:hAnsi="宋体"/>
          <w:color w:val="auto"/>
          <w:szCs w:val="21"/>
          <w:highlight w:val="none"/>
          <w:u w:val="single"/>
        </w:rPr>
        <w:t xml:space="preserve"> （姓名）  </w:t>
      </w:r>
      <w:r>
        <w:rPr>
          <w:rFonts w:hint="eastAsia" w:ascii="宋体" w:hAnsi="宋体"/>
          <w:color w:val="auto"/>
          <w:szCs w:val="21"/>
          <w:highlight w:val="none"/>
        </w:rPr>
        <w:t>系</w:t>
      </w:r>
      <w:r>
        <w:rPr>
          <w:rFonts w:hint="eastAsia" w:ascii="宋体" w:hAnsi="宋体"/>
          <w:color w:val="auto"/>
          <w:szCs w:val="21"/>
          <w:highlight w:val="none"/>
          <w:u w:val="single"/>
        </w:rPr>
        <w:t xml:space="preserve">   （供应商名称） </w:t>
      </w:r>
      <w:r>
        <w:rPr>
          <w:rFonts w:hint="eastAsia" w:ascii="宋体" w:hAnsi="宋体"/>
          <w:color w:val="auto"/>
          <w:szCs w:val="21"/>
          <w:highlight w:val="none"/>
        </w:rPr>
        <w:t xml:space="preserve"> 的法定代表人，现授权委托本单位在职职工</w:t>
      </w:r>
      <w:r>
        <w:rPr>
          <w:rFonts w:hint="eastAsia" w:ascii="宋体" w:hAnsi="宋体"/>
          <w:color w:val="auto"/>
          <w:szCs w:val="21"/>
          <w:highlight w:val="none"/>
          <w:u w:val="single"/>
        </w:rPr>
        <w:t xml:space="preserve">  （姓名及身份证号码）  </w:t>
      </w:r>
      <w:r>
        <w:rPr>
          <w:rFonts w:hint="eastAsia" w:ascii="宋体" w:hAnsi="宋体"/>
          <w:color w:val="auto"/>
          <w:szCs w:val="21"/>
          <w:highlight w:val="none"/>
        </w:rPr>
        <w:t>以我方的名义参加</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u w:val="single"/>
          <w:lang w:val="en-US" w:eastAsia="zh-CN"/>
        </w:rPr>
        <w:t>/</w:t>
      </w:r>
      <w:r>
        <w:rPr>
          <w:rFonts w:hint="eastAsia" w:ascii="宋体" w:hAnsi="宋体" w:cs="Courier New"/>
          <w:color w:val="auto"/>
          <w:kern w:val="0"/>
          <w:szCs w:val="21"/>
          <w:highlight w:val="none"/>
          <w:u w:val="single"/>
        </w:rPr>
        <w:t>项目编号）</w:t>
      </w:r>
      <w:r>
        <w:rPr>
          <w:rFonts w:hint="eastAsia" w:ascii="宋体" w:hAnsi="宋体"/>
          <w:color w:val="auto"/>
          <w:szCs w:val="21"/>
          <w:highlight w:val="none"/>
        </w:rPr>
        <w:t>项目的投标活动，并代表我方全权办理针对上述项目的投标、开标、评标、签约等具体事务和签署相关文件。</w:t>
      </w:r>
    </w:p>
    <w:p w14:paraId="074EF9AC">
      <w:pPr>
        <w:pStyle w:val="22"/>
        <w:spacing w:line="420" w:lineRule="exact"/>
        <w:ind w:firstLine="420" w:firstLineChars="200"/>
        <w:rPr>
          <w:rFonts w:hAnsi="宋体"/>
          <w:color w:val="auto"/>
          <w:sz w:val="21"/>
          <w:highlight w:val="none"/>
        </w:rPr>
      </w:pPr>
      <w:r>
        <w:rPr>
          <w:rFonts w:hint="eastAsia" w:hAnsi="宋体"/>
          <w:color w:val="auto"/>
          <w:sz w:val="21"/>
          <w:highlight w:val="none"/>
        </w:rPr>
        <w:t>授权委托代理期限：从</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 xml:space="preserve">月 </w:t>
      </w:r>
      <w:r>
        <w:rPr>
          <w:rFonts w:hint="eastAsia" w:hAnsi="宋体"/>
          <w:color w:val="auto"/>
          <w:sz w:val="21"/>
          <w:highlight w:val="none"/>
          <w:u w:val="single"/>
        </w:rPr>
        <w:t xml:space="preserve">    </w:t>
      </w:r>
      <w:r>
        <w:rPr>
          <w:rFonts w:hint="eastAsia" w:hAnsi="宋体"/>
          <w:color w:val="auto"/>
          <w:sz w:val="21"/>
          <w:highlight w:val="none"/>
        </w:rPr>
        <w:t xml:space="preserve"> 日起至</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 xml:space="preserve">月 </w:t>
      </w:r>
      <w:r>
        <w:rPr>
          <w:rFonts w:hint="eastAsia" w:hAnsi="宋体"/>
          <w:color w:val="auto"/>
          <w:sz w:val="21"/>
          <w:highlight w:val="none"/>
          <w:u w:val="single"/>
        </w:rPr>
        <w:t xml:space="preserve">     </w:t>
      </w:r>
      <w:r>
        <w:rPr>
          <w:rFonts w:hint="eastAsia" w:hAnsi="宋体"/>
          <w:color w:val="auto"/>
          <w:sz w:val="21"/>
          <w:highlight w:val="none"/>
        </w:rPr>
        <w:t>日止。</w:t>
      </w:r>
    </w:p>
    <w:p w14:paraId="76DFF218">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我方对被授权人的签字事项负全部责任。</w:t>
      </w:r>
    </w:p>
    <w:p w14:paraId="3540DD9A">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被授权人无转委托权，特此委托。</w:t>
      </w:r>
    </w:p>
    <w:p w14:paraId="4677A8CE">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附：委托代理人完整有效的身份证正反面扫描件</w:t>
      </w:r>
    </w:p>
    <w:p w14:paraId="2EDB607D">
      <w:pPr>
        <w:snapToGrid w:val="0"/>
        <w:spacing w:line="460" w:lineRule="exact"/>
        <w:ind w:firstLine="420" w:firstLineChars="200"/>
        <w:rPr>
          <w:rFonts w:ascii="宋体" w:hAnsi="宋体"/>
          <w:color w:val="auto"/>
          <w:szCs w:val="21"/>
          <w:highlight w:val="none"/>
        </w:rPr>
      </w:pPr>
    </w:p>
    <w:p w14:paraId="3703136F">
      <w:pPr>
        <w:pStyle w:val="22"/>
        <w:spacing w:line="520" w:lineRule="exact"/>
        <w:ind w:firstLine="420" w:firstLineChars="200"/>
        <w:rPr>
          <w:rFonts w:hAnsi="宋体"/>
          <w:color w:val="auto"/>
          <w:sz w:val="21"/>
          <w:highlight w:val="none"/>
          <w:u w:val="single"/>
        </w:rPr>
      </w:pPr>
      <w:r>
        <w:rPr>
          <w:rFonts w:hint="eastAsia" w:hAnsi="宋体"/>
          <w:color w:val="auto"/>
          <w:sz w:val="21"/>
          <w:highlight w:val="none"/>
        </w:rPr>
        <w:t>磋商供应商</w:t>
      </w:r>
      <w:r>
        <w:rPr>
          <w:rFonts w:hint="eastAsia" w:hAnsi="宋体" w:cs="宋体"/>
          <w:color w:val="auto"/>
          <w:sz w:val="21"/>
          <w:highlight w:val="none"/>
        </w:rPr>
        <w:t>（</w:t>
      </w:r>
      <w:r>
        <w:rPr>
          <w:rFonts w:hint="eastAsia" w:hAnsi="宋体"/>
          <w:color w:val="auto"/>
          <w:sz w:val="21"/>
          <w:highlight w:val="none"/>
        </w:rPr>
        <w:t>CA证书签章</w:t>
      </w:r>
      <w:r>
        <w:rPr>
          <w:rFonts w:hint="eastAsia" w:hAnsi="宋体" w:cs="宋体"/>
          <w:color w:val="auto"/>
          <w:sz w:val="21"/>
          <w:highlight w:val="none"/>
        </w:rPr>
        <w:t>）</w:t>
      </w:r>
      <w:r>
        <w:rPr>
          <w:rFonts w:hint="eastAsia" w:hAnsi="宋体"/>
          <w:color w:val="auto"/>
          <w:sz w:val="21"/>
          <w:highlight w:val="none"/>
        </w:rPr>
        <w:t>：</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55030066">
      <w:pPr>
        <w:pStyle w:val="22"/>
        <w:spacing w:line="520" w:lineRule="exact"/>
        <w:ind w:firstLine="420" w:firstLineChars="200"/>
        <w:rPr>
          <w:rFonts w:hAnsi="宋体"/>
          <w:color w:val="auto"/>
          <w:sz w:val="21"/>
          <w:highlight w:val="none"/>
        </w:rPr>
      </w:pPr>
      <w:r>
        <w:rPr>
          <w:rFonts w:hint="eastAsia" w:hAnsi="宋体"/>
          <w:color w:val="auto"/>
          <w:sz w:val="21"/>
          <w:highlight w:val="none"/>
        </w:rPr>
        <w:t>法定代表人签字</w:t>
      </w:r>
      <w:r>
        <w:rPr>
          <w:rFonts w:hint="eastAsia" w:hAnsi="宋体" w:cs="宋体"/>
          <w:color w:val="auto"/>
          <w:sz w:val="21"/>
          <w:highlight w:val="none"/>
        </w:rPr>
        <w:t>（或个人CA证书签章）</w:t>
      </w:r>
      <w:r>
        <w:rPr>
          <w:rFonts w:hint="eastAsia" w:hAnsi="宋体"/>
          <w:color w:val="auto"/>
          <w:sz w:val="21"/>
          <w:highlight w:val="none"/>
        </w:rPr>
        <w:t>：</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 xml:space="preserve"> </w:t>
      </w:r>
    </w:p>
    <w:p w14:paraId="7FDBB660">
      <w:pPr>
        <w:pStyle w:val="22"/>
        <w:spacing w:line="520" w:lineRule="exact"/>
        <w:ind w:firstLine="1680" w:firstLineChars="800"/>
        <w:rPr>
          <w:rFonts w:hAnsi="宋体"/>
          <w:color w:val="auto"/>
          <w:sz w:val="21"/>
          <w:highlight w:val="none"/>
        </w:r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rPr>
        <w:t>日</w:t>
      </w:r>
    </w:p>
    <w:p w14:paraId="79F2896C">
      <w:pPr>
        <w:spacing w:line="440" w:lineRule="exact"/>
        <w:ind w:firstLine="420" w:firstLineChars="200"/>
        <w:rPr>
          <w:rFonts w:ascii="宋体" w:hAnsi="宋体" w:cs="Courier New"/>
          <w:color w:val="auto"/>
          <w:kern w:val="0"/>
          <w:szCs w:val="21"/>
          <w:highlight w:val="none"/>
        </w:rPr>
      </w:pPr>
    </w:p>
    <w:p w14:paraId="0C272B58">
      <w:pPr>
        <w:spacing w:line="460" w:lineRule="exact"/>
        <w:rPr>
          <w:rFonts w:ascii="宋体" w:hAnsi="宋体"/>
          <w:b/>
          <w:color w:val="auto"/>
          <w:sz w:val="24"/>
          <w:szCs w:val="21"/>
          <w:highlight w:val="none"/>
        </w:rPr>
      </w:pPr>
    </w:p>
    <w:p w14:paraId="478CA49D">
      <w:pPr>
        <w:tabs>
          <w:tab w:val="left" w:pos="1305"/>
        </w:tabs>
        <w:spacing w:before="156" w:beforeLines="50" w:after="156" w:afterLines="50" w:line="520" w:lineRule="exact"/>
        <w:jc w:val="center"/>
        <w:rPr>
          <w:rFonts w:ascii="宋体" w:hAnsi="宋体"/>
          <w:b/>
          <w:color w:val="auto"/>
          <w:sz w:val="28"/>
          <w:szCs w:val="28"/>
          <w:highlight w:val="none"/>
        </w:rPr>
      </w:pPr>
    </w:p>
    <w:p w14:paraId="2994B10E">
      <w:pPr>
        <w:tabs>
          <w:tab w:val="left" w:pos="1305"/>
        </w:tabs>
        <w:spacing w:before="156" w:beforeLines="50" w:after="156" w:afterLines="50" w:line="520" w:lineRule="exact"/>
        <w:jc w:val="center"/>
        <w:rPr>
          <w:rFonts w:ascii="宋体" w:hAnsi="宋体"/>
          <w:b/>
          <w:color w:val="auto"/>
          <w:sz w:val="28"/>
          <w:szCs w:val="28"/>
          <w:highlight w:val="none"/>
        </w:rPr>
      </w:pPr>
    </w:p>
    <w:p w14:paraId="22776AB7">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45124447">
      <w:pPr>
        <w:tabs>
          <w:tab w:val="left" w:pos="1305"/>
        </w:tabs>
        <w:spacing w:before="156" w:beforeLines="50" w:after="156" w:afterLines="50" w:line="520" w:lineRule="exact"/>
        <w:jc w:val="center"/>
        <w:rPr>
          <w:rFonts w:ascii="宋体" w:hAnsi="宋体"/>
          <w:b/>
          <w:color w:val="auto"/>
          <w:sz w:val="28"/>
          <w:szCs w:val="28"/>
          <w:highlight w:val="none"/>
        </w:rPr>
      </w:pPr>
      <w:r>
        <w:rPr>
          <w:rFonts w:hint="eastAsia" w:ascii="宋体" w:hAnsi="宋体"/>
          <w:b/>
          <w:color w:val="auto"/>
          <w:sz w:val="28"/>
          <w:szCs w:val="28"/>
          <w:highlight w:val="none"/>
        </w:rPr>
        <w:t>四、《项目采购需求》响应表</w:t>
      </w:r>
    </w:p>
    <w:p w14:paraId="50FB0999">
      <w:pPr>
        <w:spacing w:before="156" w:beforeLines="50" w:after="156" w:afterLines="50" w:line="500" w:lineRule="exact"/>
        <w:jc w:val="center"/>
        <w:rPr>
          <w:rFonts w:ascii="宋体" w:hAnsi="宋体"/>
          <w:b/>
          <w:color w:val="auto"/>
          <w:sz w:val="24"/>
          <w:highlight w:val="none"/>
        </w:rPr>
      </w:pPr>
      <w:r>
        <w:rPr>
          <w:rFonts w:hint="eastAsia" w:ascii="宋体" w:hAnsi="宋体"/>
          <w:b/>
          <w:color w:val="auto"/>
          <w:sz w:val="24"/>
          <w:highlight w:val="none"/>
        </w:rPr>
        <w:t>《项目采购需求》响应表（格式）</w:t>
      </w:r>
    </w:p>
    <w:tbl>
      <w:tblPr>
        <w:tblStyle w:val="36"/>
        <w:tblW w:w="93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6"/>
        <w:gridCol w:w="3170"/>
        <w:gridCol w:w="3046"/>
        <w:gridCol w:w="1364"/>
      </w:tblGrid>
      <w:tr w14:paraId="3C50B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00EE7E73">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项目或条款名称</w:t>
            </w:r>
          </w:p>
        </w:tc>
        <w:tc>
          <w:tcPr>
            <w:tcW w:w="3170" w:type="dxa"/>
            <w:tcBorders>
              <w:top w:val="single" w:color="auto" w:sz="4" w:space="0"/>
              <w:left w:val="single" w:color="auto" w:sz="4" w:space="0"/>
              <w:bottom w:val="single" w:color="auto" w:sz="4" w:space="0"/>
              <w:right w:val="single" w:color="auto" w:sz="4" w:space="0"/>
            </w:tcBorders>
            <w:vAlign w:val="center"/>
          </w:tcPr>
          <w:p w14:paraId="16BB3C04">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采购文件要求</w:t>
            </w:r>
          </w:p>
        </w:tc>
        <w:tc>
          <w:tcPr>
            <w:tcW w:w="3046" w:type="dxa"/>
            <w:tcBorders>
              <w:top w:val="single" w:color="auto" w:sz="4" w:space="0"/>
              <w:left w:val="single" w:color="auto" w:sz="4" w:space="0"/>
              <w:bottom w:val="single" w:color="auto" w:sz="4" w:space="0"/>
              <w:right w:val="single" w:color="auto" w:sz="4" w:space="0"/>
            </w:tcBorders>
            <w:vAlign w:val="center"/>
          </w:tcPr>
          <w:p w14:paraId="0D39C7B2">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供应商的响应或承诺或说明</w:t>
            </w:r>
          </w:p>
        </w:tc>
        <w:tc>
          <w:tcPr>
            <w:tcW w:w="1364" w:type="dxa"/>
            <w:tcBorders>
              <w:top w:val="single" w:color="auto" w:sz="4" w:space="0"/>
              <w:left w:val="single" w:color="auto" w:sz="4" w:space="0"/>
              <w:bottom w:val="single" w:color="auto" w:sz="4" w:space="0"/>
              <w:right w:val="single" w:color="auto" w:sz="4" w:space="0"/>
            </w:tcBorders>
            <w:vAlign w:val="center"/>
          </w:tcPr>
          <w:p w14:paraId="61E0B78F">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是否响应</w:t>
            </w:r>
          </w:p>
        </w:tc>
      </w:tr>
      <w:tr w14:paraId="3343C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16" w:type="dxa"/>
            <w:tcBorders>
              <w:top w:val="single" w:color="auto" w:sz="4" w:space="0"/>
              <w:left w:val="single" w:color="auto" w:sz="4" w:space="0"/>
              <w:right w:val="single" w:color="auto" w:sz="4" w:space="0"/>
            </w:tcBorders>
            <w:vAlign w:val="center"/>
          </w:tcPr>
          <w:p w14:paraId="01C2E220">
            <w:pPr>
              <w:snapToGrid w:val="0"/>
              <w:spacing w:line="440" w:lineRule="exact"/>
              <w:jc w:val="center"/>
              <w:rPr>
                <w:rFonts w:ascii="宋体" w:hAnsi="宋体"/>
                <w:color w:val="auto"/>
                <w:szCs w:val="21"/>
                <w:highlight w:val="none"/>
              </w:rPr>
            </w:pPr>
          </w:p>
        </w:tc>
        <w:tc>
          <w:tcPr>
            <w:tcW w:w="3170" w:type="dxa"/>
            <w:tcBorders>
              <w:top w:val="single" w:color="auto" w:sz="4" w:space="0"/>
              <w:left w:val="single" w:color="auto" w:sz="4" w:space="0"/>
              <w:right w:val="single" w:color="auto" w:sz="4" w:space="0"/>
            </w:tcBorders>
            <w:vAlign w:val="center"/>
          </w:tcPr>
          <w:p w14:paraId="0B468CDC">
            <w:pPr>
              <w:snapToGrid w:val="0"/>
              <w:spacing w:line="440" w:lineRule="exact"/>
              <w:jc w:val="center"/>
              <w:rPr>
                <w:rFonts w:ascii="宋体" w:hAnsi="宋体"/>
                <w:color w:val="auto"/>
                <w:szCs w:val="21"/>
                <w:highlight w:val="none"/>
              </w:rPr>
            </w:pPr>
          </w:p>
        </w:tc>
        <w:tc>
          <w:tcPr>
            <w:tcW w:w="3046" w:type="dxa"/>
            <w:tcBorders>
              <w:top w:val="single" w:color="auto" w:sz="4" w:space="0"/>
              <w:left w:val="single" w:color="auto" w:sz="4" w:space="0"/>
              <w:right w:val="single" w:color="auto" w:sz="4" w:space="0"/>
            </w:tcBorders>
            <w:vAlign w:val="center"/>
          </w:tcPr>
          <w:p w14:paraId="3C038FE5">
            <w:pPr>
              <w:snapToGrid w:val="0"/>
              <w:spacing w:line="440" w:lineRule="exact"/>
              <w:jc w:val="center"/>
              <w:rPr>
                <w:rFonts w:ascii="宋体" w:hAnsi="宋体"/>
                <w:color w:val="auto"/>
                <w:szCs w:val="21"/>
                <w:highlight w:val="none"/>
              </w:rPr>
            </w:pPr>
          </w:p>
        </w:tc>
        <w:tc>
          <w:tcPr>
            <w:tcW w:w="1364" w:type="dxa"/>
            <w:tcBorders>
              <w:top w:val="single" w:color="auto" w:sz="4" w:space="0"/>
              <w:left w:val="single" w:color="auto" w:sz="4" w:space="0"/>
              <w:right w:val="single" w:color="auto" w:sz="4" w:space="0"/>
            </w:tcBorders>
            <w:vAlign w:val="center"/>
          </w:tcPr>
          <w:p w14:paraId="2846B995">
            <w:pPr>
              <w:snapToGrid w:val="0"/>
              <w:spacing w:line="440" w:lineRule="exact"/>
              <w:jc w:val="center"/>
              <w:rPr>
                <w:rFonts w:ascii="宋体" w:hAnsi="宋体"/>
                <w:color w:val="auto"/>
                <w:szCs w:val="21"/>
                <w:highlight w:val="none"/>
              </w:rPr>
            </w:pPr>
          </w:p>
        </w:tc>
      </w:tr>
      <w:tr w14:paraId="68676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52647752">
            <w:pPr>
              <w:snapToGrid w:val="0"/>
              <w:spacing w:line="440" w:lineRule="exact"/>
              <w:jc w:val="center"/>
              <w:rPr>
                <w:rFonts w:ascii="宋体" w:hAnsi="宋体"/>
                <w:color w:val="auto"/>
                <w:szCs w:val="21"/>
                <w:highlight w:val="none"/>
              </w:rPr>
            </w:pPr>
          </w:p>
        </w:tc>
        <w:tc>
          <w:tcPr>
            <w:tcW w:w="3170" w:type="dxa"/>
            <w:tcBorders>
              <w:top w:val="single" w:color="auto" w:sz="4" w:space="0"/>
              <w:left w:val="single" w:color="auto" w:sz="4" w:space="0"/>
              <w:bottom w:val="single" w:color="auto" w:sz="4" w:space="0"/>
              <w:right w:val="single" w:color="auto" w:sz="4" w:space="0"/>
            </w:tcBorders>
            <w:vAlign w:val="center"/>
          </w:tcPr>
          <w:p w14:paraId="1648E58D">
            <w:pPr>
              <w:snapToGrid w:val="0"/>
              <w:spacing w:line="440" w:lineRule="exact"/>
              <w:rPr>
                <w:rFonts w:ascii="宋体" w:hAnsi="宋体"/>
                <w:color w:val="auto"/>
                <w:szCs w:val="21"/>
                <w:highlight w:val="none"/>
              </w:rPr>
            </w:pPr>
          </w:p>
        </w:tc>
        <w:tc>
          <w:tcPr>
            <w:tcW w:w="3046" w:type="dxa"/>
            <w:tcBorders>
              <w:top w:val="single" w:color="auto" w:sz="4" w:space="0"/>
              <w:left w:val="single" w:color="auto" w:sz="4" w:space="0"/>
              <w:bottom w:val="single" w:color="auto" w:sz="4" w:space="0"/>
              <w:right w:val="single" w:color="auto" w:sz="4" w:space="0"/>
            </w:tcBorders>
            <w:vAlign w:val="center"/>
          </w:tcPr>
          <w:p w14:paraId="2E2F432A">
            <w:pPr>
              <w:snapToGrid w:val="0"/>
              <w:spacing w:line="440" w:lineRule="exact"/>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2B5F8B33">
            <w:pPr>
              <w:snapToGrid w:val="0"/>
              <w:spacing w:line="440" w:lineRule="exact"/>
              <w:rPr>
                <w:rFonts w:ascii="宋体" w:hAnsi="宋体"/>
                <w:color w:val="auto"/>
                <w:szCs w:val="21"/>
                <w:highlight w:val="none"/>
              </w:rPr>
            </w:pPr>
          </w:p>
        </w:tc>
      </w:tr>
      <w:tr w14:paraId="65341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27D7CA7E">
            <w:pPr>
              <w:snapToGrid w:val="0"/>
              <w:spacing w:line="440" w:lineRule="exact"/>
              <w:jc w:val="center"/>
              <w:rPr>
                <w:rFonts w:ascii="宋体" w:hAnsi="宋体" w:cs="宋体"/>
                <w:color w:val="auto"/>
                <w:szCs w:val="21"/>
                <w:highlight w:val="none"/>
              </w:rPr>
            </w:pPr>
          </w:p>
        </w:tc>
        <w:tc>
          <w:tcPr>
            <w:tcW w:w="3170" w:type="dxa"/>
            <w:tcBorders>
              <w:top w:val="single" w:color="auto" w:sz="4" w:space="0"/>
              <w:left w:val="single" w:color="auto" w:sz="4" w:space="0"/>
              <w:bottom w:val="single" w:color="auto" w:sz="4" w:space="0"/>
              <w:right w:val="single" w:color="auto" w:sz="4" w:space="0"/>
            </w:tcBorders>
            <w:vAlign w:val="center"/>
          </w:tcPr>
          <w:p w14:paraId="4E17432F">
            <w:pPr>
              <w:snapToGrid w:val="0"/>
              <w:spacing w:line="440" w:lineRule="exact"/>
              <w:rPr>
                <w:rFonts w:ascii="宋体" w:hAnsi="宋体"/>
                <w:color w:val="auto"/>
                <w:szCs w:val="21"/>
                <w:highlight w:val="none"/>
              </w:rPr>
            </w:pPr>
          </w:p>
        </w:tc>
        <w:tc>
          <w:tcPr>
            <w:tcW w:w="3046" w:type="dxa"/>
            <w:tcBorders>
              <w:top w:val="single" w:color="auto" w:sz="4" w:space="0"/>
              <w:left w:val="single" w:color="auto" w:sz="4" w:space="0"/>
              <w:bottom w:val="single" w:color="auto" w:sz="4" w:space="0"/>
              <w:right w:val="single" w:color="auto" w:sz="4" w:space="0"/>
            </w:tcBorders>
            <w:vAlign w:val="center"/>
          </w:tcPr>
          <w:p w14:paraId="4389E131">
            <w:pPr>
              <w:snapToGrid w:val="0"/>
              <w:spacing w:line="440" w:lineRule="exact"/>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7D1B7DB9">
            <w:pPr>
              <w:snapToGrid w:val="0"/>
              <w:spacing w:line="440" w:lineRule="exact"/>
              <w:rPr>
                <w:rFonts w:ascii="宋体" w:hAnsi="宋体"/>
                <w:color w:val="auto"/>
                <w:szCs w:val="21"/>
                <w:highlight w:val="none"/>
              </w:rPr>
            </w:pPr>
          </w:p>
        </w:tc>
      </w:tr>
      <w:tr w14:paraId="055B5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2BFD24C8">
            <w:pPr>
              <w:snapToGrid w:val="0"/>
              <w:spacing w:line="440" w:lineRule="exact"/>
              <w:jc w:val="center"/>
              <w:rPr>
                <w:rFonts w:ascii="宋体" w:hAnsi="宋体"/>
                <w:color w:val="auto"/>
                <w:szCs w:val="21"/>
                <w:highlight w:val="none"/>
              </w:rPr>
            </w:pPr>
          </w:p>
        </w:tc>
        <w:tc>
          <w:tcPr>
            <w:tcW w:w="3170" w:type="dxa"/>
            <w:tcBorders>
              <w:top w:val="single" w:color="auto" w:sz="4" w:space="0"/>
              <w:left w:val="single" w:color="auto" w:sz="4" w:space="0"/>
              <w:bottom w:val="single" w:color="auto" w:sz="4" w:space="0"/>
              <w:right w:val="single" w:color="auto" w:sz="4" w:space="0"/>
            </w:tcBorders>
            <w:vAlign w:val="center"/>
          </w:tcPr>
          <w:p w14:paraId="535E7074">
            <w:pPr>
              <w:snapToGrid w:val="0"/>
              <w:spacing w:line="440" w:lineRule="exact"/>
              <w:rPr>
                <w:rFonts w:ascii="宋体" w:hAnsi="宋体"/>
                <w:color w:val="auto"/>
                <w:szCs w:val="21"/>
                <w:highlight w:val="none"/>
              </w:rPr>
            </w:pPr>
          </w:p>
        </w:tc>
        <w:tc>
          <w:tcPr>
            <w:tcW w:w="3046" w:type="dxa"/>
            <w:tcBorders>
              <w:top w:val="single" w:color="auto" w:sz="4" w:space="0"/>
              <w:left w:val="single" w:color="auto" w:sz="4" w:space="0"/>
              <w:bottom w:val="single" w:color="auto" w:sz="4" w:space="0"/>
              <w:right w:val="single" w:color="auto" w:sz="4" w:space="0"/>
            </w:tcBorders>
            <w:vAlign w:val="center"/>
          </w:tcPr>
          <w:p w14:paraId="5F396816">
            <w:pPr>
              <w:snapToGrid w:val="0"/>
              <w:spacing w:line="440" w:lineRule="exact"/>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6B87BCD2">
            <w:pPr>
              <w:snapToGrid w:val="0"/>
              <w:spacing w:line="440" w:lineRule="exact"/>
              <w:rPr>
                <w:rFonts w:ascii="宋体" w:hAnsi="宋体"/>
                <w:color w:val="auto"/>
                <w:szCs w:val="21"/>
                <w:highlight w:val="none"/>
              </w:rPr>
            </w:pPr>
          </w:p>
        </w:tc>
      </w:tr>
      <w:tr w14:paraId="02B73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79702A6F">
            <w:pPr>
              <w:snapToGrid w:val="0"/>
              <w:spacing w:line="440" w:lineRule="exact"/>
              <w:jc w:val="center"/>
              <w:rPr>
                <w:rFonts w:ascii="宋体" w:hAnsi="宋体"/>
                <w:color w:val="auto"/>
                <w:szCs w:val="21"/>
                <w:highlight w:val="none"/>
              </w:rPr>
            </w:pPr>
          </w:p>
        </w:tc>
        <w:tc>
          <w:tcPr>
            <w:tcW w:w="3170" w:type="dxa"/>
            <w:tcBorders>
              <w:top w:val="single" w:color="auto" w:sz="4" w:space="0"/>
              <w:left w:val="single" w:color="auto" w:sz="4" w:space="0"/>
              <w:bottom w:val="single" w:color="auto" w:sz="4" w:space="0"/>
              <w:right w:val="single" w:color="auto" w:sz="4" w:space="0"/>
            </w:tcBorders>
            <w:vAlign w:val="center"/>
          </w:tcPr>
          <w:p w14:paraId="243041DB">
            <w:pPr>
              <w:snapToGrid w:val="0"/>
              <w:spacing w:line="440" w:lineRule="exact"/>
              <w:rPr>
                <w:rFonts w:ascii="宋体" w:hAnsi="宋体"/>
                <w:color w:val="auto"/>
                <w:szCs w:val="21"/>
                <w:highlight w:val="none"/>
              </w:rPr>
            </w:pPr>
          </w:p>
        </w:tc>
        <w:tc>
          <w:tcPr>
            <w:tcW w:w="3046" w:type="dxa"/>
            <w:tcBorders>
              <w:top w:val="single" w:color="auto" w:sz="4" w:space="0"/>
              <w:left w:val="single" w:color="auto" w:sz="4" w:space="0"/>
              <w:bottom w:val="single" w:color="auto" w:sz="4" w:space="0"/>
              <w:right w:val="single" w:color="auto" w:sz="4" w:space="0"/>
            </w:tcBorders>
            <w:vAlign w:val="center"/>
          </w:tcPr>
          <w:p w14:paraId="26D971AA">
            <w:pPr>
              <w:snapToGrid w:val="0"/>
              <w:spacing w:line="440" w:lineRule="exact"/>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68DD6A41">
            <w:pPr>
              <w:snapToGrid w:val="0"/>
              <w:spacing w:line="440" w:lineRule="exact"/>
              <w:rPr>
                <w:rFonts w:ascii="宋体" w:hAnsi="宋体"/>
                <w:color w:val="auto"/>
                <w:szCs w:val="21"/>
                <w:highlight w:val="none"/>
              </w:rPr>
            </w:pPr>
          </w:p>
        </w:tc>
      </w:tr>
      <w:tr w14:paraId="349D9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00D76BB8">
            <w:pPr>
              <w:snapToGrid w:val="0"/>
              <w:spacing w:line="440" w:lineRule="exact"/>
              <w:jc w:val="center"/>
              <w:rPr>
                <w:rFonts w:ascii="宋体" w:hAnsi="宋体"/>
                <w:color w:val="auto"/>
                <w:szCs w:val="21"/>
                <w:highlight w:val="none"/>
              </w:rPr>
            </w:pPr>
          </w:p>
        </w:tc>
        <w:tc>
          <w:tcPr>
            <w:tcW w:w="3170" w:type="dxa"/>
            <w:tcBorders>
              <w:top w:val="single" w:color="auto" w:sz="4" w:space="0"/>
              <w:left w:val="single" w:color="auto" w:sz="4" w:space="0"/>
              <w:bottom w:val="single" w:color="auto" w:sz="4" w:space="0"/>
              <w:right w:val="single" w:color="auto" w:sz="4" w:space="0"/>
            </w:tcBorders>
            <w:vAlign w:val="center"/>
          </w:tcPr>
          <w:p w14:paraId="3F8F2CC4">
            <w:pPr>
              <w:snapToGrid w:val="0"/>
              <w:spacing w:line="440" w:lineRule="exact"/>
              <w:rPr>
                <w:rFonts w:ascii="宋体" w:hAnsi="宋体"/>
                <w:color w:val="auto"/>
                <w:szCs w:val="21"/>
                <w:highlight w:val="none"/>
              </w:rPr>
            </w:pPr>
          </w:p>
        </w:tc>
        <w:tc>
          <w:tcPr>
            <w:tcW w:w="3046" w:type="dxa"/>
            <w:tcBorders>
              <w:top w:val="single" w:color="auto" w:sz="4" w:space="0"/>
              <w:left w:val="single" w:color="auto" w:sz="4" w:space="0"/>
              <w:bottom w:val="single" w:color="auto" w:sz="4" w:space="0"/>
              <w:right w:val="single" w:color="auto" w:sz="4" w:space="0"/>
            </w:tcBorders>
            <w:vAlign w:val="center"/>
          </w:tcPr>
          <w:p w14:paraId="106648D4">
            <w:pPr>
              <w:snapToGrid w:val="0"/>
              <w:spacing w:line="440" w:lineRule="exact"/>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3113AB6C">
            <w:pPr>
              <w:snapToGrid w:val="0"/>
              <w:spacing w:line="440" w:lineRule="exact"/>
              <w:rPr>
                <w:rFonts w:ascii="宋体" w:hAnsi="宋体"/>
                <w:color w:val="auto"/>
                <w:szCs w:val="21"/>
                <w:highlight w:val="none"/>
              </w:rPr>
            </w:pPr>
          </w:p>
        </w:tc>
      </w:tr>
      <w:tr w14:paraId="695BF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5654DEC0">
            <w:pPr>
              <w:snapToGrid w:val="0"/>
              <w:spacing w:line="440" w:lineRule="exact"/>
              <w:jc w:val="center"/>
              <w:rPr>
                <w:rFonts w:ascii="宋体" w:hAnsi="宋体"/>
                <w:color w:val="auto"/>
                <w:szCs w:val="21"/>
                <w:highlight w:val="none"/>
              </w:rPr>
            </w:pPr>
          </w:p>
        </w:tc>
        <w:tc>
          <w:tcPr>
            <w:tcW w:w="3170" w:type="dxa"/>
            <w:tcBorders>
              <w:top w:val="single" w:color="auto" w:sz="4" w:space="0"/>
              <w:left w:val="single" w:color="auto" w:sz="4" w:space="0"/>
              <w:bottom w:val="single" w:color="auto" w:sz="4" w:space="0"/>
              <w:right w:val="single" w:color="auto" w:sz="4" w:space="0"/>
            </w:tcBorders>
            <w:vAlign w:val="center"/>
          </w:tcPr>
          <w:p w14:paraId="61B20786">
            <w:pPr>
              <w:snapToGrid w:val="0"/>
              <w:spacing w:line="440" w:lineRule="exact"/>
              <w:rPr>
                <w:rFonts w:ascii="宋体" w:hAnsi="宋体"/>
                <w:color w:val="auto"/>
                <w:szCs w:val="21"/>
                <w:highlight w:val="none"/>
              </w:rPr>
            </w:pPr>
          </w:p>
        </w:tc>
        <w:tc>
          <w:tcPr>
            <w:tcW w:w="3046" w:type="dxa"/>
            <w:tcBorders>
              <w:top w:val="single" w:color="auto" w:sz="4" w:space="0"/>
              <w:left w:val="single" w:color="auto" w:sz="4" w:space="0"/>
              <w:bottom w:val="single" w:color="auto" w:sz="4" w:space="0"/>
              <w:right w:val="single" w:color="auto" w:sz="4" w:space="0"/>
            </w:tcBorders>
            <w:vAlign w:val="center"/>
          </w:tcPr>
          <w:p w14:paraId="312D012B">
            <w:pPr>
              <w:snapToGrid w:val="0"/>
              <w:spacing w:line="440" w:lineRule="exact"/>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69D94F22">
            <w:pPr>
              <w:snapToGrid w:val="0"/>
              <w:spacing w:line="440" w:lineRule="exact"/>
              <w:rPr>
                <w:rFonts w:ascii="宋体" w:hAnsi="宋体"/>
                <w:color w:val="auto"/>
                <w:szCs w:val="21"/>
                <w:highlight w:val="none"/>
              </w:rPr>
            </w:pPr>
          </w:p>
        </w:tc>
      </w:tr>
      <w:tr w14:paraId="334E9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7B89DA8B">
            <w:pPr>
              <w:snapToGrid w:val="0"/>
              <w:spacing w:line="440" w:lineRule="exact"/>
              <w:jc w:val="center"/>
              <w:rPr>
                <w:rFonts w:ascii="宋体" w:hAnsi="宋体"/>
                <w:color w:val="auto"/>
                <w:szCs w:val="21"/>
                <w:highlight w:val="none"/>
              </w:rPr>
            </w:pPr>
          </w:p>
        </w:tc>
        <w:tc>
          <w:tcPr>
            <w:tcW w:w="3170" w:type="dxa"/>
            <w:tcBorders>
              <w:top w:val="single" w:color="auto" w:sz="4" w:space="0"/>
              <w:left w:val="single" w:color="auto" w:sz="4" w:space="0"/>
              <w:bottom w:val="single" w:color="auto" w:sz="4" w:space="0"/>
              <w:right w:val="single" w:color="auto" w:sz="4" w:space="0"/>
            </w:tcBorders>
            <w:vAlign w:val="center"/>
          </w:tcPr>
          <w:p w14:paraId="1D8FDC58">
            <w:pPr>
              <w:snapToGrid w:val="0"/>
              <w:spacing w:line="440" w:lineRule="exact"/>
              <w:rPr>
                <w:rFonts w:ascii="宋体" w:hAnsi="宋体"/>
                <w:color w:val="auto"/>
                <w:szCs w:val="21"/>
                <w:highlight w:val="none"/>
              </w:rPr>
            </w:pPr>
          </w:p>
        </w:tc>
        <w:tc>
          <w:tcPr>
            <w:tcW w:w="3046" w:type="dxa"/>
            <w:tcBorders>
              <w:top w:val="single" w:color="auto" w:sz="4" w:space="0"/>
              <w:left w:val="single" w:color="auto" w:sz="4" w:space="0"/>
              <w:bottom w:val="single" w:color="auto" w:sz="4" w:space="0"/>
              <w:right w:val="single" w:color="auto" w:sz="4" w:space="0"/>
            </w:tcBorders>
            <w:vAlign w:val="center"/>
          </w:tcPr>
          <w:p w14:paraId="1D403CB0">
            <w:pPr>
              <w:snapToGrid w:val="0"/>
              <w:spacing w:line="440" w:lineRule="exact"/>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6BA5EAAC">
            <w:pPr>
              <w:snapToGrid w:val="0"/>
              <w:spacing w:line="440" w:lineRule="exact"/>
              <w:rPr>
                <w:rFonts w:ascii="宋体" w:hAnsi="宋体"/>
                <w:color w:val="auto"/>
                <w:szCs w:val="21"/>
                <w:highlight w:val="none"/>
              </w:rPr>
            </w:pPr>
          </w:p>
        </w:tc>
      </w:tr>
    </w:tbl>
    <w:p w14:paraId="7B9CE1A6">
      <w:pPr>
        <w:pStyle w:val="22"/>
        <w:spacing w:before="156" w:beforeLines="50" w:line="360" w:lineRule="auto"/>
        <w:ind w:firstLine="420" w:firstLineChars="200"/>
        <w:rPr>
          <w:rFonts w:hAnsi="宋体"/>
          <w:color w:val="auto"/>
          <w:sz w:val="21"/>
          <w:highlight w:val="none"/>
        </w:rPr>
      </w:pPr>
      <w:r>
        <w:rPr>
          <w:rFonts w:hint="eastAsia" w:hAnsi="宋体"/>
          <w:color w:val="auto"/>
          <w:sz w:val="21"/>
          <w:highlight w:val="none"/>
        </w:rPr>
        <w:t>请</w:t>
      </w:r>
      <w:r>
        <w:rPr>
          <w:rFonts w:hint="eastAsia" w:hAnsi="宋体"/>
          <w:b/>
          <w:color w:val="auto"/>
          <w:sz w:val="21"/>
          <w:highlight w:val="none"/>
        </w:rPr>
        <w:t>逐条对应</w:t>
      </w:r>
      <w:r>
        <w:rPr>
          <w:rFonts w:hint="eastAsia" w:hAnsi="宋体"/>
          <w:color w:val="auto"/>
          <w:sz w:val="21"/>
          <w:highlight w:val="none"/>
        </w:rPr>
        <w:t>本项目采购文件</w:t>
      </w:r>
      <w:r>
        <w:rPr>
          <w:rFonts w:hAnsi="宋体"/>
          <w:b/>
          <w:color w:val="auto"/>
          <w:sz w:val="21"/>
          <w:highlight w:val="none"/>
        </w:rPr>
        <w:t>“</w:t>
      </w:r>
      <w:r>
        <w:rPr>
          <w:rFonts w:hint="eastAsia" w:hAnsi="宋体"/>
          <w:b/>
          <w:color w:val="auto"/>
          <w:sz w:val="21"/>
          <w:highlight w:val="none"/>
        </w:rPr>
        <w:t>第三章 项目采购需求</w:t>
      </w:r>
      <w:r>
        <w:rPr>
          <w:rFonts w:hAnsi="宋体"/>
          <w:b/>
          <w:color w:val="auto"/>
          <w:sz w:val="21"/>
          <w:highlight w:val="none"/>
        </w:rPr>
        <w:t>”</w:t>
      </w:r>
      <w:r>
        <w:rPr>
          <w:rFonts w:hint="eastAsia" w:hAnsi="宋体"/>
          <w:b/>
          <w:color w:val="auto"/>
          <w:sz w:val="21"/>
          <w:highlight w:val="none"/>
        </w:rPr>
        <w:t>的内容</w:t>
      </w:r>
      <w:r>
        <w:rPr>
          <w:rFonts w:hint="eastAsia" w:hAnsi="宋体"/>
          <w:color w:val="auto"/>
          <w:sz w:val="21"/>
          <w:highlight w:val="none"/>
        </w:rPr>
        <w:t>，</w:t>
      </w:r>
      <w:r>
        <w:rPr>
          <w:rFonts w:hint="eastAsia" w:hAnsi="宋体"/>
          <w:b/>
          <w:color w:val="auto"/>
          <w:sz w:val="21"/>
          <w:highlight w:val="none"/>
        </w:rPr>
        <w:t>详细填写相应的具体内容</w:t>
      </w:r>
      <w:r>
        <w:rPr>
          <w:rFonts w:hint="eastAsia" w:hAnsi="宋体"/>
          <w:color w:val="auto"/>
          <w:sz w:val="21"/>
          <w:highlight w:val="none"/>
        </w:rPr>
        <w:t>。</w:t>
      </w:r>
      <w:r>
        <w:rPr>
          <w:rFonts w:hAnsi="宋体"/>
          <w:color w:val="auto"/>
          <w:sz w:val="21"/>
          <w:highlight w:val="none"/>
        </w:rPr>
        <w:t>“</w:t>
      </w:r>
      <w:r>
        <w:rPr>
          <w:rFonts w:hint="eastAsia" w:hAnsi="宋体"/>
          <w:color w:val="auto"/>
          <w:sz w:val="21"/>
          <w:highlight w:val="none"/>
        </w:rPr>
        <w:t>是否响应</w:t>
      </w:r>
      <w:r>
        <w:rPr>
          <w:rFonts w:hAnsi="宋体"/>
          <w:color w:val="auto"/>
          <w:sz w:val="21"/>
          <w:highlight w:val="none"/>
        </w:rPr>
        <w:t>”</w:t>
      </w:r>
      <w:r>
        <w:rPr>
          <w:rFonts w:hint="eastAsia" w:hAnsi="宋体"/>
          <w:color w:val="auto"/>
          <w:sz w:val="21"/>
          <w:highlight w:val="none"/>
        </w:rPr>
        <w:t>一栏应当选择</w:t>
      </w:r>
      <w:r>
        <w:rPr>
          <w:rFonts w:hAnsi="宋体"/>
          <w:color w:val="auto"/>
          <w:sz w:val="21"/>
          <w:highlight w:val="none"/>
        </w:rPr>
        <w:t>“</w:t>
      </w:r>
      <w:r>
        <w:rPr>
          <w:rFonts w:hint="eastAsia" w:hAnsi="宋体"/>
          <w:color w:val="auto"/>
          <w:sz w:val="21"/>
          <w:highlight w:val="none"/>
        </w:rPr>
        <w:t>是</w:t>
      </w:r>
      <w:r>
        <w:rPr>
          <w:rFonts w:hAnsi="宋体"/>
          <w:color w:val="auto"/>
          <w:sz w:val="21"/>
          <w:highlight w:val="none"/>
        </w:rPr>
        <w:t>”</w:t>
      </w:r>
      <w:r>
        <w:rPr>
          <w:rFonts w:hint="eastAsia" w:hAnsi="宋体"/>
          <w:color w:val="auto"/>
          <w:sz w:val="21"/>
          <w:highlight w:val="none"/>
        </w:rPr>
        <w:t>、</w:t>
      </w:r>
      <w:r>
        <w:rPr>
          <w:rFonts w:hAnsi="宋体"/>
          <w:color w:val="auto"/>
          <w:sz w:val="21"/>
          <w:highlight w:val="none"/>
        </w:rPr>
        <w:t>“</w:t>
      </w:r>
      <w:r>
        <w:rPr>
          <w:rFonts w:hint="eastAsia" w:hAnsi="宋体"/>
          <w:color w:val="auto"/>
          <w:sz w:val="21"/>
          <w:highlight w:val="none"/>
        </w:rPr>
        <w:t>否</w:t>
      </w:r>
      <w:r>
        <w:rPr>
          <w:rFonts w:hAnsi="宋体"/>
          <w:color w:val="auto"/>
          <w:sz w:val="21"/>
          <w:highlight w:val="none"/>
        </w:rPr>
        <w:t>”</w:t>
      </w:r>
      <w:r>
        <w:rPr>
          <w:rFonts w:hint="eastAsia" w:hAnsi="宋体"/>
          <w:color w:val="auto"/>
          <w:sz w:val="21"/>
          <w:highlight w:val="none"/>
        </w:rPr>
        <w:t>进行填写</w:t>
      </w:r>
      <w:r>
        <w:rPr>
          <w:rFonts w:hint="eastAsia" w:hAnsi="宋体"/>
          <w:b/>
          <w:color w:val="auto"/>
          <w:sz w:val="21"/>
          <w:highlight w:val="none"/>
        </w:rPr>
        <w:t>。</w:t>
      </w:r>
    </w:p>
    <w:p w14:paraId="44A213D7">
      <w:pPr>
        <w:pStyle w:val="22"/>
        <w:spacing w:line="460" w:lineRule="exact"/>
        <w:ind w:firstLine="420"/>
        <w:rPr>
          <w:rFonts w:hAnsi="宋体"/>
          <w:color w:val="auto"/>
          <w:sz w:val="21"/>
          <w:highlight w:val="none"/>
        </w:rPr>
      </w:pPr>
    </w:p>
    <w:p w14:paraId="33B08FD4">
      <w:pPr>
        <w:pStyle w:val="22"/>
        <w:spacing w:line="500" w:lineRule="exact"/>
        <w:ind w:firstLine="2100" w:firstLineChars="1000"/>
        <w:rPr>
          <w:rFonts w:hAnsi="宋体"/>
          <w:color w:val="auto"/>
          <w:sz w:val="21"/>
          <w:highlight w:val="none"/>
          <w:u w:val="single"/>
        </w:rPr>
      </w:pPr>
      <w:r>
        <w:rPr>
          <w:rFonts w:hint="eastAsia" w:hAnsi="宋体"/>
          <w:color w:val="auto"/>
          <w:sz w:val="21"/>
          <w:highlight w:val="none"/>
        </w:rPr>
        <w:t>磋商供应商（CA证书签章）：</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2F6D7C08">
      <w:pPr>
        <w:pStyle w:val="22"/>
        <w:spacing w:line="500" w:lineRule="exact"/>
        <w:ind w:firstLine="2100" w:firstLineChars="1000"/>
        <w:rPr>
          <w:rFonts w:hAnsi="宋体"/>
          <w:color w:val="auto"/>
          <w:sz w:val="21"/>
          <w:highlight w:val="none"/>
        </w:rPr>
      </w:pPr>
      <w:r>
        <w:rPr>
          <w:rFonts w:hint="eastAsia" w:hAnsi="宋体"/>
          <w:color w:val="auto"/>
          <w:sz w:val="21"/>
          <w:highlight w:val="none"/>
        </w:rPr>
        <w:t>日期：</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rPr>
        <w:t>日</w:t>
      </w:r>
    </w:p>
    <w:p w14:paraId="1D695982">
      <w:pPr>
        <w:rPr>
          <w:rFonts w:ascii="宋体" w:hAnsi="宋体"/>
          <w:b/>
          <w:color w:val="auto"/>
          <w:sz w:val="28"/>
          <w:szCs w:val="21"/>
          <w:highlight w:val="none"/>
        </w:rPr>
      </w:pPr>
    </w:p>
    <w:p w14:paraId="046B462C">
      <w:pPr>
        <w:tabs>
          <w:tab w:val="left" w:pos="1305"/>
        </w:tabs>
        <w:spacing w:before="156" w:beforeLines="50" w:after="156" w:afterLines="50" w:line="520" w:lineRule="exact"/>
        <w:jc w:val="center"/>
        <w:rPr>
          <w:rFonts w:ascii="宋体" w:hAnsi="宋体"/>
          <w:b/>
          <w:color w:val="auto"/>
          <w:sz w:val="28"/>
          <w:szCs w:val="28"/>
          <w:highlight w:val="none"/>
        </w:rPr>
      </w:pPr>
    </w:p>
    <w:p w14:paraId="029AB55E">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793B1D1F">
      <w:pPr>
        <w:pStyle w:val="14"/>
        <w:ind w:firstLine="0" w:firstLineChars="0"/>
        <w:jc w:val="center"/>
        <w:rPr>
          <w:rFonts w:hint="eastAsia" w:ascii="宋体" w:hAnsi="宋体" w:eastAsia="宋体" w:cs="Times New Roman"/>
          <w:b/>
          <w:color w:val="auto"/>
          <w:kern w:val="2"/>
          <w:sz w:val="28"/>
          <w:szCs w:val="28"/>
          <w:highlight w:val="none"/>
          <w:lang w:val="en-US" w:eastAsia="zh-CN" w:bidi="ar-SA"/>
        </w:rPr>
      </w:pPr>
      <w:r>
        <w:rPr>
          <w:rFonts w:hint="eastAsia" w:ascii="宋体" w:hAnsi="宋体" w:cs="Times New Roman"/>
          <w:b/>
          <w:color w:val="auto"/>
          <w:kern w:val="2"/>
          <w:sz w:val="28"/>
          <w:szCs w:val="28"/>
          <w:highlight w:val="none"/>
          <w:lang w:val="en-US" w:eastAsia="zh-CN" w:bidi="ar-SA"/>
        </w:rPr>
        <w:t>五</w:t>
      </w:r>
      <w:r>
        <w:rPr>
          <w:rFonts w:hint="eastAsia" w:ascii="宋体" w:hAnsi="宋体" w:eastAsia="宋体" w:cs="Times New Roman"/>
          <w:b/>
          <w:color w:val="auto"/>
          <w:kern w:val="2"/>
          <w:sz w:val="28"/>
          <w:szCs w:val="28"/>
          <w:highlight w:val="none"/>
          <w:lang w:val="en-US" w:eastAsia="zh-CN" w:bidi="ar-SA"/>
        </w:rPr>
        <w:t>、项目服务方案</w:t>
      </w:r>
    </w:p>
    <w:p w14:paraId="1E9843F6">
      <w:pPr>
        <w:spacing w:line="420" w:lineRule="exact"/>
        <w:jc w:val="center"/>
        <w:rPr>
          <w:rFonts w:ascii="宋体" w:hAnsi="宋体"/>
          <w:b/>
          <w:color w:val="auto"/>
          <w:szCs w:val="21"/>
          <w:highlight w:val="none"/>
        </w:rPr>
      </w:pPr>
      <w:r>
        <w:rPr>
          <w:rFonts w:hint="eastAsia" w:ascii="宋体" w:hAnsi="宋体"/>
          <w:b/>
          <w:color w:val="auto"/>
          <w:sz w:val="28"/>
          <w:szCs w:val="21"/>
          <w:highlight w:val="none"/>
        </w:rPr>
        <w:t>（</w:t>
      </w:r>
      <w:r>
        <w:rPr>
          <w:rFonts w:hint="eastAsia" w:ascii="宋体" w:hAnsi="宋体"/>
          <w:b/>
          <w:color w:val="auto"/>
          <w:szCs w:val="21"/>
          <w:highlight w:val="none"/>
        </w:rPr>
        <w:t>格式自拟</w:t>
      </w:r>
      <w:r>
        <w:rPr>
          <w:rFonts w:hint="eastAsia" w:ascii="宋体" w:hAnsi="宋体"/>
          <w:b/>
          <w:color w:val="auto"/>
          <w:sz w:val="28"/>
          <w:szCs w:val="21"/>
          <w:highlight w:val="none"/>
        </w:rPr>
        <w:t>）</w:t>
      </w:r>
    </w:p>
    <w:p w14:paraId="47BE1219">
      <w:pPr>
        <w:pStyle w:val="14"/>
        <w:ind w:firstLine="0" w:firstLineChars="0"/>
        <w:jc w:val="center"/>
        <w:rPr>
          <w:rFonts w:hint="eastAsia" w:ascii="宋体" w:hAnsi="宋体" w:eastAsia="宋体" w:cs="Times New Roman"/>
          <w:b/>
          <w:color w:val="auto"/>
          <w:kern w:val="2"/>
          <w:sz w:val="28"/>
          <w:szCs w:val="28"/>
          <w:highlight w:val="none"/>
          <w:lang w:val="en-US" w:eastAsia="zh-CN" w:bidi="ar-SA"/>
        </w:rPr>
      </w:pPr>
    </w:p>
    <w:p w14:paraId="5D6D8A4A">
      <w:pPr>
        <w:pStyle w:val="14"/>
        <w:ind w:firstLine="0" w:firstLineChars="0"/>
        <w:jc w:val="center"/>
        <w:rPr>
          <w:rFonts w:hint="eastAsia" w:ascii="宋体" w:hAnsi="宋体" w:eastAsia="宋体" w:cs="Times New Roman"/>
          <w:b/>
          <w:color w:val="auto"/>
          <w:kern w:val="2"/>
          <w:sz w:val="28"/>
          <w:szCs w:val="28"/>
          <w:highlight w:val="none"/>
          <w:lang w:val="en-US" w:eastAsia="zh-CN" w:bidi="ar-SA"/>
        </w:rPr>
      </w:pPr>
    </w:p>
    <w:p w14:paraId="0BD93D3E">
      <w:pPr>
        <w:tabs>
          <w:tab w:val="left" w:pos="1305"/>
        </w:tabs>
        <w:spacing w:before="156" w:beforeLines="50" w:after="156" w:afterLines="50" w:line="520" w:lineRule="exact"/>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六</w:t>
      </w:r>
      <w:r>
        <w:rPr>
          <w:rFonts w:hint="eastAsia" w:ascii="宋体" w:hAnsi="宋体"/>
          <w:b/>
          <w:color w:val="auto"/>
          <w:sz w:val="28"/>
          <w:szCs w:val="28"/>
          <w:highlight w:val="none"/>
        </w:rPr>
        <w:t>、拟投入项目人员一览表</w:t>
      </w:r>
    </w:p>
    <w:p w14:paraId="74507D56">
      <w:pPr>
        <w:spacing w:before="156" w:beforeLines="50" w:after="156" w:afterLines="50" w:line="500" w:lineRule="exact"/>
        <w:jc w:val="center"/>
        <w:rPr>
          <w:rFonts w:hAnsi="宋体"/>
          <w:b/>
          <w:color w:val="auto"/>
          <w:sz w:val="22"/>
          <w:szCs w:val="22"/>
          <w:highlight w:val="none"/>
        </w:rPr>
      </w:pPr>
      <w:r>
        <w:rPr>
          <w:rFonts w:hint="eastAsia" w:ascii="宋体" w:hAnsi="宋体"/>
          <w:b/>
          <w:color w:val="auto"/>
          <w:sz w:val="24"/>
          <w:highlight w:val="none"/>
        </w:rPr>
        <w:t>拟投入项目人员一览表</w:t>
      </w:r>
      <w:r>
        <w:rPr>
          <w:rFonts w:hint="eastAsia" w:hAnsi="宋体"/>
          <w:b/>
          <w:color w:val="auto"/>
          <w:sz w:val="22"/>
          <w:szCs w:val="22"/>
          <w:highlight w:val="none"/>
        </w:rPr>
        <w:t>（格式）</w:t>
      </w:r>
    </w:p>
    <w:tbl>
      <w:tblPr>
        <w:tblStyle w:val="36"/>
        <w:tblW w:w="92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1"/>
        <w:gridCol w:w="3087"/>
        <w:gridCol w:w="3400"/>
        <w:gridCol w:w="1743"/>
      </w:tblGrid>
      <w:tr w14:paraId="6A85C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4" w:hRule="atLeast"/>
          <w:jc w:val="center"/>
        </w:trPr>
        <w:tc>
          <w:tcPr>
            <w:tcW w:w="1031" w:type="dxa"/>
            <w:noWrap w:val="0"/>
            <w:vAlign w:val="center"/>
          </w:tcPr>
          <w:p w14:paraId="724563D8">
            <w:pPr>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087" w:type="dxa"/>
            <w:noWrap w:val="0"/>
            <w:vAlign w:val="center"/>
          </w:tcPr>
          <w:p w14:paraId="51EBEE75">
            <w:pPr>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3400" w:type="dxa"/>
            <w:noWrap w:val="0"/>
            <w:vAlign w:val="center"/>
          </w:tcPr>
          <w:p w14:paraId="3064DD29">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拟任职务</w:t>
            </w:r>
          </w:p>
        </w:tc>
        <w:tc>
          <w:tcPr>
            <w:tcW w:w="1743" w:type="dxa"/>
            <w:noWrap w:val="0"/>
            <w:vAlign w:val="center"/>
          </w:tcPr>
          <w:p w14:paraId="4390BA10">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5BF6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4" w:hRule="atLeast"/>
          <w:jc w:val="center"/>
        </w:trPr>
        <w:tc>
          <w:tcPr>
            <w:tcW w:w="1031" w:type="dxa"/>
            <w:noWrap w:val="0"/>
            <w:vAlign w:val="center"/>
          </w:tcPr>
          <w:p w14:paraId="53AEF880">
            <w:pPr>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087" w:type="dxa"/>
            <w:noWrap w:val="0"/>
            <w:vAlign w:val="center"/>
          </w:tcPr>
          <w:p w14:paraId="6630019E">
            <w:pPr>
              <w:autoSpaceDE w:val="0"/>
              <w:autoSpaceDN w:val="0"/>
              <w:spacing w:line="360" w:lineRule="auto"/>
              <w:jc w:val="center"/>
              <w:rPr>
                <w:rFonts w:hint="eastAsia" w:ascii="宋体" w:hAnsi="宋体" w:eastAsia="宋体" w:cs="宋体"/>
                <w:color w:val="auto"/>
                <w:kern w:val="0"/>
                <w:sz w:val="21"/>
                <w:szCs w:val="21"/>
                <w:highlight w:val="none"/>
              </w:rPr>
            </w:pPr>
          </w:p>
        </w:tc>
        <w:tc>
          <w:tcPr>
            <w:tcW w:w="3400" w:type="dxa"/>
            <w:noWrap w:val="0"/>
            <w:vAlign w:val="center"/>
          </w:tcPr>
          <w:p w14:paraId="33D8BF28">
            <w:pPr>
              <w:autoSpaceDE w:val="0"/>
              <w:autoSpaceDN w:val="0"/>
              <w:spacing w:line="360" w:lineRule="auto"/>
              <w:jc w:val="center"/>
              <w:rPr>
                <w:rFonts w:hint="eastAsia" w:ascii="宋体" w:hAnsi="宋体" w:eastAsia="宋体" w:cs="宋体"/>
                <w:color w:val="auto"/>
                <w:kern w:val="0"/>
                <w:sz w:val="21"/>
                <w:szCs w:val="21"/>
                <w:highlight w:val="none"/>
              </w:rPr>
            </w:pPr>
          </w:p>
        </w:tc>
        <w:tc>
          <w:tcPr>
            <w:tcW w:w="1743" w:type="dxa"/>
            <w:noWrap w:val="0"/>
            <w:vAlign w:val="center"/>
          </w:tcPr>
          <w:p w14:paraId="754C2A03">
            <w:pPr>
              <w:autoSpaceDE w:val="0"/>
              <w:autoSpaceDN w:val="0"/>
              <w:spacing w:line="360" w:lineRule="auto"/>
              <w:jc w:val="center"/>
              <w:rPr>
                <w:rFonts w:hint="eastAsia" w:ascii="宋体" w:hAnsi="宋体" w:eastAsia="宋体" w:cs="宋体"/>
                <w:color w:val="auto"/>
                <w:kern w:val="0"/>
                <w:sz w:val="21"/>
                <w:szCs w:val="21"/>
                <w:highlight w:val="none"/>
              </w:rPr>
            </w:pPr>
          </w:p>
        </w:tc>
      </w:tr>
      <w:tr w14:paraId="5AAEF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4" w:hRule="atLeast"/>
          <w:jc w:val="center"/>
        </w:trPr>
        <w:tc>
          <w:tcPr>
            <w:tcW w:w="1031" w:type="dxa"/>
            <w:noWrap w:val="0"/>
            <w:vAlign w:val="center"/>
          </w:tcPr>
          <w:p w14:paraId="093840D5">
            <w:pPr>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087" w:type="dxa"/>
            <w:noWrap w:val="0"/>
            <w:vAlign w:val="center"/>
          </w:tcPr>
          <w:p w14:paraId="4A0C216F">
            <w:pPr>
              <w:autoSpaceDE w:val="0"/>
              <w:autoSpaceDN w:val="0"/>
              <w:spacing w:line="360" w:lineRule="auto"/>
              <w:jc w:val="center"/>
              <w:rPr>
                <w:rFonts w:hint="eastAsia" w:ascii="宋体" w:hAnsi="宋体" w:eastAsia="宋体" w:cs="宋体"/>
                <w:color w:val="auto"/>
                <w:kern w:val="0"/>
                <w:sz w:val="21"/>
                <w:szCs w:val="21"/>
                <w:highlight w:val="none"/>
              </w:rPr>
            </w:pPr>
          </w:p>
        </w:tc>
        <w:tc>
          <w:tcPr>
            <w:tcW w:w="3400" w:type="dxa"/>
            <w:noWrap w:val="0"/>
            <w:vAlign w:val="center"/>
          </w:tcPr>
          <w:p w14:paraId="43816169">
            <w:pPr>
              <w:autoSpaceDE w:val="0"/>
              <w:autoSpaceDN w:val="0"/>
              <w:spacing w:line="360" w:lineRule="auto"/>
              <w:jc w:val="center"/>
              <w:rPr>
                <w:rFonts w:hint="eastAsia" w:ascii="宋体" w:hAnsi="宋体" w:eastAsia="宋体" w:cs="宋体"/>
                <w:color w:val="auto"/>
                <w:kern w:val="0"/>
                <w:sz w:val="21"/>
                <w:szCs w:val="21"/>
                <w:highlight w:val="none"/>
              </w:rPr>
            </w:pPr>
          </w:p>
        </w:tc>
        <w:tc>
          <w:tcPr>
            <w:tcW w:w="1743" w:type="dxa"/>
            <w:noWrap w:val="0"/>
            <w:vAlign w:val="center"/>
          </w:tcPr>
          <w:p w14:paraId="7C7C0BBD">
            <w:pPr>
              <w:autoSpaceDE w:val="0"/>
              <w:autoSpaceDN w:val="0"/>
              <w:spacing w:line="360" w:lineRule="auto"/>
              <w:jc w:val="center"/>
              <w:rPr>
                <w:rFonts w:hint="eastAsia" w:ascii="宋体" w:hAnsi="宋体" w:eastAsia="宋体" w:cs="宋体"/>
                <w:color w:val="auto"/>
                <w:kern w:val="0"/>
                <w:sz w:val="21"/>
                <w:szCs w:val="21"/>
                <w:highlight w:val="none"/>
              </w:rPr>
            </w:pPr>
          </w:p>
        </w:tc>
      </w:tr>
      <w:tr w14:paraId="41FB9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4" w:hRule="atLeast"/>
          <w:jc w:val="center"/>
        </w:trPr>
        <w:tc>
          <w:tcPr>
            <w:tcW w:w="1031" w:type="dxa"/>
            <w:noWrap w:val="0"/>
            <w:vAlign w:val="center"/>
          </w:tcPr>
          <w:p w14:paraId="3DFB02D9">
            <w:pPr>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3087" w:type="dxa"/>
            <w:noWrap w:val="0"/>
            <w:vAlign w:val="center"/>
          </w:tcPr>
          <w:p w14:paraId="36F0BA3E">
            <w:pPr>
              <w:autoSpaceDE w:val="0"/>
              <w:autoSpaceDN w:val="0"/>
              <w:spacing w:line="360" w:lineRule="auto"/>
              <w:jc w:val="center"/>
              <w:rPr>
                <w:rFonts w:hint="eastAsia" w:ascii="宋体" w:hAnsi="宋体" w:eastAsia="宋体" w:cs="宋体"/>
                <w:color w:val="auto"/>
                <w:kern w:val="0"/>
                <w:sz w:val="21"/>
                <w:szCs w:val="21"/>
                <w:highlight w:val="none"/>
              </w:rPr>
            </w:pPr>
          </w:p>
        </w:tc>
        <w:tc>
          <w:tcPr>
            <w:tcW w:w="3400" w:type="dxa"/>
            <w:noWrap w:val="0"/>
            <w:vAlign w:val="center"/>
          </w:tcPr>
          <w:p w14:paraId="49C973EC">
            <w:pPr>
              <w:autoSpaceDE w:val="0"/>
              <w:autoSpaceDN w:val="0"/>
              <w:spacing w:line="360" w:lineRule="auto"/>
              <w:jc w:val="center"/>
              <w:rPr>
                <w:rFonts w:hint="eastAsia" w:ascii="宋体" w:hAnsi="宋体" w:eastAsia="宋体" w:cs="宋体"/>
                <w:color w:val="auto"/>
                <w:kern w:val="0"/>
                <w:sz w:val="21"/>
                <w:szCs w:val="21"/>
                <w:highlight w:val="none"/>
              </w:rPr>
            </w:pPr>
          </w:p>
        </w:tc>
        <w:tc>
          <w:tcPr>
            <w:tcW w:w="1743" w:type="dxa"/>
            <w:noWrap w:val="0"/>
            <w:vAlign w:val="center"/>
          </w:tcPr>
          <w:p w14:paraId="42A1F312">
            <w:pPr>
              <w:autoSpaceDE w:val="0"/>
              <w:autoSpaceDN w:val="0"/>
              <w:spacing w:line="360" w:lineRule="auto"/>
              <w:jc w:val="center"/>
              <w:rPr>
                <w:rFonts w:hint="eastAsia" w:ascii="宋体" w:hAnsi="宋体" w:eastAsia="宋体" w:cs="宋体"/>
                <w:color w:val="auto"/>
                <w:kern w:val="0"/>
                <w:sz w:val="21"/>
                <w:szCs w:val="21"/>
                <w:highlight w:val="none"/>
              </w:rPr>
            </w:pPr>
          </w:p>
        </w:tc>
      </w:tr>
      <w:tr w14:paraId="2D17E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2" w:hRule="atLeast"/>
          <w:jc w:val="center"/>
        </w:trPr>
        <w:tc>
          <w:tcPr>
            <w:tcW w:w="1031" w:type="dxa"/>
            <w:noWrap w:val="0"/>
            <w:vAlign w:val="center"/>
          </w:tcPr>
          <w:p w14:paraId="08B08758">
            <w:pPr>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N</w:t>
            </w:r>
          </w:p>
        </w:tc>
        <w:tc>
          <w:tcPr>
            <w:tcW w:w="3087" w:type="dxa"/>
            <w:noWrap w:val="0"/>
            <w:vAlign w:val="center"/>
          </w:tcPr>
          <w:p w14:paraId="536DE8A0">
            <w:pPr>
              <w:autoSpaceDE w:val="0"/>
              <w:autoSpaceDN w:val="0"/>
              <w:spacing w:line="360" w:lineRule="auto"/>
              <w:jc w:val="center"/>
              <w:rPr>
                <w:rFonts w:hint="eastAsia" w:ascii="宋体" w:hAnsi="宋体" w:eastAsia="宋体" w:cs="宋体"/>
                <w:color w:val="auto"/>
                <w:kern w:val="0"/>
                <w:sz w:val="21"/>
                <w:szCs w:val="21"/>
                <w:highlight w:val="none"/>
              </w:rPr>
            </w:pPr>
          </w:p>
        </w:tc>
        <w:tc>
          <w:tcPr>
            <w:tcW w:w="3400" w:type="dxa"/>
            <w:noWrap w:val="0"/>
            <w:vAlign w:val="center"/>
          </w:tcPr>
          <w:p w14:paraId="7677AFA9">
            <w:pPr>
              <w:autoSpaceDE w:val="0"/>
              <w:autoSpaceDN w:val="0"/>
              <w:spacing w:line="360" w:lineRule="auto"/>
              <w:jc w:val="center"/>
              <w:rPr>
                <w:rFonts w:hint="eastAsia" w:ascii="宋体" w:hAnsi="宋体" w:eastAsia="宋体" w:cs="宋体"/>
                <w:color w:val="auto"/>
                <w:kern w:val="0"/>
                <w:sz w:val="21"/>
                <w:szCs w:val="21"/>
                <w:highlight w:val="none"/>
              </w:rPr>
            </w:pPr>
          </w:p>
        </w:tc>
        <w:tc>
          <w:tcPr>
            <w:tcW w:w="1743" w:type="dxa"/>
            <w:noWrap w:val="0"/>
            <w:vAlign w:val="center"/>
          </w:tcPr>
          <w:p w14:paraId="71F9795D">
            <w:pPr>
              <w:autoSpaceDE w:val="0"/>
              <w:autoSpaceDN w:val="0"/>
              <w:spacing w:line="360" w:lineRule="auto"/>
              <w:jc w:val="center"/>
              <w:rPr>
                <w:rFonts w:hint="eastAsia" w:ascii="宋体" w:hAnsi="宋体" w:eastAsia="宋体" w:cs="宋体"/>
                <w:color w:val="auto"/>
                <w:kern w:val="0"/>
                <w:sz w:val="21"/>
                <w:szCs w:val="21"/>
                <w:highlight w:val="none"/>
              </w:rPr>
            </w:pPr>
          </w:p>
        </w:tc>
      </w:tr>
    </w:tbl>
    <w:p w14:paraId="4CD850E3">
      <w:pPr>
        <w:snapToGrid w:val="0"/>
        <w:spacing w:line="460" w:lineRule="exact"/>
        <w:rPr>
          <w:rFonts w:hAnsi="宋体"/>
          <w:b/>
          <w:color w:val="auto"/>
          <w:highlight w:val="none"/>
        </w:rPr>
      </w:pPr>
      <w:r>
        <w:rPr>
          <w:rFonts w:hint="eastAsia" w:hAnsi="宋体"/>
          <w:b/>
          <w:color w:val="auto"/>
          <w:highlight w:val="none"/>
        </w:rPr>
        <w:t>说明：1.在填写时，如本表格不适合投标单位的实际情况，可根据本表格式自行制表填写。</w:t>
      </w:r>
    </w:p>
    <w:p w14:paraId="02EAE6A6">
      <w:pPr>
        <w:snapToGrid w:val="0"/>
        <w:spacing w:line="460" w:lineRule="exact"/>
        <w:rPr>
          <w:rFonts w:hint="eastAsia" w:hAnsi="宋体"/>
          <w:b/>
          <w:color w:val="auto"/>
          <w:highlight w:val="none"/>
        </w:rPr>
      </w:pPr>
      <w:r>
        <w:rPr>
          <w:rFonts w:hint="eastAsia" w:hAnsi="宋体"/>
          <w:b/>
          <w:color w:val="auto"/>
          <w:highlight w:val="none"/>
        </w:rPr>
        <w:t xml:space="preserve">     </w:t>
      </w:r>
      <w:r>
        <w:rPr>
          <w:rFonts w:hAnsi="宋体"/>
          <w:b/>
          <w:color w:val="auto"/>
          <w:highlight w:val="none"/>
        </w:rPr>
        <w:t xml:space="preserve"> </w:t>
      </w:r>
      <w:r>
        <w:rPr>
          <w:rFonts w:hint="eastAsia" w:hAnsi="宋体"/>
          <w:b/>
          <w:color w:val="auto"/>
          <w:highlight w:val="none"/>
        </w:rPr>
        <w:t>2.如有，请提供有关证明材料。</w:t>
      </w:r>
    </w:p>
    <w:p w14:paraId="18632536">
      <w:pPr>
        <w:pStyle w:val="12"/>
        <w:ind w:firstLine="420"/>
        <w:rPr>
          <w:color w:val="auto"/>
          <w:highlight w:val="none"/>
        </w:rPr>
      </w:pPr>
    </w:p>
    <w:p w14:paraId="0AE562C7">
      <w:pPr>
        <w:pStyle w:val="22"/>
        <w:spacing w:line="520" w:lineRule="exact"/>
        <w:ind w:firstLine="2000" w:firstLineChars="1000"/>
        <w:rPr>
          <w:rFonts w:hAnsi="宋体"/>
          <w:color w:val="auto"/>
          <w:highlight w:val="none"/>
          <w:u w:val="single"/>
        </w:rPr>
      </w:pPr>
      <w:r>
        <w:rPr>
          <w:rFonts w:hint="eastAsia" w:hAnsi="宋体"/>
          <w:color w:val="auto"/>
          <w:highlight w:val="none"/>
        </w:rPr>
        <w:t>投标人</w:t>
      </w:r>
      <w:r>
        <w:rPr>
          <w:rFonts w:hint="eastAsia" w:hAnsi="宋体" w:cs="宋体"/>
          <w:color w:val="auto"/>
          <w:highlight w:val="none"/>
        </w:rPr>
        <w:t>（</w:t>
      </w:r>
      <w:r>
        <w:rPr>
          <w:rFonts w:hint="eastAsia" w:hAnsi="宋体"/>
          <w:color w:val="auto"/>
          <w:highlight w:val="none"/>
        </w:rPr>
        <w:t>CA证书签章</w:t>
      </w:r>
      <w:r>
        <w:rPr>
          <w:rFonts w:hint="eastAsia" w:hAnsi="宋体" w:cs="宋体"/>
          <w:color w:val="auto"/>
          <w:highlight w:val="none"/>
        </w:rPr>
        <w:t>）</w:t>
      </w:r>
      <w:r>
        <w:rPr>
          <w:rFonts w:hint="eastAsia" w:hAnsi="宋体"/>
          <w:color w:val="auto"/>
          <w:highlight w:val="none"/>
        </w:rPr>
        <w:t>：</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014BCCE4">
      <w:pPr>
        <w:pStyle w:val="22"/>
        <w:spacing w:line="520" w:lineRule="exact"/>
        <w:ind w:firstLine="2000" w:firstLineChars="10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日</w:t>
      </w:r>
    </w:p>
    <w:p w14:paraId="77CB12BB">
      <w:pPr>
        <w:tabs>
          <w:tab w:val="left" w:pos="1305"/>
        </w:tabs>
        <w:spacing w:before="156" w:beforeLines="50" w:after="156" w:afterLines="50" w:line="520" w:lineRule="exact"/>
        <w:jc w:val="center"/>
        <w:rPr>
          <w:rFonts w:hint="eastAsia" w:ascii="宋体" w:hAnsi="宋体"/>
          <w:b/>
          <w:color w:val="auto"/>
          <w:sz w:val="28"/>
          <w:szCs w:val="28"/>
          <w:highlight w:val="none"/>
          <w:lang w:val="en-US" w:eastAsia="zh-CN"/>
        </w:rPr>
      </w:pPr>
    </w:p>
    <w:p w14:paraId="54B432EB">
      <w:pPr>
        <w:tabs>
          <w:tab w:val="left" w:pos="1305"/>
        </w:tabs>
        <w:spacing w:before="156" w:beforeLines="50" w:after="156" w:afterLines="50" w:line="520" w:lineRule="exact"/>
        <w:jc w:val="center"/>
        <w:rPr>
          <w:rFonts w:hint="eastAsia" w:ascii="宋体" w:hAnsi="宋体"/>
          <w:b/>
          <w:color w:val="auto"/>
          <w:sz w:val="28"/>
          <w:szCs w:val="28"/>
          <w:highlight w:val="none"/>
          <w:lang w:val="en-US" w:eastAsia="zh-CN"/>
        </w:rPr>
      </w:pPr>
    </w:p>
    <w:p w14:paraId="35EEEF53">
      <w:pPr>
        <w:tabs>
          <w:tab w:val="left" w:pos="1305"/>
        </w:tabs>
        <w:spacing w:before="156" w:beforeLines="50" w:after="156" w:afterLines="50" w:line="520" w:lineRule="exact"/>
        <w:jc w:val="center"/>
        <w:rPr>
          <w:rFonts w:hint="eastAsia" w:ascii="宋体" w:hAnsi="宋体"/>
          <w:b/>
          <w:color w:val="auto"/>
          <w:sz w:val="28"/>
          <w:szCs w:val="28"/>
          <w:highlight w:val="none"/>
          <w:lang w:val="en-US" w:eastAsia="zh-CN"/>
        </w:rPr>
      </w:pPr>
    </w:p>
    <w:p w14:paraId="7A7A53C7">
      <w:pPr>
        <w:tabs>
          <w:tab w:val="left" w:pos="1305"/>
        </w:tabs>
        <w:spacing w:before="156" w:beforeLines="50" w:after="156" w:afterLines="50" w:line="520" w:lineRule="exact"/>
        <w:jc w:val="center"/>
        <w:rPr>
          <w:rFonts w:hint="eastAsia" w:ascii="宋体" w:hAnsi="宋体"/>
          <w:b/>
          <w:color w:val="auto"/>
          <w:sz w:val="28"/>
          <w:szCs w:val="28"/>
          <w:highlight w:val="none"/>
          <w:lang w:val="en-US" w:eastAsia="zh-CN"/>
        </w:rPr>
      </w:pPr>
    </w:p>
    <w:p w14:paraId="5B20441A">
      <w:pPr>
        <w:tabs>
          <w:tab w:val="left" w:pos="1305"/>
        </w:tabs>
        <w:spacing w:before="156" w:beforeLines="50" w:after="156" w:afterLines="50" w:line="520" w:lineRule="exact"/>
        <w:jc w:val="center"/>
        <w:rPr>
          <w:rFonts w:hint="eastAsia" w:ascii="宋体" w:hAnsi="宋体"/>
          <w:b/>
          <w:color w:val="auto"/>
          <w:sz w:val="28"/>
          <w:szCs w:val="28"/>
          <w:highlight w:val="none"/>
          <w:lang w:val="en-US" w:eastAsia="zh-CN"/>
        </w:rPr>
      </w:pPr>
    </w:p>
    <w:p w14:paraId="28EC5AA6">
      <w:pPr>
        <w:tabs>
          <w:tab w:val="left" w:pos="1305"/>
        </w:tabs>
        <w:spacing w:before="156" w:beforeLines="50" w:after="156" w:afterLines="50" w:line="520" w:lineRule="exact"/>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七、</w:t>
      </w:r>
      <w:r>
        <w:rPr>
          <w:rFonts w:hint="eastAsia" w:ascii="宋体" w:hAnsi="宋体"/>
          <w:b/>
          <w:color w:val="auto"/>
          <w:sz w:val="28"/>
          <w:szCs w:val="28"/>
          <w:highlight w:val="none"/>
        </w:rPr>
        <w:t>磋商供应商完成过同类或类似项目业绩的相关证明材料</w:t>
      </w:r>
    </w:p>
    <w:p w14:paraId="0189A1E4">
      <w:pPr>
        <w:spacing w:line="420" w:lineRule="exact"/>
        <w:jc w:val="center"/>
        <w:rPr>
          <w:rFonts w:ascii="宋体" w:hAnsi="宋体"/>
          <w:b/>
          <w:color w:val="auto"/>
          <w:szCs w:val="21"/>
          <w:highlight w:val="none"/>
        </w:rPr>
      </w:pPr>
      <w:r>
        <w:rPr>
          <w:rFonts w:hint="eastAsia" w:ascii="宋体" w:hAnsi="宋体"/>
          <w:b/>
          <w:color w:val="auto"/>
          <w:sz w:val="28"/>
          <w:szCs w:val="21"/>
          <w:highlight w:val="none"/>
        </w:rPr>
        <w:t>（</w:t>
      </w:r>
      <w:r>
        <w:rPr>
          <w:rFonts w:hint="eastAsia" w:ascii="宋体" w:hAnsi="宋体"/>
          <w:b/>
          <w:color w:val="auto"/>
          <w:szCs w:val="21"/>
          <w:highlight w:val="none"/>
        </w:rPr>
        <w:t>格式自拟</w:t>
      </w:r>
      <w:r>
        <w:rPr>
          <w:rFonts w:hint="eastAsia" w:ascii="宋体" w:hAnsi="宋体"/>
          <w:b/>
          <w:color w:val="auto"/>
          <w:sz w:val="28"/>
          <w:szCs w:val="21"/>
          <w:highlight w:val="none"/>
        </w:rPr>
        <w:t>）</w:t>
      </w:r>
    </w:p>
    <w:p w14:paraId="7F64B130">
      <w:pPr>
        <w:widowControl/>
        <w:jc w:val="left"/>
        <w:rPr>
          <w:rFonts w:ascii="宋体" w:hAnsi="宋体"/>
          <w:b/>
          <w:color w:val="auto"/>
          <w:sz w:val="28"/>
          <w:szCs w:val="28"/>
          <w:highlight w:val="none"/>
        </w:rPr>
      </w:pPr>
    </w:p>
    <w:p w14:paraId="72A0C07C">
      <w:pPr>
        <w:tabs>
          <w:tab w:val="left" w:pos="1305"/>
        </w:tabs>
        <w:spacing w:before="156" w:beforeLines="50" w:after="156" w:afterLines="50" w:line="520" w:lineRule="exact"/>
        <w:rPr>
          <w:rFonts w:ascii="宋体" w:hAnsi="宋体"/>
          <w:b/>
          <w:color w:val="auto"/>
          <w:sz w:val="28"/>
          <w:szCs w:val="28"/>
          <w:highlight w:val="none"/>
        </w:rPr>
      </w:pPr>
    </w:p>
    <w:p w14:paraId="589A749E">
      <w:pPr>
        <w:tabs>
          <w:tab w:val="left" w:pos="1305"/>
        </w:tabs>
        <w:spacing w:before="156" w:beforeLines="50" w:after="156" w:afterLines="50" w:line="520" w:lineRule="exact"/>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八</w:t>
      </w:r>
      <w:r>
        <w:rPr>
          <w:rFonts w:hint="eastAsia" w:ascii="宋体" w:hAnsi="宋体"/>
          <w:b/>
          <w:color w:val="auto"/>
          <w:sz w:val="28"/>
          <w:szCs w:val="28"/>
          <w:highlight w:val="none"/>
        </w:rPr>
        <w:t>、供应商可结合本项目的评标办法视自身情况自行提交相关证明材料</w:t>
      </w:r>
    </w:p>
    <w:p w14:paraId="7A41EB77">
      <w:pPr>
        <w:widowControl/>
        <w:jc w:val="left"/>
        <w:rPr>
          <w:rFonts w:ascii="宋体" w:hAnsi="宋体"/>
          <w:color w:val="auto"/>
          <w:kern w:val="0"/>
          <w:sz w:val="40"/>
          <w:szCs w:val="36"/>
          <w:highlight w:val="none"/>
        </w:rPr>
      </w:pPr>
    </w:p>
    <w:p w14:paraId="331529C8">
      <w:pPr>
        <w:pStyle w:val="22"/>
        <w:tabs>
          <w:tab w:val="left" w:pos="7560"/>
          <w:tab w:val="left" w:pos="7920"/>
        </w:tabs>
        <w:spacing w:line="360" w:lineRule="auto"/>
        <w:jc w:val="center"/>
        <w:rPr>
          <w:rFonts w:hAnsi="宋体"/>
          <w:color w:val="auto"/>
          <w:sz w:val="40"/>
          <w:szCs w:val="36"/>
          <w:highlight w:val="none"/>
        </w:rPr>
      </w:pPr>
    </w:p>
    <w:p w14:paraId="1E342858">
      <w:pPr>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2DA4673C">
      <w:pPr>
        <w:spacing w:before="156" w:beforeLines="50" w:after="156" w:afterLines="50" w:line="660" w:lineRule="exact"/>
        <w:jc w:val="center"/>
        <w:rPr>
          <w:rFonts w:ascii="宋体" w:hAnsi="宋体"/>
          <w:b/>
          <w:bCs/>
          <w:color w:val="auto"/>
          <w:sz w:val="36"/>
          <w:szCs w:val="36"/>
          <w:highlight w:val="none"/>
        </w:rPr>
      </w:pPr>
      <w:r>
        <w:rPr>
          <w:rFonts w:hint="eastAsia" w:ascii="宋体" w:hAnsi="宋体"/>
          <w:b/>
          <w:bCs/>
          <w:color w:val="auto"/>
          <w:sz w:val="36"/>
          <w:szCs w:val="36"/>
          <w:highlight w:val="none"/>
        </w:rPr>
        <w:t xml:space="preserve">第三节 </w:t>
      </w:r>
      <w:r>
        <w:rPr>
          <w:rFonts w:ascii="宋体" w:hAnsi="宋体"/>
          <w:b/>
          <w:bCs/>
          <w:color w:val="auto"/>
          <w:sz w:val="36"/>
          <w:szCs w:val="36"/>
          <w:highlight w:val="none"/>
        </w:rPr>
        <w:t xml:space="preserve"> 报价文件</w:t>
      </w:r>
      <w:r>
        <w:rPr>
          <w:rFonts w:hint="eastAsia" w:ascii="宋体" w:hAnsi="宋体"/>
          <w:b/>
          <w:bCs/>
          <w:color w:val="auto"/>
          <w:sz w:val="36"/>
          <w:szCs w:val="36"/>
          <w:highlight w:val="none"/>
        </w:rPr>
        <w:t>格式</w:t>
      </w:r>
    </w:p>
    <w:p w14:paraId="16225667">
      <w:pPr>
        <w:snapToGrid w:val="0"/>
        <w:ind w:right="1284"/>
        <w:rPr>
          <w:rFonts w:ascii="宋体" w:hAnsi="宋体" w:cs="¿¬Ìå"/>
          <w:b/>
          <w:color w:val="auto"/>
          <w:sz w:val="32"/>
          <w:szCs w:val="32"/>
          <w:highlight w:val="none"/>
        </w:rPr>
      </w:pPr>
    </w:p>
    <w:p w14:paraId="6C69F6C1">
      <w:pPr>
        <w:snapToGrid w:val="0"/>
        <w:rPr>
          <w:rFonts w:ascii="宋体" w:hAnsi="宋体" w:cs="¿¬Ìå"/>
          <w:b/>
          <w:color w:val="auto"/>
          <w:sz w:val="44"/>
          <w:szCs w:val="44"/>
          <w:highlight w:val="none"/>
        </w:rPr>
      </w:pPr>
    </w:p>
    <w:p w14:paraId="7669D247">
      <w:pPr>
        <w:pStyle w:val="16"/>
        <w:rPr>
          <w:rFonts w:ascii="宋体" w:hAnsi="宋体"/>
          <w:color w:val="auto"/>
          <w:highlight w:val="none"/>
        </w:rPr>
      </w:pPr>
    </w:p>
    <w:p w14:paraId="3C029EEF">
      <w:pPr>
        <w:rPr>
          <w:rFonts w:ascii="宋体" w:hAnsi="宋体"/>
          <w:color w:val="auto"/>
          <w:highlight w:val="none"/>
        </w:rPr>
      </w:pPr>
    </w:p>
    <w:p w14:paraId="76CAC4CA">
      <w:pPr>
        <w:snapToGrid w:val="0"/>
        <w:rPr>
          <w:rFonts w:ascii="宋体" w:hAnsi="宋体" w:cs="¿¬Ìå"/>
          <w:bCs/>
          <w:color w:val="auto"/>
          <w:sz w:val="44"/>
          <w:szCs w:val="44"/>
          <w:highlight w:val="none"/>
        </w:rPr>
      </w:pPr>
      <w:r>
        <w:rPr>
          <w:rFonts w:hint="eastAsia" w:ascii="宋体" w:hAnsi="宋体" w:cs="¿¬Ìå"/>
          <w:b/>
          <w:color w:val="auto"/>
          <w:sz w:val="44"/>
          <w:szCs w:val="44"/>
          <w:highlight w:val="none"/>
        </w:rPr>
        <w:t xml:space="preserve"> </w:t>
      </w:r>
      <w:r>
        <w:rPr>
          <w:rFonts w:ascii="宋体" w:hAnsi="宋体" w:cs="¿¬Ìå"/>
          <w:b/>
          <w:color w:val="auto"/>
          <w:sz w:val="44"/>
          <w:szCs w:val="44"/>
          <w:highlight w:val="none"/>
        </w:rPr>
        <w:t xml:space="preserve">                              </w:t>
      </w:r>
      <w:r>
        <w:rPr>
          <w:rFonts w:hint="eastAsia" w:ascii="宋体" w:hAnsi="宋体" w:cs="¿¬Ìå"/>
          <w:bCs/>
          <w:color w:val="auto"/>
          <w:sz w:val="36"/>
          <w:szCs w:val="36"/>
          <w:highlight w:val="none"/>
        </w:rPr>
        <w:t>电子响应文件</w:t>
      </w:r>
    </w:p>
    <w:p w14:paraId="322EAF34">
      <w:pPr>
        <w:snapToGrid w:val="0"/>
        <w:rPr>
          <w:rFonts w:ascii="宋体" w:hAnsi="宋体" w:cs="¿¬Ìå"/>
          <w:b/>
          <w:color w:val="auto"/>
          <w:sz w:val="44"/>
          <w:szCs w:val="44"/>
          <w:highlight w:val="none"/>
        </w:rPr>
      </w:pPr>
    </w:p>
    <w:p w14:paraId="58C01E45">
      <w:pPr>
        <w:pStyle w:val="16"/>
        <w:rPr>
          <w:rFonts w:ascii="宋体" w:hAnsi="宋体"/>
          <w:color w:val="auto"/>
          <w:highlight w:val="none"/>
        </w:rPr>
      </w:pPr>
    </w:p>
    <w:p w14:paraId="42A34CE2">
      <w:pPr>
        <w:rPr>
          <w:rFonts w:ascii="宋体" w:hAnsi="宋体"/>
          <w:color w:val="auto"/>
          <w:highlight w:val="none"/>
        </w:rPr>
      </w:pPr>
    </w:p>
    <w:p w14:paraId="65774AED">
      <w:pPr>
        <w:rPr>
          <w:rFonts w:ascii="宋体" w:hAnsi="宋体"/>
          <w:color w:val="auto"/>
          <w:highlight w:val="none"/>
        </w:rPr>
      </w:pPr>
    </w:p>
    <w:p w14:paraId="02317557">
      <w:pPr>
        <w:snapToGrid w:val="0"/>
        <w:jc w:val="center"/>
        <w:rPr>
          <w:rFonts w:ascii="宋体" w:hAnsi="宋体" w:cs="¿¬Ìå"/>
          <w:b/>
          <w:color w:val="auto"/>
          <w:sz w:val="40"/>
          <w:szCs w:val="40"/>
          <w:highlight w:val="none"/>
        </w:rPr>
      </w:pPr>
      <w:r>
        <w:rPr>
          <w:rFonts w:hint="eastAsia" w:ascii="宋体" w:hAnsi="宋体" w:cs="¿¬Ìå"/>
          <w:bCs/>
          <w:color w:val="auto"/>
          <w:sz w:val="56"/>
          <w:szCs w:val="56"/>
          <w:highlight w:val="none"/>
        </w:rPr>
        <w:t>报价文件</w:t>
      </w:r>
    </w:p>
    <w:p w14:paraId="317D6180">
      <w:pPr>
        <w:rPr>
          <w:rFonts w:ascii="宋体" w:hAnsi="宋体" w:cs="¿¬Ìå"/>
          <w:bCs/>
          <w:color w:val="auto"/>
          <w:sz w:val="30"/>
          <w:szCs w:val="30"/>
          <w:highlight w:val="none"/>
        </w:rPr>
      </w:pPr>
    </w:p>
    <w:p w14:paraId="5D316A96">
      <w:pPr>
        <w:rPr>
          <w:rFonts w:ascii="宋体" w:hAnsi="宋体" w:cs="¿¬Ìå"/>
          <w:bCs/>
          <w:color w:val="auto"/>
          <w:sz w:val="30"/>
          <w:szCs w:val="30"/>
          <w:highlight w:val="none"/>
        </w:rPr>
      </w:pPr>
    </w:p>
    <w:p w14:paraId="2249F039">
      <w:pPr>
        <w:spacing w:after="156" w:afterLines="50" w:line="360" w:lineRule="auto"/>
        <w:ind w:firstLine="560" w:firstLineChars="200"/>
        <w:rPr>
          <w:rFonts w:hint="default" w:ascii="宋体" w:hAnsi="宋体" w:eastAsia="宋体" w:cs="¿¬Ìå"/>
          <w:b w:val="0"/>
          <w:bCs/>
          <w:color w:val="auto"/>
          <w:sz w:val="28"/>
          <w:szCs w:val="28"/>
          <w:highlight w:val="none"/>
          <w:u w:val="single"/>
          <w:lang w:val="en-US" w:eastAsia="zh-CN"/>
        </w:rPr>
      </w:pPr>
      <w:r>
        <w:rPr>
          <w:rFonts w:hint="eastAsia" w:ascii="宋体" w:hAnsi="宋体" w:cs="¿¬Ìå"/>
          <w:b w:val="0"/>
          <w:bCs/>
          <w:color w:val="auto"/>
          <w:sz w:val="28"/>
          <w:szCs w:val="28"/>
          <w:highlight w:val="none"/>
        </w:rPr>
        <w:t>项目名称：</w:t>
      </w:r>
    </w:p>
    <w:p w14:paraId="5238A540">
      <w:pPr>
        <w:spacing w:after="156" w:afterLines="50" w:line="360" w:lineRule="auto"/>
        <w:ind w:firstLine="560" w:firstLineChars="200"/>
        <w:rPr>
          <w:rFonts w:ascii="宋体" w:hAnsi="宋体" w:cs="¿¬Ìå"/>
          <w:b w:val="0"/>
          <w:bCs/>
          <w:color w:val="auto"/>
          <w:sz w:val="28"/>
          <w:szCs w:val="28"/>
          <w:highlight w:val="none"/>
          <w:u w:val="single"/>
        </w:rPr>
      </w:pPr>
      <w:r>
        <w:rPr>
          <w:rFonts w:hint="eastAsia" w:ascii="宋体" w:hAnsi="宋体" w:cs="¿¬Ìå"/>
          <w:b w:val="0"/>
          <w:bCs/>
          <w:color w:val="auto"/>
          <w:sz w:val="28"/>
          <w:szCs w:val="28"/>
          <w:highlight w:val="none"/>
        </w:rPr>
        <w:t>项目编号：</w:t>
      </w:r>
    </w:p>
    <w:p w14:paraId="6B4CBCD4">
      <w:pPr>
        <w:snapToGrid w:val="0"/>
        <w:spacing w:before="156" w:beforeLines="50" w:after="50"/>
        <w:rPr>
          <w:rFonts w:ascii="宋体" w:hAnsi="宋体" w:cs="¿¬Ìå"/>
          <w:bCs/>
          <w:color w:val="auto"/>
          <w:sz w:val="28"/>
          <w:szCs w:val="28"/>
          <w:highlight w:val="none"/>
        </w:rPr>
      </w:pPr>
    </w:p>
    <w:p w14:paraId="0DD2B397">
      <w:pPr>
        <w:snapToGrid w:val="0"/>
        <w:spacing w:before="156" w:beforeLines="50" w:after="50"/>
        <w:rPr>
          <w:rFonts w:ascii="宋体" w:hAnsi="宋体"/>
          <w:color w:val="auto"/>
          <w:sz w:val="28"/>
          <w:szCs w:val="28"/>
          <w:highlight w:val="none"/>
        </w:rPr>
      </w:pPr>
    </w:p>
    <w:p w14:paraId="1E6BE4E9">
      <w:pPr>
        <w:snapToGrid w:val="0"/>
        <w:spacing w:before="156" w:beforeLines="50" w:after="50"/>
        <w:rPr>
          <w:rFonts w:ascii="宋体" w:hAnsi="宋体"/>
          <w:color w:val="auto"/>
          <w:sz w:val="28"/>
          <w:szCs w:val="28"/>
          <w:highlight w:val="none"/>
        </w:rPr>
      </w:pPr>
    </w:p>
    <w:p w14:paraId="0232BF83">
      <w:pPr>
        <w:snapToGrid w:val="0"/>
        <w:spacing w:before="156" w:beforeLines="50" w:after="50"/>
        <w:rPr>
          <w:rFonts w:ascii="宋体" w:hAnsi="宋体"/>
          <w:color w:val="auto"/>
          <w:sz w:val="28"/>
          <w:szCs w:val="28"/>
          <w:highlight w:val="none"/>
        </w:rPr>
      </w:pPr>
    </w:p>
    <w:p w14:paraId="05706EAF">
      <w:pPr>
        <w:pStyle w:val="17"/>
        <w:spacing w:after="156" w:line="600" w:lineRule="exact"/>
        <w:ind w:firstLine="840" w:firstLineChars="300"/>
        <w:rPr>
          <w:rFonts w:ascii="宋体" w:hAnsi="宋体" w:cs="¿¬Ìå"/>
          <w:bCs/>
          <w:color w:val="auto"/>
          <w:sz w:val="28"/>
          <w:szCs w:val="28"/>
          <w:highlight w:val="none"/>
          <w:u w:val="single"/>
        </w:rPr>
      </w:pPr>
      <w:r>
        <w:rPr>
          <w:rFonts w:hint="eastAsia" w:ascii="宋体" w:hAnsi="宋体" w:cs="¿¬Ìå"/>
          <w:bCs/>
          <w:color w:val="auto"/>
          <w:sz w:val="28"/>
          <w:szCs w:val="28"/>
          <w:highlight w:val="none"/>
        </w:rPr>
        <w:t>供应商 [公章(CA签章)]：</w:t>
      </w:r>
      <w:r>
        <w:rPr>
          <w:rFonts w:hint="eastAsia" w:ascii="宋体" w:hAnsi="宋体" w:cs="¿¬Ìå"/>
          <w:bCs/>
          <w:color w:val="auto"/>
          <w:sz w:val="28"/>
          <w:szCs w:val="28"/>
          <w:highlight w:val="none"/>
          <w:u w:val="single"/>
        </w:rPr>
        <w:t xml:space="preserve">          </w:t>
      </w:r>
      <w:r>
        <w:rPr>
          <w:rFonts w:ascii="宋体" w:hAnsi="宋体" w:cs="¿¬Ìå"/>
          <w:bCs/>
          <w:color w:val="auto"/>
          <w:sz w:val="28"/>
          <w:szCs w:val="28"/>
          <w:highlight w:val="none"/>
          <w:u w:val="single"/>
        </w:rPr>
        <w:t xml:space="preserve">   </w:t>
      </w:r>
      <w:r>
        <w:rPr>
          <w:rFonts w:hint="eastAsia" w:ascii="宋体" w:hAnsi="宋体" w:cs="¿¬Ìå"/>
          <w:bCs/>
          <w:color w:val="auto"/>
          <w:sz w:val="28"/>
          <w:szCs w:val="28"/>
          <w:highlight w:val="none"/>
          <w:u w:val="single"/>
        </w:rPr>
        <w:t xml:space="preserve">       </w:t>
      </w:r>
    </w:p>
    <w:p w14:paraId="2AFA91E4">
      <w:pPr>
        <w:pStyle w:val="18"/>
        <w:ind w:firstLine="400"/>
        <w:rPr>
          <w:rFonts w:ascii="宋体" w:hAnsi="宋体"/>
          <w:color w:val="auto"/>
          <w:sz w:val="20"/>
          <w:szCs w:val="22"/>
          <w:highlight w:val="none"/>
        </w:rPr>
      </w:pPr>
    </w:p>
    <w:p w14:paraId="79E7258A">
      <w:pPr>
        <w:pStyle w:val="17"/>
        <w:spacing w:after="156" w:line="600" w:lineRule="exact"/>
        <w:jc w:val="center"/>
        <w:rPr>
          <w:rFonts w:ascii="宋体" w:hAnsi="宋体" w:cs="¿¬Ìå"/>
          <w:bCs/>
          <w:color w:val="auto"/>
          <w:sz w:val="28"/>
          <w:szCs w:val="28"/>
          <w:highlight w:val="none"/>
        </w:rPr>
      </w:pPr>
      <w:r>
        <w:rPr>
          <w:rFonts w:hint="eastAsia" w:ascii="宋体" w:hAnsi="宋体" w:cs="¿¬Ìå"/>
          <w:bCs/>
          <w:color w:val="auto"/>
          <w:sz w:val="28"/>
          <w:szCs w:val="28"/>
          <w:highlight w:val="none"/>
        </w:rPr>
        <w:t>日期：</w:t>
      </w:r>
      <w:r>
        <w:rPr>
          <w:rFonts w:hint="eastAsia" w:ascii="宋体" w:hAnsi="宋体" w:cs="¿¬Ìå"/>
          <w:bCs/>
          <w:color w:val="auto"/>
          <w:sz w:val="28"/>
          <w:szCs w:val="28"/>
          <w:highlight w:val="none"/>
          <w:u w:val="single"/>
        </w:rPr>
        <w:t xml:space="preserve">    </w:t>
      </w:r>
      <w:r>
        <w:rPr>
          <w:rFonts w:ascii="宋体" w:hAnsi="宋体" w:cs="¿¬Ìå"/>
          <w:bCs/>
          <w:color w:val="auto"/>
          <w:sz w:val="28"/>
          <w:szCs w:val="28"/>
          <w:highlight w:val="none"/>
          <w:u w:val="single"/>
        </w:rPr>
        <w:t xml:space="preserve">   </w:t>
      </w:r>
      <w:r>
        <w:rPr>
          <w:rFonts w:hint="eastAsia" w:ascii="宋体" w:hAnsi="宋体" w:cs="¿¬Ìå"/>
          <w:bCs/>
          <w:color w:val="auto"/>
          <w:sz w:val="28"/>
          <w:szCs w:val="28"/>
          <w:highlight w:val="none"/>
          <w:u w:val="single"/>
        </w:rPr>
        <w:t xml:space="preserve">  </w:t>
      </w:r>
      <w:r>
        <w:rPr>
          <w:rFonts w:hint="eastAsia" w:ascii="宋体" w:hAnsi="宋体" w:cs="¿¬Ìå"/>
          <w:bCs/>
          <w:color w:val="auto"/>
          <w:sz w:val="28"/>
          <w:szCs w:val="28"/>
          <w:highlight w:val="none"/>
        </w:rPr>
        <w:t>年</w:t>
      </w:r>
      <w:r>
        <w:rPr>
          <w:rFonts w:hint="eastAsia" w:ascii="宋体" w:hAnsi="宋体" w:cs="¿¬Ìå"/>
          <w:bCs/>
          <w:color w:val="auto"/>
          <w:sz w:val="28"/>
          <w:szCs w:val="28"/>
          <w:highlight w:val="none"/>
          <w:u w:val="single"/>
        </w:rPr>
        <w:t xml:space="preserve">      </w:t>
      </w:r>
      <w:r>
        <w:rPr>
          <w:rFonts w:hint="eastAsia" w:ascii="宋体" w:hAnsi="宋体" w:cs="¿¬Ìå"/>
          <w:bCs/>
          <w:color w:val="auto"/>
          <w:sz w:val="28"/>
          <w:szCs w:val="28"/>
          <w:highlight w:val="none"/>
        </w:rPr>
        <w:t>月</w:t>
      </w:r>
      <w:r>
        <w:rPr>
          <w:rFonts w:hint="eastAsia" w:ascii="宋体" w:hAnsi="宋体" w:cs="¿¬Ìå"/>
          <w:bCs/>
          <w:color w:val="auto"/>
          <w:sz w:val="28"/>
          <w:szCs w:val="28"/>
          <w:highlight w:val="none"/>
          <w:u w:val="single"/>
        </w:rPr>
        <w:t xml:space="preserve">       </w:t>
      </w:r>
      <w:r>
        <w:rPr>
          <w:rFonts w:hint="eastAsia" w:ascii="宋体" w:hAnsi="宋体" w:cs="¿¬Ìå"/>
          <w:bCs/>
          <w:color w:val="auto"/>
          <w:sz w:val="28"/>
          <w:szCs w:val="28"/>
          <w:highlight w:val="none"/>
        </w:rPr>
        <w:t>日</w:t>
      </w:r>
    </w:p>
    <w:p w14:paraId="1228F87E">
      <w:pPr>
        <w:pStyle w:val="18"/>
        <w:ind w:firstLine="420"/>
        <w:rPr>
          <w:rFonts w:ascii="宋体" w:hAnsi="宋体"/>
          <w:color w:val="auto"/>
          <w:highlight w:val="none"/>
        </w:rPr>
      </w:pPr>
    </w:p>
    <w:p w14:paraId="71B00513">
      <w:pPr>
        <w:pStyle w:val="18"/>
        <w:ind w:firstLine="420"/>
        <w:rPr>
          <w:rFonts w:ascii="宋体" w:hAnsi="宋体"/>
          <w:color w:val="auto"/>
          <w:highlight w:val="none"/>
        </w:rPr>
      </w:pPr>
    </w:p>
    <w:p w14:paraId="26B69950">
      <w:pPr>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报价文件</w:t>
      </w:r>
      <w:r>
        <w:rPr>
          <w:rFonts w:ascii="宋体" w:hAnsi="宋体"/>
          <w:b/>
          <w:color w:val="auto"/>
          <w:sz w:val="32"/>
          <w:szCs w:val="32"/>
          <w:highlight w:val="none"/>
        </w:rPr>
        <w:t>目录</w:t>
      </w:r>
    </w:p>
    <w:p w14:paraId="148EE0AA">
      <w:pPr>
        <w:spacing w:line="460" w:lineRule="exact"/>
        <w:rPr>
          <w:rFonts w:ascii="宋体" w:hAnsi="宋体"/>
          <w:b/>
          <w:bCs/>
          <w:color w:val="auto"/>
          <w:sz w:val="24"/>
          <w:highlight w:val="none"/>
        </w:rPr>
      </w:pPr>
    </w:p>
    <w:p w14:paraId="674F20A7">
      <w:pPr>
        <w:spacing w:line="460" w:lineRule="exact"/>
        <w:rPr>
          <w:rFonts w:ascii="宋体" w:hAnsi="宋体"/>
          <w:color w:val="auto"/>
          <w:sz w:val="24"/>
          <w:highlight w:val="none"/>
        </w:rPr>
      </w:pPr>
      <w:r>
        <w:rPr>
          <w:rFonts w:hint="eastAsia" w:ascii="宋体" w:hAnsi="宋体"/>
          <w:color w:val="auto"/>
          <w:sz w:val="24"/>
          <w:highlight w:val="none"/>
        </w:rPr>
        <w:t>一、磋商函及磋商声明函</w:t>
      </w:r>
    </w:p>
    <w:p w14:paraId="545F5A61">
      <w:pPr>
        <w:spacing w:line="460" w:lineRule="exact"/>
        <w:rPr>
          <w:rFonts w:ascii="宋体" w:hAnsi="宋体"/>
          <w:color w:val="auto"/>
          <w:sz w:val="24"/>
          <w:highlight w:val="none"/>
        </w:rPr>
      </w:pPr>
      <w:r>
        <w:rPr>
          <w:rFonts w:hint="eastAsia" w:ascii="宋体" w:hAnsi="宋体"/>
          <w:color w:val="auto"/>
          <w:sz w:val="24"/>
          <w:highlight w:val="none"/>
        </w:rPr>
        <w:t>二、磋商报价表</w:t>
      </w:r>
    </w:p>
    <w:p w14:paraId="094E1CD1">
      <w:pPr>
        <w:spacing w:line="460" w:lineRule="exact"/>
        <w:rPr>
          <w:rFonts w:ascii="宋体" w:hAnsi="宋体"/>
          <w:color w:val="auto"/>
          <w:sz w:val="24"/>
          <w:highlight w:val="none"/>
        </w:rPr>
      </w:pPr>
      <w:r>
        <w:rPr>
          <w:rFonts w:hint="eastAsia" w:ascii="宋体" w:hAnsi="宋体"/>
          <w:color w:val="auto"/>
          <w:sz w:val="24"/>
          <w:highlight w:val="none"/>
        </w:rPr>
        <w:t>三、供应商认为需要提供的其他有关资料</w:t>
      </w:r>
    </w:p>
    <w:p w14:paraId="68DA9D36">
      <w:pPr>
        <w:spacing w:line="600" w:lineRule="exact"/>
        <w:ind w:firstLine="560" w:firstLineChars="200"/>
        <w:rPr>
          <w:rFonts w:ascii="宋体" w:hAnsi="宋体"/>
          <w:color w:val="auto"/>
          <w:sz w:val="28"/>
          <w:szCs w:val="21"/>
          <w:highlight w:val="none"/>
        </w:rPr>
      </w:pPr>
    </w:p>
    <w:p w14:paraId="4D1969B6">
      <w:pPr>
        <w:pStyle w:val="22"/>
        <w:tabs>
          <w:tab w:val="left" w:pos="7560"/>
          <w:tab w:val="left" w:pos="7920"/>
        </w:tabs>
        <w:spacing w:line="360" w:lineRule="auto"/>
        <w:jc w:val="center"/>
        <w:rPr>
          <w:rFonts w:hAnsi="宋体"/>
          <w:color w:val="auto"/>
          <w:sz w:val="40"/>
          <w:szCs w:val="36"/>
          <w:highlight w:val="none"/>
        </w:rPr>
      </w:pPr>
    </w:p>
    <w:p w14:paraId="7EDA046D">
      <w:pPr>
        <w:widowControl/>
        <w:jc w:val="left"/>
        <w:rPr>
          <w:rFonts w:ascii="宋体" w:hAnsi="宋体"/>
          <w:color w:val="auto"/>
          <w:kern w:val="0"/>
          <w:sz w:val="40"/>
          <w:szCs w:val="36"/>
          <w:highlight w:val="none"/>
        </w:rPr>
      </w:pPr>
      <w:r>
        <w:rPr>
          <w:rFonts w:hAnsi="宋体"/>
          <w:color w:val="auto"/>
          <w:sz w:val="40"/>
          <w:szCs w:val="36"/>
          <w:highlight w:val="none"/>
        </w:rPr>
        <w:br w:type="page"/>
      </w:r>
    </w:p>
    <w:p w14:paraId="68F98897">
      <w:pPr>
        <w:tabs>
          <w:tab w:val="left" w:pos="1305"/>
        </w:tabs>
        <w:spacing w:before="156" w:beforeLines="50" w:after="156" w:afterLines="50" w:line="520" w:lineRule="exact"/>
        <w:jc w:val="center"/>
        <w:rPr>
          <w:rFonts w:ascii="宋体" w:hAnsi="宋体"/>
          <w:b/>
          <w:color w:val="auto"/>
          <w:sz w:val="28"/>
          <w:szCs w:val="28"/>
          <w:highlight w:val="none"/>
        </w:rPr>
      </w:pPr>
      <w:r>
        <w:rPr>
          <w:rFonts w:hint="eastAsia" w:ascii="宋体" w:hAnsi="宋体"/>
          <w:b/>
          <w:color w:val="auto"/>
          <w:sz w:val="28"/>
          <w:szCs w:val="28"/>
          <w:highlight w:val="none"/>
        </w:rPr>
        <w:t>一、</w:t>
      </w:r>
      <w:r>
        <w:rPr>
          <w:rFonts w:ascii="宋体" w:hAnsi="宋体"/>
          <w:b/>
          <w:color w:val="auto"/>
          <w:sz w:val="28"/>
          <w:szCs w:val="28"/>
          <w:highlight w:val="none"/>
        </w:rPr>
        <w:t>磋商函及</w:t>
      </w:r>
      <w:r>
        <w:rPr>
          <w:rFonts w:hint="eastAsia" w:ascii="宋体" w:hAnsi="宋体"/>
          <w:b/>
          <w:color w:val="auto"/>
          <w:sz w:val="28"/>
          <w:szCs w:val="28"/>
          <w:highlight w:val="none"/>
        </w:rPr>
        <w:t>磋商声明函</w:t>
      </w:r>
    </w:p>
    <w:p w14:paraId="20520845">
      <w:pPr>
        <w:spacing w:before="156" w:beforeLines="50" w:after="312" w:afterLines="100" w:line="560" w:lineRule="exact"/>
        <w:jc w:val="center"/>
        <w:rPr>
          <w:rFonts w:ascii="宋体" w:hAnsi="宋体"/>
          <w:b/>
          <w:color w:val="auto"/>
          <w:sz w:val="28"/>
          <w:szCs w:val="32"/>
          <w:highlight w:val="none"/>
        </w:rPr>
      </w:pPr>
      <w:r>
        <w:rPr>
          <w:rFonts w:hint="eastAsia" w:ascii="宋体" w:hAnsi="宋体"/>
          <w:b/>
          <w:color w:val="auto"/>
          <w:sz w:val="28"/>
          <w:szCs w:val="32"/>
          <w:highlight w:val="none"/>
        </w:rPr>
        <w:t>磋商函（格式）</w:t>
      </w:r>
    </w:p>
    <w:p w14:paraId="76C2F2BA">
      <w:pPr>
        <w:spacing w:after="156" w:afterLines="50" w:line="500" w:lineRule="exact"/>
        <w:rPr>
          <w:rFonts w:ascii="宋体" w:hAnsi="宋体" w:cs="Courier New"/>
          <w:color w:val="auto"/>
          <w:kern w:val="0"/>
          <w:szCs w:val="21"/>
          <w:highlight w:val="none"/>
        </w:rPr>
      </w:pPr>
      <w:r>
        <w:rPr>
          <w:rFonts w:hint="eastAsia" w:ascii="宋体" w:hAnsi="宋体" w:cs="Courier New"/>
          <w:color w:val="auto"/>
          <w:kern w:val="0"/>
          <w:szCs w:val="21"/>
          <w:highlight w:val="none"/>
          <w:u w:val="single"/>
        </w:rPr>
        <w:t>（采购人名称）</w:t>
      </w:r>
      <w:r>
        <w:rPr>
          <w:rFonts w:hint="eastAsia" w:ascii="宋体" w:hAnsi="宋体" w:cs="Courier New"/>
          <w:color w:val="auto"/>
          <w:kern w:val="0"/>
          <w:szCs w:val="21"/>
          <w:highlight w:val="none"/>
        </w:rPr>
        <w:t>：</w:t>
      </w:r>
    </w:p>
    <w:p w14:paraId="6956E891">
      <w:pPr>
        <w:spacing w:line="440" w:lineRule="exact"/>
        <w:ind w:firstLine="420" w:firstLineChars="200"/>
        <w:rPr>
          <w:rFonts w:ascii="宋体" w:hAnsi="宋体" w:cs="Courier New"/>
          <w:color w:val="auto"/>
          <w:kern w:val="0"/>
          <w:szCs w:val="21"/>
          <w:highlight w:val="none"/>
        </w:rPr>
      </w:pPr>
      <w:r>
        <w:rPr>
          <w:rFonts w:hint="eastAsia" w:ascii="宋体" w:hAnsi="宋体" w:cs="Courier New"/>
          <w:color w:val="auto"/>
          <w:kern w:val="0"/>
          <w:szCs w:val="21"/>
          <w:highlight w:val="none"/>
        </w:rPr>
        <w:t>依据贵方</w:t>
      </w:r>
      <w:r>
        <w:rPr>
          <w:rFonts w:hint="eastAsia" w:ascii="宋体" w:hAnsi="宋体" w:cs="Courier New"/>
          <w:color w:val="auto"/>
          <w:kern w:val="0"/>
          <w:szCs w:val="21"/>
          <w:highlight w:val="none"/>
          <w:u w:val="single"/>
        </w:rPr>
        <w:t xml:space="preserve">   （项目名称/项目编号）   </w:t>
      </w:r>
      <w:r>
        <w:rPr>
          <w:rFonts w:hint="eastAsia" w:ascii="宋体" w:hAnsi="宋体" w:cs="Courier New"/>
          <w:color w:val="auto"/>
          <w:kern w:val="0"/>
          <w:szCs w:val="21"/>
          <w:highlight w:val="none"/>
        </w:rPr>
        <w:t>项目采购的磋商邀请，我方</w:t>
      </w:r>
      <w:r>
        <w:rPr>
          <w:rFonts w:hint="eastAsia" w:ascii="宋体" w:hAnsi="宋体" w:cs="Courier New"/>
          <w:color w:val="auto"/>
          <w:kern w:val="0"/>
          <w:szCs w:val="21"/>
          <w:highlight w:val="none"/>
          <w:u w:val="single"/>
        </w:rPr>
        <w:t xml:space="preserve">  （姓名和职务）   </w:t>
      </w:r>
      <w:r>
        <w:rPr>
          <w:rFonts w:hint="eastAsia" w:ascii="宋体" w:hAnsi="宋体" w:cs="Courier New"/>
          <w:color w:val="auto"/>
          <w:kern w:val="0"/>
          <w:szCs w:val="21"/>
          <w:highlight w:val="none"/>
        </w:rPr>
        <w:t>经正式授权并代表供应商</w:t>
      </w:r>
      <w:r>
        <w:rPr>
          <w:rFonts w:hint="eastAsia" w:ascii="宋体" w:hAnsi="宋体" w:cs="Courier New"/>
          <w:color w:val="auto"/>
          <w:kern w:val="0"/>
          <w:szCs w:val="21"/>
          <w:highlight w:val="none"/>
          <w:u w:val="single"/>
        </w:rPr>
        <w:t xml:space="preserve">    （供应商名称、地址）    </w:t>
      </w:r>
      <w:r>
        <w:rPr>
          <w:rFonts w:hint="eastAsia" w:ascii="宋体" w:hAnsi="宋体" w:cs="Courier New"/>
          <w:color w:val="auto"/>
          <w:kern w:val="0"/>
          <w:szCs w:val="21"/>
          <w:highlight w:val="none"/>
        </w:rPr>
        <w:t>提交电子响应文件一份。</w:t>
      </w:r>
    </w:p>
    <w:p w14:paraId="6C33E084">
      <w:pPr>
        <w:spacing w:line="440" w:lineRule="exact"/>
        <w:ind w:firstLine="420" w:firstLineChars="200"/>
        <w:rPr>
          <w:rFonts w:ascii="宋体" w:hAnsi="宋体" w:cs="Courier New"/>
          <w:color w:val="auto"/>
          <w:kern w:val="0"/>
          <w:szCs w:val="21"/>
          <w:highlight w:val="none"/>
        </w:rPr>
      </w:pPr>
      <w:r>
        <w:rPr>
          <w:rFonts w:hint="eastAsia" w:ascii="宋体" w:hAnsi="宋体" w:cs="Courier New"/>
          <w:color w:val="auto"/>
          <w:kern w:val="0"/>
          <w:szCs w:val="21"/>
          <w:highlight w:val="none"/>
        </w:rPr>
        <w:t>在此，授权代表宣布同意如下：</w:t>
      </w:r>
    </w:p>
    <w:p w14:paraId="7F0A9EA3">
      <w:pPr>
        <w:spacing w:line="440" w:lineRule="exact"/>
        <w:ind w:firstLine="420" w:firstLineChars="200"/>
        <w:rPr>
          <w:rFonts w:ascii="宋体" w:hAnsi="宋体" w:cs="Courier New"/>
          <w:color w:val="auto"/>
          <w:kern w:val="0"/>
          <w:szCs w:val="21"/>
          <w:highlight w:val="none"/>
        </w:rPr>
      </w:pPr>
      <w:r>
        <w:rPr>
          <w:rFonts w:hint="eastAsia" w:ascii="宋体" w:hAnsi="宋体" w:cs="Courier New"/>
          <w:color w:val="auto"/>
          <w:kern w:val="0"/>
          <w:szCs w:val="21"/>
          <w:highlight w:val="none"/>
        </w:rPr>
        <w:t>1. 将按竞争性磋商文件的约定履行合同责任和义务；</w:t>
      </w:r>
    </w:p>
    <w:p w14:paraId="2E139F50">
      <w:pPr>
        <w:spacing w:line="440" w:lineRule="exact"/>
        <w:ind w:firstLine="420" w:firstLineChars="200"/>
        <w:rPr>
          <w:rFonts w:ascii="宋体" w:hAnsi="宋体" w:cs="Courier New"/>
          <w:color w:val="auto"/>
          <w:kern w:val="0"/>
          <w:szCs w:val="21"/>
          <w:highlight w:val="none"/>
        </w:rPr>
      </w:pPr>
      <w:r>
        <w:rPr>
          <w:rFonts w:hint="eastAsia" w:ascii="宋体" w:hAnsi="宋体" w:cs="Courier New"/>
          <w:color w:val="auto"/>
          <w:kern w:val="0"/>
          <w:szCs w:val="21"/>
          <w:highlight w:val="none"/>
        </w:rPr>
        <w:t>2. 已详细审查全部竞争性磋商文件，包括</w:t>
      </w:r>
      <w:r>
        <w:rPr>
          <w:rFonts w:hint="eastAsia" w:ascii="宋体" w:hAnsi="宋体" w:cs="Courier New"/>
          <w:color w:val="auto"/>
          <w:kern w:val="0"/>
          <w:szCs w:val="21"/>
          <w:highlight w:val="none"/>
          <w:u w:val="single"/>
        </w:rPr>
        <w:t>（补遗文件）（如果有的话）</w:t>
      </w:r>
      <w:r>
        <w:rPr>
          <w:rFonts w:hint="eastAsia" w:ascii="宋体" w:hAnsi="宋体" w:cs="Courier New"/>
          <w:color w:val="auto"/>
          <w:kern w:val="0"/>
          <w:szCs w:val="21"/>
          <w:highlight w:val="none"/>
        </w:rPr>
        <w:t>；我们完全理解并同意放弃对这方面有不明及误解的权力；</w:t>
      </w:r>
    </w:p>
    <w:p w14:paraId="376FD914">
      <w:pPr>
        <w:spacing w:line="440" w:lineRule="exact"/>
        <w:ind w:firstLine="420" w:firstLineChars="200"/>
        <w:rPr>
          <w:rFonts w:ascii="宋体" w:hAnsi="宋体" w:cs="Courier New"/>
          <w:color w:val="auto"/>
          <w:kern w:val="0"/>
          <w:szCs w:val="21"/>
          <w:highlight w:val="none"/>
        </w:rPr>
      </w:pPr>
      <w:r>
        <w:rPr>
          <w:rFonts w:hint="eastAsia" w:ascii="宋体" w:hAnsi="宋体" w:cs="Courier New"/>
          <w:color w:val="auto"/>
          <w:kern w:val="0"/>
          <w:szCs w:val="21"/>
          <w:highlight w:val="none"/>
        </w:rPr>
        <w:t>3. 同意提供按照贵方可能要求的与其磋商有关的一切数据或资料；</w:t>
      </w:r>
    </w:p>
    <w:p w14:paraId="0602CE20">
      <w:pPr>
        <w:spacing w:line="440" w:lineRule="exact"/>
        <w:ind w:firstLine="420" w:firstLineChars="200"/>
        <w:rPr>
          <w:rFonts w:ascii="宋体" w:hAnsi="宋体" w:cs="Courier New"/>
          <w:color w:val="auto"/>
          <w:kern w:val="0"/>
          <w:szCs w:val="21"/>
          <w:highlight w:val="none"/>
        </w:rPr>
      </w:pPr>
      <w:r>
        <w:rPr>
          <w:rFonts w:hint="eastAsia" w:ascii="宋体" w:hAnsi="宋体" w:cs="Courier New"/>
          <w:color w:val="auto"/>
          <w:kern w:val="0"/>
          <w:szCs w:val="21"/>
          <w:highlight w:val="none"/>
        </w:rPr>
        <w:t>4. 与本磋商有关的一切正式往来信函请寄：</w:t>
      </w:r>
    </w:p>
    <w:p w14:paraId="6895A0CD">
      <w:pPr>
        <w:spacing w:line="440" w:lineRule="exact"/>
        <w:ind w:firstLine="420" w:firstLineChars="200"/>
        <w:rPr>
          <w:rFonts w:ascii="宋体" w:hAnsi="宋体" w:cs="Courier New"/>
          <w:color w:val="auto"/>
          <w:kern w:val="0"/>
          <w:szCs w:val="21"/>
          <w:highlight w:val="none"/>
          <w:u w:val="single"/>
        </w:rPr>
      </w:pPr>
      <w:r>
        <w:rPr>
          <w:rFonts w:hint="eastAsia" w:ascii="宋体" w:hAnsi="宋体" w:cs="Courier New"/>
          <w:color w:val="auto"/>
          <w:kern w:val="0"/>
          <w:szCs w:val="21"/>
          <w:highlight w:val="none"/>
        </w:rPr>
        <w:t xml:space="preserve">地址：                 </w:t>
      </w:r>
      <w:r>
        <w:rPr>
          <w:rFonts w:ascii="宋体" w:hAnsi="宋体" w:cs="Courier New"/>
          <w:color w:val="auto"/>
          <w:kern w:val="0"/>
          <w:szCs w:val="21"/>
          <w:highlight w:val="none"/>
        </w:rPr>
        <w:t xml:space="preserve">     </w:t>
      </w:r>
      <w:r>
        <w:rPr>
          <w:rFonts w:hint="eastAsia" w:ascii="宋体" w:hAnsi="宋体" w:cs="Courier New"/>
          <w:color w:val="auto"/>
          <w:kern w:val="0"/>
          <w:szCs w:val="21"/>
          <w:highlight w:val="none"/>
        </w:rPr>
        <w:t xml:space="preserve"> 邮政编号：</w:t>
      </w:r>
    </w:p>
    <w:p w14:paraId="30BFE38E">
      <w:pPr>
        <w:spacing w:line="440" w:lineRule="exact"/>
        <w:ind w:firstLine="420" w:firstLineChars="200"/>
        <w:rPr>
          <w:rFonts w:ascii="宋体" w:hAnsi="宋体" w:cs="Courier New"/>
          <w:color w:val="auto"/>
          <w:kern w:val="0"/>
          <w:szCs w:val="21"/>
          <w:highlight w:val="none"/>
        </w:rPr>
      </w:pPr>
      <w:r>
        <w:rPr>
          <w:rFonts w:hint="eastAsia" w:ascii="宋体" w:hAnsi="宋体" w:cs="Courier New"/>
          <w:color w:val="auto"/>
          <w:kern w:val="0"/>
          <w:szCs w:val="21"/>
          <w:highlight w:val="none"/>
        </w:rPr>
        <w:t xml:space="preserve">电话/传真：            </w:t>
      </w:r>
      <w:r>
        <w:rPr>
          <w:rFonts w:ascii="宋体" w:hAnsi="宋体" w:cs="Courier New"/>
          <w:color w:val="auto"/>
          <w:kern w:val="0"/>
          <w:szCs w:val="21"/>
          <w:highlight w:val="none"/>
        </w:rPr>
        <w:t xml:space="preserve">     </w:t>
      </w:r>
      <w:r>
        <w:rPr>
          <w:rFonts w:hint="eastAsia" w:ascii="宋体" w:hAnsi="宋体" w:cs="Courier New"/>
          <w:color w:val="auto"/>
          <w:kern w:val="0"/>
          <w:szCs w:val="21"/>
          <w:highlight w:val="none"/>
        </w:rPr>
        <w:t xml:space="preserve"> 电子函件：</w:t>
      </w:r>
    </w:p>
    <w:p w14:paraId="7283A35B">
      <w:pPr>
        <w:pStyle w:val="22"/>
        <w:spacing w:line="440" w:lineRule="exact"/>
        <w:ind w:firstLine="420" w:firstLineChars="200"/>
        <w:rPr>
          <w:rFonts w:hAnsi="宋体"/>
          <w:color w:val="auto"/>
          <w:sz w:val="21"/>
          <w:highlight w:val="none"/>
          <w:u w:val="single"/>
        </w:rPr>
      </w:pPr>
      <w:r>
        <w:rPr>
          <w:rFonts w:hint="eastAsia" w:hAnsi="宋体"/>
          <w:color w:val="auto"/>
          <w:sz w:val="21"/>
          <w:highlight w:val="none"/>
        </w:rPr>
        <w:t>开户名称：</w:t>
      </w:r>
    </w:p>
    <w:p w14:paraId="268848EE">
      <w:pPr>
        <w:pStyle w:val="22"/>
        <w:spacing w:line="440" w:lineRule="exact"/>
        <w:ind w:firstLine="420" w:firstLineChars="200"/>
        <w:rPr>
          <w:rFonts w:hAnsi="宋体"/>
          <w:color w:val="auto"/>
          <w:sz w:val="21"/>
          <w:highlight w:val="none"/>
        </w:rPr>
      </w:pPr>
      <w:r>
        <w:rPr>
          <w:rFonts w:hint="eastAsia" w:hAnsi="宋体"/>
          <w:color w:val="auto"/>
          <w:sz w:val="21"/>
          <w:highlight w:val="none"/>
        </w:rPr>
        <w:t>开户银行：</w:t>
      </w:r>
      <w:r>
        <w:rPr>
          <w:rFonts w:hint="eastAsia" w:hAnsi="宋体"/>
          <w:color w:val="auto"/>
          <w:sz w:val="21"/>
          <w:highlight w:val="none"/>
          <w:u w:val="single"/>
        </w:rPr>
        <w:t xml:space="preserve">                               　                   </w:t>
      </w:r>
    </w:p>
    <w:p w14:paraId="5F952342">
      <w:pPr>
        <w:pStyle w:val="22"/>
        <w:spacing w:line="440" w:lineRule="exact"/>
        <w:ind w:firstLine="420" w:firstLineChars="200"/>
        <w:rPr>
          <w:rFonts w:hAnsi="宋体"/>
          <w:color w:val="auto"/>
          <w:sz w:val="21"/>
          <w:highlight w:val="none"/>
        </w:rPr>
      </w:pPr>
      <w:r>
        <w:rPr>
          <w:rFonts w:hint="eastAsia" w:hAnsi="宋体"/>
          <w:color w:val="auto"/>
          <w:sz w:val="21"/>
          <w:highlight w:val="none"/>
        </w:rPr>
        <w:t>账号：</w:t>
      </w:r>
      <w:r>
        <w:rPr>
          <w:rFonts w:hint="eastAsia" w:hAnsi="宋体"/>
          <w:color w:val="auto"/>
          <w:sz w:val="21"/>
          <w:highlight w:val="none"/>
          <w:u w:val="single"/>
        </w:rPr>
        <w:t xml:space="preserve">                                   　　　               </w:t>
      </w:r>
    </w:p>
    <w:p w14:paraId="18443650">
      <w:pPr>
        <w:spacing w:line="440" w:lineRule="exact"/>
        <w:ind w:firstLine="420" w:firstLineChars="200"/>
        <w:rPr>
          <w:rFonts w:ascii="宋体" w:hAnsi="宋体" w:cs="Courier New"/>
          <w:color w:val="auto"/>
          <w:kern w:val="0"/>
          <w:szCs w:val="21"/>
          <w:highlight w:val="none"/>
        </w:rPr>
      </w:pPr>
    </w:p>
    <w:p w14:paraId="4DFBCDCB">
      <w:pPr>
        <w:pStyle w:val="22"/>
        <w:spacing w:line="520" w:lineRule="exact"/>
        <w:ind w:firstLine="420" w:firstLineChars="200"/>
        <w:rPr>
          <w:rFonts w:hAnsi="宋体"/>
          <w:color w:val="auto"/>
          <w:sz w:val="21"/>
          <w:highlight w:val="none"/>
          <w:u w:val="single"/>
        </w:rPr>
      </w:pPr>
      <w:r>
        <w:rPr>
          <w:rFonts w:hint="eastAsia" w:hAnsi="宋体"/>
          <w:color w:val="auto"/>
          <w:sz w:val="21"/>
          <w:highlight w:val="none"/>
        </w:rPr>
        <w:t>磋商供应商</w:t>
      </w:r>
      <w:r>
        <w:rPr>
          <w:rFonts w:hint="eastAsia" w:hAnsi="宋体" w:cs="宋体"/>
          <w:color w:val="auto"/>
          <w:sz w:val="21"/>
          <w:highlight w:val="none"/>
        </w:rPr>
        <w:t>（</w:t>
      </w:r>
      <w:r>
        <w:rPr>
          <w:rFonts w:hint="eastAsia" w:hAnsi="宋体"/>
          <w:color w:val="auto"/>
          <w:sz w:val="21"/>
          <w:highlight w:val="none"/>
        </w:rPr>
        <w:t>CA证书签章</w:t>
      </w:r>
      <w:r>
        <w:rPr>
          <w:rFonts w:hint="eastAsia" w:hAnsi="宋体" w:cs="宋体"/>
          <w:color w:val="auto"/>
          <w:sz w:val="21"/>
          <w:highlight w:val="none"/>
        </w:rPr>
        <w:t>）</w:t>
      </w:r>
      <w:r>
        <w:rPr>
          <w:rFonts w:hint="eastAsia" w:hAnsi="宋体"/>
          <w:color w:val="auto"/>
          <w:sz w:val="21"/>
          <w:highlight w:val="none"/>
        </w:rPr>
        <w:t>：</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70AF74DD">
      <w:pPr>
        <w:pStyle w:val="22"/>
        <w:spacing w:line="520" w:lineRule="exact"/>
        <w:ind w:firstLine="420" w:firstLineChars="200"/>
        <w:rPr>
          <w:rFonts w:hAnsi="宋体"/>
          <w:color w:val="auto"/>
          <w:sz w:val="21"/>
          <w:highlight w:val="none"/>
        </w:rPr>
      </w:pPr>
      <w:r>
        <w:rPr>
          <w:rFonts w:hint="eastAsia" w:hAnsi="宋体"/>
          <w:color w:val="auto"/>
          <w:sz w:val="21"/>
          <w:highlight w:val="none"/>
        </w:rPr>
        <w:t>法定代表人签字</w:t>
      </w:r>
      <w:r>
        <w:rPr>
          <w:rFonts w:hint="eastAsia" w:hAnsi="宋体" w:cs="宋体"/>
          <w:color w:val="auto"/>
          <w:sz w:val="21"/>
          <w:highlight w:val="none"/>
        </w:rPr>
        <w:t>（或个人CA证书签章）</w:t>
      </w:r>
      <w:r>
        <w:rPr>
          <w:rFonts w:hint="eastAsia" w:hAnsi="宋体"/>
          <w:color w:val="auto"/>
          <w:sz w:val="21"/>
          <w:highlight w:val="none"/>
        </w:rPr>
        <w:t>：</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 xml:space="preserve"> </w:t>
      </w:r>
    </w:p>
    <w:p w14:paraId="7A4E35FF">
      <w:pPr>
        <w:pStyle w:val="22"/>
        <w:spacing w:line="520" w:lineRule="exact"/>
        <w:ind w:firstLine="1680" w:firstLineChars="800"/>
        <w:rPr>
          <w:rFonts w:hAnsi="宋体"/>
          <w:color w:val="auto"/>
          <w:sz w:val="21"/>
          <w:highlight w:val="none"/>
        </w:r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rPr>
        <w:t>日</w:t>
      </w:r>
    </w:p>
    <w:p w14:paraId="7C2C44A2">
      <w:pPr>
        <w:spacing w:line="440" w:lineRule="exact"/>
        <w:ind w:firstLine="420" w:firstLineChars="200"/>
        <w:rPr>
          <w:rFonts w:ascii="宋体" w:hAnsi="宋体" w:cs="Courier New"/>
          <w:color w:val="auto"/>
          <w:kern w:val="0"/>
          <w:szCs w:val="21"/>
          <w:highlight w:val="none"/>
        </w:rPr>
      </w:pPr>
    </w:p>
    <w:p w14:paraId="4054643F">
      <w:pPr>
        <w:spacing w:line="440" w:lineRule="exact"/>
        <w:ind w:firstLine="420" w:firstLineChars="200"/>
        <w:rPr>
          <w:rFonts w:ascii="宋体" w:hAnsi="宋体" w:cs="Courier New"/>
          <w:color w:val="auto"/>
          <w:kern w:val="0"/>
          <w:szCs w:val="21"/>
          <w:highlight w:val="none"/>
        </w:rPr>
      </w:pPr>
    </w:p>
    <w:p w14:paraId="46561E52">
      <w:pPr>
        <w:spacing w:line="500" w:lineRule="exact"/>
        <w:ind w:firstLine="840"/>
        <w:rPr>
          <w:rFonts w:ascii="宋体" w:hAnsi="宋体" w:cs="Courier New"/>
          <w:color w:val="auto"/>
          <w:kern w:val="0"/>
          <w:szCs w:val="21"/>
          <w:highlight w:val="none"/>
        </w:rPr>
      </w:pPr>
    </w:p>
    <w:p w14:paraId="16C53229">
      <w:pPr>
        <w:spacing w:before="156" w:beforeLines="50" w:after="312" w:afterLines="100" w:line="560" w:lineRule="exact"/>
        <w:jc w:val="center"/>
        <w:rPr>
          <w:rFonts w:ascii="宋体" w:hAnsi="宋体"/>
          <w:b/>
          <w:color w:val="auto"/>
          <w:sz w:val="28"/>
          <w:szCs w:val="21"/>
          <w:highlight w:val="none"/>
        </w:rPr>
      </w:pPr>
      <w:r>
        <w:rPr>
          <w:rFonts w:hAnsi="宋体"/>
          <w:color w:val="auto"/>
          <w:highlight w:val="none"/>
        </w:rPr>
        <w:br w:type="page"/>
      </w:r>
      <w:r>
        <w:rPr>
          <w:rFonts w:hint="eastAsia" w:ascii="宋体" w:hAnsi="宋体"/>
          <w:b/>
          <w:color w:val="auto"/>
          <w:sz w:val="28"/>
          <w:szCs w:val="32"/>
          <w:highlight w:val="none"/>
        </w:rPr>
        <w:t>磋商声明函（格式）</w:t>
      </w:r>
    </w:p>
    <w:p w14:paraId="071FD3C6">
      <w:pPr>
        <w:snapToGrid w:val="0"/>
        <w:spacing w:line="44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s="Courier New"/>
          <w:color w:val="auto"/>
          <w:kern w:val="0"/>
          <w:szCs w:val="21"/>
          <w:highlight w:val="none"/>
          <w:u w:val="single"/>
        </w:rPr>
        <w:t>采购人名称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07D86C5">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（供应商名称）  </w:t>
      </w:r>
      <w:r>
        <w:rPr>
          <w:rFonts w:hint="eastAsia" w:ascii="宋体" w:hAnsi="宋体"/>
          <w:color w:val="auto"/>
          <w:szCs w:val="21"/>
          <w:highlight w:val="none"/>
        </w:rPr>
        <w:t>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F273275">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（姓名）  </w:t>
      </w:r>
      <w:r>
        <w:rPr>
          <w:rFonts w:hint="eastAsia" w:ascii="宋体" w:hAnsi="宋体"/>
          <w:color w:val="auto"/>
          <w:szCs w:val="21"/>
          <w:highlight w:val="none"/>
        </w:rPr>
        <w:t>系</w:t>
      </w:r>
      <w:r>
        <w:rPr>
          <w:rFonts w:hint="eastAsia" w:ascii="宋体" w:hAnsi="宋体"/>
          <w:color w:val="auto"/>
          <w:szCs w:val="21"/>
          <w:highlight w:val="none"/>
          <w:u w:val="single"/>
        </w:rPr>
        <w:t xml:space="preserve">  （供应商名称）  </w:t>
      </w:r>
      <w:r>
        <w:rPr>
          <w:rFonts w:hint="eastAsia" w:ascii="宋体" w:hAnsi="宋体"/>
          <w:color w:val="auto"/>
          <w:szCs w:val="21"/>
          <w:highlight w:val="none"/>
        </w:rPr>
        <w:t>的</w:t>
      </w:r>
      <w:r>
        <w:rPr>
          <w:rFonts w:hint="eastAsia" w:hAnsi="宋体"/>
          <w:color w:val="auto"/>
          <w:highlight w:val="none"/>
        </w:rPr>
        <w:t>法定代表人</w:t>
      </w:r>
      <w:r>
        <w:rPr>
          <w:rFonts w:hint="eastAsia" w:ascii="宋体" w:hAnsi="宋体"/>
          <w:color w:val="auto"/>
          <w:szCs w:val="21"/>
          <w:highlight w:val="none"/>
        </w:rPr>
        <w:t>，我方愿意参加贵方组织的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u w:val="single"/>
          <w:lang w:val="en-US" w:eastAsia="zh-CN"/>
        </w:rPr>
        <w:t>/</w:t>
      </w:r>
      <w:r>
        <w:rPr>
          <w:rFonts w:hint="eastAsia" w:ascii="宋体" w:hAnsi="宋体" w:cs="Courier New"/>
          <w:color w:val="auto"/>
          <w:kern w:val="0"/>
          <w:szCs w:val="21"/>
          <w:highlight w:val="none"/>
          <w:u w:val="single"/>
        </w:rPr>
        <w:t>项目编号）</w:t>
      </w:r>
      <w:r>
        <w:rPr>
          <w:rFonts w:hint="eastAsia" w:ascii="宋体" w:hAnsi="宋体"/>
          <w:color w:val="auto"/>
          <w:szCs w:val="21"/>
          <w:highlight w:val="none"/>
        </w:rPr>
        <w:t>项目的竞标，为便于贵方公正、择优地确定成交供应商及其竞标产品和服务，我方就本次竞标有关事项郑重声明如下：</w:t>
      </w:r>
    </w:p>
    <w:p w14:paraId="58B8F310">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3EA8D4A7">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079AC1E6">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 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我方就对本次响应文件进行注明如下：（两项内容中必须选择一项）</w:t>
      </w:r>
    </w:p>
    <w:p w14:paraId="7321DC5C">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37E4F78C">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1927149">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4.以上事项如有虚假或隐瞒，我方愿意承担一切后果，并不再寻求任何旨在减轻或免除法律责任的辩解。</w:t>
      </w:r>
    </w:p>
    <w:p w14:paraId="61E34D01">
      <w:pPr>
        <w:pStyle w:val="19"/>
        <w:tabs>
          <w:tab w:val="left" w:pos="939"/>
        </w:tabs>
        <w:snapToGrid w:val="0"/>
        <w:spacing w:line="440" w:lineRule="exact"/>
        <w:ind w:left="0" w:leftChars="0" w:firstLine="420" w:firstLineChars="200"/>
        <w:rPr>
          <w:rFonts w:ascii="宋体" w:hAnsi="宋体"/>
          <w:color w:val="auto"/>
          <w:szCs w:val="21"/>
          <w:highlight w:val="none"/>
        </w:rPr>
      </w:pPr>
    </w:p>
    <w:p w14:paraId="41456195">
      <w:pPr>
        <w:pStyle w:val="54"/>
        <w:snapToGrid w:val="0"/>
        <w:spacing w:line="440" w:lineRule="exact"/>
        <w:rPr>
          <w:rFonts w:ascii="宋体" w:hAnsi="宋体"/>
          <w:color w:val="auto"/>
          <w:sz w:val="21"/>
          <w:szCs w:val="21"/>
          <w:highlight w:val="none"/>
        </w:rPr>
      </w:pPr>
    </w:p>
    <w:p w14:paraId="039E6512">
      <w:pPr>
        <w:pStyle w:val="22"/>
        <w:spacing w:line="520" w:lineRule="exact"/>
        <w:ind w:firstLine="420" w:firstLineChars="200"/>
        <w:rPr>
          <w:rFonts w:hAnsi="宋体"/>
          <w:color w:val="auto"/>
          <w:sz w:val="21"/>
          <w:highlight w:val="none"/>
          <w:u w:val="single"/>
        </w:rPr>
      </w:pPr>
      <w:r>
        <w:rPr>
          <w:rFonts w:hint="eastAsia" w:hAnsi="宋体"/>
          <w:color w:val="auto"/>
          <w:sz w:val="21"/>
          <w:highlight w:val="none"/>
        </w:rPr>
        <w:t>磋商供应商</w:t>
      </w:r>
      <w:r>
        <w:rPr>
          <w:rFonts w:hint="eastAsia" w:hAnsi="宋体" w:cs="宋体"/>
          <w:color w:val="auto"/>
          <w:sz w:val="21"/>
          <w:highlight w:val="none"/>
        </w:rPr>
        <w:t>（</w:t>
      </w:r>
      <w:r>
        <w:rPr>
          <w:rFonts w:hint="eastAsia" w:hAnsi="宋体"/>
          <w:color w:val="auto"/>
          <w:sz w:val="21"/>
          <w:highlight w:val="none"/>
        </w:rPr>
        <w:t>CA证书签章</w:t>
      </w:r>
      <w:r>
        <w:rPr>
          <w:rFonts w:hint="eastAsia" w:hAnsi="宋体" w:cs="宋体"/>
          <w:color w:val="auto"/>
          <w:sz w:val="21"/>
          <w:highlight w:val="none"/>
        </w:rPr>
        <w:t>）</w:t>
      </w:r>
      <w:r>
        <w:rPr>
          <w:rFonts w:hint="eastAsia" w:hAnsi="宋体"/>
          <w:color w:val="auto"/>
          <w:sz w:val="21"/>
          <w:highlight w:val="none"/>
        </w:rPr>
        <w:t>：</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69DEDAC4">
      <w:pPr>
        <w:pStyle w:val="22"/>
        <w:spacing w:line="520" w:lineRule="exact"/>
        <w:ind w:firstLine="420" w:firstLineChars="200"/>
        <w:rPr>
          <w:rFonts w:hAnsi="宋体"/>
          <w:color w:val="auto"/>
          <w:sz w:val="21"/>
          <w:highlight w:val="none"/>
        </w:rPr>
      </w:pPr>
      <w:r>
        <w:rPr>
          <w:rFonts w:hint="eastAsia" w:hAnsi="宋体"/>
          <w:color w:val="auto"/>
          <w:sz w:val="21"/>
          <w:highlight w:val="none"/>
        </w:rPr>
        <w:t>法定代表人签字</w:t>
      </w:r>
      <w:r>
        <w:rPr>
          <w:rFonts w:hint="eastAsia" w:hAnsi="宋体" w:cs="宋体"/>
          <w:color w:val="auto"/>
          <w:sz w:val="21"/>
          <w:highlight w:val="none"/>
        </w:rPr>
        <w:t>（或个人CA证书签章）</w:t>
      </w:r>
      <w:r>
        <w:rPr>
          <w:rFonts w:hint="eastAsia" w:hAnsi="宋体"/>
          <w:color w:val="auto"/>
          <w:sz w:val="21"/>
          <w:highlight w:val="none"/>
        </w:rPr>
        <w:t>：</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 xml:space="preserve"> </w:t>
      </w:r>
    </w:p>
    <w:p w14:paraId="051C50DA">
      <w:pPr>
        <w:pStyle w:val="22"/>
        <w:spacing w:line="520" w:lineRule="exact"/>
        <w:ind w:firstLine="1680" w:firstLineChars="800"/>
        <w:rPr>
          <w:rFonts w:hAnsi="宋体"/>
          <w:color w:val="auto"/>
          <w:sz w:val="21"/>
          <w:highlight w:val="none"/>
        </w:r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rPr>
        <w:t>日</w:t>
      </w:r>
    </w:p>
    <w:p w14:paraId="6836F6C9">
      <w:pPr>
        <w:spacing w:line="440" w:lineRule="exact"/>
        <w:ind w:firstLine="420" w:firstLineChars="200"/>
        <w:rPr>
          <w:rFonts w:ascii="宋体" w:hAnsi="宋体" w:cs="Courier New"/>
          <w:color w:val="auto"/>
          <w:kern w:val="0"/>
          <w:szCs w:val="21"/>
          <w:highlight w:val="none"/>
        </w:rPr>
      </w:pPr>
    </w:p>
    <w:p w14:paraId="188625DB">
      <w:pPr>
        <w:spacing w:line="440" w:lineRule="exact"/>
        <w:rPr>
          <w:rFonts w:ascii="宋体" w:hAnsi="宋体"/>
          <w:color w:val="auto"/>
          <w:szCs w:val="21"/>
          <w:highlight w:val="none"/>
        </w:rPr>
      </w:pPr>
    </w:p>
    <w:p w14:paraId="3CB3CA4B">
      <w:pPr>
        <w:tabs>
          <w:tab w:val="left" w:pos="1305"/>
        </w:tabs>
        <w:spacing w:before="156" w:beforeLines="50" w:after="156" w:afterLines="50" w:line="520" w:lineRule="exact"/>
        <w:jc w:val="center"/>
        <w:rPr>
          <w:rFonts w:ascii="宋体" w:hAnsi="宋体"/>
          <w:b/>
          <w:color w:val="auto"/>
          <w:sz w:val="28"/>
          <w:szCs w:val="28"/>
          <w:highlight w:val="none"/>
        </w:rPr>
      </w:pPr>
    </w:p>
    <w:p w14:paraId="4667F081">
      <w:pPr>
        <w:tabs>
          <w:tab w:val="left" w:pos="1305"/>
        </w:tabs>
        <w:spacing w:before="156" w:beforeLines="50" w:after="156" w:afterLines="50" w:line="520" w:lineRule="exact"/>
        <w:jc w:val="center"/>
        <w:rPr>
          <w:rFonts w:ascii="宋体" w:hAnsi="宋体"/>
          <w:b/>
          <w:color w:val="auto"/>
          <w:sz w:val="28"/>
          <w:szCs w:val="28"/>
          <w:highlight w:val="none"/>
        </w:rPr>
      </w:pPr>
    </w:p>
    <w:p w14:paraId="25D75A49">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7A20A45C">
      <w:pPr>
        <w:tabs>
          <w:tab w:val="left" w:pos="1305"/>
        </w:tabs>
        <w:spacing w:before="156" w:beforeLines="50" w:after="156" w:afterLines="50" w:line="520" w:lineRule="exact"/>
        <w:jc w:val="center"/>
        <w:rPr>
          <w:rFonts w:ascii="宋体" w:hAnsi="宋体"/>
          <w:b/>
          <w:color w:val="auto"/>
          <w:sz w:val="28"/>
          <w:szCs w:val="28"/>
          <w:highlight w:val="none"/>
        </w:rPr>
      </w:pPr>
      <w:r>
        <w:rPr>
          <w:rFonts w:hint="eastAsia" w:ascii="宋体" w:hAnsi="宋体"/>
          <w:b/>
          <w:color w:val="auto"/>
          <w:sz w:val="28"/>
          <w:szCs w:val="28"/>
          <w:highlight w:val="none"/>
        </w:rPr>
        <w:t>二、磋商报价表</w:t>
      </w:r>
    </w:p>
    <w:p w14:paraId="7919DFB9">
      <w:pPr>
        <w:spacing w:line="360" w:lineRule="auto"/>
        <w:ind w:firstLine="210" w:firstLineChars="100"/>
        <w:rPr>
          <w:rFonts w:ascii="宋体" w:hAnsi="宋体"/>
          <w:color w:val="auto"/>
          <w:szCs w:val="21"/>
          <w:highlight w:val="none"/>
          <w:u w:val="single"/>
        </w:rPr>
      </w:pPr>
      <w:r>
        <w:rPr>
          <w:rFonts w:hint="eastAsia" w:ascii="宋体" w:hAnsi="宋体"/>
          <w:color w:val="auto"/>
          <w:szCs w:val="21"/>
          <w:highlight w:val="none"/>
        </w:rPr>
        <w:t>项目名称:</w:t>
      </w:r>
    </w:p>
    <w:p w14:paraId="6E373AC9">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项目编号:</w:t>
      </w:r>
    </w:p>
    <w:tbl>
      <w:tblPr>
        <w:tblStyle w:val="36"/>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490"/>
        <w:gridCol w:w="2976"/>
        <w:gridCol w:w="1134"/>
        <w:gridCol w:w="1103"/>
      </w:tblGrid>
      <w:tr w14:paraId="1ACC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900" w:type="dxa"/>
            <w:vAlign w:val="center"/>
          </w:tcPr>
          <w:p w14:paraId="45B1A3DA">
            <w:pPr>
              <w:spacing w:line="340" w:lineRule="exact"/>
              <w:jc w:val="cente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项号</w:t>
            </w:r>
          </w:p>
        </w:tc>
        <w:tc>
          <w:tcPr>
            <w:tcW w:w="3490" w:type="dxa"/>
            <w:vAlign w:val="center"/>
          </w:tcPr>
          <w:p w14:paraId="50E8A169">
            <w:pPr>
              <w:spacing w:line="340" w:lineRule="exact"/>
              <w:jc w:val="center"/>
              <w:rPr>
                <w:rFonts w:ascii="宋体" w:hAnsi="宋体"/>
                <w:color w:val="auto"/>
                <w:szCs w:val="21"/>
                <w:highlight w:val="none"/>
              </w:rPr>
            </w:pPr>
            <w:r>
              <w:rPr>
                <w:rFonts w:hint="eastAsia" w:ascii="宋体" w:hAnsi="宋体"/>
                <w:color w:val="auto"/>
                <w:szCs w:val="21"/>
                <w:highlight w:val="none"/>
                <w:lang w:val="en-US" w:eastAsia="zh-CN"/>
              </w:rPr>
              <w:t>服务</w:t>
            </w:r>
            <w:r>
              <w:rPr>
                <w:rFonts w:hint="eastAsia" w:ascii="宋体" w:hAnsi="宋体"/>
                <w:color w:val="auto"/>
                <w:szCs w:val="21"/>
                <w:highlight w:val="none"/>
              </w:rPr>
              <w:t>名称</w:t>
            </w:r>
          </w:p>
        </w:tc>
        <w:tc>
          <w:tcPr>
            <w:tcW w:w="2976" w:type="dxa"/>
            <w:vAlign w:val="center"/>
          </w:tcPr>
          <w:p w14:paraId="1A908015">
            <w:pPr>
              <w:spacing w:line="340" w:lineRule="exact"/>
              <w:jc w:val="center"/>
              <w:rPr>
                <w:rFonts w:ascii="宋体" w:hAnsi="宋体"/>
                <w:color w:val="auto"/>
                <w:szCs w:val="21"/>
                <w:highlight w:val="none"/>
              </w:rPr>
            </w:pPr>
            <w:r>
              <w:rPr>
                <w:rFonts w:hint="eastAsia" w:ascii="宋体" w:hAnsi="宋体"/>
                <w:color w:val="auto"/>
                <w:szCs w:val="21"/>
                <w:highlight w:val="none"/>
              </w:rPr>
              <w:t>服务内容</w:t>
            </w:r>
          </w:p>
        </w:tc>
        <w:tc>
          <w:tcPr>
            <w:tcW w:w="1134" w:type="dxa"/>
            <w:vAlign w:val="center"/>
          </w:tcPr>
          <w:p w14:paraId="45D413A0">
            <w:pPr>
              <w:spacing w:line="340" w:lineRule="exact"/>
              <w:jc w:val="center"/>
              <w:rPr>
                <w:rFonts w:ascii="宋体" w:hAnsi="宋体"/>
                <w:color w:val="auto"/>
                <w:szCs w:val="21"/>
                <w:highlight w:val="none"/>
              </w:rPr>
            </w:pPr>
            <w:r>
              <w:rPr>
                <w:rFonts w:hint="eastAsia" w:ascii="宋体" w:hAnsi="宋体"/>
                <w:color w:val="auto"/>
                <w:szCs w:val="21"/>
                <w:highlight w:val="none"/>
              </w:rPr>
              <w:t>数量</w:t>
            </w:r>
          </w:p>
        </w:tc>
        <w:tc>
          <w:tcPr>
            <w:tcW w:w="1103" w:type="dxa"/>
            <w:vAlign w:val="center"/>
          </w:tcPr>
          <w:p w14:paraId="1512AE8A">
            <w:pPr>
              <w:spacing w:line="340" w:lineRule="exact"/>
              <w:jc w:val="center"/>
              <w:rPr>
                <w:rFonts w:ascii="宋体" w:hAnsi="宋体"/>
                <w:color w:val="auto"/>
                <w:szCs w:val="21"/>
                <w:highlight w:val="none"/>
              </w:rPr>
            </w:pPr>
            <w:r>
              <w:rPr>
                <w:rFonts w:hint="eastAsia" w:ascii="宋体" w:hAnsi="宋体"/>
                <w:color w:val="auto"/>
                <w:szCs w:val="21"/>
                <w:highlight w:val="none"/>
              </w:rPr>
              <w:t>备注</w:t>
            </w:r>
          </w:p>
        </w:tc>
      </w:tr>
      <w:tr w14:paraId="6515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900" w:type="dxa"/>
            <w:vAlign w:val="center"/>
          </w:tcPr>
          <w:p w14:paraId="5E2F9ED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3490" w:type="dxa"/>
            <w:vAlign w:val="center"/>
          </w:tcPr>
          <w:p w14:paraId="090B5F98">
            <w:pPr>
              <w:spacing w:line="4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中国共产党贺州市平桂区委员会宣传部平桂工矿历史遗产数字化开发与融媒体传播平台建设项目</w:t>
            </w:r>
          </w:p>
        </w:tc>
        <w:tc>
          <w:tcPr>
            <w:tcW w:w="2976" w:type="dxa"/>
            <w:vAlign w:val="center"/>
          </w:tcPr>
          <w:p w14:paraId="547EDDAA">
            <w:pPr>
              <w:spacing w:line="440" w:lineRule="exact"/>
              <w:jc w:val="center"/>
              <w:rPr>
                <w:rFonts w:ascii="宋体" w:hAnsi="宋体"/>
                <w:color w:val="auto"/>
                <w:szCs w:val="21"/>
                <w:highlight w:val="none"/>
              </w:rPr>
            </w:pPr>
            <w:r>
              <w:rPr>
                <w:rFonts w:hint="eastAsia" w:ascii="宋体" w:hAnsi="宋体"/>
                <w:color w:val="auto"/>
                <w:szCs w:val="21"/>
                <w:highlight w:val="none"/>
              </w:rPr>
              <w:t>按《项目采购需求》的要求完成所有服务内容</w:t>
            </w:r>
          </w:p>
        </w:tc>
        <w:tc>
          <w:tcPr>
            <w:tcW w:w="1134" w:type="dxa"/>
            <w:vAlign w:val="center"/>
          </w:tcPr>
          <w:p w14:paraId="3938EECC">
            <w:pPr>
              <w:spacing w:line="440" w:lineRule="exact"/>
              <w:jc w:val="center"/>
              <w:rPr>
                <w:rFonts w:ascii="宋体" w:hAnsi="宋体"/>
                <w:color w:val="auto"/>
                <w:szCs w:val="21"/>
                <w:highlight w:val="none"/>
              </w:rPr>
            </w:pPr>
            <w:r>
              <w:rPr>
                <w:rFonts w:hint="eastAsia" w:ascii="宋体" w:hAnsi="宋体"/>
                <w:color w:val="auto"/>
                <w:szCs w:val="21"/>
                <w:highlight w:val="none"/>
              </w:rPr>
              <w:t>1项</w:t>
            </w:r>
          </w:p>
        </w:tc>
        <w:tc>
          <w:tcPr>
            <w:tcW w:w="1103" w:type="dxa"/>
            <w:vAlign w:val="center"/>
          </w:tcPr>
          <w:p w14:paraId="11C32EAD">
            <w:pPr>
              <w:spacing w:line="440" w:lineRule="exact"/>
              <w:jc w:val="center"/>
              <w:rPr>
                <w:rFonts w:ascii="宋体" w:hAnsi="宋体"/>
                <w:b/>
                <w:bCs/>
                <w:color w:val="auto"/>
                <w:szCs w:val="21"/>
                <w:highlight w:val="none"/>
              </w:rPr>
            </w:pPr>
          </w:p>
        </w:tc>
      </w:tr>
      <w:tr w14:paraId="0E63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9603" w:type="dxa"/>
            <w:gridSpan w:val="5"/>
            <w:vAlign w:val="center"/>
          </w:tcPr>
          <w:p w14:paraId="5F61F5AC">
            <w:pPr>
              <w:snapToGrid w:val="0"/>
              <w:spacing w:before="50" w:after="50"/>
              <w:rPr>
                <w:rFonts w:hint="eastAsia" w:ascii="宋体" w:hAnsi="宋体"/>
                <w:color w:val="auto"/>
                <w:szCs w:val="21"/>
                <w:highlight w:val="none"/>
                <w:u w:val="single"/>
              </w:rPr>
            </w:pPr>
            <w:r>
              <w:rPr>
                <w:rFonts w:hint="eastAsia" w:ascii="宋体" w:hAnsi="宋体"/>
                <w:color w:val="auto"/>
                <w:szCs w:val="21"/>
                <w:highlight w:val="none"/>
              </w:rPr>
              <w:t>磋商报价：人民币（大写）</w:t>
            </w:r>
            <w:r>
              <w:rPr>
                <w:rFonts w:hint="eastAsia" w:ascii="宋体" w:hAnsi="宋体"/>
                <w:color w:val="auto"/>
                <w:szCs w:val="21"/>
                <w:highlight w:val="none"/>
                <w:u w:val="single"/>
              </w:rPr>
              <w:t xml:space="preserve">                    （￥）                  </w:t>
            </w:r>
          </w:p>
        </w:tc>
      </w:tr>
      <w:tr w14:paraId="2CC0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603" w:type="dxa"/>
            <w:gridSpan w:val="5"/>
            <w:vAlign w:val="center"/>
          </w:tcPr>
          <w:p w14:paraId="1D085DC8">
            <w:pPr>
              <w:snapToGrid w:val="0"/>
              <w:spacing w:before="50" w:after="50" w:line="360" w:lineRule="auto"/>
              <w:rPr>
                <w:rFonts w:hint="eastAsia" w:ascii="宋体" w:hAnsi="宋体"/>
                <w:color w:val="auto"/>
                <w:szCs w:val="21"/>
                <w:highlight w:val="none"/>
              </w:rPr>
            </w:pP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w:t>
            </w:r>
          </w:p>
          <w:p w14:paraId="07BC3CD5">
            <w:pPr>
              <w:snapToGrid w:val="0"/>
              <w:spacing w:before="50" w:after="50" w:line="360" w:lineRule="auto"/>
              <w:rPr>
                <w:rFonts w:hint="default" w:eastAsia="宋体"/>
                <w:color w:val="auto"/>
                <w:highlight w:val="none"/>
                <w:u w:val="single"/>
                <w:lang w:val="en-US" w:eastAsia="zh-CN"/>
              </w:rPr>
            </w:pPr>
            <w:r>
              <w:rPr>
                <w:rFonts w:hint="eastAsia" w:ascii="宋体" w:hAnsi="宋体"/>
                <w:color w:val="auto"/>
                <w:szCs w:val="21"/>
                <w:highlight w:val="none"/>
                <w:lang w:val="en-US" w:eastAsia="zh-CN"/>
              </w:rPr>
              <w:t>竞标有效期：</w:t>
            </w:r>
            <w:r>
              <w:rPr>
                <w:rFonts w:hint="eastAsia" w:ascii="宋体" w:hAnsi="宋体"/>
                <w:color w:val="auto"/>
                <w:szCs w:val="21"/>
                <w:highlight w:val="none"/>
                <w:u w:val="single"/>
                <w:lang w:val="en-US" w:eastAsia="zh-CN"/>
              </w:rPr>
              <w:t xml:space="preserve">                       </w:t>
            </w:r>
          </w:p>
        </w:tc>
      </w:tr>
    </w:tbl>
    <w:p w14:paraId="4C3A6897">
      <w:pPr>
        <w:spacing w:line="360" w:lineRule="exact"/>
        <w:rPr>
          <w:rFonts w:ascii="宋体" w:hAnsi="宋体"/>
          <w:color w:val="auto"/>
          <w:szCs w:val="21"/>
          <w:highlight w:val="none"/>
        </w:rPr>
      </w:pPr>
    </w:p>
    <w:p w14:paraId="6A5CC654">
      <w:pPr>
        <w:pStyle w:val="22"/>
        <w:spacing w:line="360" w:lineRule="exact"/>
        <w:ind w:left="560" w:hanging="560"/>
        <w:rPr>
          <w:rFonts w:hAnsi="宋体"/>
          <w:color w:val="auto"/>
          <w:highlight w:val="none"/>
        </w:rPr>
      </w:pPr>
    </w:p>
    <w:p w14:paraId="705B71B5">
      <w:pPr>
        <w:pStyle w:val="22"/>
        <w:spacing w:line="360" w:lineRule="exact"/>
        <w:ind w:left="560" w:hanging="560"/>
        <w:rPr>
          <w:rFonts w:hAnsi="宋体"/>
          <w:color w:val="auto"/>
          <w:highlight w:val="none"/>
        </w:rPr>
      </w:pPr>
    </w:p>
    <w:p w14:paraId="70215DF3">
      <w:pPr>
        <w:pStyle w:val="22"/>
        <w:spacing w:line="520" w:lineRule="exact"/>
        <w:ind w:firstLine="420" w:firstLineChars="200"/>
        <w:rPr>
          <w:rFonts w:hAnsi="宋体"/>
          <w:color w:val="auto"/>
          <w:sz w:val="21"/>
          <w:highlight w:val="none"/>
          <w:u w:val="single"/>
        </w:rPr>
      </w:pPr>
      <w:r>
        <w:rPr>
          <w:rFonts w:hint="eastAsia" w:hAnsi="宋体"/>
          <w:color w:val="auto"/>
          <w:sz w:val="21"/>
          <w:highlight w:val="none"/>
        </w:rPr>
        <w:t>磋商供应商</w:t>
      </w:r>
      <w:r>
        <w:rPr>
          <w:rFonts w:hint="eastAsia" w:hAnsi="宋体" w:cs="宋体"/>
          <w:color w:val="auto"/>
          <w:sz w:val="21"/>
          <w:highlight w:val="none"/>
        </w:rPr>
        <w:t>（</w:t>
      </w:r>
      <w:r>
        <w:rPr>
          <w:rFonts w:hint="eastAsia" w:hAnsi="宋体"/>
          <w:color w:val="auto"/>
          <w:sz w:val="21"/>
          <w:highlight w:val="none"/>
        </w:rPr>
        <w:t>CA证书签章</w:t>
      </w:r>
      <w:r>
        <w:rPr>
          <w:rFonts w:hint="eastAsia" w:hAnsi="宋体" w:cs="宋体"/>
          <w:color w:val="auto"/>
          <w:sz w:val="21"/>
          <w:highlight w:val="none"/>
        </w:rPr>
        <w:t>）</w:t>
      </w:r>
      <w:r>
        <w:rPr>
          <w:rFonts w:hint="eastAsia" w:hAnsi="宋体"/>
          <w:color w:val="auto"/>
          <w:sz w:val="21"/>
          <w:highlight w:val="none"/>
        </w:rPr>
        <w:t>：</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64B87CA8">
      <w:pPr>
        <w:pStyle w:val="22"/>
        <w:spacing w:line="520" w:lineRule="exact"/>
        <w:ind w:firstLine="420" w:firstLineChars="200"/>
        <w:rPr>
          <w:rFonts w:hAnsi="宋体"/>
          <w:color w:val="auto"/>
          <w:sz w:val="21"/>
          <w:highlight w:val="none"/>
        </w:rPr>
      </w:pPr>
      <w:r>
        <w:rPr>
          <w:rFonts w:hint="eastAsia" w:hAnsi="宋体"/>
          <w:color w:val="auto"/>
          <w:sz w:val="21"/>
          <w:highlight w:val="none"/>
        </w:rPr>
        <w:t>法定代表人签字</w:t>
      </w:r>
      <w:r>
        <w:rPr>
          <w:rFonts w:hint="eastAsia" w:hAnsi="宋体" w:cs="宋体"/>
          <w:color w:val="auto"/>
          <w:sz w:val="21"/>
          <w:highlight w:val="none"/>
        </w:rPr>
        <w:t>（或个人CA证书签章）</w:t>
      </w:r>
      <w:r>
        <w:rPr>
          <w:rFonts w:hint="eastAsia" w:hAnsi="宋体"/>
          <w:color w:val="auto"/>
          <w:sz w:val="21"/>
          <w:highlight w:val="none"/>
        </w:rPr>
        <w:t>：</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 xml:space="preserve"> </w:t>
      </w:r>
    </w:p>
    <w:p w14:paraId="3ED45F0F">
      <w:pPr>
        <w:pStyle w:val="22"/>
        <w:spacing w:line="520" w:lineRule="exact"/>
        <w:ind w:firstLine="1680" w:firstLineChars="800"/>
        <w:rPr>
          <w:rFonts w:hAnsi="宋体"/>
          <w:color w:val="auto"/>
          <w:sz w:val="21"/>
          <w:highlight w:val="none"/>
        </w:r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rPr>
        <w:t>日</w:t>
      </w:r>
    </w:p>
    <w:p w14:paraId="358AD997">
      <w:pPr>
        <w:spacing w:line="440" w:lineRule="exact"/>
        <w:ind w:firstLine="420" w:firstLineChars="200"/>
        <w:rPr>
          <w:rFonts w:ascii="宋体" w:hAnsi="宋体" w:cs="Courier New"/>
          <w:color w:val="auto"/>
          <w:kern w:val="0"/>
          <w:szCs w:val="21"/>
          <w:highlight w:val="none"/>
        </w:rPr>
      </w:pPr>
    </w:p>
    <w:p w14:paraId="503AE02B">
      <w:pPr>
        <w:tabs>
          <w:tab w:val="left" w:pos="1305"/>
        </w:tabs>
        <w:spacing w:before="156" w:beforeLines="50" w:after="156" w:afterLines="50" w:line="520" w:lineRule="exact"/>
        <w:rPr>
          <w:rFonts w:ascii="宋体" w:hAnsi="宋体"/>
          <w:b/>
          <w:color w:val="auto"/>
          <w:sz w:val="28"/>
          <w:szCs w:val="21"/>
          <w:highlight w:val="none"/>
        </w:rPr>
      </w:pPr>
    </w:p>
    <w:p w14:paraId="1BBFA433">
      <w:pPr>
        <w:tabs>
          <w:tab w:val="left" w:pos="1305"/>
        </w:tabs>
        <w:spacing w:before="156" w:beforeLines="50" w:after="156" w:afterLines="50" w:line="520" w:lineRule="exact"/>
        <w:rPr>
          <w:rFonts w:ascii="宋体" w:hAnsi="宋体"/>
          <w:b/>
          <w:color w:val="auto"/>
          <w:sz w:val="28"/>
          <w:szCs w:val="28"/>
          <w:highlight w:val="none"/>
        </w:rPr>
      </w:pPr>
    </w:p>
    <w:p w14:paraId="04A4FFB8">
      <w:pPr>
        <w:numPr>
          <w:ilvl w:val="0"/>
          <w:numId w:val="4"/>
        </w:numPr>
        <w:tabs>
          <w:tab w:val="left" w:pos="1305"/>
        </w:tabs>
        <w:spacing w:before="156" w:beforeLines="50" w:after="156" w:afterLines="50" w:line="520" w:lineRule="exact"/>
        <w:ind w:left="0" w:leftChars="0" w:firstLine="0" w:firstLineChars="0"/>
        <w:jc w:val="center"/>
        <w:rPr>
          <w:rFonts w:hint="eastAsia" w:ascii="宋体" w:hAnsi="宋体"/>
          <w:b/>
          <w:color w:val="auto"/>
          <w:sz w:val="28"/>
          <w:szCs w:val="28"/>
          <w:highlight w:val="none"/>
        </w:rPr>
      </w:pPr>
      <w:r>
        <w:rPr>
          <w:rFonts w:hint="eastAsia" w:ascii="宋体" w:hAnsi="宋体"/>
          <w:b/>
          <w:color w:val="auto"/>
          <w:sz w:val="28"/>
          <w:szCs w:val="28"/>
          <w:highlight w:val="none"/>
        </w:rPr>
        <w:t>供应商认为需要提供的其他有关资料</w:t>
      </w:r>
    </w:p>
    <w:p w14:paraId="66FFEE29">
      <w:pPr>
        <w:widowControl w:val="0"/>
        <w:numPr>
          <w:ilvl w:val="0"/>
          <w:numId w:val="0"/>
        </w:numPr>
        <w:tabs>
          <w:tab w:val="left" w:pos="1305"/>
        </w:tabs>
        <w:spacing w:before="156" w:beforeLines="50" w:after="156" w:afterLines="50" w:line="520" w:lineRule="exact"/>
        <w:jc w:val="center"/>
        <w:rPr>
          <w:rFonts w:hint="eastAsia" w:ascii="宋体" w:hAnsi="宋体"/>
          <w:b/>
          <w:color w:val="auto"/>
          <w:sz w:val="28"/>
          <w:szCs w:val="28"/>
          <w:highlight w:val="none"/>
        </w:rPr>
      </w:pPr>
    </w:p>
    <w:p w14:paraId="5126F303">
      <w:pPr>
        <w:widowControl w:val="0"/>
        <w:numPr>
          <w:ilvl w:val="0"/>
          <w:numId w:val="0"/>
        </w:numPr>
        <w:tabs>
          <w:tab w:val="left" w:pos="1305"/>
        </w:tabs>
        <w:spacing w:before="156" w:beforeLines="50" w:after="156" w:afterLines="50" w:line="520" w:lineRule="exact"/>
        <w:jc w:val="center"/>
        <w:rPr>
          <w:rFonts w:hint="eastAsia" w:ascii="宋体" w:hAnsi="宋体"/>
          <w:b/>
          <w:color w:val="auto"/>
          <w:sz w:val="28"/>
          <w:szCs w:val="28"/>
          <w:highlight w:val="none"/>
        </w:rPr>
      </w:pPr>
    </w:p>
    <w:p w14:paraId="0913ED2E">
      <w:pPr>
        <w:widowControl w:val="0"/>
        <w:numPr>
          <w:ilvl w:val="0"/>
          <w:numId w:val="0"/>
        </w:numPr>
        <w:tabs>
          <w:tab w:val="left" w:pos="1305"/>
        </w:tabs>
        <w:spacing w:before="156" w:beforeLines="50" w:after="156" w:afterLines="50" w:line="520" w:lineRule="exact"/>
        <w:jc w:val="center"/>
        <w:rPr>
          <w:rFonts w:hint="eastAsia" w:ascii="宋体" w:hAnsi="宋体"/>
          <w:b/>
          <w:color w:val="auto"/>
          <w:sz w:val="28"/>
          <w:szCs w:val="28"/>
          <w:highlight w:val="none"/>
        </w:rPr>
      </w:pPr>
    </w:p>
    <w:p w14:paraId="2A10FEE5">
      <w:pPr>
        <w:widowControl w:val="0"/>
        <w:numPr>
          <w:ilvl w:val="0"/>
          <w:numId w:val="0"/>
        </w:numPr>
        <w:tabs>
          <w:tab w:val="left" w:pos="1305"/>
        </w:tabs>
        <w:spacing w:before="156" w:beforeLines="50" w:after="156" w:afterLines="50" w:line="520" w:lineRule="exact"/>
        <w:jc w:val="center"/>
        <w:rPr>
          <w:rFonts w:hint="eastAsia" w:ascii="宋体" w:hAnsi="宋体"/>
          <w:b/>
          <w:color w:val="auto"/>
          <w:sz w:val="28"/>
          <w:szCs w:val="28"/>
          <w:highlight w:val="none"/>
        </w:rPr>
      </w:pPr>
    </w:p>
    <w:p w14:paraId="0A145D83">
      <w:pPr>
        <w:pStyle w:val="22"/>
        <w:spacing w:after="156" w:line="440" w:lineRule="exact"/>
        <w:rPr>
          <w:rFonts w:hAnsi="宋体"/>
          <w:b/>
          <w:color w:val="auto"/>
          <w:sz w:val="32"/>
          <w:szCs w:val="32"/>
          <w:highlight w:val="none"/>
        </w:rPr>
      </w:pPr>
      <w:r>
        <w:rPr>
          <w:rFonts w:hint="eastAsia" w:hAnsi="宋体"/>
          <w:b/>
          <w:color w:val="auto"/>
          <w:sz w:val="28"/>
          <w:szCs w:val="28"/>
          <w:highlight w:val="none"/>
        </w:rPr>
        <w:t>附件</w:t>
      </w:r>
      <w:r>
        <w:rPr>
          <w:rFonts w:hAnsi="宋体"/>
          <w:b/>
          <w:color w:val="auto"/>
          <w:sz w:val="28"/>
          <w:szCs w:val="28"/>
          <w:highlight w:val="none"/>
        </w:rPr>
        <w:t>1</w:t>
      </w:r>
      <w:r>
        <w:rPr>
          <w:rFonts w:hint="eastAsia" w:hAnsi="宋体"/>
          <w:b/>
          <w:color w:val="auto"/>
          <w:sz w:val="28"/>
          <w:szCs w:val="28"/>
          <w:highlight w:val="none"/>
        </w:rPr>
        <w:t>：</w:t>
      </w:r>
    </w:p>
    <w:p w14:paraId="7B155457">
      <w:pPr>
        <w:spacing w:before="156" w:beforeLines="50" w:after="156" w:afterLines="50" w:line="560" w:lineRule="exact"/>
        <w:jc w:val="center"/>
        <w:rPr>
          <w:rFonts w:ascii="宋体" w:hAnsi="宋体" w:cs="仿宋"/>
          <w:b/>
          <w:bCs/>
          <w:color w:val="auto"/>
          <w:sz w:val="32"/>
          <w:szCs w:val="32"/>
          <w:highlight w:val="none"/>
        </w:rPr>
      </w:pPr>
      <w:r>
        <w:rPr>
          <w:rFonts w:hint="eastAsia" w:ascii="宋体" w:hAnsi="宋体" w:cs="仿宋"/>
          <w:b/>
          <w:bCs/>
          <w:color w:val="auto"/>
          <w:sz w:val="32"/>
          <w:szCs w:val="32"/>
          <w:highlight w:val="none"/>
        </w:rPr>
        <w:t>质疑函范本</w:t>
      </w:r>
    </w:p>
    <w:p w14:paraId="3FD63DB1">
      <w:pPr>
        <w:snapToGrid w:val="0"/>
        <w:spacing w:before="312" w:beforeLines="100" w:line="460" w:lineRule="exact"/>
        <w:rPr>
          <w:rFonts w:ascii="宋体" w:hAnsi="宋体" w:cs="仿宋"/>
          <w:bCs/>
          <w:color w:val="auto"/>
          <w:szCs w:val="21"/>
          <w:highlight w:val="none"/>
        </w:rPr>
      </w:pPr>
      <w:r>
        <w:rPr>
          <w:rFonts w:hint="eastAsia" w:ascii="宋体" w:hAnsi="宋体" w:cs="仿宋"/>
          <w:bCs/>
          <w:color w:val="auto"/>
          <w:szCs w:val="21"/>
          <w:highlight w:val="none"/>
        </w:rPr>
        <w:t>一、质疑供应商基本信息</w:t>
      </w:r>
    </w:p>
    <w:p w14:paraId="5768CB88">
      <w:pPr>
        <w:snapToGrid w:val="0"/>
        <w:spacing w:line="460" w:lineRule="exact"/>
        <w:rPr>
          <w:rFonts w:ascii="宋体" w:hAnsi="宋体" w:cs="仿宋"/>
          <w:color w:val="auto"/>
          <w:szCs w:val="21"/>
          <w:highlight w:val="none"/>
          <w:u w:val="dotted"/>
        </w:rPr>
      </w:pPr>
      <w:r>
        <w:rPr>
          <w:rFonts w:hint="eastAsia" w:ascii="宋体" w:hAnsi="宋体" w:cs="仿宋"/>
          <w:color w:val="auto"/>
          <w:szCs w:val="21"/>
          <w:highlight w:val="none"/>
        </w:rPr>
        <w:t>质疑供应商：</w:t>
      </w:r>
      <w:r>
        <w:rPr>
          <w:rFonts w:hint="eastAsia" w:ascii="宋体" w:hAnsi="宋体" w:cs="仿宋"/>
          <w:color w:val="auto"/>
          <w:szCs w:val="21"/>
          <w:highlight w:val="none"/>
          <w:u w:val="dotted"/>
        </w:rPr>
        <w:t xml:space="preserve">                                        </w:t>
      </w:r>
    </w:p>
    <w:p w14:paraId="7A505649">
      <w:pPr>
        <w:snapToGrid w:val="0"/>
        <w:spacing w:line="460" w:lineRule="exact"/>
        <w:rPr>
          <w:rFonts w:ascii="宋体" w:hAnsi="宋体" w:cs="仿宋"/>
          <w:color w:val="auto"/>
          <w:szCs w:val="21"/>
          <w:highlight w:val="none"/>
        </w:rPr>
      </w:pPr>
      <w:r>
        <w:rPr>
          <w:rFonts w:hint="eastAsia" w:ascii="宋体" w:hAnsi="宋体" w:cs="仿宋"/>
          <w:color w:val="auto"/>
          <w:szCs w:val="21"/>
          <w:highlight w:val="none"/>
        </w:rPr>
        <w:t>地址：</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邮编：</w:t>
      </w:r>
      <w:r>
        <w:rPr>
          <w:rFonts w:hint="eastAsia" w:ascii="宋体" w:hAnsi="宋体" w:cs="仿宋"/>
          <w:color w:val="auto"/>
          <w:szCs w:val="21"/>
          <w:highlight w:val="none"/>
          <w:u w:val="dotted"/>
        </w:rPr>
        <w:t xml:space="preserve">                                </w:t>
      </w:r>
    </w:p>
    <w:p w14:paraId="250EA215">
      <w:pPr>
        <w:snapToGrid w:val="0"/>
        <w:spacing w:line="460" w:lineRule="exact"/>
        <w:rPr>
          <w:rFonts w:ascii="宋体" w:hAnsi="宋体" w:cs="仿宋"/>
          <w:color w:val="auto"/>
          <w:szCs w:val="21"/>
          <w:highlight w:val="none"/>
        </w:rPr>
      </w:pPr>
      <w:r>
        <w:rPr>
          <w:rFonts w:hint="eastAsia" w:ascii="宋体" w:hAnsi="宋体" w:cs="仿宋"/>
          <w:color w:val="auto"/>
          <w:szCs w:val="21"/>
          <w:highlight w:val="none"/>
        </w:rPr>
        <w:t>联系人：</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联系电话：</w:t>
      </w:r>
      <w:r>
        <w:rPr>
          <w:rFonts w:hint="eastAsia" w:ascii="宋体" w:hAnsi="宋体" w:cs="仿宋"/>
          <w:color w:val="auto"/>
          <w:szCs w:val="21"/>
          <w:highlight w:val="none"/>
          <w:u w:val="dotted"/>
        </w:rPr>
        <w:t xml:space="preserve">                              </w:t>
      </w:r>
    </w:p>
    <w:p w14:paraId="68C13353">
      <w:pPr>
        <w:snapToGrid w:val="0"/>
        <w:spacing w:line="460" w:lineRule="exact"/>
        <w:rPr>
          <w:rFonts w:ascii="宋体" w:hAnsi="宋体" w:cs="仿宋"/>
          <w:color w:val="auto"/>
          <w:szCs w:val="21"/>
          <w:highlight w:val="none"/>
          <w:u w:val="dotted"/>
        </w:rPr>
      </w:pPr>
      <w:r>
        <w:rPr>
          <w:rFonts w:hint="eastAsia" w:ascii="宋体" w:hAnsi="宋体" w:cs="仿宋"/>
          <w:color w:val="auto"/>
          <w:szCs w:val="21"/>
          <w:highlight w:val="none"/>
        </w:rPr>
        <w:t>授权代表：</w:t>
      </w:r>
      <w:r>
        <w:rPr>
          <w:rFonts w:hint="eastAsia" w:ascii="宋体" w:hAnsi="宋体" w:cs="仿宋"/>
          <w:color w:val="auto"/>
          <w:szCs w:val="21"/>
          <w:highlight w:val="none"/>
          <w:u w:val="dotted"/>
        </w:rPr>
        <w:t xml:space="preserve">                                          </w:t>
      </w:r>
    </w:p>
    <w:p w14:paraId="4C49AE7C">
      <w:pPr>
        <w:snapToGrid w:val="0"/>
        <w:spacing w:line="460" w:lineRule="exact"/>
        <w:rPr>
          <w:rFonts w:ascii="宋体" w:hAnsi="宋体" w:cs="仿宋"/>
          <w:color w:val="auto"/>
          <w:szCs w:val="21"/>
          <w:highlight w:val="none"/>
        </w:rPr>
      </w:pPr>
      <w:r>
        <w:rPr>
          <w:rFonts w:hint="eastAsia" w:ascii="宋体" w:hAnsi="宋体" w:cs="仿宋"/>
          <w:color w:val="auto"/>
          <w:szCs w:val="21"/>
          <w:highlight w:val="none"/>
        </w:rPr>
        <w:t>联系电话：</w:t>
      </w:r>
      <w:r>
        <w:rPr>
          <w:rFonts w:hint="eastAsia" w:ascii="宋体" w:hAnsi="宋体" w:cs="仿宋"/>
          <w:color w:val="auto"/>
          <w:szCs w:val="21"/>
          <w:highlight w:val="none"/>
          <w:u w:val="dotted"/>
        </w:rPr>
        <w:t xml:space="preserve">                                           </w:t>
      </w:r>
      <w:r>
        <w:rPr>
          <w:rFonts w:ascii="宋体" w:hAnsi="宋体" w:cs="仿宋"/>
          <w:color w:val="auto"/>
          <w:szCs w:val="21"/>
          <w:highlight w:val="none"/>
        </w:rPr>
        <w:t xml:space="preserve"> </w:t>
      </w:r>
    </w:p>
    <w:p w14:paraId="1A4D664F">
      <w:pPr>
        <w:snapToGrid w:val="0"/>
        <w:spacing w:line="460" w:lineRule="exact"/>
        <w:rPr>
          <w:rFonts w:ascii="宋体" w:hAnsi="宋体" w:cs="仿宋"/>
          <w:color w:val="auto"/>
          <w:szCs w:val="21"/>
          <w:highlight w:val="none"/>
        </w:rPr>
      </w:pPr>
      <w:r>
        <w:rPr>
          <w:rFonts w:hint="eastAsia" w:ascii="宋体" w:hAnsi="宋体" w:cs="仿宋"/>
          <w:color w:val="auto"/>
          <w:szCs w:val="21"/>
          <w:highlight w:val="none"/>
        </w:rPr>
        <w:t>地址：</w:t>
      </w:r>
      <w:r>
        <w:rPr>
          <w:rFonts w:ascii="宋体" w:hAnsi="宋体" w:cs="仿宋"/>
          <w:color w:val="auto"/>
          <w:szCs w:val="21"/>
          <w:highlight w:val="none"/>
        </w:rPr>
        <w:t xml:space="preserve"> </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邮编：</w:t>
      </w:r>
      <w:r>
        <w:rPr>
          <w:rFonts w:hint="eastAsia" w:ascii="宋体" w:hAnsi="宋体" w:cs="仿宋"/>
          <w:color w:val="auto"/>
          <w:szCs w:val="21"/>
          <w:highlight w:val="none"/>
          <w:u w:val="dotted"/>
        </w:rPr>
        <w:t xml:space="preserve">                                 </w:t>
      </w:r>
    </w:p>
    <w:p w14:paraId="237D6A22">
      <w:pPr>
        <w:snapToGrid w:val="0"/>
        <w:spacing w:line="460" w:lineRule="exact"/>
        <w:rPr>
          <w:rFonts w:ascii="宋体" w:hAnsi="宋体" w:cs="仿宋"/>
          <w:bCs/>
          <w:color w:val="auto"/>
          <w:szCs w:val="21"/>
          <w:highlight w:val="none"/>
        </w:rPr>
      </w:pPr>
      <w:r>
        <w:rPr>
          <w:rFonts w:hint="eastAsia" w:ascii="宋体" w:hAnsi="宋体" w:cs="仿宋"/>
          <w:bCs/>
          <w:color w:val="auto"/>
          <w:szCs w:val="21"/>
          <w:highlight w:val="none"/>
        </w:rPr>
        <w:t>二、质疑项目基本情况</w:t>
      </w:r>
    </w:p>
    <w:p w14:paraId="15C6305F">
      <w:pPr>
        <w:snapToGrid w:val="0"/>
        <w:spacing w:line="460" w:lineRule="exact"/>
        <w:rPr>
          <w:rFonts w:ascii="宋体" w:hAnsi="宋体" w:cs="仿宋"/>
          <w:color w:val="auto"/>
          <w:szCs w:val="21"/>
          <w:highlight w:val="none"/>
        </w:rPr>
      </w:pPr>
      <w:r>
        <w:rPr>
          <w:rFonts w:hint="eastAsia" w:ascii="宋体" w:hAnsi="宋体" w:cs="仿宋"/>
          <w:color w:val="auto"/>
          <w:szCs w:val="21"/>
          <w:highlight w:val="none"/>
        </w:rPr>
        <w:t>质疑项目的名称：</w:t>
      </w:r>
      <w:r>
        <w:rPr>
          <w:rFonts w:hint="eastAsia" w:ascii="宋体" w:hAnsi="宋体" w:cs="仿宋"/>
          <w:color w:val="auto"/>
          <w:szCs w:val="21"/>
          <w:highlight w:val="none"/>
          <w:u w:val="dotted"/>
        </w:rPr>
        <w:t xml:space="preserve">                                      </w:t>
      </w:r>
    </w:p>
    <w:p w14:paraId="01FC2C50">
      <w:pPr>
        <w:snapToGrid w:val="0"/>
        <w:spacing w:line="460" w:lineRule="exact"/>
        <w:rPr>
          <w:rFonts w:ascii="宋体" w:hAnsi="宋体" w:cs="仿宋"/>
          <w:color w:val="auto"/>
          <w:szCs w:val="21"/>
          <w:highlight w:val="none"/>
        </w:rPr>
      </w:pPr>
      <w:r>
        <w:rPr>
          <w:rFonts w:hint="eastAsia" w:ascii="宋体" w:hAnsi="宋体" w:cs="仿宋"/>
          <w:color w:val="auto"/>
          <w:szCs w:val="21"/>
          <w:highlight w:val="none"/>
        </w:rPr>
        <w:t>质疑项目的编号：</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包号：</w:t>
      </w:r>
      <w:r>
        <w:rPr>
          <w:rFonts w:hint="eastAsia" w:ascii="宋体" w:hAnsi="宋体" w:cs="仿宋"/>
          <w:color w:val="auto"/>
          <w:szCs w:val="21"/>
          <w:highlight w:val="none"/>
          <w:u w:val="dotted"/>
        </w:rPr>
        <w:t xml:space="preserve">                 </w:t>
      </w:r>
    </w:p>
    <w:p w14:paraId="6B21D7B5">
      <w:pPr>
        <w:snapToGrid w:val="0"/>
        <w:spacing w:line="460" w:lineRule="exact"/>
        <w:rPr>
          <w:rFonts w:ascii="宋体" w:hAnsi="宋体" w:cs="仿宋"/>
          <w:color w:val="auto"/>
          <w:szCs w:val="21"/>
          <w:highlight w:val="none"/>
          <w:u w:val="dotted"/>
        </w:rPr>
      </w:pPr>
      <w:r>
        <w:rPr>
          <w:rFonts w:hint="eastAsia" w:ascii="宋体" w:hAnsi="宋体" w:cs="仿宋"/>
          <w:color w:val="auto"/>
          <w:szCs w:val="21"/>
          <w:highlight w:val="none"/>
        </w:rPr>
        <w:t>采购人名称：</w:t>
      </w:r>
      <w:r>
        <w:rPr>
          <w:rFonts w:hint="eastAsia" w:ascii="宋体" w:hAnsi="宋体" w:cs="仿宋"/>
          <w:color w:val="auto"/>
          <w:szCs w:val="21"/>
          <w:highlight w:val="none"/>
          <w:u w:val="dotted"/>
        </w:rPr>
        <w:t xml:space="preserve">                                      </w:t>
      </w:r>
      <w:r>
        <w:rPr>
          <w:rFonts w:ascii="宋体" w:hAnsi="宋体" w:cs="仿宋"/>
          <w:color w:val="auto"/>
          <w:szCs w:val="21"/>
          <w:highlight w:val="none"/>
          <w:u w:val="dotted"/>
        </w:rPr>
        <w:t xml:space="preserve"> </w:t>
      </w:r>
      <w:r>
        <w:rPr>
          <w:rFonts w:hint="eastAsia" w:ascii="宋体" w:hAnsi="宋体" w:cs="仿宋"/>
          <w:color w:val="auto"/>
          <w:szCs w:val="21"/>
          <w:highlight w:val="none"/>
          <w:u w:val="dotted"/>
        </w:rPr>
        <w:t xml:space="preserve">   </w:t>
      </w:r>
    </w:p>
    <w:p w14:paraId="358D6CE6">
      <w:pPr>
        <w:snapToGrid w:val="0"/>
        <w:spacing w:line="460" w:lineRule="exact"/>
        <w:rPr>
          <w:rFonts w:ascii="宋体" w:hAnsi="宋体" w:cs="仿宋"/>
          <w:color w:val="auto"/>
          <w:szCs w:val="21"/>
          <w:highlight w:val="none"/>
        </w:rPr>
      </w:pPr>
      <w:r>
        <w:rPr>
          <w:rFonts w:hint="eastAsia" w:ascii="宋体" w:hAnsi="宋体" w:cs="仿宋"/>
          <w:color w:val="auto"/>
          <w:szCs w:val="21"/>
          <w:highlight w:val="none"/>
        </w:rPr>
        <w:t>采购文件获取日期：</w:t>
      </w:r>
      <w:r>
        <w:rPr>
          <w:rFonts w:hint="eastAsia" w:ascii="宋体" w:hAnsi="宋体" w:cs="仿宋"/>
          <w:color w:val="auto"/>
          <w:szCs w:val="21"/>
          <w:highlight w:val="none"/>
          <w:u w:val="dotted"/>
        </w:rPr>
        <w:t xml:space="preserve">                                    </w:t>
      </w:r>
    </w:p>
    <w:p w14:paraId="472702FC">
      <w:pPr>
        <w:snapToGrid w:val="0"/>
        <w:spacing w:line="460" w:lineRule="exact"/>
        <w:rPr>
          <w:rFonts w:ascii="宋体" w:hAnsi="宋体" w:cs="仿宋"/>
          <w:bCs/>
          <w:color w:val="auto"/>
          <w:szCs w:val="21"/>
          <w:highlight w:val="none"/>
        </w:rPr>
      </w:pPr>
      <w:r>
        <w:rPr>
          <w:rFonts w:hint="eastAsia" w:ascii="宋体" w:hAnsi="宋体" w:cs="仿宋"/>
          <w:bCs/>
          <w:color w:val="auto"/>
          <w:szCs w:val="21"/>
          <w:highlight w:val="none"/>
        </w:rPr>
        <w:t>三、质疑事项具体内容</w:t>
      </w:r>
    </w:p>
    <w:p w14:paraId="7AB50853">
      <w:pPr>
        <w:snapToGrid w:val="0"/>
        <w:spacing w:line="460" w:lineRule="exact"/>
        <w:rPr>
          <w:rFonts w:ascii="宋体" w:hAnsi="宋体" w:cs="仿宋"/>
          <w:color w:val="auto"/>
          <w:szCs w:val="21"/>
          <w:highlight w:val="none"/>
          <w:u w:val="dotted"/>
        </w:rPr>
      </w:pPr>
      <w:r>
        <w:rPr>
          <w:rFonts w:hint="eastAsia" w:ascii="宋体" w:hAnsi="宋体" w:cs="仿宋"/>
          <w:color w:val="auto"/>
          <w:szCs w:val="21"/>
          <w:highlight w:val="none"/>
        </w:rPr>
        <w:t>质疑事项1：</w:t>
      </w:r>
      <w:r>
        <w:rPr>
          <w:rFonts w:hint="eastAsia" w:ascii="宋体" w:hAnsi="宋体" w:cs="仿宋"/>
          <w:color w:val="auto"/>
          <w:szCs w:val="21"/>
          <w:highlight w:val="none"/>
          <w:u w:val="dotted"/>
        </w:rPr>
        <w:t xml:space="preserve">                                      </w:t>
      </w:r>
      <w:r>
        <w:rPr>
          <w:rFonts w:ascii="宋体" w:hAnsi="宋体" w:cs="仿宋"/>
          <w:color w:val="auto"/>
          <w:szCs w:val="21"/>
          <w:highlight w:val="none"/>
          <w:u w:val="dotted"/>
        </w:rPr>
        <w:t xml:space="preserve"> </w:t>
      </w:r>
      <w:r>
        <w:rPr>
          <w:rFonts w:hint="eastAsia" w:ascii="宋体" w:hAnsi="宋体" w:cs="仿宋"/>
          <w:color w:val="auto"/>
          <w:szCs w:val="21"/>
          <w:highlight w:val="none"/>
          <w:u w:val="dotted"/>
        </w:rPr>
        <w:t xml:space="preserve">   </w:t>
      </w:r>
    </w:p>
    <w:p w14:paraId="34A9B53F">
      <w:pPr>
        <w:snapToGrid w:val="0"/>
        <w:spacing w:line="460" w:lineRule="exact"/>
        <w:rPr>
          <w:rFonts w:ascii="宋体" w:hAnsi="宋体" w:cs="仿宋"/>
          <w:color w:val="auto"/>
          <w:szCs w:val="21"/>
          <w:highlight w:val="none"/>
          <w:u w:val="dotted"/>
        </w:rPr>
      </w:pPr>
      <w:r>
        <w:rPr>
          <w:rFonts w:hint="eastAsia" w:ascii="宋体" w:hAnsi="宋体" w:cs="仿宋"/>
          <w:color w:val="auto"/>
          <w:szCs w:val="21"/>
          <w:highlight w:val="none"/>
        </w:rPr>
        <w:t>事实依据：</w:t>
      </w:r>
      <w:r>
        <w:rPr>
          <w:rFonts w:hint="eastAsia" w:ascii="宋体" w:hAnsi="宋体" w:cs="仿宋"/>
          <w:color w:val="auto"/>
          <w:szCs w:val="21"/>
          <w:highlight w:val="none"/>
          <w:u w:val="dotted"/>
        </w:rPr>
        <w:t xml:space="preserve">                                       </w:t>
      </w:r>
      <w:r>
        <w:rPr>
          <w:rFonts w:ascii="宋体" w:hAnsi="宋体" w:cs="仿宋"/>
          <w:color w:val="auto"/>
          <w:szCs w:val="21"/>
          <w:highlight w:val="none"/>
          <w:u w:val="dotted"/>
        </w:rPr>
        <w:t xml:space="preserve">  </w:t>
      </w:r>
      <w:r>
        <w:rPr>
          <w:rFonts w:hint="eastAsia" w:ascii="宋体" w:hAnsi="宋体" w:cs="仿宋"/>
          <w:color w:val="auto"/>
          <w:szCs w:val="21"/>
          <w:highlight w:val="none"/>
          <w:u w:val="dotted"/>
        </w:rPr>
        <w:t xml:space="preserve">   </w:t>
      </w:r>
    </w:p>
    <w:p w14:paraId="54AD5A85">
      <w:pPr>
        <w:snapToGrid w:val="0"/>
        <w:spacing w:line="460" w:lineRule="exact"/>
        <w:rPr>
          <w:rFonts w:ascii="宋体" w:hAnsi="宋体" w:cs="仿宋"/>
          <w:color w:val="auto"/>
          <w:szCs w:val="21"/>
          <w:highlight w:val="none"/>
        </w:rPr>
      </w:pPr>
      <w:r>
        <w:rPr>
          <w:rFonts w:hint="eastAsia" w:ascii="宋体" w:hAnsi="宋体" w:cs="仿宋"/>
          <w:color w:val="auto"/>
          <w:szCs w:val="21"/>
          <w:highlight w:val="none"/>
          <w:u w:val="dotted"/>
        </w:rPr>
        <w:t xml:space="preserve">                                                      </w:t>
      </w:r>
    </w:p>
    <w:p w14:paraId="7B9F0478">
      <w:pPr>
        <w:snapToGrid w:val="0"/>
        <w:spacing w:line="460" w:lineRule="exact"/>
        <w:rPr>
          <w:rFonts w:ascii="宋体" w:hAnsi="宋体" w:cs="仿宋"/>
          <w:color w:val="auto"/>
          <w:szCs w:val="21"/>
          <w:highlight w:val="none"/>
          <w:u w:val="dotted"/>
        </w:rPr>
      </w:pPr>
      <w:r>
        <w:rPr>
          <w:rFonts w:hint="eastAsia" w:ascii="宋体" w:hAnsi="宋体" w:cs="仿宋"/>
          <w:color w:val="auto"/>
          <w:szCs w:val="21"/>
          <w:highlight w:val="none"/>
        </w:rPr>
        <w:t>法律依据：</w:t>
      </w:r>
      <w:r>
        <w:rPr>
          <w:rFonts w:hint="eastAsia" w:ascii="宋体" w:hAnsi="宋体" w:cs="仿宋"/>
          <w:color w:val="auto"/>
          <w:szCs w:val="21"/>
          <w:highlight w:val="none"/>
          <w:u w:val="dotted"/>
        </w:rPr>
        <w:t xml:space="preserve">                                       </w:t>
      </w:r>
      <w:r>
        <w:rPr>
          <w:rFonts w:ascii="宋体" w:hAnsi="宋体" w:cs="仿宋"/>
          <w:color w:val="auto"/>
          <w:szCs w:val="21"/>
          <w:highlight w:val="none"/>
          <w:u w:val="dotted"/>
        </w:rPr>
        <w:t xml:space="preserve">  </w:t>
      </w:r>
      <w:r>
        <w:rPr>
          <w:rFonts w:hint="eastAsia" w:ascii="宋体" w:hAnsi="宋体" w:cs="仿宋"/>
          <w:color w:val="auto"/>
          <w:szCs w:val="21"/>
          <w:highlight w:val="none"/>
          <w:u w:val="dotted"/>
        </w:rPr>
        <w:t xml:space="preserve">   </w:t>
      </w:r>
    </w:p>
    <w:p w14:paraId="410DBB61">
      <w:pPr>
        <w:snapToGrid w:val="0"/>
        <w:spacing w:line="460" w:lineRule="exact"/>
        <w:rPr>
          <w:rFonts w:ascii="宋体" w:hAnsi="宋体" w:cs="仿宋"/>
          <w:color w:val="auto"/>
          <w:szCs w:val="21"/>
          <w:highlight w:val="none"/>
          <w:u w:val="dotted"/>
        </w:rPr>
      </w:pPr>
      <w:r>
        <w:rPr>
          <w:rFonts w:hint="eastAsia" w:ascii="宋体" w:hAnsi="宋体" w:cs="仿宋"/>
          <w:color w:val="auto"/>
          <w:szCs w:val="21"/>
          <w:highlight w:val="none"/>
          <w:u w:val="dotted"/>
        </w:rPr>
        <w:t xml:space="preserve">                                                    </w:t>
      </w:r>
      <w:r>
        <w:rPr>
          <w:rFonts w:ascii="宋体" w:hAnsi="宋体" w:cs="仿宋"/>
          <w:color w:val="auto"/>
          <w:szCs w:val="21"/>
          <w:highlight w:val="none"/>
          <w:u w:val="dotted"/>
        </w:rPr>
        <w:t xml:space="preserve"> </w:t>
      </w:r>
      <w:r>
        <w:rPr>
          <w:rFonts w:hint="eastAsia" w:ascii="宋体" w:hAnsi="宋体" w:cs="仿宋"/>
          <w:color w:val="auto"/>
          <w:szCs w:val="21"/>
          <w:highlight w:val="none"/>
          <w:u w:val="dotted"/>
        </w:rPr>
        <w:t xml:space="preserve"> </w:t>
      </w:r>
    </w:p>
    <w:p w14:paraId="49577C0D">
      <w:pPr>
        <w:snapToGrid w:val="0"/>
        <w:spacing w:line="460" w:lineRule="exact"/>
        <w:rPr>
          <w:rFonts w:ascii="宋体" w:hAnsi="宋体" w:cs="仿宋"/>
          <w:color w:val="auto"/>
          <w:szCs w:val="21"/>
          <w:highlight w:val="none"/>
          <w:u w:val="dotted"/>
        </w:rPr>
      </w:pPr>
      <w:r>
        <w:rPr>
          <w:rFonts w:hint="eastAsia" w:ascii="宋体" w:hAnsi="宋体" w:cs="仿宋"/>
          <w:color w:val="auto"/>
          <w:szCs w:val="21"/>
          <w:highlight w:val="none"/>
        </w:rPr>
        <w:t>质疑事项2</w:t>
      </w:r>
    </w:p>
    <w:p w14:paraId="1E8DCAC6">
      <w:pPr>
        <w:snapToGrid w:val="0"/>
        <w:spacing w:line="460" w:lineRule="exact"/>
        <w:rPr>
          <w:rFonts w:ascii="宋体" w:hAnsi="宋体" w:cs="仿宋"/>
          <w:color w:val="auto"/>
          <w:szCs w:val="21"/>
          <w:highlight w:val="none"/>
        </w:rPr>
      </w:pPr>
      <w:r>
        <w:rPr>
          <w:rFonts w:hint="eastAsia" w:ascii="宋体" w:hAnsi="宋体" w:cs="仿宋"/>
          <w:color w:val="auto"/>
          <w:szCs w:val="21"/>
          <w:highlight w:val="none"/>
        </w:rPr>
        <w:t>……</w:t>
      </w:r>
    </w:p>
    <w:p w14:paraId="5F1BC348">
      <w:pPr>
        <w:snapToGrid w:val="0"/>
        <w:spacing w:line="460" w:lineRule="exact"/>
        <w:rPr>
          <w:rFonts w:ascii="宋体" w:hAnsi="宋体" w:cs="仿宋"/>
          <w:bCs/>
          <w:color w:val="auto"/>
          <w:szCs w:val="21"/>
          <w:highlight w:val="none"/>
        </w:rPr>
      </w:pPr>
      <w:r>
        <w:rPr>
          <w:rFonts w:hint="eastAsia" w:ascii="宋体" w:hAnsi="宋体" w:cs="仿宋"/>
          <w:bCs/>
          <w:color w:val="auto"/>
          <w:szCs w:val="21"/>
          <w:highlight w:val="none"/>
        </w:rPr>
        <w:t>四、与质疑事项相关的质疑请求</w:t>
      </w:r>
    </w:p>
    <w:p w14:paraId="059BDEA9">
      <w:pPr>
        <w:snapToGrid w:val="0"/>
        <w:spacing w:line="460" w:lineRule="exact"/>
        <w:rPr>
          <w:rFonts w:ascii="宋体" w:hAnsi="宋体" w:cs="仿宋"/>
          <w:color w:val="auto"/>
          <w:szCs w:val="21"/>
          <w:highlight w:val="none"/>
          <w:u w:val="dotted"/>
        </w:rPr>
      </w:pPr>
      <w:r>
        <w:rPr>
          <w:rFonts w:hint="eastAsia" w:ascii="宋体" w:hAnsi="宋体" w:cs="仿宋"/>
          <w:color w:val="auto"/>
          <w:szCs w:val="21"/>
          <w:highlight w:val="none"/>
        </w:rPr>
        <w:t>请求：</w:t>
      </w:r>
      <w:r>
        <w:rPr>
          <w:rFonts w:hint="eastAsia" w:ascii="宋体" w:hAnsi="宋体" w:cs="仿宋"/>
          <w:color w:val="auto"/>
          <w:szCs w:val="21"/>
          <w:highlight w:val="none"/>
          <w:u w:val="dotted"/>
        </w:rPr>
        <w:t xml:space="preserve">                                               </w:t>
      </w:r>
    </w:p>
    <w:p w14:paraId="6AAF6E5E">
      <w:pPr>
        <w:spacing w:line="460" w:lineRule="exact"/>
        <w:rPr>
          <w:rFonts w:ascii="宋体" w:hAnsi="宋体"/>
          <w:color w:val="auto"/>
          <w:szCs w:val="21"/>
          <w:highlight w:val="none"/>
        </w:rPr>
      </w:pPr>
      <w:r>
        <w:rPr>
          <w:rFonts w:hint="eastAsia" w:ascii="宋体" w:hAnsi="宋体"/>
          <w:color w:val="auto"/>
          <w:szCs w:val="21"/>
          <w:highlight w:val="none"/>
        </w:rPr>
        <w:t xml:space="preserve">签字(签章)：                   公章：                      </w:t>
      </w:r>
    </w:p>
    <w:p w14:paraId="4BAEDA50">
      <w:pPr>
        <w:spacing w:line="460" w:lineRule="exact"/>
        <w:rPr>
          <w:rFonts w:ascii="宋体" w:hAnsi="宋体"/>
          <w:color w:val="auto"/>
          <w:szCs w:val="21"/>
          <w:highlight w:val="none"/>
        </w:rPr>
      </w:pPr>
      <w:r>
        <w:rPr>
          <w:rFonts w:hint="eastAsia" w:ascii="宋体" w:hAnsi="宋体"/>
          <w:color w:val="auto"/>
          <w:szCs w:val="21"/>
          <w:highlight w:val="none"/>
        </w:rPr>
        <w:t xml:space="preserve">日期：    </w:t>
      </w:r>
    </w:p>
    <w:p w14:paraId="266B483E">
      <w:pPr>
        <w:spacing w:line="460" w:lineRule="exact"/>
        <w:rPr>
          <w:rFonts w:ascii="宋体" w:hAnsi="宋体"/>
          <w:color w:val="auto"/>
          <w:szCs w:val="21"/>
          <w:highlight w:val="none"/>
        </w:rPr>
      </w:pPr>
      <w:r>
        <w:rPr>
          <w:rFonts w:ascii="宋体" w:hAnsi="宋体" w:cs="仿宋"/>
          <w:b/>
          <w:bCs/>
          <w:color w:val="auto"/>
          <w:szCs w:val="21"/>
          <w:highlight w:val="none"/>
        </w:rPr>
        <w:br w:type="page"/>
      </w:r>
    </w:p>
    <w:p w14:paraId="029D4580">
      <w:pPr>
        <w:spacing w:line="400" w:lineRule="exact"/>
        <w:rPr>
          <w:rFonts w:ascii="宋体" w:hAnsi="宋体"/>
          <w:color w:val="auto"/>
          <w:szCs w:val="21"/>
          <w:highlight w:val="none"/>
        </w:rPr>
      </w:pPr>
      <w:r>
        <w:rPr>
          <w:rFonts w:hint="eastAsia" w:ascii="宋体" w:hAnsi="宋体"/>
          <w:color w:val="auto"/>
          <w:szCs w:val="21"/>
          <w:highlight w:val="none"/>
        </w:rPr>
        <w:t>质疑函制作说明：</w:t>
      </w:r>
    </w:p>
    <w:p w14:paraId="609AA61C">
      <w:pPr>
        <w:widowControl/>
        <w:spacing w:line="400" w:lineRule="exact"/>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6D1CB012">
      <w:pPr>
        <w:widowControl/>
        <w:spacing w:line="400" w:lineRule="exact"/>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szCs w:val="21"/>
          <w:highlight w:val="none"/>
        </w:rPr>
        <w:t>供应商签署的授权委托书。授权委托书应载明代理人的姓名或者名称、代理事项、具体权限、期限和相关事项。</w:t>
      </w:r>
    </w:p>
    <w:p w14:paraId="37FE9F68">
      <w:pPr>
        <w:widowControl/>
        <w:spacing w:line="400" w:lineRule="exact"/>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242837F9">
      <w:pPr>
        <w:widowControl/>
        <w:spacing w:line="400" w:lineRule="exact"/>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689D2F68">
      <w:pPr>
        <w:widowControl/>
        <w:spacing w:line="400" w:lineRule="exact"/>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14:paraId="5E3D2223">
      <w:pPr>
        <w:spacing w:line="400" w:lineRule="exact"/>
        <w:rPr>
          <w:rFonts w:ascii="宋体" w:hAnsi="宋体"/>
          <w:b/>
          <w:color w:val="auto"/>
          <w:szCs w:val="21"/>
          <w:highlight w:val="none"/>
        </w:rPr>
      </w:pPr>
      <w:r>
        <w:rPr>
          <w:rFonts w:hint="eastAsia" w:ascii="宋体" w:hAnsi="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254BC709">
      <w:pPr>
        <w:spacing w:line="400" w:lineRule="exact"/>
        <w:rPr>
          <w:rFonts w:ascii="宋体" w:hAnsi="宋体"/>
          <w:color w:val="auto"/>
          <w:szCs w:val="21"/>
          <w:highlight w:val="none"/>
        </w:rPr>
      </w:pPr>
    </w:p>
    <w:p w14:paraId="260563BE">
      <w:pPr>
        <w:rPr>
          <w:rFonts w:ascii="宋体" w:hAnsi="宋体"/>
          <w:color w:val="auto"/>
          <w:highlight w:val="none"/>
        </w:rPr>
      </w:pPr>
    </w:p>
    <w:p w14:paraId="2B8F72E7">
      <w:pPr>
        <w:pStyle w:val="22"/>
        <w:snapToGrid w:val="0"/>
        <w:spacing w:after="156"/>
        <w:rPr>
          <w:rFonts w:hint="eastAsia" w:hAnsi="宋体"/>
          <w:b/>
          <w:color w:val="auto"/>
          <w:sz w:val="24"/>
          <w:szCs w:val="24"/>
          <w:highlight w:val="none"/>
        </w:rPr>
      </w:pPr>
    </w:p>
    <w:p w14:paraId="10496C4A">
      <w:pPr>
        <w:pStyle w:val="22"/>
        <w:snapToGrid w:val="0"/>
        <w:spacing w:after="156"/>
        <w:rPr>
          <w:rFonts w:hint="eastAsia" w:hAnsi="宋体"/>
          <w:b/>
          <w:color w:val="auto"/>
          <w:sz w:val="24"/>
          <w:szCs w:val="24"/>
          <w:highlight w:val="none"/>
        </w:rPr>
      </w:pPr>
    </w:p>
    <w:p w14:paraId="56ADCE5D">
      <w:pPr>
        <w:pStyle w:val="22"/>
        <w:snapToGrid w:val="0"/>
        <w:spacing w:after="156"/>
        <w:rPr>
          <w:rFonts w:hint="eastAsia" w:hAnsi="宋体"/>
          <w:b/>
          <w:color w:val="auto"/>
          <w:sz w:val="24"/>
          <w:szCs w:val="24"/>
          <w:highlight w:val="none"/>
        </w:rPr>
      </w:pPr>
    </w:p>
    <w:p w14:paraId="55FC280F">
      <w:pPr>
        <w:pStyle w:val="22"/>
        <w:snapToGrid w:val="0"/>
        <w:spacing w:after="156"/>
        <w:rPr>
          <w:rFonts w:hint="eastAsia" w:hAnsi="宋体"/>
          <w:b/>
          <w:color w:val="auto"/>
          <w:sz w:val="24"/>
          <w:szCs w:val="24"/>
          <w:highlight w:val="none"/>
        </w:rPr>
      </w:pPr>
    </w:p>
    <w:p w14:paraId="0BB9A277">
      <w:pPr>
        <w:pStyle w:val="22"/>
        <w:snapToGrid w:val="0"/>
        <w:spacing w:after="156"/>
        <w:rPr>
          <w:rFonts w:hint="eastAsia" w:hAnsi="宋体"/>
          <w:b/>
          <w:color w:val="auto"/>
          <w:sz w:val="24"/>
          <w:szCs w:val="24"/>
          <w:highlight w:val="none"/>
        </w:rPr>
      </w:pPr>
    </w:p>
    <w:p w14:paraId="1D58A98A">
      <w:pPr>
        <w:pStyle w:val="22"/>
        <w:snapToGrid w:val="0"/>
        <w:spacing w:after="156"/>
        <w:rPr>
          <w:rFonts w:hint="eastAsia" w:hAnsi="宋体"/>
          <w:b/>
          <w:color w:val="auto"/>
          <w:sz w:val="24"/>
          <w:szCs w:val="24"/>
          <w:highlight w:val="none"/>
        </w:rPr>
      </w:pPr>
    </w:p>
    <w:p w14:paraId="5BA93E96">
      <w:pPr>
        <w:pStyle w:val="22"/>
        <w:snapToGrid w:val="0"/>
        <w:spacing w:after="156"/>
        <w:rPr>
          <w:rFonts w:hint="eastAsia" w:hAnsi="宋体"/>
          <w:b/>
          <w:color w:val="auto"/>
          <w:sz w:val="24"/>
          <w:szCs w:val="24"/>
          <w:highlight w:val="none"/>
        </w:rPr>
      </w:pPr>
    </w:p>
    <w:p w14:paraId="6C0396FF">
      <w:pPr>
        <w:pStyle w:val="22"/>
        <w:snapToGrid w:val="0"/>
        <w:spacing w:after="156"/>
        <w:rPr>
          <w:rFonts w:hint="eastAsia" w:hAnsi="宋体"/>
          <w:b/>
          <w:color w:val="auto"/>
          <w:sz w:val="24"/>
          <w:szCs w:val="24"/>
          <w:highlight w:val="none"/>
        </w:rPr>
      </w:pPr>
    </w:p>
    <w:p w14:paraId="51B0ABE7">
      <w:pPr>
        <w:pStyle w:val="22"/>
        <w:snapToGrid w:val="0"/>
        <w:spacing w:after="156"/>
        <w:rPr>
          <w:rFonts w:hint="eastAsia" w:hAnsi="宋体"/>
          <w:b/>
          <w:color w:val="auto"/>
          <w:sz w:val="24"/>
          <w:szCs w:val="24"/>
          <w:highlight w:val="none"/>
        </w:rPr>
      </w:pPr>
    </w:p>
    <w:p w14:paraId="4523A7CC">
      <w:pPr>
        <w:pStyle w:val="22"/>
        <w:snapToGrid w:val="0"/>
        <w:spacing w:after="156"/>
        <w:rPr>
          <w:rFonts w:hint="eastAsia" w:hAnsi="宋体"/>
          <w:b/>
          <w:color w:val="auto"/>
          <w:sz w:val="24"/>
          <w:szCs w:val="24"/>
          <w:highlight w:val="none"/>
        </w:rPr>
      </w:pPr>
    </w:p>
    <w:p w14:paraId="6E7536C0">
      <w:pPr>
        <w:pStyle w:val="22"/>
        <w:snapToGrid w:val="0"/>
        <w:spacing w:after="156"/>
        <w:rPr>
          <w:rFonts w:hint="eastAsia" w:hAnsi="宋体"/>
          <w:b/>
          <w:color w:val="auto"/>
          <w:sz w:val="24"/>
          <w:szCs w:val="24"/>
          <w:highlight w:val="none"/>
        </w:rPr>
      </w:pPr>
    </w:p>
    <w:p w14:paraId="10B0F1DF">
      <w:pPr>
        <w:pStyle w:val="22"/>
        <w:snapToGrid w:val="0"/>
        <w:spacing w:after="156"/>
        <w:rPr>
          <w:rFonts w:hint="eastAsia" w:hAnsi="宋体"/>
          <w:b/>
          <w:color w:val="auto"/>
          <w:sz w:val="24"/>
          <w:szCs w:val="24"/>
          <w:highlight w:val="none"/>
        </w:rPr>
      </w:pPr>
    </w:p>
    <w:p w14:paraId="6E8DB92C">
      <w:pPr>
        <w:pStyle w:val="22"/>
        <w:snapToGrid w:val="0"/>
        <w:spacing w:after="156"/>
        <w:rPr>
          <w:rFonts w:hint="eastAsia" w:hAnsi="宋体"/>
          <w:b/>
          <w:color w:val="auto"/>
          <w:sz w:val="24"/>
          <w:szCs w:val="24"/>
          <w:highlight w:val="none"/>
        </w:rPr>
      </w:pPr>
    </w:p>
    <w:p w14:paraId="7A032898">
      <w:pPr>
        <w:pStyle w:val="22"/>
        <w:snapToGrid w:val="0"/>
        <w:spacing w:after="156"/>
        <w:rPr>
          <w:rFonts w:hint="eastAsia" w:hAnsi="宋体"/>
          <w:b/>
          <w:color w:val="auto"/>
          <w:sz w:val="24"/>
          <w:szCs w:val="24"/>
          <w:highlight w:val="none"/>
        </w:rPr>
      </w:pPr>
    </w:p>
    <w:p w14:paraId="35638A9B">
      <w:pPr>
        <w:pStyle w:val="22"/>
        <w:snapToGrid w:val="0"/>
        <w:spacing w:after="156"/>
        <w:rPr>
          <w:rFonts w:hint="eastAsia" w:hAnsi="宋体"/>
          <w:b/>
          <w:color w:val="auto"/>
          <w:sz w:val="24"/>
          <w:szCs w:val="24"/>
          <w:highlight w:val="none"/>
        </w:rPr>
      </w:pPr>
    </w:p>
    <w:p w14:paraId="6880EDA0">
      <w:pPr>
        <w:pStyle w:val="22"/>
        <w:snapToGrid w:val="0"/>
        <w:spacing w:after="156"/>
        <w:rPr>
          <w:rFonts w:hint="eastAsia" w:hAnsi="宋体"/>
          <w:b/>
          <w:color w:val="auto"/>
          <w:sz w:val="24"/>
          <w:szCs w:val="24"/>
          <w:highlight w:val="none"/>
        </w:rPr>
      </w:pPr>
    </w:p>
    <w:p w14:paraId="2BD4FE10">
      <w:pPr>
        <w:pStyle w:val="22"/>
        <w:snapToGrid w:val="0"/>
        <w:spacing w:after="156"/>
        <w:rPr>
          <w:rFonts w:hint="eastAsia" w:hAnsi="宋体"/>
          <w:b/>
          <w:color w:val="auto"/>
          <w:sz w:val="24"/>
          <w:szCs w:val="24"/>
          <w:highlight w:val="none"/>
        </w:rPr>
      </w:pPr>
    </w:p>
    <w:p w14:paraId="21BB2EDB">
      <w:pPr>
        <w:pStyle w:val="22"/>
        <w:snapToGrid w:val="0"/>
        <w:spacing w:after="156"/>
        <w:rPr>
          <w:rFonts w:hint="eastAsia" w:hAnsi="宋体"/>
          <w:b/>
          <w:color w:val="auto"/>
          <w:sz w:val="24"/>
          <w:szCs w:val="24"/>
          <w:highlight w:val="none"/>
        </w:rPr>
      </w:pPr>
    </w:p>
    <w:p w14:paraId="25987A35">
      <w:pPr>
        <w:pStyle w:val="22"/>
        <w:snapToGrid w:val="0"/>
        <w:spacing w:after="156"/>
        <w:rPr>
          <w:rFonts w:hint="eastAsia" w:hAnsi="宋体"/>
          <w:b/>
          <w:color w:val="auto"/>
          <w:sz w:val="24"/>
          <w:szCs w:val="24"/>
          <w:highlight w:val="none"/>
        </w:rPr>
      </w:pPr>
    </w:p>
    <w:p w14:paraId="1F667FF9">
      <w:pPr>
        <w:pStyle w:val="22"/>
        <w:snapToGrid w:val="0"/>
        <w:spacing w:after="156"/>
        <w:rPr>
          <w:rFonts w:hint="eastAsia" w:hAnsi="宋体"/>
          <w:b/>
          <w:color w:val="auto"/>
          <w:sz w:val="24"/>
          <w:szCs w:val="24"/>
          <w:highlight w:val="none"/>
        </w:rPr>
      </w:pPr>
    </w:p>
    <w:p w14:paraId="22D6E592">
      <w:pPr>
        <w:pStyle w:val="22"/>
        <w:snapToGrid w:val="0"/>
        <w:spacing w:after="156"/>
        <w:rPr>
          <w:rFonts w:hAnsi="宋体"/>
          <w:b/>
          <w:color w:val="auto"/>
          <w:sz w:val="24"/>
          <w:szCs w:val="24"/>
          <w:highlight w:val="none"/>
        </w:rPr>
      </w:pPr>
      <w:r>
        <w:rPr>
          <w:rFonts w:hint="eastAsia" w:hAnsi="宋体"/>
          <w:b/>
          <w:color w:val="auto"/>
          <w:sz w:val="24"/>
          <w:szCs w:val="24"/>
          <w:highlight w:val="none"/>
        </w:rPr>
        <w:t>附件</w:t>
      </w:r>
      <w:r>
        <w:rPr>
          <w:rFonts w:hAnsi="宋体"/>
          <w:b/>
          <w:color w:val="auto"/>
          <w:sz w:val="24"/>
          <w:szCs w:val="24"/>
          <w:highlight w:val="none"/>
        </w:rPr>
        <w:t>2</w:t>
      </w:r>
      <w:r>
        <w:rPr>
          <w:rFonts w:hint="eastAsia" w:hAnsi="宋体"/>
          <w:b/>
          <w:color w:val="auto"/>
          <w:sz w:val="24"/>
          <w:szCs w:val="24"/>
          <w:highlight w:val="none"/>
        </w:rPr>
        <w:t>：</w:t>
      </w:r>
    </w:p>
    <w:p w14:paraId="114C8B1E">
      <w:pPr>
        <w:spacing w:before="156" w:beforeLines="50" w:after="156" w:afterLines="50" w:line="560" w:lineRule="exact"/>
        <w:jc w:val="center"/>
        <w:rPr>
          <w:rFonts w:ascii="宋体" w:hAnsi="宋体" w:cs="仿宋"/>
          <w:b/>
          <w:bCs/>
          <w:color w:val="auto"/>
          <w:sz w:val="32"/>
          <w:szCs w:val="32"/>
          <w:highlight w:val="none"/>
        </w:rPr>
      </w:pPr>
      <w:r>
        <w:rPr>
          <w:rFonts w:hint="eastAsia" w:ascii="宋体" w:hAnsi="宋体" w:cs="仿宋"/>
          <w:b/>
          <w:bCs/>
          <w:color w:val="auto"/>
          <w:sz w:val="32"/>
          <w:szCs w:val="32"/>
          <w:highlight w:val="none"/>
        </w:rPr>
        <w:t>投诉书（格式）</w:t>
      </w:r>
    </w:p>
    <w:p w14:paraId="41BA89AE">
      <w:pPr>
        <w:pStyle w:val="22"/>
        <w:snapToGrid w:val="0"/>
        <w:spacing w:line="440" w:lineRule="exact"/>
        <w:ind w:firstLine="422" w:firstLineChars="200"/>
        <w:rPr>
          <w:rFonts w:asciiTheme="minorEastAsia" w:hAnsiTheme="minorEastAsia" w:eastAsiaTheme="minorEastAsia"/>
          <w:b/>
          <w:bCs/>
          <w:color w:val="auto"/>
          <w:sz w:val="21"/>
          <w:highlight w:val="none"/>
        </w:rPr>
      </w:pPr>
      <w:r>
        <w:rPr>
          <w:rFonts w:hint="eastAsia" w:asciiTheme="minorEastAsia" w:hAnsiTheme="minorEastAsia" w:eastAsiaTheme="minorEastAsia"/>
          <w:b/>
          <w:bCs/>
          <w:color w:val="auto"/>
          <w:sz w:val="21"/>
          <w:highlight w:val="none"/>
        </w:rPr>
        <w:t>一、投诉相关主体基本情况：</w:t>
      </w:r>
    </w:p>
    <w:p w14:paraId="5BFDE180">
      <w:pPr>
        <w:pStyle w:val="22"/>
        <w:snapToGrid w:val="0"/>
        <w:spacing w:line="440" w:lineRule="exact"/>
        <w:ind w:firstLine="420" w:firstLineChars="200"/>
        <w:rPr>
          <w:rFonts w:asciiTheme="minorEastAsia" w:hAnsiTheme="minorEastAsia" w:eastAsiaTheme="minorEastAsia"/>
          <w:bCs/>
          <w:color w:val="auto"/>
          <w:sz w:val="21"/>
          <w:highlight w:val="none"/>
          <w:u w:val="single"/>
        </w:rPr>
      </w:pPr>
      <w:r>
        <w:rPr>
          <w:rFonts w:hint="eastAsia" w:asciiTheme="minorEastAsia" w:hAnsiTheme="minorEastAsia" w:eastAsiaTheme="minorEastAsia"/>
          <w:bCs/>
          <w:color w:val="auto"/>
          <w:sz w:val="21"/>
          <w:highlight w:val="none"/>
        </w:rPr>
        <w:t>投标人：</w:t>
      </w:r>
      <w:r>
        <w:rPr>
          <w:rFonts w:hint="eastAsia" w:asciiTheme="minorEastAsia" w:hAnsiTheme="minorEastAsia" w:eastAsiaTheme="minorEastAsia"/>
          <w:bCs/>
          <w:color w:val="auto"/>
          <w:sz w:val="21"/>
          <w:highlight w:val="none"/>
          <w:u w:val="single"/>
        </w:rPr>
        <w:t xml:space="preserve">                                                                        </w:t>
      </w:r>
      <w:r>
        <w:rPr>
          <w:rFonts w:hint="eastAsia" w:asciiTheme="minorEastAsia" w:hAnsiTheme="minorEastAsia" w:eastAsiaTheme="minorEastAsia"/>
          <w:bCs/>
          <w:color w:val="auto"/>
          <w:sz w:val="21"/>
          <w:highlight w:val="none"/>
        </w:rPr>
        <w:t xml:space="preserve"> </w:t>
      </w:r>
    </w:p>
    <w:p w14:paraId="134F7A29">
      <w:pPr>
        <w:pStyle w:val="22"/>
        <w:snapToGrid w:val="0"/>
        <w:spacing w:line="440" w:lineRule="exact"/>
        <w:ind w:firstLine="420" w:firstLineChars="200"/>
        <w:rPr>
          <w:rFonts w:asciiTheme="minorEastAsia" w:hAnsiTheme="minorEastAsia" w:eastAsiaTheme="minorEastAsia"/>
          <w:bCs/>
          <w:color w:val="auto"/>
          <w:sz w:val="21"/>
          <w:highlight w:val="none"/>
        </w:rPr>
      </w:pPr>
      <w:r>
        <w:rPr>
          <w:rFonts w:asciiTheme="minorEastAsia" w:hAnsiTheme="minorEastAsia" w:eastAsiaTheme="minorEastAsia"/>
          <w:bCs/>
          <w:color w:val="auto"/>
          <w:sz w:val="21"/>
          <w:highlight w:val="none"/>
        </w:rPr>
        <w:t>地址</w:t>
      </w:r>
      <w:r>
        <w:rPr>
          <w:rFonts w:hint="eastAsia" w:asciiTheme="minorEastAsia" w:hAnsiTheme="minorEastAsia" w:eastAsiaTheme="minorEastAsia"/>
          <w:bCs/>
          <w:color w:val="auto"/>
          <w:sz w:val="21"/>
          <w:highlight w:val="none"/>
        </w:rPr>
        <w:t xml:space="preserve">：                                         </w:t>
      </w:r>
      <w:r>
        <w:rPr>
          <w:rFonts w:asciiTheme="minorEastAsia" w:hAnsiTheme="minorEastAsia" w:eastAsiaTheme="minorEastAsia"/>
          <w:bCs/>
          <w:color w:val="auto"/>
          <w:sz w:val="21"/>
          <w:highlight w:val="none"/>
        </w:rPr>
        <w:t>邮编</w:t>
      </w:r>
      <w:r>
        <w:rPr>
          <w:rFonts w:hint="eastAsia" w:asciiTheme="minorEastAsia" w:hAnsiTheme="minorEastAsia" w:eastAsiaTheme="minorEastAsia"/>
          <w:bCs/>
          <w:color w:val="auto"/>
          <w:sz w:val="21"/>
          <w:highlight w:val="none"/>
        </w:rPr>
        <w:t>：</w:t>
      </w:r>
      <w:r>
        <w:rPr>
          <w:rFonts w:hint="eastAsia" w:asciiTheme="minorEastAsia" w:hAnsiTheme="minorEastAsia" w:eastAsiaTheme="minorEastAsia"/>
          <w:bCs/>
          <w:color w:val="auto"/>
          <w:sz w:val="21"/>
          <w:highlight w:val="none"/>
          <w:u w:val="single"/>
        </w:rPr>
        <w:t xml:space="preserve">                          </w:t>
      </w:r>
      <w:r>
        <w:rPr>
          <w:rFonts w:hint="eastAsia" w:asciiTheme="minorEastAsia" w:hAnsiTheme="minorEastAsia" w:eastAsiaTheme="minorEastAsia"/>
          <w:bCs/>
          <w:color w:val="auto"/>
          <w:sz w:val="21"/>
          <w:highlight w:val="none"/>
        </w:rPr>
        <w:t xml:space="preserve">  </w:t>
      </w:r>
    </w:p>
    <w:p w14:paraId="3CA1D0C9">
      <w:pPr>
        <w:pStyle w:val="22"/>
        <w:snapToGrid w:val="0"/>
        <w:spacing w:line="440" w:lineRule="exact"/>
        <w:ind w:firstLine="420" w:firstLineChars="200"/>
        <w:rPr>
          <w:rFonts w:asciiTheme="minorEastAsia" w:hAnsiTheme="minorEastAsia" w:eastAsiaTheme="minorEastAsia"/>
          <w:bCs/>
          <w:color w:val="auto"/>
          <w:sz w:val="21"/>
          <w:highlight w:val="none"/>
          <w:u w:val="single"/>
        </w:rPr>
      </w:pPr>
      <w:r>
        <w:rPr>
          <w:rFonts w:hint="eastAsia" w:asciiTheme="minorEastAsia" w:hAnsiTheme="minorEastAsia" w:eastAsiaTheme="minorEastAsia"/>
          <w:bCs/>
          <w:color w:val="auto"/>
          <w:sz w:val="21"/>
          <w:highlight w:val="none"/>
        </w:rPr>
        <w:t>法定代表人/主要负责人：</w:t>
      </w:r>
      <w:r>
        <w:rPr>
          <w:rFonts w:hint="eastAsia" w:asciiTheme="minorEastAsia" w:hAnsiTheme="minorEastAsia" w:eastAsiaTheme="minorEastAsia"/>
          <w:bCs/>
          <w:color w:val="auto"/>
          <w:sz w:val="21"/>
          <w:highlight w:val="none"/>
          <w:u w:val="single"/>
        </w:rPr>
        <w:t xml:space="preserve">                                                         </w:t>
      </w:r>
    </w:p>
    <w:p w14:paraId="5F41F826">
      <w:pPr>
        <w:pStyle w:val="22"/>
        <w:snapToGrid w:val="0"/>
        <w:spacing w:line="440" w:lineRule="exact"/>
        <w:ind w:firstLine="420" w:firstLineChars="200"/>
        <w:rPr>
          <w:rFonts w:asciiTheme="minorEastAsia" w:hAnsiTheme="minorEastAsia" w:eastAsiaTheme="minorEastAsia"/>
          <w:bCs/>
          <w:color w:val="auto"/>
          <w:sz w:val="21"/>
          <w:highlight w:val="none"/>
        </w:rPr>
      </w:pPr>
      <w:r>
        <w:rPr>
          <w:rFonts w:asciiTheme="minorEastAsia" w:hAnsiTheme="minorEastAsia" w:eastAsiaTheme="minorEastAsia"/>
          <w:bCs/>
          <w:color w:val="auto"/>
          <w:sz w:val="21"/>
          <w:highlight w:val="none"/>
        </w:rPr>
        <w:t>联系电话</w:t>
      </w:r>
      <w:r>
        <w:rPr>
          <w:rFonts w:hint="eastAsia" w:asciiTheme="minorEastAsia" w:hAnsiTheme="minorEastAsia" w:eastAsiaTheme="minorEastAsia"/>
          <w:bCs/>
          <w:color w:val="auto"/>
          <w:sz w:val="21"/>
          <w:highlight w:val="none"/>
        </w:rPr>
        <w:t>：</w:t>
      </w:r>
      <w:r>
        <w:rPr>
          <w:rFonts w:hint="eastAsia" w:asciiTheme="minorEastAsia" w:hAnsiTheme="minorEastAsia" w:eastAsiaTheme="minorEastAsia"/>
          <w:bCs/>
          <w:color w:val="auto"/>
          <w:sz w:val="21"/>
          <w:highlight w:val="none"/>
          <w:u w:val="single"/>
        </w:rPr>
        <w:t xml:space="preserve">                                         </w:t>
      </w:r>
    </w:p>
    <w:p w14:paraId="32196732">
      <w:pPr>
        <w:pStyle w:val="22"/>
        <w:snapToGrid w:val="0"/>
        <w:spacing w:line="440" w:lineRule="exact"/>
        <w:ind w:firstLine="420" w:firstLineChars="200"/>
        <w:rPr>
          <w:rFonts w:asciiTheme="minorEastAsia" w:hAnsiTheme="minorEastAsia" w:eastAsiaTheme="minorEastAsia"/>
          <w:bCs/>
          <w:color w:val="auto"/>
          <w:sz w:val="21"/>
          <w:highlight w:val="none"/>
          <w:u w:val="single"/>
        </w:rPr>
      </w:pPr>
      <w:r>
        <w:rPr>
          <w:rFonts w:hint="eastAsia" w:asciiTheme="minorEastAsia" w:hAnsiTheme="minorEastAsia" w:eastAsiaTheme="minorEastAsia"/>
          <w:bCs/>
          <w:color w:val="auto"/>
          <w:sz w:val="21"/>
          <w:highlight w:val="none"/>
        </w:rPr>
        <w:t xml:space="preserve">委托代理人：                                   </w:t>
      </w:r>
      <w:r>
        <w:rPr>
          <w:rFonts w:asciiTheme="minorEastAsia" w:hAnsiTheme="minorEastAsia" w:eastAsiaTheme="minorEastAsia"/>
          <w:bCs/>
          <w:color w:val="auto"/>
          <w:sz w:val="21"/>
          <w:highlight w:val="none"/>
        </w:rPr>
        <w:t>联系</w:t>
      </w:r>
      <w:r>
        <w:rPr>
          <w:rFonts w:hint="eastAsia" w:asciiTheme="minorEastAsia" w:hAnsiTheme="minorEastAsia" w:eastAsiaTheme="minorEastAsia"/>
          <w:bCs/>
          <w:color w:val="auto"/>
          <w:sz w:val="21"/>
          <w:highlight w:val="none"/>
        </w:rPr>
        <w:t>电话：</w:t>
      </w:r>
      <w:r>
        <w:rPr>
          <w:rFonts w:hint="eastAsia" w:asciiTheme="minorEastAsia" w:hAnsiTheme="minorEastAsia" w:eastAsiaTheme="minorEastAsia"/>
          <w:bCs/>
          <w:color w:val="auto"/>
          <w:sz w:val="21"/>
          <w:highlight w:val="none"/>
          <w:u w:val="single"/>
        </w:rPr>
        <w:t xml:space="preserve">           </w:t>
      </w:r>
      <w:r>
        <w:rPr>
          <w:rFonts w:asciiTheme="minorEastAsia" w:hAnsiTheme="minorEastAsia" w:eastAsiaTheme="minorEastAsia"/>
          <w:bCs/>
          <w:color w:val="auto"/>
          <w:sz w:val="21"/>
          <w:highlight w:val="none"/>
          <w:u w:val="single"/>
        </w:rPr>
        <w:t xml:space="preserve">    </w:t>
      </w:r>
      <w:r>
        <w:rPr>
          <w:rFonts w:hint="eastAsia" w:asciiTheme="minorEastAsia" w:hAnsiTheme="minorEastAsia" w:eastAsiaTheme="minorEastAsia"/>
          <w:bCs/>
          <w:color w:val="auto"/>
          <w:sz w:val="21"/>
          <w:highlight w:val="none"/>
          <w:u w:val="single"/>
        </w:rPr>
        <w:t xml:space="preserve">        </w:t>
      </w:r>
    </w:p>
    <w:p w14:paraId="08CF541E">
      <w:pPr>
        <w:pStyle w:val="22"/>
        <w:snapToGrid w:val="0"/>
        <w:spacing w:line="440" w:lineRule="exact"/>
        <w:ind w:firstLine="420" w:firstLineChars="200"/>
        <w:rPr>
          <w:rFonts w:asciiTheme="minorEastAsia" w:hAnsiTheme="minorEastAsia" w:eastAsiaTheme="minorEastAsia"/>
          <w:bCs/>
          <w:color w:val="auto"/>
          <w:sz w:val="21"/>
          <w:highlight w:val="none"/>
        </w:rPr>
      </w:pPr>
      <w:r>
        <w:rPr>
          <w:rFonts w:asciiTheme="minorEastAsia" w:hAnsiTheme="minorEastAsia" w:eastAsiaTheme="minorEastAsia"/>
          <w:bCs/>
          <w:color w:val="auto"/>
          <w:sz w:val="21"/>
          <w:highlight w:val="none"/>
        </w:rPr>
        <w:t>地址</w:t>
      </w:r>
      <w:r>
        <w:rPr>
          <w:rFonts w:hint="eastAsia" w:asciiTheme="minorEastAsia" w:hAnsiTheme="minorEastAsia" w:eastAsiaTheme="minorEastAsia"/>
          <w:bCs/>
          <w:color w:val="auto"/>
          <w:sz w:val="21"/>
          <w:highlight w:val="none"/>
        </w:rPr>
        <w:t xml:space="preserve">：                                         </w:t>
      </w:r>
      <w:r>
        <w:rPr>
          <w:rFonts w:asciiTheme="minorEastAsia" w:hAnsiTheme="minorEastAsia" w:eastAsiaTheme="minorEastAsia"/>
          <w:bCs/>
          <w:color w:val="auto"/>
          <w:sz w:val="21"/>
          <w:highlight w:val="none"/>
        </w:rPr>
        <w:t>邮编</w:t>
      </w:r>
      <w:r>
        <w:rPr>
          <w:rFonts w:hint="eastAsia" w:asciiTheme="minorEastAsia" w:hAnsiTheme="minorEastAsia" w:eastAsiaTheme="minorEastAsia"/>
          <w:bCs/>
          <w:color w:val="auto"/>
          <w:sz w:val="21"/>
          <w:highlight w:val="none"/>
        </w:rPr>
        <w:t>：</w:t>
      </w:r>
      <w:r>
        <w:rPr>
          <w:rFonts w:hint="eastAsia" w:asciiTheme="minorEastAsia" w:hAnsiTheme="minorEastAsia" w:eastAsiaTheme="minorEastAsia"/>
          <w:bCs/>
          <w:color w:val="auto"/>
          <w:sz w:val="21"/>
          <w:highlight w:val="none"/>
          <w:u w:val="single"/>
        </w:rPr>
        <w:t xml:space="preserve">       </w:t>
      </w:r>
      <w:r>
        <w:rPr>
          <w:rFonts w:asciiTheme="minorEastAsia" w:hAnsiTheme="minorEastAsia" w:eastAsiaTheme="minorEastAsia"/>
          <w:bCs/>
          <w:color w:val="auto"/>
          <w:sz w:val="21"/>
          <w:highlight w:val="none"/>
          <w:u w:val="single"/>
        </w:rPr>
        <w:t xml:space="preserve">                   </w:t>
      </w:r>
      <w:r>
        <w:rPr>
          <w:rFonts w:hint="eastAsia" w:asciiTheme="minorEastAsia" w:hAnsiTheme="minorEastAsia" w:eastAsiaTheme="minorEastAsia"/>
          <w:bCs/>
          <w:color w:val="auto"/>
          <w:sz w:val="21"/>
          <w:highlight w:val="none"/>
          <w:u w:val="single"/>
        </w:rPr>
        <w:t xml:space="preserve"> </w:t>
      </w:r>
    </w:p>
    <w:p w14:paraId="70C21FBD">
      <w:pPr>
        <w:pStyle w:val="22"/>
        <w:snapToGrid w:val="0"/>
        <w:spacing w:line="440" w:lineRule="exact"/>
        <w:ind w:firstLine="420" w:firstLineChars="200"/>
        <w:rPr>
          <w:rFonts w:asciiTheme="minorEastAsia" w:hAnsiTheme="minorEastAsia" w:eastAsiaTheme="minorEastAsia"/>
          <w:bCs/>
          <w:color w:val="auto"/>
          <w:sz w:val="21"/>
          <w:highlight w:val="none"/>
        </w:rPr>
      </w:pPr>
      <w:r>
        <w:rPr>
          <w:rFonts w:hint="eastAsia" w:asciiTheme="minorEastAsia" w:hAnsiTheme="minorEastAsia" w:eastAsiaTheme="minorEastAsia"/>
          <w:bCs/>
          <w:color w:val="auto"/>
          <w:sz w:val="21"/>
          <w:highlight w:val="none"/>
        </w:rPr>
        <w:t>被投诉人1：</w:t>
      </w:r>
    </w:p>
    <w:p w14:paraId="033C71CC">
      <w:pPr>
        <w:pStyle w:val="22"/>
        <w:snapToGrid w:val="0"/>
        <w:spacing w:line="440" w:lineRule="exact"/>
        <w:ind w:firstLine="420" w:firstLineChars="200"/>
        <w:rPr>
          <w:rFonts w:asciiTheme="minorEastAsia" w:hAnsiTheme="minorEastAsia" w:eastAsiaTheme="minorEastAsia"/>
          <w:bCs/>
          <w:color w:val="auto"/>
          <w:sz w:val="21"/>
          <w:highlight w:val="none"/>
        </w:rPr>
      </w:pPr>
      <w:r>
        <w:rPr>
          <w:rFonts w:hint="eastAsia" w:asciiTheme="minorEastAsia" w:hAnsiTheme="minorEastAsia" w:eastAsiaTheme="minorEastAsia"/>
          <w:bCs/>
          <w:color w:val="auto"/>
          <w:sz w:val="21"/>
          <w:highlight w:val="none"/>
        </w:rPr>
        <w:t xml:space="preserve">地址：                                         </w:t>
      </w:r>
      <w:r>
        <w:rPr>
          <w:rFonts w:asciiTheme="minorEastAsia" w:hAnsiTheme="minorEastAsia" w:eastAsiaTheme="minorEastAsia"/>
          <w:bCs/>
          <w:color w:val="auto"/>
          <w:sz w:val="21"/>
          <w:highlight w:val="none"/>
        </w:rPr>
        <w:t>邮编</w:t>
      </w:r>
      <w:r>
        <w:rPr>
          <w:rFonts w:hint="eastAsia" w:asciiTheme="minorEastAsia" w:hAnsiTheme="minorEastAsia" w:eastAsiaTheme="minorEastAsia"/>
          <w:bCs/>
          <w:color w:val="auto"/>
          <w:sz w:val="21"/>
          <w:highlight w:val="none"/>
        </w:rPr>
        <w:t>：</w:t>
      </w:r>
      <w:r>
        <w:rPr>
          <w:rFonts w:hint="eastAsia" w:asciiTheme="minorEastAsia" w:hAnsiTheme="minorEastAsia" w:eastAsiaTheme="minorEastAsia"/>
          <w:bCs/>
          <w:color w:val="auto"/>
          <w:sz w:val="21"/>
          <w:highlight w:val="none"/>
          <w:u w:val="single"/>
        </w:rPr>
        <w:t xml:space="preserve">     </w:t>
      </w:r>
      <w:r>
        <w:rPr>
          <w:rFonts w:asciiTheme="minorEastAsia" w:hAnsiTheme="minorEastAsia" w:eastAsiaTheme="minorEastAsia"/>
          <w:bCs/>
          <w:color w:val="auto"/>
          <w:sz w:val="21"/>
          <w:highlight w:val="none"/>
          <w:u w:val="single"/>
        </w:rPr>
        <w:t xml:space="preserve">        </w:t>
      </w:r>
      <w:r>
        <w:rPr>
          <w:rFonts w:hint="eastAsia" w:asciiTheme="minorEastAsia" w:hAnsiTheme="minorEastAsia" w:eastAsiaTheme="minorEastAsia"/>
          <w:bCs/>
          <w:color w:val="auto"/>
          <w:sz w:val="21"/>
          <w:highlight w:val="none"/>
          <w:u w:val="single"/>
        </w:rPr>
        <w:t xml:space="preserve"> </w:t>
      </w:r>
      <w:r>
        <w:rPr>
          <w:rFonts w:asciiTheme="minorEastAsia" w:hAnsiTheme="minorEastAsia" w:eastAsiaTheme="minorEastAsia"/>
          <w:bCs/>
          <w:color w:val="auto"/>
          <w:sz w:val="21"/>
          <w:highlight w:val="none"/>
          <w:u w:val="single"/>
        </w:rPr>
        <w:t xml:space="preserve">      </w:t>
      </w:r>
      <w:r>
        <w:rPr>
          <w:rFonts w:hint="eastAsia" w:asciiTheme="minorEastAsia" w:hAnsiTheme="minorEastAsia" w:eastAsiaTheme="minorEastAsia"/>
          <w:bCs/>
          <w:color w:val="auto"/>
          <w:sz w:val="21"/>
          <w:highlight w:val="none"/>
          <w:u w:val="single"/>
        </w:rPr>
        <w:t xml:space="preserve"> </w:t>
      </w:r>
      <w:r>
        <w:rPr>
          <w:rFonts w:asciiTheme="minorEastAsia" w:hAnsiTheme="minorEastAsia" w:eastAsiaTheme="minorEastAsia"/>
          <w:bCs/>
          <w:color w:val="auto"/>
          <w:sz w:val="21"/>
          <w:highlight w:val="none"/>
          <w:u w:val="single"/>
        </w:rPr>
        <w:t xml:space="preserve">    </w:t>
      </w:r>
      <w:r>
        <w:rPr>
          <w:rFonts w:hint="eastAsia" w:asciiTheme="minorEastAsia" w:hAnsiTheme="minorEastAsia" w:eastAsiaTheme="minorEastAsia"/>
          <w:bCs/>
          <w:color w:val="auto"/>
          <w:sz w:val="21"/>
          <w:highlight w:val="none"/>
          <w:u w:val="single"/>
        </w:rPr>
        <w:t xml:space="preserve">  </w:t>
      </w:r>
    </w:p>
    <w:p w14:paraId="4106203B">
      <w:pPr>
        <w:pStyle w:val="22"/>
        <w:snapToGrid w:val="0"/>
        <w:spacing w:line="440" w:lineRule="exact"/>
        <w:ind w:firstLine="420" w:firstLineChars="200"/>
        <w:rPr>
          <w:rFonts w:asciiTheme="minorEastAsia" w:hAnsiTheme="minorEastAsia" w:eastAsiaTheme="minorEastAsia"/>
          <w:bCs/>
          <w:color w:val="auto"/>
          <w:sz w:val="21"/>
          <w:highlight w:val="none"/>
          <w:u w:val="single"/>
        </w:rPr>
      </w:pPr>
      <w:r>
        <w:rPr>
          <w:rFonts w:hint="eastAsia" w:asciiTheme="minorEastAsia" w:hAnsiTheme="minorEastAsia" w:eastAsiaTheme="minorEastAsia"/>
          <w:bCs/>
          <w:color w:val="auto"/>
          <w:sz w:val="21"/>
          <w:highlight w:val="none"/>
        </w:rPr>
        <w:t xml:space="preserve">联系人：                                       </w:t>
      </w:r>
      <w:r>
        <w:rPr>
          <w:rFonts w:asciiTheme="minorEastAsia" w:hAnsiTheme="minorEastAsia" w:eastAsiaTheme="minorEastAsia"/>
          <w:bCs/>
          <w:color w:val="auto"/>
          <w:sz w:val="21"/>
          <w:highlight w:val="none"/>
        </w:rPr>
        <w:t>联系</w:t>
      </w:r>
      <w:r>
        <w:rPr>
          <w:rFonts w:hint="eastAsia" w:asciiTheme="minorEastAsia" w:hAnsiTheme="minorEastAsia" w:eastAsiaTheme="minorEastAsia"/>
          <w:bCs/>
          <w:color w:val="auto"/>
          <w:sz w:val="21"/>
          <w:highlight w:val="none"/>
        </w:rPr>
        <w:t>电话：</w:t>
      </w:r>
      <w:r>
        <w:rPr>
          <w:rFonts w:hint="eastAsia" w:asciiTheme="minorEastAsia" w:hAnsiTheme="minorEastAsia" w:eastAsiaTheme="minorEastAsia"/>
          <w:bCs/>
          <w:color w:val="auto"/>
          <w:sz w:val="21"/>
          <w:highlight w:val="none"/>
          <w:u w:val="single"/>
        </w:rPr>
        <w:t xml:space="preserve">        </w:t>
      </w:r>
      <w:r>
        <w:rPr>
          <w:rFonts w:asciiTheme="minorEastAsia" w:hAnsiTheme="minorEastAsia" w:eastAsiaTheme="minorEastAsia"/>
          <w:bCs/>
          <w:color w:val="auto"/>
          <w:sz w:val="21"/>
          <w:highlight w:val="none"/>
          <w:u w:val="single"/>
        </w:rPr>
        <w:t xml:space="preserve">     </w:t>
      </w:r>
      <w:r>
        <w:rPr>
          <w:rFonts w:hint="eastAsia" w:asciiTheme="minorEastAsia" w:hAnsiTheme="minorEastAsia" w:eastAsiaTheme="minorEastAsia"/>
          <w:bCs/>
          <w:color w:val="auto"/>
          <w:sz w:val="21"/>
          <w:highlight w:val="none"/>
          <w:u w:val="single"/>
        </w:rPr>
        <w:t xml:space="preserve">     </w:t>
      </w:r>
      <w:r>
        <w:rPr>
          <w:rFonts w:asciiTheme="minorEastAsia" w:hAnsiTheme="minorEastAsia" w:eastAsiaTheme="minorEastAsia"/>
          <w:bCs/>
          <w:color w:val="auto"/>
          <w:sz w:val="21"/>
          <w:highlight w:val="none"/>
          <w:u w:val="single"/>
        </w:rPr>
        <w:t xml:space="preserve">   </w:t>
      </w:r>
      <w:r>
        <w:rPr>
          <w:rFonts w:hint="eastAsia" w:asciiTheme="minorEastAsia" w:hAnsiTheme="minorEastAsia" w:eastAsiaTheme="minorEastAsia"/>
          <w:bCs/>
          <w:color w:val="auto"/>
          <w:sz w:val="21"/>
          <w:highlight w:val="none"/>
          <w:u w:val="single"/>
        </w:rPr>
        <w:t xml:space="preserve">  </w:t>
      </w:r>
    </w:p>
    <w:p w14:paraId="18DC4085">
      <w:pPr>
        <w:pStyle w:val="22"/>
        <w:snapToGrid w:val="0"/>
        <w:spacing w:line="440" w:lineRule="exact"/>
        <w:ind w:firstLine="420" w:firstLineChars="200"/>
        <w:rPr>
          <w:rFonts w:asciiTheme="minorEastAsia" w:hAnsiTheme="minorEastAsia" w:eastAsiaTheme="minorEastAsia"/>
          <w:bCs/>
          <w:color w:val="auto"/>
          <w:sz w:val="21"/>
          <w:highlight w:val="none"/>
        </w:rPr>
      </w:pPr>
      <w:r>
        <w:rPr>
          <w:rFonts w:hint="eastAsia" w:asciiTheme="minorEastAsia" w:hAnsiTheme="minorEastAsia" w:eastAsiaTheme="minorEastAsia"/>
          <w:bCs/>
          <w:color w:val="auto"/>
          <w:sz w:val="21"/>
          <w:highlight w:val="none"/>
        </w:rPr>
        <w:t xml:space="preserve">被投诉人2： </w:t>
      </w:r>
      <w:r>
        <w:rPr>
          <w:rFonts w:asciiTheme="minorEastAsia" w:hAnsiTheme="minorEastAsia" w:eastAsiaTheme="minorEastAsia"/>
          <w:bCs/>
          <w:color w:val="auto"/>
          <w:sz w:val="21"/>
          <w:highlight w:val="none"/>
        </w:rPr>
        <w:t xml:space="preserve">  </w:t>
      </w:r>
    </w:p>
    <w:p w14:paraId="4C04E0CA">
      <w:pPr>
        <w:pStyle w:val="22"/>
        <w:snapToGrid w:val="0"/>
        <w:spacing w:line="440" w:lineRule="exact"/>
        <w:ind w:firstLine="420" w:firstLineChars="200"/>
        <w:rPr>
          <w:rFonts w:asciiTheme="minorEastAsia" w:hAnsiTheme="minorEastAsia" w:eastAsiaTheme="minorEastAsia"/>
          <w:bCs/>
          <w:color w:val="auto"/>
          <w:sz w:val="21"/>
          <w:highlight w:val="none"/>
        </w:rPr>
      </w:pPr>
      <w:r>
        <w:rPr>
          <w:rFonts w:asciiTheme="minorEastAsia" w:hAnsiTheme="minorEastAsia" w:eastAsiaTheme="minorEastAsia"/>
          <w:bCs/>
          <w:color w:val="auto"/>
          <w:sz w:val="21"/>
          <w:highlight w:val="none"/>
        </w:rPr>
        <w:t>……</w:t>
      </w:r>
    </w:p>
    <w:p w14:paraId="38AF9646">
      <w:pPr>
        <w:pStyle w:val="22"/>
        <w:snapToGrid w:val="0"/>
        <w:spacing w:line="440" w:lineRule="exact"/>
        <w:ind w:firstLine="420" w:firstLineChars="200"/>
        <w:rPr>
          <w:rFonts w:asciiTheme="minorEastAsia" w:hAnsiTheme="minorEastAsia" w:eastAsiaTheme="minorEastAsia"/>
          <w:bCs/>
          <w:color w:val="auto"/>
          <w:sz w:val="21"/>
          <w:highlight w:val="none"/>
          <w:u w:val="single"/>
        </w:rPr>
      </w:pPr>
      <w:r>
        <w:rPr>
          <w:rFonts w:hint="eastAsia" w:asciiTheme="minorEastAsia" w:hAnsiTheme="minorEastAsia" w:eastAsiaTheme="minorEastAsia"/>
          <w:bCs/>
          <w:color w:val="auto"/>
          <w:sz w:val="21"/>
          <w:highlight w:val="none"/>
        </w:rPr>
        <w:t>相关供应商：</w:t>
      </w:r>
      <w:r>
        <w:rPr>
          <w:rFonts w:hint="eastAsia" w:asciiTheme="minorEastAsia" w:hAnsiTheme="minorEastAsia" w:eastAsiaTheme="minorEastAsia"/>
          <w:bCs/>
          <w:color w:val="auto"/>
          <w:sz w:val="21"/>
          <w:highlight w:val="none"/>
          <w:u w:val="single"/>
        </w:rPr>
        <w:t xml:space="preserve">                                                                   </w:t>
      </w:r>
    </w:p>
    <w:p w14:paraId="0C629A14">
      <w:pPr>
        <w:pStyle w:val="22"/>
        <w:snapToGrid w:val="0"/>
        <w:spacing w:line="440" w:lineRule="exact"/>
        <w:ind w:firstLine="420" w:firstLineChars="200"/>
        <w:rPr>
          <w:rFonts w:asciiTheme="minorEastAsia" w:hAnsiTheme="minorEastAsia" w:eastAsiaTheme="minorEastAsia"/>
          <w:bCs/>
          <w:color w:val="auto"/>
          <w:sz w:val="21"/>
          <w:highlight w:val="none"/>
          <w:u w:val="single"/>
        </w:rPr>
      </w:pPr>
      <w:r>
        <w:rPr>
          <w:rFonts w:asciiTheme="minorEastAsia" w:hAnsiTheme="minorEastAsia" w:eastAsiaTheme="minorEastAsia"/>
          <w:bCs/>
          <w:color w:val="auto"/>
          <w:sz w:val="21"/>
          <w:highlight w:val="none"/>
        </w:rPr>
        <w:t>地址</w:t>
      </w:r>
      <w:r>
        <w:rPr>
          <w:rFonts w:hint="eastAsia" w:asciiTheme="minorEastAsia" w:hAnsiTheme="minorEastAsia" w:eastAsiaTheme="minorEastAsia"/>
          <w:bCs/>
          <w:color w:val="auto"/>
          <w:sz w:val="21"/>
          <w:highlight w:val="none"/>
        </w:rPr>
        <w:t xml:space="preserve">：                                          </w:t>
      </w:r>
      <w:r>
        <w:rPr>
          <w:rFonts w:asciiTheme="minorEastAsia" w:hAnsiTheme="minorEastAsia" w:eastAsiaTheme="minorEastAsia"/>
          <w:bCs/>
          <w:color w:val="auto"/>
          <w:sz w:val="21"/>
          <w:highlight w:val="none"/>
        </w:rPr>
        <w:t>邮编</w:t>
      </w:r>
      <w:r>
        <w:rPr>
          <w:rFonts w:hint="eastAsia" w:asciiTheme="minorEastAsia" w:hAnsiTheme="minorEastAsia" w:eastAsiaTheme="minorEastAsia"/>
          <w:bCs/>
          <w:color w:val="auto"/>
          <w:sz w:val="21"/>
          <w:highlight w:val="none"/>
        </w:rPr>
        <w:t>：</w:t>
      </w:r>
      <w:r>
        <w:rPr>
          <w:rFonts w:hint="eastAsia" w:asciiTheme="minorEastAsia" w:hAnsiTheme="minorEastAsia" w:eastAsiaTheme="minorEastAsia"/>
          <w:bCs/>
          <w:color w:val="auto"/>
          <w:sz w:val="21"/>
          <w:highlight w:val="none"/>
          <w:u w:val="single"/>
        </w:rPr>
        <w:t xml:space="preserve">                      </w:t>
      </w:r>
      <w:r>
        <w:rPr>
          <w:rFonts w:asciiTheme="minorEastAsia" w:hAnsiTheme="minorEastAsia" w:eastAsiaTheme="minorEastAsia"/>
          <w:bCs/>
          <w:color w:val="auto"/>
          <w:sz w:val="21"/>
          <w:highlight w:val="none"/>
          <w:u w:val="single"/>
        </w:rPr>
        <w:t xml:space="preserve">  </w:t>
      </w:r>
      <w:r>
        <w:rPr>
          <w:rFonts w:hint="eastAsia" w:asciiTheme="minorEastAsia" w:hAnsiTheme="minorEastAsia" w:eastAsiaTheme="minorEastAsia"/>
          <w:bCs/>
          <w:color w:val="auto"/>
          <w:sz w:val="21"/>
          <w:highlight w:val="none"/>
          <w:u w:val="single"/>
        </w:rPr>
        <w:t xml:space="preserve"> </w:t>
      </w:r>
    </w:p>
    <w:p w14:paraId="0D41D1DF">
      <w:pPr>
        <w:pStyle w:val="22"/>
        <w:snapToGrid w:val="0"/>
        <w:spacing w:line="440" w:lineRule="exact"/>
        <w:ind w:firstLine="420" w:firstLineChars="200"/>
        <w:rPr>
          <w:rFonts w:asciiTheme="minorEastAsia" w:hAnsiTheme="minorEastAsia" w:eastAsiaTheme="minorEastAsia"/>
          <w:bCs/>
          <w:color w:val="auto"/>
          <w:sz w:val="21"/>
          <w:highlight w:val="none"/>
        </w:rPr>
      </w:pPr>
      <w:r>
        <w:rPr>
          <w:rFonts w:hint="eastAsia" w:asciiTheme="minorEastAsia" w:hAnsiTheme="minorEastAsia" w:eastAsiaTheme="minorEastAsia"/>
          <w:bCs/>
          <w:color w:val="auto"/>
          <w:sz w:val="21"/>
          <w:highlight w:val="none"/>
        </w:rPr>
        <w:t xml:space="preserve">联系人：                                        </w:t>
      </w:r>
      <w:r>
        <w:rPr>
          <w:rFonts w:asciiTheme="minorEastAsia" w:hAnsiTheme="minorEastAsia" w:eastAsiaTheme="minorEastAsia"/>
          <w:bCs/>
          <w:color w:val="auto"/>
          <w:sz w:val="21"/>
          <w:highlight w:val="none"/>
        </w:rPr>
        <w:t>联系</w:t>
      </w:r>
      <w:r>
        <w:rPr>
          <w:rFonts w:hint="eastAsia" w:asciiTheme="minorEastAsia" w:hAnsiTheme="minorEastAsia" w:eastAsiaTheme="minorEastAsia"/>
          <w:bCs/>
          <w:color w:val="auto"/>
          <w:sz w:val="21"/>
          <w:highlight w:val="none"/>
        </w:rPr>
        <w:t>电话：</w:t>
      </w:r>
      <w:r>
        <w:rPr>
          <w:rFonts w:hint="eastAsia" w:asciiTheme="minorEastAsia" w:hAnsiTheme="minorEastAsia" w:eastAsiaTheme="minorEastAsia"/>
          <w:bCs/>
          <w:color w:val="auto"/>
          <w:sz w:val="21"/>
          <w:highlight w:val="none"/>
          <w:u w:val="single"/>
        </w:rPr>
        <w:t xml:space="preserve">                </w:t>
      </w:r>
      <w:r>
        <w:rPr>
          <w:rFonts w:asciiTheme="minorEastAsia" w:hAnsiTheme="minorEastAsia" w:eastAsiaTheme="minorEastAsia"/>
          <w:bCs/>
          <w:color w:val="auto"/>
          <w:sz w:val="21"/>
          <w:highlight w:val="none"/>
          <w:u w:val="single"/>
        </w:rPr>
        <w:t xml:space="preserve">   </w:t>
      </w:r>
      <w:r>
        <w:rPr>
          <w:rFonts w:hint="eastAsia" w:asciiTheme="minorEastAsia" w:hAnsiTheme="minorEastAsia" w:eastAsiaTheme="minorEastAsia"/>
          <w:bCs/>
          <w:color w:val="auto"/>
          <w:sz w:val="21"/>
          <w:highlight w:val="none"/>
          <w:u w:val="single"/>
        </w:rPr>
        <w:t xml:space="preserve">  </w:t>
      </w:r>
    </w:p>
    <w:p w14:paraId="30B0B334">
      <w:pPr>
        <w:pStyle w:val="22"/>
        <w:snapToGrid w:val="0"/>
        <w:spacing w:line="440" w:lineRule="exact"/>
        <w:ind w:firstLine="422" w:firstLineChars="200"/>
        <w:rPr>
          <w:rFonts w:asciiTheme="minorEastAsia" w:hAnsiTheme="minorEastAsia" w:eastAsiaTheme="minorEastAsia"/>
          <w:b/>
          <w:bCs/>
          <w:color w:val="auto"/>
          <w:sz w:val="21"/>
          <w:highlight w:val="none"/>
        </w:rPr>
      </w:pPr>
      <w:r>
        <w:rPr>
          <w:rFonts w:hint="eastAsia" w:asciiTheme="minorEastAsia" w:hAnsiTheme="minorEastAsia" w:eastAsiaTheme="minorEastAsia"/>
          <w:b/>
          <w:bCs/>
          <w:color w:val="auto"/>
          <w:sz w:val="21"/>
          <w:highlight w:val="none"/>
        </w:rPr>
        <w:t>二、投诉项目基本情况：</w:t>
      </w:r>
    </w:p>
    <w:p w14:paraId="4BDDC3BF">
      <w:pPr>
        <w:pStyle w:val="22"/>
        <w:spacing w:line="440" w:lineRule="exact"/>
        <w:ind w:left="25" w:leftChars="12" w:firstLine="413" w:firstLineChars="197"/>
        <w:rPr>
          <w:rFonts w:asciiTheme="minorEastAsia" w:hAnsiTheme="minorEastAsia" w:eastAsiaTheme="minorEastAsia"/>
          <w:color w:val="auto"/>
          <w:sz w:val="21"/>
          <w:highlight w:val="none"/>
        </w:rPr>
      </w:pPr>
      <w:r>
        <w:rPr>
          <w:rFonts w:hint="eastAsia" w:asciiTheme="minorEastAsia" w:hAnsiTheme="minorEastAsia" w:eastAsiaTheme="minorEastAsia"/>
          <w:bCs/>
          <w:color w:val="auto"/>
          <w:sz w:val="21"/>
          <w:highlight w:val="none"/>
        </w:rPr>
        <w:t>采购</w:t>
      </w:r>
      <w:r>
        <w:rPr>
          <w:rFonts w:hint="eastAsia" w:asciiTheme="minorEastAsia" w:hAnsiTheme="minorEastAsia" w:eastAsiaTheme="minorEastAsia"/>
          <w:color w:val="auto"/>
          <w:sz w:val="21"/>
          <w:highlight w:val="none"/>
        </w:rPr>
        <w:t>项目的名称：</w:t>
      </w:r>
      <w:r>
        <w:rPr>
          <w:rFonts w:hint="eastAsia" w:asciiTheme="minorEastAsia" w:hAnsiTheme="minorEastAsia" w:eastAsiaTheme="minorEastAsia"/>
          <w:bCs/>
          <w:color w:val="auto"/>
          <w:sz w:val="21"/>
          <w:highlight w:val="none"/>
          <w:u w:val="single"/>
        </w:rPr>
        <w:t xml:space="preserve">                                                              </w:t>
      </w:r>
    </w:p>
    <w:p w14:paraId="441DFDBC">
      <w:pPr>
        <w:pStyle w:val="22"/>
        <w:spacing w:line="440" w:lineRule="exact"/>
        <w:ind w:left="25" w:leftChars="12" w:firstLine="413" w:firstLineChars="197"/>
        <w:rPr>
          <w:rFonts w:asciiTheme="minorEastAsia" w:hAnsiTheme="minorEastAsia" w:eastAsiaTheme="minorEastAsia"/>
          <w:color w:val="auto"/>
          <w:sz w:val="21"/>
          <w:highlight w:val="none"/>
        </w:rPr>
      </w:pPr>
      <w:r>
        <w:rPr>
          <w:rFonts w:hint="eastAsia" w:asciiTheme="minorEastAsia" w:hAnsiTheme="minorEastAsia" w:eastAsiaTheme="minorEastAsia"/>
          <w:bCs/>
          <w:color w:val="auto"/>
          <w:sz w:val="21"/>
          <w:highlight w:val="none"/>
        </w:rPr>
        <w:t>采购</w:t>
      </w:r>
      <w:r>
        <w:rPr>
          <w:rFonts w:hint="eastAsia" w:asciiTheme="minorEastAsia" w:hAnsiTheme="minorEastAsia" w:eastAsiaTheme="minorEastAsia"/>
          <w:color w:val="auto"/>
          <w:sz w:val="21"/>
          <w:highlight w:val="none"/>
        </w:rPr>
        <w:t xml:space="preserve">项目的编号：                     </w:t>
      </w:r>
      <w:r>
        <w:rPr>
          <w:rFonts w:asciiTheme="minorEastAsia" w:hAnsiTheme="minorEastAsia" w:eastAsiaTheme="minorEastAsia"/>
          <w:color w:val="auto"/>
          <w:sz w:val="21"/>
          <w:highlight w:val="none"/>
        </w:rPr>
        <w:t xml:space="preserve">   </w:t>
      </w:r>
      <w:r>
        <w:rPr>
          <w:rFonts w:hint="eastAsia" w:asciiTheme="minorEastAsia" w:hAnsiTheme="minorEastAsia" w:eastAsiaTheme="minorEastAsia"/>
          <w:color w:val="auto"/>
          <w:sz w:val="21"/>
          <w:highlight w:val="none"/>
        </w:rPr>
        <w:t xml:space="preserve">   </w:t>
      </w:r>
      <w:r>
        <w:rPr>
          <w:rFonts w:hint="eastAsia" w:asciiTheme="minorEastAsia" w:hAnsiTheme="minorEastAsia" w:eastAsiaTheme="minorEastAsia"/>
          <w:color w:val="auto"/>
          <w:sz w:val="21"/>
          <w:highlight w:val="none"/>
          <w:lang w:eastAsia="zh-CN"/>
        </w:rPr>
        <w:t>所投分标</w:t>
      </w:r>
      <w:r>
        <w:rPr>
          <w:rFonts w:hint="eastAsia" w:asciiTheme="minorEastAsia" w:hAnsiTheme="minorEastAsia" w:eastAsiaTheme="minorEastAsia"/>
          <w:color w:val="auto"/>
          <w:sz w:val="21"/>
          <w:highlight w:val="none"/>
        </w:rPr>
        <w:t xml:space="preserve"> </w:t>
      </w:r>
      <w:r>
        <w:rPr>
          <w:rFonts w:hint="eastAsia" w:asciiTheme="minorEastAsia" w:hAnsiTheme="minorEastAsia" w:eastAsiaTheme="minorEastAsia"/>
          <w:bCs/>
          <w:color w:val="auto"/>
          <w:sz w:val="21"/>
          <w:highlight w:val="none"/>
          <w:u w:val="single"/>
        </w:rPr>
        <w:t xml:space="preserve">                 </w:t>
      </w:r>
    </w:p>
    <w:p w14:paraId="540899FE">
      <w:pPr>
        <w:pStyle w:val="22"/>
        <w:spacing w:line="440" w:lineRule="exact"/>
        <w:ind w:left="25" w:leftChars="12" w:firstLine="413" w:firstLineChars="197"/>
        <w:rPr>
          <w:rFonts w:asciiTheme="minorEastAsia" w:hAnsiTheme="minorEastAsia" w:eastAsiaTheme="minorEastAsia"/>
          <w:bCs/>
          <w:color w:val="auto"/>
          <w:sz w:val="21"/>
          <w:highlight w:val="none"/>
          <w:u w:val="single"/>
        </w:rPr>
      </w:pPr>
      <w:r>
        <w:rPr>
          <w:rFonts w:hint="eastAsia" w:asciiTheme="minorEastAsia" w:hAnsiTheme="minorEastAsia" w:eastAsiaTheme="minorEastAsia"/>
          <w:color w:val="auto"/>
          <w:sz w:val="21"/>
          <w:highlight w:val="none"/>
        </w:rPr>
        <w:t>采购人名称：</w:t>
      </w:r>
      <w:r>
        <w:rPr>
          <w:rFonts w:hint="eastAsia" w:asciiTheme="minorEastAsia" w:hAnsiTheme="minorEastAsia" w:eastAsiaTheme="minorEastAsia"/>
          <w:bCs/>
          <w:color w:val="auto"/>
          <w:sz w:val="21"/>
          <w:highlight w:val="none"/>
          <w:u w:val="single"/>
        </w:rPr>
        <w:t xml:space="preserve">                                                                  </w:t>
      </w:r>
    </w:p>
    <w:p w14:paraId="5F2DA622">
      <w:pPr>
        <w:pStyle w:val="22"/>
        <w:spacing w:line="440" w:lineRule="exact"/>
        <w:ind w:left="25" w:leftChars="12" w:firstLine="413" w:firstLineChars="197"/>
        <w:rPr>
          <w:rFonts w:asciiTheme="minorEastAsia" w:hAnsiTheme="minorEastAsia" w:eastAsiaTheme="minorEastAsia"/>
          <w:bCs/>
          <w:color w:val="auto"/>
          <w:sz w:val="21"/>
          <w:highlight w:val="none"/>
          <w:u w:val="single"/>
        </w:rPr>
      </w:pPr>
      <w:r>
        <w:rPr>
          <w:rFonts w:hint="eastAsia" w:asciiTheme="minorEastAsia" w:hAnsiTheme="minorEastAsia" w:eastAsiaTheme="minorEastAsia"/>
          <w:color w:val="auto"/>
          <w:sz w:val="21"/>
          <w:highlight w:val="none"/>
        </w:rPr>
        <w:t>代理机构名称：</w:t>
      </w:r>
      <w:r>
        <w:rPr>
          <w:rFonts w:hint="eastAsia" w:asciiTheme="minorEastAsia" w:hAnsiTheme="minorEastAsia" w:eastAsiaTheme="minorEastAsia"/>
          <w:bCs/>
          <w:color w:val="auto"/>
          <w:sz w:val="21"/>
          <w:highlight w:val="none"/>
          <w:u w:val="single"/>
        </w:rPr>
        <w:t xml:space="preserve">                                                                </w:t>
      </w:r>
    </w:p>
    <w:p w14:paraId="15489FF5">
      <w:pPr>
        <w:pStyle w:val="22"/>
        <w:spacing w:line="440" w:lineRule="exact"/>
        <w:ind w:left="25" w:leftChars="12" w:firstLine="413" w:firstLineChars="197"/>
        <w:rPr>
          <w:rFonts w:asciiTheme="minorEastAsia" w:hAnsiTheme="minorEastAsia" w:eastAsiaTheme="minorEastAsia"/>
          <w:bCs/>
          <w:color w:val="auto"/>
          <w:sz w:val="21"/>
          <w:highlight w:val="none"/>
          <w:u w:val="single"/>
        </w:rPr>
      </w:pPr>
      <w:r>
        <w:rPr>
          <w:rFonts w:hint="eastAsia" w:asciiTheme="minorEastAsia" w:hAnsiTheme="minorEastAsia" w:eastAsiaTheme="minorEastAsia"/>
          <w:bCs/>
          <w:color w:val="auto"/>
          <w:sz w:val="21"/>
          <w:highlight w:val="none"/>
        </w:rPr>
        <w:t>采购文件公告：</w:t>
      </w:r>
      <w:r>
        <w:rPr>
          <w:rFonts w:hint="eastAsia" w:asciiTheme="minorEastAsia" w:hAnsiTheme="minorEastAsia" w:eastAsiaTheme="minorEastAsia"/>
          <w:bCs/>
          <w:color w:val="auto"/>
          <w:sz w:val="21"/>
          <w:highlight w:val="none"/>
          <w:u w:val="single"/>
        </w:rPr>
        <w:t>是/否</w:t>
      </w:r>
      <w:r>
        <w:rPr>
          <w:rFonts w:hint="eastAsia" w:asciiTheme="minorEastAsia" w:hAnsiTheme="minorEastAsia" w:eastAsiaTheme="minorEastAsia"/>
          <w:bCs/>
          <w:color w:val="auto"/>
          <w:sz w:val="21"/>
          <w:highlight w:val="none"/>
        </w:rPr>
        <w:t>公告期限：</w:t>
      </w:r>
      <w:r>
        <w:rPr>
          <w:rFonts w:hint="eastAsia" w:asciiTheme="minorEastAsia" w:hAnsiTheme="minorEastAsia" w:eastAsiaTheme="minorEastAsia"/>
          <w:bCs/>
          <w:color w:val="auto"/>
          <w:sz w:val="21"/>
          <w:highlight w:val="none"/>
          <w:u w:val="single"/>
        </w:rPr>
        <w:t xml:space="preserve">                                                 </w:t>
      </w:r>
    </w:p>
    <w:p w14:paraId="04E07906">
      <w:pPr>
        <w:pStyle w:val="22"/>
        <w:spacing w:line="440" w:lineRule="exact"/>
        <w:ind w:left="25" w:leftChars="12" w:firstLine="413" w:firstLineChars="197"/>
        <w:rPr>
          <w:rFonts w:asciiTheme="minorEastAsia" w:hAnsiTheme="minorEastAsia" w:eastAsiaTheme="minorEastAsia"/>
          <w:b/>
          <w:color w:val="auto"/>
          <w:sz w:val="21"/>
          <w:highlight w:val="none"/>
        </w:rPr>
      </w:pPr>
      <w:r>
        <w:rPr>
          <w:rFonts w:hint="eastAsia" w:asciiTheme="minorEastAsia" w:hAnsiTheme="minorEastAsia" w:eastAsiaTheme="minorEastAsia"/>
          <w:bCs/>
          <w:color w:val="auto"/>
          <w:sz w:val="21"/>
          <w:highlight w:val="none"/>
        </w:rPr>
        <w:t>采购结果公告：</w:t>
      </w:r>
      <w:r>
        <w:rPr>
          <w:rFonts w:hint="eastAsia" w:asciiTheme="minorEastAsia" w:hAnsiTheme="minorEastAsia" w:eastAsiaTheme="minorEastAsia"/>
          <w:bCs/>
          <w:color w:val="auto"/>
          <w:sz w:val="21"/>
          <w:highlight w:val="none"/>
          <w:u w:val="single"/>
        </w:rPr>
        <w:t>是/否</w:t>
      </w:r>
      <w:r>
        <w:rPr>
          <w:rFonts w:hint="eastAsia" w:asciiTheme="minorEastAsia" w:hAnsiTheme="minorEastAsia" w:eastAsiaTheme="minorEastAsia"/>
          <w:bCs/>
          <w:color w:val="auto"/>
          <w:sz w:val="21"/>
          <w:highlight w:val="none"/>
        </w:rPr>
        <w:t>公告期限：</w:t>
      </w:r>
      <w:r>
        <w:rPr>
          <w:rFonts w:hint="eastAsia" w:asciiTheme="minorEastAsia" w:hAnsiTheme="minorEastAsia" w:eastAsiaTheme="minorEastAsia"/>
          <w:bCs/>
          <w:color w:val="auto"/>
          <w:sz w:val="21"/>
          <w:highlight w:val="none"/>
          <w:u w:val="single"/>
        </w:rPr>
        <w:t xml:space="preserve">                                                 </w:t>
      </w:r>
    </w:p>
    <w:p w14:paraId="39C03D14">
      <w:pPr>
        <w:pStyle w:val="22"/>
        <w:spacing w:line="440" w:lineRule="exact"/>
        <w:ind w:left="25" w:leftChars="12" w:firstLine="413" w:firstLineChars="196"/>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三、质疑基本情况</w:t>
      </w:r>
    </w:p>
    <w:p w14:paraId="6ED4D8F6">
      <w:pPr>
        <w:pStyle w:val="22"/>
        <w:spacing w:line="440" w:lineRule="exact"/>
        <w:ind w:left="25" w:leftChars="12" w:firstLine="833" w:firstLineChars="397"/>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投诉人于</w:t>
      </w:r>
      <w:r>
        <w:rPr>
          <w:rFonts w:hint="eastAsia" w:asciiTheme="minorEastAsia" w:hAnsiTheme="minorEastAsia" w:eastAsiaTheme="minorEastAsia"/>
          <w:color w:val="auto"/>
          <w:sz w:val="21"/>
          <w:highlight w:val="none"/>
          <w:u w:val="single"/>
        </w:rPr>
        <w:t xml:space="preserve">      </w:t>
      </w:r>
      <w:r>
        <w:rPr>
          <w:rFonts w:hint="eastAsia" w:asciiTheme="minorEastAsia" w:hAnsiTheme="minorEastAsia" w:eastAsiaTheme="minorEastAsia"/>
          <w:color w:val="auto"/>
          <w:sz w:val="21"/>
          <w:highlight w:val="none"/>
        </w:rPr>
        <w:t>年</w:t>
      </w:r>
      <w:r>
        <w:rPr>
          <w:rFonts w:hint="eastAsia" w:asciiTheme="minorEastAsia" w:hAnsiTheme="minorEastAsia" w:eastAsiaTheme="minorEastAsia"/>
          <w:color w:val="auto"/>
          <w:sz w:val="21"/>
          <w:highlight w:val="none"/>
          <w:u w:val="single"/>
        </w:rPr>
        <w:t xml:space="preserve">   </w:t>
      </w:r>
      <w:r>
        <w:rPr>
          <w:rFonts w:hint="eastAsia" w:asciiTheme="minorEastAsia" w:hAnsiTheme="minorEastAsia" w:eastAsiaTheme="minorEastAsia"/>
          <w:color w:val="auto"/>
          <w:sz w:val="21"/>
          <w:highlight w:val="none"/>
        </w:rPr>
        <w:t>月</w:t>
      </w:r>
      <w:r>
        <w:rPr>
          <w:rFonts w:hint="eastAsia" w:asciiTheme="minorEastAsia" w:hAnsiTheme="minorEastAsia" w:eastAsiaTheme="minorEastAsia"/>
          <w:color w:val="auto"/>
          <w:sz w:val="21"/>
          <w:highlight w:val="none"/>
          <w:u w:val="single"/>
        </w:rPr>
        <w:t xml:space="preserve">   </w:t>
      </w:r>
      <w:r>
        <w:rPr>
          <w:rFonts w:hint="eastAsia" w:asciiTheme="minorEastAsia" w:hAnsiTheme="minorEastAsia" w:eastAsiaTheme="minorEastAsia"/>
          <w:color w:val="auto"/>
          <w:sz w:val="21"/>
          <w:highlight w:val="none"/>
        </w:rPr>
        <w:t>日，向</w:t>
      </w:r>
      <w:r>
        <w:rPr>
          <w:rFonts w:hint="eastAsia" w:asciiTheme="minorEastAsia" w:hAnsiTheme="minorEastAsia" w:eastAsiaTheme="minorEastAsia"/>
          <w:color w:val="auto"/>
          <w:sz w:val="21"/>
          <w:highlight w:val="none"/>
          <w:u w:val="single"/>
        </w:rPr>
        <w:t xml:space="preserve">                            </w:t>
      </w:r>
      <w:r>
        <w:rPr>
          <w:rFonts w:hint="eastAsia" w:asciiTheme="minorEastAsia" w:hAnsiTheme="minorEastAsia" w:eastAsiaTheme="minorEastAsia"/>
          <w:color w:val="auto"/>
          <w:sz w:val="21"/>
          <w:highlight w:val="none"/>
        </w:rPr>
        <w:t>提出质疑，质疑事项为：</w:t>
      </w:r>
    </w:p>
    <w:p w14:paraId="13241727">
      <w:pPr>
        <w:pStyle w:val="22"/>
        <w:spacing w:line="440" w:lineRule="exact"/>
        <w:rPr>
          <w:rFonts w:asciiTheme="minorEastAsia" w:hAnsiTheme="minorEastAsia" w:eastAsiaTheme="minorEastAsia"/>
          <w:bCs/>
          <w:color w:val="auto"/>
          <w:sz w:val="21"/>
          <w:highlight w:val="none"/>
          <w:u w:val="single"/>
        </w:rPr>
      </w:pPr>
      <w:r>
        <w:rPr>
          <w:rFonts w:hint="eastAsia" w:asciiTheme="minorEastAsia" w:hAnsiTheme="minorEastAsia" w:eastAsiaTheme="minorEastAsia"/>
          <w:color w:val="auto"/>
          <w:sz w:val="21"/>
          <w:highlight w:val="none"/>
        </w:rPr>
        <w:t xml:space="preserve">    </w:t>
      </w:r>
      <w:r>
        <w:rPr>
          <w:rFonts w:hint="eastAsia" w:asciiTheme="minorEastAsia" w:hAnsiTheme="minorEastAsia" w:eastAsiaTheme="minorEastAsia"/>
          <w:bCs/>
          <w:color w:val="auto"/>
          <w:sz w:val="21"/>
          <w:highlight w:val="none"/>
          <w:u w:val="single"/>
        </w:rPr>
        <w:t xml:space="preserve">                                                                              </w:t>
      </w:r>
    </w:p>
    <w:p w14:paraId="17E39EE0">
      <w:pPr>
        <w:pStyle w:val="22"/>
        <w:spacing w:line="440" w:lineRule="exact"/>
        <w:rPr>
          <w:rFonts w:asciiTheme="minorEastAsia" w:hAnsiTheme="minorEastAsia" w:eastAsiaTheme="minorEastAsia"/>
          <w:bCs/>
          <w:color w:val="auto"/>
          <w:sz w:val="21"/>
          <w:highlight w:val="none"/>
          <w:u w:val="single"/>
        </w:rPr>
      </w:pPr>
      <w:r>
        <w:rPr>
          <w:rFonts w:hint="eastAsia" w:asciiTheme="minorEastAsia" w:hAnsiTheme="minorEastAsia" w:eastAsiaTheme="minorEastAsia"/>
          <w:bCs/>
          <w:color w:val="auto"/>
          <w:sz w:val="21"/>
          <w:highlight w:val="none"/>
        </w:rPr>
        <w:t xml:space="preserve">    </w:t>
      </w:r>
      <w:r>
        <w:rPr>
          <w:rFonts w:hint="eastAsia" w:asciiTheme="minorEastAsia" w:hAnsiTheme="minorEastAsia" w:eastAsiaTheme="minorEastAsia"/>
          <w:bCs/>
          <w:color w:val="auto"/>
          <w:sz w:val="21"/>
          <w:highlight w:val="none"/>
          <w:u w:val="single"/>
        </w:rPr>
        <w:t xml:space="preserve">                                                                              </w:t>
      </w:r>
    </w:p>
    <w:p w14:paraId="76F0C8B7">
      <w:pPr>
        <w:pStyle w:val="22"/>
        <w:spacing w:line="440" w:lineRule="exact"/>
        <w:rPr>
          <w:rFonts w:asciiTheme="minorEastAsia" w:hAnsiTheme="minorEastAsia" w:eastAsiaTheme="minorEastAsia"/>
          <w:color w:val="auto"/>
          <w:sz w:val="21"/>
          <w:highlight w:val="none"/>
        </w:rPr>
      </w:pPr>
      <w:r>
        <w:rPr>
          <w:rFonts w:hint="eastAsia" w:asciiTheme="minorEastAsia" w:hAnsiTheme="minorEastAsia" w:eastAsiaTheme="minorEastAsia"/>
          <w:bCs/>
          <w:color w:val="auto"/>
          <w:sz w:val="21"/>
          <w:highlight w:val="none"/>
        </w:rPr>
        <w:t xml:space="preserve">       </w:t>
      </w:r>
      <w:r>
        <w:rPr>
          <w:rFonts w:hint="eastAsia" w:asciiTheme="minorEastAsia" w:hAnsiTheme="minorEastAsia" w:eastAsiaTheme="minorEastAsia"/>
          <w:bCs/>
          <w:color w:val="auto"/>
          <w:sz w:val="21"/>
          <w:highlight w:val="none"/>
          <w:u w:val="single"/>
        </w:rPr>
        <w:t>采购人/代理机构</w:t>
      </w:r>
      <w:r>
        <w:rPr>
          <w:rFonts w:hint="eastAsia" w:asciiTheme="minorEastAsia" w:hAnsiTheme="minorEastAsia" w:eastAsiaTheme="minorEastAsia"/>
          <w:bCs/>
          <w:color w:val="auto"/>
          <w:sz w:val="21"/>
          <w:highlight w:val="none"/>
        </w:rPr>
        <w:t>于</w:t>
      </w:r>
      <w:r>
        <w:rPr>
          <w:rFonts w:hint="eastAsia" w:asciiTheme="minorEastAsia" w:hAnsiTheme="minorEastAsia" w:eastAsiaTheme="minorEastAsia"/>
          <w:color w:val="auto"/>
          <w:sz w:val="21"/>
          <w:highlight w:val="none"/>
          <w:u w:val="single"/>
        </w:rPr>
        <w:t xml:space="preserve">    </w:t>
      </w:r>
      <w:r>
        <w:rPr>
          <w:rFonts w:hint="eastAsia" w:asciiTheme="minorEastAsia" w:hAnsiTheme="minorEastAsia" w:eastAsiaTheme="minorEastAsia"/>
          <w:color w:val="auto"/>
          <w:sz w:val="21"/>
          <w:highlight w:val="none"/>
        </w:rPr>
        <w:t>年</w:t>
      </w:r>
      <w:r>
        <w:rPr>
          <w:rFonts w:hint="eastAsia" w:asciiTheme="minorEastAsia" w:hAnsiTheme="minorEastAsia" w:eastAsiaTheme="minorEastAsia"/>
          <w:color w:val="auto"/>
          <w:sz w:val="21"/>
          <w:highlight w:val="none"/>
          <w:u w:val="single"/>
        </w:rPr>
        <w:t xml:space="preserve">   </w:t>
      </w:r>
      <w:r>
        <w:rPr>
          <w:rFonts w:hint="eastAsia" w:asciiTheme="minorEastAsia" w:hAnsiTheme="minorEastAsia" w:eastAsiaTheme="minorEastAsia"/>
          <w:color w:val="auto"/>
          <w:sz w:val="21"/>
          <w:highlight w:val="none"/>
        </w:rPr>
        <w:t>月</w:t>
      </w:r>
      <w:r>
        <w:rPr>
          <w:rFonts w:hint="eastAsia" w:asciiTheme="minorEastAsia" w:hAnsiTheme="minorEastAsia" w:eastAsiaTheme="minorEastAsia"/>
          <w:color w:val="auto"/>
          <w:sz w:val="21"/>
          <w:highlight w:val="none"/>
          <w:u w:val="single"/>
        </w:rPr>
        <w:t xml:space="preserve">   </w:t>
      </w:r>
      <w:r>
        <w:rPr>
          <w:rFonts w:hint="eastAsia" w:asciiTheme="minorEastAsia" w:hAnsiTheme="minorEastAsia" w:eastAsiaTheme="minorEastAsia"/>
          <w:color w:val="auto"/>
          <w:sz w:val="21"/>
          <w:highlight w:val="none"/>
        </w:rPr>
        <w:t>日，</w:t>
      </w:r>
      <w:r>
        <w:rPr>
          <w:rFonts w:hint="eastAsia" w:asciiTheme="minorEastAsia" w:hAnsiTheme="minorEastAsia" w:eastAsiaTheme="minorEastAsia"/>
          <w:bCs/>
          <w:color w:val="auto"/>
          <w:sz w:val="21"/>
          <w:highlight w:val="none"/>
        </w:rPr>
        <w:t xml:space="preserve">就质疑事项作出了答复/没有在法定期限内作出答复。                                                                                             </w:t>
      </w:r>
    </w:p>
    <w:p w14:paraId="2D1959D7">
      <w:pPr>
        <w:pStyle w:val="22"/>
        <w:spacing w:line="440" w:lineRule="exact"/>
        <w:ind w:left="25" w:leftChars="12" w:firstLine="413" w:firstLineChars="196"/>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四、投诉事项具体内容</w:t>
      </w:r>
    </w:p>
    <w:p w14:paraId="7658B60E">
      <w:pPr>
        <w:pStyle w:val="22"/>
        <w:spacing w:line="440" w:lineRule="exact"/>
        <w:ind w:left="25" w:leftChars="12" w:firstLine="413" w:firstLineChars="197"/>
        <w:rPr>
          <w:rFonts w:asciiTheme="minorEastAsia" w:hAnsiTheme="minorEastAsia" w:eastAsiaTheme="minorEastAsia"/>
          <w:bCs/>
          <w:color w:val="auto"/>
          <w:sz w:val="21"/>
          <w:highlight w:val="none"/>
          <w:u w:val="single"/>
        </w:rPr>
      </w:pPr>
      <w:r>
        <w:rPr>
          <w:rFonts w:hint="eastAsia" w:asciiTheme="minorEastAsia" w:hAnsiTheme="minorEastAsia" w:eastAsiaTheme="minorEastAsia"/>
          <w:color w:val="auto"/>
          <w:sz w:val="21"/>
          <w:highlight w:val="none"/>
        </w:rPr>
        <w:t>投诉事项1：</w:t>
      </w:r>
      <w:r>
        <w:rPr>
          <w:rFonts w:hint="eastAsia" w:asciiTheme="minorEastAsia" w:hAnsiTheme="minorEastAsia" w:eastAsiaTheme="minorEastAsia"/>
          <w:bCs/>
          <w:color w:val="auto"/>
          <w:sz w:val="21"/>
          <w:highlight w:val="none"/>
          <w:u w:val="single"/>
        </w:rPr>
        <w:t xml:space="preserve">                                                                          </w:t>
      </w:r>
    </w:p>
    <w:p w14:paraId="33ED1979">
      <w:pPr>
        <w:pStyle w:val="22"/>
        <w:spacing w:line="440" w:lineRule="exact"/>
        <w:ind w:firstLine="420" w:firstLineChars="200"/>
        <w:rPr>
          <w:rFonts w:asciiTheme="minorEastAsia" w:hAnsiTheme="minorEastAsia" w:eastAsiaTheme="minorEastAsia"/>
          <w:bCs/>
          <w:color w:val="auto"/>
          <w:sz w:val="21"/>
          <w:highlight w:val="none"/>
          <w:u w:val="single"/>
        </w:rPr>
      </w:pPr>
      <w:r>
        <w:rPr>
          <w:rFonts w:hint="eastAsia" w:asciiTheme="minorEastAsia" w:hAnsiTheme="minorEastAsia" w:eastAsiaTheme="minorEastAsia"/>
          <w:bCs/>
          <w:color w:val="auto"/>
          <w:sz w:val="21"/>
          <w:highlight w:val="none"/>
        </w:rPr>
        <w:t>事实依据：</w:t>
      </w:r>
      <w:r>
        <w:rPr>
          <w:rFonts w:hint="eastAsia" w:asciiTheme="minorEastAsia" w:hAnsiTheme="minorEastAsia" w:eastAsiaTheme="minorEastAsia"/>
          <w:color w:val="auto"/>
          <w:sz w:val="21"/>
          <w:highlight w:val="none"/>
        </w:rPr>
        <w:t xml:space="preserve"> </w:t>
      </w:r>
      <w:r>
        <w:rPr>
          <w:rFonts w:hint="eastAsia" w:asciiTheme="minorEastAsia" w:hAnsiTheme="minorEastAsia" w:eastAsiaTheme="minorEastAsia"/>
          <w:bCs/>
          <w:color w:val="auto"/>
          <w:sz w:val="21"/>
          <w:highlight w:val="none"/>
          <w:u w:val="single"/>
        </w:rPr>
        <w:t xml:space="preserve">                                                                          </w:t>
      </w:r>
    </w:p>
    <w:p w14:paraId="1F41001A">
      <w:pPr>
        <w:pStyle w:val="22"/>
        <w:spacing w:line="440" w:lineRule="exact"/>
        <w:ind w:left="25" w:leftChars="12" w:firstLine="413" w:firstLineChars="197"/>
        <w:rPr>
          <w:rFonts w:asciiTheme="minorEastAsia" w:hAnsiTheme="minorEastAsia" w:eastAsiaTheme="minorEastAsia"/>
          <w:color w:val="auto"/>
          <w:sz w:val="21"/>
          <w:highlight w:val="none"/>
        </w:rPr>
      </w:pPr>
      <w:r>
        <w:rPr>
          <w:rFonts w:hint="eastAsia" w:asciiTheme="minorEastAsia" w:hAnsiTheme="minorEastAsia" w:eastAsiaTheme="minorEastAsia"/>
          <w:bCs/>
          <w:color w:val="auto"/>
          <w:sz w:val="21"/>
          <w:highlight w:val="none"/>
          <w:u w:val="single"/>
        </w:rPr>
        <w:t xml:space="preserve">                                                                                     </w:t>
      </w:r>
    </w:p>
    <w:p w14:paraId="469BE026">
      <w:pPr>
        <w:pStyle w:val="22"/>
        <w:spacing w:line="440" w:lineRule="exact"/>
        <w:ind w:firstLine="420" w:firstLineChars="200"/>
        <w:rPr>
          <w:rFonts w:asciiTheme="minorEastAsia" w:hAnsiTheme="minorEastAsia" w:eastAsiaTheme="minorEastAsia"/>
          <w:bCs/>
          <w:color w:val="auto"/>
          <w:sz w:val="21"/>
          <w:highlight w:val="none"/>
          <w:u w:val="single"/>
        </w:rPr>
      </w:pPr>
      <w:r>
        <w:rPr>
          <w:rFonts w:hint="eastAsia" w:asciiTheme="minorEastAsia" w:hAnsiTheme="minorEastAsia" w:eastAsiaTheme="minorEastAsia"/>
          <w:bCs/>
          <w:color w:val="auto"/>
          <w:sz w:val="21"/>
          <w:highlight w:val="none"/>
        </w:rPr>
        <w:t>法律依据：</w:t>
      </w:r>
      <w:r>
        <w:rPr>
          <w:rFonts w:hint="eastAsia" w:asciiTheme="minorEastAsia" w:hAnsiTheme="minorEastAsia" w:eastAsiaTheme="minorEastAsia"/>
          <w:color w:val="auto"/>
          <w:sz w:val="21"/>
          <w:highlight w:val="none"/>
        </w:rPr>
        <w:t xml:space="preserve"> </w:t>
      </w:r>
      <w:r>
        <w:rPr>
          <w:rFonts w:hint="eastAsia" w:asciiTheme="minorEastAsia" w:hAnsiTheme="minorEastAsia" w:eastAsiaTheme="minorEastAsia"/>
          <w:bCs/>
          <w:color w:val="auto"/>
          <w:sz w:val="21"/>
          <w:highlight w:val="none"/>
          <w:u w:val="single"/>
        </w:rPr>
        <w:t xml:space="preserve">                                                                          </w:t>
      </w:r>
    </w:p>
    <w:p w14:paraId="04467CE4">
      <w:pPr>
        <w:pStyle w:val="22"/>
        <w:spacing w:line="440" w:lineRule="exact"/>
        <w:ind w:left="25" w:leftChars="12" w:firstLine="308" w:firstLineChars="147"/>
        <w:rPr>
          <w:rFonts w:asciiTheme="minorEastAsia" w:hAnsiTheme="minorEastAsia" w:eastAsiaTheme="minorEastAsia"/>
          <w:bCs/>
          <w:color w:val="auto"/>
          <w:sz w:val="21"/>
          <w:highlight w:val="none"/>
          <w:u w:val="single"/>
        </w:rPr>
      </w:pPr>
      <w:r>
        <w:rPr>
          <w:rFonts w:hint="eastAsia" w:asciiTheme="minorEastAsia" w:hAnsiTheme="minorEastAsia" w:eastAsiaTheme="minorEastAsia"/>
          <w:bCs/>
          <w:color w:val="auto"/>
          <w:sz w:val="21"/>
          <w:highlight w:val="none"/>
        </w:rPr>
        <w:t xml:space="preserve"> </w:t>
      </w:r>
      <w:r>
        <w:rPr>
          <w:rFonts w:hint="eastAsia" w:asciiTheme="minorEastAsia" w:hAnsiTheme="minorEastAsia" w:eastAsiaTheme="minorEastAsia"/>
          <w:bCs/>
          <w:color w:val="auto"/>
          <w:sz w:val="21"/>
          <w:highlight w:val="none"/>
          <w:u w:val="single"/>
        </w:rPr>
        <w:t xml:space="preserve">                                                                                     </w:t>
      </w:r>
    </w:p>
    <w:p w14:paraId="3DD69424">
      <w:pPr>
        <w:pStyle w:val="22"/>
        <w:spacing w:line="440" w:lineRule="exact"/>
        <w:ind w:left="25" w:leftChars="12" w:firstLine="413" w:firstLineChars="197"/>
        <w:rPr>
          <w:rFonts w:asciiTheme="minorEastAsia" w:hAnsiTheme="minorEastAsia" w:eastAsiaTheme="minorEastAsia"/>
          <w:bCs/>
          <w:color w:val="auto"/>
          <w:sz w:val="21"/>
          <w:highlight w:val="none"/>
        </w:rPr>
      </w:pPr>
      <w:r>
        <w:rPr>
          <w:rFonts w:hint="eastAsia" w:asciiTheme="minorEastAsia" w:hAnsiTheme="minorEastAsia" w:eastAsiaTheme="minorEastAsia"/>
          <w:color w:val="auto"/>
          <w:sz w:val="21"/>
          <w:highlight w:val="none"/>
        </w:rPr>
        <w:t xml:space="preserve">投诉事项2  </w:t>
      </w:r>
      <w:r>
        <w:rPr>
          <w:rFonts w:hint="eastAsia" w:asciiTheme="minorEastAsia" w:hAnsiTheme="minorEastAsia" w:eastAsiaTheme="minorEastAsia"/>
          <w:bCs/>
          <w:color w:val="auto"/>
          <w:sz w:val="21"/>
          <w:highlight w:val="none"/>
        </w:rPr>
        <w:t xml:space="preserve">   </w:t>
      </w:r>
    </w:p>
    <w:p w14:paraId="26ADA977">
      <w:pPr>
        <w:pStyle w:val="22"/>
        <w:spacing w:line="440" w:lineRule="exact"/>
        <w:ind w:left="25" w:leftChars="12" w:firstLine="413" w:firstLineChars="197"/>
        <w:rPr>
          <w:rFonts w:asciiTheme="minorEastAsia" w:hAnsiTheme="minorEastAsia" w:eastAsiaTheme="minorEastAsia"/>
          <w:bCs/>
          <w:color w:val="auto"/>
          <w:sz w:val="21"/>
          <w:highlight w:val="none"/>
        </w:rPr>
      </w:pPr>
      <w:r>
        <w:rPr>
          <w:rFonts w:asciiTheme="minorEastAsia" w:hAnsiTheme="minorEastAsia" w:eastAsiaTheme="minorEastAsia"/>
          <w:bCs/>
          <w:color w:val="auto"/>
          <w:sz w:val="21"/>
          <w:highlight w:val="none"/>
        </w:rPr>
        <w:t>……</w:t>
      </w:r>
    </w:p>
    <w:p w14:paraId="13A536D8">
      <w:pPr>
        <w:pStyle w:val="22"/>
        <w:spacing w:line="440" w:lineRule="exact"/>
        <w:ind w:left="25" w:leftChars="12" w:firstLine="413" w:firstLineChars="196"/>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五、与投诉事项相关的投诉请求：</w:t>
      </w:r>
    </w:p>
    <w:p w14:paraId="548EEDB6">
      <w:pPr>
        <w:pStyle w:val="22"/>
        <w:spacing w:line="440" w:lineRule="exact"/>
        <w:ind w:left="25" w:leftChars="12" w:firstLine="413" w:firstLineChars="197"/>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请求：</w:t>
      </w:r>
      <w:r>
        <w:rPr>
          <w:rFonts w:hint="eastAsia" w:asciiTheme="minorEastAsia" w:hAnsiTheme="minorEastAsia" w:eastAsiaTheme="minorEastAsia"/>
          <w:bCs/>
          <w:color w:val="auto"/>
          <w:sz w:val="21"/>
          <w:highlight w:val="none"/>
          <w:u w:val="single"/>
        </w:rPr>
        <w:t xml:space="preserve">                                                                                 </w:t>
      </w:r>
    </w:p>
    <w:p w14:paraId="6E10C0E6">
      <w:pPr>
        <w:pStyle w:val="22"/>
        <w:spacing w:line="440" w:lineRule="exact"/>
        <w:ind w:left="25" w:leftChars="12" w:firstLine="308" w:firstLineChars="147"/>
        <w:rPr>
          <w:rFonts w:asciiTheme="minorEastAsia" w:hAnsiTheme="minorEastAsia" w:eastAsiaTheme="minorEastAsia"/>
          <w:color w:val="auto"/>
          <w:sz w:val="21"/>
          <w:highlight w:val="none"/>
        </w:rPr>
      </w:pPr>
    </w:p>
    <w:p w14:paraId="063EBC6A">
      <w:pPr>
        <w:pStyle w:val="22"/>
        <w:spacing w:line="440" w:lineRule="exact"/>
        <w:ind w:left="25" w:leftChars="12" w:firstLine="413" w:firstLineChars="197"/>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签字（签章）：                                       公章：</w:t>
      </w:r>
    </w:p>
    <w:p w14:paraId="2673913A">
      <w:pPr>
        <w:pStyle w:val="22"/>
        <w:spacing w:line="440" w:lineRule="exact"/>
        <w:ind w:left="25" w:leftChars="12" w:firstLine="308" w:firstLineChars="147"/>
        <w:rPr>
          <w:rFonts w:asciiTheme="minorEastAsia" w:hAnsiTheme="minorEastAsia" w:eastAsiaTheme="minorEastAsia"/>
          <w:color w:val="auto"/>
          <w:sz w:val="21"/>
          <w:highlight w:val="none"/>
        </w:rPr>
      </w:pPr>
    </w:p>
    <w:p w14:paraId="60AACE48">
      <w:pPr>
        <w:pStyle w:val="22"/>
        <w:spacing w:line="440" w:lineRule="exact"/>
        <w:ind w:left="25" w:leftChars="12" w:firstLine="413" w:firstLineChars="197"/>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日期：</w:t>
      </w:r>
    </w:p>
    <w:p w14:paraId="4782BAB8">
      <w:pPr>
        <w:pStyle w:val="22"/>
        <w:snapToGrid w:val="0"/>
        <w:spacing w:line="440" w:lineRule="exact"/>
        <w:rPr>
          <w:rFonts w:asciiTheme="minorEastAsia" w:hAnsiTheme="minorEastAsia" w:eastAsiaTheme="minorEastAsia"/>
          <w:b/>
          <w:color w:val="auto"/>
          <w:sz w:val="21"/>
          <w:highlight w:val="none"/>
        </w:rPr>
      </w:pPr>
    </w:p>
    <w:p w14:paraId="6CD12522">
      <w:pPr>
        <w:pStyle w:val="22"/>
        <w:snapToGrid w:val="0"/>
        <w:spacing w:line="440" w:lineRule="exact"/>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说明：</w:t>
      </w:r>
    </w:p>
    <w:p w14:paraId="6072B2A8">
      <w:pPr>
        <w:pStyle w:val="22"/>
        <w:spacing w:line="440" w:lineRule="exact"/>
        <w:ind w:left="25" w:leftChars="12" w:firstLine="310" w:firstLineChars="147"/>
        <w:rPr>
          <w:rFonts w:asciiTheme="minorEastAsia" w:hAnsiTheme="minorEastAsia" w:eastAsiaTheme="minorEastAsia"/>
          <w:b/>
          <w:bCs/>
          <w:color w:val="auto"/>
          <w:sz w:val="21"/>
          <w:highlight w:val="none"/>
        </w:rPr>
      </w:pPr>
      <w:r>
        <w:rPr>
          <w:rFonts w:hint="eastAsia" w:asciiTheme="minorEastAsia" w:hAnsiTheme="minorEastAsia" w:eastAsiaTheme="minorEastAsia"/>
          <w:b/>
          <w:color w:val="auto"/>
          <w:sz w:val="21"/>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b/>
          <w:bCs/>
          <w:color w:val="auto"/>
          <w:sz w:val="21"/>
          <w:highlight w:val="none"/>
        </w:rPr>
        <w:t>。</w:t>
      </w:r>
    </w:p>
    <w:p w14:paraId="51174F05">
      <w:pPr>
        <w:pStyle w:val="22"/>
        <w:spacing w:line="440" w:lineRule="exact"/>
        <w:ind w:left="25" w:leftChars="12" w:firstLine="310" w:firstLineChars="147"/>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2.投诉人若委托代理人进行投诉的，投诉书应按要求列明“委托代理人”的有关内容，并在附件中提交由投诉人签署的授权委托书。授权委托书应当载明代理人的姓名或者名称、代理事项、具体权限、期限和相关事项。</w:t>
      </w:r>
    </w:p>
    <w:p w14:paraId="2FEA6B2B">
      <w:pPr>
        <w:pStyle w:val="22"/>
        <w:spacing w:line="440" w:lineRule="exact"/>
        <w:ind w:left="25" w:leftChars="12" w:firstLine="310" w:firstLineChars="147"/>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3.投诉人若对项目的某一分标进行投诉，投诉书中应列明具体</w:t>
      </w:r>
      <w:r>
        <w:rPr>
          <w:rFonts w:hint="eastAsia" w:asciiTheme="minorEastAsia" w:hAnsiTheme="minorEastAsia" w:eastAsiaTheme="minorEastAsia"/>
          <w:b/>
          <w:color w:val="auto"/>
          <w:sz w:val="21"/>
          <w:highlight w:val="none"/>
          <w:lang w:eastAsia="zh-CN"/>
        </w:rPr>
        <w:t>所投分标</w:t>
      </w:r>
      <w:r>
        <w:rPr>
          <w:rFonts w:hint="eastAsia" w:asciiTheme="minorEastAsia" w:hAnsiTheme="minorEastAsia" w:eastAsiaTheme="minorEastAsia"/>
          <w:b/>
          <w:color w:val="auto"/>
          <w:sz w:val="21"/>
          <w:highlight w:val="none"/>
        </w:rPr>
        <w:t>。</w:t>
      </w:r>
    </w:p>
    <w:p w14:paraId="356A3AE0">
      <w:pPr>
        <w:pStyle w:val="22"/>
        <w:spacing w:line="440" w:lineRule="exact"/>
        <w:ind w:left="25" w:leftChars="12" w:firstLine="310" w:firstLineChars="147"/>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4.投诉书应简要列明质疑事项，质疑函、质疑答复等作为附件材料提供。</w:t>
      </w:r>
    </w:p>
    <w:p w14:paraId="29E3080C">
      <w:pPr>
        <w:pStyle w:val="22"/>
        <w:spacing w:line="440" w:lineRule="exact"/>
        <w:ind w:left="25" w:leftChars="12" w:firstLine="310" w:firstLineChars="147"/>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5.投诉书的投诉事项应具体、明确，并有必要的事实依据和法律依据。</w:t>
      </w:r>
    </w:p>
    <w:p w14:paraId="361EAB0B">
      <w:pPr>
        <w:pStyle w:val="22"/>
        <w:spacing w:line="440" w:lineRule="exact"/>
        <w:ind w:left="25" w:leftChars="12" w:firstLine="310" w:firstLineChars="147"/>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6.投诉书的投诉请求应与投诉事项相关。</w:t>
      </w:r>
    </w:p>
    <w:p w14:paraId="0775C440">
      <w:pPr>
        <w:pStyle w:val="22"/>
        <w:spacing w:line="440" w:lineRule="exact"/>
        <w:ind w:left="25" w:leftChars="12" w:firstLine="310" w:firstLineChars="147"/>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7.投诉人为自然人的，投诉书应由本人签字；投诉人为法人或者其他组织的，投诉书应由法定代表人、主要负责人，或者其委托代理人签字或者盖章，并加盖公章。</w:t>
      </w:r>
    </w:p>
    <w:p w14:paraId="1033644D">
      <w:pPr>
        <w:rPr>
          <w:rFonts w:ascii="宋体" w:hAnsi="宋体"/>
          <w:color w:val="auto"/>
          <w:highlight w:val="none"/>
        </w:rPr>
      </w:pPr>
    </w:p>
    <w:p w14:paraId="3ADC7CD4">
      <w:pPr>
        <w:widowControl/>
        <w:jc w:val="left"/>
        <w:rPr>
          <w:rFonts w:ascii="宋体" w:hAnsi="宋体"/>
          <w:color w:val="auto"/>
          <w:szCs w:val="21"/>
          <w:highlight w:val="none"/>
        </w:rPr>
      </w:pPr>
    </w:p>
    <w:p w14:paraId="415AD1B5">
      <w:pPr>
        <w:tabs>
          <w:tab w:val="left" w:pos="2190"/>
        </w:tabs>
        <w:spacing w:line="390" w:lineRule="exact"/>
        <w:ind w:firstLine="420" w:firstLineChars="200"/>
        <w:rPr>
          <w:rFonts w:ascii="宋体" w:hAnsi="宋体"/>
          <w:color w:val="auto"/>
          <w:szCs w:val="21"/>
          <w:highlight w:val="none"/>
        </w:rPr>
      </w:pPr>
    </w:p>
    <w:p w14:paraId="26F2F32F">
      <w:pPr>
        <w:pStyle w:val="20"/>
        <w:spacing w:before="156" w:beforeLines="50" w:after="240"/>
        <w:ind w:left="0" w:leftChars="0" w:right="0" w:rightChars="0"/>
        <w:jc w:val="center"/>
        <w:rPr>
          <w:rFonts w:ascii="宋体" w:hAnsi="宋体"/>
          <w:color w:val="auto"/>
          <w:szCs w:val="44"/>
          <w:highlight w:val="none"/>
        </w:rPr>
      </w:pPr>
    </w:p>
    <w:p w14:paraId="3D2E332A">
      <w:pPr>
        <w:pStyle w:val="3"/>
        <w:numPr>
          <w:ilvl w:val="0"/>
          <w:numId w:val="0"/>
        </w:numPr>
        <w:ind w:left="210" w:lef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p>
    <w:p w14:paraId="2014D777">
      <w:pPr>
        <w:pStyle w:val="3"/>
        <w:numPr>
          <w:ilvl w:val="0"/>
          <w:numId w:val="0"/>
        </w:numPr>
        <w:ind w:left="210" w:left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“政采贷”政策告知函</w:t>
      </w:r>
    </w:p>
    <w:p w14:paraId="1E3A1926">
      <w:pPr>
        <w:keepNext w:val="0"/>
        <w:keepLines w:val="0"/>
        <w:pageBreakBefore w:val="0"/>
        <w:kinsoku/>
        <w:wordWrap/>
        <w:overflowPunct/>
        <w:topLinePunct w:val="0"/>
        <w:autoSpaceDE/>
        <w:autoSpaceDN/>
        <w:bidi w:val="0"/>
        <w:spacing w:line="46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3709C5AF">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548A7606">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41EEE0BA">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1F08D2FC">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Style w:val="46"/>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3128FC20">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承接银行联系方式</w:t>
      </w:r>
    </w:p>
    <w:p w14:paraId="5EBACF2A">
      <w:pPr>
        <w:widowControl/>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1.中国建设银行贺州分行</w:t>
      </w:r>
      <w:r>
        <w:rPr>
          <w:rFonts w:hint="eastAsia" w:ascii="仿宋" w:hAnsi="仿宋" w:eastAsia="仿宋" w:cs="仿宋"/>
          <w:color w:val="auto"/>
          <w:sz w:val="28"/>
          <w:szCs w:val="28"/>
          <w:highlight w:val="none"/>
        </w:rPr>
        <w:tab/>
      </w:r>
    </w:p>
    <w:tbl>
      <w:tblPr>
        <w:tblStyle w:val="36"/>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4E04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66801C24">
            <w:pPr>
              <w:widowControl/>
              <w:tabs>
                <w:tab w:val="left" w:pos="2172"/>
              </w:tabs>
              <w:adjustRightInd w:val="0"/>
              <w:snapToGrid w:val="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中国建设银行贺州分行 总协调人：杨宏毅  职务：公司业务部副总经理  手机号码：18077397188</w:t>
            </w:r>
          </w:p>
        </w:tc>
      </w:tr>
      <w:tr w14:paraId="3FC2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377C83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 w:val="24"/>
                <w:highlight w:val="none"/>
                <w:lang w:bidi="ar"/>
              </w:rPr>
              <w:t>序号</w:t>
            </w:r>
          </w:p>
        </w:tc>
        <w:tc>
          <w:tcPr>
            <w:tcW w:w="2360" w:type="dxa"/>
            <w:noWrap w:val="0"/>
            <w:vAlign w:val="center"/>
          </w:tcPr>
          <w:p w14:paraId="4B742734">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金融机构</w:t>
            </w:r>
          </w:p>
        </w:tc>
        <w:tc>
          <w:tcPr>
            <w:tcW w:w="1172" w:type="dxa"/>
            <w:noWrap w:val="0"/>
            <w:vAlign w:val="center"/>
          </w:tcPr>
          <w:p w14:paraId="22331361">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1137" w:type="dxa"/>
            <w:noWrap w:val="0"/>
            <w:vAlign w:val="center"/>
          </w:tcPr>
          <w:p w14:paraId="1599885E">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1916" w:type="dxa"/>
            <w:noWrap w:val="0"/>
            <w:vAlign w:val="center"/>
          </w:tcPr>
          <w:p w14:paraId="6829CF27">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手机号码</w:t>
            </w:r>
          </w:p>
        </w:tc>
        <w:tc>
          <w:tcPr>
            <w:tcW w:w="2625" w:type="dxa"/>
            <w:noWrap w:val="0"/>
            <w:vAlign w:val="center"/>
          </w:tcPr>
          <w:p w14:paraId="4E0B52D4">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银行地址</w:t>
            </w:r>
          </w:p>
        </w:tc>
      </w:tr>
      <w:tr w14:paraId="357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E700B02">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4"/>
                <w:highlight w:val="none"/>
                <w:lang w:bidi="ar"/>
              </w:rPr>
              <w:t>1</w:t>
            </w:r>
          </w:p>
        </w:tc>
        <w:tc>
          <w:tcPr>
            <w:tcW w:w="2360" w:type="dxa"/>
            <w:noWrap w:val="0"/>
            <w:vAlign w:val="center"/>
          </w:tcPr>
          <w:p w14:paraId="79530FC1">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中国建设银行贺州平桂支行</w:t>
            </w:r>
          </w:p>
        </w:tc>
        <w:tc>
          <w:tcPr>
            <w:tcW w:w="1172" w:type="dxa"/>
            <w:noWrap w:val="0"/>
            <w:vAlign w:val="center"/>
          </w:tcPr>
          <w:p w14:paraId="02D7B165">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邱  伟</w:t>
            </w:r>
          </w:p>
        </w:tc>
        <w:tc>
          <w:tcPr>
            <w:tcW w:w="1137" w:type="dxa"/>
            <w:noWrap w:val="0"/>
            <w:vAlign w:val="center"/>
          </w:tcPr>
          <w:p w14:paraId="28411C7F">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客户经理</w:t>
            </w:r>
          </w:p>
        </w:tc>
        <w:tc>
          <w:tcPr>
            <w:tcW w:w="1916" w:type="dxa"/>
            <w:noWrap w:val="0"/>
            <w:vAlign w:val="center"/>
          </w:tcPr>
          <w:p w14:paraId="693471F6">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18007840720</w:t>
            </w:r>
          </w:p>
        </w:tc>
        <w:tc>
          <w:tcPr>
            <w:tcW w:w="2625" w:type="dxa"/>
            <w:noWrap w:val="0"/>
            <w:vAlign w:val="center"/>
          </w:tcPr>
          <w:p w14:paraId="1092FEB5">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贺州市平桂区平桂大道15号富旺小区1号楼105号商铺</w:t>
            </w:r>
          </w:p>
        </w:tc>
      </w:tr>
    </w:tbl>
    <w:p w14:paraId="7B6D02C7">
      <w:pPr>
        <w:widowControl/>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2.广西北部湾银行</w:t>
      </w:r>
    </w:p>
    <w:tbl>
      <w:tblPr>
        <w:tblStyle w:val="36"/>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5F3F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12370DBC">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广西北部湾银行贺州分行 总协调人：杨政  职务：普惠金融部总经理  手机号码：18978413000</w:t>
            </w:r>
          </w:p>
        </w:tc>
      </w:tr>
      <w:tr w14:paraId="01F3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55" w:type="dxa"/>
            <w:noWrap w:val="0"/>
            <w:vAlign w:val="center"/>
          </w:tcPr>
          <w:p w14:paraId="6B2D1DD6">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序号</w:t>
            </w:r>
          </w:p>
        </w:tc>
        <w:tc>
          <w:tcPr>
            <w:tcW w:w="2348" w:type="dxa"/>
            <w:noWrap w:val="0"/>
            <w:vAlign w:val="center"/>
          </w:tcPr>
          <w:p w14:paraId="0AB35AE1">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金融机构</w:t>
            </w:r>
          </w:p>
        </w:tc>
        <w:tc>
          <w:tcPr>
            <w:tcW w:w="685" w:type="dxa"/>
            <w:noWrap w:val="0"/>
            <w:vAlign w:val="center"/>
          </w:tcPr>
          <w:p w14:paraId="6909347B">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联系人</w:t>
            </w:r>
          </w:p>
        </w:tc>
        <w:tc>
          <w:tcPr>
            <w:tcW w:w="1210" w:type="dxa"/>
            <w:noWrap w:val="0"/>
            <w:vAlign w:val="center"/>
          </w:tcPr>
          <w:p w14:paraId="6AB8A2AF">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职务</w:t>
            </w:r>
          </w:p>
        </w:tc>
        <w:tc>
          <w:tcPr>
            <w:tcW w:w="917" w:type="dxa"/>
            <w:noWrap w:val="0"/>
            <w:vAlign w:val="center"/>
          </w:tcPr>
          <w:p w14:paraId="21A9FF64">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手机号码</w:t>
            </w:r>
          </w:p>
        </w:tc>
        <w:tc>
          <w:tcPr>
            <w:tcW w:w="3906" w:type="dxa"/>
            <w:noWrap w:val="0"/>
            <w:vAlign w:val="center"/>
          </w:tcPr>
          <w:p w14:paraId="59FAF9F0">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银行地址</w:t>
            </w:r>
          </w:p>
        </w:tc>
      </w:tr>
      <w:tr w14:paraId="4AFC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355" w:type="dxa"/>
            <w:noWrap w:val="0"/>
            <w:vAlign w:val="center"/>
          </w:tcPr>
          <w:p w14:paraId="6017F742">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c>
          <w:tcPr>
            <w:tcW w:w="2348" w:type="dxa"/>
            <w:noWrap w:val="0"/>
            <w:vAlign w:val="center"/>
          </w:tcPr>
          <w:p w14:paraId="49912E76">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广西北部湾银行贺州市平桂支行</w:t>
            </w:r>
          </w:p>
        </w:tc>
        <w:tc>
          <w:tcPr>
            <w:tcW w:w="685" w:type="dxa"/>
            <w:noWrap w:val="0"/>
            <w:vAlign w:val="center"/>
          </w:tcPr>
          <w:p w14:paraId="521D15FE">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刘  乐</w:t>
            </w:r>
          </w:p>
        </w:tc>
        <w:tc>
          <w:tcPr>
            <w:tcW w:w="1210" w:type="dxa"/>
            <w:noWrap w:val="0"/>
            <w:vAlign w:val="center"/>
          </w:tcPr>
          <w:p w14:paraId="48AAD02C">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公司客户经理</w:t>
            </w:r>
          </w:p>
        </w:tc>
        <w:tc>
          <w:tcPr>
            <w:tcW w:w="917" w:type="dxa"/>
            <w:noWrap w:val="0"/>
            <w:vAlign w:val="center"/>
          </w:tcPr>
          <w:p w14:paraId="7B6ABA7F">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13036871008</w:t>
            </w:r>
          </w:p>
        </w:tc>
        <w:tc>
          <w:tcPr>
            <w:tcW w:w="3906" w:type="dxa"/>
            <w:noWrap w:val="0"/>
            <w:vAlign w:val="center"/>
          </w:tcPr>
          <w:p w14:paraId="2A8BC896">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贺州市平桂区平桂大道4号3号楼103号商铺</w:t>
            </w:r>
          </w:p>
        </w:tc>
      </w:tr>
    </w:tbl>
    <w:p w14:paraId="1CBD4C27">
      <w:pPr>
        <w:rPr>
          <w:rFonts w:hint="eastAsia" w:ascii="仿宋" w:hAnsi="仿宋" w:eastAsia="仿宋" w:cs="仿宋"/>
          <w:color w:val="auto"/>
          <w:szCs w:val="21"/>
          <w:highlight w:val="none"/>
        </w:rPr>
      </w:pPr>
    </w:p>
    <w:p w14:paraId="5BAA567F">
      <w:pPr>
        <w:widowControl/>
        <w:adjustRightInd w:val="0"/>
        <w:snapToGrid w:val="0"/>
        <w:spacing w:line="460" w:lineRule="exact"/>
        <w:ind w:firstLine="560" w:firstLineChars="200"/>
        <w:rPr>
          <w:rFonts w:hint="eastAsia" w:ascii="仿宋" w:hAnsi="仿宋" w:eastAsia="仿宋" w:cs="仿宋"/>
          <w:color w:val="auto"/>
          <w:sz w:val="28"/>
          <w:szCs w:val="28"/>
          <w:highlight w:val="none"/>
        </w:rPr>
      </w:pPr>
    </w:p>
    <w:p w14:paraId="45B043AD">
      <w:pPr>
        <w:widowControl/>
        <w:adjustRightInd w:val="0"/>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 w:val="28"/>
          <w:szCs w:val="28"/>
          <w:highlight w:val="none"/>
        </w:rPr>
        <w:t>3.广西贺州桂东农村合作银行</w:t>
      </w:r>
    </w:p>
    <w:tbl>
      <w:tblPr>
        <w:tblStyle w:val="36"/>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55EB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08E861C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广西贺州桂东农村合作银行 总协调人：卢士强  职务：授信审批部总经理  手机号码：18077409115</w:t>
            </w:r>
          </w:p>
        </w:tc>
      </w:tr>
      <w:tr w14:paraId="6B84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4DE431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序号</w:t>
            </w:r>
          </w:p>
        </w:tc>
        <w:tc>
          <w:tcPr>
            <w:tcW w:w="2348" w:type="dxa"/>
            <w:noWrap w:val="0"/>
            <w:vAlign w:val="center"/>
          </w:tcPr>
          <w:p w14:paraId="2D7B82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金融机构</w:t>
            </w:r>
          </w:p>
        </w:tc>
        <w:tc>
          <w:tcPr>
            <w:tcW w:w="994" w:type="dxa"/>
            <w:noWrap w:val="0"/>
            <w:vAlign w:val="center"/>
          </w:tcPr>
          <w:p w14:paraId="10BB24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联系人</w:t>
            </w:r>
          </w:p>
        </w:tc>
        <w:tc>
          <w:tcPr>
            <w:tcW w:w="1585" w:type="dxa"/>
            <w:noWrap w:val="0"/>
            <w:vAlign w:val="center"/>
          </w:tcPr>
          <w:p w14:paraId="586E0A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职务</w:t>
            </w:r>
          </w:p>
        </w:tc>
        <w:tc>
          <w:tcPr>
            <w:tcW w:w="1565" w:type="dxa"/>
            <w:noWrap w:val="0"/>
            <w:vAlign w:val="center"/>
          </w:tcPr>
          <w:p w14:paraId="1121FB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手机号码</w:t>
            </w:r>
          </w:p>
        </w:tc>
        <w:tc>
          <w:tcPr>
            <w:tcW w:w="2574" w:type="dxa"/>
            <w:noWrap w:val="0"/>
            <w:vAlign w:val="center"/>
          </w:tcPr>
          <w:p w14:paraId="4AF7D6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银行地址</w:t>
            </w:r>
          </w:p>
        </w:tc>
      </w:tr>
      <w:tr w14:paraId="4CDE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53266AC4">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c>
          <w:tcPr>
            <w:tcW w:w="2348" w:type="dxa"/>
            <w:noWrap w:val="0"/>
            <w:vAlign w:val="center"/>
          </w:tcPr>
          <w:p w14:paraId="2A7F1012">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广西贺州桂东农村合作银行平桂支行</w:t>
            </w:r>
          </w:p>
        </w:tc>
        <w:tc>
          <w:tcPr>
            <w:tcW w:w="994" w:type="dxa"/>
            <w:noWrap w:val="0"/>
            <w:vAlign w:val="center"/>
          </w:tcPr>
          <w:p w14:paraId="60446FEC">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古  睿</w:t>
            </w:r>
          </w:p>
        </w:tc>
        <w:tc>
          <w:tcPr>
            <w:tcW w:w="1585" w:type="dxa"/>
            <w:noWrap w:val="0"/>
            <w:vAlign w:val="center"/>
          </w:tcPr>
          <w:p w14:paraId="794ECE96">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信贷副行长</w:t>
            </w:r>
          </w:p>
        </w:tc>
        <w:tc>
          <w:tcPr>
            <w:tcW w:w="1565" w:type="dxa"/>
            <w:noWrap w:val="0"/>
            <w:vAlign w:val="center"/>
          </w:tcPr>
          <w:p w14:paraId="2C178CD5">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18007840375</w:t>
            </w:r>
          </w:p>
        </w:tc>
        <w:tc>
          <w:tcPr>
            <w:tcW w:w="2574" w:type="dxa"/>
            <w:noWrap w:val="0"/>
            <w:vAlign w:val="center"/>
          </w:tcPr>
          <w:p w14:paraId="68493033">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贺州市平桂区平桂大道财政局一楼</w:t>
            </w:r>
          </w:p>
        </w:tc>
      </w:tr>
    </w:tbl>
    <w:p w14:paraId="1D4F84AC">
      <w:pPr>
        <w:widowControl w:val="0"/>
        <w:numPr>
          <w:ilvl w:val="0"/>
          <w:numId w:val="0"/>
        </w:numPr>
        <w:tabs>
          <w:tab w:val="left" w:pos="1305"/>
        </w:tabs>
        <w:spacing w:before="156" w:beforeLines="50" w:after="156" w:afterLines="50" w:line="520" w:lineRule="exact"/>
        <w:jc w:val="center"/>
        <w:rPr>
          <w:rFonts w:hint="eastAsia" w:ascii="宋体" w:hAnsi="宋体"/>
          <w:b/>
          <w:color w:val="auto"/>
          <w:sz w:val="28"/>
          <w:szCs w:val="28"/>
          <w:highlight w:val="none"/>
        </w:rPr>
      </w:pPr>
    </w:p>
    <w:sectPr>
      <w:headerReference r:id="rId6" w:type="first"/>
      <w:footerReference r:id="rId8" w:type="first"/>
      <w:footerReference r:id="rId7" w:type="default"/>
      <w:pgSz w:w="11906" w:h="16838"/>
      <w:pgMar w:top="1247" w:right="1247" w:bottom="1247" w:left="1247" w:header="907" w:footer="907"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6A54E1-9F9A-4840-A117-8F8903EB731F}"/>
  </w:font>
  <w:font w:name="黑体">
    <w:panose1 w:val="02010609060101010101"/>
    <w:charset w:val="86"/>
    <w:family w:val="auto"/>
    <w:pitch w:val="default"/>
    <w:sig w:usb0="800002BF" w:usb1="38CF7CFA" w:usb2="00000016" w:usb3="00000000" w:csb0="00040001" w:csb1="00000000"/>
    <w:embedRegular r:id="rId2" w:fontKey="{901218EE-9D18-4DEC-93A0-48357FF3E3FF}"/>
  </w:font>
  <w:font w:name="Courier New">
    <w:panose1 w:val="02070309020205020404"/>
    <w:charset w:val="01"/>
    <w:family w:val="modern"/>
    <w:pitch w:val="default"/>
    <w:sig w:usb0="E0002EFF" w:usb1="C0007843" w:usb2="00000009" w:usb3="00000000" w:csb0="400001FF" w:csb1="FFFF0000"/>
    <w:embedRegular r:id="rId3" w:fontKey="{01D67CC3-AF5F-4944-87DA-FD3C40EE125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4" w:fontKey="{C1BBCD4A-1450-4DFC-8092-CD4AD84E19D8}"/>
  </w:font>
  <w:font w:name="仿宋_GB2312">
    <w:panose1 w:val="02010609030101010101"/>
    <w:charset w:val="86"/>
    <w:family w:val="auto"/>
    <w:pitch w:val="default"/>
    <w:sig w:usb0="00000001" w:usb1="080E0000" w:usb2="00000000" w:usb3="00000000" w:csb0="00040000" w:csb1="00000000"/>
    <w:embedRegular r:id="rId5" w:fontKey="{E095205D-9E4A-4AE9-BF5F-B768266480BE}"/>
  </w:font>
  <w:font w:name="¿¬Ìå">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6" w:fontKey="{9D920A4A-4A0A-4A01-9325-DBEC0DE7D8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C0BD">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7D24">
    <w:pPr>
      <w:pStyle w:val="25"/>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08378557">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E9579">
    <w:pPr>
      <w:pStyle w:val="25"/>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2956560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1B669">
                          <w:pPr>
                            <w:pStyle w:val="2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8pt;margin-top:0pt;height:144pt;width:144pt;mso-position-horizontal-relative:margin;mso-wrap-style:none;z-index:251661312;mso-width-relative:page;mso-height-relative:page;" filled="f" stroked="f" coordsize="21600,21600" o:gfxdata="UEsDBAoAAAAAAIdO4kAAAAAAAAAAAAAAAAAEAAAAZHJzL1BLAwQUAAAACACHTuJAVysDvtUAAAAI&#10;AQAADwAAAGRycy9kb3ducmV2LnhtbE2Py07DMBRE90j8g3WR2FG7rxClcSpREZZINCxYuvFtEvAj&#10;st00/D2XFSxHM5o5U+5na9iEIQ7eSVguBDB0rdeD6yS8N/VDDiwm5bQy3qGEb4ywr25vSlVof3Vv&#10;OB1Tx6jExUJJ6FMaC85j26NVceFHdOSdfbAqkQwd10FdqdwavhIi41YNjhZ6NeKhx/breLESDnXT&#10;hAljMB/4Uq8/X582+DxLeX+3FDtgCef0F4ZffEKHiphO/uJ0ZEbCJttmFJVAj8h+3K5JniSs8lwA&#10;r0r+/0D1A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ysDvtUAAAAI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3961B669">
                    <w:pPr>
                      <w:pStyle w:val="25"/>
                    </w:pPr>
                  </w:p>
                </w:txbxContent>
              </v:textbox>
            </v:shape>
          </w:pict>
        </mc:Fallback>
      </mc:AlternateContent>
    </w:r>
    <w:r>
      <w:rPr>
        <w:rFonts w:hint="eastAsia"/>
        <w:lang w:val="en-US" w:eastAsia="zh-CN"/>
      </w:rPr>
      <w:t>广西翔正项目管理有限公司  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22BD9">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622BD9">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17303">
    <w:pPr>
      <w:pStyle w:val="25"/>
      <w:jc w:val="right"/>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D6DED">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7D6DED">
                    <w:pPr>
                      <w:pStyle w:val="2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广西翔正项目管理有限公司  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4B64">
    <w:pPr>
      <w:pStyle w:val="26"/>
      <w:jc w:val="both"/>
      <w:rPr>
        <w:rFonts w:hint="eastAsia" w:ascii="宋体" w:hAnsi="宋体" w:eastAsia="宋体" w:cs="宋体"/>
        <w:color w:val="0000FF"/>
      </w:rPr>
    </w:pPr>
  </w:p>
  <w:p w14:paraId="784E6490">
    <w:pPr>
      <w:pStyle w:val="26"/>
      <w:jc w:val="both"/>
      <w:rPr>
        <w:rFonts w:hint="eastAsia" w:ascii="宋体" w:hAnsi="宋体" w:eastAsia="宋体" w:cs="宋体"/>
        <w:color w:val="0000FF"/>
      </w:rPr>
    </w:pPr>
  </w:p>
  <w:p w14:paraId="1A947E2D">
    <w:pPr>
      <w:pStyle w:val="26"/>
      <w:jc w:val="both"/>
      <w:rPr>
        <w:rFonts w:hint="eastAsia" w:ascii="宋体" w:hAnsi="宋体" w:eastAsia="宋体" w:cs="宋体"/>
        <w:color w:val="auto"/>
        <w:lang w:eastAsia="zh-CN"/>
      </w:rPr>
    </w:pPr>
    <w:r>
      <w:rPr>
        <w:rFonts w:hint="eastAsia" w:ascii="宋体" w:hAnsi="宋体" w:eastAsia="宋体" w:cs="宋体"/>
        <w:color w:val="auto"/>
      </w:rPr>
      <w:t>项目名称：</w:t>
    </w:r>
    <w:r>
      <w:rPr>
        <w:rFonts w:hint="eastAsia" w:ascii="宋体" w:hAnsi="宋体" w:cs="宋体"/>
        <w:color w:val="auto"/>
        <w:lang w:eastAsia="zh-CN"/>
      </w:rPr>
      <w:t>中国共产党贺州市平桂区委员会宣传部平桂工矿历史遗产数字化开发与融媒体传播平台建设项目</w:t>
    </w:r>
    <w:r>
      <w:rPr>
        <w:rFonts w:hint="eastAsia" w:ascii="宋体" w:hAnsi="宋体" w:eastAsia="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rPr>
      <w:t>项目编号：</w:t>
    </w:r>
    <w:r>
      <w:rPr>
        <w:rFonts w:hint="eastAsia" w:ascii="宋体" w:hAnsi="宋体" w:cs="宋体"/>
        <w:color w:val="auto"/>
        <w:lang w:eastAsia="zh-CN"/>
      </w:rPr>
      <w:t>HZZC2026-C3-030029-GXXZ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598A">
    <w:pPr>
      <w:pStyle w:val="26"/>
      <w:jc w:val="both"/>
      <w:rPr>
        <w:rFonts w:hint="eastAsia" w:ascii="宋体" w:hAnsi="宋体" w:eastAsia="宋体" w:cs="宋体"/>
        <w:color w:val="0000FF"/>
        <w:lang w:eastAsia="zh-CN"/>
      </w:rPr>
    </w:pPr>
    <w:r>
      <w:rPr>
        <w:rFonts w:hint="eastAsia" w:ascii="宋体" w:hAnsi="宋体" w:eastAsia="宋体" w:cs="宋体"/>
        <w:color w:val="0000FF"/>
      </w:rPr>
      <w:t>项目名称：</w:t>
    </w:r>
    <w:r>
      <w:rPr>
        <w:rFonts w:hint="eastAsia" w:ascii="宋体" w:hAnsi="宋体" w:cs="宋体"/>
        <w:color w:val="0000FF"/>
        <w:lang w:eastAsia="zh-CN"/>
      </w:rPr>
      <w:t>中国共产党贺州市平桂区委员会宣传部平桂工矿历史遗产数字化开发与融媒体传播平台建设项目</w:t>
    </w:r>
    <w:r>
      <w:rPr>
        <w:rFonts w:hint="eastAsia" w:ascii="宋体" w:hAnsi="宋体" w:eastAsia="宋体" w:cs="宋体"/>
        <w:color w:val="0000FF"/>
      </w:rPr>
      <w:t xml:space="preserve">        项目编号：</w:t>
    </w:r>
    <w:r>
      <w:rPr>
        <w:rFonts w:hint="eastAsia" w:ascii="宋体" w:hAnsi="宋体" w:cs="宋体"/>
        <w:color w:val="0000FF"/>
        <w:lang w:eastAsia="zh-CN"/>
      </w:rPr>
      <w:t>HZZC2026-C3-030029-GXXZ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3FA4F"/>
    <w:multiLevelType w:val="singleLevel"/>
    <w:tmpl w:val="9373FA4F"/>
    <w:lvl w:ilvl="0" w:tentative="0">
      <w:start w:val="3"/>
      <w:numFmt w:val="chineseCounting"/>
      <w:suff w:val="space"/>
      <w:lvlText w:val="第%1章"/>
      <w:lvlJc w:val="left"/>
      <w:rPr>
        <w:rFonts w:hint="eastAsia"/>
      </w:rPr>
    </w:lvl>
  </w:abstractNum>
  <w:abstractNum w:abstractNumId="1">
    <w:nsid w:val="0274A1F4"/>
    <w:multiLevelType w:val="singleLevel"/>
    <w:tmpl w:val="0274A1F4"/>
    <w:lvl w:ilvl="0" w:tentative="0">
      <w:start w:val="6"/>
      <w:numFmt w:val="decimal"/>
      <w:suff w:val="nothing"/>
      <w:lvlText w:val="%1、"/>
      <w:lvlJc w:val="left"/>
    </w:lvl>
  </w:abstractNum>
  <w:abstractNum w:abstractNumId="2">
    <w:nsid w:val="0DBDD917"/>
    <w:multiLevelType w:val="singleLevel"/>
    <w:tmpl w:val="0DBDD917"/>
    <w:lvl w:ilvl="0" w:tentative="0">
      <w:start w:val="1"/>
      <w:numFmt w:val="chineseCounting"/>
      <w:suff w:val="nothing"/>
      <w:lvlText w:val="%1、"/>
      <w:lvlJc w:val="left"/>
      <w:rPr>
        <w:rFonts w:hint="eastAsia"/>
      </w:rPr>
    </w:lvl>
  </w:abstractNum>
  <w:abstractNum w:abstractNumId="3">
    <w:nsid w:val="5AAB4A24"/>
    <w:multiLevelType w:val="multilevel"/>
    <w:tmpl w:val="5AAB4A24"/>
    <w:lvl w:ilvl="0" w:tentative="0">
      <w:start w:val="1"/>
      <w:numFmt w:val="decimal"/>
      <w:pStyle w:val="3"/>
      <w:lvlText w:val="%1."/>
      <w:lvlJc w:val="left"/>
      <w:pPr>
        <w:tabs>
          <w:tab w:val="left" w:pos="432"/>
        </w:tabs>
        <w:ind w:left="642" w:hanging="432"/>
      </w:pPr>
      <w:rPr>
        <w:rFonts w:hint="default"/>
      </w:rPr>
    </w:lvl>
    <w:lvl w:ilvl="1" w:tentative="0">
      <w:start w:val="1"/>
      <w:numFmt w:val="decimal"/>
      <w:lvlText w:val="%1.%2."/>
      <w:lvlJc w:val="left"/>
      <w:pPr>
        <w:tabs>
          <w:tab w:val="left" w:pos="575"/>
        </w:tabs>
        <w:ind w:left="785" w:hanging="575"/>
      </w:pPr>
      <w:rPr>
        <w:rFonts w:hint="default"/>
      </w:rPr>
    </w:lvl>
    <w:lvl w:ilvl="2" w:tentative="0">
      <w:start w:val="1"/>
      <w:numFmt w:val="decimal"/>
      <w:pStyle w:val="4"/>
      <w:lvlText w:val="%1.%2.%3."/>
      <w:lvlJc w:val="left"/>
      <w:pPr>
        <w:tabs>
          <w:tab w:val="left" w:pos="720"/>
        </w:tabs>
        <w:ind w:left="930" w:hanging="720"/>
      </w:pPr>
      <w:rPr>
        <w:rFonts w:hint="default"/>
      </w:rPr>
    </w:lvl>
    <w:lvl w:ilvl="3" w:tentative="0">
      <w:start w:val="1"/>
      <w:numFmt w:val="decimal"/>
      <w:pStyle w:val="5"/>
      <w:lvlText w:val="%1.%2.%3.%4."/>
      <w:lvlJc w:val="left"/>
      <w:pPr>
        <w:tabs>
          <w:tab w:val="left" w:pos="864"/>
        </w:tabs>
        <w:ind w:left="1074" w:hanging="864"/>
      </w:pPr>
      <w:rPr>
        <w:rFonts w:hint="default"/>
      </w:rPr>
    </w:lvl>
    <w:lvl w:ilvl="4" w:tentative="0">
      <w:start w:val="1"/>
      <w:numFmt w:val="decimal"/>
      <w:pStyle w:val="6"/>
      <w:lvlText w:val="%1.%2.%3.%4.%5."/>
      <w:lvlJc w:val="left"/>
      <w:pPr>
        <w:tabs>
          <w:tab w:val="left" w:pos="1008"/>
        </w:tabs>
        <w:ind w:left="1218" w:hanging="1008"/>
      </w:pPr>
      <w:rPr>
        <w:rFonts w:hint="default"/>
      </w:rPr>
    </w:lvl>
    <w:lvl w:ilvl="5" w:tentative="0">
      <w:start w:val="1"/>
      <w:numFmt w:val="decimal"/>
      <w:pStyle w:val="7"/>
      <w:lvlText w:val="%1.%2.%3.%4.%5.%6."/>
      <w:lvlJc w:val="left"/>
      <w:pPr>
        <w:tabs>
          <w:tab w:val="left" w:pos="1151"/>
        </w:tabs>
        <w:ind w:left="1361" w:hanging="1151"/>
      </w:pPr>
      <w:rPr>
        <w:rFonts w:hint="default"/>
      </w:rPr>
    </w:lvl>
    <w:lvl w:ilvl="6" w:tentative="0">
      <w:start w:val="1"/>
      <w:numFmt w:val="decimal"/>
      <w:pStyle w:val="8"/>
      <w:lvlText w:val="%1.%2.%3.%4.%5.%6.%7."/>
      <w:lvlJc w:val="left"/>
      <w:pPr>
        <w:tabs>
          <w:tab w:val="left" w:pos="1296"/>
        </w:tabs>
        <w:ind w:left="1506" w:hanging="1296"/>
      </w:pPr>
      <w:rPr>
        <w:rFonts w:hint="default"/>
      </w:rPr>
    </w:lvl>
    <w:lvl w:ilvl="7" w:tentative="0">
      <w:start w:val="1"/>
      <w:numFmt w:val="decimal"/>
      <w:pStyle w:val="9"/>
      <w:lvlText w:val="%1.%2.%3.%4.%5.%6.%7.%8."/>
      <w:lvlJc w:val="left"/>
      <w:pPr>
        <w:tabs>
          <w:tab w:val="left" w:pos="1440"/>
        </w:tabs>
        <w:ind w:left="1650" w:hanging="1440"/>
      </w:pPr>
      <w:rPr>
        <w:rFonts w:hint="default"/>
      </w:rPr>
    </w:lvl>
    <w:lvl w:ilvl="8" w:tentative="0">
      <w:start w:val="1"/>
      <w:numFmt w:val="decimal"/>
      <w:pStyle w:val="10"/>
      <w:lvlText w:val="%1.%2.%3.%4.%5.%6.%7.%8.%9."/>
      <w:lvlJc w:val="left"/>
      <w:pPr>
        <w:tabs>
          <w:tab w:val="left" w:pos="1583"/>
        </w:tabs>
        <w:ind w:left="1793" w:hanging="1583"/>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jMTEzNzRiZjk1M2ZlYTcwNGFhMzE1NjE4OTZhY2QifQ=="/>
    <w:docVar w:name="KSO_WPS_MARK_KEY" w:val="a2c980a8-aac1-46cd-9f88-71850708ef9c"/>
  </w:docVars>
  <w:rsids>
    <w:rsidRoot w:val="00A9131B"/>
    <w:rsid w:val="00011DD5"/>
    <w:rsid w:val="00015364"/>
    <w:rsid w:val="0002194F"/>
    <w:rsid w:val="0002464E"/>
    <w:rsid w:val="000352D5"/>
    <w:rsid w:val="00037CAA"/>
    <w:rsid w:val="00040991"/>
    <w:rsid w:val="000A32BF"/>
    <w:rsid w:val="000B6AE4"/>
    <w:rsid w:val="000B7B82"/>
    <w:rsid w:val="000D2360"/>
    <w:rsid w:val="000D44D4"/>
    <w:rsid w:val="000E0AC3"/>
    <w:rsid w:val="000E3BF5"/>
    <w:rsid w:val="000E6ACB"/>
    <w:rsid w:val="000F77B8"/>
    <w:rsid w:val="00123EFA"/>
    <w:rsid w:val="001448DB"/>
    <w:rsid w:val="0015630C"/>
    <w:rsid w:val="00163FD9"/>
    <w:rsid w:val="001A642A"/>
    <w:rsid w:val="001B1C51"/>
    <w:rsid w:val="001B2140"/>
    <w:rsid w:val="001C2FC2"/>
    <w:rsid w:val="001D2A73"/>
    <w:rsid w:val="001F1C03"/>
    <w:rsid w:val="001F2336"/>
    <w:rsid w:val="001F4AFD"/>
    <w:rsid w:val="001F5061"/>
    <w:rsid w:val="00207BD2"/>
    <w:rsid w:val="002217C7"/>
    <w:rsid w:val="00222251"/>
    <w:rsid w:val="00223219"/>
    <w:rsid w:val="002263AD"/>
    <w:rsid w:val="0023253B"/>
    <w:rsid w:val="00250519"/>
    <w:rsid w:val="00261E14"/>
    <w:rsid w:val="00263202"/>
    <w:rsid w:val="00266AED"/>
    <w:rsid w:val="00293823"/>
    <w:rsid w:val="002B4ACA"/>
    <w:rsid w:val="002B572E"/>
    <w:rsid w:val="002C004D"/>
    <w:rsid w:val="002D3835"/>
    <w:rsid w:val="002E3CA4"/>
    <w:rsid w:val="002F4AEB"/>
    <w:rsid w:val="003113BA"/>
    <w:rsid w:val="003130A2"/>
    <w:rsid w:val="00316269"/>
    <w:rsid w:val="003212C0"/>
    <w:rsid w:val="00323B57"/>
    <w:rsid w:val="00326993"/>
    <w:rsid w:val="00327EA5"/>
    <w:rsid w:val="00331011"/>
    <w:rsid w:val="00337F65"/>
    <w:rsid w:val="00346534"/>
    <w:rsid w:val="0035349A"/>
    <w:rsid w:val="0035474E"/>
    <w:rsid w:val="0036741F"/>
    <w:rsid w:val="00371406"/>
    <w:rsid w:val="003924C3"/>
    <w:rsid w:val="003A51F5"/>
    <w:rsid w:val="003B051D"/>
    <w:rsid w:val="003B16CF"/>
    <w:rsid w:val="003D6E25"/>
    <w:rsid w:val="003E230B"/>
    <w:rsid w:val="003F347C"/>
    <w:rsid w:val="004065D3"/>
    <w:rsid w:val="00406B1A"/>
    <w:rsid w:val="004254E8"/>
    <w:rsid w:val="004273AD"/>
    <w:rsid w:val="0043379B"/>
    <w:rsid w:val="00435766"/>
    <w:rsid w:val="004419A0"/>
    <w:rsid w:val="0047214B"/>
    <w:rsid w:val="00491B57"/>
    <w:rsid w:val="00493CB2"/>
    <w:rsid w:val="004B5577"/>
    <w:rsid w:val="004C4474"/>
    <w:rsid w:val="004C78CF"/>
    <w:rsid w:val="004D0BEA"/>
    <w:rsid w:val="004D6EBD"/>
    <w:rsid w:val="004F0B13"/>
    <w:rsid w:val="004F2B85"/>
    <w:rsid w:val="004F48F1"/>
    <w:rsid w:val="004F6084"/>
    <w:rsid w:val="00500110"/>
    <w:rsid w:val="00510171"/>
    <w:rsid w:val="005309BE"/>
    <w:rsid w:val="00530D95"/>
    <w:rsid w:val="0053267C"/>
    <w:rsid w:val="0054173D"/>
    <w:rsid w:val="00557AA0"/>
    <w:rsid w:val="00565E5F"/>
    <w:rsid w:val="0057151C"/>
    <w:rsid w:val="0057484D"/>
    <w:rsid w:val="005777C9"/>
    <w:rsid w:val="005822E6"/>
    <w:rsid w:val="005973A9"/>
    <w:rsid w:val="005B0BA6"/>
    <w:rsid w:val="005B1AFF"/>
    <w:rsid w:val="005B25BB"/>
    <w:rsid w:val="005C3A66"/>
    <w:rsid w:val="005C4A7E"/>
    <w:rsid w:val="005C5CDF"/>
    <w:rsid w:val="005D2BE3"/>
    <w:rsid w:val="005E2F4D"/>
    <w:rsid w:val="005E4A36"/>
    <w:rsid w:val="005E50C7"/>
    <w:rsid w:val="005E5A9C"/>
    <w:rsid w:val="005E7808"/>
    <w:rsid w:val="005F3234"/>
    <w:rsid w:val="005F3D8D"/>
    <w:rsid w:val="005F3E7A"/>
    <w:rsid w:val="005F419B"/>
    <w:rsid w:val="00601402"/>
    <w:rsid w:val="00621144"/>
    <w:rsid w:val="006402EA"/>
    <w:rsid w:val="006409A6"/>
    <w:rsid w:val="00647EA0"/>
    <w:rsid w:val="00653A30"/>
    <w:rsid w:val="00653A75"/>
    <w:rsid w:val="00694F82"/>
    <w:rsid w:val="006A267F"/>
    <w:rsid w:val="006B2654"/>
    <w:rsid w:val="006C6B7A"/>
    <w:rsid w:val="006E6CA7"/>
    <w:rsid w:val="006F0349"/>
    <w:rsid w:val="006F23EA"/>
    <w:rsid w:val="006F7426"/>
    <w:rsid w:val="00700978"/>
    <w:rsid w:val="00702DE8"/>
    <w:rsid w:val="0070731B"/>
    <w:rsid w:val="00711C3B"/>
    <w:rsid w:val="007220B4"/>
    <w:rsid w:val="00741666"/>
    <w:rsid w:val="00743F5A"/>
    <w:rsid w:val="00747737"/>
    <w:rsid w:val="007539B8"/>
    <w:rsid w:val="007618AA"/>
    <w:rsid w:val="007772AB"/>
    <w:rsid w:val="007865EB"/>
    <w:rsid w:val="0079298C"/>
    <w:rsid w:val="007D04EA"/>
    <w:rsid w:val="007D32CB"/>
    <w:rsid w:val="007D5715"/>
    <w:rsid w:val="007E03DD"/>
    <w:rsid w:val="00802B23"/>
    <w:rsid w:val="00804D86"/>
    <w:rsid w:val="00814AA9"/>
    <w:rsid w:val="00817E48"/>
    <w:rsid w:val="00822DC8"/>
    <w:rsid w:val="00826E58"/>
    <w:rsid w:val="008318D6"/>
    <w:rsid w:val="00833188"/>
    <w:rsid w:val="0083577E"/>
    <w:rsid w:val="00837F6B"/>
    <w:rsid w:val="00845556"/>
    <w:rsid w:val="00850574"/>
    <w:rsid w:val="00854F80"/>
    <w:rsid w:val="00861F44"/>
    <w:rsid w:val="00861F68"/>
    <w:rsid w:val="008656CA"/>
    <w:rsid w:val="008841AD"/>
    <w:rsid w:val="00886E9D"/>
    <w:rsid w:val="00890772"/>
    <w:rsid w:val="0089502A"/>
    <w:rsid w:val="008A2006"/>
    <w:rsid w:val="008A34AA"/>
    <w:rsid w:val="008B14FC"/>
    <w:rsid w:val="008B2D4C"/>
    <w:rsid w:val="008B6485"/>
    <w:rsid w:val="008B6D07"/>
    <w:rsid w:val="008B6EB7"/>
    <w:rsid w:val="008D1584"/>
    <w:rsid w:val="008D4898"/>
    <w:rsid w:val="008E44DD"/>
    <w:rsid w:val="008E5A5C"/>
    <w:rsid w:val="0090563E"/>
    <w:rsid w:val="009126DC"/>
    <w:rsid w:val="00926D55"/>
    <w:rsid w:val="009316C9"/>
    <w:rsid w:val="00971A70"/>
    <w:rsid w:val="009A5DD7"/>
    <w:rsid w:val="009B41EC"/>
    <w:rsid w:val="009C0B61"/>
    <w:rsid w:val="009C3502"/>
    <w:rsid w:val="009D42B4"/>
    <w:rsid w:val="009D59EB"/>
    <w:rsid w:val="009E1774"/>
    <w:rsid w:val="009E1A08"/>
    <w:rsid w:val="00A02B08"/>
    <w:rsid w:val="00A10AF7"/>
    <w:rsid w:val="00A238ED"/>
    <w:rsid w:val="00A31086"/>
    <w:rsid w:val="00A4180E"/>
    <w:rsid w:val="00A449DC"/>
    <w:rsid w:val="00A45098"/>
    <w:rsid w:val="00A540D7"/>
    <w:rsid w:val="00A60C84"/>
    <w:rsid w:val="00A660C9"/>
    <w:rsid w:val="00A9131B"/>
    <w:rsid w:val="00AB1CE2"/>
    <w:rsid w:val="00AB2BAC"/>
    <w:rsid w:val="00AB3B6F"/>
    <w:rsid w:val="00AC2CA8"/>
    <w:rsid w:val="00AC6E26"/>
    <w:rsid w:val="00AC7F51"/>
    <w:rsid w:val="00AD465F"/>
    <w:rsid w:val="00AD4FB3"/>
    <w:rsid w:val="00B05F23"/>
    <w:rsid w:val="00B20A28"/>
    <w:rsid w:val="00B37DE1"/>
    <w:rsid w:val="00B459B5"/>
    <w:rsid w:val="00B51184"/>
    <w:rsid w:val="00B54AB7"/>
    <w:rsid w:val="00B765FE"/>
    <w:rsid w:val="00B85151"/>
    <w:rsid w:val="00B87459"/>
    <w:rsid w:val="00B9194F"/>
    <w:rsid w:val="00BA5EA8"/>
    <w:rsid w:val="00BA7890"/>
    <w:rsid w:val="00BC35F3"/>
    <w:rsid w:val="00BC4D47"/>
    <w:rsid w:val="00BD03E6"/>
    <w:rsid w:val="00BD44AC"/>
    <w:rsid w:val="00BD5446"/>
    <w:rsid w:val="00BD72E5"/>
    <w:rsid w:val="00BE5000"/>
    <w:rsid w:val="00BF455E"/>
    <w:rsid w:val="00C00CA1"/>
    <w:rsid w:val="00C24708"/>
    <w:rsid w:val="00C27F44"/>
    <w:rsid w:val="00C379E4"/>
    <w:rsid w:val="00C53CFB"/>
    <w:rsid w:val="00C77878"/>
    <w:rsid w:val="00C816C9"/>
    <w:rsid w:val="00C97968"/>
    <w:rsid w:val="00CA103E"/>
    <w:rsid w:val="00CA1A0A"/>
    <w:rsid w:val="00CB7706"/>
    <w:rsid w:val="00CD42B3"/>
    <w:rsid w:val="00D0051D"/>
    <w:rsid w:val="00D00BEE"/>
    <w:rsid w:val="00D20FDA"/>
    <w:rsid w:val="00D30368"/>
    <w:rsid w:val="00D31D69"/>
    <w:rsid w:val="00D454A3"/>
    <w:rsid w:val="00D52BE4"/>
    <w:rsid w:val="00D53F0F"/>
    <w:rsid w:val="00D62362"/>
    <w:rsid w:val="00D73497"/>
    <w:rsid w:val="00D92CAB"/>
    <w:rsid w:val="00D933AF"/>
    <w:rsid w:val="00D95B20"/>
    <w:rsid w:val="00D9626A"/>
    <w:rsid w:val="00DC0677"/>
    <w:rsid w:val="00DC64B8"/>
    <w:rsid w:val="00DE7BD6"/>
    <w:rsid w:val="00E05064"/>
    <w:rsid w:val="00E11ABF"/>
    <w:rsid w:val="00E143CD"/>
    <w:rsid w:val="00E151C7"/>
    <w:rsid w:val="00E21E59"/>
    <w:rsid w:val="00E3098E"/>
    <w:rsid w:val="00E33A95"/>
    <w:rsid w:val="00E36C17"/>
    <w:rsid w:val="00E40104"/>
    <w:rsid w:val="00E41562"/>
    <w:rsid w:val="00E4195B"/>
    <w:rsid w:val="00E47114"/>
    <w:rsid w:val="00E47CEC"/>
    <w:rsid w:val="00E52019"/>
    <w:rsid w:val="00E574A7"/>
    <w:rsid w:val="00E6146D"/>
    <w:rsid w:val="00E75FBA"/>
    <w:rsid w:val="00E823F8"/>
    <w:rsid w:val="00E83DD8"/>
    <w:rsid w:val="00E8660B"/>
    <w:rsid w:val="00EA1988"/>
    <w:rsid w:val="00EB2D29"/>
    <w:rsid w:val="00EC220D"/>
    <w:rsid w:val="00ED6229"/>
    <w:rsid w:val="00ED658E"/>
    <w:rsid w:val="00ED6749"/>
    <w:rsid w:val="00EF20A3"/>
    <w:rsid w:val="00F027D9"/>
    <w:rsid w:val="00F147A7"/>
    <w:rsid w:val="00F22A12"/>
    <w:rsid w:val="00F27738"/>
    <w:rsid w:val="00F36173"/>
    <w:rsid w:val="00F606FD"/>
    <w:rsid w:val="00F759D3"/>
    <w:rsid w:val="00FA29DE"/>
    <w:rsid w:val="00FB4D1C"/>
    <w:rsid w:val="00FB5E5F"/>
    <w:rsid w:val="00FE21B2"/>
    <w:rsid w:val="00FE240F"/>
    <w:rsid w:val="00FF06C1"/>
    <w:rsid w:val="01001B5E"/>
    <w:rsid w:val="012C0B9D"/>
    <w:rsid w:val="01341D7D"/>
    <w:rsid w:val="01C000A8"/>
    <w:rsid w:val="01E21263"/>
    <w:rsid w:val="029C7947"/>
    <w:rsid w:val="02DF59F1"/>
    <w:rsid w:val="031F77BF"/>
    <w:rsid w:val="032C3DAA"/>
    <w:rsid w:val="036001B8"/>
    <w:rsid w:val="036504DA"/>
    <w:rsid w:val="036F6B27"/>
    <w:rsid w:val="03906A9D"/>
    <w:rsid w:val="045D45DB"/>
    <w:rsid w:val="04B36EE7"/>
    <w:rsid w:val="04DC13C4"/>
    <w:rsid w:val="06083EDB"/>
    <w:rsid w:val="06690D32"/>
    <w:rsid w:val="068A24DE"/>
    <w:rsid w:val="0696086E"/>
    <w:rsid w:val="070005F5"/>
    <w:rsid w:val="074370E0"/>
    <w:rsid w:val="074A1311"/>
    <w:rsid w:val="0754091A"/>
    <w:rsid w:val="07A91087"/>
    <w:rsid w:val="07F41DB8"/>
    <w:rsid w:val="08294164"/>
    <w:rsid w:val="08601FF6"/>
    <w:rsid w:val="08877D64"/>
    <w:rsid w:val="08DF3F7E"/>
    <w:rsid w:val="08E32219"/>
    <w:rsid w:val="08E66E21"/>
    <w:rsid w:val="09102B15"/>
    <w:rsid w:val="09326AE5"/>
    <w:rsid w:val="09EA5A23"/>
    <w:rsid w:val="0A1F7CE0"/>
    <w:rsid w:val="0A3B6AF3"/>
    <w:rsid w:val="0A8053C6"/>
    <w:rsid w:val="0AB9692C"/>
    <w:rsid w:val="0AE91504"/>
    <w:rsid w:val="0AEA3EEB"/>
    <w:rsid w:val="0AEB5169"/>
    <w:rsid w:val="0B1A0B86"/>
    <w:rsid w:val="0B701EA7"/>
    <w:rsid w:val="0B72136E"/>
    <w:rsid w:val="0BA07876"/>
    <w:rsid w:val="0BB84256"/>
    <w:rsid w:val="0BBB29E0"/>
    <w:rsid w:val="0BCF5F38"/>
    <w:rsid w:val="0C0737D8"/>
    <w:rsid w:val="0C2251C4"/>
    <w:rsid w:val="0C3152C1"/>
    <w:rsid w:val="0C57284E"/>
    <w:rsid w:val="0C9D4705"/>
    <w:rsid w:val="0CC61E47"/>
    <w:rsid w:val="0CDB517B"/>
    <w:rsid w:val="0CE7253F"/>
    <w:rsid w:val="0D1957EB"/>
    <w:rsid w:val="0D2C7836"/>
    <w:rsid w:val="0D4A47C2"/>
    <w:rsid w:val="0D4E588F"/>
    <w:rsid w:val="0D6F2570"/>
    <w:rsid w:val="0D727E7E"/>
    <w:rsid w:val="0DC07582"/>
    <w:rsid w:val="0E2E1937"/>
    <w:rsid w:val="0E6F1E2F"/>
    <w:rsid w:val="0EA97F9C"/>
    <w:rsid w:val="0F004BAB"/>
    <w:rsid w:val="0FAA42C2"/>
    <w:rsid w:val="0FCD285F"/>
    <w:rsid w:val="0FD306BE"/>
    <w:rsid w:val="100E41BA"/>
    <w:rsid w:val="10B85480"/>
    <w:rsid w:val="11277FB0"/>
    <w:rsid w:val="11356EF9"/>
    <w:rsid w:val="11AC0631"/>
    <w:rsid w:val="11C019D7"/>
    <w:rsid w:val="11C912A1"/>
    <w:rsid w:val="11CA0E35"/>
    <w:rsid w:val="11CF7142"/>
    <w:rsid w:val="123C58F0"/>
    <w:rsid w:val="12516798"/>
    <w:rsid w:val="125E5166"/>
    <w:rsid w:val="128627C4"/>
    <w:rsid w:val="12956C1E"/>
    <w:rsid w:val="12A96AF6"/>
    <w:rsid w:val="12DB00B6"/>
    <w:rsid w:val="12DE3FBB"/>
    <w:rsid w:val="131E15AE"/>
    <w:rsid w:val="13354ABF"/>
    <w:rsid w:val="136A40B1"/>
    <w:rsid w:val="137175AA"/>
    <w:rsid w:val="1376161A"/>
    <w:rsid w:val="13860C40"/>
    <w:rsid w:val="138D706B"/>
    <w:rsid w:val="139E2615"/>
    <w:rsid w:val="13A014F0"/>
    <w:rsid w:val="13A62350"/>
    <w:rsid w:val="1422231F"/>
    <w:rsid w:val="145636C8"/>
    <w:rsid w:val="14740A77"/>
    <w:rsid w:val="147F5E86"/>
    <w:rsid w:val="14C22A93"/>
    <w:rsid w:val="14F11DF2"/>
    <w:rsid w:val="154B3D2A"/>
    <w:rsid w:val="15557FA3"/>
    <w:rsid w:val="15B82B56"/>
    <w:rsid w:val="16A378FA"/>
    <w:rsid w:val="16B65125"/>
    <w:rsid w:val="16BB6850"/>
    <w:rsid w:val="16DA0B54"/>
    <w:rsid w:val="16EF7B04"/>
    <w:rsid w:val="16FF2E55"/>
    <w:rsid w:val="172E67D0"/>
    <w:rsid w:val="17374254"/>
    <w:rsid w:val="17596B9F"/>
    <w:rsid w:val="17B713B5"/>
    <w:rsid w:val="17DA3AC0"/>
    <w:rsid w:val="180F6CB7"/>
    <w:rsid w:val="18453B4F"/>
    <w:rsid w:val="18851C48"/>
    <w:rsid w:val="18CD0BC9"/>
    <w:rsid w:val="19186433"/>
    <w:rsid w:val="19541012"/>
    <w:rsid w:val="19582701"/>
    <w:rsid w:val="196C6B4E"/>
    <w:rsid w:val="197E12F2"/>
    <w:rsid w:val="198E2582"/>
    <w:rsid w:val="19D64B0E"/>
    <w:rsid w:val="1A497D5E"/>
    <w:rsid w:val="1A597E48"/>
    <w:rsid w:val="1A854DBE"/>
    <w:rsid w:val="1A8A5C22"/>
    <w:rsid w:val="1AB611F1"/>
    <w:rsid w:val="1ADA6C10"/>
    <w:rsid w:val="1AE25A13"/>
    <w:rsid w:val="1AF3630D"/>
    <w:rsid w:val="1B466F5B"/>
    <w:rsid w:val="1B6805D3"/>
    <w:rsid w:val="1B884242"/>
    <w:rsid w:val="1B8D5A82"/>
    <w:rsid w:val="1B9D51EE"/>
    <w:rsid w:val="1BCE542B"/>
    <w:rsid w:val="1C1F25A0"/>
    <w:rsid w:val="1C2029D1"/>
    <w:rsid w:val="1C2564C4"/>
    <w:rsid w:val="1C8D69EE"/>
    <w:rsid w:val="1C9700D3"/>
    <w:rsid w:val="1C981F6B"/>
    <w:rsid w:val="1CA421BF"/>
    <w:rsid w:val="1CB02AC6"/>
    <w:rsid w:val="1D0E1FE5"/>
    <w:rsid w:val="1D2024F1"/>
    <w:rsid w:val="1D66742A"/>
    <w:rsid w:val="1D772D50"/>
    <w:rsid w:val="1D994A74"/>
    <w:rsid w:val="1DC85C64"/>
    <w:rsid w:val="1DCE6C79"/>
    <w:rsid w:val="1E020FFD"/>
    <w:rsid w:val="1E236A34"/>
    <w:rsid w:val="1EC00A11"/>
    <w:rsid w:val="1EE93019"/>
    <w:rsid w:val="1F066D9E"/>
    <w:rsid w:val="1F2B615F"/>
    <w:rsid w:val="1F4971A2"/>
    <w:rsid w:val="1F684761"/>
    <w:rsid w:val="1FB72A69"/>
    <w:rsid w:val="1FD84FAA"/>
    <w:rsid w:val="202C2A9C"/>
    <w:rsid w:val="205253AE"/>
    <w:rsid w:val="206642E6"/>
    <w:rsid w:val="209774FF"/>
    <w:rsid w:val="20B7046F"/>
    <w:rsid w:val="20BD1F16"/>
    <w:rsid w:val="21220C6F"/>
    <w:rsid w:val="21C6752E"/>
    <w:rsid w:val="21D60CE5"/>
    <w:rsid w:val="22137BBC"/>
    <w:rsid w:val="22350E86"/>
    <w:rsid w:val="22362D80"/>
    <w:rsid w:val="2300377E"/>
    <w:rsid w:val="23374C37"/>
    <w:rsid w:val="23585F23"/>
    <w:rsid w:val="23FD4A0C"/>
    <w:rsid w:val="24152158"/>
    <w:rsid w:val="248C75F9"/>
    <w:rsid w:val="24AE78AA"/>
    <w:rsid w:val="24B93C4E"/>
    <w:rsid w:val="253C4E75"/>
    <w:rsid w:val="2573204F"/>
    <w:rsid w:val="258443BB"/>
    <w:rsid w:val="25AB1FBB"/>
    <w:rsid w:val="25EE30E9"/>
    <w:rsid w:val="260C1992"/>
    <w:rsid w:val="262B0B7B"/>
    <w:rsid w:val="26581F77"/>
    <w:rsid w:val="268168BD"/>
    <w:rsid w:val="268C6B2B"/>
    <w:rsid w:val="26D20BEA"/>
    <w:rsid w:val="274E68CF"/>
    <w:rsid w:val="275461F7"/>
    <w:rsid w:val="27BA5042"/>
    <w:rsid w:val="282B7D04"/>
    <w:rsid w:val="28524594"/>
    <w:rsid w:val="286F0D38"/>
    <w:rsid w:val="28AC55AB"/>
    <w:rsid w:val="29134DBE"/>
    <w:rsid w:val="295D74FE"/>
    <w:rsid w:val="29716496"/>
    <w:rsid w:val="2982026E"/>
    <w:rsid w:val="29B22B77"/>
    <w:rsid w:val="29E47F3B"/>
    <w:rsid w:val="2A24322E"/>
    <w:rsid w:val="2A260C89"/>
    <w:rsid w:val="2AD13063"/>
    <w:rsid w:val="2B055C91"/>
    <w:rsid w:val="2B513BA0"/>
    <w:rsid w:val="2BD745A5"/>
    <w:rsid w:val="2BF07815"/>
    <w:rsid w:val="2BFFAC21"/>
    <w:rsid w:val="2C4360F4"/>
    <w:rsid w:val="2CB8453B"/>
    <w:rsid w:val="2CFD1910"/>
    <w:rsid w:val="2D115FB5"/>
    <w:rsid w:val="2D167D38"/>
    <w:rsid w:val="2D95766F"/>
    <w:rsid w:val="2DBC0615"/>
    <w:rsid w:val="2E7A6874"/>
    <w:rsid w:val="2E9B6172"/>
    <w:rsid w:val="2E9C0132"/>
    <w:rsid w:val="2EDA0EB1"/>
    <w:rsid w:val="2EE0270E"/>
    <w:rsid w:val="2EF620AC"/>
    <w:rsid w:val="2F041B20"/>
    <w:rsid w:val="2F3E48A0"/>
    <w:rsid w:val="2F626BFF"/>
    <w:rsid w:val="2FDD4FB9"/>
    <w:rsid w:val="30854BA1"/>
    <w:rsid w:val="308850D9"/>
    <w:rsid w:val="30BF3918"/>
    <w:rsid w:val="30E4777C"/>
    <w:rsid w:val="30FB23CA"/>
    <w:rsid w:val="31115848"/>
    <w:rsid w:val="31233475"/>
    <w:rsid w:val="313877FF"/>
    <w:rsid w:val="313F6753"/>
    <w:rsid w:val="318D4B66"/>
    <w:rsid w:val="319B7668"/>
    <w:rsid w:val="31C576F7"/>
    <w:rsid w:val="32697D6B"/>
    <w:rsid w:val="327C6A29"/>
    <w:rsid w:val="32962674"/>
    <w:rsid w:val="32AF5D4C"/>
    <w:rsid w:val="32BD6FFF"/>
    <w:rsid w:val="32C1183D"/>
    <w:rsid w:val="32C72628"/>
    <w:rsid w:val="330C2717"/>
    <w:rsid w:val="334533BA"/>
    <w:rsid w:val="3345642D"/>
    <w:rsid w:val="33960EAF"/>
    <w:rsid w:val="33F97BC3"/>
    <w:rsid w:val="343B5EE0"/>
    <w:rsid w:val="348E3308"/>
    <w:rsid w:val="357B3ADF"/>
    <w:rsid w:val="35A26038"/>
    <w:rsid w:val="35DD7973"/>
    <w:rsid w:val="35E03AC1"/>
    <w:rsid w:val="36266097"/>
    <w:rsid w:val="36B10E27"/>
    <w:rsid w:val="36C47A0C"/>
    <w:rsid w:val="36C83E96"/>
    <w:rsid w:val="36D91CDE"/>
    <w:rsid w:val="36F20C93"/>
    <w:rsid w:val="36F87E48"/>
    <w:rsid w:val="36F96EC1"/>
    <w:rsid w:val="370E3ACA"/>
    <w:rsid w:val="3723614D"/>
    <w:rsid w:val="3751007B"/>
    <w:rsid w:val="378134F7"/>
    <w:rsid w:val="378325C5"/>
    <w:rsid w:val="37C10B63"/>
    <w:rsid w:val="37F52D97"/>
    <w:rsid w:val="381D69EA"/>
    <w:rsid w:val="38464C54"/>
    <w:rsid w:val="384855BD"/>
    <w:rsid w:val="38516F5C"/>
    <w:rsid w:val="388A43ED"/>
    <w:rsid w:val="38A55F7C"/>
    <w:rsid w:val="38F73045"/>
    <w:rsid w:val="38FF5B22"/>
    <w:rsid w:val="39561614"/>
    <w:rsid w:val="39A065F7"/>
    <w:rsid w:val="39A22C16"/>
    <w:rsid w:val="39CC248B"/>
    <w:rsid w:val="3A1E3661"/>
    <w:rsid w:val="3A571AE7"/>
    <w:rsid w:val="3A6F2C37"/>
    <w:rsid w:val="3AA36ADA"/>
    <w:rsid w:val="3AF10504"/>
    <w:rsid w:val="3B001918"/>
    <w:rsid w:val="3B0A4A07"/>
    <w:rsid w:val="3B0D29EF"/>
    <w:rsid w:val="3B1D707B"/>
    <w:rsid w:val="3B506E00"/>
    <w:rsid w:val="3B7A6C14"/>
    <w:rsid w:val="3B857CA8"/>
    <w:rsid w:val="3B8C3A12"/>
    <w:rsid w:val="3B9B1DDA"/>
    <w:rsid w:val="3BBF704E"/>
    <w:rsid w:val="3C1557B6"/>
    <w:rsid w:val="3C457B4B"/>
    <w:rsid w:val="3C6100C3"/>
    <w:rsid w:val="3CC6015D"/>
    <w:rsid w:val="3D017380"/>
    <w:rsid w:val="3D2D3B27"/>
    <w:rsid w:val="3D380F01"/>
    <w:rsid w:val="3D831D96"/>
    <w:rsid w:val="3DEA4F8E"/>
    <w:rsid w:val="3E2B4344"/>
    <w:rsid w:val="3E3B18D5"/>
    <w:rsid w:val="3E707222"/>
    <w:rsid w:val="3EAF2804"/>
    <w:rsid w:val="3EBD7173"/>
    <w:rsid w:val="3EC81881"/>
    <w:rsid w:val="3EC9677C"/>
    <w:rsid w:val="3F032E46"/>
    <w:rsid w:val="3F18723A"/>
    <w:rsid w:val="3F1B0A6D"/>
    <w:rsid w:val="3FA74883"/>
    <w:rsid w:val="3FB363E5"/>
    <w:rsid w:val="40556AC9"/>
    <w:rsid w:val="40877A27"/>
    <w:rsid w:val="409A2FEE"/>
    <w:rsid w:val="41432DC5"/>
    <w:rsid w:val="418D0D6F"/>
    <w:rsid w:val="41995FAE"/>
    <w:rsid w:val="41A814F7"/>
    <w:rsid w:val="41C21954"/>
    <w:rsid w:val="41F54358"/>
    <w:rsid w:val="4262627D"/>
    <w:rsid w:val="42632865"/>
    <w:rsid w:val="42B01227"/>
    <w:rsid w:val="42CE6736"/>
    <w:rsid w:val="43040A07"/>
    <w:rsid w:val="438716DB"/>
    <w:rsid w:val="43B4696F"/>
    <w:rsid w:val="43C70DB3"/>
    <w:rsid w:val="43FD379B"/>
    <w:rsid w:val="444704A4"/>
    <w:rsid w:val="445554C2"/>
    <w:rsid w:val="44917592"/>
    <w:rsid w:val="44A37B6B"/>
    <w:rsid w:val="44BD4C3D"/>
    <w:rsid w:val="44CF39B9"/>
    <w:rsid w:val="44ED6ECA"/>
    <w:rsid w:val="45664573"/>
    <w:rsid w:val="45967CAB"/>
    <w:rsid w:val="45B24076"/>
    <w:rsid w:val="45BD5391"/>
    <w:rsid w:val="45D61DF2"/>
    <w:rsid w:val="460C7103"/>
    <w:rsid w:val="46337305"/>
    <w:rsid w:val="46DF69DC"/>
    <w:rsid w:val="46E22739"/>
    <w:rsid w:val="46ED245A"/>
    <w:rsid w:val="47044DA5"/>
    <w:rsid w:val="47130AE8"/>
    <w:rsid w:val="47685B36"/>
    <w:rsid w:val="478E384A"/>
    <w:rsid w:val="47A55EA0"/>
    <w:rsid w:val="47EA41AC"/>
    <w:rsid w:val="48731338"/>
    <w:rsid w:val="48C52136"/>
    <w:rsid w:val="492139EC"/>
    <w:rsid w:val="49227764"/>
    <w:rsid w:val="49A10513"/>
    <w:rsid w:val="49D1234E"/>
    <w:rsid w:val="4A02381D"/>
    <w:rsid w:val="4A1F0E2A"/>
    <w:rsid w:val="4A6934AF"/>
    <w:rsid w:val="4ACF1238"/>
    <w:rsid w:val="4AF501F4"/>
    <w:rsid w:val="4B333B51"/>
    <w:rsid w:val="4BF00C1C"/>
    <w:rsid w:val="4BFB29A5"/>
    <w:rsid w:val="4C9D765F"/>
    <w:rsid w:val="4C9F48A3"/>
    <w:rsid w:val="4D9A71BD"/>
    <w:rsid w:val="4D9F703A"/>
    <w:rsid w:val="4E0D33CC"/>
    <w:rsid w:val="4E1711EF"/>
    <w:rsid w:val="4E3A3C5E"/>
    <w:rsid w:val="4E8D5522"/>
    <w:rsid w:val="4EA32449"/>
    <w:rsid w:val="4EB100A6"/>
    <w:rsid w:val="4ED366FF"/>
    <w:rsid w:val="4EEF4112"/>
    <w:rsid w:val="4F4F5D5E"/>
    <w:rsid w:val="4F55619D"/>
    <w:rsid w:val="4F6D1DFB"/>
    <w:rsid w:val="4FAF73E7"/>
    <w:rsid w:val="4FD07F1A"/>
    <w:rsid w:val="4FF961CF"/>
    <w:rsid w:val="50886C1F"/>
    <w:rsid w:val="50C83B43"/>
    <w:rsid w:val="51085492"/>
    <w:rsid w:val="515A5433"/>
    <w:rsid w:val="516E79EA"/>
    <w:rsid w:val="516F2F3E"/>
    <w:rsid w:val="517B5D53"/>
    <w:rsid w:val="51806D65"/>
    <w:rsid w:val="519A07DF"/>
    <w:rsid w:val="51C5411F"/>
    <w:rsid w:val="51CB24E6"/>
    <w:rsid w:val="51F84902"/>
    <w:rsid w:val="5222466B"/>
    <w:rsid w:val="528B637A"/>
    <w:rsid w:val="536F17F8"/>
    <w:rsid w:val="53747D0F"/>
    <w:rsid w:val="53AD3884"/>
    <w:rsid w:val="53D133FC"/>
    <w:rsid w:val="54155B02"/>
    <w:rsid w:val="5437318B"/>
    <w:rsid w:val="545B714E"/>
    <w:rsid w:val="549153E9"/>
    <w:rsid w:val="54A00DD3"/>
    <w:rsid w:val="54A610F4"/>
    <w:rsid w:val="54D7061A"/>
    <w:rsid w:val="550277C9"/>
    <w:rsid w:val="551D3CDB"/>
    <w:rsid w:val="552D49D1"/>
    <w:rsid w:val="55401D12"/>
    <w:rsid w:val="56B42DC9"/>
    <w:rsid w:val="56CA4D67"/>
    <w:rsid w:val="5728063B"/>
    <w:rsid w:val="575136EE"/>
    <w:rsid w:val="576654BB"/>
    <w:rsid w:val="57B07E2E"/>
    <w:rsid w:val="57D96090"/>
    <w:rsid w:val="57F741A4"/>
    <w:rsid w:val="586D1A60"/>
    <w:rsid w:val="586F1260"/>
    <w:rsid w:val="587B49D1"/>
    <w:rsid w:val="58907D1E"/>
    <w:rsid w:val="58C46142"/>
    <w:rsid w:val="593F33C6"/>
    <w:rsid w:val="59417402"/>
    <w:rsid w:val="596260C6"/>
    <w:rsid w:val="59B66673"/>
    <w:rsid w:val="59B9557B"/>
    <w:rsid w:val="5A2666D9"/>
    <w:rsid w:val="5A537CE1"/>
    <w:rsid w:val="5A983A53"/>
    <w:rsid w:val="5AB409AB"/>
    <w:rsid w:val="5BE432E4"/>
    <w:rsid w:val="5CA02970"/>
    <w:rsid w:val="5CFF64FE"/>
    <w:rsid w:val="5D5277DD"/>
    <w:rsid w:val="5D557613"/>
    <w:rsid w:val="5D6A583C"/>
    <w:rsid w:val="5D944EEB"/>
    <w:rsid w:val="5DA63E67"/>
    <w:rsid w:val="5DA87324"/>
    <w:rsid w:val="5DF15CF0"/>
    <w:rsid w:val="5E01193E"/>
    <w:rsid w:val="5E053F97"/>
    <w:rsid w:val="5E346A10"/>
    <w:rsid w:val="5E460148"/>
    <w:rsid w:val="5E5B339E"/>
    <w:rsid w:val="5EAB3BD6"/>
    <w:rsid w:val="5EF261C7"/>
    <w:rsid w:val="5F04373C"/>
    <w:rsid w:val="5F0A583A"/>
    <w:rsid w:val="5F37353A"/>
    <w:rsid w:val="5F3E5615"/>
    <w:rsid w:val="5F9E5FAF"/>
    <w:rsid w:val="5FBB076F"/>
    <w:rsid w:val="5FC21EF7"/>
    <w:rsid w:val="5FC27EBD"/>
    <w:rsid w:val="6021090C"/>
    <w:rsid w:val="605B27EE"/>
    <w:rsid w:val="60A80FF4"/>
    <w:rsid w:val="60B92600"/>
    <w:rsid w:val="60CF7307"/>
    <w:rsid w:val="60FC791A"/>
    <w:rsid w:val="6116600C"/>
    <w:rsid w:val="612A4296"/>
    <w:rsid w:val="61957569"/>
    <w:rsid w:val="61EF14F7"/>
    <w:rsid w:val="62C86FFA"/>
    <w:rsid w:val="633357BA"/>
    <w:rsid w:val="637B6698"/>
    <w:rsid w:val="638E7644"/>
    <w:rsid w:val="63A559E0"/>
    <w:rsid w:val="63C81A98"/>
    <w:rsid w:val="64437011"/>
    <w:rsid w:val="6465397F"/>
    <w:rsid w:val="648B2952"/>
    <w:rsid w:val="64BC1F68"/>
    <w:rsid w:val="64E957DD"/>
    <w:rsid w:val="64FB738F"/>
    <w:rsid w:val="651F3C57"/>
    <w:rsid w:val="653E0A76"/>
    <w:rsid w:val="655564DE"/>
    <w:rsid w:val="6579211D"/>
    <w:rsid w:val="665A4684"/>
    <w:rsid w:val="675A2769"/>
    <w:rsid w:val="67F43143"/>
    <w:rsid w:val="682F2BB9"/>
    <w:rsid w:val="6837188A"/>
    <w:rsid w:val="687763A2"/>
    <w:rsid w:val="689A4747"/>
    <w:rsid w:val="689E7D5C"/>
    <w:rsid w:val="68BB3CF7"/>
    <w:rsid w:val="690544B7"/>
    <w:rsid w:val="692967F8"/>
    <w:rsid w:val="6936654D"/>
    <w:rsid w:val="69373CE4"/>
    <w:rsid w:val="69542845"/>
    <w:rsid w:val="69935128"/>
    <w:rsid w:val="69994DDB"/>
    <w:rsid w:val="69B55B5E"/>
    <w:rsid w:val="69DE53C8"/>
    <w:rsid w:val="6A3A2EF3"/>
    <w:rsid w:val="6A611A43"/>
    <w:rsid w:val="6A7E50FF"/>
    <w:rsid w:val="6B1413D8"/>
    <w:rsid w:val="6B524991"/>
    <w:rsid w:val="6B5B1171"/>
    <w:rsid w:val="6B6711A6"/>
    <w:rsid w:val="6B847277"/>
    <w:rsid w:val="6BA364DD"/>
    <w:rsid w:val="6BC87967"/>
    <w:rsid w:val="6C5047D0"/>
    <w:rsid w:val="6C5632CF"/>
    <w:rsid w:val="6C8B436C"/>
    <w:rsid w:val="6D0462F3"/>
    <w:rsid w:val="6D1E5EA3"/>
    <w:rsid w:val="6D260D22"/>
    <w:rsid w:val="6D376007"/>
    <w:rsid w:val="6D521B17"/>
    <w:rsid w:val="6D946A18"/>
    <w:rsid w:val="6DCC356B"/>
    <w:rsid w:val="6DE33106"/>
    <w:rsid w:val="6E1556F6"/>
    <w:rsid w:val="6E4E2E90"/>
    <w:rsid w:val="6EA3048A"/>
    <w:rsid w:val="6EB91DEA"/>
    <w:rsid w:val="6F28354E"/>
    <w:rsid w:val="6F6B432F"/>
    <w:rsid w:val="6F9144EA"/>
    <w:rsid w:val="6FB62831"/>
    <w:rsid w:val="6FC07A2A"/>
    <w:rsid w:val="706A53C9"/>
    <w:rsid w:val="70954B5D"/>
    <w:rsid w:val="70B1183F"/>
    <w:rsid w:val="71176F0D"/>
    <w:rsid w:val="716572B5"/>
    <w:rsid w:val="716C4B94"/>
    <w:rsid w:val="716E073C"/>
    <w:rsid w:val="717F6C52"/>
    <w:rsid w:val="71880EF6"/>
    <w:rsid w:val="71C64881"/>
    <w:rsid w:val="71EE315E"/>
    <w:rsid w:val="71F3589F"/>
    <w:rsid w:val="72281098"/>
    <w:rsid w:val="72E2406C"/>
    <w:rsid w:val="72E74AD5"/>
    <w:rsid w:val="73171838"/>
    <w:rsid w:val="732558D0"/>
    <w:rsid w:val="738211C2"/>
    <w:rsid w:val="739C6B5E"/>
    <w:rsid w:val="73C13823"/>
    <w:rsid w:val="73EC21BF"/>
    <w:rsid w:val="73EF5C65"/>
    <w:rsid w:val="74214732"/>
    <w:rsid w:val="74C94DB4"/>
    <w:rsid w:val="74F968A2"/>
    <w:rsid w:val="754C24C6"/>
    <w:rsid w:val="754D2863"/>
    <w:rsid w:val="75575F1C"/>
    <w:rsid w:val="758E764C"/>
    <w:rsid w:val="759D2304"/>
    <w:rsid w:val="75B46D9B"/>
    <w:rsid w:val="75DB213B"/>
    <w:rsid w:val="76181AEE"/>
    <w:rsid w:val="762E3D8C"/>
    <w:rsid w:val="76462574"/>
    <w:rsid w:val="76525E60"/>
    <w:rsid w:val="7668367D"/>
    <w:rsid w:val="766C7AC0"/>
    <w:rsid w:val="767A6080"/>
    <w:rsid w:val="76A05A7D"/>
    <w:rsid w:val="76AB2855"/>
    <w:rsid w:val="76B451F0"/>
    <w:rsid w:val="76EA0225"/>
    <w:rsid w:val="77581A70"/>
    <w:rsid w:val="775C3D16"/>
    <w:rsid w:val="77EB6EB7"/>
    <w:rsid w:val="77EF5A1E"/>
    <w:rsid w:val="781B618F"/>
    <w:rsid w:val="78255175"/>
    <w:rsid w:val="7868539C"/>
    <w:rsid w:val="7873581F"/>
    <w:rsid w:val="78961036"/>
    <w:rsid w:val="78A92483"/>
    <w:rsid w:val="78B748E9"/>
    <w:rsid w:val="78E64927"/>
    <w:rsid w:val="79373EE6"/>
    <w:rsid w:val="794C0D03"/>
    <w:rsid w:val="796B5D3E"/>
    <w:rsid w:val="79B12133"/>
    <w:rsid w:val="79B2671B"/>
    <w:rsid w:val="7A2C6358"/>
    <w:rsid w:val="7A680CFB"/>
    <w:rsid w:val="7A7430CC"/>
    <w:rsid w:val="7A7B353E"/>
    <w:rsid w:val="7AB27FC1"/>
    <w:rsid w:val="7AB36300"/>
    <w:rsid w:val="7AD75DC5"/>
    <w:rsid w:val="7AE2097E"/>
    <w:rsid w:val="7BE6C98F"/>
    <w:rsid w:val="7BF65C52"/>
    <w:rsid w:val="7C2F3A62"/>
    <w:rsid w:val="7C400939"/>
    <w:rsid w:val="7D615C16"/>
    <w:rsid w:val="7D910AA4"/>
    <w:rsid w:val="7E1C649C"/>
    <w:rsid w:val="7E485CF3"/>
    <w:rsid w:val="7E56277C"/>
    <w:rsid w:val="7E98512E"/>
    <w:rsid w:val="7EA66ABE"/>
    <w:rsid w:val="7ED3780E"/>
    <w:rsid w:val="7EEF52C1"/>
    <w:rsid w:val="7EF345A6"/>
    <w:rsid w:val="7F0A4C4E"/>
    <w:rsid w:val="7F165FF7"/>
    <w:rsid w:val="7F4D3EBD"/>
    <w:rsid w:val="7FAE7080"/>
    <w:rsid w:val="7FD83012"/>
    <w:rsid w:val="EDF5DA08"/>
    <w:rsid w:val="FE77B3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0"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semiHidden="0" w:name="annotation reference"/>
    <w:lsdException w:uiPriority="0" w:name="line number"/>
    <w:lsdException w:qFormat="1"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59"/>
    <w:qFormat/>
    <w:uiPriority w:val="0"/>
    <w:pPr>
      <w:keepNext/>
      <w:keepLines/>
      <w:numPr>
        <w:ilvl w:val="0"/>
        <w:numId w:val="1"/>
      </w:numPr>
      <w:spacing w:before="260" w:after="260" w:line="415" w:lineRule="auto"/>
      <w:outlineLvl w:val="1"/>
    </w:pPr>
    <w:rPr>
      <w:rFonts w:ascii="Cambria" w:hAnsi="Cambria"/>
      <w:b/>
      <w:bCs/>
      <w:sz w:val="30"/>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index 8"/>
    <w:basedOn w:val="1"/>
    <w:next w:val="1"/>
    <w:qFormat/>
    <w:uiPriority w:val="0"/>
    <w:pPr>
      <w:spacing w:line="400" w:lineRule="exact"/>
      <w:ind w:left="2940" w:firstLine="1044" w:firstLineChars="200"/>
      <w:jc w:val="left"/>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Normal Indent"/>
    <w:basedOn w:val="1"/>
    <w:unhideWhenUsed/>
    <w:qFormat/>
    <w:uiPriority w:val="0"/>
    <w:pPr>
      <w:ind w:firstLine="420" w:firstLineChars="200"/>
    </w:pPr>
  </w:style>
  <w:style w:type="paragraph" w:styleId="15">
    <w:name w:val="annotation text"/>
    <w:basedOn w:val="1"/>
    <w:link w:val="63"/>
    <w:unhideWhenUsed/>
    <w:qFormat/>
    <w:uiPriority w:val="0"/>
    <w:pPr>
      <w:jc w:val="left"/>
    </w:pPr>
  </w:style>
  <w:style w:type="paragraph" w:styleId="16">
    <w:name w:val="Body Text"/>
    <w:basedOn w:val="1"/>
    <w:next w:val="1"/>
    <w:link w:val="67"/>
    <w:qFormat/>
    <w:uiPriority w:val="0"/>
    <w:pPr>
      <w:spacing w:after="120"/>
    </w:pPr>
    <w:rPr>
      <w:szCs w:val="20"/>
    </w:rPr>
  </w:style>
  <w:style w:type="paragraph" w:styleId="17">
    <w:name w:val="Body Text Indent"/>
    <w:basedOn w:val="1"/>
    <w:next w:val="18"/>
    <w:qFormat/>
    <w:uiPriority w:val="0"/>
    <w:pPr>
      <w:ind w:left="420" w:leftChars="200"/>
    </w:pPr>
  </w:style>
  <w:style w:type="paragraph" w:styleId="18">
    <w:name w:val="envelope return"/>
    <w:basedOn w:val="1"/>
    <w:qFormat/>
    <w:uiPriority w:val="0"/>
    <w:pPr>
      <w:snapToGrid w:val="0"/>
      <w:spacing w:line="400" w:lineRule="exact"/>
      <w:ind w:firstLine="1044" w:firstLineChars="200"/>
      <w:jc w:val="left"/>
    </w:pPr>
    <w:rPr>
      <w:rFonts w:ascii="Arial" w:hAnsi="Arial" w:cs="Arial"/>
    </w:rPr>
  </w:style>
  <w:style w:type="paragraph" w:styleId="19">
    <w:name w:val="List 2"/>
    <w:basedOn w:val="1"/>
    <w:unhideWhenUsed/>
    <w:qFormat/>
    <w:uiPriority w:val="99"/>
    <w:pPr>
      <w:ind w:left="100" w:leftChars="200" w:hanging="200" w:hangingChars="200"/>
      <w:contextualSpacing/>
    </w:pPr>
  </w:style>
  <w:style w:type="paragraph" w:styleId="20">
    <w:name w:val="Block Text"/>
    <w:basedOn w:val="1"/>
    <w:qFormat/>
    <w:uiPriority w:val="0"/>
    <w:pPr>
      <w:spacing w:after="120"/>
      <w:ind w:left="1440" w:leftChars="700" w:right="700" w:rightChars="700"/>
    </w:pPr>
  </w:style>
  <w:style w:type="paragraph" w:styleId="21">
    <w:name w:val="toc 3"/>
    <w:basedOn w:val="1"/>
    <w:next w:val="1"/>
    <w:semiHidden/>
    <w:unhideWhenUsed/>
    <w:qFormat/>
    <w:uiPriority w:val="39"/>
    <w:pPr>
      <w:ind w:left="840" w:leftChars="400"/>
    </w:pPr>
  </w:style>
  <w:style w:type="paragraph" w:styleId="22">
    <w:name w:val="Plain Text"/>
    <w:basedOn w:val="1"/>
    <w:next w:val="23"/>
    <w:link w:val="55"/>
    <w:qFormat/>
    <w:uiPriority w:val="0"/>
    <w:rPr>
      <w:rFonts w:ascii="宋体"/>
      <w:kern w:val="0"/>
      <w:sz w:val="20"/>
      <w:szCs w:val="21"/>
    </w:rPr>
  </w:style>
  <w:style w:type="paragraph" w:styleId="23">
    <w:name w:val="Date"/>
    <w:basedOn w:val="1"/>
    <w:next w:val="1"/>
    <w:qFormat/>
    <w:uiPriority w:val="0"/>
    <w:pPr>
      <w:ind w:left="100" w:leftChars="2500"/>
    </w:pPr>
    <w:rPr>
      <w:rFonts w:ascii="宋体" w:hAnsi="Courier New"/>
      <w:bCs/>
      <w:sz w:val="24"/>
      <w:szCs w:val="20"/>
    </w:rPr>
  </w:style>
  <w:style w:type="paragraph" w:styleId="24">
    <w:name w:val="Balloon Text"/>
    <w:basedOn w:val="1"/>
    <w:link w:val="57"/>
    <w:unhideWhenUsed/>
    <w:qFormat/>
    <w:uiPriority w:val="99"/>
    <w:rPr>
      <w:sz w:val="18"/>
      <w:szCs w:val="18"/>
    </w:rPr>
  </w:style>
  <w:style w:type="paragraph" w:styleId="25">
    <w:name w:val="footer"/>
    <w:basedOn w:val="1"/>
    <w:next w:val="1"/>
    <w:link w:val="62"/>
    <w:unhideWhenUsed/>
    <w:qFormat/>
    <w:uiPriority w:val="99"/>
    <w:pPr>
      <w:tabs>
        <w:tab w:val="center" w:pos="4153"/>
        <w:tab w:val="right" w:pos="8306"/>
      </w:tabs>
      <w:snapToGrid w:val="0"/>
      <w:jc w:val="left"/>
    </w:pPr>
    <w:rPr>
      <w:sz w:val="18"/>
      <w:szCs w:val="18"/>
    </w:rPr>
  </w:style>
  <w:style w:type="paragraph" w:styleId="26">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2"/>
    <w:basedOn w:val="1"/>
    <w:next w:val="1"/>
    <w:qFormat/>
    <w:uiPriority w:val="0"/>
    <w:pPr>
      <w:ind w:left="200" w:leftChars="200"/>
    </w:pPr>
  </w:style>
  <w:style w:type="paragraph" w:styleId="29">
    <w:name w:val="toc 9"/>
    <w:basedOn w:val="1"/>
    <w:next w:val="1"/>
    <w:qFormat/>
    <w:uiPriority w:val="0"/>
    <w:pPr>
      <w:ind w:left="3360" w:leftChars="1600"/>
    </w:pPr>
  </w:style>
  <w:style w:type="paragraph" w:styleId="30">
    <w:name w:val="Message Header"/>
    <w:basedOn w:val="1"/>
    <w:next w:val="16"/>
    <w:qFormat/>
    <w:uiPriority w:val="0"/>
    <w:pPr>
      <w:pBdr>
        <w:top w:val="none" w:color="auto" w:sz="0" w:space="1"/>
        <w:left w:val="none" w:color="auto" w:sz="0" w:space="1"/>
        <w:bottom w:val="none" w:color="auto" w:sz="0" w:space="1"/>
        <w:right w:val="none" w:color="auto" w:sz="0" w:space="1"/>
      </w:pBdr>
      <w:shd w:val="pct20" w:color="auto" w:fill="auto"/>
      <w:kinsoku w:val="0"/>
      <w:overflowPunct w:val="0"/>
      <w:spacing w:line="360" w:lineRule="auto"/>
    </w:pPr>
    <w:rPr>
      <w:rFonts w:ascii="Arial" w:hAnsi="Arial"/>
      <w:sz w:val="28"/>
    </w:rPr>
  </w:style>
  <w:style w:type="paragraph" w:styleId="31">
    <w:name w:val="HTML Preformatted"/>
    <w:basedOn w:val="1"/>
    <w:link w:val="6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0"/>
    <w:pPr>
      <w:widowControl/>
      <w:spacing w:before="100" w:beforeAutospacing="1" w:after="100" w:afterAutospacing="1"/>
      <w:jc w:val="left"/>
    </w:pPr>
    <w:rPr>
      <w:rFonts w:ascii="宋体"/>
      <w:kern w:val="0"/>
      <w:sz w:val="24"/>
    </w:rPr>
  </w:style>
  <w:style w:type="paragraph" w:styleId="33">
    <w:name w:val="Title"/>
    <w:basedOn w:val="1"/>
    <w:next w:val="1"/>
    <w:link w:val="60"/>
    <w:qFormat/>
    <w:uiPriority w:val="0"/>
    <w:pPr>
      <w:spacing w:before="240" w:after="60"/>
      <w:jc w:val="center"/>
      <w:outlineLvl w:val="0"/>
    </w:pPr>
    <w:rPr>
      <w:rFonts w:ascii="Cambria" w:hAnsi="Cambria"/>
      <w:b/>
      <w:bCs/>
      <w:sz w:val="32"/>
      <w:szCs w:val="32"/>
    </w:rPr>
  </w:style>
  <w:style w:type="paragraph" w:styleId="34">
    <w:name w:val="annotation subject"/>
    <w:basedOn w:val="15"/>
    <w:next w:val="15"/>
    <w:link w:val="64"/>
    <w:unhideWhenUsed/>
    <w:qFormat/>
    <w:uiPriority w:val="0"/>
    <w:rPr>
      <w:b/>
      <w:bCs/>
    </w:rPr>
  </w:style>
  <w:style w:type="paragraph" w:styleId="35">
    <w:name w:val="Body Text First Indent 2"/>
    <w:basedOn w:val="1"/>
    <w:qFormat/>
    <w:uiPriority w:val="0"/>
    <w:pPr>
      <w:ind w:firstLine="420" w:firstLineChars="200"/>
    </w:p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rPr>
  </w:style>
  <w:style w:type="character" w:styleId="40">
    <w:name w:val="page number"/>
    <w:basedOn w:val="38"/>
    <w:unhideWhenUsed/>
    <w:qFormat/>
    <w:uiPriority w:val="0"/>
    <w:rPr>
      <w:rFonts w:ascii="Times New Roman" w:hAnsi="Times New Roman" w:eastAsia="宋体" w:cs="Times New Roman"/>
    </w:rPr>
  </w:style>
  <w:style w:type="character" w:styleId="41">
    <w:name w:val="FollowedHyperlink"/>
    <w:basedOn w:val="38"/>
    <w:unhideWhenUsed/>
    <w:qFormat/>
    <w:uiPriority w:val="0"/>
    <w:rPr>
      <w:color w:val="333333"/>
      <w:u w:val="none"/>
    </w:rPr>
  </w:style>
  <w:style w:type="character" w:styleId="42">
    <w:name w:val="Emphasis"/>
    <w:basedOn w:val="38"/>
    <w:qFormat/>
    <w:uiPriority w:val="20"/>
  </w:style>
  <w:style w:type="character" w:styleId="43">
    <w:name w:val="HTML Definition"/>
    <w:basedOn w:val="38"/>
    <w:unhideWhenUsed/>
    <w:qFormat/>
    <w:uiPriority w:val="0"/>
  </w:style>
  <w:style w:type="character" w:styleId="44">
    <w:name w:val="HTML Acronym"/>
    <w:basedOn w:val="38"/>
    <w:unhideWhenUsed/>
    <w:qFormat/>
    <w:uiPriority w:val="0"/>
  </w:style>
  <w:style w:type="character" w:styleId="45">
    <w:name w:val="HTML Variable"/>
    <w:basedOn w:val="38"/>
    <w:unhideWhenUsed/>
    <w:qFormat/>
    <w:uiPriority w:val="0"/>
  </w:style>
  <w:style w:type="character" w:styleId="46">
    <w:name w:val="Hyperlink"/>
    <w:basedOn w:val="38"/>
    <w:qFormat/>
    <w:uiPriority w:val="99"/>
    <w:rPr>
      <w:color w:val="333333"/>
      <w:u w:val="none"/>
    </w:rPr>
  </w:style>
  <w:style w:type="character" w:styleId="47">
    <w:name w:val="HTML Code"/>
    <w:basedOn w:val="38"/>
    <w:unhideWhenUsed/>
    <w:qFormat/>
    <w:uiPriority w:val="0"/>
    <w:rPr>
      <w:rFonts w:ascii="Courier New" w:hAnsi="Courier New"/>
      <w:color w:val="505050"/>
      <w:sz w:val="24"/>
      <w:szCs w:val="24"/>
    </w:rPr>
  </w:style>
  <w:style w:type="character" w:styleId="48">
    <w:name w:val="annotation reference"/>
    <w:unhideWhenUsed/>
    <w:qFormat/>
    <w:uiPriority w:val="0"/>
    <w:rPr>
      <w:sz w:val="21"/>
      <w:szCs w:val="21"/>
    </w:rPr>
  </w:style>
  <w:style w:type="character" w:styleId="49">
    <w:name w:val="HTML Cite"/>
    <w:basedOn w:val="38"/>
    <w:unhideWhenUsed/>
    <w:qFormat/>
    <w:uiPriority w:val="0"/>
  </w:style>
  <w:style w:type="paragraph" w:styleId="50">
    <w:name w:val="Intense Quote"/>
    <w:basedOn w:val="1"/>
    <w:next w:val="1"/>
    <w:qFormat/>
    <w:uiPriority w:val="30"/>
    <w:pPr>
      <w:framePr w:wrap="around" w:vAnchor="margin" w:hAnchor="text" w:y="1"/>
      <w:widowControl/>
      <w:pBdr>
        <w:top w:val="single" w:color="4F81BD" w:sz="4" w:space="10"/>
        <w:bottom w:val="single" w:color="4F81BD" w:sz="4" w:space="10"/>
      </w:pBdr>
      <w:spacing w:before="360" w:after="360"/>
      <w:ind w:left="864" w:right="864"/>
      <w:jc w:val="center"/>
    </w:pPr>
    <w:rPr>
      <w:rFonts w:eastAsia="Arial Unicode MS"/>
      <w:i/>
      <w:iCs/>
      <w:color w:val="4F81BD"/>
      <w:kern w:val="0"/>
      <w:sz w:val="24"/>
      <w:lang w:eastAsia="en-US"/>
    </w:rPr>
  </w:style>
  <w:style w:type="paragraph" w:customStyle="1" w:styleId="51">
    <w:name w:val="TOC 11"/>
    <w:basedOn w:val="1"/>
    <w:next w:val="1"/>
    <w:qFormat/>
    <w:uiPriority w:val="39"/>
    <w:pPr>
      <w:spacing w:before="120" w:after="120"/>
      <w:jc w:val="left"/>
    </w:pPr>
    <w:rPr>
      <w:rFonts w:ascii="Calibri" w:hAnsi="Calibri"/>
      <w:b/>
      <w:bCs/>
      <w:caps/>
      <w:sz w:val="20"/>
      <w:szCs w:val="20"/>
    </w:rPr>
  </w:style>
  <w:style w:type="paragraph" w:customStyle="1" w:styleId="52">
    <w:name w:val="UserStyle_0"/>
    <w:basedOn w:val="1"/>
    <w:qFormat/>
    <w:uiPriority w:val="0"/>
    <w:pPr>
      <w:spacing w:before="25" w:after="25"/>
      <w:jc w:val="left"/>
      <w:textAlignment w:val="baseline"/>
    </w:pPr>
    <w:rPr>
      <w:bCs/>
      <w:spacing w:val="10"/>
      <w:kern w:val="0"/>
      <w:sz w:val="24"/>
      <w:szCs w:val="20"/>
    </w:rPr>
  </w:style>
  <w:style w:type="paragraph" w:customStyle="1" w:styleId="53">
    <w:name w:val="正文段"/>
    <w:basedOn w:val="1"/>
    <w:qFormat/>
    <w:uiPriority w:val="0"/>
    <w:pPr>
      <w:widowControl/>
      <w:snapToGrid w:val="0"/>
      <w:spacing w:afterLines="50"/>
      <w:ind w:firstLine="200" w:firstLineChars="200"/>
    </w:pPr>
    <w:rPr>
      <w:kern w:val="0"/>
      <w:sz w:val="24"/>
      <w:szCs w:val="20"/>
    </w:rPr>
  </w:style>
  <w:style w:type="paragraph" w:customStyle="1" w:styleId="54">
    <w:name w:val="默认段落字体 Para Char Char Char Char Char Char Char Char Char1 Char Char Char Char"/>
    <w:basedOn w:val="1"/>
    <w:qFormat/>
    <w:uiPriority w:val="0"/>
    <w:rPr>
      <w:rFonts w:ascii="Tahoma" w:hAnsi="Tahoma"/>
      <w:sz w:val="24"/>
      <w:szCs w:val="20"/>
    </w:rPr>
  </w:style>
  <w:style w:type="character" w:customStyle="1" w:styleId="55">
    <w:name w:val="纯文本 字符"/>
    <w:link w:val="22"/>
    <w:qFormat/>
    <w:uiPriority w:val="0"/>
    <w:rPr>
      <w:rFonts w:ascii="宋体" w:eastAsia="宋体" w:cs="Courier New"/>
      <w:szCs w:val="21"/>
    </w:rPr>
  </w:style>
  <w:style w:type="character" w:customStyle="1" w:styleId="56">
    <w:name w:val="纯文本 Char1"/>
    <w:qFormat/>
    <w:uiPriority w:val="0"/>
    <w:rPr>
      <w:rFonts w:ascii="宋体" w:hAnsi="Courier New" w:eastAsia="宋体" w:cs="Courier New"/>
      <w:szCs w:val="21"/>
    </w:rPr>
  </w:style>
  <w:style w:type="character" w:customStyle="1" w:styleId="57">
    <w:name w:val="批注框文本 字符"/>
    <w:link w:val="24"/>
    <w:semiHidden/>
    <w:qFormat/>
    <w:uiPriority w:val="99"/>
    <w:rPr>
      <w:rFonts w:ascii="Times New Roman" w:hAnsi="Times New Roman" w:eastAsia="宋体" w:cs="Times New Roman"/>
      <w:sz w:val="18"/>
      <w:szCs w:val="18"/>
    </w:rPr>
  </w:style>
  <w:style w:type="character" w:customStyle="1" w:styleId="58">
    <w:name w:val="标题 2 Char"/>
    <w:semiHidden/>
    <w:qFormat/>
    <w:uiPriority w:val="9"/>
    <w:rPr>
      <w:rFonts w:ascii="Cambria" w:hAnsi="Cambria" w:eastAsia="宋体" w:cs="黑体"/>
      <w:b/>
      <w:bCs/>
      <w:sz w:val="32"/>
      <w:szCs w:val="32"/>
    </w:rPr>
  </w:style>
  <w:style w:type="character" w:customStyle="1" w:styleId="59">
    <w:name w:val="标题 2 字符"/>
    <w:link w:val="3"/>
    <w:qFormat/>
    <w:uiPriority w:val="0"/>
    <w:rPr>
      <w:rFonts w:ascii="Cambria" w:hAnsi="Cambria"/>
      <w:b/>
      <w:bCs/>
      <w:kern w:val="2"/>
      <w:sz w:val="30"/>
      <w:szCs w:val="32"/>
    </w:rPr>
  </w:style>
  <w:style w:type="character" w:customStyle="1" w:styleId="60">
    <w:name w:val="标题 字符"/>
    <w:link w:val="33"/>
    <w:qFormat/>
    <w:uiPriority w:val="0"/>
    <w:rPr>
      <w:rFonts w:ascii="Cambria" w:hAnsi="Cambria" w:eastAsia="宋体" w:cs="Times New Roman"/>
      <w:b/>
      <w:bCs/>
      <w:sz w:val="32"/>
      <w:szCs w:val="32"/>
    </w:rPr>
  </w:style>
  <w:style w:type="character" w:customStyle="1" w:styleId="61">
    <w:name w:val="页眉 字符"/>
    <w:link w:val="26"/>
    <w:qFormat/>
    <w:uiPriority w:val="99"/>
    <w:rPr>
      <w:rFonts w:ascii="Times New Roman" w:hAnsi="Times New Roman" w:eastAsia="宋体" w:cs="Times New Roman"/>
      <w:sz w:val="18"/>
      <w:szCs w:val="18"/>
    </w:rPr>
  </w:style>
  <w:style w:type="character" w:customStyle="1" w:styleId="62">
    <w:name w:val="页脚 字符"/>
    <w:link w:val="25"/>
    <w:qFormat/>
    <w:uiPriority w:val="99"/>
    <w:rPr>
      <w:rFonts w:ascii="Times New Roman" w:hAnsi="Times New Roman" w:eastAsia="宋体" w:cs="Times New Roman"/>
      <w:sz w:val="18"/>
      <w:szCs w:val="18"/>
    </w:rPr>
  </w:style>
  <w:style w:type="character" w:customStyle="1" w:styleId="63">
    <w:name w:val="批注文字 字符"/>
    <w:link w:val="15"/>
    <w:semiHidden/>
    <w:qFormat/>
    <w:uiPriority w:val="0"/>
    <w:rPr>
      <w:kern w:val="2"/>
      <w:sz w:val="21"/>
      <w:szCs w:val="24"/>
    </w:rPr>
  </w:style>
  <w:style w:type="character" w:customStyle="1" w:styleId="64">
    <w:name w:val="批注主题 字符"/>
    <w:link w:val="34"/>
    <w:semiHidden/>
    <w:qFormat/>
    <w:uiPriority w:val="0"/>
    <w:rPr>
      <w:b/>
      <w:bCs/>
      <w:kern w:val="2"/>
      <w:sz w:val="21"/>
      <w:szCs w:val="24"/>
    </w:rPr>
  </w:style>
  <w:style w:type="character" w:customStyle="1" w:styleId="65">
    <w:name w:val="HTML 预设格式 字符"/>
    <w:link w:val="31"/>
    <w:qFormat/>
    <w:uiPriority w:val="0"/>
    <w:rPr>
      <w:rFonts w:ascii="黑体" w:hAnsi="Courier New" w:eastAsia="黑体" w:cs="Courier New"/>
    </w:rPr>
  </w:style>
  <w:style w:type="character" w:customStyle="1" w:styleId="66">
    <w:name w:val="纯文本 Char2"/>
    <w:qFormat/>
    <w:uiPriority w:val="0"/>
    <w:rPr>
      <w:rFonts w:ascii="宋体" w:hAnsi="Courier New" w:eastAsia="宋体"/>
      <w:kern w:val="2"/>
      <w:sz w:val="21"/>
    </w:rPr>
  </w:style>
  <w:style w:type="character" w:customStyle="1" w:styleId="67">
    <w:name w:val="正文文本 字符"/>
    <w:link w:val="16"/>
    <w:qFormat/>
    <w:uiPriority w:val="0"/>
    <w:rPr>
      <w:kern w:val="2"/>
      <w:sz w:val="21"/>
    </w:rPr>
  </w:style>
  <w:style w:type="character" w:customStyle="1" w:styleId="68">
    <w:name w:val="正文文本 Char1"/>
    <w:basedOn w:val="38"/>
    <w:semiHidden/>
    <w:qFormat/>
    <w:uiPriority w:val="0"/>
    <w:rPr>
      <w:kern w:val="2"/>
      <w:sz w:val="21"/>
      <w:szCs w:val="24"/>
    </w:rPr>
  </w:style>
  <w:style w:type="paragraph" w:customStyle="1" w:styleId="69">
    <w:name w:val="List Paragraph"/>
    <w:basedOn w:val="1"/>
    <w:qFormat/>
    <w:uiPriority w:val="1"/>
    <w:pPr>
      <w:spacing w:before="5"/>
      <w:ind w:left="220" w:firstLine="480"/>
    </w:pPr>
    <w:rPr>
      <w:rFonts w:ascii="宋体" w:hAnsi="宋体" w:cs="宋体"/>
      <w:lang w:val="zh-CN" w:bidi="zh-CN"/>
    </w:rPr>
  </w:style>
  <w:style w:type="paragraph" w:customStyle="1" w:styleId="70">
    <w:name w:val="_Style 3"/>
    <w:basedOn w:val="1"/>
    <w:qFormat/>
    <w:uiPriority w:val="0"/>
    <w:pPr>
      <w:ind w:firstLine="420" w:firstLineChars="200"/>
    </w:pPr>
  </w:style>
  <w:style w:type="paragraph" w:customStyle="1" w:styleId="71">
    <w:name w:val="_Style 1"/>
    <w:basedOn w:val="1"/>
    <w:qFormat/>
    <w:uiPriority w:val="0"/>
    <w:pPr>
      <w:ind w:firstLine="420" w:firstLineChars="200"/>
    </w:pPr>
  </w:style>
  <w:style w:type="paragraph" w:customStyle="1" w:styleId="72">
    <w:name w:val="Table Paragraph"/>
    <w:basedOn w:val="1"/>
    <w:qFormat/>
    <w:uiPriority w:val="1"/>
    <w:rPr>
      <w:rFonts w:ascii="宋体" w:hAnsi="宋体" w:cs="宋体"/>
      <w:lang w:val="zh-CN" w:bidi="zh-CN"/>
    </w:rPr>
  </w:style>
  <w:style w:type="paragraph" w:customStyle="1" w:styleId="73">
    <w:name w:val="纯文本1"/>
    <w:basedOn w:val="1"/>
    <w:qFormat/>
    <w:uiPriority w:val="0"/>
    <w:pPr>
      <w:suppressAutoHyphens/>
    </w:pPr>
    <w:rPr>
      <w:rFonts w:ascii="宋体" w:hAnsi="宋体" w:cs="Calibri"/>
      <w:kern w:val="1"/>
      <w:sz w:val="20"/>
      <w:szCs w:val="21"/>
      <w:lang w:eastAsia="ar-SA"/>
    </w:rPr>
  </w:style>
  <w:style w:type="paragraph" w:customStyle="1" w:styleId="74">
    <w:name w:val="表格文字"/>
    <w:basedOn w:val="1"/>
    <w:qFormat/>
    <w:uiPriority w:val="0"/>
    <w:pPr>
      <w:spacing w:before="25" w:after="25"/>
      <w:jc w:val="left"/>
    </w:pPr>
    <w:rPr>
      <w:bCs/>
      <w:spacing w:val="10"/>
      <w:kern w:val="0"/>
      <w:sz w:val="24"/>
    </w:rPr>
  </w:style>
  <w:style w:type="paragraph" w:customStyle="1" w:styleId="75">
    <w:name w:val="列出段落1"/>
    <w:basedOn w:val="1"/>
    <w:qFormat/>
    <w:uiPriority w:val="34"/>
    <w:pPr>
      <w:ind w:firstLine="420" w:firstLineChars="200"/>
    </w:pPr>
  </w:style>
  <w:style w:type="character" w:customStyle="1" w:styleId="7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77">
    <w:name w:val="Heading1"/>
    <w:basedOn w:val="1"/>
    <w:next w:val="1"/>
    <w:qFormat/>
    <w:uiPriority w:val="0"/>
    <w:pPr>
      <w:keepLines/>
      <w:spacing w:before="120" w:after="60"/>
      <w:textAlignment w:val="baseline"/>
    </w:pPr>
    <w:rPr>
      <w:b/>
      <w:color w:val="000000"/>
      <w:w w:val="90"/>
      <w:kern w:val="32"/>
      <w:sz w:val="30"/>
    </w:rPr>
  </w:style>
  <w:style w:type="paragraph" w:customStyle="1" w:styleId="78">
    <w:name w:val="PlainText"/>
    <w:basedOn w:val="1"/>
    <w:next w:val="77"/>
    <w:qFormat/>
    <w:uiPriority w:val="0"/>
    <w:pPr>
      <w:textAlignment w:val="baseline"/>
    </w:pPr>
    <w:rPr>
      <w:rFonts w:ascii="宋体" w:hAnsi="Courier New"/>
      <w:szCs w:val="20"/>
    </w:rPr>
  </w:style>
  <w:style w:type="paragraph" w:customStyle="1" w:styleId="79">
    <w:name w:val="1"/>
    <w:basedOn w:val="1"/>
    <w:next w:val="22"/>
    <w:qFormat/>
    <w:uiPriority w:val="0"/>
    <w:rPr>
      <w:rFonts w:ascii="宋体" w:hAnsi="Courier New"/>
      <w:szCs w:val="20"/>
    </w:rPr>
  </w:style>
  <w:style w:type="paragraph" w:customStyle="1" w:styleId="80">
    <w:name w:val="样式 标题 2 + 宋体"/>
    <w:basedOn w:val="3"/>
    <w:qFormat/>
    <w:uiPriority w:val="0"/>
    <w:pPr>
      <w:tabs>
        <w:tab w:val="left" w:pos="360"/>
      </w:tabs>
    </w:pPr>
    <w:rPr>
      <w:rFonts w:ascii="宋体" w:hAnsi="宋体"/>
    </w:rPr>
  </w:style>
  <w:style w:type="paragraph" w:customStyle="1" w:styleId="81">
    <w:name w:val="NormalIndent"/>
    <w:basedOn w:val="1"/>
    <w:qFormat/>
    <w:uiPriority w:val="0"/>
    <w:pPr>
      <w:ind w:firstLine="420"/>
      <w:textAlignment w:val="baseline"/>
    </w:pPr>
    <w:rPr>
      <w:szCs w:val="20"/>
    </w:rPr>
  </w:style>
  <w:style w:type="paragraph" w:customStyle="1" w:styleId="82">
    <w:name w:val="首行缩进"/>
    <w:basedOn w:val="1"/>
    <w:qFormat/>
    <w:uiPriority w:val="0"/>
    <w:pPr>
      <w:spacing w:line="400" w:lineRule="exact"/>
      <w:ind w:firstLine="480" w:firstLineChars="200"/>
      <w:jc w:val="left"/>
    </w:pPr>
    <w:rPr>
      <w:lang w:val="zh-CN"/>
    </w:rPr>
  </w:style>
  <w:style w:type="paragraph" w:customStyle="1" w:styleId="83">
    <w:name w:val="方案正文"/>
    <w:basedOn w:val="1"/>
    <w:qFormat/>
    <w:uiPriority w:val="0"/>
    <w:pPr>
      <w:spacing w:line="360" w:lineRule="auto"/>
      <w:ind w:firstLine="480" w:firstLineChars="200"/>
    </w:pPr>
    <w:rPr>
      <w:rFonts w:cs="宋体"/>
      <w:sz w:val="24"/>
    </w:rPr>
  </w:style>
  <w:style w:type="character" w:customStyle="1" w:styleId="84">
    <w:name w:val="font31"/>
    <w:basedOn w:val="38"/>
    <w:qFormat/>
    <w:uiPriority w:val="0"/>
    <w:rPr>
      <w:rFonts w:hint="eastAsia" w:ascii="宋体" w:hAnsi="宋体" w:eastAsia="宋体" w:cs="宋体"/>
      <w:color w:val="000000"/>
      <w:sz w:val="20"/>
      <w:szCs w:val="20"/>
      <w:u w:val="none"/>
    </w:rPr>
  </w:style>
  <w:style w:type="paragraph" w:customStyle="1" w:styleId="85">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6">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87">
    <w:name w:val="WPSOffice手动目录 1"/>
    <w:qFormat/>
    <w:uiPriority w:val="0"/>
    <w:pPr>
      <w:ind w:leftChars="0"/>
    </w:pPr>
    <w:rPr>
      <w:rFonts w:ascii="Times New Roman" w:hAnsi="Times New Roman" w:eastAsia="宋体" w:cs="Times New Roman"/>
      <w:sz w:val="20"/>
      <w:szCs w:val="20"/>
    </w:rPr>
  </w:style>
  <w:style w:type="paragraph" w:customStyle="1" w:styleId="88">
    <w:name w:val="Table Text"/>
    <w:basedOn w:val="1"/>
    <w:semiHidden/>
    <w:qFormat/>
    <w:uiPriority w:val="0"/>
    <w:rPr>
      <w:rFonts w:ascii="宋体" w:hAnsi="宋体" w:eastAsia="宋体" w:cs="宋体"/>
      <w:sz w:val="20"/>
      <w:szCs w:val="20"/>
      <w:lang w:val="en-US" w:eastAsia="en-US" w:bidi="ar-SA"/>
    </w:rPr>
  </w:style>
  <w:style w:type="table" w:customStyle="1" w:styleId="8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8961</Words>
  <Characters>10020</Characters>
  <Lines>307</Lines>
  <Paragraphs>86</Paragraphs>
  <TotalTime>4</TotalTime>
  <ScaleCrop>false</ScaleCrop>
  <LinksUpToDate>false</LinksUpToDate>
  <CharactersWithSpaces>10119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2021-04-29T00:31:00Z</dcterms:created>
  <dc:creator>zb</dc:creator>
  <cp:lastModifiedBy>Administrator</cp:lastModifiedBy>
  <cp:lastPrinted>2024-05-28T01:29:00Z</cp:lastPrinted>
  <dcterms:modified xsi:type="dcterms:W3CDTF">2026-07-01T03:14:19Z</dcterms:modified>
  <dc:title>_x0001_</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6C31AB21E39447888E482507BFB7FA20_13</vt:lpwstr>
  </property>
  <property fmtid="{D5CDD505-2E9C-101B-9397-08002B2CF9AE}" pid="4" name="commondata">
    <vt:lpwstr>eyJoZGlkIjoiMDNkMDJjNjZjMTNhYjEwNDkzZDE2OTIyODcyMTA4NzYifQ==</vt:lpwstr>
  </property>
  <property fmtid="{D5CDD505-2E9C-101B-9397-08002B2CF9AE}" pid="5" name="KSOTemplateDocerSaveRecord">
    <vt:lpwstr>eyJoZGlkIjoiYTdlODAwMzkxYTgxMWQ0YTkxNGNjM2ViNTU3NWM2MGQiLCJ1c2VySWQiOiIyMzI0OTIwMDAifQ==</vt:lpwstr>
  </property>
</Properties>
</file>