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33B64A">
      <w:pPr>
        <w:spacing w:before="156" w:beforeLines="50" w:line="360" w:lineRule="auto"/>
        <w:jc w:val="center"/>
        <w:rPr>
          <w:rFonts w:hint="eastAsia" w:ascii="宋体" w:hAnsi="宋体" w:eastAsia="宋体" w:cs="宋体"/>
          <w:color w:val="auto"/>
          <w:sz w:val="52"/>
          <w:szCs w:val="52"/>
          <w:highlight w:val="none"/>
        </w:rPr>
      </w:pPr>
    </w:p>
    <w:p w14:paraId="0CF853A9">
      <w:pPr>
        <w:spacing w:before="156" w:beforeLines="50" w:line="360" w:lineRule="auto"/>
        <w:jc w:val="center"/>
        <w:rPr>
          <w:rFonts w:hint="eastAsia" w:ascii="宋体" w:hAnsi="宋体" w:eastAsia="宋体" w:cs="宋体"/>
          <w:color w:val="auto"/>
          <w:sz w:val="52"/>
          <w:szCs w:val="52"/>
          <w:highlight w:val="none"/>
        </w:rPr>
      </w:pPr>
    </w:p>
    <w:p w14:paraId="30B1C4A5">
      <w:pPr>
        <w:spacing w:before="156" w:beforeLines="50" w:line="360" w:lineRule="auto"/>
        <w:jc w:val="center"/>
        <w:rPr>
          <w:rFonts w:hint="eastAsia" w:ascii="宋体" w:hAnsi="宋体" w:eastAsia="宋体" w:cs="宋体"/>
          <w:color w:val="auto"/>
          <w:sz w:val="36"/>
          <w:szCs w:val="36"/>
          <w:highlight w:val="none"/>
        </w:rPr>
      </w:pPr>
    </w:p>
    <w:p w14:paraId="42DE8851">
      <w:pPr>
        <w:snapToGrid w:val="0"/>
        <w:spacing w:before="156" w:beforeLines="50" w:line="360" w:lineRule="auto"/>
        <w:jc w:val="center"/>
        <w:rPr>
          <w:rFonts w:hint="eastAsia" w:ascii="宋体" w:hAnsi="宋体" w:eastAsia="宋体" w:cs="宋体"/>
          <w:color w:val="auto"/>
          <w:sz w:val="44"/>
          <w:szCs w:val="44"/>
          <w:highlight w:val="none"/>
        </w:rPr>
      </w:pPr>
      <w:r>
        <w:rPr>
          <w:rFonts w:hint="eastAsia" w:ascii="宋体" w:hAnsi="宋体" w:eastAsia="宋体" w:cs="宋体"/>
          <w:color w:val="auto"/>
          <w:sz w:val="72"/>
          <w:szCs w:val="72"/>
          <w:highlight w:val="none"/>
        </w:rPr>
        <w:t>竞争性磋商文件</w:t>
      </w:r>
    </w:p>
    <w:p w14:paraId="10340967">
      <w:pPr>
        <w:spacing w:before="312" w:beforeLines="100" w:after="156" w:afterLines="50" w:line="360" w:lineRule="auto"/>
        <w:jc w:val="center"/>
        <w:rPr>
          <w:rFonts w:hint="eastAsia" w:ascii="宋体" w:hAnsi="宋体" w:eastAsia="宋体" w:cs="宋体"/>
          <w:b/>
          <w:color w:val="auto"/>
          <w:sz w:val="48"/>
          <w:szCs w:val="48"/>
          <w:highlight w:val="none"/>
        </w:rPr>
      </w:pPr>
      <w:r>
        <w:rPr>
          <w:rFonts w:hint="eastAsia" w:ascii="宋体" w:hAnsi="宋体" w:eastAsia="宋体" w:cs="宋体"/>
          <w:color w:val="auto"/>
          <w:sz w:val="32"/>
          <w:szCs w:val="32"/>
          <w:highlight w:val="none"/>
        </w:rPr>
        <w:t>（全流程电子化评标）</w:t>
      </w:r>
    </w:p>
    <w:p w14:paraId="60900605">
      <w:pPr>
        <w:spacing w:line="360" w:lineRule="auto"/>
        <w:jc w:val="center"/>
        <w:rPr>
          <w:rFonts w:hint="eastAsia" w:ascii="宋体" w:hAnsi="宋体" w:eastAsia="宋体" w:cs="宋体"/>
          <w:b/>
          <w:color w:val="auto"/>
          <w:sz w:val="32"/>
          <w:szCs w:val="32"/>
          <w:highlight w:val="none"/>
        </w:rPr>
      </w:pPr>
    </w:p>
    <w:p w14:paraId="31CAD9D5">
      <w:pPr>
        <w:pStyle w:val="7"/>
        <w:spacing w:line="360" w:lineRule="auto"/>
        <w:rPr>
          <w:rFonts w:hint="eastAsia"/>
          <w:color w:val="auto"/>
          <w:highlight w:val="none"/>
        </w:rPr>
      </w:pPr>
    </w:p>
    <w:p w14:paraId="3B13C591">
      <w:pPr>
        <w:rPr>
          <w:rFonts w:hint="eastAsia"/>
          <w:highlight w:val="none"/>
        </w:rPr>
      </w:pPr>
    </w:p>
    <w:p w14:paraId="68E4C35D">
      <w:pPr>
        <w:spacing w:line="360" w:lineRule="auto"/>
        <w:rPr>
          <w:rFonts w:hint="eastAsia"/>
          <w:color w:val="auto"/>
          <w:highlight w:val="none"/>
        </w:rPr>
      </w:pPr>
    </w:p>
    <w:p w14:paraId="0BB47C7C">
      <w:pPr>
        <w:spacing w:line="360" w:lineRule="auto"/>
        <w:rPr>
          <w:rFonts w:hint="eastAsia"/>
          <w:color w:val="auto"/>
          <w:highlight w:val="none"/>
        </w:rPr>
      </w:pPr>
    </w:p>
    <w:p w14:paraId="73D8278A">
      <w:pPr>
        <w:spacing w:line="360" w:lineRule="auto"/>
        <w:rPr>
          <w:rFonts w:hint="eastAsia"/>
          <w:color w:val="auto"/>
          <w:highlight w:val="none"/>
        </w:rPr>
      </w:pPr>
    </w:p>
    <w:p w14:paraId="79D19C66">
      <w:pPr>
        <w:pStyle w:val="21"/>
        <w:spacing w:line="360" w:lineRule="auto"/>
        <w:rPr>
          <w:rFonts w:hint="eastAsia"/>
          <w:color w:val="auto"/>
          <w:highlight w:val="none"/>
        </w:rPr>
      </w:pPr>
    </w:p>
    <w:p w14:paraId="1F0C59C6">
      <w:pPr>
        <w:spacing w:line="360" w:lineRule="auto"/>
        <w:rPr>
          <w:rFonts w:hint="eastAsia"/>
          <w:color w:val="auto"/>
          <w:highlight w:val="none"/>
        </w:rPr>
      </w:pPr>
    </w:p>
    <w:p w14:paraId="10812875">
      <w:pPr>
        <w:spacing w:line="360" w:lineRule="auto"/>
        <w:ind w:left="0" w:leftChars="0" w:firstLine="0" w:firstLineChars="0"/>
        <w:jc w:val="left"/>
        <w:rPr>
          <w:rFonts w:hint="eastAsia" w:ascii="宋体" w:hAnsi="宋体" w:eastAsia="宋体" w:cs="宋体"/>
          <w:b/>
          <w:color w:val="auto"/>
          <w:sz w:val="32"/>
          <w:szCs w:val="32"/>
          <w:highlight w:val="none"/>
          <w:lang w:eastAsia="zh-CN"/>
        </w:rPr>
      </w:pPr>
      <w:r>
        <w:rPr>
          <w:rFonts w:hint="eastAsia" w:ascii="宋体" w:hAnsi="宋体" w:eastAsia="宋体" w:cs="宋体"/>
          <w:b/>
          <w:color w:val="auto"/>
          <w:sz w:val="32"/>
          <w:szCs w:val="32"/>
          <w:highlight w:val="none"/>
        </w:rPr>
        <w:t>项目名称：</w:t>
      </w:r>
      <w:r>
        <w:rPr>
          <w:rFonts w:hint="eastAsia" w:ascii="宋体" w:hAnsi="宋体" w:cs="宋体"/>
          <w:b/>
          <w:color w:val="auto"/>
          <w:sz w:val="32"/>
          <w:szCs w:val="32"/>
          <w:highlight w:val="none"/>
          <w:lang w:eastAsia="zh-CN"/>
        </w:rPr>
        <w:t>资源县公安局天网工程基础运行维护服务项目</w:t>
      </w:r>
    </w:p>
    <w:p w14:paraId="06DE5E26">
      <w:pPr>
        <w:spacing w:line="360" w:lineRule="auto"/>
        <w:ind w:left="0" w:leftChars="0" w:firstLine="0" w:firstLineChars="0"/>
        <w:jc w:val="left"/>
        <w:rPr>
          <w:rFonts w:hint="eastAsia" w:ascii="宋体" w:hAnsi="宋体" w:eastAsia="宋体" w:cs="宋体"/>
          <w:b/>
          <w:color w:val="auto"/>
          <w:sz w:val="32"/>
          <w:szCs w:val="32"/>
          <w:highlight w:val="none"/>
          <w:lang w:eastAsia="zh-CN"/>
        </w:rPr>
      </w:pPr>
      <w:r>
        <w:rPr>
          <w:rFonts w:hint="eastAsia" w:ascii="宋体" w:hAnsi="宋体" w:eastAsia="宋体" w:cs="宋体"/>
          <w:b/>
          <w:color w:val="auto"/>
          <w:sz w:val="32"/>
          <w:szCs w:val="32"/>
          <w:highlight w:val="none"/>
          <w:lang w:eastAsia="zh-CN"/>
        </w:rPr>
        <w:t>项目编号：</w:t>
      </w:r>
      <w:r>
        <w:rPr>
          <w:rFonts w:hint="eastAsia" w:ascii="宋体" w:hAnsi="宋体" w:cs="宋体"/>
          <w:b/>
          <w:color w:val="auto"/>
          <w:sz w:val="32"/>
          <w:szCs w:val="32"/>
          <w:highlight w:val="none"/>
          <w:lang w:eastAsia="zh-CN"/>
        </w:rPr>
        <w:t>GLZC2026-C3-290042-GXCJ</w:t>
      </w:r>
    </w:p>
    <w:p w14:paraId="35267018">
      <w:pPr>
        <w:spacing w:line="360" w:lineRule="auto"/>
        <w:ind w:firstLine="0" w:firstLineChars="0"/>
        <w:jc w:val="left"/>
        <w:rPr>
          <w:rFonts w:hint="eastAsia" w:ascii="宋体" w:hAnsi="宋体" w:eastAsia="宋体" w:cs="宋体"/>
          <w:b/>
          <w:color w:val="auto"/>
          <w:sz w:val="32"/>
          <w:szCs w:val="32"/>
          <w:highlight w:val="none"/>
          <w:lang w:eastAsia="zh-CN"/>
        </w:rPr>
      </w:pPr>
      <w:r>
        <w:rPr>
          <w:rFonts w:hint="eastAsia" w:ascii="宋体" w:hAnsi="宋体" w:eastAsia="宋体" w:cs="宋体"/>
          <w:b/>
          <w:color w:val="auto"/>
          <w:sz w:val="32"/>
          <w:szCs w:val="32"/>
          <w:highlight w:val="none"/>
        </w:rPr>
        <w:t>采购人：</w:t>
      </w:r>
      <w:r>
        <w:rPr>
          <w:rFonts w:hint="eastAsia" w:ascii="宋体" w:hAnsi="宋体" w:cs="宋体"/>
          <w:b/>
          <w:color w:val="auto"/>
          <w:sz w:val="32"/>
          <w:szCs w:val="32"/>
          <w:highlight w:val="none"/>
          <w:lang w:eastAsia="zh-CN"/>
        </w:rPr>
        <w:t>资源县公安局</w:t>
      </w:r>
    </w:p>
    <w:p w14:paraId="65FF29D5">
      <w:pPr>
        <w:spacing w:line="360" w:lineRule="auto"/>
        <w:ind w:firstLine="0" w:firstLineChars="0"/>
        <w:jc w:val="left"/>
        <w:rPr>
          <w:rFonts w:hint="eastAsia" w:ascii="宋体" w:hAnsi="宋体" w:eastAsia="宋体" w:cs="宋体"/>
          <w:b/>
          <w:color w:val="auto"/>
          <w:sz w:val="32"/>
          <w:szCs w:val="32"/>
          <w:highlight w:val="none"/>
          <w:lang w:val="en-US" w:eastAsia="zh-CN"/>
        </w:rPr>
      </w:pPr>
      <w:r>
        <w:rPr>
          <w:rFonts w:hint="eastAsia" w:ascii="宋体" w:hAnsi="宋体" w:eastAsia="宋体" w:cs="宋体"/>
          <w:b/>
          <w:color w:val="auto"/>
          <w:sz w:val="32"/>
          <w:szCs w:val="32"/>
          <w:highlight w:val="none"/>
        </w:rPr>
        <w:t>采购代理机构：</w:t>
      </w:r>
      <w:r>
        <w:rPr>
          <w:rFonts w:hint="eastAsia" w:ascii="宋体" w:hAnsi="宋体" w:cs="宋体"/>
          <w:b/>
          <w:color w:val="auto"/>
          <w:sz w:val="32"/>
          <w:szCs w:val="32"/>
          <w:highlight w:val="none"/>
          <w:lang w:eastAsia="zh-CN"/>
        </w:rPr>
        <w:t>广西城建咨询设计有限公司</w:t>
      </w:r>
    </w:p>
    <w:p w14:paraId="69B471D5">
      <w:pPr>
        <w:spacing w:line="360" w:lineRule="auto"/>
        <w:jc w:val="both"/>
        <w:rPr>
          <w:rFonts w:hint="eastAsia" w:ascii="宋体" w:hAnsi="宋体" w:cs="宋体"/>
          <w:b/>
          <w:color w:val="auto"/>
          <w:sz w:val="32"/>
          <w:szCs w:val="32"/>
          <w:highlight w:val="none"/>
          <w:lang w:val="en-US" w:eastAsia="zh-CN"/>
        </w:rPr>
      </w:pPr>
      <w:r>
        <w:rPr>
          <w:rFonts w:hint="eastAsia" w:ascii="宋体" w:hAnsi="宋体" w:cs="宋体"/>
          <w:b/>
          <w:color w:val="auto"/>
          <w:sz w:val="32"/>
          <w:szCs w:val="32"/>
          <w:highlight w:val="none"/>
          <w:lang w:val="en-US" w:eastAsia="zh-CN"/>
        </w:rPr>
        <w:t>日期：</w:t>
      </w:r>
      <w:r>
        <w:rPr>
          <w:rFonts w:hint="eastAsia" w:ascii="宋体" w:hAnsi="宋体" w:eastAsia="宋体" w:cs="宋体"/>
          <w:b/>
          <w:color w:val="auto"/>
          <w:sz w:val="32"/>
          <w:szCs w:val="32"/>
          <w:highlight w:val="none"/>
          <w:lang w:eastAsia="zh-CN"/>
        </w:rPr>
        <w:t>202</w:t>
      </w:r>
      <w:r>
        <w:rPr>
          <w:rFonts w:hint="eastAsia" w:ascii="宋体" w:hAnsi="宋体" w:cs="宋体"/>
          <w:b/>
          <w:color w:val="auto"/>
          <w:sz w:val="32"/>
          <w:szCs w:val="32"/>
          <w:highlight w:val="none"/>
          <w:lang w:val="en-US" w:eastAsia="zh-CN"/>
        </w:rPr>
        <w:t>6</w:t>
      </w:r>
      <w:r>
        <w:rPr>
          <w:rFonts w:hint="eastAsia" w:ascii="宋体" w:hAnsi="宋体" w:eastAsia="宋体" w:cs="宋体"/>
          <w:b/>
          <w:color w:val="auto"/>
          <w:sz w:val="32"/>
          <w:szCs w:val="32"/>
          <w:highlight w:val="none"/>
          <w:lang w:eastAsia="zh-CN"/>
        </w:rPr>
        <w:t>年</w:t>
      </w:r>
      <w:r>
        <w:rPr>
          <w:rFonts w:hint="eastAsia" w:ascii="宋体" w:hAnsi="宋体" w:cs="宋体"/>
          <w:b/>
          <w:color w:val="auto"/>
          <w:sz w:val="32"/>
          <w:szCs w:val="32"/>
          <w:highlight w:val="none"/>
          <w:lang w:val="en-US" w:eastAsia="zh-CN"/>
        </w:rPr>
        <w:t xml:space="preserve"> 6</w:t>
      </w:r>
      <w:r>
        <w:rPr>
          <w:rFonts w:hint="eastAsia" w:ascii="宋体" w:hAnsi="宋体" w:eastAsia="宋体" w:cs="宋体"/>
          <w:b/>
          <w:color w:val="auto"/>
          <w:sz w:val="32"/>
          <w:szCs w:val="32"/>
          <w:highlight w:val="none"/>
          <w:lang w:eastAsia="zh-CN"/>
        </w:rPr>
        <w:t>月</w:t>
      </w:r>
    </w:p>
    <w:p w14:paraId="5ECFF15A">
      <w:pPr>
        <w:spacing w:line="360" w:lineRule="auto"/>
        <w:jc w:val="center"/>
        <w:rPr>
          <w:rFonts w:ascii="宋体" w:hAnsi="宋体" w:cs="宋体"/>
          <w:b/>
          <w:bCs/>
          <w:kern w:val="0"/>
          <w:sz w:val="32"/>
          <w:szCs w:val="32"/>
          <w:highlight w:val="none"/>
        </w:rPr>
      </w:pPr>
    </w:p>
    <w:p w14:paraId="6A6AFD88">
      <w:pPr>
        <w:widowControl/>
        <w:jc w:val="left"/>
        <w:rPr>
          <w:rFonts w:ascii="宋体" w:hAnsi="宋体" w:cs="宋体"/>
          <w:b/>
          <w:sz w:val="44"/>
          <w:szCs w:val="44"/>
          <w:highlight w:val="none"/>
        </w:rPr>
      </w:pPr>
      <w:r>
        <w:rPr>
          <w:rFonts w:ascii="宋体" w:hAnsi="宋体" w:cs="宋体"/>
          <w:b/>
          <w:sz w:val="44"/>
          <w:szCs w:val="44"/>
          <w:highlight w:val="none"/>
        </w:rPr>
        <w:br w:type="page"/>
      </w:r>
    </w:p>
    <w:p w14:paraId="05BF63CB">
      <w:pPr>
        <w:spacing w:line="360" w:lineRule="auto"/>
        <w:jc w:val="center"/>
        <w:rPr>
          <w:rFonts w:ascii="宋体" w:hAnsi="宋体" w:cs="宋体"/>
          <w:b/>
          <w:sz w:val="44"/>
          <w:szCs w:val="44"/>
          <w:highlight w:val="none"/>
        </w:rPr>
      </w:pPr>
    </w:p>
    <w:p w14:paraId="258D4391">
      <w:pPr>
        <w:spacing w:line="360" w:lineRule="auto"/>
        <w:jc w:val="center"/>
        <w:rPr>
          <w:rFonts w:ascii="宋体" w:hAnsi="宋体" w:cs="宋体"/>
          <w:b/>
          <w:sz w:val="44"/>
          <w:szCs w:val="44"/>
          <w:highlight w:val="none"/>
        </w:rPr>
      </w:pPr>
      <w:r>
        <w:rPr>
          <w:rFonts w:hint="eastAsia" w:ascii="宋体" w:hAnsi="宋体" w:cs="宋体"/>
          <w:b/>
          <w:sz w:val="44"/>
          <w:szCs w:val="44"/>
          <w:highlight w:val="none"/>
        </w:rPr>
        <w:t>目  录</w:t>
      </w:r>
    </w:p>
    <w:p w14:paraId="3765E080">
      <w:pPr>
        <w:spacing w:line="400" w:lineRule="exact"/>
        <w:jc w:val="center"/>
        <w:rPr>
          <w:rFonts w:ascii="宋体" w:hAnsi="宋体" w:cs="宋体"/>
          <w:b/>
          <w:sz w:val="44"/>
          <w:szCs w:val="44"/>
          <w:highlight w:val="none"/>
        </w:rPr>
      </w:pPr>
    </w:p>
    <w:p w14:paraId="614D8D6E">
      <w:pPr>
        <w:pStyle w:val="24"/>
        <w:keepNext w:val="0"/>
        <w:keepLines w:val="0"/>
        <w:pageBreakBefore w:val="0"/>
        <w:widowControl w:val="0"/>
        <w:tabs>
          <w:tab w:val="right" w:leader="dot" w:pos="9072"/>
        </w:tabs>
        <w:kinsoku/>
        <w:wordWrap/>
        <w:overflowPunct/>
        <w:topLinePunct w:val="0"/>
        <w:autoSpaceDE/>
        <w:autoSpaceDN/>
        <w:bidi w:val="0"/>
        <w:adjustRightInd/>
        <w:snapToGrid/>
        <w:spacing w:line="480" w:lineRule="auto"/>
        <w:textAlignment w:val="auto"/>
        <w:rPr>
          <w:rFonts w:hint="eastAsia" w:asciiTheme="minorEastAsia" w:hAnsiTheme="minorEastAsia" w:eastAsiaTheme="minorEastAsia" w:cstheme="minorEastAsia"/>
          <w:b/>
          <w:bCs/>
          <w:sz w:val="32"/>
          <w:szCs w:val="32"/>
          <w:highlight w:val="none"/>
        </w:rPr>
      </w:pPr>
      <w:r>
        <w:rPr>
          <w:rFonts w:hint="eastAsia" w:asciiTheme="minorEastAsia" w:hAnsiTheme="minorEastAsia" w:eastAsiaTheme="minorEastAsia" w:cstheme="minorEastAsia"/>
          <w:b/>
          <w:bCs/>
          <w:caps/>
          <w:sz w:val="32"/>
          <w:szCs w:val="32"/>
          <w:highlight w:val="none"/>
        </w:rPr>
        <w:fldChar w:fldCharType="begin"/>
      </w:r>
      <w:r>
        <w:rPr>
          <w:rFonts w:hint="eastAsia" w:asciiTheme="minorEastAsia" w:hAnsiTheme="minorEastAsia" w:eastAsiaTheme="minorEastAsia" w:cstheme="minorEastAsia"/>
          <w:b/>
          <w:bCs/>
          <w:caps/>
          <w:sz w:val="32"/>
          <w:szCs w:val="32"/>
          <w:highlight w:val="none"/>
        </w:rPr>
        <w:instrText xml:space="preserve"> TOC \o "1-3" \h \z \u </w:instrText>
      </w:r>
      <w:r>
        <w:rPr>
          <w:rFonts w:hint="eastAsia" w:asciiTheme="minorEastAsia" w:hAnsiTheme="minorEastAsia" w:eastAsiaTheme="minorEastAsia" w:cstheme="minorEastAsia"/>
          <w:b/>
          <w:bCs/>
          <w:caps/>
          <w:sz w:val="32"/>
          <w:szCs w:val="32"/>
          <w:highlight w:val="none"/>
        </w:rPr>
        <w:fldChar w:fldCharType="separate"/>
      </w:r>
      <w:r>
        <w:rPr>
          <w:rFonts w:hint="eastAsia" w:asciiTheme="minorEastAsia" w:hAnsiTheme="minorEastAsia" w:eastAsiaTheme="minorEastAsia" w:cstheme="minorEastAsia"/>
          <w:b/>
          <w:bCs/>
          <w:caps/>
          <w:sz w:val="32"/>
          <w:szCs w:val="32"/>
          <w:highlight w:val="none"/>
        </w:rPr>
        <w:fldChar w:fldCharType="begin"/>
      </w:r>
      <w:r>
        <w:rPr>
          <w:rFonts w:hint="eastAsia" w:asciiTheme="minorEastAsia" w:hAnsiTheme="minorEastAsia" w:eastAsiaTheme="minorEastAsia" w:cstheme="minorEastAsia"/>
          <w:b/>
          <w:bCs/>
          <w:caps/>
          <w:sz w:val="32"/>
          <w:szCs w:val="32"/>
          <w:highlight w:val="none"/>
        </w:rPr>
        <w:instrText xml:space="preserve"> HYPERLINK \l _Toc26065 </w:instrText>
      </w:r>
      <w:r>
        <w:rPr>
          <w:rFonts w:hint="eastAsia" w:asciiTheme="minorEastAsia" w:hAnsiTheme="minorEastAsia" w:eastAsiaTheme="minorEastAsia" w:cstheme="minorEastAsia"/>
          <w:b/>
          <w:bCs/>
          <w:caps/>
          <w:sz w:val="32"/>
          <w:szCs w:val="32"/>
          <w:highlight w:val="none"/>
        </w:rPr>
        <w:fldChar w:fldCharType="separate"/>
      </w:r>
      <w:r>
        <w:rPr>
          <w:rFonts w:hint="eastAsia" w:asciiTheme="minorEastAsia" w:hAnsiTheme="minorEastAsia" w:eastAsiaTheme="minorEastAsia" w:cstheme="minorEastAsia"/>
          <w:b/>
          <w:bCs/>
          <w:sz w:val="32"/>
          <w:szCs w:val="32"/>
          <w:highlight w:val="none"/>
        </w:rPr>
        <w:t>第一章 竞争性磋商公告</w:t>
      </w:r>
      <w:r>
        <w:rPr>
          <w:rFonts w:hint="eastAsia" w:asciiTheme="minorEastAsia" w:hAnsiTheme="minorEastAsia" w:eastAsiaTheme="minorEastAsia" w:cstheme="minorEastAsia"/>
          <w:b/>
          <w:bCs/>
          <w:sz w:val="32"/>
          <w:szCs w:val="32"/>
          <w:highlight w:val="none"/>
        </w:rPr>
        <w:tab/>
      </w:r>
      <w:r>
        <w:rPr>
          <w:rFonts w:hint="eastAsia" w:asciiTheme="minorEastAsia" w:hAnsiTheme="minorEastAsia" w:eastAsiaTheme="minorEastAsia" w:cstheme="minorEastAsia"/>
          <w:b/>
          <w:bCs/>
          <w:sz w:val="32"/>
          <w:szCs w:val="32"/>
          <w:highlight w:val="none"/>
        </w:rPr>
        <w:fldChar w:fldCharType="begin"/>
      </w:r>
      <w:r>
        <w:rPr>
          <w:rFonts w:hint="eastAsia" w:asciiTheme="minorEastAsia" w:hAnsiTheme="minorEastAsia" w:eastAsiaTheme="minorEastAsia" w:cstheme="minorEastAsia"/>
          <w:b/>
          <w:bCs/>
          <w:sz w:val="32"/>
          <w:szCs w:val="32"/>
          <w:highlight w:val="none"/>
        </w:rPr>
        <w:instrText xml:space="preserve"> PAGEREF _Toc26065 \h </w:instrText>
      </w:r>
      <w:r>
        <w:rPr>
          <w:rFonts w:hint="eastAsia" w:asciiTheme="minorEastAsia" w:hAnsiTheme="minorEastAsia" w:eastAsiaTheme="minorEastAsia" w:cstheme="minorEastAsia"/>
          <w:b/>
          <w:bCs/>
          <w:sz w:val="32"/>
          <w:szCs w:val="32"/>
          <w:highlight w:val="none"/>
        </w:rPr>
        <w:fldChar w:fldCharType="separate"/>
      </w:r>
      <w:r>
        <w:rPr>
          <w:rFonts w:hint="eastAsia" w:asciiTheme="minorEastAsia" w:hAnsiTheme="minorEastAsia" w:eastAsiaTheme="minorEastAsia" w:cstheme="minorEastAsia"/>
          <w:b/>
          <w:bCs/>
          <w:sz w:val="32"/>
          <w:szCs w:val="32"/>
          <w:highlight w:val="none"/>
        </w:rPr>
        <w:t>2</w:t>
      </w:r>
      <w:r>
        <w:rPr>
          <w:rFonts w:hint="eastAsia" w:asciiTheme="minorEastAsia" w:hAnsiTheme="minorEastAsia" w:eastAsiaTheme="minorEastAsia" w:cstheme="minorEastAsia"/>
          <w:b/>
          <w:bCs/>
          <w:sz w:val="32"/>
          <w:szCs w:val="32"/>
          <w:highlight w:val="none"/>
        </w:rPr>
        <w:fldChar w:fldCharType="end"/>
      </w:r>
      <w:r>
        <w:rPr>
          <w:rFonts w:hint="eastAsia" w:asciiTheme="minorEastAsia" w:hAnsiTheme="minorEastAsia" w:eastAsiaTheme="minorEastAsia" w:cstheme="minorEastAsia"/>
          <w:b/>
          <w:bCs/>
          <w:caps/>
          <w:sz w:val="32"/>
          <w:szCs w:val="32"/>
          <w:highlight w:val="none"/>
        </w:rPr>
        <w:fldChar w:fldCharType="end"/>
      </w:r>
    </w:p>
    <w:p w14:paraId="61EF05C5">
      <w:pPr>
        <w:pStyle w:val="24"/>
        <w:keepNext w:val="0"/>
        <w:keepLines w:val="0"/>
        <w:pageBreakBefore w:val="0"/>
        <w:widowControl w:val="0"/>
        <w:tabs>
          <w:tab w:val="right" w:leader="dot" w:pos="9072"/>
        </w:tabs>
        <w:kinsoku/>
        <w:wordWrap/>
        <w:overflowPunct/>
        <w:topLinePunct w:val="0"/>
        <w:autoSpaceDE/>
        <w:autoSpaceDN/>
        <w:bidi w:val="0"/>
        <w:adjustRightInd/>
        <w:snapToGrid/>
        <w:spacing w:line="480" w:lineRule="auto"/>
        <w:textAlignment w:val="auto"/>
        <w:rPr>
          <w:rFonts w:hint="eastAsia" w:asciiTheme="minorEastAsia" w:hAnsiTheme="minorEastAsia" w:eastAsiaTheme="minorEastAsia" w:cstheme="minorEastAsia"/>
          <w:b/>
          <w:bCs/>
          <w:sz w:val="32"/>
          <w:szCs w:val="32"/>
          <w:highlight w:val="none"/>
        </w:rPr>
      </w:pPr>
      <w:r>
        <w:rPr>
          <w:rFonts w:hint="eastAsia" w:asciiTheme="minorEastAsia" w:hAnsiTheme="minorEastAsia" w:eastAsiaTheme="minorEastAsia" w:cstheme="minorEastAsia"/>
          <w:b/>
          <w:bCs/>
          <w:caps/>
          <w:sz w:val="32"/>
          <w:szCs w:val="32"/>
          <w:highlight w:val="none"/>
        </w:rPr>
        <w:fldChar w:fldCharType="begin"/>
      </w:r>
      <w:r>
        <w:rPr>
          <w:rFonts w:hint="eastAsia" w:asciiTheme="minorEastAsia" w:hAnsiTheme="minorEastAsia" w:eastAsiaTheme="minorEastAsia" w:cstheme="minorEastAsia"/>
          <w:b/>
          <w:bCs/>
          <w:caps/>
          <w:sz w:val="32"/>
          <w:szCs w:val="32"/>
          <w:highlight w:val="none"/>
        </w:rPr>
        <w:instrText xml:space="preserve"> HYPERLINK \l _Toc32607 </w:instrText>
      </w:r>
      <w:r>
        <w:rPr>
          <w:rFonts w:hint="eastAsia" w:asciiTheme="minorEastAsia" w:hAnsiTheme="minorEastAsia" w:eastAsiaTheme="minorEastAsia" w:cstheme="minorEastAsia"/>
          <w:b/>
          <w:bCs/>
          <w:caps/>
          <w:sz w:val="32"/>
          <w:szCs w:val="32"/>
          <w:highlight w:val="none"/>
        </w:rPr>
        <w:fldChar w:fldCharType="separate"/>
      </w:r>
      <w:r>
        <w:rPr>
          <w:rFonts w:hint="eastAsia" w:asciiTheme="minorEastAsia" w:hAnsiTheme="minorEastAsia" w:eastAsiaTheme="minorEastAsia" w:cstheme="minorEastAsia"/>
          <w:b/>
          <w:bCs/>
          <w:sz w:val="32"/>
          <w:szCs w:val="32"/>
          <w:highlight w:val="none"/>
        </w:rPr>
        <w:t>第二章 供应商须知</w:t>
      </w:r>
      <w:r>
        <w:rPr>
          <w:rFonts w:hint="eastAsia" w:asciiTheme="minorEastAsia" w:hAnsiTheme="minorEastAsia" w:eastAsiaTheme="minorEastAsia" w:cstheme="minorEastAsia"/>
          <w:b/>
          <w:bCs/>
          <w:sz w:val="32"/>
          <w:szCs w:val="32"/>
          <w:highlight w:val="none"/>
        </w:rPr>
        <w:tab/>
      </w:r>
      <w:r>
        <w:rPr>
          <w:rFonts w:hint="eastAsia" w:asciiTheme="minorEastAsia" w:hAnsiTheme="minorEastAsia" w:eastAsiaTheme="minorEastAsia" w:cstheme="minorEastAsia"/>
          <w:b/>
          <w:bCs/>
          <w:sz w:val="32"/>
          <w:szCs w:val="32"/>
          <w:highlight w:val="none"/>
        </w:rPr>
        <w:fldChar w:fldCharType="begin"/>
      </w:r>
      <w:r>
        <w:rPr>
          <w:rFonts w:hint="eastAsia" w:asciiTheme="minorEastAsia" w:hAnsiTheme="minorEastAsia" w:eastAsiaTheme="minorEastAsia" w:cstheme="minorEastAsia"/>
          <w:b/>
          <w:bCs/>
          <w:sz w:val="32"/>
          <w:szCs w:val="32"/>
          <w:highlight w:val="none"/>
        </w:rPr>
        <w:instrText xml:space="preserve"> PAGEREF _Toc32607 \h </w:instrText>
      </w:r>
      <w:r>
        <w:rPr>
          <w:rFonts w:hint="eastAsia" w:asciiTheme="minorEastAsia" w:hAnsiTheme="minorEastAsia" w:eastAsiaTheme="minorEastAsia" w:cstheme="minorEastAsia"/>
          <w:b/>
          <w:bCs/>
          <w:sz w:val="32"/>
          <w:szCs w:val="32"/>
          <w:highlight w:val="none"/>
        </w:rPr>
        <w:fldChar w:fldCharType="separate"/>
      </w:r>
      <w:r>
        <w:rPr>
          <w:rFonts w:hint="eastAsia" w:asciiTheme="minorEastAsia" w:hAnsiTheme="minorEastAsia" w:eastAsiaTheme="minorEastAsia" w:cstheme="minorEastAsia"/>
          <w:b/>
          <w:bCs/>
          <w:sz w:val="32"/>
          <w:szCs w:val="32"/>
          <w:highlight w:val="none"/>
        </w:rPr>
        <w:t>7</w:t>
      </w:r>
      <w:r>
        <w:rPr>
          <w:rFonts w:hint="eastAsia" w:asciiTheme="minorEastAsia" w:hAnsiTheme="minorEastAsia" w:eastAsiaTheme="minorEastAsia" w:cstheme="minorEastAsia"/>
          <w:b/>
          <w:bCs/>
          <w:sz w:val="32"/>
          <w:szCs w:val="32"/>
          <w:highlight w:val="none"/>
        </w:rPr>
        <w:fldChar w:fldCharType="end"/>
      </w:r>
      <w:r>
        <w:rPr>
          <w:rFonts w:hint="eastAsia" w:asciiTheme="minorEastAsia" w:hAnsiTheme="minorEastAsia" w:eastAsiaTheme="minorEastAsia" w:cstheme="minorEastAsia"/>
          <w:b/>
          <w:bCs/>
          <w:caps/>
          <w:sz w:val="32"/>
          <w:szCs w:val="32"/>
          <w:highlight w:val="none"/>
        </w:rPr>
        <w:fldChar w:fldCharType="end"/>
      </w:r>
    </w:p>
    <w:p w14:paraId="6B41F23B">
      <w:pPr>
        <w:pStyle w:val="24"/>
        <w:keepNext w:val="0"/>
        <w:keepLines w:val="0"/>
        <w:pageBreakBefore w:val="0"/>
        <w:widowControl w:val="0"/>
        <w:tabs>
          <w:tab w:val="right" w:leader="dot" w:pos="9072"/>
        </w:tabs>
        <w:kinsoku/>
        <w:wordWrap/>
        <w:overflowPunct/>
        <w:topLinePunct w:val="0"/>
        <w:autoSpaceDE/>
        <w:autoSpaceDN/>
        <w:bidi w:val="0"/>
        <w:adjustRightInd/>
        <w:snapToGrid/>
        <w:spacing w:line="480" w:lineRule="auto"/>
        <w:textAlignment w:val="auto"/>
        <w:rPr>
          <w:rFonts w:hint="eastAsia" w:asciiTheme="minorEastAsia" w:hAnsiTheme="minorEastAsia" w:eastAsiaTheme="minorEastAsia" w:cstheme="minorEastAsia"/>
          <w:b/>
          <w:bCs/>
          <w:sz w:val="32"/>
          <w:szCs w:val="32"/>
          <w:highlight w:val="none"/>
        </w:rPr>
      </w:pPr>
      <w:r>
        <w:rPr>
          <w:rFonts w:hint="eastAsia" w:asciiTheme="minorEastAsia" w:hAnsiTheme="minorEastAsia" w:eastAsiaTheme="minorEastAsia" w:cstheme="minorEastAsia"/>
          <w:b/>
          <w:bCs/>
          <w:caps/>
          <w:sz w:val="32"/>
          <w:szCs w:val="32"/>
          <w:highlight w:val="none"/>
        </w:rPr>
        <w:fldChar w:fldCharType="begin"/>
      </w:r>
      <w:r>
        <w:rPr>
          <w:rFonts w:hint="eastAsia" w:asciiTheme="minorEastAsia" w:hAnsiTheme="minorEastAsia" w:eastAsiaTheme="minorEastAsia" w:cstheme="minorEastAsia"/>
          <w:b/>
          <w:bCs/>
          <w:caps/>
          <w:sz w:val="32"/>
          <w:szCs w:val="32"/>
          <w:highlight w:val="none"/>
        </w:rPr>
        <w:instrText xml:space="preserve"> HYPERLINK \l _Toc13362 </w:instrText>
      </w:r>
      <w:r>
        <w:rPr>
          <w:rFonts w:hint="eastAsia" w:asciiTheme="minorEastAsia" w:hAnsiTheme="minorEastAsia" w:eastAsiaTheme="minorEastAsia" w:cstheme="minorEastAsia"/>
          <w:b/>
          <w:bCs/>
          <w:caps/>
          <w:sz w:val="32"/>
          <w:szCs w:val="32"/>
          <w:highlight w:val="none"/>
        </w:rPr>
        <w:fldChar w:fldCharType="separate"/>
      </w:r>
      <w:r>
        <w:rPr>
          <w:rFonts w:hint="eastAsia" w:asciiTheme="minorEastAsia" w:hAnsiTheme="minorEastAsia" w:eastAsiaTheme="minorEastAsia" w:cstheme="minorEastAsia"/>
          <w:b/>
          <w:bCs/>
          <w:sz w:val="32"/>
          <w:szCs w:val="32"/>
          <w:highlight w:val="none"/>
        </w:rPr>
        <w:t>第三章 采购需求</w:t>
      </w:r>
      <w:r>
        <w:rPr>
          <w:rFonts w:hint="eastAsia" w:asciiTheme="minorEastAsia" w:hAnsiTheme="minorEastAsia" w:eastAsiaTheme="minorEastAsia" w:cstheme="minorEastAsia"/>
          <w:b/>
          <w:bCs/>
          <w:sz w:val="32"/>
          <w:szCs w:val="32"/>
          <w:highlight w:val="none"/>
        </w:rPr>
        <w:tab/>
      </w:r>
      <w:r>
        <w:rPr>
          <w:rFonts w:hint="eastAsia" w:asciiTheme="minorEastAsia" w:hAnsiTheme="minorEastAsia" w:eastAsiaTheme="minorEastAsia" w:cstheme="minorEastAsia"/>
          <w:b/>
          <w:bCs/>
          <w:sz w:val="32"/>
          <w:szCs w:val="32"/>
          <w:highlight w:val="none"/>
        </w:rPr>
        <w:fldChar w:fldCharType="begin"/>
      </w:r>
      <w:r>
        <w:rPr>
          <w:rFonts w:hint="eastAsia" w:asciiTheme="minorEastAsia" w:hAnsiTheme="minorEastAsia" w:eastAsiaTheme="minorEastAsia" w:cstheme="minorEastAsia"/>
          <w:b/>
          <w:bCs/>
          <w:sz w:val="32"/>
          <w:szCs w:val="32"/>
          <w:highlight w:val="none"/>
        </w:rPr>
        <w:instrText xml:space="preserve"> PAGEREF _Toc13362 \h </w:instrText>
      </w:r>
      <w:r>
        <w:rPr>
          <w:rFonts w:hint="eastAsia" w:asciiTheme="minorEastAsia" w:hAnsiTheme="minorEastAsia" w:eastAsiaTheme="minorEastAsia" w:cstheme="minorEastAsia"/>
          <w:b/>
          <w:bCs/>
          <w:sz w:val="32"/>
          <w:szCs w:val="32"/>
          <w:highlight w:val="none"/>
        </w:rPr>
        <w:fldChar w:fldCharType="separate"/>
      </w:r>
      <w:r>
        <w:rPr>
          <w:rFonts w:hint="eastAsia" w:asciiTheme="minorEastAsia" w:hAnsiTheme="minorEastAsia" w:eastAsiaTheme="minorEastAsia" w:cstheme="minorEastAsia"/>
          <w:b/>
          <w:bCs/>
          <w:sz w:val="32"/>
          <w:szCs w:val="32"/>
          <w:highlight w:val="none"/>
        </w:rPr>
        <w:t>29</w:t>
      </w:r>
      <w:r>
        <w:rPr>
          <w:rFonts w:hint="eastAsia" w:asciiTheme="minorEastAsia" w:hAnsiTheme="minorEastAsia" w:eastAsiaTheme="minorEastAsia" w:cstheme="minorEastAsia"/>
          <w:b/>
          <w:bCs/>
          <w:sz w:val="32"/>
          <w:szCs w:val="32"/>
          <w:highlight w:val="none"/>
        </w:rPr>
        <w:fldChar w:fldCharType="end"/>
      </w:r>
      <w:r>
        <w:rPr>
          <w:rFonts w:hint="eastAsia" w:asciiTheme="minorEastAsia" w:hAnsiTheme="minorEastAsia" w:eastAsiaTheme="minorEastAsia" w:cstheme="minorEastAsia"/>
          <w:b/>
          <w:bCs/>
          <w:caps/>
          <w:sz w:val="32"/>
          <w:szCs w:val="32"/>
          <w:highlight w:val="none"/>
        </w:rPr>
        <w:fldChar w:fldCharType="end"/>
      </w:r>
    </w:p>
    <w:p w14:paraId="386B3244">
      <w:pPr>
        <w:pStyle w:val="24"/>
        <w:keepNext w:val="0"/>
        <w:keepLines w:val="0"/>
        <w:pageBreakBefore w:val="0"/>
        <w:widowControl w:val="0"/>
        <w:tabs>
          <w:tab w:val="right" w:leader="dot" w:pos="9072"/>
        </w:tabs>
        <w:kinsoku/>
        <w:wordWrap/>
        <w:overflowPunct/>
        <w:topLinePunct w:val="0"/>
        <w:autoSpaceDE/>
        <w:autoSpaceDN/>
        <w:bidi w:val="0"/>
        <w:adjustRightInd/>
        <w:snapToGrid/>
        <w:spacing w:line="480" w:lineRule="auto"/>
        <w:textAlignment w:val="auto"/>
        <w:rPr>
          <w:rFonts w:hint="eastAsia" w:asciiTheme="minorEastAsia" w:hAnsiTheme="minorEastAsia" w:eastAsiaTheme="minorEastAsia" w:cstheme="minorEastAsia"/>
          <w:b/>
          <w:bCs/>
          <w:sz w:val="32"/>
          <w:szCs w:val="32"/>
          <w:highlight w:val="none"/>
        </w:rPr>
      </w:pPr>
      <w:r>
        <w:rPr>
          <w:rFonts w:hint="eastAsia" w:asciiTheme="minorEastAsia" w:hAnsiTheme="minorEastAsia" w:eastAsiaTheme="minorEastAsia" w:cstheme="minorEastAsia"/>
          <w:b/>
          <w:bCs/>
          <w:caps/>
          <w:sz w:val="32"/>
          <w:szCs w:val="32"/>
          <w:highlight w:val="none"/>
        </w:rPr>
        <w:fldChar w:fldCharType="begin"/>
      </w:r>
      <w:r>
        <w:rPr>
          <w:rFonts w:hint="eastAsia" w:asciiTheme="minorEastAsia" w:hAnsiTheme="minorEastAsia" w:eastAsiaTheme="minorEastAsia" w:cstheme="minorEastAsia"/>
          <w:b/>
          <w:bCs/>
          <w:caps/>
          <w:sz w:val="32"/>
          <w:szCs w:val="32"/>
          <w:highlight w:val="none"/>
        </w:rPr>
        <w:instrText xml:space="preserve"> HYPERLINK \l _Toc25718 </w:instrText>
      </w:r>
      <w:r>
        <w:rPr>
          <w:rFonts w:hint="eastAsia" w:asciiTheme="minorEastAsia" w:hAnsiTheme="minorEastAsia" w:eastAsiaTheme="minorEastAsia" w:cstheme="minorEastAsia"/>
          <w:b/>
          <w:bCs/>
          <w:caps/>
          <w:sz w:val="32"/>
          <w:szCs w:val="32"/>
          <w:highlight w:val="none"/>
        </w:rPr>
        <w:fldChar w:fldCharType="separate"/>
      </w:r>
      <w:r>
        <w:rPr>
          <w:rFonts w:hint="eastAsia" w:asciiTheme="minorEastAsia" w:hAnsiTheme="minorEastAsia" w:eastAsiaTheme="minorEastAsia" w:cstheme="minorEastAsia"/>
          <w:b/>
          <w:bCs/>
          <w:sz w:val="32"/>
          <w:szCs w:val="32"/>
          <w:highlight w:val="none"/>
        </w:rPr>
        <w:t>第四章 评审程序、评审方法和评审标准</w:t>
      </w:r>
      <w:r>
        <w:rPr>
          <w:rFonts w:hint="eastAsia" w:asciiTheme="minorEastAsia" w:hAnsiTheme="minorEastAsia" w:eastAsiaTheme="minorEastAsia" w:cstheme="minorEastAsia"/>
          <w:b/>
          <w:bCs/>
          <w:sz w:val="32"/>
          <w:szCs w:val="32"/>
          <w:highlight w:val="none"/>
        </w:rPr>
        <w:tab/>
      </w:r>
      <w:r>
        <w:rPr>
          <w:rFonts w:hint="eastAsia" w:asciiTheme="minorEastAsia" w:hAnsiTheme="minorEastAsia" w:eastAsiaTheme="minorEastAsia" w:cstheme="minorEastAsia"/>
          <w:b/>
          <w:bCs/>
          <w:sz w:val="32"/>
          <w:szCs w:val="32"/>
          <w:highlight w:val="none"/>
        </w:rPr>
        <w:fldChar w:fldCharType="begin"/>
      </w:r>
      <w:r>
        <w:rPr>
          <w:rFonts w:hint="eastAsia" w:asciiTheme="minorEastAsia" w:hAnsiTheme="minorEastAsia" w:eastAsiaTheme="minorEastAsia" w:cstheme="minorEastAsia"/>
          <w:b/>
          <w:bCs/>
          <w:sz w:val="32"/>
          <w:szCs w:val="32"/>
          <w:highlight w:val="none"/>
        </w:rPr>
        <w:instrText xml:space="preserve"> PAGEREF _Toc25718 \h </w:instrText>
      </w:r>
      <w:r>
        <w:rPr>
          <w:rFonts w:hint="eastAsia" w:asciiTheme="minorEastAsia" w:hAnsiTheme="minorEastAsia" w:eastAsiaTheme="minorEastAsia" w:cstheme="minorEastAsia"/>
          <w:b/>
          <w:bCs/>
          <w:sz w:val="32"/>
          <w:szCs w:val="32"/>
          <w:highlight w:val="none"/>
        </w:rPr>
        <w:fldChar w:fldCharType="separate"/>
      </w:r>
      <w:r>
        <w:rPr>
          <w:rFonts w:hint="eastAsia" w:asciiTheme="minorEastAsia" w:hAnsiTheme="minorEastAsia" w:eastAsiaTheme="minorEastAsia" w:cstheme="minorEastAsia"/>
          <w:b/>
          <w:bCs/>
          <w:sz w:val="32"/>
          <w:szCs w:val="32"/>
          <w:highlight w:val="none"/>
        </w:rPr>
        <w:t>54</w:t>
      </w:r>
      <w:r>
        <w:rPr>
          <w:rFonts w:hint="eastAsia" w:asciiTheme="minorEastAsia" w:hAnsiTheme="minorEastAsia" w:eastAsiaTheme="minorEastAsia" w:cstheme="minorEastAsia"/>
          <w:b/>
          <w:bCs/>
          <w:sz w:val="32"/>
          <w:szCs w:val="32"/>
          <w:highlight w:val="none"/>
        </w:rPr>
        <w:fldChar w:fldCharType="end"/>
      </w:r>
      <w:r>
        <w:rPr>
          <w:rFonts w:hint="eastAsia" w:asciiTheme="minorEastAsia" w:hAnsiTheme="minorEastAsia" w:eastAsiaTheme="minorEastAsia" w:cstheme="minorEastAsia"/>
          <w:b/>
          <w:bCs/>
          <w:caps/>
          <w:sz w:val="32"/>
          <w:szCs w:val="32"/>
          <w:highlight w:val="none"/>
        </w:rPr>
        <w:fldChar w:fldCharType="end"/>
      </w:r>
    </w:p>
    <w:p w14:paraId="3EA94814">
      <w:pPr>
        <w:pStyle w:val="24"/>
        <w:keepNext w:val="0"/>
        <w:keepLines w:val="0"/>
        <w:pageBreakBefore w:val="0"/>
        <w:widowControl w:val="0"/>
        <w:tabs>
          <w:tab w:val="right" w:leader="dot" w:pos="9072"/>
        </w:tabs>
        <w:kinsoku/>
        <w:wordWrap/>
        <w:overflowPunct/>
        <w:topLinePunct w:val="0"/>
        <w:autoSpaceDE/>
        <w:autoSpaceDN/>
        <w:bidi w:val="0"/>
        <w:adjustRightInd/>
        <w:snapToGrid/>
        <w:spacing w:line="480" w:lineRule="auto"/>
        <w:textAlignment w:val="auto"/>
        <w:rPr>
          <w:rFonts w:hint="eastAsia" w:asciiTheme="minorEastAsia" w:hAnsiTheme="minorEastAsia" w:eastAsiaTheme="minorEastAsia" w:cstheme="minorEastAsia"/>
          <w:b/>
          <w:bCs/>
          <w:sz w:val="32"/>
          <w:szCs w:val="32"/>
          <w:highlight w:val="none"/>
        </w:rPr>
      </w:pPr>
      <w:r>
        <w:rPr>
          <w:rFonts w:hint="eastAsia" w:asciiTheme="minorEastAsia" w:hAnsiTheme="minorEastAsia" w:eastAsiaTheme="minorEastAsia" w:cstheme="minorEastAsia"/>
          <w:b/>
          <w:bCs/>
          <w:caps/>
          <w:sz w:val="32"/>
          <w:szCs w:val="32"/>
          <w:highlight w:val="none"/>
        </w:rPr>
        <w:fldChar w:fldCharType="begin"/>
      </w:r>
      <w:r>
        <w:rPr>
          <w:rFonts w:hint="eastAsia" w:asciiTheme="minorEastAsia" w:hAnsiTheme="minorEastAsia" w:eastAsiaTheme="minorEastAsia" w:cstheme="minorEastAsia"/>
          <w:b/>
          <w:bCs/>
          <w:caps/>
          <w:sz w:val="32"/>
          <w:szCs w:val="32"/>
          <w:highlight w:val="none"/>
        </w:rPr>
        <w:instrText xml:space="preserve"> HYPERLINK \l _Toc11741 </w:instrText>
      </w:r>
      <w:r>
        <w:rPr>
          <w:rFonts w:hint="eastAsia" w:asciiTheme="minorEastAsia" w:hAnsiTheme="minorEastAsia" w:eastAsiaTheme="minorEastAsia" w:cstheme="minorEastAsia"/>
          <w:b/>
          <w:bCs/>
          <w:caps/>
          <w:sz w:val="32"/>
          <w:szCs w:val="32"/>
          <w:highlight w:val="none"/>
        </w:rPr>
        <w:fldChar w:fldCharType="separate"/>
      </w:r>
      <w:r>
        <w:rPr>
          <w:rFonts w:hint="eastAsia" w:asciiTheme="minorEastAsia" w:hAnsiTheme="minorEastAsia" w:eastAsiaTheme="minorEastAsia" w:cstheme="minorEastAsia"/>
          <w:b/>
          <w:bCs/>
          <w:sz w:val="32"/>
          <w:szCs w:val="32"/>
          <w:highlight w:val="none"/>
        </w:rPr>
        <w:t>第五章 响应文件格式</w:t>
      </w:r>
      <w:r>
        <w:rPr>
          <w:rFonts w:hint="eastAsia" w:asciiTheme="minorEastAsia" w:hAnsiTheme="minorEastAsia" w:eastAsiaTheme="minorEastAsia" w:cstheme="minorEastAsia"/>
          <w:b/>
          <w:bCs/>
          <w:sz w:val="32"/>
          <w:szCs w:val="32"/>
          <w:highlight w:val="none"/>
        </w:rPr>
        <w:tab/>
      </w:r>
      <w:r>
        <w:rPr>
          <w:rFonts w:hint="eastAsia" w:asciiTheme="minorEastAsia" w:hAnsiTheme="minorEastAsia" w:eastAsiaTheme="minorEastAsia" w:cstheme="minorEastAsia"/>
          <w:b/>
          <w:bCs/>
          <w:sz w:val="32"/>
          <w:szCs w:val="32"/>
          <w:highlight w:val="none"/>
        </w:rPr>
        <w:fldChar w:fldCharType="begin"/>
      </w:r>
      <w:r>
        <w:rPr>
          <w:rFonts w:hint="eastAsia" w:asciiTheme="minorEastAsia" w:hAnsiTheme="minorEastAsia" w:eastAsiaTheme="minorEastAsia" w:cstheme="minorEastAsia"/>
          <w:b/>
          <w:bCs/>
          <w:sz w:val="32"/>
          <w:szCs w:val="32"/>
          <w:highlight w:val="none"/>
        </w:rPr>
        <w:instrText xml:space="preserve"> PAGEREF _Toc11741 \h </w:instrText>
      </w:r>
      <w:r>
        <w:rPr>
          <w:rFonts w:hint="eastAsia" w:asciiTheme="minorEastAsia" w:hAnsiTheme="minorEastAsia" w:eastAsiaTheme="minorEastAsia" w:cstheme="minorEastAsia"/>
          <w:b/>
          <w:bCs/>
          <w:sz w:val="32"/>
          <w:szCs w:val="32"/>
          <w:highlight w:val="none"/>
        </w:rPr>
        <w:fldChar w:fldCharType="separate"/>
      </w:r>
      <w:r>
        <w:rPr>
          <w:rFonts w:hint="eastAsia" w:asciiTheme="minorEastAsia" w:hAnsiTheme="minorEastAsia" w:eastAsiaTheme="minorEastAsia" w:cstheme="minorEastAsia"/>
          <w:b/>
          <w:bCs/>
          <w:sz w:val="32"/>
          <w:szCs w:val="32"/>
          <w:highlight w:val="none"/>
        </w:rPr>
        <w:t>70</w:t>
      </w:r>
      <w:r>
        <w:rPr>
          <w:rFonts w:hint="eastAsia" w:asciiTheme="minorEastAsia" w:hAnsiTheme="minorEastAsia" w:eastAsiaTheme="minorEastAsia" w:cstheme="minorEastAsia"/>
          <w:b/>
          <w:bCs/>
          <w:sz w:val="32"/>
          <w:szCs w:val="32"/>
          <w:highlight w:val="none"/>
        </w:rPr>
        <w:fldChar w:fldCharType="end"/>
      </w:r>
      <w:r>
        <w:rPr>
          <w:rFonts w:hint="eastAsia" w:asciiTheme="minorEastAsia" w:hAnsiTheme="minorEastAsia" w:eastAsiaTheme="minorEastAsia" w:cstheme="minorEastAsia"/>
          <w:b/>
          <w:bCs/>
          <w:caps/>
          <w:sz w:val="32"/>
          <w:szCs w:val="32"/>
          <w:highlight w:val="none"/>
        </w:rPr>
        <w:fldChar w:fldCharType="end"/>
      </w:r>
    </w:p>
    <w:p w14:paraId="45B5614D">
      <w:pPr>
        <w:pStyle w:val="24"/>
        <w:keepNext w:val="0"/>
        <w:keepLines w:val="0"/>
        <w:pageBreakBefore w:val="0"/>
        <w:widowControl w:val="0"/>
        <w:tabs>
          <w:tab w:val="right" w:leader="dot" w:pos="9072"/>
        </w:tabs>
        <w:kinsoku/>
        <w:wordWrap/>
        <w:overflowPunct/>
        <w:topLinePunct w:val="0"/>
        <w:autoSpaceDE/>
        <w:autoSpaceDN/>
        <w:bidi w:val="0"/>
        <w:adjustRightInd/>
        <w:snapToGrid/>
        <w:spacing w:line="480" w:lineRule="auto"/>
        <w:textAlignment w:val="auto"/>
        <w:rPr>
          <w:rFonts w:hint="eastAsia" w:asciiTheme="minorEastAsia" w:hAnsiTheme="minorEastAsia" w:eastAsiaTheme="minorEastAsia" w:cstheme="minorEastAsia"/>
          <w:b/>
          <w:bCs/>
          <w:sz w:val="32"/>
          <w:szCs w:val="32"/>
          <w:highlight w:val="none"/>
        </w:rPr>
      </w:pPr>
      <w:r>
        <w:rPr>
          <w:rFonts w:hint="eastAsia" w:asciiTheme="minorEastAsia" w:hAnsiTheme="minorEastAsia" w:eastAsiaTheme="minorEastAsia" w:cstheme="minorEastAsia"/>
          <w:b/>
          <w:bCs/>
          <w:caps/>
          <w:sz w:val="32"/>
          <w:szCs w:val="32"/>
          <w:highlight w:val="none"/>
        </w:rPr>
        <w:fldChar w:fldCharType="begin"/>
      </w:r>
      <w:r>
        <w:rPr>
          <w:rFonts w:hint="eastAsia" w:asciiTheme="minorEastAsia" w:hAnsiTheme="minorEastAsia" w:eastAsiaTheme="minorEastAsia" w:cstheme="minorEastAsia"/>
          <w:b/>
          <w:bCs/>
          <w:caps/>
          <w:sz w:val="32"/>
          <w:szCs w:val="32"/>
          <w:highlight w:val="none"/>
        </w:rPr>
        <w:instrText xml:space="preserve"> HYPERLINK \l _Toc12223 </w:instrText>
      </w:r>
      <w:r>
        <w:rPr>
          <w:rFonts w:hint="eastAsia" w:asciiTheme="minorEastAsia" w:hAnsiTheme="minorEastAsia" w:eastAsiaTheme="minorEastAsia" w:cstheme="minorEastAsia"/>
          <w:b/>
          <w:bCs/>
          <w:caps/>
          <w:sz w:val="32"/>
          <w:szCs w:val="32"/>
          <w:highlight w:val="none"/>
        </w:rPr>
        <w:fldChar w:fldCharType="separate"/>
      </w:r>
      <w:r>
        <w:rPr>
          <w:rFonts w:hint="eastAsia" w:asciiTheme="minorEastAsia" w:hAnsiTheme="minorEastAsia" w:eastAsiaTheme="minorEastAsia" w:cstheme="minorEastAsia"/>
          <w:b/>
          <w:bCs/>
          <w:sz w:val="32"/>
          <w:szCs w:val="32"/>
          <w:highlight w:val="none"/>
        </w:rPr>
        <w:t>第六章 拟签订的合同文本</w:t>
      </w:r>
      <w:r>
        <w:rPr>
          <w:rFonts w:hint="eastAsia" w:asciiTheme="minorEastAsia" w:hAnsiTheme="minorEastAsia" w:eastAsiaTheme="minorEastAsia" w:cstheme="minorEastAsia"/>
          <w:b/>
          <w:bCs/>
          <w:sz w:val="32"/>
          <w:szCs w:val="32"/>
          <w:highlight w:val="none"/>
        </w:rPr>
        <w:tab/>
      </w:r>
      <w:r>
        <w:rPr>
          <w:rFonts w:hint="eastAsia" w:asciiTheme="minorEastAsia" w:hAnsiTheme="minorEastAsia" w:eastAsiaTheme="minorEastAsia" w:cstheme="minorEastAsia"/>
          <w:b/>
          <w:bCs/>
          <w:sz w:val="32"/>
          <w:szCs w:val="32"/>
          <w:highlight w:val="none"/>
        </w:rPr>
        <w:fldChar w:fldCharType="begin"/>
      </w:r>
      <w:r>
        <w:rPr>
          <w:rFonts w:hint="eastAsia" w:asciiTheme="minorEastAsia" w:hAnsiTheme="minorEastAsia" w:eastAsiaTheme="minorEastAsia" w:cstheme="minorEastAsia"/>
          <w:b/>
          <w:bCs/>
          <w:sz w:val="32"/>
          <w:szCs w:val="32"/>
          <w:highlight w:val="none"/>
        </w:rPr>
        <w:instrText xml:space="preserve"> PAGEREF _Toc12223 \h </w:instrText>
      </w:r>
      <w:r>
        <w:rPr>
          <w:rFonts w:hint="eastAsia" w:asciiTheme="minorEastAsia" w:hAnsiTheme="minorEastAsia" w:eastAsiaTheme="minorEastAsia" w:cstheme="minorEastAsia"/>
          <w:b/>
          <w:bCs/>
          <w:sz w:val="32"/>
          <w:szCs w:val="32"/>
          <w:highlight w:val="none"/>
        </w:rPr>
        <w:fldChar w:fldCharType="separate"/>
      </w:r>
      <w:r>
        <w:rPr>
          <w:rFonts w:hint="eastAsia" w:asciiTheme="minorEastAsia" w:hAnsiTheme="minorEastAsia" w:eastAsiaTheme="minorEastAsia" w:cstheme="minorEastAsia"/>
          <w:b/>
          <w:bCs/>
          <w:sz w:val="32"/>
          <w:szCs w:val="32"/>
          <w:highlight w:val="none"/>
        </w:rPr>
        <w:t>99</w:t>
      </w:r>
      <w:r>
        <w:rPr>
          <w:rFonts w:hint="eastAsia" w:asciiTheme="minorEastAsia" w:hAnsiTheme="minorEastAsia" w:eastAsiaTheme="minorEastAsia" w:cstheme="minorEastAsia"/>
          <w:b/>
          <w:bCs/>
          <w:sz w:val="32"/>
          <w:szCs w:val="32"/>
          <w:highlight w:val="none"/>
        </w:rPr>
        <w:fldChar w:fldCharType="end"/>
      </w:r>
      <w:r>
        <w:rPr>
          <w:rFonts w:hint="eastAsia" w:asciiTheme="minorEastAsia" w:hAnsiTheme="minorEastAsia" w:eastAsiaTheme="minorEastAsia" w:cstheme="minorEastAsia"/>
          <w:b/>
          <w:bCs/>
          <w:caps/>
          <w:sz w:val="32"/>
          <w:szCs w:val="32"/>
          <w:highlight w:val="none"/>
        </w:rPr>
        <w:fldChar w:fldCharType="end"/>
      </w:r>
    </w:p>
    <w:p w14:paraId="24F9EF8A">
      <w:pPr>
        <w:pStyle w:val="24"/>
        <w:keepNext w:val="0"/>
        <w:keepLines w:val="0"/>
        <w:pageBreakBefore w:val="0"/>
        <w:widowControl w:val="0"/>
        <w:tabs>
          <w:tab w:val="right" w:leader="dot" w:pos="8730"/>
        </w:tabs>
        <w:kinsoku/>
        <w:wordWrap/>
        <w:overflowPunct/>
        <w:topLinePunct w:val="0"/>
        <w:autoSpaceDE/>
        <w:autoSpaceDN/>
        <w:bidi w:val="0"/>
        <w:adjustRightInd/>
        <w:snapToGrid/>
        <w:spacing w:before="120" w:after="120" w:line="480" w:lineRule="auto"/>
        <w:ind w:firstLine="321" w:firstLineChars="100"/>
        <w:jc w:val="left"/>
        <w:textAlignment w:val="auto"/>
        <w:rPr>
          <w:rFonts w:hint="eastAsia" w:asciiTheme="minorEastAsia" w:hAnsiTheme="minorEastAsia" w:eastAsiaTheme="minorEastAsia" w:cstheme="minorEastAsia"/>
          <w:b/>
          <w:bCs/>
          <w:sz w:val="24"/>
          <w:highlight w:val="none"/>
        </w:rPr>
      </w:pPr>
      <w:r>
        <w:rPr>
          <w:rFonts w:hint="eastAsia" w:asciiTheme="minorEastAsia" w:hAnsiTheme="minorEastAsia" w:eastAsiaTheme="minorEastAsia" w:cstheme="minorEastAsia"/>
          <w:b/>
          <w:bCs/>
          <w:caps/>
          <w:sz w:val="32"/>
          <w:szCs w:val="32"/>
          <w:highlight w:val="none"/>
        </w:rPr>
        <w:fldChar w:fldCharType="end"/>
      </w:r>
    </w:p>
    <w:p w14:paraId="3CC95886">
      <w:pPr>
        <w:spacing w:line="400" w:lineRule="exact"/>
        <w:jc w:val="left"/>
        <w:rPr>
          <w:rFonts w:ascii="宋体" w:hAnsi="宋体" w:cs="宋体"/>
          <w:b/>
          <w:sz w:val="32"/>
          <w:szCs w:val="32"/>
          <w:highlight w:val="none"/>
        </w:rPr>
      </w:pPr>
    </w:p>
    <w:p w14:paraId="1355E027">
      <w:pPr>
        <w:spacing w:line="400" w:lineRule="exact"/>
        <w:jc w:val="center"/>
        <w:rPr>
          <w:rFonts w:ascii="宋体" w:hAnsi="宋体" w:cs="宋体"/>
          <w:b/>
          <w:sz w:val="32"/>
          <w:szCs w:val="32"/>
          <w:highlight w:val="none"/>
        </w:rPr>
      </w:pPr>
    </w:p>
    <w:p w14:paraId="6084F8FB">
      <w:pPr>
        <w:spacing w:line="400" w:lineRule="exact"/>
        <w:jc w:val="center"/>
        <w:rPr>
          <w:rFonts w:ascii="宋体" w:hAnsi="宋体" w:cs="宋体"/>
          <w:b/>
          <w:sz w:val="32"/>
          <w:szCs w:val="32"/>
          <w:highlight w:val="none"/>
        </w:rPr>
      </w:pPr>
    </w:p>
    <w:p w14:paraId="68509397">
      <w:pPr>
        <w:spacing w:line="400" w:lineRule="exact"/>
        <w:jc w:val="center"/>
        <w:rPr>
          <w:rFonts w:ascii="宋体" w:hAnsi="宋体" w:cs="宋体"/>
          <w:b/>
          <w:sz w:val="32"/>
          <w:szCs w:val="32"/>
          <w:highlight w:val="none"/>
        </w:rPr>
      </w:pPr>
    </w:p>
    <w:p w14:paraId="763B02F6">
      <w:pPr>
        <w:spacing w:line="400" w:lineRule="exact"/>
        <w:jc w:val="center"/>
        <w:rPr>
          <w:rFonts w:ascii="宋体" w:hAnsi="宋体" w:cs="宋体"/>
          <w:b/>
          <w:sz w:val="32"/>
          <w:szCs w:val="32"/>
          <w:highlight w:val="none"/>
        </w:rPr>
      </w:pPr>
    </w:p>
    <w:p w14:paraId="50ED81EA">
      <w:pPr>
        <w:spacing w:line="400" w:lineRule="exact"/>
        <w:rPr>
          <w:rFonts w:ascii="宋体" w:hAnsi="宋体" w:cs="宋体"/>
          <w:b/>
          <w:sz w:val="32"/>
          <w:szCs w:val="32"/>
          <w:highlight w:val="none"/>
        </w:rPr>
        <w:sectPr>
          <w:headerReference r:id="rId4" w:type="first"/>
          <w:footerReference r:id="rId6" w:type="first"/>
          <w:headerReference r:id="rId3" w:type="default"/>
          <w:footerReference r:id="rId5" w:type="default"/>
          <w:pgSz w:w="11906" w:h="16838"/>
          <w:pgMar w:top="1417" w:right="1417" w:bottom="1417" w:left="1417" w:header="851" w:footer="567" w:gutter="0"/>
          <w:pgNumType w:start="0"/>
          <w:cols w:space="720" w:num="1"/>
          <w:titlePg/>
          <w:docGrid w:type="lines" w:linePitch="312" w:charSpace="0"/>
        </w:sectPr>
      </w:pPr>
    </w:p>
    <w:p w14:paraId="429DD33C">
      <w:pPr>
        <w:pStyle w:val="2"/>
        <w:spacing w:line="360" w:lineRule="auto"/>
        <w:jc w:val="center"/>
        <w:rPr>
          <w:rFonts w:ascii="宋体" w:hAnsi="宋体" w:cs="宋体"/>
          <w:highlight w:val="none"/>
        </w:rPr>
      </w:pPr>
      <w:bookmarkStart w:id="0" w:name="_Toc26065"/>
      <w:r>
        <w:rPr>
          <w:rFonts w:hint="eastAsia" w:ascii="宋体" w:hAnsi="宋体" w:cs="宋体"/>
          <w:highlight w:val="none"/>
        </w:rPr>
        <w:t>第一章 竞争性磋商公告</w:t>
      </w:r>
      <w:bookmarkEnd w:id="0"/>
    </w:p>
    <w:p w14:paraId="53670EAD">
      <w:pPr>
        <w:pBdr>
          <w:top w:val="single" w:color="auto" w:sz="4" w:space="1"/>
          <w:left w:val="single" w:color="auto" w:sz="4" w:space="4"/>
          <w:bottom w:val="single" w:color="auto" w:sz="4" w:space="1"/>
          <w:right w:val="single" w:color="auto" w:sz="4" w:space="4"/>
        </w:pBdr>
        <w:spacing w:line="360" w:lineRule="auto"/>
        <w:rPr>
          <w:rFonts w:hint="eastAsia" w:ascii="宋体" w:hAnsi="宋体" w:cs="宋体"/>
          <w:b/>
          <w:bCs/>
          <w:sz w:val="21"/>
          <w:szCs w:val="21"/>
          <w:highlight w:val="none"/>
        </w:rPr>
      </w:pPr>
      <w:bookmarkStart w:id="1" w:name="_Hlk37430271"/>
      <w:r>
        <w:rPr>
          <w:rFonts w:hint="eastAsia" w:ascii="宋体" w:hAnsi="宋体" w:cs="宋体"/>
          <w:b/>
          <w:bCs/>
          <w:sz w:val="21"/>
          <w:szCs w:val="21"/>
          <w:highlight w:val="none"/>
        </w:rPr>
        <w:t>项目概况：</w:t>
      </w:r>
    </w:p>
    <w:p w14:paraId="33AAF3EA">
      <w:pPr>
        <w:pBdr>
          <w:top w:val="single" w:color="auto" w:sz="4" w:space="1"/>
          <w:left w:val="single" w:color="auto" w:sz="4" w:space="4"/>
          <w:bottom w:val="single" w:color="auto" w:sz="4" w:space="1"/>
          <w:right w:val="single" w:color="auto" w:sz="4" w:space="4"/>
        </w:pBd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 xml:space="preserve"> </w:t>
      </w:r>
      <w:r>
        <w:rPr>
          <w:rFonts w:hint="eastAsia" w:ascii="宋体" w:hAnsi="宋体" w:cs="宋体"/>
          <w:sz w:val="21"/>
          <w:szCs w:val="21"/>
          <w:highlight w:val="none"/>
          <w:u w:val="single"/>
          <w:lang w:eastAsia="zh-CN"/>
        </w:rPr>
        <w:t>资源县公安局天网工程基础运行维护服务项目</w:t>
      </w:r>
      <w:r>
        <w:rPr>
          <w:rFonts w:hint="eastAsia" w:ascii="宋体" w:hAnsi="宋体" w:cs="宋体"/>
          <w:sz w:val="21"/>
          <w:szCs w:val="21"/>
          <w:highlight w:val="none"/>
        </w:rPr>
        <w:t>项目的潜在供应商应在广西政府采购云平台（https://www.gcy.zfcg.gxzf.gov.cn/）获取</w:t>
      </w:r>
      <w:r>
        <w:rPr>
          <w:rFonts w:hint="eastAsia" w:ascii="宋体" w:hAnsi="宋体" w:eastAsia="宋体" w:cs="宋体"/>
          <w:sz w:val="21"/>
          <w:szCs w:val="21"/>
          <w:highlight w:val="none"/>
          <w:lang w:val="en-US" w:eastAsia="zh-CN"/>
        </w:rPr>
        <w:t>采购</w:t>
      </w:r>
      <w:r>
        <w:rPr>
          <w:rFonts w:hint="eastAsia" w:ascii="宋体" w:hAnsi="宋体" w:cs="宋体"/>
          <w:sz w:val="21"/>
          <w:szCs w:val="21"/>
          <w:highlight w:val="none"/>
        </w:rPr>
        <w:t>文件，并于</w:t>
      </w:r>
      <w:r>
        <w:rPr>
          <w:rFonts w:hint="eastAsia" w:ascii="宋体" w:hAnsi="宋体" w:cs="宋体"/>
          <w:sz w:val="21"/>
          <w:szCs w:val="21"/>
          <w:highlight w:val="none"/>
          <w:lang w:val="en-US" w:eastAsia="zh-CN"/>
        </w:rPr>
        <w:t>2026</w:t>
      </w:r>
      <w:r>
        <w:rPr>
          <w:rFonts w:hint="eastAsia" w:ascii="宋体" w:hAnsi="宋体" w:cs="宋体"/>
          <w:sz w:val="21"/>
          <w:szCs w:val="21"/>
          <w:highlight w:val="none"/>
        </w:rPr>
        <w:t>年</w:t>
      </w:r>
      <w:r>
        <w:rPr>
          <w:rFonts w:hint="eastAsia" w:ascii="宋体" w:hAnsi="宋体" w:cs="宋体"/>
          <w:sz w:val="21"/>
          <w:szCs w:val="21"/>
          <w:highlight w:val="none"/>
          <w:lang w:val="en-US" w:eastAsia="zh-CN"/>
        </w:rPr>
        <w:t>6</w:t>
      </w:r>
      <w:r>
        <w:rPr>
          <w:rFonts w:hint="eastAsia" w:ascii="宋体" w:hAnsi="宋体" w:cs="宋体"/>
          <w:sz w:val="21"/>
          <w:szCs w:val="21"/>
          <w:highlight w:val="none"/>
        </w:rPr>
        <w:t>月</w:t>
      </w:r>
      <w:r>
        <w:rPr>
          <w:rFonts w:hint="eastAsia" w:ascii="宋体" w:hAnsi="宋体" w:cs="宋体"/>
          <w:sz w:val="21"/>
          <w:szCs w:val="21"/>
          <w:highlight w:val="none"/>
          <w:lang w:val="en-US" w:eastAsia="zh-CN"/>
        </w:rPr>
        <w:t>15</w:t>
      </w:r>
      <w:r>
        <w:rPr>
          <w:rFonts w:hint="eastAsia" w:ascii="宋体" w:hAnsi="宋体" w:cs="宋体"/>
          <w:sz w:val="21"/>
          <w:szCs w:val="21"/>
          <w:highlight w:val="none"/>
        </w:rPr>
        <w:t>日</w:t>
      </w:r>
      <w:r>
        <w:rPr>
          <w:rFonts w:hint="eastAsia" w:ascii="宋体" w:hAnsi="宋体" w:cs="宋体"/>
          <w:sz w:val="21"/>
          <w:szCs w:val="21"/>
          <w:highlight w:val="none"/>
          <w:lang w:val="en-US" w:eastAsia="zh-CN"/>
        </w:rPr>
        <w:t>09</w:t>
      </w:r>
      <w:r>
        <w:rPr>
          <w:rFonts w:hint="eastAsia" w:ascii="宋体" w:hAnsi="宋体" w:cs="宋体"/>
          <w:sz w:val="21"/>
          <w:szCs w:val="21"/>
          <w:highlight w:val="none"/>
        </w:rPr>
        <w:t>时</w:t>
      </w:r>
      <w:r>
        <w:rPr>
          <w:rFonts w:hint="eastAsia" w:ascii="宋体" w:hAnsi="宋体" w:cs="宋体"/>
          <w:sz w:val="21"/>
          <w:szCs w:val="21"/>
          <w:highlight w:val="none"/>
          <w:lang w:val="en-US" w:eastAsia="zh-CN"/>
        </w:rPr>
        <w:t>30</w:t>
      </w:r>
      <w:r>
        <w:rPr>
          <w:rFonts w:hint="eastAsia" w:ascii="宋体" w:hAnsi="宋体" w:cs="宋体"/>
          <w:sz w:val="21"/>
          <w:szCs w:val="21"/>
          <w:highlight w:val="none"/>
        </w:rPr>
        <w:t>分</w:t>
      </w:r>
      <w:r>
        <w:rPr>
          <w:rFonts w:hint="eastAsia" w:ascii="宋体" w:hAnsi="宋体" w:cs="宋体"/>
          <w:bCs/>
          <w:sz w:val="21"/>
          <w:szCs w:val="21"/>
          <w:highlight w:val="none"/>
        </w:rPr>
        <w:t>（北京时间）前提交响应文件</w:t>
      </w:r>
      <w:r>
        <w:rPr>
          <w:rFonts w:hint="eastAsia" w:ascii="宋体" w:hAnsi="宋体" w:cs="宋体"/>
          <w:sz w:val="21"/>
          <w:szCs w:val="21"/>
          <w:highlight w:val="none"/>
        </w:rPr>
        <w:t>。</w:t>
      </w:r>
    </w:p>
    <w:p w14:paraId="2C7DFD2B">
      <w:pPr>
        <w:widowControl/>
        <w:spacing w:line="360" w:lineRule="auto"/>
        <w:ind w:firstLine="422" w:firstLineChars="200"/>
        <w:rPr>
          <w:rFonts w:hint="eastAsia" w:ascii="宋体" w:hAnsi="宋体" w:cs="宋体"/>
          <w:b/>
          <w:sz w:val="21"/>
          <w:szCs w:val="21"/>
          <w:highlight w:val="none"/>
        </w:rPr>
      </w:pPr>
      <w:bookmarkStart w:id="2" w:name="_Hlk37429674"/>
      <w:bookmarkStart w:id="3" w:name="_Toc28359018"/>
      <w:bookmarkStart w:id="4" w:name="_Toc35393636"/>
      <w:bookmarkStart w:id="5" w:name="_Toc35393805"/>
      <w:bookmarkStart w:id="6" w:name="_Toc44229885"/>
      <w:bookmarkStart w:id="7" w:name="_Toc28359095"/>
      <w:r>
        <w:rPr>
          <w:rFonts w:hint="eastAsia" w:ascii="宋体" w:hAnsi="宋体" w:cs="宋体"/>
          <w:b/>
          <w:sz w:val="21"/>
          <w:szCs w:val="21"/>
          <w:highlight w:val="none"/>
        </w:rPr>
        <w:t>一、项目基本情况</w:t>
      </w:r>
    </w:p>
    <w:p w14:paraId="5340EBDC">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项目名称：</w:t>
      </w:r>
      <w:r>
        <w:rPr>
          <w:rFonts w:hint="eastAsia" w:ascii="宋体" w:hAnsi="宋体" w:cs="宋体"/>
          <w:sz w:val="21"/>
          <w:szCs w:val="21"/>
          <w:highlight w:val="none"/>
          <w:u w:val="single"/>
          <w:lang w:eastAsia="zh-CN"/>
        </w:rPr>
        <w:t>资源县公安局天网工程基础运行维护服务项目</w:t>
      </w:r>
    </w:p>
    <w:p w14:paraId="026216C7">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项目编号：</w:t>
      </w:r>
      <w:r>
        <w:rPr>
          <w:rFonts w:hint="eastAsia" w:ascii="宋体" w:hAnsi="宋体" w:cs="宋体"/>
          <w:sz w:val="21"/>
          <w:szCs w:val="21"/>
          <w:highlight w:val="none"/>
          <w:lang w:eastAsia="zh-CN"/>
        </w:rPr>
        <w:t>GLZC2026-C3-290042-GXCJ</w:t>
      </w:r>
    </w:p>
    <w:p w14:paraId="56575928">
      <w:pPr>
        <w:keepNext w:val="0"/>
        <w:keepLines w:val="0"/>
        <w:pageBreakBefore w:val="0"/>
        <w:kinsoku/>
        <w:wordWrap/>
        <w:overflowPunct/>
        <w:topLinePunct w:val="0"/>
        <w:autoSpaceDE/>
        <w:autoSpaceDN/>
        <w:bidi w:val="0"/>
        <w:adjustRightInd/>
        <w:spacing w:before="10" w:after="10"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采购方式：竞争性磋商</w:t>
      </w:r>
    </w:p>
    <w:p w14:paraId="62A74E81">
      <w:pPr>
        <w:keepNext w:val="0"/>
        <w:keepLines w:val="0"/>
        <w:pageBreakBefore w:val="0"/>
        <w:kinsoku/>
        <w:wordWrap/>
        <w:overflowPunct/>
        <w:topLinePunct w:val="0"/>
        <w:autoSpaceDE/>
        <w:autoSpaceDN/>
        <w:bidi w:val="0"/>
        <w:adjustRightInd/>
        <w:spacing w:before="10" w:after="10" w:line="360" w:lineRule="auto"/>
        <w:ind w:firstLine="420" w:firstLineChars="200"/>
        <w:textAlignment w:val="auto"/>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预算</w:t>
      </w:r>
      <w:r>
        <w:rPr>
          <w:rFonts w:hint="eastAsia" w:ascii="宋体" w:hAnsi="宋体" w:cs="宋体"/>
          <w:color w:val="auto"/>
          <w:szCs w:val="21"/>
          <w:highlight w:val="none"/>
          <w:lang w:val="en-US" w:eastAsia="zh-CN"/>
        </w:rPr>
        <w:t>总</w:t>
      </w:r>
      <w:r>
        <w:rPr>
          <w:rFonts w:hint="eastAsia" w:ascii="宋体" w:hAnsi="宋体" w:cs="宋体"/>
          <w:color w:val="auto"/>
          <w:szCs w:val="21"/>
          <w:highlight w:val="none"/>
        </w:rPr>
        <w:t>金额（</w:t>
      </w:r>
      <w:r>
        <w:rPr>
          <w:rFonts w:hint="eastAsia" w:ascii="宋体" w:hAnsi="宋体" w:cs="宋体"/>
          <w:color w:val="auto"/>
          <w:szCs w:val="21"/>
          <w:highlight w:val="none"/>
          <w:lang w:val="en-US" w:eastAsia="zh-CN"/>
        </w:rPr>
        <w:t>元</w:t>
      </w:r>
      <w:r>
        <w:rPr>
          <w:rFonts w:hint="eastAsia" w:ascii="宋体" w:hAnsi="宋体" w:cs="宋体"/>
          <w:color w:val="auto"/>
          <w:szCs w:val="21"/>
          <w:highlight w:val="none"/>
        </w:rPr>
        <w:t>）：</w:t>
      </w:r>
      <w:r>
        <w:rPr>
          <w:rFonts w:hint="eastAsia" w:ascii="宋体" w:hAnsi="宋体" w:cs="宋体"/>
          <w:kern w:val="0"/>
          <w:sz w:val="21"/>
          <w:szCs w:val="21"/>
          <w:highlight w:val="none"/>
          <w:lang w:val="en-US" w:eastAsia="zh-CN" w:bidi="ar"/>
        </w:rPr>
        <w:t>846380.00</w:t>
      </w:r>
    </w:p>
    <w:p w14:paraId="1ABC12FB">
      <w:pPr>
        <w:keepNext w:val="0"/>
        <w:keepLines w:val="0"/>
        <w:pageBreakBefore w:val="0"/>
        <w:kinsoku/>
        <w:wordWrap/>
        <w:overflowPunct/>
        <w:topLinePunct w:val="0"/>
        <w:autoSpaceDE/>
        <w:autoSpaceDN/>
        <w:bidi w:val="0"/>
        <w:adjustRightInd/>
        <w:spacing w:before="10" w:after="10"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采购需求：</w:t>
      </w:r>
    </w:p>
    <w:p w14:paraId="465DBCDF">
      <w:pPr>
        <w:keepNext w:val="0"/>
        <w:keepLines w:val="0"/>
        <w:pageBreakBefore w:val="0"/>
        <w:kinsoku/>
        <w:wordWrap/>
        <w:overflowPunct/>
        <w:topLinePunct w:val="0"/>
        <w:autoSpaceDE/>
        <w:autoSpaceDN/>
        <w:bidi w:val="0"/>
        <w:adjustRightInd/>
        <w:spacing w:before="10" w:after="10" w:line="360" w:lineRule="auto"/>
        <w:ind w:left="399" w:leftChars="190" w:firstLine="0" w:firstLineChars="0"/>
        <w:textAlignment w:val="auto"/>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标项一：</w:t>
      </w:r>
    </w:p>
    <w:p w14:paraId="4AD8C902">
      <w:pPr>
        <w:keepNext w:val="0"/>
        <w:keepLines w:val="0"/>
        <w:pageBreakBefore w:val="0"/>
        <w:kinsoku/>
        <w:wordWrap/>
        <w:overflowPunct/>
        <w:topLinePunct w:val="0"/>
        <w:autoSpaceDE/>
        <w:autoSpaceDN/>
        <w:bidi w:val="0"/>
        <w:adjustRightInd/>
        <w:spacing w:before="10" w:after="10" w:line="360" w:lineRule="auto"/>
        <w:ind w:left="399" w:leftChars="190" w:firstLine="0" w:firstLineChars="0"/>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rPr>
        <w:t>标项名称</w:t>
      </w:r>
      <w:r>
        <w:rPr>
          <w:rFonts w:hint="eastAsia" w:ascii="宋体" w:hAnsi="宋体" w:cs="宋体"/>
          <w:color w:val="auto"/>
          <w:sz w:val="21"/>
          <w:szCs w:val="21"/>
          <w:highlight w:val="none"/>
          <w:lang w:eastAsia="zh-CN"/>
        </w:rPr>
        <w:t>：</w:t>
      </w:r>
      <w:r>
        <w:rPr>
          <w:rFonts w:hint="eastAsia" w:ascii="宋体" w:hAnsi="宋体" w:cs="宋体"/>
          <w:sz w:val="21"/>
          <w:szCs w:val="21"/>
          <w:highlight w:val="none"/>
          <w:u w:val="single"/>
          <w:lang w:eastAsia="zh-CN"/>
        </w:rPr>
        <w:t>资源县公安局天网工程基础运行维护服务项目（</w:t>
      </w:r>
      <w:r>
        <w:rPr>
          <w:rFonts w:hint="eastAsia" w:ascii="宋体" w:hAnsi="宋体" w:cs="宋体"/>
          <w:sz w:val="21"/>
          <w:szCs w:val="21"/>
          <w:highlight w:val="none"/>
          <w:u w:val="single"/>
          <w:lang w:val="en-US" w:eastAsia="zh-CN"/>
        </w:rPr>
        <w:t>标项一</w:t>
      </w:r>
      <w:r>
        <w:rPr>
          <w:rFonts w:hint="eastAsia" w:ascii="宋体" w:hAnsi="宋体" w:cs="宋体"/>
          <w:sz w:val="21"/>
          <w:szCs w:val="21"/>
          <w:highlight w:val="none"/>
          <w:u w:val="single"/>
          <w:lang w:eastAsia="zh-CN"/>
        </w:rPr>
        <w:t>）</w:t>
      </w:r>
    </w:p>
    <w:p w14:paraId="7301D1A0">
      <w:pPr>
        <w:keepNext w:val="0"/>
        <w:keepLines w:val="0"/>
        <w:pageBreakBefore w:val="0"/>
        <w:kinsoku/>
        <w:wordWrap/>
        <w:overflowPunct/>
        <w:topLinePunct w:val="0"/>
        <w:autoSpaceDE/>
        <w:autoSpaceDN/>
        <w:bidi w:val="0"/>
        <w:adjustRightInd/>
        <w:spacing w:before="0" w:after="0" w:line="360" w:lineRule="auto"/>
        <w:ind w:left="0" w:leftChars="0" w:firstLine="420" w:firstLineChars="200"/>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rPr>
        <w:t>数量</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1</w:t>
      </w:r>
    </w:p>
    <w:p w14:paraId="24370CCA">
      <w:pPr>
        <w:keepNext w:val="0"/>
        <w:keepLines w:val="0"/>
        <w:pageBreakBefore w:val="0"/>
        <w:kinsoku/>
        <w:wordWrap/>
        <w:overflowPunct/>
        <w:topLinePunct w:val="0"/>
        <w:autoSpaceDE/>
        <w:autoSpaceDN/>
        <w:bidi w:val="0"/>
        <w:adjustRightInd/>
        <w:spacing w:before="0" w:after="0" w:line="360" w:lineRule="auto"/>
        <w:ind w:left="0" w:leftChars="0" w:firstLine="420" w:firstLineChars="200"/>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rPr>
        <w:t>预算金额（元）</w:t>
      </w:r>
      <w:r>
        <w:rPr>
          <w:rFonts w:hint="eastAsia" w:ascii="宋体" w:hAnsi="宋体" w:cs="宋体"/>
          <w:color w:val="auto"/>
          <w:sz w:val="21"/>
          <w:szCs w:val="21"/>
          <w:highlight w:val="none"/>
          <w:lang w:eastAsia="zh-CN"/>
        </w:rPr>
        <w:t>：</w:t>
      </w:r>
      <w:r>
        <w:rPr>
          <w:rFonts w:hint="eastAsia" w:ascii="宋体" w:hAnsi="宋体" w:cs="宋体"/>
          <w:b/>
          <w:bCs/>
          <w:sz w:val="21"/>
          <w:szCs w:val="21"/>
          <w:highlight w:val="none"/>
          <w:lang w:val="en-US" w:eastAsia="zh-CN"/>
        </w:rPr>
        <w:t>466380</w:t>
      </w:r>
      <w:r>
        <w:rPr>
          <w:rFonts w:hint="eastAsia" w:ascii="宋体" w:hAnsi="宋体" w:eastAsia="宋体" w:cs="宋体"/>
          <w:b/>
          <w:bCs/>
          <w:sz w:val="21"/>
          <w:szCs w:val="21"/>
          <w:highlight w:val="none"/>
        </w:rPr>
        <w:t>.00</w:t>
      </w:r>
    </w:p>
    <w:p w14:paraId="73CA0C74">
      <w:pPr>
        <w:keepNext w:val="0"/>
        <w:keepLines w:val="0"/>
        <w:pageBreakBefore w:val="0"/>
        <w:kinsoku/>
        <w:wordWrap/>
        <w:overflowPunct/>
        <w:topLinePunct w:val="0"/>
        <w:autoSpaceDE/>
        <w:autoSpaceDN/>
        <w:bidi w:val="0"/>
        <w:adjustRightInd/>
        <w:spacing w:before="0" w:after="0" w:line="360" w:lineRule="auto"/>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简要规格描述或项目基本概况介绍、用途</w:t>
      </w:r>
      <w:r>
        <w:rPr>
          <w:rFonts w:hint="eastAsia" w:ascii="宋体" w:hAnsi="宋体" w:eastAsia="宋体" w:cs="宋体"/>
          <w:color w:val="auto"/>
          <w:sz w:val="21"/>
          <w:szCs w:val="21"/>
          <w:highlight w:val="none"/>
        </w:rPr>
        <w:t>：</w:t>
      </w:r>
      <w:r>
        <w:rPr>
          <w:rFonts w:hint="eastAsia" w:ascii="宋体" w:hAnsi="宋体" w:eastAsia="宋体" w:cs="宋体"/>
          <w:color w:val="000000"/>
          <w:sz w:val="21"/>
          <w:szCs w:val="21"/>
          <w:highlight w:val="none"/>
          <w:lang w:val="en-US" w:eastAsia="zh-CN"/>
        </w:rPr>
        <w:t>专用网络链路租赁192条、</w:t>
      </w:r>
      <w:r>
        <w:rPr>
          <w:rFonts w:hint="eastAsia" w:ascii="宋体" w:hAnsi="宋体" w:eastAsia="宋体" w:cs="宋体"/>
          <w:b w:val="0"/>
          <w:bCs w:val="0"/>
          <w:i w:val="0"/>
          <w:iCs w:val="0"/>
          <w:color w:val="000000"/>
          <w:kern w:val="0"/>
          <w:sz w:val="21"/>
          <w:szCs w:val="21"/>
          <w:highlight w:val="none"/>
          <w:u w:val="none"/>
          <w:lang w:val="en-US" w:eastAsia="zh-CN" w:bidi="ar"/>
        </w:rPr>
        <w:t>天网前端设备维护服务211点</w:t>
      </w:r>
      <w:r>
        <w:rPr>
          <w:rFonts w:hint="eastAsia" w:ascii="宋体" w:hAnsi="宋体" w:cs="宋体"/>
          <w:sz w:val="21"/>
          <w:szCs w:val="21"/>
          <w:highlight w:val="none"/>
          <w:lang w:eastAsia="zh-CN"/>
        </w:rPr>
        <w:t>，</w:t>
      </w:r>
      <w:r>
        <w:rPr>
          <w:rFonts w:hint="eastAsia" w:ascii="宋体" w:hAnsi="宋体" w:cs="宋体"/>
          <w:sz w:val="21"/>
          <w:szCs w:val="21"/>
          <w:highlight w:val="none"/>
        </w:rPr>
        <w:t>具体内容详见</w:t>
      </w:r>
      <w:r>
        <w:rPr>
          <w:rFonts w:hint="eastAsia" w:ascii="宋体" w:hAnsi="宋体" w:cs="宋体"/>
          <w:sz w:val="21"/>
          <w:szCs w:val="21"/>
          <w:highlight w:val="none"/>
          <w:lang w:val="en-US" w:eastAsia="zh-CN"/>
        </w:rPr>
        <w:t>采购</w:t>
      </w:r>
      <w:r>
        <w:rPr>
          <w:rFonts w:hint="eastAsia" w:ascii="宋体" w:hAnsi="宋体" w:cs="宋体"/>
          <w:sz w:val="21"/>
          <w:szCs w:val="21"/>
          <w:highlight w:val="none"/>
        </w:rPr>
        <w:t>需求</w:t>
      </w:r>
      <w:r>
        <w:rPr>
          <w:rFonts w:hint="eastAsia" w:ascii="宋体"/>
          <w:color w:val="auto"/>
          <w:sz w:val="21"/>
          <w:szCs w:val="21"/>
          <w:highlight w:val="none"/>
          <w:lang w:eastAsia="zh-CN"/>
        </w:rPr>
        <w:t>。</w:t>
      </w:r>
    </w:p>
    <w:p w14:paraId="73F409E0">
      <w:pPr>
        <w:keepNext w:val="0"/>
        <w:keepLines w:val="0"/>
        <w:pageBreakBefore w:val="0"/>
        <w:kinsoku/>
        <w:wordWrap/>
        <w:overflowPunct/>
        <w:topLinePunct w:val="0"/>
        <w:autoSpaceDE/>
        <w:autoSpaceDN/>
        <w:bidi w:val="0"/>
        <w:adjustRightInd/>
        <w:spacing w:before="0" w:after="0" w:line="360" w:lineRule="auto"/>
        <w:ind w:left="0" w:leftChars="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rPr>
        <w:t>最高限价（如有）：</w:t>
      </w:r>
      <w:r>
        <w:rPr>
          <w:rFonts w:hint="eastAsia" w:ascii="宋体" w:hAnsi="宋体" w:cs="宋体"/>
          <w:b/>
          <w:bCs/>
          <w:sz w:val="21"/>
          <w:szCs w:val="21"/>
          <w:highlight w:val="none"/>
          <w:lang w:val="en-US" w:eastAsia="zh-CN"/>
        </w:rPr>
        <w:t>466380</w:t>
      </w:r>
      <w:r>
        <w:rPr>
          <w:rFonts w:hint="eastAsia" w:ascii="宋体" w:hAnsi="宋体" w:eastAsia="宋体" w:cs="宋体"/>
          <w:b/>
          <w:bCs/>
          <w:sz w:val="21"/>
          <w:szCs w:val="21"/>
          <w:highlight w:val="none"/>
        </w:rPr>
        <w:t>.00</w:t>
      </w:r>
      <w:r>
        <w:rPr>
          <w:rFonts w:hint="eastAsia" w:ascii="宋体" w:hAnsi="宋体" w:cs="宋体"/>
          <w:b/>
          <w:bCs/>
          <w:sz w:val="21"/>
          <w:szCs w:val="21"/>
          <w:highlight w:val="none"/>
          <w:lang w:val="en-US" w:eastAsia="zh-CN"/>
        </w:rPr>
        <w:t>元</w:t>
      </w:r>
    </w:p>
    <w:p w14:paraId="155B0DC4">
      <w:pPr>
        <w:keepNext w:val="0"/>
        <w:keepLines w:val="0"/>
        <w:pageBreakBefore w:val="0"/>
        <w:kinsoku/>
        <w:wordWrap/>
        <w:overflowPunct/>
        <w:topLinePunct w:val="0"/>
        <w:autoSpaceDE/>
        <w:autoSpaceDN/>
        <w:bidi w:val="0"/>
        <w:adjustRightInd/>
        <w:spacing w:before="10" w:after="10" w:line="360" w:lineRule="auto"/>
        <w:ind w:firstLine="420" w:firstLineChars="200"/>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合同履约期限</w:t>
      </w:r>
      <w:r>
        <w:rPr>
          <w:rFonts w:hint="eastAsia" w:ascii="宋体" w:hAnsi="宋体" w:eastAsia="宋体" w:cs="宋体"/>
          <w:color w:val="auto"/>
          <w:sz w:val="21"/>
          <w:szCs w:val="21"/>
          <w:highlight w:val="none"/>
        </w:rPr>
        <w:t>：自验收合格并交付使用之日起</w:t>
      </w:r>
      <w:r>
        <w:rPr>
          <w:rFonts w:hint="eastAsia" w:ascii="宋体" w:hAnsi="宋体" w:eastAsia="宋体" w:cs="宋体"/>
          <w:color w:val="auto"/>
          <w:sz w:val="21"/>
          <w:szCs w:val="21"/>
          <w:highlight w:val="none"/>
          <w:lang w:val="en-US" w:eastAsia="zh-CN"/>
        </w:rPr>
        <w:t>12</w:t>
      </w:r>
      <w:r>
        <w:rPr>
          <w:rFonts w:hint="eastAsia" w:ascii="宋体" w:hAnsi="宋体" w:eastAsia="宋体" w:cs="宋体"/>
          <w:color w:val="auto"/>
          <w:sz w:val="21"/>
          <w:szCs w:val="21"/>
          <w:highlight w:val="none"/>
        </w:rPr>
        <w:t>个月。</w:t>
      </w:r>
    </w:p>
    <w:p w14:paraId="4C0C6F3C">
      <w:pPr>
        <w:keepNext w:val="0"/>
        <w:keepLines w:val="0"/>
        <w:pageBreakBefore w:val="0"/>
        <w:kinsoku/>
        <w:wordWrap/>
        <w:overflowPunct/>
        <w:topLinePunct w:val="0"/>
        <w:autoSpaceDE/>
        <w:autoSpaceDN/>
        <w:bidi w:val="0"/>
        <w:adjustRightInd/>
        <w:spacing w:before="10" w:after="10" w:line="360" w:lineRule="auto"/>
        <w:ind w:firstLine="420" w:firstLineChars="200"/>
        <w:textAlignment w:val="auto"/>
        <w:rPr>
          <w:rFonts w:hint="eastAsia" w:ascii="宋体" w:hAnsi="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本</w:t>
      </w:r>
      <w:r>
        <w:rPr>
          <w:rFonts w:hint="eastAsia" w:ascii="宋体" w:hAnsi="宋体" w:eastAsia="宋体" w:cs="宋体"/>
          <w:b w:val="0"/>
          <w:bCs w:val="0"/>
          <w:color w:val="auto"/>
          <w:sz w:val="21"/>
          <w:szCs w:val="21"/>
          <w:highlight w:val="none"/>
          <w:lang w:val="en-US" w:eastAsia="zh-CN"/>
        </w:rPr>
        <w:t>标项</w:t>
      </w:r>
      <w:r>
        <w:rPr>
          <w:rFonts w:hint="eastAsia" w:ascii="宋体" w:hAnsi="宋体" w:eastAsia="宋体" w:cs="宋体"/>
          <w:b w:val="0"/>
          <w:bCs w:val="0"/>
          <w:color w:val="auto"/>
          <w:sz w:val="21"/>
          <w:szCs w:val="21"/>
          <w:highlight w:val="none"/>
        </w:rPr>
        <w:t>（否）接受联合体投标</w:t>
      </w:r>
      <w:r>
        <w:rPr>
          <w:rFonts w:hint="eastAsia" w:ascii="宋体" w:hAnsi="宋体" w:cs="宋体"/>
          <w:b w:val="0"/>
          <w:bCs w:val="0"/>
          <w:color w:val="auto"/>
          <w:sz w:val="21"/>
          <w:szCs w:val="21"/>
          <w:highlight w:val="none"/>
          <w:lang w:eastAsia="zh-CN"/>
        </w:rPr>
        <w:t>。</w:t>
      </w:r>
    </w:p>
    <w:p w14:paraId="59F09D00">
      <w:pPr>
        <w:pStyle w:val="14"/>
        <w:spacing w:line="360" w:lineRule="auto"/>
        <w:ind w:firstLine="420" w:firstLineChars="200"/>
        <w:rPr>
          <w:rFonts w:hint="eastAsia"/>
          <w:color w:val="auto"/>
          <w:sz w:val="21"/>
          <w:szCs w:val="21"/>
          <w:highlight w:val="none"/>
          <w:lang w:val="en-US" w:eastAsia="zh-CN"/>
        </w:rPr>
      </w:pPr>
      <w:r>
        <w:rPr>
          <w:rFonts w:hint="eastAsia"/>
          <w:color w:val="auto"/>
          <w:sz w:val="21"/>
          <w:szCs w:val="21"/>
          <w:highlight w:val="none"/>
        </w:rPr>
        <w:t>备注：</w:t>
      </w:r>
      <w:r>
        <w:rPr>
          <w:rFonts w:hint="eastAsia" w:ascii="宋体" w:hAnsi="宋体" w:cs="宋体"/>
          <w:color w:val="auto"/>
          <w:kern w:val="0"/>
          <w:szCs w:val="21"/>
          <w:highlight w:val="none"/>
        </w:rPr>
        <w:t>《中华人民共和国政府采购法实施条例释义》：银行、保险、石油石化、电力、电信等有行业特殊情况的，</w:t>
      </w:r>
      <w:r>
        <w:rPr>
          <w:rFonts w:hint="eastAsia" w:ascii="宋体" w:hAnsi="宋体" w:cs="宋体"/>
          <w:color w:val="auto"/>
          <w:kern w:val="0"/>
          <w:szCs w:val="21"/>
          <w:highlight w:val="none"/>
          <w:lang w:val="en-US" w:eastAsia="zh-CN"/>
        </w:rPr>
        <w:t>采购人</w:t>
      </w:r>
      <w:r>
        <w:rPr>
          <w:rFonts w:hint="eastAsia" w:ascii="宋体" w:hAnsi="宋体" w:cs="宋体"/>
          <w:color w:val="auto"/>
          <w:kern w:val="0"/>
          <w:szCs w:val="21"/>
          <w:highlight w:val="none"/>
        </w:rPr>
        <w:t>、</w:t>
      </w:r>
      <w:r>
        <w:rPr>
          <w:rFonts w:hint="eastAsia" w:ascii="宋体" w:hAnsi="宋体" w:cs="宋体"/>
          <w:color w:val="auto"/>
          <w:kern w:val="0"/>
          <w:szCs w:val="21"/>
          <w:highlight w:val="none"/>
          <w:lang w:val="en-US" w:eastAsia="zh-CN"/>
        </w:rPr>
        <w:t>采购</w:t>
      </w:r>
      <w:r>
        <w:rPr>
          <w:rFonts w:hint="eastAsia" w:ascii="宋体" w:hAnsi="宋体" w:cs="宋体"/>
          <w:color w:val="auto"/>
          <w:kern w:val="0"/>
          <w:szCs w:val="21"/>
          <w:highlight w:val="none"/>
        </w:rPr>
        <w:t>代理机构可按照其特点在</w:t>
      </w:r>
      <w:r>
        <w:rPr>
          <w:rFonts w:hint="eastAsia" w:ascii="宋体" w:hAnsi="宋体" w:cs="宋体"/>
          <w:color w:val="auto"/>
          <w:kern w:val="0"/>
          <w:szCs w:val="21"/>
          <w:highlight w:val="none"/>
          <w:lang w:val="en-US" w:eastAsia="zh-CN"/>
        </w:rPr>
        <w:t>竞争性磋商文件</w:t>
      </w:r>
      <w:r>
        <w:rPr>
          <w:rFonts w:hint="eastAsia" w:ascii="宋体" w:hAnsi="宋体" w:cs="宋体"/>
          <w:color w:val="auto"/>
          <w:kern w:val="0"/>
          <w:szCs w:val="21"/>
          <w:highlight w:val="none"/>
        </w:rPr>
        <w:t>中作出专门规定。本项目取得营业执照的分支机构可以</w:t>
      </w:r>
      <w:r>
        <w:rPr>
          <w:rFonts w:hint="eastAsia" w:ascii="宋体" w:hAnsi="宋体" w:cs="宋体"/>
          <w:color w:val="auto"/>
          <w:kern w:val="0"/>
          <w:szCs w:val="21"/>
          <w:highlight w:val="none"/>
          <w:lang w:val="en-US" w:eastAsia="zh-CN"/>
        </w:rPr>
        <w:t>以</w:t>
      </w:r>
      <w:r>
        <w:rPr>
          <w:rFonts w:hint="eastAsia" w:ascii="宋体" w:hAnsi="宋体" w:cs="宋体"/>
          <w:color w:val="auto"/>
          <w:kern w:val="0"/>
          <w:szCs w:val="21"/>
          <w:highlight w:val="none"/>
        </w:rPr>
        <w:t>分</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lang w:val="en-US" w:eastAsia="zh-CN"/>
        </w:rPr>
        <w:t>支</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rPr>
        <w:t>公司名义参与</w:t>
      </w:r>
      <w:r>
        <w:rPr>
          <w:rFonts w:hint="eastAsia" w:ascii="宋体" w:hAnsi="宋体" w:cs="宋体"/>
          <w:color w:val="auto"/>
          <w:kern w:val="0"/>
          <w:szCs w:val="21"/>
          <w:highlight w:val="none"/>
          <w:lang w:val="en-US" w:eastAsia="zh-CN"/>
        </w:rPr>
        <w:t>磋商</w:t>
      </w:r>
      <w:r>
        <w:rPr>
          <w:rFonts w:hint="eastAsia" w:ascii="宋体" w:hAnsi="宋体" w:cs="宋体"/>
          <w:color w:val="auto"/>
          <w:kern w:val="0"/>
          <w:szCs w:val="21"/>
          <w:highlight w:val="none"/>
        </w:rPr>
        <w:t>。</w:t>
      </w:r>
      <w:r>
        <w:rPr>
          <w:rFonts w:hint="eastAsia" w:ascii="宋体" w:hAnsi="宋体" w:eastAsia="宋体" w:cs="宋体"/>
          <w:color w:val="auto"/>
          <w:szCs w:val="21"/>
          <w:highlight w:val="none"/>
          <w:lang w:eastAsia="zh-CN"/>
        </w:rPr>
        <w:t>若总公司与</w:t>
      </w:r>
      <w:r>
        <w:rPr>
          <w:rFonts w:hint="eastAsia" w:ascii="宋体" w:hAnsi="宋体" w:cs="宋体"/>
          <w:color w:val="auto"/>
          <w:kern w:val="0"/>
          <w:szCs w:val="21"/>
          <w:highlight w:val="none"/>
        </w:rPr>
        <w:t>分</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lang w:val="en-US" w:eastAsia="zh-CN"/>
        </w:rPr>
        <w:t>支</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rPr>
        <w:t>公司</w:t>
      </w:r>
      <w:r>
        <w:rPr>
          <w:rFonts w:hint="eastAsia" w:ascii="宋体" w:hAnsi="宋体" w:eastAsia="宋体" w:cs="宋体"/>
          <w:color w:val="auto"/>
          <w:szCs w:val="21"/>
          <w:highlight w:val="none"/>
          <w:lang w:eastAsia="zh-CN"/>
        </w:rPr>
        <w:t>机构同时</w:t>
      </w:r>
      <w:r>
        <w:rPr>
          <w:rFonts w:hint="eastAsia" w:ascii="宋体" w:hAnsi="宋体" w:eastAsia="宋体" w:cs="宋体"/>
          <w:color w:val="auto"/>
          <w:szCs w:val="21"/>
          <w:highlight w:val="none"/>
          <w:lang w:val="en-US" w:eastAsia="zh-CN"/>
        </w:rPr>
        <w:t>磋商</w:t>
      </w:r>
      <w:r>
        <w:rPr>
          <w:rFonts w:hint="eastAsia" w:ascii="宋体" w:hAnsi="宋体" w:eastAsia="宋体" w:cs="宋体"/>
          <w:color w:val="auto"/>
          <w:szCs w:val="21"/>
          <w:highlight w:val="none"/>
          <w:lang w:eastAsia="zh-CN"/>
        </w:rPr>
        <w:t>，或者同属一家公司的两个及以上</w:t>
      </w:r>
      <w:r>
        <w:rPr>
          <w:rFonts w:hint="eastAsia" w:ascii="宋体" w:hAnsi="宋体" w:cs="宋体"/>
          <w:color w:val="auto"/>
          <w:kern w:val="0"/>
          <w:szCs w:val="21"/>
          <w:highlight w:val="none"/>
        </w:rPr>
        <w:t>分</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lang w:val="en-US" w:eastAsia="zh-CN"/>
        </w:rPr>
        <w:t>支</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rPr>
        <w:t>公司</w:t>
      </w:r>
      <w:r>
        <w:rPr>
          <w:rFonts w:hint="eastAsia" w:ascii="宋体" w:hAnsi="宋体" w:eastAsia="宋体" w:cs="宋体"/>
          <w:color w:val="auto"/>
          <w:szCs w:val="21"/>
          <w:highlight w:val="none"/>
          <w:lang w:eastAsia="zh-CN"/>
        </w:rPr>
        <w:t>机构同时</w:t>
      </w:r>
      <w:r>
        <w:rPr>
          <w:rFonts w:hint="eastAsia" w:ascii="宋体" w:hAnsi="宋体" w:eastAsia="宋体" w:cs="宋体"/>
          <w:color w:val="auto"/>
          <w:szCs w:val="21"/>
          <w:highlight w:val="none"/>
          <w:lang w:val="en-US" w:eastAsia="zh-CN"/>
        </w:rPr>
        <w:t>磋商</w:t>
      </w:r>
      <w:r>
        <w:rPr>
          <w:rFonts w:hint="eastAsia" w:ascii="宋体" w:hAnsi="宋体" w:eastAsia="宋体" w:cs="宋体"/>
          <w:color w:val="auto"/>
          <w:szCs w:val="21"/>
          <w:highlight w:val="none"/>
          <w:lang w:eastAsia="zh-CN"/>
        </w:rPr>
        <w:t>，则相关</w:t>
      </w:r>
      <w:r>
        <w:rPr>
          <w:rFonts w:hint="eastAsia" w:ascii="宋体" w:hAnsi="宋体" w:eastAsia="宋体" w:cs="宋体"/>
          <w:color w:val="auto"/>
          <w:szCs w:val="21"/>
          <w:highlight w:val="none"/>
          <w:lang w:val="en-US" w:eastAsia="zh-CN"/>
        </w:rPr>
        <w:t>磋商</w:t>
      </w:r>
      <w:r>
        <w:rPr>
          <w:rFonts w:hint="eastAsia" w:ascii="宋体" w:hAnsi="宋体" w:eastAsia="宋体" w:cs="宋体"/>
          <w:color w:val="auto"/>
          <w:szCs w:val="21"/>
          <w:highlight w:val="none"/>
          <w:lang w:eastAsia="zh-CN"/>
        </w:rPr>
        <w:t>均无效。</w:t>
      </w:r>
    </w:p>
    <w:p w14:paraId="1A7DDFAD">
      <w:pPr>
        <w:keepNext w:val="0"/>
        <w:keepLines w:val="0"/>
        <w:pageBreakBefore w:val="0"/>
        <w:kinsoku/>
        <w:wordWrap/>
        <w:overflowPunct/>
        <w:topLinePunct w:val="0"/>
        <w:autoSpaceDE/>
        <w:autoSpaceDN/>
        <w:bidi w:val="0"/>
        <w:adjustRightInd/>
        <w:spacing w:before="10" w:after="10" w:line="360" w:lineRule="auto"/>
        <w:ind w:left="399" w:leftChars="190" w:firstLine="0" w:firstLineChars="0"/>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标项二：</w:t>
      </w:r>
    </w:p>
    <w:p w14:paraId="5EBB27DC">
      <w:pPr>
        <w:keepNext w:val="0"/>
        <w:keepLines w:val="0"/>
        <w:pageBreakBefore w:val="0"/>
        <w:kinsoku/>
        <w:wordWrap/>
        <w:overflowPunct/>
        <w:topLinePunct w:val="0"/>
        <w:autoSpaceDE/>
        <w:autoSpaceDN/>
        <w:bidi w:val="0"/>
        <w:adjustRightInd/>
        <w:spacing w:before="10" w:after="10" w:line="360" w:lineRule="auto"/>
        <w:ind w:left="399" w:leftChars="190" w:firstLine="0" w:firstLineChars="0"/>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rPr>
        <w:t>标项名称</w:t>
      </w:r>
      <w:r>
        <w:rPr>
          <w:rFonts w:hint="eastAsia" w:ascii="宋体" w:hAnsi="宋体" w:cs="宋体"/>
          <w:color w:val="auto"/>
          <w:sz w:val="21"/>
          <w:szCs w:val="21"/>
          <w:highlight w:val="none"/>
          <w:lang w:eastAsia="zh-CN"/>
        </w:rPr>
        <w:t>：</w:t>
      </w:r>
      <w:r>
        <w:rPr>
          <w:rFonts w:hint="eastAsia" w:ascii="宋体" w:hAnsi="宋体" w:cs="宋体"/>
          <w:sz w:val="21"/>
          <w:szCs w:val="21"/>
          <w:highlight w:val="none"/>
          <w:u w:val="single"/>
          <w:lang w:eastAsia="zh-CN"/>
        </w:rPr>
        <w:t>资源县公安局天网工程基础运行维护服务项目（</w:t>
      </w:r>
      <w:r>
        <w:rPr>
          <w:rFonts w:hint="eastAsia" w:ascii="宋体" w:hAnsi="宋体" w:cs="宋体"/>
          <w:sz w:val="21"/>
          <w:szCs w:val="21"/>
          <w:highlight w:val="none"/>
          <w:u w:val="single"/>
          <w:lang w:val="en-US" w:eastAsia="zh-CN"/>
        </w:rPr>
        <w:t>标项二</w:t>
      </w:r>
      <w:r>
        <w:rPr>
          <w:rFonts w:hint="eastAsia" w:ascii="宋体" w:hAnsi="宋体" w:cs="宋体"/>
          <w:sz w:val="21"/>
          <w:szCs w:val="21"/>
          <w:highlight w:val="none"/>
          <w:u w:val="single"/>
          <w:lang w:eastAsia="zh-CN"/>
        </w:rPr>
        <w:t>）</w:t>
      </w:r>
    </w:p>
    <w:p w14:paraId="7658B504">
      <w:pPr>
        <w:keepNext w:val="0"/>
        <w:keepLines w:val="0"/>
        <w:pageBreakBefore w:val="0"/>
        <w:kinsoku/>
        <w:wordWrap/>
        <w:overflowPunct/>
        <w:topLinePunct w:val="0"/>
        <w:autoSpaceDE/>
        <w:autoSpaceDN/>
        <w:bidi w:val="0"/>
        <w:adjustRightInd/>
        <w:spacing w:before="0" w:after="0" w:line="360" w:lineRule="auto"/>
        <w:ind w:left="0" w:leftChars="0" w:firstLine="420" w:firstLineChars="200"/>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rPr>
        <w:t>数量</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1</w:t>
      </w:r>
    </w:p>
    <w:p w14:paraId="76604FA6">
      <w:pPr>
        <w:keepNext w:val="0"/>
        <w:keepLines w:val="0"/>
        <w:pageBreakBefore w:val="0"/>
        <w:kinsoku/>
        <w:wordWrap/>
        <w:overflowPunct/>
        <w:topLinePunct w:val="0"/>
        <w:autoSpaceDE/>
        <w:autoSpaceDN/>
        <w:bidi w:val="0"/>
        <w:adjustRightInd/>
        <w:spacing w:before="0" w:after="0" w:line="360" w:lineRule="auto"/>
        <w:ind w:left="0" w:leftChars="0" w:firstLine="420" w:firstLineChars="200"/>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rPr>
        <w:t>预算金额（元）</w:t>
      </w:r>
      <w:r>
        <w:rPr>
          <w:rFonts w:hint="eastAsia" w:ascii="宋体" w:hAnsi="宋体" w:cs="宋体"/>
          <w:color w:val="auto"/>
          <w:sz w:val="21"/>
          <w:szCs w:val="21"/>
          <w:highlight w:val="none"/>
          <w:lang w:eastAsia="zh-CN"/>
        </w:rPr>
        <w:t>：</w:t>
      </w:r>
      <w:r>
        <w:rPr>
          <w:rFonts w:hint="eastAsia" w:ascii="宋体" w:hAnsi="宋体" w:cs="宋体"/>
          <w:b/>
          <w:bCs/>
          <w:sz w:val="21"/>
          <w:szCs w:val="21"/>
          <w:highlight w:val="none"/>
          <w:lang w:val="en-US" w:eastAsia="zh-CN"/>
        </w:rPr>
        <w:t>380000</w:t>
      </w:r>
      <w:r>
        <w:rPr>
          <w:rFonts w:hint="eastAsia" w:ascii="宋体" w:hAnsi="宋体" w:eastAsia="宋体" w:cs="宋体"/>
          <w:b/>
          <w:bCs/>
          <w:sz w:val="21"/>
          <w:szCs w:val="21"/>
          <w:highlight w:val="none"/>
        </w:rPr>
        <w:t>.00</w:t>
      </w:r>
    </w:p>
    <w:p w14:paraId="5DA25869">
      <w:pPr>
        <w:keepNext w:val="0"/>
        <w:keepLines w:val="0"/>
        <w:pageBreakBefore w:val="0"/>
        <w:kinsoku/>
        <w:wordWrap/>
        <w:overflowPunct/>
        <w:topLinePunct w:val="0"/>
        <w:autoSpaceDE/>
        <w:autoSpaceDN/>
        <w:bidi w:val="0"/>
        <w:adjustRightInd/>
        <w:spacing w:before="0" w:after="0" w:line="360" w:lineRule="auto"/>
        <w:ind w:left="0" w:leftChars="0" w:firstLine="420" w:firstLineChars="200"/>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简要规格描述或项目基本概况介绍、用途</w:t>
      </w:r>
      <w:r>
        <w:rPr>
          <w:rFonts w:hint="eastAsia" w:ascii="宋体" w:hAnsi="宋体" w:eastAsia="宋体" w:cs="宋体"/>
          <w:color w:val="auto"/>
          <w:szCs w:val="21"/>
          <w:highlight w:val="none"/>
        </w:rPr>
        <w:t>：</w:t>
      </w:r>
      <w:r>
        <w:rPr>
          <w:rFonts w:hint="eastAsia" w:ascii="宋体" w:hAnsi="宋体" w:eastAsia="宋体" w:cs="宋体"/>
          <w:color w:val="000000"/>
          <w:sz w:val="21"/>
          <w:szCs w:val="21"/>
          <w:highlight w:val="none"/>
          <w:lang w:val="en-US" w:eastAsia="zh-CN"/>
        </w:rPr>
        <w:t>专用网络链路租赁134条、</w:t>
      </w:r>
      <w:r>
        <w:rPr>
          <w:rFonts w:hint="eastAsia" w:ascii="宋体" w:hAnsi="宋体" w:eastAsia="宋体" w:cs="宋体"/>
          <w:b w:val="0"/>
          <w:bCs w:val="0"/>
          <w:i w:val="0"/>
          <w:iCs w:val="0"/>
          <w:color w:val="000000"/>
          <w:kern w:val="0"/>
          <w:sz w:val="21"/>
          <w:szCs w:val="21"/>
          <w:highlight w:val="none"/>
          <w:u w:val="none"/>
          <w:lang w:val="en-US" w:eastAsia="zh-CN" w:bidi="ar"/>
        </w:rPr>
        <w:t>天网前端设备维护服务206点</w:t>
      </w:r>
      <w:r>
        <w:rPr>
          <w:rFonts w:hint="eastAsia" w:ascii="宋体" w:hAnsi="宋体" w:cs="宋体"/>
          <w:szCs w:val="21"/>
          <w:highlight w:val="none"/>
          <w:lang w:eastAsia="zh-CN"/>
        </w:rPr>
        <w:t>，</w:t>
      </w:r>
      <w:r>
        <w:rPr>
          <w:rFonts w:hint="eastAsia" w:ascii="宋体" w:hAnsi="宋体" w:cs="宋体"/>
          <w:szCs w:val="21"/>
          <w:highlight w:val="none"/>
        </w:rPr>
        <w:t>具体内容详见</w:t>
      </w:r>
      <w:r>
        <w:rPr>
          <w:rFonts w:hint="eastAsia" w:ascii="宋体" w:hAnsi="宋体" w:cs="宋体"/>
          <w:szCs w:val="21"/>
          <w:highlight w:val="none"/>
          <w:lang w:val="en-US" w:eastAsia="zh-CN"/>
        </w:rPr>
        <w:t>采购</w:t>
      </w:r>
      <w:r>
        <w:rPr>
          <w:rFonts w:hint="eastAsia" w:ascii="宋体" w:hAnsi="宋体" w:cs="宋体"/>
          <w:szCs w:val="21"/>
          <w:highlight w:val="none"/>
        </w:rPr>
        <w:t>需求</w:t>
      </w:r>
      <w:r>
        <w:rPr>
          <w:rFonts w:hint="eastAsia" w:ascii="宋体"/>
          <w:color w:val="auto"/>
          <w:szCs w:val="21"/>
          <w:highlight w:val="none"/>
          <w:lang w:eastAsia="zh-CN"/>
        </w:rPr>
        <w:t>。</w:t>
      </w:r>
    </w:p>
    <w:p w14:paraId="26EB7847">
      <w:pPr>
        <w:keepNext w:val="0"/>
        <w:keepLines w:val="0"/>
        <w:pageBreakBefore w:val="0"/>
        <w:kinsoku/>
        <w:wordWrap/>
        <w:overflowPunct/>
        <w:topLinePunct w:val="0"/>
        <w:autoSpaceDE/>
        <w:autoSpaceDN/>
        <w:bidi w:val="0"/>
        <w:adjustRightInd/>
        <w:spacing w:before="10" w:after="10" w:line="360" w:lineRule="auto"/>
        <w:ind w:firstLine="420" w:firstLineChars="200"/>
        <w:textAlignment w:val="auto"/>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rPr>
        <w:t>最高限价（如有）：</w:t>
      </w:r>
      <w:r>
        <w:rPr>
          <w:rFonts w:hint="eastAsia" w:ascii="宋体" w:hAnsi="宋体" w:cs="宋体"/>
          <w:b/>
          <w:bCs/>
          <w:sz w:val="21"/>
          <w:szCs w:val="21"/>
          <w:highlight w:val="none"/>
          <w:lang w:val="en-US" w:eastAsia="zh-CN"/>
        </w:rPr>
        <w:t>380000</w:t>
      </w:r>
      <w:r>
        <w:rPr>
          <w:rFonts w:hint="eastAsia" w:ascii="宋体" w:hAnsi="宋体" w:eastAsia="宋体" w:cs="宋体"/>
          <w:b/>
          <w:bCs/>
          <w:sz w:val="21"/>
          <w:szCs w:val="21"/>
          <w:highlight w:val="none"/>
        </w:rPr>
        <w:t>.00</w:t>
      </w:r>
      <w:r>
        <w:rPr>
          <w:rFonts w:hint="eastAsia" w:ascii="宋体" w:hAnsi="宋体" w:cs="宋体"/>
          <w:b/>
          <w:bCs/>
          <w:sz w:val="21"/>
          <w:szCs w:val="21"/>
          <w:highlight w:val="none"/>
          <w:lang w:val="en-US" w:eastAsia="zh-CN"/>
        </w:rPr>
        <w:t>元</w:t>
      </w:r>
    </w:p>
    <w:p w14:paraId="26950192">
      <w:pPr>
        <w:keepNext w:val="0"/>
        <w:keepLines w:val="0"/>
        <w:pageBreakBefore w:val="0"/>
        <w:kinsoku/>
        <w:wordWrap/>
        <w:overflowPunct/>
        <w:topLinePunct w:val="0"/>
        <w:autoSpaceDE/>
        <w:autoSpaceDN/>
        <w:bidi w:val="0"/>
        <w:adjustRightInd/>
        <w:spacing w:before="10" w:after="10"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合同履约期限：</w:t>
      </w:r>
      <w:r>
        <w:rPr>
          <w:rFonts w:hint="eastAsia" w:ascii="宋体" w:hAnsi="宋体" w:eastAsia="宋体" w:cs="宋体"/>
          <w:color w:val="auto"/>
          <w:szCs w:val="21"/>
          <w:highlight w:val="none"/>
        </w:rPr>
        <w:t>自验收合格并交付使用之日起</w:t>
      </w:r>
      <w:r>
        <w:rPr>
          <w:rFonts w:hint="eastAsia" w:ascii="宋体" w:hAnsi="宋体" w:eastAsia="宋体" w:cs="宋体"/>
          <w:color w:val="auto"/>
          <w:szCs w:val="21"/>
          <w:highlight w:val="none"/>
          <w:lang w:val="en-US" w:eastAsia="zh-CN"/>
        </w:rPr>
        <w:t>12</w:t>
      </w:r>
      <w:r>
        <w:rPr>
          <w:rFonts w:hint="eastAsia" w:ascii="宋体" w:hAnsi="宋体" w:eastAsia="宋体" w:cs="宋体"/>
          <w:color w:val="auto"/>
          <w:szCs w:val="21"/>
          <w:highlight w:val="none"/>
        </w:rPr>
        <w:t>个月。</w:t>
      </w:r>
    </w:p>
    <w:p w14:paraId="5A9897B6">
      <w:pPr>
        <w:keepNext w:val="0"/>
        <w:keepLines w:val="0"/>
        <w:pageBreakBefore w:val="0"/>
        <w:kinsoku/>
        <w:wordWrap/>
        <w:overflowPunct/>
        <w:topLinePunct w:val="0"/>
        <w:autoSpaceDE/>
        <w:autoSpaceDN/>
        <w:bidi w:val="0"/>
        <w:adjustRightInd/>
        <w:spacing w:before="10" w:after="10" w:line="360" w:lineRule="auto"/>
        <w:ind w:firstLine="420" w:firstLineChars="200"/>
        <w:textAlignment w:val="auto"/>
        <w:rPr>
          <w:rFonts w:hint="eastAsia" w:ascii="宋体" w:hAnsi="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本</w:t>
      </w:r>
      <w:r>
        <w:rPr>
          <w:rFonts w:hint="eastAsia" w:ascii="宋体" w:hAnsi="宋体" w:eastAsia="宋体" w:cs="宋体"/>
          <w:b w:val="0"/>
          <w:bCs w:val="0"/>
          <w:color w:val="auto"/>
          <w:sz w:val="21"/>
          <w:szCs w:val="21"/>
          <w:highlight w:val="none"/>
          <w:lang w:val="en-US" w:eastAsia="zh-CN"/>
        </w:rPr>
        <w:t>标项</w:t>
      </w:r>
      <w:r>
        <w:rPr>
          <w:rFonts w:hint="eastAsia" w:ascii="宋体" w:hAnsi="宋体" w:eastAsia="宋体" w:cs="宋体"/>
          <w:b w:val="0"/>
          <w:bCs w:val="0"/>
          <w:color w:val="auto"/>
          <w:sz w:val="21"/>
          <w:szCs w:val="21"/>
          <w:highlight w:val="none"/>
        </w:rPr>
        <w:t>（否）接受联合体投标</w:t>
      </w:r>
      <w:r>
        <w:rPr>
          <w:rFonts w:hint="eastAsia" w:ascii="宋体" w:hAnsi="宋体" w:cs="宋体"/>
          <w:b w:val="0"/>
          <w:bCs w:val="0"/>
          <w:color w:val="auto"/>
          <w:sz w:val="21"/>
          <w:szCs w:val="21"/>
          <w:highlight w:val="none"/>
          <w:lang w:eastAsia="zh-CN"/>
        </w:rPr>
        <w:t>。</w:t>
      </w:r>
    </w:p>
    <w:p w14:paraId="0565EAAE">
      <w:pPr>
        <w:pStyle w:val="14"/>
        <w:spacing w:line="360" w:lineRule="auto"/>
        <w:ind w:firstLine="420" w:firstLineChars="200"/>
        <w:rPr>
          <w:rFonts w:hint="eastAsia" w:ascii="宋体" w:hAnsi="宋体" w:eastAsia="宋体" w:cs="宋体"/>
          <w:color w:val="auto"/>
          <w:szCs w:val="21"/>
          <w:highlight w:val="none"/>
          <w:lang w:eastAsia="zh-CN"/>
        </w:rPr>
      </w:pPr>
      <w:r>
        <w:rPr>
          <w:rFonts w:hint="eastAsia"/>
          <w:color w:val="auto"/>
          <w:highlight w:val="none"/>
        </w:rPr>
        <w:t>备注</w:t>
      </w:r>
      <w:r>
        <w:rPr>
          <w:rFonts w:hint="eastAsia"/>
          <w:color w:val="auto"/>
          <w:highlight w:val="none"/>
          <w:lang w:eastAsia="zh-CN"/>
        </w:rPr>
        <w:t>：</w:t>
      </w:r>
      <w:r>
        <w:rPr>
          <w:rFonts w:hint="eastAsia" w:ascii="宋体" w:hAnsi="宋体" w:cs="宋体"/>
          <w:color w:val="auto"/>
          <w:kern w:val="0"/>
          <w:szCs w:val="21"/>
          <w:highlight w:val="none"/>
        </w:rPr>
        <w:t>《</w:t>
      </w:r>
      <w:bookmarkStart w:id="8" w:name="OLE_LINK4"/>
      <w:r>
        <w:rPr>
          <w:rFonts w:hint="eastAsia" w:ascii="宋体" w:hAnsi="宋体" w:cs="宋体"/>
          <w:color w:val="auto"/>
          <w:kern w:val="0"/>
          <w:szCs w:val="21"/>
          <w:highlight w:val="none"/>
        </w:rPr>
        <w:t>中华人民共和国政府采购法实施条例释义</w:t>
      </w:r>
      <w:bookmarkEnd w:id="8"/>
      <w:r>
        <w:rPr>
          <w:rFonts w:hint="eastAsia" w:ascii="宋体" w:hAnsi="宋体" w:cs="宋体"/>
          <w:color w:val="auto"/>
          <w:kern w:val="0"/>
          <w:szCs w:val="21"/>
          <w:highlight w:val="none"/>
        </w:rPr>
        <w:t>》：银行、保险、石油石化、电力、电信等有行业特殊情况的，</w:t>
      </w:r>
      <w:r>
        <w:rPr>
          <w:rFonts w:hint="eastAsia" w:ascii="宋体" w:hAnsi="宋体" w:cs="宋体"/>
          <w:color w:val="auto"/>
          <w:kern w:val="0"/>
          <w:szCs w:val="21"/>
          <w:highlight w:val="none"/>
          <w:lang w:val="en-US" w:eastAsia="zh-CN"/>
        </w:rPr>
        <w:t>采购人</w:t>
      </w:r>
      <w:r>
        <w:rPr>
          <w:rFonts w:hint="eastAsia" w:ascii="宋体" w:hAnsi="宋体" w:cs="宋体"/>
          <w:color w:val="auto"/>
          <w:kern w:val="0"/>
          <w:szCs w:val="21"/>
          <w:highlight w:val="none"/>
        </w:rPr>
        <w:t>、</w:t>
      </w:r>
      <w:r>
        <w:rPr>
          <w:rFonts w:hint="eastAsia" w:ascii="宋体" w:hAnsi="宋体" w:cs="宋体"/>
          <w:color w:val="auto"/>
          <w:kern w:val="0"/>
          <w:szCs w:val="21"/>
          <w:highlight w:val="none"/>
          <w:lang w:val="en-US" w:eastAsia="zh-CN"/>
        </w:rPr>
        <w:t>采购</w:t>
      </w:r>
      <w:r>
        <w:rPr>
          <w:rFonts w:hint="eastAsia" w:ascii="宋体" w:hAnsi="宋体" w:cs="宋体"/>
          <w:color w:val="auto"/>
          <w:kern w:val="0"/>
          <w:szCs w:val="21"/>
          <w:highlight w:val="none"/>
        </w:rPr>
        <w:t>代理机构可按照其特点在</w:t>
      </w:r>
      <w:r>
        <w:rPr>
          <w:rFonts w:hint="eastAsia" w:ascii="宋体" w:hAnsi="宋体" w:cs="宋体"/>
          <w:color w:val="auto"/>
          <w:kern w:val="0"/>
          <w:szCs w:val="21"/>
          <w:highlight w:val="none"/>
          <w:lang w:val="en-US" w:eastAsia="zh-CN"/>
        </w:rPr>
        <w:t>竞争性磋商文件</w:t>
      </w:r>
      <w:r>
        <w:rPr>
          <w:rFonts w:hint="eastAsia" w:ascii="宋体" w:hAnsi="宋体" w:cs="宋体"/>
          <w:color w:val="auto"/>
          <w:kern w:val="0"/>
          <w:szCs w:val="21"/>
          <w:highlight w:val="none"/>
        </w:rPr>
        <w:t>中作出专门规定。本项目取得营业执照的分支机构可以分</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lang w:val="en-US" w:eastAsia="zh-CN"/>
        </w:rPr>
        <w:t>支</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rPr>
        <w:t>公司名义参与</w:t>
      </w:r>
      <w:r>
        <w:rPr>
          <w:rFonts w:hint="eastAsia" w:ascii="宋体" w:hAnsi="宋体" w:cs="宋体"/>
          <w:color w:val="auto"/>
          <w:kern w:val="0"/>
          <w:szCs w:val="21"/>
          <w:highlight w:val="none"/>
          <w:lang w:val="en-US" w:eastAsia="zh-CN"/>
        </w:rPr>
        <w:t>磋商</w:t>
      </w:r>
      <w:r>
        <w:rPr>
          <w:rFonts w:hint="eastAsia" w:ascii="宋体" w:hAnsi="宋体" w:cs="宋体"/>
          <w:color w:val="auto"/>
          <w:kern w:val="0"/>
          <w:szCs w:val="21"/>
          <w:highlight w:val="none"/>
        </w:rPr>
        <w:t>。</w:t>
      </w:r>
      <w:r>
        <w:rPr>
          <w:rFonts w:hint="eastAsia" w:ascii="宋体" w:hAnsi="宋体" w:eastAsia="宋体" w:cs="宋体"/>
          <w:color w:val="auto"/>
          <w:szCs w:val="21"/>
          <w:highlight w:val="none"/>
          <w:lang w:eastAsia="zh-CN"/>
        </w:rPr>
        <w:t>若总公司与</w:t>
      </w:r>
      <w:r>
        <w:rPr>
          <w:rFonts w:hint="eastAsia" w:ascii="宋体" w:hAnsi="宋体" w:cs="宋体"/>
          <w:color w:val="auto"/>
          <w:kern w:val="0"/>
          <w:szCs w:val="21"/>
          <w:highlight w:val="none"/>
        </w:rPr>
        <w:t>分</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lang w:val="en-US" w:eastAsia="zh-CN"/>
        </w:rPr>
        <w:t>支</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rPr>
        <w:t>公司</w:t>
      </w:r>
      <w:r>
        <w:rPr>
          <w:rFonts w:hint="eastAsia" w:ascii="宋体" w:hAnsi="宋体" w:eastAsia="宋体" w:cs="宋体"/>
          <w:color w:val="auto"/>
          <w:szCs w:val="21"/>
          <w:highlight w:val="none"/>
          <w:lang w:eastAsia="zh-CN"/>
        </w:rPr>
        <w:t>机构同时</w:t>
      </w:r>
      <w:r>
        <w:rPr>
          <w:rFonts w:hint="eastAsia" w:ascii="宋体" w:hAnsi="宋体" w:eastAsia="宋体" w:cs="宋体"/>
          <w:color w:val="auto"/>
          <w:szCs w:val="21"/>
          <w:highlight w:val="none"/>
          <w:lang w:val="en-US" w:eastAsia="zh-CN"/>
        </w:rPr>
        <w:t>磋商</w:t>
      </w:r>
      <w:r>
        <w:rPr>
          <w:rFonts w:hint="eastAsia" w:ascii="宋体" w:hAnsi="宋体" w:eastAsia="宋体" w:cs="宋体"/>
          <w:color w:val="auto"/>
          <w:szCs w:val="21"/>
          <w:highlight w:val="none"/>
          <w:lang w:eastAsia="zh-CN"/>
        </w:rPr>
        <w:t>，或者同属一家公司的两个及以上</w:t>
      </w:r>
      <w:r>
        <w:rPr>
          <w:rFonts w:hint="eastAsia" w:ascii="宋体" w:hAnsi="宋体" w:cs="宋体"/>
          <w:color w:val="auto"/>
          <w:kern w:val="0"/>
          <w:szCs w:val="21"/>
          <w:highlight w:val="none"/>
        </w:rPr>
        <w:t>分</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lang w:val="en-US" w:eastAsia="zh-CN"/>
        </w:rPr>
        <w:t>支</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rPr>
        <w:t>公司</w:t>
      </w:r>
      <w:r>
        <w:rPr>
          <w:rFonts w:hint="eastAsia" w:ascii="宋体" w:hAnsi="宋体" w:eastAsia="宋体" w:cs="宋体"/>
          <w:color w:val="auto"/>
          <w:szCs w:val="21"/>
          <w:highlight w:val="none"/>
          <w:lang w:eastAsia="zh-CN"/>
        </w:rPr>
        <w:t>机构同时</w:t>
      </w:r>
      <w:r>
        <w:rPr>
          <w:rFonts w:hint="eastAsia" w:ascii="宋体" w:hAnsi="宋体" w:eastAsia="宋体" w:cs="宋体"/>
          <w:color w:val="auto"/>
          <w:szCs w:val="21"/>
          <w:highlight w:val="none"/>
          <w:lang w:val="en-US" w:eastAsia="zh-CN"/>
        </w:rPr>
        <w:t>磋商</w:t>
      </w:r>
      <w:r>
        <w:rPr>
          <w:rFonts w:hint="eastAsia" w:ascii="宋体" w:hAnsi="宋体" w:eastAsia="宋体" w:cs="宋体"/>
          <w:color w:val="auto"/>
          <w:szCs w:val="21"/>
          <w:highlight w:val="none"/>
          <w:lang w:eastAsia="zh-CN"/>
        </w:rPr>
        <w:t>，则相关</w:t>
      </w:r>
      <w:r>
        <w:rPr>
          <w:rFonts w:hint="eastAsia" w:ascii="宋体" w:hAnsi="宋体" w:eastAsia="宋体" w:cs="宋体"/>
          <w:color w:val="auto"/>
          <w:szCs w:val="21"/>
          <w:highlight w:val="none"/>
          <w:lang w:val="en-US" w:eastAsia="zh-CN"/>
        </w:rPr>
        <w:t>磋商</w:t>
      </w:r>
      <w:r>
        <w:rPr>
          <w:rFonts w:hint="eastAsia" w:ascii="宋体" w:hAnsi="宋体" w:eastAsia="宋体" w:cs="宋体"/>
          <w:color w:val="auto"/>
          <w:szCs w:val="21"/>
          <w:highlight w:val="none"/>
          <w:lang w:eastAsia="zh-CN"/>
        </w:rPr>
        <w:t>均无效。</w:t>
      </w:r>
    </w:p>
    <w:p w14:paraId="20EFAEFD">
      <w:pPr>
        <w:widowControl/>
        <w:spacing w:line="360" w:lineRule="auto"/>
        <w:ind w:firstLine="422" w:firstLineChars="200"/>
        <w:rPr>
          <w:rFonts w:hint="eastAsia" w:ascii="宋体" w:hAnsi="宋体" w:cs="宋体"/>
          <w:b/>
          <w:sz w:val="21"/>
          <w:szCs w:val="21"/>
          <w:highlight w:val="none"/>
        </w:rPr>
      </w:pPr>
      <w:r>
        <w:rPr>
          <w:rFonts w:hint="eastAsia" w:ascii="宋体" w:hAnsi="宋体" w:cs="宋体"/>
          <w:b/>
          <w:sz w:val="21"/>
          <w:szCs w:val="21"/>
          <w:highlight w:val="none"/>
        </w:rPr>
        <w:t>二、申请人的资格条件：</w:t>
      </w:r>
    </w:p>
    <w:p w14:paraId="2618E213">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1</w:t>
      </w:r>
      <w:r>
        <w:rPr>
          <w:rFonts w:hint="eastAsia" w:ascii="宋体" w:hAnsi="宋体" w:cs="宋体"/>
          <w:sz w:val="21"/>
          <w:szCs w:val="21"/>
          <w:highlight w:val="none"/>
          <w:lang w:bidi="ar"/>
        </w:rPr>
        <w:t>.</w:t>
      </w:r>
      <w:r>
        <w:rPr>
          <w:rFonts w:hint="eastAsia" w:ascii="宋体" w:hAnsi="宋体" w:cs="宋体"/>
          <w:sz w:val="21"/>
          <w:szCs w:val="21"/>
          <w:highlight w:val="none"/>
        </w:rPr>
        <w:t>满足《中华人民共和国政府采购法》第二十二条规定；</w:t>
      </w:r>
    </w:p>
    <w:p w14:paraId="24D6F9FD">
      <w:pPr>
        <w:spacing w:line="360" w:lineRule="auto"/>
        <w:ind w:firstLine="420" w:firstLineChars="200"/>
        <w:rPr>
          <w:rFonts w:hint="eastAsia" w:ascii="宋体" w:hAnsi="宋体" w:eastAsia="宋体" w:cs="宋体"/>
          <w:sz w:val="21"/>
          <w:szCs w:val="21"/>
          <w:highlight w:val="none"/>
        </w:rPr>
      </w:pPr>
      <w:r>
        <w:rPr>
          <w:rFonts w:hint="eastAsia" w:ascii="宋体" w:hAnsi="宋体" w:cs="宋体"/>
          <w:sz w:val="21"/>
          <w:szCs w:val="21"/>
          <w:highlight w:val="none"/>
        </w:rPr>
        <w:t>2</w:t>
      </w:r>
      <w:r>
        <w:rPr>
          <w:rFonts w:hint="eastAsia" w:ascii="宋体" w:hAnsi="宋体" w:cs="宋体"/>
          <w:sz w:val="21"/>
          <w:szCs w:val="21"/>
          <w:highlight w:val="none"/>
          <w:lang w:bidi="ar"/>
        </w:rPr>
        <w:t>.</w:t>
      </w:r>
      <w:r>
        <w:rPr>
          <w:rFonts w:hint="eastAsia" w:ascii="宋体" w:hAnsi="宋体" w:cs="宋体"/>
          <w:sz w:val="21"/>
          <w:szCs w:val="21"/>
          <w:highlight w:val="none"/>
        </w:rPr>
        <w:t>落实政府采购政策需满足的资格要求：</w:t>
      </w:r>
      <w:r>
        <w:rPr>
          <w:rFonts w:hint="eastAsia" w:ascii="宋体" w:hAnsi="宋体" w:eastAsia="宋体" w:cs="宋体"/>
          <w:sz w:val="21"/>
          <w:szCs w:val="21"/>
          <w:highlight w:val="none"/>
        </w:rPr>
        <w:t>分标1</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分标2</w:t>
      </w:r>
      <w:r>
        <w:rPr>
          <w:rFonts w:hint="eastAsia" w:ascii="宋体" w:hAnsi="宋体" w:cs="宋体"/>
          <w:sz w:val="21"/>
          <w:szCs w:val="21"/>
          <w:highlight w:val="none"/>
          <w:lang w:val="en-US" w:eastAsia="zh-CN"/>
        </w:rPr>
        <w:t>本项目非</w:t>
      </w:r>
      <w:r>
        <w:rPr>
          <w:rFonts w:hint="eastAsia" w:ascii="宋体" w:hAnsi="宋体" w:cs="宋体"/>
          <w:sz w:val="21"/>
          <w:szCs w:val="21"/>
          <w:highlight w:val="none"/>
        </w:rPr>
        <w:t>专门面向中小企业采购</w:t>
      </w:r>
    </w:p>
    <w:p w14:paraId="2728AF2D">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3</w:t>
      </w:r>
      <w:r>
        <w:rPr>
          <w:rFonts w:hint="eastAsia" w:ascii="宋体" w:hAnsi="宋体" w:cs="宋体"/>
          <w:sz w:val="21"/>
          <w:szCs w:val="21"/>
          <w:highlight w:val="none"/>
          <w:lang w:bidi="ar"/>
        </w:rPr>
        <w:t>.</w:t>
      </w:r>
      <w:r>
        <w:rPr>
          <w:rFonts w:hint="eastAsia" w:ascii="宋体" w:hAnsi="宋体" w:cs="宋体"/>
          <w:sz w:val="21"/>
          <w:szCs w:val="21"/>
          <w:highlight w:val="none"/>
        </w:rPr>
        <w:t>本项目的特定资格要求：</w:t>
      </w:r>
      <w:r>
        <w:rPr>
          <w:rFonts w:hint="eastAsia" w:ascii="宋体" w:hAnsi="宋体" w:eastAsia="宋体" w:cs="宋体"/>
          <w:sz w:val="21"/>
          <w:szCs w:val="21"/>
          <w:highlight w:val="none"/>
        </w:rPr>
        <w:t>分标1：无；分标2：无</w:t>
      </w:r>
    </w:p>
    <w:p w14:paraId="5ED51C46">
      <w:pPr>
        <w:widowControl/>
        <w:spacing w:line="360" w:lineRule="auto"/>
        <w:ind w:firstLine="422" w:firstLineChars="200"/>
        <w:rPr>
          <w:rFonts w:hint="eastAsia" w:ascii="宋体" w:hAnsi="宋体" w:cs="宋体"/>
          <w:b/>
          <w:sz w:val="21"/>
          <w:szCs w:val="21"/>
          <w:highlight w:val="none"/>
        </w:rPr>
      </w:pPr>
      <w:r>
        <w:rPr>
          <w:rFonts w:hint="eastAsia" w:ascii="宋体" w:hAnsi="宋体" w:cs="宋体"/>
          <w:b/>
          <w:sz w:val="21"/>
          <w:szCs w:val="21"/>
          <w:highlight w:val="none"/>
        </w:rPr>
        <w:t>三、获取竞争性磋商文件</w:t>
      </w:r>
    </w:p>
    <w:p w14:paraId="3BC3E3D9">
      <w:pPr>
        <w:spacing w:before="10" w:after="10" w:line="460" w:lineRule="exact"/>
        <w:ind w:firstLine="420" w:firstLineChars="200"/>
        <w:rPr>
          <w:rFonts w:hint="eastAsia" w:ascii="宋体" w:hAnsi="宋体" w:cs="宋体"/>
          <w:bCs/>
          <w:kern w:val="0"/>
          <w:sz w:val="21"/>
          <w:szCs w:val="21"/>
          <w:highlight w:val="none"/>
        </w:rPr>
      </w:pPr>
      <w:r>
        <w:rPr>
          <w:rFonts w:hint="eastAsia" w:ascii="宋体" w:hAnsi="宋体" w:cs="宋体"/>
          <w:bCs/>
          <w:kern w:val="0"/>
          <w:sz w:val="21"/>
          <w:szCs w:val="21"/>
          <w:highlight w:val="none"/>
        </w:rPr>
        <w:t>时间：</w:t>
      </w:r>
      <w:r>
        <w:rPr>
          <w:rFonts w:hint="eastAsia" w:ascii="宋体" w:hAnsi="宋体" w:eastAsia="宋体" w:cs="宋体"/>
          <w:sz w:val="21"/>
          <w:szCs w:val="21"/>
          <w:highlight w:val="none"/>
          <w:lang w:eastAsia="zh-CN"/>
        </w:rPr>
        <w:t>2</w:t>
      </w:r>
      <w:r>
        <w:rPr>
          <w:rFonts w:hint="eastAsia" w:ascii="宋体" w:hAnsi="宋体" w:eastAsia="宋体" w:cs="宋体"/>
          <w:sz w:val="21"/>
          <w:szCs w:val="21"/>
          <w:highlight w:val="none"/>
          <w:lang w:val="en-US" w:eastAsia="zh-CN"/>
        </w:rPr>
        <w:t>026</w:t>
      </w:r>
      <w:r>
        <w:rPr>
          <w:rFonts w:hint="eastAsia" w:ascii="宋体" w:hAnsi="宋体" w:cs="宋体"/>
          <w:sz w:val="21"/>
          <w:szCs w:val="21"/>
          <w:highlight w:val="none"/>
        </w:rPr>
        <w:t>年</w:t>
      </w:r>
      <w:r>
        <w:rPr>
          <w:rFonts w:hint="eastAsia" w:ascii="宋体" w:hAnsi="宋体" w:cs="宋体"/>
          <w:sz w:val="21"/>
          <w:szCs w:val="21"/>
          <w:highlight w:val="none"/>
          <w:lang w:val="en-US" w:eastAsia="zh-CN"/>
        </w:rPr>
        <w:t>6</w:t>
      </w:r>
      <w:r>
        <w:rPr>
          <w:rFonts w:hint="eastAsia" w:ascii="宋体" w:hAnsi="宋体" w:cs="宋体"/>
          <w:sz w:val="21"/>
          <w:szCs w:val="21"/>
          <w:highlight w:val="none"/>
        </w:rPr>
        <w:t>月</w:t>
      </w:r>
      <w:r>
        <w:rPr>
          <w:rFonts w:hint="eastAsia" w:ascii="宋体" w:hAnsi="宋体" w:cs="宋体"/>
          <w:sz w:val="21"/>
          <w:szCs w:val="21"/>
          <w:highlight w:val="none"/>
          <w:lang w:val="en-US" w:eastAsia="zh-CN"/>
        </w:rPr>
        <w:t>4</w:t>
      </w:r>
      <w:r>
        <w:rPr>
          <w:rFonts w:hint="eastAsia" w:ascii="宋体" w:hAnsi="宋体" w:cs="宋体"/>
          <w:sz w:val="21"/>
          <w:szCs w:val="21"/>
          <w:highlight w:val="none"/>
        </w:rPr>
        <w:t>日至</w:t>
      </w:r>
      <w:r>
        <w:rPr>
          <w:rFonts w:hint="eastAsia" w:ascii="宋体" w:hAnsi="宋体" w:eastAsia="宋体" w:cs="宋体"/>
          <w:sz w:val="21"/>
          <w:szCs w:val="21"/>
          <w:highlight w:val="none"/>
          <w:lang w:eastAsia="zh-CN"/>
        </w:rPr>
        <w:t>2</w:t>
      </w:r>
      <w:r>
        <w:rPr>
          <w:rFonts w:hint="eastAsia" w:ascii="宋体" w:hAnsi="宋体" w:eastAsia="宋体" w:cs="宋体"/>
          <w:sz w:val="21"/>
          <w:szCs w:val="21"/>
          <w:highlight w:val="none"/>
          <w:lang w:val="en-US" w:eastAsia="zh-CN"/>
        </w:rPr>
        <w:t>026</w:t>
      </w:r>
      <w:r>
        <w:rPr>
          <w:rFonts w:hint="eastAsia" w:ascii="宋体" w:hAnsi="宋体" w:cs="宋体"/>
          <w:sz w:val="21"/>
          <w:szCs w:val="21"/>
          <w:highlight w:val="none"/>
        </w:rPr>
        <w:t>年</w:t>
      </w:r>
      <w:r>
        <w:rPr>
          <w:rFonts w:hint="eastAsia" w:ascii="宋体" w:hAnsi="宋体" w:cs="宋体"/>
          <w:sz w:val="21"/>
          <w:szCs w:val="21"/>
          <w:highlight w:val="none"/>
          <w:lang w:val="en-US" w:eastAsia="zh-CN"/>
        </w:rPr>
        <w:t>6</w:t>
      </w:r>
      <w:r>
        <w:rPr>
          <w:rFonts w:hint="eastAsia" w:ascii="宋体" w:hAnsi="宋体" w:cs="宋体"/>
          <w:sz w:val="21"/>
          <w:szCs w:val="21"/>
          <w:highlight w:val="none"/>
        </w:rPr>
        <w:t>月</w:t>
      </w:r>
      <w:r>
        <w:rPr>
          <w:rFonts w:hint="eastAsia" w:ascii="宋体" w:hAnsi="宋体" w:cs="宋体"/>
          <w:sz w:val="21"/>
          <w:szCs w:val="21"/>
          <w:highlight w:val="none"/>
          <w:lang w:val="en-US" w:eastAsia="zh-CN"/>
        </w:rPr>
        <w:t>14</w:t>
      </w:r>
      <w:r>
        <w:rPr>
          <w:rFonts w:hint="eastAsia" w:ascii="宋体" w:hAnsi="宋体" w:cs="宋体"/>
          <w:sz w:val="21"/>
          <w:szCs w:val="21"/>
          <w:highlight w:val="none"/>
        </w:rPr>
        <w:t>日，</w:t>
      </w:r>
      <w:r>
        <w:rPr>
          <w:rFonts w:hint="eastAsia" w:ascii="宋体" w:hAnsi="宋体" w:cs="宋体"/>
          <w:bCs/>
          <w:color w:val="auto"/>
          <w:kern w:val="0"/>
          <w:szCs w:val="21"/>
          <w:highlight w:val="none"/>
          <w:u w:val="none"/>
        </w:rPr>
        <w:t>每天上午00:00至12:00，下午12:00至23:59（北京时间，法定节假日除外）</w:t>
      </w:r>
      <w:r>
        <w:rPr>
          <w:rFonts w:hint="eastAsia" w:ascii="宋体" w:hAnsi="宋体" w:cs="宋体"/>
          <w:bCs/>
          <w:kern w:val="0"/>
          <w:sz w:val="21"/>
          <w:szCs w:val="21"/>
          <w:highlight w:val="none"/>
        </w:rPr>
        <w:t>。</w:t>
      </w:r>
    </w:p>
    <w:p w14:paraId="1C299552">
      <w:pPr>
        <w:spacing w:line="360" w:lineRule="auto"/>
        <w:ind w:firstLine="420" w:firstLineChars="200"/>
        <w:rPr>
          <w:rFonts w:hint="eastAsia" w:ascii="宋体" w:hAnsi="宋体" w:cs="宋体"/>
          <w:bCs/>
          <w:kern w:val="0"/>
          <w:sz w:val="21"/>
          <w:szCs w:val="21"/>
          <w:highlight w:val="none"/>
        </w:rPr>
      </w:pPr>
      <w:r>
        <w:rPr>
          <w:rFonts w:hint="eastAsia" w:ascii="宋体" w:hAnsi="宋体" w:cs="宋体"/>
          <w:bCs/>
          <w:kern w:val="0"/>
          <w:sz w:val="21"/>
          <w:szCs w:val="21"/>
          <w:highlight w:val="none"/>
        </w:rPr>
        <w:t>地点</w:t>
      </w:r>
      <w:r>
        <w:rPr>
          <w:rFonts w:hint="eastAsia" w:ascii="宋体" w:hAnsi="宋体"/>
          <w:color w:val="auto"/>
          <w:szCs w:val="21"/>
          <w:highlight w:val="none"/>
        </w:rPr>
        <w:t>（网址）</w:t>
      </w:r>
      <w:r>
        <w:rPr>
          <w:rFonts w:hint="eastAsia" w:ascii="宋体" w:hAnsi="宋体" w:cs="宋体"/>
          <w:bCs/>
          <w:kern w:val="0"/>
          <w:sz w:val="21"/>
          <w:szCs w:val="21"/>
          <w:highlight w:val="none"/>
        </w:rPr>
        <w:t>：广西政府采购云平台（https://www.gcy.zfcg.gxzf.gov.cn/）</w:t>
      </w:r>
    </w:p>
    <w:p w14:paraId="02523B31">
      <w:pPr>
        <w:spacing w:line="360" w:lineRule="auto"/>
        <w:ind w:firstLine="420" w:firstLineChars="200"/>
        <w:rPr>
          <w:rFonts w:hint="eastAsia" w:ascii="宋体" w:hAnsi="宋体" w:cs="宋体"/>
          <w:bCs/>
          <w:kern w:val="0"/>
          <w:sz w:val="21"/>
          <w:szCs w:val="21"/>
          <w:highlight w:val="none"/>
        </w:rPr>
      </w:pPr>
      <w:r>
        <w:rPr>
          <w:rFonts w:hint="eastAsia" w:ascii="宋体" w:hAnsi="宋体" w:cs="宋体"/>
          <w:bCs/>
          <w:kern w:val="0"/>
          <w:sz w:val="21"/>
          <w:szCs w:val="21"/>
          <w:highlight w:val="none"/>
        </w:rPr>
        <w:t>方式：网上下载。本项目不发放纸质文件，供应商应自行在</w:t>
      </w:r>
      <w:r>
        <w:rPr>
          <w:rFonts w:hint="eastAsia" w:ascii="宋体" w:hAnsi="宋体" w:cs="宋体"/>
          <w:szCs w:val="21"/>
          <w:highlight w:val="none"/>
        </w:rPr>
        <w:fldChar w:fldCharType="begin"/>
      </w:r>
      <w:r>
        <w:rPr>
          <w:rFonts w:hint="eastAsia" w:ascii="宋体" w:hAnsi="宋体" w:cs="宋体"/>
          <w:szCs w:val="21"/>
          <w:highlight w:val="none"/>
        </w:rPr>
        <w:instrText xml:space="preserve">HYPERLINK</w:instrText>
      </w:r>
      <w:r>
        <w:rPr>
          <w:rFonts w:hint="eastAsia" w:ascii="宋体" w:hAnsi="宋体" w:cs="宋体"/>
          <w:szCs w:val="21"/>
          <w:highlight w:val="none"/>
        </w:rPr>
        <w:fldChar w:fldCharType="separate"/>
      </w:r>
      <w:r>
        <w:rPr>
          <w:rFonts w:hint="eastAsia" w:ascii="宋体" w:hAnsi="宋体" w:cs="宋体"/>
          <w:szCs w:val="21"/>
          <w:highlight w:val="none"/>
        </w:rPr>
        <w:fldChar w:fldCharType="end"/>
      </w:r>
      <w:r>
        <w:rPr>
          <w:rFonts w:hint="eastAsia" w:ascii="宋体" w:hAnsi="宋体" w:cs="宋体"/>
          <w:bCs/>
          <w:kern w:val="0"/>
          <w:sz w:val="21"/>
          <w:szCs w:val="21"/>
          <w:highlight w:val="none"/>
        </w:rPr>
        <w:t>广西政府采购云平台（https://www.gcy.zfcg.gxzf.gov.cn/）下载竞争性磋商文件（操作路径：登录广西政府采购云平台-项目采购-获取采购文件-找到本项目-点击“申请获取采购文件”），</w:t>
      </w:r>
      <w:r>
        <w:rPr>
          <w:rFonts w:hint="eastAsia" w:ascii="宋体" w:hAnsi="宋体" w:eastAsia="宋体" w:cs="Times New Roman"/>
          <w:color w:val="auto"/>
          <w:szCs w:val="21"/>
          <w:highlight w:val="none"/>
        </w:rPr>
        <w:t>电子响应文件制作需要基于广西政府采购云平台（https://www.gcy.zfcg.gxzf.gov.cn/）获取的采购文件编制。</w:t>
      </w:r>
    </w:p>
    <w:p w14:paraId="27B57675">
      <w:pPr>
        <w:spacing w:line="360" w:lineRule="auto"/>
        <w:ind w:firstLine="420" w:firstLineChars="200"/>
        <w:rPr>
          <w:rFonts w:hint="eastAsia" w:ascii="宋体" w:hAnsi="宋体" w:cs="宋体"/>
          <w:sz w:val="21"/>
          <w:szCs w:val="21"/>
          <w:highlight w:val="none"/>
        </w:rPr>
      </w:pPr>
      <w:r>
        <w:rPr>
          <w:rFonts w:hint="eastAsia" w:ascii="宋体" w:hAnsi="宋体" w:cs="宋体"/>
          <w:bCs/>
          <w:kern w:val="0"/>
          <w:sz w:val="21"/>
          <w:szCs w:val="21"/>
          <w:highlight w:val="none"/>
        </w:rPr>
        <w:t>售价：0。</w:t>
      </w:r>
    </w:p>
    <w:p w14:paraId="778E2E0F">
      <w:pPr>
        <w:widowControl/>
        <w:spacing w:line="360" w:lineRule="auto"/>
        <w:ind w:firstLine="422" w:firstLineChars="200"/>
        <w:rPr>
          <w:rFonts w:hint="eastAsia" w:ascii="宋体" w:hAnsi="宋体" w:cs="宋体"/>
          <w:b/>
          <w:sz w:val="21"/>
          <w:szCs w:val="21"/>
          <w:highlight w:val="none"/>
        </w:rPr>
      </w:pPr>
      <w:r>
        <w:rPr>
          <w:rFonts w:hint="eastAsia" w:ascii="宋体" w:hAnsi="宋体" w:cs="宋体"/>
          <w:b/>
          <w:sz w:val="21"/>
          <w:szCs w:val="21"/>
          <w:highlight w:val="none"/>
        </w:rPr>
        <w:t>四、响应文件提交</w:t>
      </w:r>
    </w:p>
    <w:p w14:paraId="1C14FFB7">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截止时间：2026年</w:t>
      </w:r>
      <w:r>
        <w:rPr>
          <w:rFonts w:hint="eastAsia" w:ascii="宋体" w:hAnsi="宋体" w:cs="宋体"/>
          <w:sz w:val="21"/>
          <w:szCs w:val="21"/>
          <w:highlight w:val="none"/>
          <w:lang w:val="en-US" w:eastAsia="zh-CN"/>
        </w:rPr>
        <w:t>6</w:t>
      </w:r>
      <w:r>
        <w:rPr>
          <w:rFonts w:hint="eastAsia" w:ascii="宋体" w:hAnsi="宋体" w:eastAsia="宋体" w:cs="宋体"/>
          <w:sz w:val="21"/>
          <w:szCs w:val="21"/>
          <w:highlight w:val="none"/>
        </w:rPr>
        <w:t>月</w:t>
      </w:r>
      <w:r>
        <w:rPr>
          <w:rFonts w:hint="eastAsia" w:ascii="宋体" w:hAnsi="宋体" w:cs="宋体"/>
          <w:sz w:val="21"/>
          <w:szCs w:val="21"/>
          <w:highlight w:val="none"/>
          <w:lang w:val="en-US" w:eastAsia="zh-CN"/>
        </w:rPr>
        <w:t>15</w:t>
      </w:r>
      <w:r>
        <w:rPr>
          <w:rFonts w:hint="eastAsia" w:ascii="宋体" w:hAnsi="宋体" w:eastAsia="宋体" w:cs="宋体"/>
          <w:sz w:val="21"/>
          <w:szCs w:val="21"/>
          <w:highlight w:val="none"/>
        </w:rPr>
        <w:t>日09时30分（北京时间）</w:t>
      </w:r>
    </w:p>
    <w:p w14:paraId="5C039504">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地点</w:t>
      </w:r>
      <w:r>
        <w:rPr>
          <w:rFonts w:hint="eastAsia" w:ascii="宋体" w:hAnsi="宋体" w:cs="宋体"/>
          <w:color w:val="auto"/>
          <w:highlight w:val="none"/>
        </w:rPr>
        <w:t>（网址）</w:t>
      </w:r>
      <w:r>
        <w:rPr>
          <w:rFonts w:hint="eastAsia" w:ascii="宋体" w:hAnsi="宋体" w:eastAsia="宋体" w:cs="宋体"/>
          <w:sz w:val="21"/>
          <w:szCs w:val="21"/>
          <w:highlight w:val="none"/>
        </w:rPr>
        <w:t>：</w:t>
      </w:r>
      <w:r>
        <w:rPr>
          <w:rFonts w:hint="eastAsia" w:ascii="宋体" w:hAnsi="宋体" w:cs="宋体"/>
          <w:color w:val="auto"/>
          <w:highlight w:val="none"/>
        </w:rPr>
        <w:t>广西政府采购云平台（https://www.gcy.zfcg.gxzf.gov.cn/）</w:t>
      </w:r>
    </w:p>
    <w:p w14:paraId="1078A827">
      <w:pPr>
        <w:widowControl/>
        <w:spacing w:line="360" w:lineRule="auto"/>
        <w:ind w:firstLine="422" w:firstLineChars="200"/>
        <w:rPr>
          <w:rFonts w:hint="eastAsia" w:ascii="宋体" w:hAnsi="宋体" w:cs="宋体"/>
          <w:b/>
          <w:sz w:val="21"/>
          <w:szCs w:val="21"/>
          <w:highlight w:val="none"/>
        </w:rPr>
      </w:pPr>
      <w:r>
        <w:rPr>
          <w:rFonts w:hint="eastAsia" w:ascii="宋体" w:hAnsi="宋体" w:cs="宋体"/>
          <w:b/>
          <w:sz w:val="21"/>
          <w:szCs w:val="21"/>
          <w:highlight w:val="none"/>
        </w:rPr>
        <w:t>五、开启</w:t>
      </w:r>
    </w:p>
    <w:p w14:paraId="499E154F">
      <w:pPr>
        <w:widowControl/>
        <w:spacing w:line="360" w:lineRule="auto"/>
        <w:ind w:firstLine="420" w:firstLineChars="200"/>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lang w:val="en-US" w:eastAsia="zh-CN"/>
        </w:rPr>
        <w:t>开启</w:t>
      </w:r>
      <w:r>
        <w:rPr>
          <w:rFonts w:hint="eastAsia" w:ascii="宋体" w:hAnsi="宋体" w:eastAsia="宋体" w:cs="宋体"/>
          <w:b w:val="0"/>
          <w:bCs/>
          <w:sz w:val="21"/>
          <w:szCs w:val="21"/>
          <w:highlight w:val="none"/>
        </w:rPr>
        <w:t>时间：</w:t>
      </w:r>
      <w:r>
        <w:rPr>
          <w:rFonts w:hint="eastAsia" w:ascii="宋体" w:hAnsi="宋体" w:eastAsia="宋体" w:cs="宋体"/>
          <w:b w:val="0"/>
          <w:bCs/>
          <w:sz w:val="21"/>
          <w:szCs w:val="21"/>
          <w:highlight w:val="none"/>
          <w:lang w:val="en-US" w:eastAsia="zh-CN"/>
        </w:rPr>
        <w:t>2026年</w:t>
      </w:r>
      <w:r>
        <w:rPr>
          <w:rFonts w:hint="eastAsia" w:ascii="宋体" w:hAnsi="宋体" w:cs="宋体"/>
          <w:b w:val="0"/>
          <w:bCs/>
          <w:sz w:val="21"/>
          <w:szCs w:val="21"/>
          <w:highlight w:val="none"/>
          <w:lang w:val="en-US" w:eastAsia="zh-CN"/>
        </w:rPr>
        <w:t>6</w:t>
      </w:r>
      <w:r>
        <w:rPr>
          <w:rFonts w:hint="eastAsia" w:ascii="宋体" w:hAnsi="宋体" w:eastAsia="宋体" w:cs="宋体"/>
          <w:b w:val="0"/>
          <w:bCs/>
          <w:sz w:val="21"/>
          <w:szCs w:val="21"/>
          <w:highlight w:val="none"/>
        </w:rPr>
        <w:t>月</w:t>
      </w:r>
      <w:r>
        <w:rPr>
          <w:rFonts w:hint="eastAsia" w:ascii="宋体" w:hAnsi="宋体" w:cs="宋体"/>
          <w:b w:val="0"/>
          <w:bCs/>
          <w:sz w:val="21"/>
          <w:szCs w:val="21"/>
          <w:highlight w:val="none"/>
          <w:lang w:val="en-US" w:eastAsia="zh-CN"/>
        </w:rPr>
        <w:t>15</w:t>
      </w:r>
      <w:r>
        <w:rPr>
          <w:rFonts w:hint="eastAsia" w:ascii="宋体" w:hAnsi="宋体" w:eastAsia="宋体" w:cs="宋体"/>
          <w:b w:val="0"/>
          <w:bCs/>
          <w:sz w:val="21"/>
          <w:szCs w:val="21"/>
          <w:highlight w:val="none"/>
        </w:rPr>
        <w:t>日</w:t>
      </w:r>
      <w:r>
        <w:rPr>
          <w:rFonts w:hint="eastAsia" w:ascii="宋体" w:hAnsi="宋体" w:eastAsia="宋体" w:cs="宋体"/>
          <w:b w:val="0"/>
          <w:bCs/>
          <w:sz w:val="21"/>
          <w:szCs w:val="21"/>
          <w:highlight w:val="none"/>
          <w:lang w:val="en-US" w:eastAsia="zh-CN"/>
        </w:rPr>
        <w:t>09</w:t>
      </w:r>
      <w:r>
        <w:rPr>
          <w:rFonts w:hint="eastAsia" w:ascii="宋体" w:hAnsi="宋体" w:eastAsia="宋体" w:cs="宋体"/>
          <w:b w:val="0"/>
          <w:bCs/>
          <w:sz w:val="21"/>
          <w:szCs w:val="21"/>
          <w:highlight w:val="none"/>
        </w:rPr>
        <w:t>时</w:t>
      </w:r>
      <w:r>
        <w:rPr>
          <w:rFonts w:hint="eastAsia" w:ascii="宋体" w:hAnsi="宋体" w:eastAsia="宋体" w:cs="宋体"/>
          <w:b w:val="0"/>
          <w:bCs/>
          <w:sz w:val="21"/>
          <w:szCs w:val="21"/>
          <w:highlight w:val="none"/>
          <w:lang w:val="en-US" w:eastAsia="zh-CN"/>
        </w:rPr>
        <w:t>30</w:t>
      </w:r>
      <w:r>
        <w:rPr>
          <w:rFonts w:hint="eastAsia" w:ascii="宋体" w:hAnsi="宋体" w:eastAsia="宋体" w:cs="宋体"/>
          <w:b w:val="0"/>
          <w:bCs/>
          <w:sz w:val="21"/>
          <w:szCs w:val="21"/>
          <w:highlight w:val="none"/>
        </w:rPr>
        <w:t>分（北京时间）</w:t>
      </w:r>
    </w:p>
    <w:p w14:paraId="6C74D9D9">
      <w:pPr>
        <w:widowControl/>
        <w:spacing w:line="360" w:lineRule="auto"/>
        <w:ind w:firstLine="420" w:firstLineChars="200"/>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地点：广西政府采购云平台开标大厅</w:t>
      </w:r>
    </w:p>
    <w:p w14:paraId="0432BEF4">
      <w:pPr>
        <w:widowControl/>
        <w:spacing w:line="360" w:lineRule="auto"/>
        <w:ind w:firstLine="422" w:firstLineChars="200"/>
        <w:rPr>
          <w:rFonts w:hint="eastAsia" w:ascii="宋体" w:hAnsi="宋体" w:cs="宋体"/>
          <w:b/>
          <w:sz w:val="21"/>
          <w:szCs w:val="21"/>
          <w:highlight w:val="none"/>
        </w:rPr>
      </w:pPr>
      <w:r>
        <w:rPr>
          <w:rFonts w:hint="eastAsia" w:ascii="宋体" w:hAnsi="宋体" w:cs="宋体"/>
          <w:b/>
          <w:sz w:val="21"/>
          <w:szCs w:val="21"/>
          <w:highlight w:val="none"/>
        </w:rPr>
        <w:t>六、公告期限</w:t>
      </w:r>
    </w:p>
    <w:p w14:paraId="29D43D75">
      <w:pPr>
        <w:spacing w:line="360" w:lineRule="auto"/>
        <w:ind w:firstLine="420" w:firstLineChars="200"/>
        <w:rPr>
          <w:rFonts w:hint="eastAsia" w:ascii="宋体" w:hAnsi="宋体" w:cs="宋体"/>
          <w:kern w:val="0"/>
          <w:sz w:val="21"/>
          <w:szCs w:val="21"/>
          <w:highlight w:val="none"/>
        </w:rPr>
      </w:pPr>
      <w:r>
        <w:rPr>
          <w:rFonts w:hint="eastAsia" w:ascii="宋体" w:hAnsi="宋体" w:cs="宋体"/>
          <w:kern w:val="0"/>
          <w:sz w:val="21"/>
          <w:szCs w:val="21"/>
          <w:highlight w:val="none"/>
        </w:rPr>
        <w:t>自本公告发布之日起</w:t>
      </w:r>
      <w:r>
        <w:rPr>
          <w:rFonts w:hint="eastAsia" w:ascii="宋体" w:hAnsi="宋体" w:cs="宋体"/>
          <w:kern w:val="0"/>
          <w:sz w:val="21"/>
          <w:szCs w:val="21"/>
          <w:highlight w:val="none"/>
          <w:lang w:val="en-US" w:eastAsia="zh-CN"/>
        </w:rPr>
        <w:t>5</w:t>
      </w:r>
      <w:r>
        <w:rPr>
          <w:rFonts w:hint="eastAsia" w:ascii="宋体" w:hAnsi="宋体" w:cs="宋体"/>
          <w:kern w:val="0"/>
          <w:sz w:val="21"/>
          <w:szCs w:val="21"/>
          <w:highlight w:val="none"/>
        </w:rPr>
        <w:t>个工作日。</w:t>
      </w:r>
    </w:p>
    <w:p w14:paraId="1E326BCF">
      <w:pPr>
        <w:spacing w:line="360" w:lineRule="auto"/>
        <w:ind w:firstLine="422" w:firstLineChars="200"/>
        <w:rPr>
          <w:rFonts w:hint="eastAsia" w:ascii="宋体" w:hAnsi="宋体" w:cs="宋体"/>
          <w:sz w:val="21"/>
          <w:szCs w:val="21"/>
          <w:highlight w:val="none"/>
        </w:rPr>
      </w:pPr>
      <w:r>
        <w:rPr>
          <w:rFonts w:hint="eastAsia" w:ascii="宋体" w:hAnsi="宋体" w:cs="宋体"/>
          <w:b/>
          <w:bCs/>
          <w:sz w:val="21"/>
          <w:szCs w:val="21"/>
          <w:highlight w:val="none"/>
          <w:lang w:bidi="ar"/>
        </w:rPr>
        <w:t>七、</w:t>
      </w:r>
      <w:r>
        <w:rPr>
          <w:rFonts w:hint="eastAsia" w:ascii="宋体" w:hAnsi="宋体" w:cs="宋体"/>
          <w:b/>
          <w:sz w:val="21"/>
          <w:szCs w:val="21"/>
          <w:highlight w:val="none"/>
        </w:rPr>
        <w:t>其他补充事宜</w:t>
      </w:r>
      <w:r>
        <w:rPr>
          <w:rFonts w:hint="eastAsia" w:ascii="宋体" w:hAnsi="宋体" w:cs="宋体"/>
          <w:sz w:val="21"/>
          <w:szCs w:val="21"/>
          <w:highlight w:val="none"/>
          <w:lang w:bidi="ar"/>
        </w:rPr>
        <w:t>：</w:t>
      </w:r>
    </w:p>
    <w:p w14:paraId="0F5EA89D">
      <w:pPr>
        <w:widowControl/>
        <w:spacing w:line="360" w:lineRule="auto"/>
        <w:ind w:firstLine="420" w:firstLineChars="200"/>
        <w:rPr>
          <w:rFonts w:hint="eastAsia" w:ascii="宋体" w:hAnsi="宋体" w:cs="宋体"/>
          <w:sz w:val="21"/>
          <w:szCs w:val="21"/>
          <w:highlight w:val="none"/>
          <w:lang w:bidi="ar"/>
        </w:rPr>
      </w:pPr>
      <w:r>
        <w:rPr>
          <w:rFonts w:hint="eastAsia" w:ascii="宋体" w:hAnsi="宋体" w:cs="宋体"/>
          <w:sz w:val="21"/>
          <w:szCs w:val="21"/>
          <w:highlight w:val="none"/>
          <w:lang w:bidi="ar"/>
        </w:rPr>
        <w:t>1.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3D773C4B">
      <w:pPr>
        <w:widowControl/>
        <w:spacing w:line="360" w:lineRule="auto"/>
        <w:ind w:firstLine="420" w:firstLineChars="200"/>
        <w:rPr>
          <w:rFonts w:hint="eastAsia" w:ascii="宋体" w:hAnsi="宋体" w:cs="宋体"/>
          <w:sz w:val="21"/>
          <w:szCs w:val="21"/>
          <w:highlight w:val="none"/>
          <w:lang w:bidi="ar"/>
        </w:rPr>
      </w:pPr>
      <w:r>
        <w:rPr>
          <w:rFonts w:hint="eastAsia" w:ascii="宋体" w:hAnsi="宋体" w:cs="宋体"/>
          <w:sz w:val="21"/>
          <w:szCs w:val="21"/>
          <w:highlight w:val="none"/>
          <w:lang w:bidi="ar"/>
        </w:rPr>
        <w:t>2.根据财政部《关于在政府采购活动中查询及使用信用记录有关问题的通知》（财库〔2016〕125号）的规定，对在“信用中国”网站(www.creditchina.gov.cn)、中国政府采购网(www.ccgp.gov.cn)</w:t>
      </w:r>
      <w:r>
        <w:rPr>
          <w:rFonts w:hint="eastAsia" w:ascii="宋体" w:hAnsi="宋体" w:cs="宋体"/>
          <w:sz w:val="21"/>
          <w:szCs w:val="21"/>
          <w:highlight w:val="none"/>
          <w:lang w:eastAsia="zh-CN" w:bidi="ar"/>
        </w:rPr>
        <w:t>、中国执行信息公开网（https://zxgk.court.gov.cn/）</w:t>
      </w:r>
      <w:r>
        <w:rPr>
          <w:rFonts w:hint="eastAsia" w:ascii="宋体" w:hAnsi="宋体" w:cs="宋体"/>
          <w:sz w:val="21"/>
          <w:szCs w:val="21"/>
          <w:highlight w:val="none"/>
          <w:lang w:bidi="ar"/>
        </w:rPr>
        <w:t>被列入失信被执行人、重大税收违法失信主体、政府采购严重违法失信行为记录名单及其他不符合《中华人民共和国政府采购法》第二十二条规定条件的供应商，不得参与政府采购活动。</w:t>
      </w:r>
    </w:p>
    <w:p w14:paraId="52B4C1A1">
      <w:pPr>
        <w:spacing w:line="360" w:lineRule="auto"/>
        <w:ind w:left="0" w:leftChars="0" w:firstLine="420" w:firstLineChars="200"/>
        <w:rPr>
          <w:rFonts w:hint="eastAsia" w:ascii="宋体" w:hAnsi="宋体" w:cs="宋体"/>
          <w:sz w:val="21"/>
          <w:szCs w:val="21"/>
          <w:highlight w:val="none"/>
          <w:lang w:bidi="ar"/>
        </w:rPr>
      </w:pPr>
      <w:r>
        <w:rPr>
          <w:rFonts w:hint="eastAsia" w:ascii="宋体" w:hAnsi="宋体" w:cs="宋体"/>
          <w:sz w:val="21"/>
          <w:szCs w:val="21"/>
          <w:highlight w:val="none"/>
          <w:lang w:bidi="ar"/>
        </w:rPr>
        <w:t>3.网上查询地址：</w:t>
      </w:r>
    </w:p>
    <w:p w14:paraId="790C5182">
      <w:pPr>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Times New Roman"/>
          <w:color w:val="auto"/>
          <w:szCs w:val="21"/>
          <w:highlight w:val="none"/>
        </w:rPr>
        <w:fldChar w:fldCharType="begin"/>
      </w:r>
      <w:r>
        <w:rPr>
          <w:rFonts w:hint="eastAsia" w:ascii="宋体" w:hAnsi="宋体" w:eastAsia="宋体" w:cs="Times New Roman"/>
          <w:color w:val="auto"/>
          <w:szCs w:val="21"/>
          <w:highlight w:val="none"/>
        </w:rPr>
        <w:instrText xml:space="preserve"> HYPERLINK "http://www.ccgp.gov.cn（中国政府采购网）、zfcg.gxzf.gov.cn（广西壮族自治区政府采购网）。" </w:instrText>
      </w:r>
      <w:r>
        <w:rPr>
          <w:rFonts w:hint="eastAsia" w:ascii="宋体" w:hAnsi="宋体" w:eastAsia="宋体" w:cs="Times New Roman"/>
          <w:color w:val="auto"/>
          <w:szCs w:val="21"/>
          <w:highlight w:val="none"/>
        </w:rPr>
        <w:fldChar w:fldCharType="separate"/>
      </w:r>
      <w:r>
        <w:rPr>
          <w:rFonts w:hint="eastAsia" w:ascii="宋体" w:hAnsi="宋体" w:eastAsia="宋体" w:cs="宋体"/>
          <w:color w:val="auto"/>
          <w:kern w:val="0"/>
          <w:szCs w:val="21"/>
          <w:highlight w:val="none"/>
        </w:rPr>
        <w:t>中国政府采购网（www.ccgp.gov.cn）</w:t>
      </w:r>
    </w:p>
    <w:p w14:paraId="67E48DFE">
      <w:pPr>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广西壮族自治区政府采购网（www.ccgp-guangxi.gov.cn）</w:t>
      </w:r>
    </w:p>
    <w:p w14:paraId="7D506145">
      <w:pPr>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桂林市政府采购网（zfcg.czj.guilin.gov.cn）</w:t>
      </w:r>
    </w:p>
    <w:p w14:paraId="127B27CF">
      <w:pPr>
        <w:widowControl/>
        <w:spacing w:line="360" w:lineRule="auto"/>
        <w:ind w:firstLine="420" w:firstLineChars="200"/>
        <w:rPr>
          <w:rFonts w:hint="eastAsia" w:ascii="宋体" w:hAnsi="宋体" w:cs="宋体"/>
          <w:sz w:val="21"/>
          <w:szCs w:val="21"/>
          <w:highlight w:val="none"/>
          <w:lang w:bidi="ar"/>
        </w:rPr>
      </w:pPr>
      <w:r>
        <w:rPr>
          <w:rFonts w:hint="eastAsia" w:ascii="宋体" w:hAnsi="宋体" w:eastAsia="宋体" w:cs="Times New Roman"/>
          <w:color w:val="auto"/>
          <w:szCs w:val="21"/>
          <w:highlight w:val="none"/>
        </w:rPr>
        <w:fldChar w:fldCharType="end"/>
      </w:r>
      <w:r>
        <w:rPr>
          <w:rFonts w:hint="eastAsia" w:ascii="宋体" w:hAnsi="宋体" w:cs="宋体"/>
          <w:sz w:val="21"/>
          <w:szCs w:val="21"/>
          <w:highlight w:val="none"/>
          <w:lang w:bidi="ar"/>
        </w:rPr>
        <w:t>4.本项目需要落实的政府采购政策：</w:t>
      </w:r>
    </w:p>
    <w:p w14:paraId="4C89E161">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lang w:bidi="ar"/>
        </w:rPr>
        <w:t>（1）政府采购促进中小企业发展</w:t>
      </w:r>
      <w:r>
        <w:rPr>
          <w:rFonts w:hint="eastAsia" w:ascii="宋体" w:hAnsi="宋体" w:cs="宋体"/>
          <w:sz w:val="21"/>
          <w:szCs w:val="21"/>
          <w:highlight w:val="none"/>
          <w:lang w:eastAsia="zh-CN" w:bidi="ar"/>
        </w:rPr>
        <w:t>，</w:t>
      </w:r>
      <w:r>
        <w:rPr>
          <w:rFonts w:hint="eastAsia" w:ascii="宋体" w:hAnsi="宋体" w:cs="宋体"/>
          <w:sz w:val="21"/>
          <w:szCs w:val="21"/>
          <w:highlight w:val="none"/>
          <w:lang w:val="en-US" w:eastAsia="zh-CN"/>
        </w:rPr>
        <w:t>本项目非</w:t>
      </w:r>
      <w:r>
        <w:rPr>
          <w:rFonts w:hint="eastAsia" w:ascii="宋体" w:hAnsi="宋体" w:cs="宋体"/>
          <w:sz w:val="21"/>
          <w:szCs w:val="21"/>
          <w:highlight w:val="none"/>
        </w:rPr>
        <w:t>专门面向中小企业采购；</w:t>
      </w:r>
    </w:p>
    <w:p w14:paraId="7E2E7D04">
      <w:pPr>
        <w:widowControl/>
        <w:spacing w:line="360" w:lineRule="auto"/>
        <w:ind w:firstLine="420" w:firstLineChars="200"/>
        <w:rPr>
          <w:rFonts w:hint="eastAsia" w:ascii="宋体" w:hAnsi="宋体" w:cs="宋体"/>
          <w:sz w:val="21"/>
          <w:szCs w:val="21"/>
          <w:highlight w:val="none"/>
          <w:lang w:bidi="ar"/>
        </w:rPr>
      </w:pPr>
      <w:r>
        <w:rPr>
          <w:rFonts w:hint="eastAsia" w:ascii="宋体" w:hAnsi="宋体" w:cs="宋体"/>
          <w:sz w:val="21"/>
          <w:szCs w:val="21"/>
          <w:highlight w:val="none"/>
          <w:lang w:bidi="ar"/>
        </w:rPr>
        <w:t>（2）政府采购支持采用本国产品的政策。</w:t>
      </w:r>
    </w:p>
    <w:p w14:paraId="587F0B0C">
      <w:pPr>
        <w:widowControl/>
        <w:spacing w:line="360" w:lineRule="auto"/>
        <w:ind w:firstLine="420" w:firstLineChars="200"/>
        <w:rPr>
          <w:rFonts w:hint="eastAsia" w:ascii="宋体" w:hAnsi="宋体" w:cs="宋体"/>
          <w:sz w:val="21"/>
          <w:szCs w:val="21"/>
          <w:highlight w:val="none"/>
          <w:lang w:bidi="ar"/>
        </w:rPr>
      </w:pPr>
      <w:r>
        <w:rPr>
          <w:rFonts w:hint="eastAsia" w:ascii="宋体" w:hAnsi="宋体" w:cs="宋体"/>
          <w:sz w:val="21"/>
          <w:szCs w:val="21"/>
          <w:highlight w:val="none"/>
          <w:lang w:bidi="ar"/>
        </w:rPr>
        <w:t>（3）强制采购节能产品；优先采购节能产品、环境标志产品。</w:t>
      </w:r>
    </w:p>
    <w:p w14:paraId="1CD7AA4C">
      <w:pPr>
        <w:widowControl/>
        <w:spacing w:line="360" w:lineRule="auto"/>
        <w:ind w:firstLine="420" w:firstLineChars="200"/>
        <w:rPr>
          <w:rFonts w:hint="eastAsia" w:ascii="宋体" w:hAnsi="宋体" w:cs="宋体"/>
          <w:sz w:val="21"/>
          <w:szCs w:val="21"/>
          <w:highlight w:val="none"/>
          <w:lang w:bidi="ar"/>
        </w:rPr>
      </w:pPr>
      <w:r>
        <w:rPr>
          <w:rFonts w:hint="eastAsia" w:ascii="宋体" w:hAnsi="宋体" w:cs="宋体"/>
          <w:sz w:val="21"/>
          <w:szCs w:val="21"/>
          <w:highlight w:val="none"/>
          <w:lang w:bidi="ar"/>
        </w:rPr>
        <w:t>（4）政府采购促进残疾人就业政策。</w:t>
      </w:r>
    </w:p>
    <w:p w14:paraId="18ACDE68">
      <w:pPr>
        <w:widowControl/>
        <w:spacing w:line="360" w:lineRule="auto"/>
        <w:ind w:firstLine="420" w:firstLineChars="200"/>
        <w:rPr>
          <w:rFonts w:hint="eastAsia" w:ascii="宋体" w:hAnsi="宋体" w:cs="宋体"/>
          <w:sz w:val="21"/>
          <w:szCs w:val="21"/>
          <w:highlight w:val="none"/>
          <w:lang w:bidi="ar"/>
        </w:rPr>
      </w:pPr>
      <w:r>
        <w:rPr>
          <w:rFonts w:hint="eastAsia" w:ascii="宋体" w:hAnsi="宋体" w:cs="宋体"/>
          <w:sz w:val="21"/>
          <w:szCs w:val="21"/>
          <w:highlight w:val="none"/>
          <w:lang w:bidi="ar"/>
        </w:rPr>
        <w:t>（5）政府采购支持监狱企业发展。</w:t>
      </w:r>
    </w:p>
    <w:p w14:paraId="3ADD097C">
      <w:pPr>
        <w:widowControl/>
        <w:spacing w:line="360" w:lineRule="auto"/>
        <w:ind w:firstLine="420" w:firstLineChars="200"/>
        <w:rPr>
          <w:rFonts w:hint="eastAsia" w:ascii="宋体" w:hAnsi="宋体" w:cs="宋体"/>
          <w:sz w:val="21"/>
          <w:szCs w:val="21"/>
          <w:highlight w:val="none"/>
          <w:lang w:bidi="ar"/>
        </w:rPr>
      </w:pPr>
      <w:r>
        <w:rPr>
          <w:rFonts w:hint="eastAsia" w:ascii="宋体" w:hAnsi="宋体" w:cs="宋体"/>
          <w:sz w:val="21"/>
          <w:szCs w:val="21"/>
          <w:highlight w:val="none"/>
          <w:lang w:bidi="ar"/>
        </w:rPr>
        <w:t>（6）扶持不发达地区和少数民族地区政策</w:t>
      </w:r>
    </w:p>
    <w:p w14:paraId="4CC19B62">
      <w:pPr>
        <w:widowControl/>
        <w:spacing w:line="360" w:lineRule="auto"/>
        <w:ind w:firstLine="420" w:firstLineChars="200"/>
        <w:rPr>
          <w:rFonts w:hint="eastAsia" w:ascii="宋体" w:hAnsi="宋体" w:cs="宋体"/>
          <w:sz w:val="21"/>
          <w:szCs w:val="21"/>
          <w:highlight w:val="none"/>
          <w:lang w:bidi="ar"/>
        </w:rPr>
      </w:pPr>
      <w:r>
        <w:rPr>
          <w:rFonts w:hint="eastAsia" w:ascii="宋体" w:hAnsi="宋体" w:cs="宋体"/>
          <w:sz w:val="21"/>
          <w:szCs w:val="21"/>
          <w:highlight w:val="none"/>
          <w:lang w:bidi="ar"/>
        </w:rPr>
        <w:t>5.磋商注意事项：</w:t>
      </w:r>
    </w:p>
    <w:p w14:paraId="3A72E76D">
      <w:pPr>
        <w:widowControl/>
        <w:spacing w:line="360" w:lineRule="auto"/>
        <w:ind w:firstLine="420" w:firstLineChars="200"/>
        <w:rPr>
          <w:rFonts w:hint="eastAsia" w:ascii="宋体" w:hAnsi="宋体" w:cs="宋体"/>
          <w:bCs/>
          <w:sz w:val="21"/>
          <w:szCs w:val="21"/>
          <w:highlight w:val="none"/>
        </w:rPr>
      </w:pPr>
      <w:r>
        <w:rPr>
          <w:rFonts w:hint="eastAsia" w:ascii="宋体" w:hAnsi="宋体" w:cs="宋体"/>
          <w:sz w:val="21"/>
          <w:szCs w:val="21"/>
          <w:highlight w:val="none"/>
          <w:lang w:bidi="ar"/>
        </w:rPr>
        <w:t>（1）</w:t>
      </w:r>
      <w:r>
        <w:rPr>
          <w:rFonts w:hint="eastAsia" w:ascii="宋体" w:hAnsi="宋体" w:cs="宋体"/>
          <w:sz w:val="21"/>
          <w:szCs w:val="21"/>
          <w:highlight w:val="none"/>
        </w:rPr>
        <w:t>响应文件</w:t>
      </w:r>
      <w:r>
        <w:rPr>
          <w:rFonts w:hint="eastAsia" w:ascii="宋体" w:hAnsi="宋体" w:cs="宋体"/>
          <w:sz w:val="21"/>
          <w:szCs w:val="21"/>
          <w:highlight w:val="none"/>
          <w:lang w:bidi="ar"/>
        </w:rPr>
        <w:t>提交方式：本项目为全流程电子化政府采购项目，通过广西政府采购云平台（https://www.gcy.zfcg.gxzf.gov.cn/）实行在线电子磋商采购，供应商应先安装“广西政府采购云平台电子交易客户端”（请自行前往广西政府采购云平台进行下载），并按照本项目竞争性磋商文件和广西政府采购云平台的要求编制、加密后在</w:t>
      </w:r>
      <w:r>
        <w:rPr>
          <w:rFonts w:hint="eastAsia" w:ascii="宋体" w:hAnsi="宋体" w:cs="宋体"/>
          <w:sz w:val="21"/>
          <w:szCs w:val="21"/>
          <w:highlight w:val="none"/>
        </w:rPr>
        <w:t>首次响应文件提交截止时间</w:t>
      </w:r>
      <w:r>
        <w:rPr>
          <w:rFonts w:hint="eastAsia" w:ascii="宋体" w:hAnsi="宋体" w:cs="宋体"/>
          <w:sz w:val="21"/>
          <w:szCs w:val="21"/>
          <w:highlight w:val="none"/>
          <w:lang w:bidi="ar"/>
        </w:rPr>
        <w:t>前通过网络上传至广西政府采购云平台，</w:t>
      </w:r>
      <w:r>
        <w:rPr>
          <w:rFonts w:hint="eastAsia" w:ascii="宋体" w:hAnsi="宋体" w:cs="宋体"/>
          <w:b/>
          <w:sz w:val="21"/>
          <w:szCs w:val="21"/>
          <w:highlight w:val="none"/>
          <w:lang w:bidi="ar"/>
        </w:rPr>
        <w:t>供应商在广西政府采购云平台提交电子版响应文件时，请填写参加远程开标活动经办人联系方式。</w:t>
      </w:r>
    </w:p>
    <w:p w14:paraId="65251EDB">
      <w:pPr>
        <w:widowControl/>
        <w:wordWrap w:val="0"/>
        <w:topLinePunct/>
        <w:spacing w:line="360" w:lineRule="auto"/>
        <w:ind w:firstLine="420" w:firstLineChars="200"/>
        <w:rPr>
          <w:rFonts w:hint="eastAsia" w:ascii="宋体" w:hAnsi="宋体" w:cs="宋体"/>
          <w:sz w:val="21"/>
          <w:szCs w:val="21"/>
          <w:highlight w:val="none"/>
          <w:lang w:bidi="ar"/>
        </w:rPr>
      </w:pPr>
      <w:r>
        <w:rPr>
          <w:rFonts w:hint="eastAsia" w:ascii="宋体" w:hAnsi="宋体" w:cs="宋体"/>
          <w:sz w:val="21"/>
          <w:szCs w:val="21"/>
          <w:highlight w:val="none"/>
          <w:lang w:bidi="ar"/>
        </w:rPr>
        <w:t>（2）供应商应及时熟悉掌握电子标系统操作指南（见广西政府采购云平台电子卖场首页右上角—服务中心—帮助文档—项目采购）：https://helpcenter.zcygov.cn/document/#/document/dashboard?siteCode=gx；及时完成CA申领和绑定（见广西壮族自治区政府采购网—办事服务—下载专区-广西政府采购云平台CA证书办理操作指南）。</w:t>
      </w:r>
    </w:p>
    <w:p w14:paraId="5C1DA4BA">
      <w:pPr>
        <w:widowControl/>
        <w:spacing w:line="360" w:lineRule="auto"/>
        <w:ind w:firstLine="420" w:firstLineChars="200"/>
        <w:rPr>
          <w:rFonts w:hint="eastAsia" w:ascii="宋体" w:hAnsi="宋体" w:cs="宋体"/>
          <w:sz w:val="21"/>
          <w:szCs w:val="21"/>
          <w:highlight w:val="none"/>
          <w:lang w:bidi="ar"/>
        </w:rPr>
      </w:pPr>
      <w:r>
        <w:rPr>
          <w:rFonts w:hint="eastAsia" w:ascii="宋体" w:hAnsi="宋体" w:cs="宋体"/>
          <w:sz w:val="21"/>
          <w:szCs w:val="21"/>
          <w:highlight w:val="none"/>
          <w:lang w:bidi="ar"/>
        </w:rPr>
        <w:t>（3）未进行网上注册并办理数字证书（CA认证）的供应商将无法参与本项目政府采购活动，潜在供应商应当在</w:t>
      </w:r>
      <w:r>
        <w:rPr>
          <w:rFonts w:hint="eastAsia" w:ascii="宋体" w:hAnsi="宋体" w:cs="宋体"/>
          <w:sz w:val="21"/>
          <w:szCs w:val="21"/>
          <w:highlight w:val="none"/>
        </w:rPr>
        <w:t>首次响应文件提交截止时间</w:t>
      </w:r>
      <w:r>
        <w:rPr>
          <w:rFonts w:hint="eastAsia" w:ascii="宋体" w:hAnsi="宋体" w:cs="宋体"/>
          <w:sz w:val="21"/>
          <w:szCs w:val="21"/>
          <w:highlight w:val="none"/>
          <w:lang w:bidi="ar"/>
        </w:rPr>
        <w:t>前，完成电子交易平台上的CA数字证书办理及响应文件的提交。完成CA数字证书办理预计7日左右，供应商只需办理其中一家CA数字证书及签章，建议各供应商抓紧时间办理。</w:t>
      </w:r>
    </w:p>
    <w:p w14:paraId="7845665B">
      <w:pPr>
        <w:widowControl/>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lang w:bidi="ar"/>
        </w:rPr>
        <w:t>（4）为确保网上操作合法、有效和安全，请供应商确保在电子竞争性磋商过程中能够对相关数据电文进行加密和使用电子签章，妥善保管CA数字证书并使用有效的CA数字证书参与整个采购活动。</w:t>
      </w:r>
    </w:p>
    <w:p w14:paraId="1974BBC1">
      <w:pPr>
        <w:spacing w:line="360" w:lineRule="auto"/>
        <w:ind w:firstLine="422" w:firstLineChars="200"/>
        <w:rPr>
          <w:rFonts w:hint="eastAsia" w:ascii="宋体" w:hAnsi="宋体" w:eastAsia="宋体" w:cs="宋体"/>
          <w:b/>
          <w:bCs/>
          <w:sz w:val="21"/>
          <w:szCs w:val="21"/>
          <w:highlight w:val="none"/>
        </w:rPr>
      </w:pPr>
      <w:r>
        <w:rPr>
          <w:rFonts w:hint="eastAsia" w:ascii="宋体" w:hAnsi="宋体" w:eastAsia="宋体" w:cs="宋体"/>
          <w:b/>
          <w:bCs/>
          <w:sz w:val="21"/>
          <w:szCs w:val="21"/>
          <w:highlight w:val="none"/>
          <w:lang w:bidi="ar"/>
        </w:rPr>
        <w:t>注：供应商应当在首次响应文件提交截止时间前完成电子响应文件的上传、提交，</w:t>
      </w:r>
      <w:r>
        <w:rPr>
          <w:rFonts w:hint="eastAsia" w:ascii="宋体" w:hAnsi="宋体" w:eastAsia="宋体" w:cs="宋体"/>
          <w:b/>
          <w:sz w:val="21"/>
          <w:szCs w:val="21"/>
          <w:highlight w:val="none"/>
        </w:rPr>
        <w:t>首次响应文件提交截止时间</w:t>
      </w:r>
      <w:r>
        <w:rPr>
          <w:rFonts w:hint="eastAsia" w:ascii="宋体" w:hAnsi="宋体" w:eastAsia="宋体" w:cs="宋体"/>
          <w:b/>
          <w:bCs/>
          <w:sz w:val="21"/>
          <w:szCs w:val="21"/>
          <w:highlight w:val="none"/>
          <w:lang w:bidi="ar"/>
        </w:rPr>
        <w:t>前可以补充、修改或者撤回响应文件。补充或者修改响应文件的，应当先行撤回原文件，补充、修改后重新上传、提交。</w:t>
      </w:r>
      <w:r>
        <w:rPr>
          <w:rFonts w:hint="eastAsia" w:ascii="宋体" w:hAnsi="宋体" w:eastAsia="宋体" w:cs="宋体"/>
          <w:b/>
          <w:sz w:val="21"/>
          <w:szCs w:val="21"/>
          <w:highlight w:val="none"/>
        </w:rPr>
        <w:t>首次响应文件提交截止时间</w:t>
      </w:r>
      <w:r>
        <w:rPr>
          <w:rFonts w:hint="eastAsia" w:ascii="宋体" w:hAnsi="宋体" w:eastAsia="宋体" w:cs="宋体"/>
          <w:b/>
          <w:bCs/>
          <w:sz w:val="21"/>
          <w:szCs w:val="21"/>
          <w:highlight w:val="none"/>
          <w:lang w:bidi="ar"/>
        </w:rPr>
        <w:t>前未完成上传、提交的，视为撤回响应文件。</w:t>
      </w:r>
      <w:r>
        <w:rPr>
          <w:rFonts w:hint="eastAsia" w:ascii="宋体" w:hAnsi="宋体" w:eastAsia="宋体" w:cs="宋体"/>
          <w:b/>
          <w:sz w:val="21"/>
          <w:szCs w:val="21"/>
          <w:highlight w:val="none"/>
        </w:rPr>
        <w:t>首次响应文件提交截止时间</w:t>
      </w:r>
      <w:r>
        <w:rPr>
          <w:rFonts w:hint="eastAsia" w:ascii="宋体" w:hAnsi="宋体" w:eastAsia="宋体" w:cs="宋体"/>
          <w:b/>
          <w:bCs/>
          <w:sz w:val="21"/>
          <w:szCs w:val="21"/>
          <w:highlight w:val="none"/>
          <w:lang w:bidi="ar"/>
        </w:rPr>
        <w:t>以后上传递交的响应文件，广西政府采购云平台将予以拒收。</w:t>
      </w:r>
    </w:p>
    <w:p w14:paraId="2E5396FB">
      <w:pPr>
        <w:widowControl/>
        <w:spacing w:line="360" w:lineRule="auto"/>
        <w:ind w:firstLine="420" w:firstLineChars="200"/>
        <w:rPr>
          <w:rFonts w:hint="eastAsia" w:ascii="宋体" w:hAnsi="宋体" w:cs="宋体"/>
          <w:b/>
          <w:bCs/>
          <w:sz w:val="21"/>
          <w:szCs w:val="21"/>
          <w:highlight w:val="none"/>
        </w:rPr>
      </w:pPr>
      <w:r>
        <w:rPr>
          <w:rFonts w:hint="eastAsia" w:ascii="宋体" w:hAnsi="宋体" w:cs="宋体"/>
          <w:kern w:val="0"/>
          <w:sz w:val="21"/>
          <w:szCs w:val="21"/>
          <w:highlight w:val="none"/>
          <w:lang w:bidi="ar"/>
        </w:rPr>
        <w:t>6.</w:t>
      </w:r>
      <w:r>
        <w:rPr>
          <w:rFonts w:hint="eastAsia" w:ascii="宋体" w:hAnsi="宋体" w:cs="宋体"/>
          <w:sz w:val="21"/>
          <w:szCs w:val="21"/>
          <w:highlight w:val="none"/>
          <w:lang w:bidi="ar"/>
        </w:rPr>
        <w:t>CA证书在线解密：首次响应文件开启时，须要供应商携带制作响应文件时用来加密的有效数字证书（CA认证）登录广西政府采购云平台电子开标大厅现场按规定时间对加密的响应文件进行解密，否则后果自负。</w:t>
      </w:r>
    </w:p>
    <w:p w14:paraId="57D3FA0B">
      <w:pPr>
        <w:widowControl/>
        <w:spacing w:line="360" w:lineRule="auto"/>
        <w:ind w:firstLine="420" w:firstLineChars="200"/>
        <w:rPr>
          <w:rFonts w:hint="eastAsia" w:ascii="宋体" w:hAnsi="宋体" w:cs="宋体"/>
          <w:kern w:val="0"/>
          <w:sz w:val="21"/>
          <w:szCs w:val="21"/>
          <w:highlight w:val="none"/>
        </w:rPr>
      </w:pPr>
      <w:r>
        <w:rPr>
          <w:rFonts w:hint="eastAsia" w:ascii="宋体" w:hAnsi="宋体" w:cs="宋体"/>
          <w:sz w:val="21"/>
          <w:szCs w:val="21"/>
          <w:highlight w:val="none"/>
          <w:lang w:bidi="ar"/>
        </w:rPr>
        <w:t>7.供应商需要在具备有摄像头及语音功能且互联网网络状况良好的电脑登录广西政府采购云平台远程开标大厅参与本次磋商，否则后果自负。</w:t>
      </w:r>
    </w:p>
    <w:p w14:paraId="4936C79D">
      <w:pPr>
        <w:widowControl/>
        <w:spacing w:line="360" w:lineRule="auto"/>
        <w:ind w:firstLine="420" w:firstLineChars="200"/>
        <w:rPr>
          <w:rFonts w:hint="eastAsia" w:ascii="宋体" w:hAnsi="宋体" w:cs="宋体"/>
          <w:sz w:val="21"/>
          <w:szCs w:val="21"/>
          <w:highlight w:val="none"/>
          <w:lang w:val="en-US" w:eastAsia="zh-CN" w:bidi="ar"/>
        </w:rPr>
      </w:pPr>
      <w:r>
        <w:rPr>
          <w:rFonts w:hint="eastAsia" w:ascii="宋体" w:hAnsi="宋体" w:cs="宋体"/>
          <w:sz w:val="21"/>
          <w:szCs w:val="21"/>
          <w:highlight w:val="none"/>
          <w:lang w:bidi="ar"/>
        </w:rPr>
        <w:t>8.若对项目采购电子交易系统操作有疑问，可登录广西政府采购云平台（https://www.gcy.zfcg.gxzf.gov.cn/），点击右侧咨询小采，获取采小蜜智能服务管家帮助，或拨打广西政府采购云平台服务热线95763获取热线服务帮助。</w:t>
      </w:r>
      <w:bookmarkEnd w:id="2"/>
    </w:p>
    <w:p w14:paraId="2C04D6C3">
      <w:pPr>
        <w:spacing w:line="360" w:lineRule="auto"/>
        <w:ind w:firstLine="420" w:firstLineChars="200"/>
        <w:rPr>
          <w:rFonts w:hint="eastAsia" w:ascii="宋体" w:hAnsi="宋体" w:eastAsia="宋体" w:cs="宋体"/>
          <w:bCs/>
          <w:sz w:val="21"/>
          <w:szCs w:val="21"/>
          <w:highlight w:val="none"/>
        </w:rPr>
      </w:pPr>
      <w:r>
        <w:rPr>
          <w:rFonts w:hint="eastAsia" w:ascii="宋体" w:hAnsi="宋体" w:cs="宋体"/>
          <w:bCs/>
          <w:sz w:val="21"/>
          <w:szCs w:val="21"/>
          <w:highlight w:val="none"/>
          <w:lang w:val="en-US" w:eastAsia="zh-CN"/>
        </w:rPr>
        <w:t>9.</w:t>
      </w:r>
      <w:r>
        <w:rPr>
          <w:rFonts w:hint="eastAsia" w:ascii="宋体" w:hAnsi="宋体" w:eastAsia="宋体" w:cs="宋体"/>
          <w:bCs/>
          <w:sz w:val="21"/>
          <w:szCs w:val="21"/>
          <w:highlight w:val="none"/>
          <w:lang w:val="en-US" w:eastAsia="zh-CN"/>
        </w:rPr>
        <w:t>供应商可自主选择参与本项目标项一、标项二中的一个或多个标项进行竞争性磋商，但同一供应商仅可中选分标号靠前的一个标项。评标工作将按照标项一、标项二的先后顺序依次开展评审，各标项由磋商小组依据本竞争性磋商文件中“成交候选人推荐原则”，对参与该标项磋商的各供应商综合得分进行排序。若某一供应商在两个标项的综合评分均为最高，在各标项评审结果均保持有效的前提下，磋商小组将按照标项一至标项二的评审顺序，推荐该供应商为对应靠前分标号标项的成交候选人，该供应商不再参与后续分标号标项的成交候选人推荐。</w:t>
      </w:r>
    </w:p>
    <w:p w14:paraId="3AC7FFDA">
      <w:pPr>
        <w:widowControl/>
        <w:spacing w:line="360" w:lineRule="auto"/>
        <w:ind w:firstLine="420" w:firstLineChars="200"/>
        <w:rPr>
          <w:rFonts w:hint="eastAsia" w:ascii="宋体" w:hAnsi="宋体" w:eastAsia="宋体" w:cs="宋体"/>
          <w:sz w:val="21"/>
          <w:szCs w:val="21"/>
          <w:highlight w:val="none"/>
          <w:lang w:val="en-US" w:eastAsia="zh-CN" w:bidi="ar"/>
        </w:rPr>
      </w:pPr>
      <w:r>
        <w:rPr>
          <w:rFonts w:hint="eastAsia" w:ascii="宋体" w:hAnsi="宋体" w:cs="宋体"/>
          <w:sz w:val="21"/>
          <w:szCs w:val="21"/>
          <w:highlight w:val="none"/>
          <w:lang w:val="en-US" w:eastAsia="zh-CN" w:bidi="ar"/>
        </w:rPr>
        <w:t>10.</w:t>
      </w:r>
      <w:r>
        <w:rPr>
          <w:rFonts w:hint="eastAsia" w:ascii="宋体" w:hAnsi="宋体" w:cs="宋体"/>
          <w:sz w:val="21"/>
          <w:szCs w:val="21"/>
          <w:highlight w:val="none"/>
          <w:lang w:bidi="ar"/>
        </w:rPr>
        <w:t>政府采购监督管理机构：资源县政府采购管理办公室，联系电话：0773-431564</w:t>
      </w:r>
      <w:r>
        <w:rPr>
          <w:rFonts w:hint="eastAsia" w:ascii="宋体" w:hAnsi="宋体" w:cs="宋体"/>
          <w:sz w:val="21"/>
          <w:szCs w:val="21"/>
          <w:highlight w:val="none"/>
          <w:lang w:val="en-US" w:eastAsia="zh-CN" w:bidi="ar"/>
        </w:rPr>
        <w:t>8</w:t>
      </w:r>
      <w:bookmarkStart w:id="46" w:name="_GoBack"/>
      <w:bookmarkEnd w:id="46"/>
    </w:p>
    <w:p w14:paraId="110D1343">
      <w:pPr>
        <w:widowControl/>
        <w:spacing w:line="360" w:lineRule="auto"/>
        <w:ind w:firstLine="422" w:firstLineChars="200"/>
        <w:rPr>
          <w:rFonts w:hint="eastAsia" w:ascii="宋体" w:hAnsi="宋体" w:cs="宋体"/>
          <w:b/>
          <w:sz w:val="21"/>
          <w:szCs w:val="21"/>
          <w:highlight w:val="none"/>
        </w:rPr>
      </w:pPr>
      <w:r>
        <w:rPr>
          <w:rFonts w:hint="eastAsia" w:ascii="宋体" w:hAnsi="宋体" w:cs="宋体"/>
          <w:b/>
          <w:sz w:val="21"/>
          <w:szCs w:val="21"/>
          <w:highlight w:val="none"/>
        </w:rPr>
        <w:t>八、凡对本次采购提出询问，请按以下方式联系。</w:t>
      </w:r>
      <w:bookmarkEnd w:id="3"/>
      <w:bookmarkEnd w:id="4"/>
      <w:bookmarkEnd w:id="5"/>
      <w:bookmarkEnd w:id="6"/>
      <w:bookmarkEnd w:id="7"/>
    </w:p>
    <w:p w14:paraId="3DA8B24E">
      <w:pPr>
        <w:spacing w:line="360" w:lineRule="auto"/>
        <w:ind w:firstLine="567" w:firstLineChars="270"/>
        <w:jc w:val="left"/>
        <w:rPr>
          <w:rFonts w:hint="eastAsia" w:ascii="宋体" w:hAnsi="宋体" w:cs="宋体"/>
          <w:sz w:val="21"/>
          <w:szCs w:val="21"/>
          <w:highlight w:val="none"/>
        </w:rPr>
      </w:pPr>
      <w:bookmarkStart w:id="9" w:name="_Toc35393806"/>
      <w:bookmarkStart w:id="10" w:name="_Toc35393637"/>
      <w:bookmarkStart w:id="11" w:name="_Toc28359096"/>
      <w:bookmarkStart w:id="12" w:name="_Toc28359019"/>
      <w:r>
        <w:rPr>
          <w:rFonts w:hint="eastAsia" w:ascii="宋体" w:hAnsi="宋体" w:cs="宋体"/>
          <w:sz w:val="21"/>
          <w:szCs w:val="21"/>
          <w:highlight w:val="none"/>
        </w:rPr>
        <w:t>1</w:t>
      </w:r>
      <w:r>
        <w:rPr>
          <w:rFonts w:hint="eastAsia" w:ascii="宋体" w:hAnsi="宋体" w:cs="宋体"/>
          <w:sz w:val="21"/>
          <w:szCs w:val="21"/>
          <w:highlight w:val="none"/>
          <w:lang w:bidi="ar"/>
        </w:rPr>
        <w:t>.</w:t>
      </w:r>
      <w:r>
        <w:rPr>
          <w:rFonts w:hint="eastAsia" w:ascii="宋体" w:hAnsi="宋体" w:cs="宋体"/>
          <w:sz w:val="21"/>
          <w:szCs w:val="21"/>
          <w:highlight w:val="none"/>
        </w:rPr>
        <w:t>采购人信息</w:t>
      </w:r>
    </w:p>
    <w:p w14:paraId="0BCD2053">
      <w:pPr>
        <w:spacing w:line="360" w:lineRule="auto"/>
        <w:ind w:firstLine="567" w:firstLineChars="270"/>
        <w:rPr>
          <w:rFonts w:hint="eastAsia" w:ascii="宋体" w:hAnsi="宋体" w:cs="宋体"/>
          <w:sz w:val="21"/>
          <w:szCs w:val="21"/>
          <w:highlight w:val="none"/>
        </w:rPr>
      </w:pPr>
      <w:r>
        <w:rPr>
          <w:rFonts w:hint="eastAsia" w:ascii="宋体" w:hAnsi="宋体" w:cs="宋体"/>
          <w:sz w:val="21"/>
          <w:szCs w:val="21"/>
          <w:highlight w:val="none"/>
        </w:rPr>
        <w:t>名 称：</w:t>
      </w:r>
      <w:r>
        <w:rPr>
          <w:rFonts w:hint="eastAsia" w:ascii="宋体" w:hAnsi="宋体" w:cs="宋体"/>
          <w:sz w:val="21"/>
          <w:szCs w:val="21"/>
          <w:highlight w:val="none"/>
          <w:lang w:eastAsia="zh-CN"/>
        </w:rPr>
        <w:t>资源县公安局</w:t>
      </w:r>
    </w:p>
    <w:p w14:paraId="575DB64A">
      <w:pPr>
        <w:spacing w:line="360" w:lineRule="auto"/>
        <w:ind w:firstLine="567" w:firstLineChars="270"/>
        <w:jc w:val="left"/>
        <w:rPr>
          <w:rFonts w:hint="eastAsia" w:ascii="宋体" w:hAnsi="宋体" w:cs="宋体"/>
          <w:sz w:val="21"/>
          <w:szCs w:val="21"/>
          <w:highlight w:val="none"/>
          <w:lang w:eastAsia="zh-CN"/>
        </w:rPr>
      </w:pPr>
      <w:bookmarkStart w:id="13" w:name="_Toc28359009"/>
      <w:bookmarkStart w:id="14" w:name="_Toc28359086"/>
      <w:r>
        <w:rPr>
          <w:rFonts w:hint="eastAsia" w:ascii="宋体" w:hAnsi="宋体" w:cs="宋体"/>
          <w:sz w:val="21"/>
          <w:szCs w:val="21"/>
          <w:highlight w:val="none"/>
        </w:rPr>
        <w:t>地址：</w:t>
      </w:r>
      <w:r>
        <w:rPr>
          <w:rFonts w:hint="eastAsia" w:ascii="宋体" w:hAnsi="宋体" w:cs="宋体"/>
          <w:sz w:val="21"/>
          <w:szCs w:val="21"/>
          <w:highlight w:val="none"/>
          <w:lang w:eastAsia="zh-CN"/>
        </w:rPr>
        <w:t>广西壮族自治区桂林市资源县中峰镇车田湾村产子坪</w:t>
      </w:r>
    </w:p>
    <w:p w14:paraId="52403597">
      <w:pPr>
        <w:spacing w:line="360" w:lineRule="auto"/>
        <w:ind w:firstLine="567" w:firstLineChars="270"/>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项目</w:t>
      </w:r>
      <w:r>
        <w:rPr>
          <w:rFonts w:hint="eastAsia" w:ascii="宋体" w:hAnsi="宋体" w:cs="宋体"/>
          <w:sz w:val="21"/>
          <w:szCs w:val="21"/>
          <w:highlight w:val="none"/>
        </w:rPr>
        <w:t>联系人：</w:t>
      </w:r>
      <w:r>
        <w:rPr>
          <w:rFonts w:hint="eastAsia" w:ascii="宋体" w:hAnsi="宋体" w:cs="宋体"/>
          <w:sz w:val="21"/>
          <w:szCs w:val="21"/>
          <w:highlight w:val="none"/>
          <w:lang w:val="en-US" w:eastAsia="zh-CN"/>
        </w:rPr>
        <w:t>杨工</w:t>
      </w:r>
    </w:p>
    <w:p w14:paraId="4127202E">
      <w:pPr>
        <w:spacing w:line="360" w:lineRule="auto"/>
        <w:ind w:firstLine="567" w:firstLineChars="270"/>
        <w:jc w:val="left"/>
        <w:rPr>
          <w:rFonts w:hint="eastAsia" w:ascii="宋体" w:hAnsi="宋体" w:cs="宋体"/>
          <w:sz w:val="21"/>
          <w:szCs w:val="21"/>
          <w:highlight w:val="none"/>
        </w:rPr>
      </w:pPr>
      <w:r>
        <w:rPr>
          <w:rFonts w:hint="eastAsia" w:ascii="宋体" w:hAnsi="宋体" w:eastAsia="宋体" w:cs="宋体"/>
          <w:sz w:val="21"/>
          <w:szCs w:val="21"/>
          <w:highlight w:val="none"/>
        </w:rPr>
        <w:t>项目</w:t>
      </w:r>
      <w:r>
        <w:rPr>
          <w:rFonts w:hint="eastAsia" w:ascii="宋体" w:hAnsi="宋体" w:cs="宋体"/>
          <w:sz w:val="21"/>
          <w:szCs w:val="21"/>
          <w:highlight w:val="none"/>
        </w:rPr>
        <w:t>联系方式：</w:t>
      </w:r>
      <w:r>
        <w:rPr>
          <w:rFonts w:hint="eastAsia" w:ascii="宋体" w:hAnsi="宋体" w:eastAsia="宋体" w:cs="宋体"/>
          <w:sz w:val="21"/>
          <w:szCs w:val="21"/>
          <w:highlight w:val="none"/>
          <w:lang w:eastAsia="zh-CN"/>
        </w:rPr>
        <w:t xml:space="preserve"> 0773-4311943</w:t>
      </w:r>
    </w:p>
    <w:p w14:paraId="150A62C0">
      <w:pPr>
        <w:spacing w:line="360" w:lineRule="auto"/>
        <w:ind w:firstLine="567" w:firstLineChars="270"/>
        <w:jc w:val="left"/>
        <w:rPr>
          <w:rFonts w:hint="eastAsia" w:ascii="宋体" w:hAnsi="宋体" w:cs="宋体"/>
          <w:sz w:val="21"/>
          <w:szCs w:val="21"/>
          <w:highlight w:val="none"/>
        </w:rPr>
      </w:pPr>
      <w:r>
        <w:rPr>
          <w:rFonts w:hint="eastAsia" w:ascii="宋体" w:hAnsi="宋体" w:cs="宋体"/>
          <w:sz w:val="21"/>
          <w:szCs w:val="21"/>
          <w:highlight w:val="none"/>
        </w:rPr>
        <w:t>2</w:t>
      </w:r>
      <w:r>
        <w:rPr>
          <w:rFonts w:hint="eastAsia" w:ascii="宋体" w:hAnsi="宋体" w:cs="宋体"/>
          <w:sz w:val="21"/>
          <w:szCs w:val="21"/>
          <w:highlight w:val="none"/>
          <w:lang w:bidi="ar"/>
        </w:rPr>
        <w:t>.</w:t>
      </w:r>
      <w:r>
        <w:rPr>
          <w:rFonts w:hint="eastAsia" w:ascii="宋体" w:hAnsi="宋体" w:cs="宋体"/>
          <w:sz w:val="21"/>
          <w:szCs w:val="21"/>
          <w:highlight w:val="none"/>
        </w:rPr>
        <w:t>采购代理机构信息</w:t>
      </w:r>
      <w:bookmarkEnd w:id="13"/>
      <w:bookmarkEnd w:id="14"/>
    </w:p>
    <w:p w14:paraId="4A7B11A7">
      <w:pPr>
        <w:spacing w:line="360" w:lineRule="auto"/>
        <w:ind w:firstLine="567" w:firstLineChars="270"/>
        <w:rPr>
          <w:rFonts w:hint="eastAsia" w:ascii="宋体" w:hAnsi="宋体" w:cs="宋体"/>
          <w:sz w:val="21"/>
          <w:szCs w:val="21"/>
          <w:highlight w:val="none"/>
        </w:rPr>
      </w:pPr>
      <w:r>
        <w:rPr>
          <w:rFonts w:hint="eastAsia" w:ascii="宋体" w:hAnsi="宋体" w:cs="宋体"/>
          <w:sz w:val="21"/>
          <w:szCs w:val="21"/>
          <w:highlight w:val="none"/>
        </w:rPr>
        <w:t>名 称：</w:t>
      </w:r>
      <w:r>
        <w:rPr>
          <w:rFonts w:hint="eastAsia" w:ascii="宋体" w:hAnsi="宋体" w:cs="宋体"/>
          <w:sz w:val="21"/>
          <w:szCs w:val="21"/>
          <w:highlight w:val="none"/>
          <w:lang w:eastAsia="zh-CN"/>
        </w:rPr>
        <w:t>广西城建咨询设计有限公司</w:t>
      </w:r>
    </w:p>
    <w:p w14:paraId="6E610C75">
      <w:pPr>
        <w:spacing w:line="360" w:lineRule="auto"/>
        <w:ind w:firstLine="567" w:firstLineChars="270"/>
        <w:rPr>
          <w:rFonts w:hint="eastAsia" w:ascii="宋体" w:hAnsi="宋体" w:cs="宋体"/>
          <w:sz w:val="21"/>
          <w:szCs w:val="21"/>
          <w:highlight w:val="none"/>
        </w:rPr>
      </w:pPr>
      <w:r>
        <w:rPr>
          <w:rFonts w:hint="eastAsia" w:ascii="宋体" w:hAnsi="宋体" w:cs="宋体"/>
          <w:sz w:val="21"/>
          <w:szCs w:val="21"/>
          <w:highlight w:val="none"/>
        </w:rPr>
        <w:t>地　址：</w:t>
      </w:r>
      <w:r>
        <w:rPr>
          <w:rFonts w:hint="eastAsia" w:ascii="宋体" w:hAnsi="宋体" w:cs="宋体"/>
          <w:color w:val="auto"/>
          <w:szCs w:val="21"/>
          <w:highlight w:val="none"/>
          <w:lang w:eastAsia="zh-CN"/>
        </w:rPr>
        <w:t>桂林市滨江路18号滨江大厦5楼</w:t>
      </w:r>
    </w:p>
    <w:p w14:paraId="7921BFDC">
      <w:pPr>
        <w:spacing w:line="360" w:lineRule="auto"/>
        <w:ind w:firstLine="567" w:firstLineChars="270"/>
        <w:jc w:val="left"/>
        <w:rPr>
          <w:rFonts w:hint="eastAsia" w:ascii="宋体" w:hAnsi="宋体" w:eastAsia="宋体" w:cs="宋体"/>
          <w:sz w:val="21"/>
          <w:szCs w:val="21"/>
          <w:highlight w:val="none"/>
        </w:rPr>
      </w:pPr>
      <w:r>
        <w:rPr>
          <w:rFonts w:hint="eastAsia" w:ascii="宋体" w:hAnsi="宋体" w:cs="宋体"/>
          <w:sz w:val="21"/>
          <w:szCs w:val="21"/>
          <w:highlight w:val="none"/>
        </w:rPr>
        <w:t>项目联系人：</w:t>
      </w:r>
      <w:r>
        <w:rPr>
          <w:rFonts w:hint="eastAsia" w:ascii="宋体" w:hAnsi="宋体" w:cs="宋体"/>
          <w:szCs w:val="21"/>
          <w:highlight w:val="none"/>
          <w:lang w:eastAsia="zh-CN"/>
        </w:rPr>
        <w:t>胡丹、兰雪迎、秦国军、阳圣</w:t>
      </w:r>
    </w:p>
    <w:p w14:paraId="0E73DCAB">
      <w:pPr>
        <w:spacing w:line="360" w:lineRule="auto"/>
        <w:ind w:firstLine="567" w:firstLineChars="270"/>
        <w:jc w:val="left"/>
        <w:rPr>
          <w:rFonts w:hint="eastAsia" w:ascii="宋体" w:hAnsi="宋体" w:cs="宋体"/>
          <w:sz w:val="21"/>
          <w:szCs w:val="21"/>
          <w:highlight w:val="none"/>
        </w:rPr>
      </w:pPr>
      <w:r>
        <w:rPr>
          <w:rFonts w:hint="eastAsia" w:ascii="宋体" w:hAnsi="宋体" w:cs="宋体"/>
          <w:color w:val="auto"/>
          <w:szCs w:val="21"/>
          <w:highlight w:val="none"/>
        </w:rPr>
        <w:t>项目联系方式：</w:t>
      </w:r>
      <w:r>
        <w:rPr>
          <w:rFonts w:hint="eastAsia" w:ascii="宋体" w:hAnsi="宋体" w:cs="宋体"/>
          <w:color w:val="auto"/>
          <w:szCs w:val="21"/>
          <w:highlight w:val="none"/>
          <w:lang w:eastAsia="zh-CN"/>
        </w:rPr>
        <w:t>0773-2826203</w:t>
      </w:r>
    </w:p>
    <w:bookmarkEnd w:id="1"/>
    <w:bookmarkEnd w:id="9"/>
    <w:bookmarkEnd w:id="10"/>
    <w:bookmarkEnd w:id="11"/>
    <w:bookmarkEnd w:id="12"/>
    <w:p w14:paraId="49D5D906">
      <w:pPr>
        <w:spacing w:line="360" w:lineRule="auto"/>
        <w:ind w:firstLine="567" w:firstLineChars="270"/>
        <w:jc w:val="right"/>
        <w:rPr>
          <w:rFonts w:hint="eastAsia" w:ascii="宋体" w:hAnsi="宋体" w:eastAsia="宋体" w:cs="宋体"/>
          <w:sz w:val="21"/>
          <w:szCs w:val="21"/>
          <w:highlight w:val="none"/>
        </w:rPr>
      </w:pPr>
    </w:p>
    <w:p w14:paraId="2FACBA95">
      <w:pPr>
        <w:spacing w:line="360" w:lineRule="auto"/>
        <w:ind w:firstLine="567" w:firstLineChars="270"/>
        <w:jc w:val="right"/>
        <w:rPr>
          <w:rFonts w:hint="eastAsia" w:ascii="宋体" w:hAnsi="宋体" w:eastAsia="宋体" w:cs="宋体"/>
          <w:sz w:val="21"/>
          <w:szCs w:val="21"/>
          <w:highlight w:val="none"/>
        </w:rPr>
      </w:pPr>
    </w:p>
    <w:p w14:paraId="0DE545AB">
      <w:pPr>
        <w:spacing w:line="360" w:lineRule="auto"/>
        <w:ind w:firstLine="567" w:firstLineChars="270"/>
        <w:jc w:val="right"/>
        <w:rPr>
          <w:rFonts w:hint="eastAsia" w:ascii="宋体" w:hAnsi="宋体" w:cs="宋体"/>
          <w:sz w:val="21"/>
          <w:szCs w:val="21"/>
          <w:highlight w:val="none"/>
        </w:rPr>
      </w:pPr>
      <w:r>
        <w:rPr>
          <w:rFonts w:hint="eastAsia" w:ascii="宋体" w:hAnsi="宋体" w:cs="宋体"/>
          <w:sz w:val="21"/>
          <w:szCs w:val="21"/>
          <w:highlight w:val="none"/>
          <w:lang w:eastAsia="zh-CN"/>
        </w:rPr>
        <w:t>广西城建咨询设计有限公司</w:t>
      </w:r>
    </w:p>
    <w:p w14:paraId="2FAE77C8">
      <w:pPr>
        <w:spacing w:line="360" w:lineRule="auto"/>
        <w:ind w:firstLine="567" w:firstLineChars="270"/>
        <w:jc w:val="right"/>
        <w:rPr>
          <w:rFonts w:hint="eastAsia" w:ascii="宋体" w:hAnsi="宋体" w:cs="宋体"/>
          <w:sz w:val="21"/>
          <w:szCs w:val="21"/>
          <w:highlight w:val="none"/>
        </w:rPr>
      </w:pPr>
      <w:r>
        <w:rPr>
          <w:rFonts w:hint="eastAsia" w:ascii="宋体" w:hAnsi="宋体" w:eastAsia="宋体" w:cs="宋体"/>
          <w:sz w:val="21"/>
          <w:szCs w:val="21"/>
          <w:highlight w:val="none"/>
          <w:lang w:eastAsia="zh-CN"/>
        </w:rPr>
        <w:t>2</w:t>
      </w:r>
      <w:r>
        <w:rPr>
          <w:rFonts w:hint="eastAsia" w:ascii="宋体" w:hAnsi="宋体" w:eastAsia="宋体" w:cs="宋体"/>
          <w:sz w:val="21"/>
          <w:szCs w:val="21"/>
          <w:highlight w:val="none"/>
          <w:lang w:val="en-US" w:eastAsia="zh-CN"/>
        </w:rPr>
        <w:t>026</w:t>
      </w:r>
      <w:r>
        <w:rPr>
          <w:rFonts w:hint="eastAsia" w:ascii="宋体" w:hAnsi="宋体" w:cs="宋体"/>
          <w:sz w:val="21"/>
          <w:szCs w:val="21"/>
          <w:highlight w:val="none"/>
        </w:rPr>
        <w:t>年</w:t>
      </w:r>
      <w:r>
        <w:rPr>
          <w:rFonts w:hint="eastAsia" w:ascii="宋体" w:hAnsi="宋体" w:eastAsia="宋体" w:cs="宋体"/>
          <w:sz w:val="21"/>
          <w:szCs w:val="21"/>
          <w:highlight w:val="none"/>
          <w:lang w:eastAsia="zh-CN"/>
        </w:rPr>
        <w:t xml:space="preserve"> </w:t>
      </w:r>
      <w:r>
        <w:rPr>
          <w:rFonts w:hint="eastAsia" w:ascii="宋体" w:hAnsi="宋体" w:cs="宋体"/>
          <w:sz w:val="21"/>
          <w:szCs w:val="21"/>
          <w:highlight w:val="none"/>
          <w:lang w:val="en-US" w:eastAsia="zh-CN"/>
        </w:rPr>
        <w:t>6</w:t>
      </w:r>
      <w:r>
        <w:rPr>
          <w:rFonts w:hint="eastAsia" w:ascii="宋体" w:hAnsi="宋体" w:cs="宋体"/>
          <w:sz w:val="21"/>
          <w:szCs w:val="21"/>
          <w:highlight w:val="none"/>
        </w:rPr>
        <w:t>月</w:t>
      </w:r>
      <w:r>
        <w:rPr>
          <w:rFonts w:hint="eastAsia" w:ascii="宋体" w:hAnsi="宋体" w:cs="宋体"/>
          <w:sz w:val="21"/>
          <w:szCs w:val="21"/>
          <w:highlight w:val="none"/>
          <w:lang w:val="en-US" w:eastAsia="zh-CN"/>
        </w:rPr>
        <w:t>4</w:t>
      </w:r>
      <w:r>
        <w:rPr>
          <w:rFonts w:hint="eastAsia" w:ascii="宋体" w:hAnsi="宋体" w:cs="宋体"/>
          <w:sz w:val="21"/>
          <w:szCs w:val="21"/>
          <w:highlight w:val="none"/>
        </w:rPr>
        <w:t>日</w:t>
      </w:r>
    </w:p>
    <w:p w14:paraId="5335F225">
      <w:pPr>
        <w:pStyle w:val="2"/>
        <w:jc w:val="center"/>
        <w:rPr>
          <w:rFonts w:ascii="宋体" w:hAnsi="宋体" w:cs="宋体"/>
          <w:highlight w:val="none"/>
        </w:rPr>
      </w:pPr>
      <w:r>
        <w:rPr>
          <w:rFonts w:hint="eastAsia" w:ascii="宋体" w:hAnsi="宋体" w:cs="宋体"/>
          <w:sz w:val="24"/>
          <w:highlight w:val="none"/>
        </w:rPr>
        <w:br w:type="page"/>
      </w:r>
      <w:bookmarkStart w:id="15" w:name="_Toc32607"/>
      <w:r>
        <w:rPr>
          <w:rFonts w:hint="eastAsia" w:ascii="宋体" w:hAnsi="宋体" w:cs="宋体"/>
          <w:highlight w:val="none"/>
        </w:rPr>
        <w:t>第二章 供应商须知</w:t>
      </w:r>
      <w:bookmarkEnd w:id="15"/>
    </w:p>
    <w:p w14:paraId="57976203">
      <w:pPr>
        <w:spacing w:line="400" w:lineRule="exact"/>
        <w:jc w:val="center"/>
        <w:rPr>
          <w:rFonts w:ascii="宋体" w:hAnsi="宋体" w:cs="宋体"/>
          <w:b/>
          <w:sz w:val="32"/>
          <w:szCs w:val="32"/>
          <w:highlight w:val="none"/>
        </w:rPr>
      </w:pPr>
      <w:r>
        <w:rPr>
          <w:rFonts w:hint="eastAsia" w:ascii="宋体" w:hAnsi="宋体" w:cs="宋体"/>
          <w:b/>
          <w:sz w:val="32"/>
          <w:szCs w:val="32"/>
          <w:highlight w:val="none"/>
        </w:rPr>
        <w:t>供应商须知前附表</w:t>
      </w:r>
    </w:p>
    <w:p w14:paraId="6597EE7F">
      <w:pPr>
        <w:spacing w:line="400" w:lineRule="exact"/>
        <w:jc w:val="center"/>
        <w:rPr>
          <w:rFonts w:ascii="宋体" w:hAnsi="宋体" w:cs="宋体"/>
          <w:b/>
          <w:sz w:val="32"/>
          <w:szCs w:val="32"/>
          <w:highlight w:val="none"/>
        </w:rPr>
      </w:pPr>
    </w:p>
    <w:tbl>
      <w:tblPr>
        <w:tblStyle w:val="32"/>
        <w:tblW w:w="961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2"/>
        <w:gridCol w:w="8627"/>
      </w:tblGrid>
      <w:tr w14:paraId="49D452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Pr>
          <w:p w14:paraId="10A55D13">
            <w:pPr>
              <w:spacing w:line="360" w:lineRule="auto"/>
              <w:jc w:val="center"/>
              <w:rPr>
                <w:rFonts w:hint="eastAsia" w:ascii="宋体" w:hAnsi="宋体" w:cs="宋体"/>
                <w:b/>
                <w:sz w:val="21"/>
                <w:szCs w:val="21"/>
                <w:highlight w:val="none"/>
              </w:rPr>
            </w:pPr>
            <w:r>
              <w:rPr>
                <w:rFonts w:hint="eastAsia" w:ascii="宋体" w:hAnsi="宋体" w:cs="宋体"/>
                <w:b/>
                <w:sz w:val="21"/>
                <w:szCs w:val="21"/>
                <w:highlight w:val="none"/>
              </w:rPr>
              <w:t>条款号</w:t>
            </w:r>
          </w:p>
        </w:tc>
        <w:tc>
          <w:tcPr>
            <w:tcW w:w="8627" w:type="dxa"/>
          </w:tcPr>
          <w:p w14:paraId="32F05AB3">
            <w:pPr>
              <w:spacing w:line="360" w:lineRule="auto"/>
              <w:jc w:val="center"/>
              <w:rPr>
                <w:rFonts w:hint="eastAsia" w:ascii="宋体" w:hAnsi="宋体" w:cs="宋体"/>
                <w:b/>
                <w:sz w:val="21"/>
                <w:szCs w:val="21"/>
                <w:highlight w:val="none"/>
              </w:rPr>
            </w:pPr>
            <w:r>
              <w:rPr>
                <w:rFonts w:hint="eastAsia" w:ascii="宋体" w:hAnsi="宋体" w:cs="宋体"/>
                <w:b/>
                <w:sz w:val="21"/>
                <w:szCs w:val="21"/>
                <w:highlight w:val="none"/>
              </w:rPr>
              <w:t>内    容</w:t>
            </w:r>
          </w:p>
        </w:tc>
      </w:tr>
      <w:tr w14:paraId="341FC5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71769145">
            <w:pPr>
              <w:spacing w:line="360" w:lineRule="auto"/>
              <w:jc w:val="center"/>
              <w:rPr>
                <w:rFonts w:hint="eastAsia" w:ascii="宋体" w:hAnsi="宋体" w:cs="宋体"/>
                <w:sz w:val="21"/>
                <w:szCs w:val="21"/>
                <w:highlight w:val="none"/>
              </w:rPr>
            </w:pPr>
            <w:r>
              <w:rPr>
                <w:rFonts w:hint="eastAsia" w:ascii="宋体" w:hAnsi="宋体" w:cs="宋体"/>
                <w:sz w:val="21"/>
                <w:szCs w:val="21"/>
                <w:highlight w:val="none"/>
              </w:rPr>
              <w:t>3</w:t>
            </w:r>
          </w:p>
        </w:tc>
        <w:tc>
          <w:tcPr>
            <w:tcW w:w="8627" w:type="dxa"/>
            <w:vAlign w:val="center"/>
          </w:tcPr>
          <w:p w14:paraId="6CAFECE4">
            <w:pPr>
              <w:spacing w:line="360" w:lineRule="auto"/>
              <w:rPr>
                <w:rFonts w:hint="eastAsia" w:ascii="宋体" w:hAnsi="宋体" w:cs="宋体"/>
                <w:sz w:val="21"/>
                <w:szCs w:val="21"/>
                <w:highlight w:val="none"/>
              </w:rPr>
            </w:pPr>
            <w:r>
              <w:rPr>
                <w:rFonts w:hint="eastAsia" w:ascii="宋体" w:hAnsi="宋体" w:cs="宋体"/>
                <w:bCs/>
                <w:sz w:val="21"/>
                <w:szCs w:val="21"/>
                <w:highlight w:val="none"/>
              </w:rPr>
              <w:t>供应商的资格条件</w:t>
            </w:r>
            <w:r>
              <w:rPr>
                <w:rFonts w:hint="eastAsia" w:ascii="宋体" w:hAnsi="宋体" w:cs="宋体"/>
                <w:sz w:val="21"/>
                <w:szCs w:val="21"/>
                <w:highlight w:val="none"/>
              </w:rPr>
              <w:t>：详见竞争性磋商公告</w:t>
            </w:r>
          </w:p>
        </w:tc>
      </w:tr>
      <w:tr w14:paraId="2E6BCC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41DBAA1C">
            <w:pPr>
              <w:spacing w:line="360" w:lineRule="auto"/>
              <w:jc w:val="center"/>
              <w:rPr>
                <w:rFonts w:hint="eastAsia" w:ascii="宋体" w:hAnsi="宋体" w:cs="宋体"/>
                <w:sz w:val="21"/>
                <w:szCs w:val="21"/>
                <w:highlight w:val="none"/>
              </w:rPr>
            </w:pPr>
            <w:r>
              <w:rPr>
                <w:rFonts w:hint="eastAsia" w:ascii="宋体" w:hAnsi="宋体" w:cs="宋体"/>
                <w:sz w:val="21"/>
                <w:szCs w:val="21"/>
                <w:highlight w:val="none"/>
              </w:rPr>
              <w:t>5.1</w:t>
            </w:r>
          </w:p>
        </w:tc>
        <w:tc>
          <w:tcPr>
            <w:tcW w:w="8627" w:type="dxa"/>
            <w:vAlign w:val="center"/>
          </w:tcPr>
          <w:p w14:paraId="2319C373">
            <w:pPr>
              <w:spacing w:line="360" w:lineRule="auto"/>
              <w:rPr>
                <w:rFonts w:hint="eastAsia" w:ascii="宋体" w:hAnsi="宋体" w:cs="宋体"/>
                <w:sz w:val="21"/>
                <w:szCs w:val="21"/>
                <w:highlight w:val="none"/>
              </w:rPr>
            </w:pPr>
            <w:r>
              <w:rPr>
                <w:rFonts w:hint="eastAsia" w:ascii="宋体" w:hAnsi="宋体" w:cs="宋体"/>
                <w:sz w:val="21"/>
                <w:szCs w:val="21"/>
                <w:highlight w:val="none"/>
              </w:rPr>
              <w:t>是否接受联合体参加竞争性磋商：详见竞争性磋商公告</w:t>
            </w:r>
          </w:p>
        </w:tc>
      </w:tr>
      <w:tr w14:paraId="74BC45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78A431A5">
            <w:pPr>
              <w:spacing w:line="360" w:lineRule="auto"/>
              <w:jc w:val="center"/>
              <w:rPr>
                <w:rFonts w:hint="eastAsia" w:ascii="宋体" w:hAnsi="宋体" w:cs="宋体"/>
                <w:sz w:val="21"/>
                <w:szCs w:val="21"/>
                <w:highlight w:val="none"/>
              </w:rPr>
            </w:pPr>
            <w:r>
              <w:rPr>
                <w:rFonts w:hint="eastAsia" w:ascii="宋体" w:hAnsi="宋体" w:cs="宋体"/>
                <w:sz w:val="21"/>
                <w:szCs w:val="21"/>
                <w:highlight w:val="none"/>
              </w:rPr>
              <w:t>5.2</w:t>
            </w:r>
          </w:p>
        </w:tc>
        <w:tc>
          <w:tcPr>
            <w:tcW w:w="8627" w:type="dxa"/>
            <w:vAlign w:val="center"/>
          </w:tcPr>
          <w:p w14:paraId="1B5A5D5C">
            <w:pPr>
              <w:spacing w:line="360" w:lineRule="auto"/>
              <w:rPr>
                <w:rFonts w:hint="eastAsia" w:ascii="宋体" w:hAnsi="宋体" w:cs="宋体"/>
                <w:sz w:val="21"/>
                <w:szCs w:val="21"/>
                <w:highlight w:val="none"/>
              </w:rPr>
            </w:pPr>
            <w:r>
              <w:rPr>
                <w:rFonts w:hint="eastAsia" w:ascii="宋体" w:hAnsi="宋体" w:cs="宋体"/>
                <w:color w:val="auto"/>
                <w:szCs w:val="21"/>
                <w:highlight w:val="none"/>
              </w:rPr>
              <w:t>如接受联合体竞标，联合体竞标要求如下：无</w:t>
            </w:r>
            <w:r>
              <w:rPr>
                <w:rFonts w:hint="eastAsia" w:ascii="宋体" w:hAnsi="宋体" w:cs="宋体"/>
                <w:color w:val="auto"/>
                <w:szCs w:val="21"/>
                <w:highlight w:val="none"/>
                <w:lang w:eastAsia="zh-CN"/>
              </w:rPr>
              <w:t>。</w:t>
            </w:r>
          </w:p>
        </w:tc>
      </w:tr>
      <w:tr w14:paraId="2880A3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75D53A18">
            <w:pPr>
              <w:spacing w:line="360" w:lineRule="auto"/>
              <w:jc w:val="center"/>
              <w:rPr>
                <w:rFonts w:hint="eastAsia" w:ascii="宋体" w:hAnsi="宋体" w:cs="宋体"/>
                <w:sz w:val="21"/>
                <w:szCs w:val="21"/>
                <w:highlight w:val="none"/>
              </w:rPr>
            </w:pPr>
            <w:r>
              <w:rPr>
                <w:rFonts w:hint="eastAsia" w:ascii="宋体" w:hAnsi="宋体" w:cs="宋体"/>
                <w:sz w:val="21"/>
                <w:szCs w:val="21"/>
                <w:highlight w:val="none"/>
              </w:rPr>
              <w:t>6.2</w:t>
            </w:r>
          </w:p>
        </w:tc>
        <w:tc>
          <w:tcPr>
            <w:tcW w:w="8627" w:type="dxa"/>
            <w:vAlign w:val="center"/>
          </w:tcPr>
          <w:p w14:paraId="1022A66E">
            <w:pPr>
              <w:pStyle w:val="12"/>
              <w:spacing w:line="360" w:lineRule="auto"/>
              <w:rPr>
                <w:rFonts w:hint="eastAsia" w:ascii="宋体" w:hAnsi="宋体" w:cs="宋体"/>
                <w:b/>
                <w:sz w:val="21"/>
                <w:szCs w:val="21"/>
                <w:highlight w:val="none"/>
              </w:rPr>
            </w:pPr>
            <w:r>
              <w:rPr>
                <w:rFonts w:hint="eastAsia" w:ascii="宋体" w:hAnsi="宋体" w:cs="宋体"/>
                <w:b/>
                <w:sz w:val="21"/>
                <w:szCs w:val="21"/>
                <w:highlight w:val="none"/>
              </w:rPr>
              <w:sym w:font="Wingdings" w:char="00FE"/>
            </w:r>
            <w:r>
              <w:rPr>
                <w:rFonts w:hint="eastAsia" w:ascii="宋体" w:hAnsi="宋体" w:cs="宋体"/>
                <w:b/>
                <w:sz w:val="21"/>
                <w:szCs w:val="21"/>
                <w:highlight w:val="none"/>
              </w:rPr>
              <w:t>本项目不允许分包。</w:t>
            </w:r>
          </w:p>
          <w:p w14:paraId="1C57793E">
            <w:pPr>
              <w:pStyle w:val="12"/>
              <w:spacing w:line="360" w:lineRule="auto"/>
              <w:rPr>
                <w:rFonts w:hint="eastAsia" w:ascii="宋体" w:hAnsi="宋体" w:cs="宋体"/>
                <w:sz w:val="21"/>
                <w:szCs w:val="21"/>
                <w:highlight w:val="none"/>
              </w:rPr>
            </w:pPr>
            <w:r>
              <w:rPr>
                <w:rFonts w:hint="eastAsia" w:ascii="宋体" w:hAnsi="宋体" w:cs="宋体"/>
                <w:sz w:val="21"/>
                <w:szCs w:val="21"/>
                <w:highlight w:val="none"/>
              </w:rPr>
              <w:sym w:font="Wingdings" w:char="00A8"/>
            </w:r>
            <w:r>
              <w:rPr>
                <w:rFonts w:hint="eastAsia" w:ascii="宋体" w:hAnsi="宋体" w:cs="宋体"/>
                <w:sz w:val="21"/>
                <w:szCs w:val="21"/>
                <w:highlight w:val="none"/>
              </w:rPr>
              <w:t>本项目允许分包：</w:t>
            </w:r>
          </w:p>
          <w:p w14:paraId="62D30A9A">
            <w:pPr>
              <w:pStyle w:val="12"/>
              <w:spacing w:line="360" w:lineRule="auto"/>
              <w:rPr>
                <w:rFonts w:hint="eastAsia" w:ascii="宋体" w:hAnsi="宋体" w:cs="宋体"/>
                <w:sz w:val="21"/>
                <w:szCs w:val="21"/>
                <w:highlight w:val="none"/>
                <w:u w:val="single"/>
              </w:rPr>
            </w:pPr>
            <w:r>
              <w:rPr>
                <w:rFonts w:hint="eastAsia" w:ascii="宋体" w:hAnsi="宋体" w:cs="宋体"/>
                <w:sz w:val="21"/>
                <w:szCs w:val="21"/>
                <w:highlight w:val="none"/>
              </w:rPr>
              <w:t>分包内容：</w:t>
            </w:r>
            <w:r>
              <w:rPr>
                <w:rFonts w:hint="eastAsia" w:ascii="宋体" w:hAnsi="宋体" w:cs="宋体"/>
                <w:sz w:val="21"/>
                <w:szCs w:val="21"/>
                <w:highlight w:val="none"/>
                <w:u w:val="single"/>
              </w:rPr>
              <w:t xml:space="preserve">                                     。</w:t>
            </w:r>
          </w:p>
          <w:p w14:paraId="554A8FEF">
            <w:pPr>
              <w:pStyle w:val="12"/>
              <w:spacing w:line="360" w:lineRule="auto"/>
              <w:rPr>
                <w:rFonts w:hint="eastAsia" w:ascii="宋体" w:hAnsi="宋体" w:cs="宋体"/>
                <w:sz w:val="21"/>
                <w:szCs w:val="21"/>
                <w:highlight w:val="none"/>
              </w:rPr>
            </w:pPr>
            <w:r>
              <w:rPr>
                <w:rFonts w:hint="eastAsia" w:ascii="宋体" w:hAnsi="宋体" w:cs="宋体"/>
                <w:sz w:val="21"/>
                <w:szCs w:val="21"/>
                <w:highlight w:val="none"/>
              </w:rPr>
              <w:t>分包金额或者比例：</w:t>
            </w:r>
            <w:r>
              <w:rPr>
                <w:rFonts w:hint="eastAsia" w:ascii="宋体" w:hAnsi="宋体" w:cs="宋体"/>
                <w:sz w:val="21"/>
                <w:szCs w:val="21"/>
                <w:highlight w:val="none"/>
                <w:u w:val="single"/>
              </w:rPr>
              <w:t xml:space="preserve">                                     。</w:t>
            </w:r>
          </w:p>
        </w:tc>
      </w:tr>
      <w:tr w14:paraId="272903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6A0AAA78">
            <w:pPr>
              <w:spacing w:line="360" w:lineRule="auto"/>
              <w:jc w:val="center"/>
              <w:rPr>
                <w:rFonts w:hint="eastAsia" w:ascii="宋体" w:hAnsi="宋体" w:cs="宋体"/>
                <w:sz w:val="21"/>
                <w:szCs w:val="21"/>
                <w:highlight w:val="none"/>
              </w:rPr>
            </w:pPr>
            <w:r>
              <w:rPr>
                <w:rFonts w:hint="eastAsia" w:ascii="宋体" w:hAnsi="宋体" w:cs="宋体"/>
                <w:sz w:val="21"/>
                <w:szCs w:val="21"/>
                <w:highlight w:val="none"/>
              </w:rPr>
              <w:t>12.1.1</w:t>
            </w:r>
          </w:p>
        </w:tc>
        <w:tc>
          <w:tcPr>
            <w:tcW w:w="8627" w:type="dxa"/>
            <w:vAlign w:val="center"/>
          </w:tcPr>
          <w:p w14:paraId="363AB2EF">
            <w:pPr>
              <w:snapToGrid/>
              <w:spacing w:line="360" w:lineRule="auto"/>
              <w:jc w:val="left"/>
              <w:rPr>
                <w:rFonts w:hint="eastAsia" w:ascii="宋体" w:hAnsi="宋体" w:cs="宋体"/>
                <w:b/>
                <w:sz w:val="21"/>
                <w:szCs w:val="21"/>
                <w:highlight w:val="none"/>
              </w:rPr>
            </w:pPr>
            <w:r>
              <w:rPr>
                <w:rFonts w:hint="eastAsia" w:ascii="宋体" w:hAnsi="宋体" w:cs="宋体"/>
                <w:b/>
                <w:sz w:val="21"/>
                <w:szCs w:val="21"/>
                <w:highlight w:val="none"/>
              </w:rPr>
              <w:t>资格证明文件</w:t>
            </w:r>
          </w:p>
          <w:p w14:paraId="04EF3F8A">
            <w:pPr>
              <w:pStyle w:val="12"/>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1.供应商为法人或者其他组织的，证明文件为其营业执照（如营业执照或者事业单位法人证书或者执业许可证等）；供应商为自然人的，证明文件为其身份证复印件；（</w:t>
            </w:r>
            <w:r>
              <w:rPr>
                <w:rFonts w:hint="eastAsia" w:ascii="宋体" w:hAnsi="宋体" w:cs="宋体"/>
                <w:b/>
                <w:sz w:val="21"/>
                <w:szCs w:val="21"/>
                <w:highlight w:val="none"/>
              </w:rPr>
              <w:t>必须提供，否则响应文件按无效响应处理</w:t>
            </w:r>
            <w:r>
              <w:rPr>
                <w:rFonts w:hint="eastAsia" w:ascii="宋体" w:hAnsi="宋体" w:cs="宋体"/>
                <w:sz w:val="21"/>
                <w:szCs w:val="21"/>
                <w:highlight w:val="none"/>
              </w:rPr>
              <w:t>）</w:t>
            </w:r>
          </w:p>
          <w:p w14:paraId="696533E6">
            <w:pPr>
              <w:pStyle w:val="12"/>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2.供应商</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或</w:t>
            </w:r>
            <w:r>
              <w:rPr>
                <w:rFonts w:hint="eastAsia" w:ascii="宋体" w:hAnsi="宋体" w:cs="宋体"/>
                <w:sz w:val="21"/>
                <w:szCs w:val="21"/>
                <w:highlight w:val="none"/>
              </w:rPr>
              <w:t>供应商</w:t>
            </w:r>
            <w:r>
              <w:rPr>
                <w:rFonts w:hint="eastAsia" w:ascii="宋体" w:hAnsi="宋体" w:cs="宋体"/>
                <w:color w:val="auto"/>
                <w:szCs w:val="21"/>
                <w:highlight w:val="none"/>
                <w:lang w:val="en-US" w:eastAsia="zh-CN"/>
              </w:rPr>
              <w:t>上级单位</w:t>
            </w:r>
            <w:r>
              <w:rPr>
                <w:rFonts w:hint="eastAsia" w:ascii="宋体" w:hAnsi="宋体" w:cs="宋体"/>
                <w:color w:val="auto"/>
                <w:szCs w:val="21"/>
                <w:highlight w:val="none"/>
                <w:lang w:eastAsia="zh-CN"/>
              </w:rPr>
              <w:t>）</w:t>
            </w:r>
            <w:r>
              <w:rPr>
                <w:rFonts w:hint="eastAsia" w:ascii="宋体" w:hAnsi="宋体" w:cs="宋体"/>
                <w:sz w:val="21"/>
                <w:szCs w:val="21"/>
                <w:highlight w:val="none"/>
              </w:rPr>
              <w:t>依法缴纳税收的相关材料（截至</w:t>
            </w:r>
            <w:r>
              <w:rPr>
                <w:rFonts w:hint="eastAsia" w:ascii="宋体" w:hAnsi="宋体" w:cs="宋体"/>
                <w:sz w:val="21"/>
                <w:szCs w:val="21"/>
                <w:highlight w:val="none"/>
                <w:u w:val="single"/>
                <w:lang w:eastAsia="zh-CN"/>
              </w:rPr>
              <w:t>首次响应文件提交截止之日半年内任意一个月</w:t>
            </w:r>
            <w:r>
              <w:rPr>
                <w:rFonts w:hint="eastAsia" w:ascii="宋体" w:hAnsi="宋体" w:cs="宋体"/>
                <w:sz w:val="21"/>
                <w:szCs w:val="21"/>
                <w:highlight w:val="none"/>
              </w:rPr>
              <w:t>的依法缴纳税收的凭据；依法免税的，必须提供相应文件证明。从成立之日起到首次响应文件提交截止之日不足要求月数的，只需提供从成立之日起的依法缴纳税收相应证明文件）；（</w:t>
            </w:r>
            <w:r>
              <w:rPr>
                <w:rFonts w:hint="eastAsia" w:ascii="宋体" w:hAnsi="宋体" w:cs="宋体"/>
                <w:b/>
                <w:sz w:val="21"/>
                <w:szCs w:val="21"/>
                <w:highlight w:val="none"/>
              </w:rPr>
              <w:t>必须提供，否则响应文件按无效响应处理</w:t>
            </w:r>
            <w:r>
              <w:rPr>
                <w:rFonts w:hint="eastAsia" w:ascii="宋体" w:hAnsi="宋体" w:cs="宋体"/>
                <w:sz w:val="21"/>
                <w:szCs w:val="21"/>
                <w:highlight w:val="none"/>
              </w:rPr>
              <w:t>）</w:t>
            </w:r>
          </w:p>
          <w:p w14:paraId="6A84E32E">
            <w:pPr>
              <w:pStyle w:val="12"/>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3.供应商</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或</w:t>
            </w:r>
            <w:r>
              <w:rPr>
                <w:rFonts w:hint="eastAsia" w:ascii="宋体" w:hAnsi="宋体" w:cs="宋体"/>
                <w:sz w:val="21"/>
                <w:szCs w:val="21"/>
                <w:highlight w:val="none"/>
              </w:rPr>
              <w:t>供应商</w:t>
            </w:r>
            <w:r>
              <w:rPr>
                <w:rFonts w:hint="eastAsia" w:ascii="宋体" w:hAnsi="宋体" w:cs="宋体"/>
                <w:color w:val="auto"/>
                <w:szCs w:val="21"/>
                <w:highlight w:val="none"/>
                <w:lang w:val="en-US" w:eastAsia="zh-CN"/>
              </w:rPr>
              <w:t>上级单位</w:t>
            </w:r>
            <w:r>
              <w:rPr>
                <w:rFonts w:hint="eastAsia" w:ascii="宋体" w:hAnsi="宋体" w:cs="宋体"/>
                <w:color w:val="auto"/>
                <w:szCs w:val="21"/>
                <w:highlight w:val="none"/>
                <w:lang w:eastAsia="zh-CN"/>
              </w:rPr>
              <w:t>）</w:t>
            </w:r>
            <w:r>
              <w:rPr>
                <w:rFonts w:hint="eastAsia" w:ascii="宋体" w:hAnsi="宋体" w:cs="宋体"/>
                <w:sz w:val="21"/>
                <w:szCs w:val="21"/>
                <w:highlight w:val="none"/>
              </w:rPr>
              <w:t>依法缴纳社会保障资金的相关材料[截至</w:t>
            </w:r>
            <w:r>
              <w:rPr>
                <w:rFonts w:hint="eastAsia" w:ascii="宋体" w:hAnsi="宋体" w:cs="宋体"/>
                <w:sz w:val="21"/>
                <w:szCs w:val="21"/>
                <w:highlight w:val="none"/>
                <w:u w:val="single"/>
                <w:lang w:eastAsia="zh-CN"/>
              </w:rPr>
              <w:t>首次响应文件提交截止之日半年内任意一个月</w:t>
            </w:r>
            <w:r>
              <w:rPr>
                <w:rFonts w:hint="eastAsia" w:ascii="宋体" w:hAnsi="宋体" w:cs="宋体"/>
                <w:sz w:val="21"/>
                <w:szCs w:val="21"/>
                <w:highlight w:val="none"/>
              </w:rPr>
              <w:t>的依法缴纳社会保障资金的缴费凭证；依法不需要缴纳社会保障资金的，必须提供相应文件证明。从成立之日起到首次响应文件提交截止之日不足要求月数的只需提供从成立之日起一个月的依法缴纳社会保障资金的相应证明文件]；（</w:t>
            </w:r>
            <w:r>
              <w:rPr>
                <w:rFonts w:hint="eastAsia" w:ascii="宋体" w:hAnsi="宋体" w:cs="宋体"/>
                <w:b/>
                <w:sz w:val="21"/>
                <w:szCs w:val="21"/>
                <w:highlight w:val="none"/>
              </w:rPr>
              <w:t>必须提供，否则响应文件按无效响应处理</w:t>
            </w:r>
            <w:r>
              <w:rPr>
                <w:rFonts w:hint="eastAsia" w:ascii="宋体" w:hAnsi="宋体" w:cs="宋体"/>
                <w:sz w:val="21"/>
                <w:szCs w:val="21"/>
                <w:highlight w:val="none"/>
              </w:rPr>
              <w:t>）</w:t>
            </w:r>
          </w:p>
          <w:p w14:paraId="38BC3F28">
            <w:pPr>
              <w:numPr>
                <w:ilvl w:val="0"/>
                <w:numId w:val="0"/>
              </w:numPr>
              <w:snapToGrid w:val="0"/>
              <w:spacing w:line="360" w:lineRule="auto"/>
              <w:ind w:left="0" w:firstLine="420" w:firstLineChars="200"/>
              <w:jc w:val="left"/>
              <w:rPr>
                <w:rFonts w:hint="eastAsia" w:ascii="宋体" w:hAnsi="宋体" w:eastAsia="宋体" w:cs="宋体"/>
                <w:b/>
                <w:bCs/>
                <w:color w:val="auto"/>
                <w:szCs w:val="21"/>
                <w:highlight w:val="none"/>
              </w:rPr>
            </w:pPr>
            <w:r>
              <w:rPr>
                <w:rFonts w:hint="eastAsia" w:ascii="宋体" w:hAnsi="宋体" w:cs="宋体"/>
                <w:sz w:val="21"/>
                <w:szCs w:val="21"/>
                <w:highlight w:val="none"/>
              </w:rPr>
              <w:t>4.供应商</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或</w:t>
            </w:r>
            <w:r>
              <w:rPr>
                <w:rFonts w:hint="eastAsia" w:ascii="宋体" w:hAnsi="宋体" w:cs="宋体"/>
                <w:sz w:val="21"/>
                <w:szCs w:val="21"/>
                <w:highlight w:val="none"/>
              </w:rPr>
              <w:t>供应商</w:t>
            </w:r>
            <w:r>
              <w:rPr>
                <w:rFonts w:hint="eastAsia" w:ascii="宋体" w:hAnsi="宋体" w:cs="宋体"/>
                <w:color w:val="auto"/>
                <w:szCs w:val="21"/>
                <w:highlight w:val="none"/>
                <w:lang w:val="en-US" w:eastAsia="zh-CN"/>
              </w:rPr>
              <w:t>上级单位</w:t>
            </w:r>
            <w:r>
              <w:rPr>
                <w:rFonts w:hint="eastAsia" w:ascii="宋体" w:hAnsi="宋体" w:cs="宋体"/>
                <w:color w:val="auto"/>
                <w:szCs w:val="21"/>
                <w:highlight w:val="none"/>
                <w:lang w:eastAsia="zh-CN"/>
              </w:rPr>
              <w:t>）</w:t>
            </w:r>
            <w:r>
              <w:rPr>
                <w:rFonts w:hint="eastAsia" w:ascii="宋体" w:hAnsi="宋体" w:cs="宋体"/>
                <w:sz w:val="21"/>
                <w:szCs w:val="21"/>
                <w:highlight w:val="none"/>
              </w:rPr>
              <w:t>财务状况报告</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2025年度财务报告复印件，或者银行出具的资信证明，或者中国人民银行征信中心出具的信用报告（企业竞标的提供企业信用报告，自然人竞标的提供个人信用报告）；供应商属于成立时间在规定年度之后的法人或其他组织，需提供成立之日起至响应文件提交截止时间前的月报表或银行出具的资信证明或者中国人民银行征信中心出具的企业信用报告；资信证明应在有效期内，未注明有效期的，银行出具时间至响应文件提交截止时间不超过一年）。</w:t>
            </w:r>
            <w:r>
              <w:rPr>
                <w:rFonts w:hint="eastAsia" w:ascii="宋体" w:hAnsi="宋体" w:eastAsia="宋体" w:cs="宋体"/>
                <w:b/>
                <w:bCs/>
                <w:color w:val="auto"/>
                <w:szCs w:val="21"/>
                <w:highlight w:val="none"/>
              </w:rPr>
              <w:t>[注：上述财务状况报告包括：供应商执行《企业会计准则》的，提供资产负债表、利润表、现金流量表、所有者权益变动表及其附注（以下称“四表一注”）；供应商执行《小企业会计准则》的，提供资产负债表、利润表、现金流量表及其附注（以下称“三表一注”）；供应商执行《政府会计制度》的，提供资产负债表、收入费用表和净资产变动表及其附注</w:t>
            </w:r>
            <w:r>
              <w:rPr>
                <w:rFonts w:hint="eastAsia" w:ascii="宋体" w:hAnsi="宋体" w:eastAsia="宋体" w:cs="宋体"/>
                <w:b/>
                <w:bCs/>
                <w:color w:val="auto"/>
                <w:szCs w:val="21"/>
                <w:highlight w:val="none"/>
                <w:lang w:eastAsia="zh-CN"/>
              </w:rPr>
              <w:t>】</w:t>
            </w:r>
            <w:r>
              <w:rPr>
                <w:rFonts w:hint="eastAsia" w:ascii="宋体" w:hAnsi="宋体" w:eastAsia="宋体" w:cs="宋体"/>
                <w:b/>
                <w:bCs/>
                <w:color w:val="auto"/>
                <w:szCs w:val="21"/>
                <w:highlight w:val="none"/>
              </w:rPr>
              <w:t>。（必须提供，否则作无效投标处理）</w:t>
            </w:r>
          </w:p>
          <w:p w14:paraId="7FDB956D">
            <w:pPr>
              <w:pStyle w:val="12"/>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5.供应商直接控股、管理关系信息表（格式后附）；（</w:t>
            </w:r>
            <w:r>
              <w:rPr>
                <w:rFonts w:hint="eastAsia" w:ascii="宋体" w:hAnsi="宋体" w:cs="宋体"/>
                <w:b/>
                <w:sz w:val="21"/>
                <w:szCs w:val="21"/>
                <w:highlight w:val="none"/>
              </w:rPr>
              <w:t>必须提供，否则响应文件按无效响应处理</w:t>
            </w:r>
            <w:r>
              <w:rPr>
                <w:rFonts w:hint="eastAsia" w:ascii="宋体" w:hAnsi="宋体" w:cs="宋体"/>
                <w:sz w:val="21"/>
                <w:szCs w:val="21"/>
                <w:highlight w:val="none"/>
              </w:rPr>
              <w:t>）</w:t>
            </w:r>
          </w:p>
          <w:p w14:paraId="26007AC6">
            <w:pPr>
              <w:pStyle w:val="12"/>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6.参与竞争性磋商声明（格式后附）；（</w:t>
            </w:r>
            <w:r>
              <w:rPr>
                <w:rFonts w:hint="eastAsia" w:ascii="宋体" w:hAnsi="宋体" w:cs="宋体"/>
                <w:b/>
                <w:sz w:val="21"/>
                <w:szCs w:val="21"/>
                <w:highlight w:val="none"/>
              </w:rPr>
              <w:t>必须提供，否则响应文件按无效响应处理</w:t>
            </w:r>
            <w:r>
              <w:rPr>
                <w:rFonts w:hint="eastAsia" w:ascii="宋体" w:hAnsi="宋体" w:cs="宋体"/>
                <w:sz w:val="21"/>
                <w:szCs w:val="21"/>
                <w:highlight w:val="none"/>
              </w:rPr>
              <w:t>）</w:t>
            </w:r>
          </w:p>
          <w:p w14:paraId="7B72C149">
            <w:pPr>
              <w:pStyle w:val="12"/>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7.竞争性磋商公告对应的特定资格要求的资格证明材料；</w:t>
            </w:r>
            <w:r>
              <w:rPr>
                <w:rFonts w:hint="eastAsia" w:ascii="宋体" w:hAnsi="宋体" w:cs="宋体"/>
                <w:b/>
                <w:bCs/>
                <w:sz w:val="21"/>
                <w:szCs w:val="21"/>
                <w:highlight w:val="none"/>
              </w:rPr>
              <w:t>（公告如有</w:t>
            </w:r>
            <w:r>
              <w:rPr>
                <w:rFonts w:hint="eastAsia" w:ascii="宋体" w:hAnsi="宋体" w:cs="宋体"/>
                <w:b/>
                <w:bCs/>
                <w:sz w:val="21"/>
                <w:szCs w:val="21"/>
                <w:highlight w:val="none"/>
                <w:lang w:val="en-US" w:eastAsia="zh-CN"/>
              </w:rPr>
              <w:t>要求</w:t>
            </w:r>
            <w:r>
              <w:rPr>
                <w:rFonts w:hint="eastAsia" w:ascii="宋体" w:hAnsi="宋体" w:cs="宋体"/>
                <w:b/>
                <w:bCs/>
                <w:sz w:val="21"/>
                <w:szCs w:val="21"/>
                <w:highlight w:val="none"/>
              </w:rPr>
              <w:t>则必须提供</w:t>
            </w:r>
            <w:r>
              <w:rPr>
                <w:rFonts w:hint="eastAsia" w:ascii="宋体" w:hAnsi="宋体" w:cs="宋体"/>
                <w:b/>
                <w:sz w:val="21"/>
                <w:szCs w:val="21"/>
                <w:highlight w:val="none"/>
              </w:rPr>
              <w:t>，否则响应文件按无效响应处理</w:t>
            </w:r>
            <w:r>
              <w:rPr>
                <w:rFonts w:hint="eastAsia" w:ascii="宋体" w:hAnsi="宋体" w:cs="宋体"/>
                <w:sz w:val="21"/>
                <w:szCs w:val="21"/>
                <w:highlight w:val="none"/>
              </w:rPr>
              <w:t>）</w:t>
            </w:r>
          </w:p>
          <w:p w14:paraId="7C6E1908">
            <w:pPr>
              <w:pStyle w:val="12"/>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8.联合体参与竞争性磋商协议书（格式后附）；（</w:t>
            </w:r>
            <w:r>
              <w:rPr>
                <w:rFonts w:hint="eastAsia" w:ascii="宋体" w:hAnsi="宋体" w:cs="宋体"/>
                <w:b/>
                <w:sz w:val="21"/>
                <w:szCs w:val="21"/>
                <w:highlight w:val="none"/>
              </w:rPr>
              <w:t>联合体</w:t>
            </w:r>
            <w:r>
              <w:rPr>
                <w:rFonts w:hint="eastAsia" w:ascii="宋体" w:hAnsi="宋体" w:cs="宋体"/>
                <w:b/>
                <w:bCs/>
                <w:sz w:val="21"/>
                <w:szCs w:val="21"/>
                <w:highlight w:val="none"/>
              </w:rPr>
              <w:t>参与竞争性磋商</w:t>
            </w:r>
            <w:r>
              <w:rPr>
                <w:rFonts w:hint="eastAsia" w:ascii="宋体" w:hAnsi="宋体" w:cs="宋体"/>
                <w:b/>
                <w:sz w:val="21"/>
                <w:szCs w:val="21"/>
                <w:highlight w:val="none"/>
              </w:rPr>
              <w:t>时必须提供，否则响应文件按无效响应处理</w:t>
            </w:r>
            <w:r>
              <w:rPr>
                <w:rFonts w:hint="eastAsia" w:ascii="宋体" w:hAnsi="宋体" w:cs="宋体"/>
                <w:sz w:val="21"/>
                <w:szCs w:val="21"/>
                <w:highlight w:val="none"/>
              </w:rPr>
              <w:t>）</w:t>
            </w:r>
          </w:p>
          <w:p w14:paraId="26C35081">
            <w:pPr>
              <w:pStyle w:val="12"/>
              <w:spacing w:line="360" w:lineRule="auto"/>
              <w:ind w:firstLine="420" w:firstLineChars="200"/>
              <w:rPr>
                <w:rFonts w:hint="eastAsia" w:ascii="宋体" w:hAnsi="宋体" w:cs="宋体"/>
                <w:b/>
                <w:sz w:val="21"/>
                <w:szCs w:val="21"/>
                <w:highlight w:val="none"/>
              </w:rPr>
            </w:pPr>
            <w:r>
              <w:rPr>
                <w:rFonts w:hint="eastAsia" w:ascii="宋体" w:hAnsi="宋体" w:cs="宋体"/>
                <w:sz w:val="21"/>
                <w:szCs w:val="21"/>
                <w:highlight w:val="none"/>
              </w:rPr>
              <w:t>9.除磋商文件规定必须提供以外，供应商认为需要提供的其他证明材料；</w:t>
            </w:r>
          </w:p>
          <w:p w14:paraId="091A0A7D">
            <w:pPr>
              <w:snapToGrid/>
              <w:spacing w:line="360" w:lineRule="auto"/>
              <w:ind w:firstLine="422" w:firstLineChars="200"/>
              <w:jc w:val="left"/>
              <w:rPr>
                <w:rFonts w:hint="eastAsia" w:ascii="宋体" w:hAnsi="宋体" w:eastAsia="宋体" w:cs="宋体"/>
                <w:b/>
                <w:sz w:val="21"/>
                <w:szCs w:val="21"/>
                <w:highlight w:val="none"/>
              </w:rPr>
            </w:pPr>
            <w:r>
              <w:rPr>
                <w:rFonts w:hint="eastAsia" w:ascii="宋体" w:hAnsi="宋体" w:eastAsia="宋体" w:cs="宋体"/>
                <w:b/>
                <w:bCs/>
                <w:sz w:val="21"/>
                <w:szCs w:val="21"/>
                <w:highlight w:val="none"/>
              </w:rPr>
              <w:t>【注】</w:t>
            </w:r>
            <w:r>
              <w:rPr>
                <w:rFonts w:hint="eastAsia" w:ascii="宋体" w:hAnsi="宋体" w:eastAsia="宋体" w:cs="宋体"/>
                <w:b/>
                <w:sz w:val="21"/>
                <w:szCs w:val="21"/>
                <w:highlight w:val="none"/>
              </w:rPr>
              <w:t>1.以上标明“必须提供”的材料必须加盖供应商公章，否则响应文件按无效响应处理。</w:t>
            </w:r>
          </w:p>
          <w:p w14:paraId="471104BF">
            <w:pPr>
              <w:snapToGrid/>
              <w:spacing w:line="360" w:lineRule="auto"/>
              <w:ind w:firstLine="422" w:firstLineChars="200"/>
              <w:jc w:val="left"/>
              <w:rPr>
                <w:rFonts w:hint="eastAsia" w:ascii="宋体" w:hAnsi="宋体" w:eastAsia="宋体" w:cs="宋体"/>
                <w:b/>
                <w:sz w:val="21"/>
                <w:szCs w:val="21"/>
                <w:highlight w:val="none"/>
              </w:rPr>
            </w:pPr>
            <w:r>
              <w:rPr>
                <w:rFonts w:hint="eastAsia" w:ascii="宋体" w:hAnsi="宋体" w:eastAsia="宋体" w:cs="宋体"/>
                <w:b/>
                <w:sz w:val="21"/>
                <w:szCs w:val="21"/>
                <w:highlight w:val="none"/>
              </w:rPr>
              <w:t>2.参与竞争性磋商声明必须由法定代表人在规定签章处签字</w:t>
            </w:r>
            <w:r>
              <w:rPr>
                <w:rFonts w:hint="eastAsia" w:ascii="宋体" w:hAnsi="宋体" w:eastAsia="宋体" w:cs="宋体"/>
                <w:b/>
                <w:sz w:val="21"/>
                <w:szCs w:val="21"/>
                <w:highlight w:val="none"/>
                <w:lang w:eastAsia="zh-CN"/>
              </w:rPr>
              <w:t>或签章</w:t>
            </w:r>
            <w:r>
              <w:rPr>
                <w:rFonts w:hint="eastAsia" w:ascii="宋体" w:hAnsi="宋体" w:eastAsia="宋体" w:cs="宋体"/>
                <w:b/>
                <w:sz w:val="21"/>
                <w:szCs w:val="21"/>
                <w:highlight w:val="none"/>
              </w:rPr>
              <w:t>并加盖供应商公章，否则响应文件按无效响应处理。</w:t>
            </w:r>
          </w:p>
          <w:p w14:paraId="72EFFB16">
            <w:pPr>
              <w:snapToGrid/>
              <w:spacing w:line="360" w:lineRule="auto"/>
              <w:ind w:firstLine="422" w:firstLineChars="200"/>
              <w:jc w:val="left"/>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3.供应商直接控股、管理关系信息表必须由法定代表人或者委托代理人在规定签章处签字</w:t>
            </w:r>
            <w:r>
              <w:rPr>
                <w:rFonts w:hint="eastAsia" w:ascii="宋体" w:hAnsi="宋体" w:eastAsia="宋体" w:cs="宋体"/>
                <w:b/>
                <w:bCs/>
                <w:sz w:val="21"/>
                <w:szCs w:val="21"/>
                <w:highlight w:val="none"/>
                <w:lang w:eastAsia="zh-CN"/>
              </w:rPr>
              <w:t>或签章</w:t>
            </w:r>
            <w:r>
              <w:rPr>
                <w:rFonts w:hint="eastAsia" w:ascii="宋体" w:hAnsi="宋体" w:eastAsia="宋体" w:cs="宋体"/>
                <w:b/>
                <w:bCs/>
                <w:sz w:val="21"/>
                <w:szCs w:val="21"/>
                <w:highlight w:val="none"/>
              </w:rPr>
              <w:t>并加盖供应商公章，否则响应文件按无效响应处理。</w:t>
            </w:r>
          </w:p>
          <w:p w14:paraId="7B8063D0">
            <w:pPr>
              <w:spacing w:line="360" w:lineRule="auto"/>
              <w:ind w:firstLine="422" w:firstLineChars="200"/>
              <w:jc w:val="left"/>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4.联合体参加竞争性磋商时，第1-</w:t>
            </w:r>
            <w:r>
              <w:rPr>
                <w:rFonts w:hint="eastAsia" w:ascii="宋体" w:hAnsi="宋体" w:cs="宋体"/>
                <w:b/>
                <w:bCs/>
                <w:sz w:val="21"/>
                <w:szCs w:val="21"/>
                <w:highlight w:val="none"/>
                <w:lang w:val="en-US" w:eastAsia="zh-CN"/>
              </w:rPr>
              <w:t>7</w:t>
            </w:r>
            <w:r>
              <w:rPr>
                <w:rFonts w:hint="eastAsia" w:ascii="宋体" w:hAnsi="宋体" w:eastAsia="宋体" w:cs="宋体"/>
                <w:b/>
                <w:bCs/>
                <w:sz w:val="21"/>
                <w:szCs w:val="21"/>
                <w:highlight w:val="none"/>
              </w:rPr>
              <w:t>项资格证明文件联合体各方均必须分别提供，联合体各方分别盖章，否则响应文件按无效响应处理。</w:t>
            </w:r>
          </w:p>
          <w:p w14:paraId="07822744">
            <w:pPr>
              <w:spacing w:line="360" w:lineRule="auto"/>
              <w:ind w:firstLine="422" w:firstLineChars="200"/>
              <w:jc w:val="left"/>
              <w:rPr>
                <w:rFonts w:hint="eastAsia" w:ascii="宋体" w:hAnsi="宋体" w:cs="宋体"/>
                <w:b/>
                <w:sz w:val="21"/>
                <w:szCs w:val="21"/>
                <w:highlight w:val="none"/>
              </w:rPr>
            </w:pPr>
            <w:r>
              <w:rPr>
                <w:rFonts w:hint="eastAsia" w:ascii="宋体" w:hAnsi="宋体" w:eastAsia="宋体" w:cs="宋体"/>
                <w:b/>
                <w:bCs/>
                <w:sz w:val="21"/>
                <w:szCs w:val="21"/>
                <w:highlight w:val="none"/>
              </w:rPr>
              <w:t>5.分公司参加竞争性磋商的，应当取得总公司授权，否则响应文件按无效响应处理。</w:t>
            </w:r>
          </w:p>
        </w:tc>
      </w:tr>
      <w:tr w14:paraId="4DD262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Merge w:val="restart"/>
            <w:vAlign w:val="center"/>
          </w:tcPr>
          <w:p w14:paraId="3B22AFBD">
            <w:pPr>
              <w:spacing w:line="360" w:lineRule="auto"/>
              <w:jc w:val="center"/>
              <w:rPr>
                <w:rFonts w:hint="eastAsia" w:ascii="宋体" w:hAnsi="宋体" w:cs="宋体"/>
                <w:sz w:val="21"/>
                <w:szCs w:val="21"/>
                <w:highlight w:val="none"/>
              </w:rPr>
            </w:pPr>
            <w:r>
              <w:rPr>
                <w:rFonts w:hint="eastAsia" w:ascii="宋体" w:hAnsi="宋体" w:cs="宋体"/>
                <w:sz w:val="21"/>
                <w:szCs w:val="21"/>
                <w:highlight w:val="none"/>
              </w:rPr>
              <w:t>12.1.2</w:t>
            </w:r>
          </w:p>
          <w:p w14:paraId="6B6C3E13">
            <w:pPr>
              <w:spacing w:line="360" w:lineRule="auto"/>
              <w:jc w:val="center"/>
              <w:rPr>
                <w:rFonts w:hint="eastAsia" w:ascii="宋体" w:hAnsi="宋体" w:cs="宋体"/>
                <w:sz w:val="21"/>
                <w:szCs w:val="21"/>
                <w:highlight w:val="none"/>
              </w:rPr>
            </w:pPr>
          </w:p>
        </w:tc>
        <w:tc>
          <w:tcPr>
            <w:tcW w:w="8627" w:type="dxa"/>
            <w:vAlign w:val="center"/>
          </w:tcPr>
          <w:p w14:paraId="32963F7C">
            <w:pPr>
              <w:spacing w:line="360" w:lineRule="auto"/>
              <w:rPr>
                <w:rFonts w:hint="eastAsia" w:ascii="宋体" w:hAnsi="宋体" w:cs="宋体"/>
                <w:b/>
                <w:bCs/>
                <w:sz w:val="21"/>
                <w:szCs w:val="21"/>
                <w:highlight w:val="none"/>
              </w:rPr>
            </w:pPr>
            <w:r>
              <w:rPr>
                <w:rFonts w:hint="eastAsia" w:ascii="宋体" w:hAnsi="宋体" w:cs="宋体"/>
                <w:b/>
                <w:bCs/>
                <w:sz w:val="21"/>
                <w:szCs w:val="21"/>
                <w:highlight w:val="none"/>
              </w:rPr>
              <w:t>报价文件</w:t>
            </w:r>
          </w:p>
          <w:p w14:paraId="490E5721">
            <w:pPr>
              <w:pStyle w:val="12"/>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1.无串通参与竞争性磋商行为的承诺函（格式后附）；（</w:t>
            </w:r>
            <w:r>
              <w:rPr>
                <w:rFonts w:hint="eastAsia" w:ascii="宋体" w:hAnsi="宋体" w:cs="宋体"/>
                <w:b/>
                <w:sz w:val="21"/>
                <w:szCs w:val="21"/>
                <w:highlight w:val="none"/>
              </w:rPr>
              <w:t>必须提供，否则响应文件按无效响应处理</w:t>
            </w:r>
            <w:r>
              <w:rPr>
                <w:rFonts w:hint="eastAsia" w:ascii="宋体" w:hAnsi="宋体" w:cs="宋体"/>
                <w:sz w:val="21"/>
                <w:szCs w:val="21"/>
                <w:highlight w:val="none"/>
              </w:rPr>
              <w:t>）</w:t>
            </w:r>
          </w:p>
          <w:p w14:paraId="46317A15">
            <w:pPr>
              <w:pStyle w:val="12"/>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2.竞争性磋商报价表（格式后附）；（</w:t>
            </w:r>
            <w:r>
              <w:rPr>
                <w:rFonts w:hint="eastAsia" w:ascii="宋体" w:hAnsi="宋体" w:cs="宋体"/>
                <w:b/>
                <w:sz w:val="21"/>
                <w:szCs w:val="21"/>
                <w:highlight w:val="none"/>
              </w:rPr>
              <w:t>必须提供，否则响应文件按无效响应处理</w:t>
            </w:r>
            <w:r>
              <w:rPr>
                <w:rFonts w:hint="eastAsia" w:ascii="宋体" w:hAnsi="宋体" w:cs="宋体"/>
                <w:sz w:val="21"/>
                <w:szCs w:val="21"/>
                <w:highlight w:val="none"/>
              </w:rPr>
              <w:t>）</w:t>
            </w:r>
          </w:p>
          <w:p w14:paraId="73256373">
            <w:pPr>
              <w:pStyle w:val="12"/>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3.中小企业声明函（或残疾人福利性单位声明函或监狱企业声明函，残疾人福利性单位或监狱企业视同小微企业）</w:t>
            </w:r>
            <w:r>
              <w:rPr>
                <w:rFonts w:hint="eastAsia" w:ascii="宋体" w:hAnsi="宋体" w:cs="宋体"/>
                <w:sz w:val="21"/>
                <w:szCs w:val="21"/>
                <w:highlight w:val="none"/>
                <w:lang w:eastAsia="zh-CN"/>
              </w:rPr>
              <w:t>【</w:t>
            </w:r>
            <w:r>
              <w:rPr>
                <w:rFonts w:hint="eastAsia" w:ascii="宋体" w:hAnsi="宋体" w:cs="宋体"/>
                <w:b/>
                <w:bCs/>
                <w:color w:val="auto"/>
                <w:szCs w:val="21"/>
                <w:highlight w:val="none"/>
              </w:rPr>
              <w:t>本项目如为专门面向中小企业（或者小型、微型企业）采购时必须提供，否则作无效</w:t>
            </w:r>
            <w:r>
              <w:rPr>
                <w:rFonts w:hint="eastAsia" w:ascii="宋体" w:hAnsi="宋体" w:cs="宋体"/>
                <w:b/>
                <w:bCs/>
                <w:color w:val="auto"/>
                <w:szCs w:val="21"/>
                <w:highlight w:val="none"/>
                <w:lang w:val="en-US" w:eastAsia="zh-CN"/>
              </w:rPr>
              <w:t>响应</w:t>
            </w:r>
            <w:r>
              <w:rPr>
                <w:rFonts w:hint="eastAsia" w:ascii="宋体" w:hAnsi="宋体" w:cs="宋体"/>
                <w:b/>
                <w:bCs/>
                <w:color w:val="auto"/>
                <w:szCs w:val="21"/>
                <w:highlight w:val="none"/>
              </w:rPr>
              <w:t>处理</w:t>
            </w:r>
            <w:r>
              <w:rPr>
                <w:rFonts w:hint="eastAsia" w:ascii="宋体" w:hAnsi="宋体" w:cs="宋体"/>
                <w:sz w:val="21"/>
                <w:szCs w:val="21"/>
                <w:highlight w:val="none"/>
                <w:lang w:eastAsia="zh-CN"/>
              </w:rPr>
              <w:t>】</w:t>
            </w:r>
            <w:r>
              <w:rPr>
                <w:rFonts w:hint="eastAsia" w:ascii="宋体" w:hAnsi="宋体" w:cs="宋体"/>
                <w:sz w:val="21"/>
                <w:szCs w:val="21"/>
                <w:highlight w:val="none"/>
              </w:rPr>
              <w:t>（格式后附）；</w:t>
            </w:r>
          </w:p>
          <w:p w14:paraId="7C651B39">
            <w:pPr>
              <w:pStyle w:val="12"/>
              <w:spacing w:line="360" w:lineRule="auto"/>
              <w:ind w:firstLine="422" w:firstLineChars="200"/>
              <w:rPr>
                <w:rFonts w:hint="eastAsia" w:ascii="宋体" w:hAnsi="宋体" w:eastAsia="宋体" w:cs="宋体"/>
                <w:b/>
                <w:bCs/>
                <w:sz w:val="21"/>
                <w:szCs w:val="21"/>
                <w:highlight w:val="none"/>
              </w:rPr>
            </w:pPr>
            <w:r>
              <w:rPr>
                <w:rFonts w:hint="eastAsia" w:ascii="宋体" w:hAnsi="宋体" w:eastAsia="宋体" w:cs="宋体"/>
                <w:b/>
                <w:sz w:val="21"/>
                <w:szCs w:val="21"/>
                <w:highlight w:val="none"/>
              </w:rPr>
              <w:t>注：以上标明“必须提供”的材料必须加盖供应商公章，否则响应文件按无效响应处理。</w:t>
            </w:r>
          </w:p>
        </w:tc>
      </w:tr>
      <w:tr w14:paraId="022D32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Merge w:val="continue"/>
            <w:vAlign w:val="center"/>
          </w:tcPr>
          <w:p w14:paraId="1B06836D">
            <w:pPr>
              <w:spacing w:line="360" w:lineRule="auto"/>
              <w:jc w:val="center"/>
              <w:rPr>
                <w:rFonts w:hint="eastAsia" w:ascii="宋体" w:hAnsi="宋体" w:cs="宋体"/>
                <w:sz w:val="21"/>
                <w:szCs w:val="21"/>
                <w:highlight w:val="none"/>
              </w:rPr>
            </w:pPr>
          </w:p>
        </w:tc>
        <w:tc>
          <w:tcPr>
            <w:tcW w:w="8627" w:type="dxa"/>
            <w:vAlign w:val="center"/>
          </w:tcPr>
          <w:p w14:paraId="63ECB5E0">
            <w:pPr>
              <w:spacing w:line="360" w:lineRule="auto"/>
              <w:rPr>
                <w:rFonts w:hint="eastAsia" w:ascii="宋体" w:hAnsi="宋体" w:cs="宋体"/>
                <w:sz w:val="21"/>
                <w:szCs w:val="21"/>
                <w:highlight w:val="none"/>
              </w:rPr>
            </w:pPr>
            <w:r>
              <w:rPr>
                <w:rFonts w:hint="eastAsia" w:ascii="宋体" w:hAnsi="宋体" w:cs="宋体"/>
                <w:b/>
                <w:bCs/>
                <w:sz w:val="21"/>
                <w:szCs w:val="21"/>
                <w:highlight w:val="none"/>
              </w:rPr>
              <w:t>商务、服务文件</w:t>
            </w:r>
          </w:p>
          <w:p w14:paraId="0B0A44F2">
            <w:pPr>
              <w:pStyle w:val="12"/>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1.法定代表人身份证明及法定代表人有效身份证正反面（格式后附）；（</w:t>
            </w:r>
            <w:r>
              <w:rPr>
                <w:rFonts w:hint="eastAsia" w:ascii="宋体" w:hAnsi="宋体" w:cs="宋体"/>
                <w:b/>
                <w:bCs/>
                <w:sz w:val="21"/>
                <w:szCs w:val="21"/>
                <w:highlight w:val="none"/>
              </w:rPr>
              <w:t>除自然人</w:t>
            </w:r>
            <w:r>
              <w:rPr>
                <w:rFonts w:hint="eastAsia" w:ascii="宋体" w:hAnsi="宋体" w:cs="宋体"/>
                <w:sz w:val="21"/>
                <w:szCs w:val="21"/>
                <w:highlight w:val="none"/>
              </w:rPr>
              <w:t>参加竞争性磋商</w:t>
            </w:r>
            <w:r>
              <w:rPr>
                <w:rFonts w:hint="eastAsia" w:ascii="宋体" w:hAnsi="宋体" w:cs="宋体"/>
                <w:b/>
                <w:bCs/>
                <w:sz w:val="21"/>
                <w:szCs w:val="21"/>
                <w:highlight w:val="none"/>
              </w:rPr>
              <w:t>外</w:t>
            </w:r>
            <w:r>
              <w:rPr>
                <w:rFonts w:hint="eastAsia" w:ascii="宋体" w:hAnsi="宋体" w:cs="宋体"/>
                <w:b/>
                <w:sz w:val="21"/>
                <w:szCs w:val="21"/>
                <w:highlight w:val="none"/>
              </w:rPr>
              <w:t>必须提供，否则响应文件按无效响应处理</w:t>
            </w:r>
            <w:r>
              <w:rPr>
                <w:rFonts w:hint="eastAsia" w:ascii="宋体" w:hAnsi="宋体" w:cs="宋体"/>
                <w:sz w:val="21"/>
                <w:szCs w:val="21"/>
                <w:highlight w:val="none"/>
              </w:rPr>
              <w:t>）</w:t>
            </w:r>
          </w:p>
          <w:p w14:paraId="2403A0FA">
            <w:pPr>
              <w:pStyle w:val="12"/>
              <w:spacing w:line="360" w:lineRule="auto"/>
              <w:ind w:firstLine="420" w:firstLineChars="200"/>
              <w:rPr>
                <w:rFonts w:hint="eastAsia" w:ascii="宋体" w:hAnsi="宋体" w:cs="宋体"/>
                <w:b/>
                <w:sz w:val="21"/>
                <w:szCs w:val="21"/>
                <w:highlight w:val="none"/>
              </w:rPr>
            </w:pPr>
            <w:r>
              <w:rPr>
                <w:rFonts w:hint="eastAsia" w:ascii="宋体" w:hAnsi="宋体" w:cs="宋体"/>
                <w:sz w:val="21"/>
                <w:szCs w:val="21"/>
                <w:highlight w:val="none"/>
              </w:rPr>
              <w:t>2.授权委托书及委托代理人有效身份证正反面（格式后附）；（</w:t>
            </w:r>
            <w:r>
              <w:rPr>
                <w:rFonts w:hint="eastAsia" w:ascii="宋体" w:hAnsi="宋体" w:cs="宋体"/>
                <w:b/>
                <w:sz w:val="21"/>
                <w:szCs w:val="21"/>
                <w:highlight w:val="none"/>
              </w:rPr>
              <w:t>委托时必须提供，否则响应文件按无效响应处理</w:t>
            </w:r>
            <w:r>
              <w:rPr>
                <w:rFonts w:hint="eastAsia" w:ascii="宋体" w:hAnsi="宋体" w:cs="宋体"/>
                <w:sz w:val="21"/>
                <w:szCs w:val="21"/>
                <w:highlight w:val="none"/>
              </w:rPr>
              <w:t>）</w:t>
            </w:r>
          </w:p>
          <w:p w14:paraId="3A435EFA">
            <w:pPr>
              <w:pStyle w:val="12"/>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3.磋商保证金提交凭证；（</w:t>
            </w:r>
            <w:r>
              <w:rPr>
                <w:rFonts w:hint="eastAsia" w:ascii="宋体" w:hAnsi="宋体" w:cs="宋体"/>
                <w:b/>
                <w:bCs/>
                <w:sz w:val="21"/>
                <w:szCs w:val="21"/>
                <w:highlight w:val="none"/>
              </w:rPr>
              <w:t>如有则必须提供</w:t>
            </w:r>
            <w:r>
              <w:rPr>
                <w:rFonts w:hint="eastAsia" w:ascii="宋体" w:hAnsi="宋体" w:cs="宋体"/>
                <w:b/>
                <w:sz w:val="21"/>
                <w:szCs w:val="21"/>
                <w:highlight w:val="none"/>
              </w:rPr>
              <w:t>，否则响应文件按无效响应处理</w:t>
            </w:r>
            <w:r>
              <w:rPr>
                <w:rFonts w:hint="eastAsia" w:ascii="宋体" w:hAnsi="宋体" w:cs="宋体"/>
                <w:sz w:val="21"/>
                <w:szCs w:val="21"/>
                <w:highlight w:val="none"/>
              </w:rPr>
              <w:t>）</w:t>
            </w:r>
          </w:p>
          <w:p w14:paraId="459F7396">
            <w:pPr>
              <w:pStyle w:val="12"/>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4.商务要求偏离表（格式后附）；（</w:t>
            </w:r>
            <w:r>
              <w:rPr>
                <w:rFonts w:hint="eastAsia" w:ascii="宋体" w:hAnsi="宋体" w:cs="宋体"/>
                <w:b/>
                <w:sz w:val="21"/>
                <w:szCs w:val="21"/>
                <w:highlight w:val="none"/>
              </w:rPr>
              <w:t>必须提供，否则响应文件按无效响应处理</w:t>
            </w:r>
            <w:r>
              <w:rPr>
                <w:rFonts w:hint="eastAsia" w:ascii="宋体" w:hAnsi="宋体" w:cs="宋体"/>
                <w:sz w:val="21"/>
                <w:szCs w:val="21"/>
                <w:highlight w:val="none"/>
              </w:rPr>
              <w:t>）</w:t>
            </w:r>
          </w:p>
          <w:p w14:paraId="1122285F">
            <w:pPr>
              <w:pStyle w:val="12"/>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5.服务要求偏离表（格式后附）；（</w:t>
            </w:r>
            <w:r>
              <w:rPr>
                <w:rFonts w:hint="eastAsia" w:ascii="宋体" w:hAnsi="宋体" w:cs="宋体"/>
                <w:b/>
                <w:sz w:val="21"/>
                <w:szCs w:val="21"/>
                <w:highlight w:val="none"/>
              </w:rPr>
              <w:t>必须提供，否则响应文件按无效响应处理</w:t>
            </w:r>
            <w:r>
              <w:rPr>
                <w:rFonts w:hint="eastAsia" w:ascii="宋体" w:hAnsi="宋体" w:cs="宋体"/>
                <w:sz w:val="21"/>
                <w:szCs w:val="21"/>
                <w:highlight w:val="none"/>
              </w:rPr>
              <w:t>）</w:t>
            </w:r>
          </w:p>
          <w:p w14:paraId="51A503FB">
            <w:pPr>
              <w:pStyle w:val="12"/>
              <w:spacing w:line="360" w:lineRule="auto"/>
              <w:ind w:firstLine="420" w:firstLineChars="200"/>
              <w:rPr>
                <w:rFonts w:hint="default" w:eastAsia="宋体"/>
                <w:highlight w:val="none"/>
                <w:lang w:val="en-US" w:eastAsia="zh-CN"/>
              </w:rPr>
            </w:pPr>
            <w:r>
              <w:rPr>
                <w:rFonts w:hint="eastAsia" w:ascii="宋体" w:hAnsi="宋体" w:cs="宋体"/>
                <w:sz w:val="21"/>
                <w:szCs w:val="21"/>
                <w:highlight w:val="none"/>
                <w:lang w:val="en-US" w:eastAsia="zh-CN"/>
              </w:rPr>
              <w:t>6.项目实施方案</w:t>
            </w:r>
            <w:r>
              <w:rPr>
                <w:rFonts w:hint="eastAsia" w:ascii="宋体" w:hAnsi="宋体" w:cs="宋体"/>
                <w:sz w:val="21"/>
                <w:szCs w:val="21"/>
                <w:highlight w:val="none"/>
              </w:rPr>
              <w:t>；（</w:t>
            </w:r>
            <w:r>
              <w:rPr>
                <w:rFonts w:hint="eastAsia" w:ascii="宋体" w:hAnsi="宋体" w:cs="宋体"/>
                <w:b/>
                <w:sz w:val="21"/>
                <w:szCs w:val="21"/>
                <w:highlight w:val="none"/>
                <w:lang w:val="en-US" w:eastAsia="zh-CN"/>
              </w:rPr>
              <w:t>如有，请提供</w:t>
            </w:r>
            <w:r>
              <w:rPr>
                <w:rFonts w:hint="eastAsia" w:ascii="宋体" w:hAnsi="宋体" w:cs="宋体"/>
                <w:sz w:val="21"/>
                <w:szCs w:val="21"/>
                <w:highlight w:val="none"/>
              </w:rPr>
              <w:t>）</w:t>
            </w:r>
          </w:p>
          <w:p w14:paraId="6C08876B">
            <w:pPr>
              <w:pStyle w:val="12"/>
              <w:spacing w:line="360" w:lineRule="auto"/>
              <w:ind w:firstLine="420" w:firstLineChars="200"/>
              <w:rPr>
                <w:rFonts w:hint="default"/>
                <w:highlight w:val="none"/>
                <w:lang w:val="en-US" w:eastAsia="zh-CN"/>
              </w:rPr>
            </w:pPr>
            <w:r>
              <w:rPr>
                <w:rFonts w:hint="eastAsia" w:ascii="宋体" w:hAnsi="宋体" w:cs="宋体"/>
                <w:sz w:val="21"/>
                <w:szCs w:val="21"/>
                <w:highlight w:val="none"/>
                <w:lang w:val="en-US" w:eastAsia="zh-CN"/>
              </w:rPr>
              <w:t>7</w:t>
            </w:r>
            <w:r>
              <w:rPr>
                <w:rFonts w:hint="eastAsia" w:ascii="宋体" w:hAnsi="宋体" w:cs="宋体"/>
                <w:sz w:val="21"/>
                <w:szCs w:val="21"/>
                <w:highlight w:val="none"/>
              </w:rPr>
              <w:t>.服务方案（</w:t>
            </w:r>
            <w:r>
              <w:rPr>
                <w:rFonts w:hint="eastAsia" w:ascii="宋体" w:hAnsi="宋体" w:cs="宋体"/>
                <w:b/>
                <w:sz w:val="21"/>
                <w:szCs w:val="21"/>
                <w:highlight w:val="none"/>
                <w:lang w:val="en-US" w:eastAsia="zh-CN"/>
              </w:rPr>
              <w:t>如有，请提供</w:t>
            </w:r>
            <w:r>
              <w:rPr>
                <w:rFonts w:hint="eastAsia" w:ascii="宋体" w:hAnsi="宋体" w:cs="宋体"/>
                <w:sz w:val="21"/>
                <w:szCs w:val="21"/>
                <w:highlight w:val="none"/>
              </w:rPr>
              <w:t>）</w:t>
            </w:r>
          </w:p>
          <w:p w14:paraId="31CF2CA9">
            <w:pPr>
              <w:pStyle w:val="12"/>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lang w:val="en-US" w:eastAsia="zh-CN"/>
              </w:rPr>
              <w:t>8</w:t>
            </w:r>
            <w:r>
              <w:rPr>
                <w:rFonts w:hint="eastAsia" w:ascii="宋体" w:hAnsi="宋体" w:cs="宋体"/>
                <w:sz w:val="21"/>
                <w:szCs w:val="21"/>
                <w:highlight w:val="none"/>
              </w:rPr>
              <w:t>.项目实施人员一览表（格式自拟）；（</w:t>
            </w:r>
            <w:r>
              <w:rPr>
                <w:rFonts w:hint="eastAsia" w:ascii="宋体" w:hAnsi="宋体" w:cs="宋体"/>
                <w:b/>
                <w:sz w:val="21"/>
                <w:szCs w:val="21"/>
                <w:highlight w:val="none"/>
                <w:lang w:val="en-US" w:eastAsia="zh-CN"/>
              </w:rPr>
              <w:t>如有，请提供</w:t>
            </w:r>
            <w:r>
              <w:rPr>
                <w:rFonts w:hint="eastAsia" w:ascii="宋体" w:hAnsi="宋体" w:cs="宋体"/>
                <w:sz w:val="21"/>
                <w:szCs w:val="21"/>
                <w:highlight w:val="none"/>
              </w:rPr>
              <w:t>）</w:t>
            </w:r>
          </w:p>
          <w:p w14:paraId="2210C1F4">
            <w:pPr>
              <w:pStyle w:val="12"/>
              <w:spacing w:line="360" w:lineRule="auto"/>
              <w:ind w:firstLine="420" w:firstLineChars="200"/>
              <w:rPr>
                <w:rFonts w:hint="default" w:ascii="宋体" w:hAnsi="宋体" w:cs="宋体"/>
                <w:sz w:val="21"/>
                <w:szCs w:val="21"/>
                <w:highlight w:val="none"/>
                <w:lang w:val="en-US" w:eastAsia="zh-CN"/>
              </w:rPr>
            </w:pPr>
            <w:r>
              <w:rPr>
                <w:rFonts w:hint="eastAsia" w:ascii="宋体" w:hAnsi="宋体" w:cs="宋体"/>
                <w:sz w:val="21"/>
                <w:szCs w:val="21"/>
                <w:highlight w:val="none"/>
                <w:lang w:val="en-US" w:eastAsia="zh-CN"/>
              </w:rPr>
              <w:t>9.售后服务能力保障</w:t>
            </w:r>
            <w:r>
              <w:rPr>
                <w:rFonts w:hint="eastAsia" w:ascii="宋体" w:hAnsi="宋体" w:cs="宋体"/>
                <w:sz w:val="21"/>
                <w:szCs w:val="21"/>
                <w:highlight w:val="none"/>
              </w:rPr>
              <w:t>（</w:t>
            </w:r>
            <w:r>
              <w:rPr>
                <w:rFonts w:hint="eastAsia" w:ascii="宋体" w:hAnsi="宋体" w:cs="宋体"/>
                <w:sz w:val="21"/>
                <w:szCs w:val="21"/>
                <w:highlight w:val="none"/>
                <w:lang w:val="en-US" w:eastAsia="zh-CN"/>
              </w:rPr>
              <w:t>如有，请提供</w:t>
            </w:r>
            <w:r>
              <w:rPr>
                <w:rFonts w:hint="eastAsia" w:ascii="宋体" w:hAnsi="宋体" w:cs="宋体"/>
                <w:sz w:val="21"/>
                <w:szCs w:val="21"/>
                <w:highlight w:val="none"/>
              </w:rPr>
              <w:t>）</w:t>
            </w:r>
          </w:p>
          <w:p w14:paraId="121FAF8B">
            <w:pPr>
              <w:pStyle w:val="12"/>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lang w:val="en-US" w:eastAsia="zh-CN"/>
              </w:rPr>
              <w:t>10</w:t>
            </w:r>
            <w:r>
              <w:rPr>
                <w:rFonts w:hint="eastAsia" w:ascii="宋体" w:hAnsi="宋体" w:cs="宋体"/>
                <w:sz w:val="21"/>
                <w:szCs w:val="21"/>
                <w:highlight w:val="none"/>
              </w:rPr>
              <w:t>.对应采购需求的技术要求、商务要求提供的其他文件资料（格式自拟）；</w:t>
            </w:r>
          </w:p>
          <w:p w14:paraId="649E3472">
            <w:pPr>
              <w:pStyle w:val="12"/>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lang w:val="en-US" w:eastAsia="zh-CN"/>
              </w:rPr>
              <w:t>11</w:t>
            </w:r>
            <w:r>
              <w:rPr>
                <w:rFonts w:hint="eastAsia" w:ascii="宋体" w:hAnsi="宋体" w:cs="宋体"/>
                <w:sz w:val="21"/>
                <w:szCs w:val="21"/>
                <w:highlight w:val="none"/>
              </w:rPr>
              <w:t>.供应商认为需要提供的其他有关资料。</w:t>
            </w:r>
          </w:p>
          <w:p w14:paraId="244EE829">
            <w:pPr>
              <w:pStyle w:val="12"/>
              <w:spacing w:line="360" w:lineRule="auto"/>
              <w:ind w:firstLine="422" w:firstLineChars="200"/>
              <w:rPr>
                <w:rFonts w:hint="eastAsia" w:ascii="宋体" w:hAnsi="宋体" w:eastAsia="宋体" w:cs="宋体"/>
                <w:b/>
                <w:sz w:val="21"/>
                <w:szCs w:val="21"/>
                <w:highlight w:val="none"/>
              </w:rPr>
            </w:pPr>
            <w:r>
              <w:rPr>
                <w:rFonts w:hint="eastAsia" w:ascii="宋体" w:hAnsi="宋体" w:eastAsia="宋体" w:cs="宋体"/>
                <w:b/>
                <w:sz w:val="21"/>
                <w:szCs w:val="21"/>
                <w:highlight w:val="none"/>
              </w:rPr>
              <w:t>注：以上标明“必须提供”的材料必须加盖供应商公章，否则响应文件按无效响应处理。</w:t>
            </w:r>
          </w:p>
        </w:tc>
      </w:tr>
      <w:tr w14:paraId="5598BC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1AEBCF68">
            <w:pPr>
              <w:spacing w:line="360" w:lineRule="auto"/>
              <w:jc w:val="center"/>
              <w:rPr>
                <w:rFonts w:hint="eastAsia" w:ascii="宋体" w:hAnsi="宋体" w:cs="宋体"/>
                <w:sz w:val="21"/>
                <w:szCs w:val="21"/>
                <w:highlight w:val="none"/>
              </w:rPr>
            </w:pPr>
            <w:r>
              <w:rPr>
                <w:rFonts w:hint="eastAsia" w:ascii="宋体" w:hAnsi="宋体" w:cs="宋体"/>
                <w:sz w:val="21"/>
                <w:szCs w:val="21"/>
                <w:highlight w:val="none"/>
              </w:rPr>
              <w:t>15.2</w:t>
            </w:r>
          </w:p>
        </w:tc>
        <w:tc>
          <w:tcPr>
            <w:tcW w:w="8627" w:type="dxa"/>
            <w:vAlign w:val="center"/>
          </w:tcPr>
          <w:p w14:paraId="7FC8D6FD">
            <w:pPr>
              <w:pStyle w:val="12"/>
              <w:spacing w:line="360" w:lineRule="auto"/>
              <w:ind w:firstLine="420" w:firstLineChars="200"/>
              <w:rPr>
                <w:rFonts w:hint="eastAsia" w:ascii="宋体" w:hAnsi="宋体" w:eastAsia="宋体" w:cs="宋体"/>
                <w:sz w:val="21"/>
                <w:szCs w:val="21"/>
                <w:highlight w:val="none"/>
              </w:rPr>
            </w:pPr>
            <w:r>
              <w:rPr>
                <w:rFonts w:hint="eastAsia" w:ascii="宋体" w:hAnsi="宋体" w:cs="宋体"/>
                <w:sz w:val="21"/>
                <w:szCs w:val="21"/>
                <w:highlight w:val="none"/>
              </w:rPr>
              <w:t>竞争性磋商报价</w:t>
            </w:r>
            <w:r>
              <w:rPr>
                <w:rFonts w:hint="eastAsia" w:ascii="宋体" w:hAnsi="宋体" w:cs="宋体"/>
                <w:color w:val="auto"/>
                <w:sz w:val="21"/>
                <w:szCs w:val="21"/>
                <w:highlight w:val="none"/>
              </w:rPr>
              <w:t>包括但不限于满足</w:t>
            </w:r>
            <w:r>
              <w:rPr>
                <w:rFonts w:hint="eastAsia" w:ascii="宋体" w:hAnsi="宋体" w:cs="宋体"/>
                <w:b w:val="0"/>
                <w:sz w:val="21"/>
                <w:szCs w:val="21"/>
                <w:highlight w:val="none"/>
              </w:rPr>
              <w:t>本次服务范围的所有</w:t>
            </w:r>
            <w:r>
              <w:rPr>
                <w:rFonts w:hint="eastAsia" w:ascii="宋体" w:hAnsi="宋体" w:eastAsia="宋体" w:cs="宋体"/>
                <w:sz w:val="21"/>
                <w:szCs w:val="21"/>
                <w:highlight w:val="none"/>
              </w:rPr>
              <w:t>服务的价格</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服务接入设备</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杆件及辅材</w:t>
            </w:r>
            <w:r>
              <w:rPr>
                <w:rFonts w:hint="eastAsia" w:ascii="宋体" w:hAnsi="宋体" w:eastAsia="宋体" w:cs="宋体"/>
                <w:sz w:val="21"/>
                <w:szCs w:val="21"/>
                <w:highlight w:val="none"/>
              </w:rPr>
              <w:t>的价格</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运输、装卸、</w:t>
            </w:r>
            <w:r>
              <w:rPr>
                <w:rFonts w:hint="eastAsia" w:ascii="宋体" w:hAnsi="宋体" w:cs="宋体"/>
                <w:sz w:val="21"/>
                <w:szCs w:val="21"/>
                <w:highlight w:val="none"/>
              </w:rPr>
              <w:t>调试</w:t>
            </w:r>
            <w:r>
              <w:rPr>
                <w:rFonts w:hint="eastAsia" w:ascii="宋体" w:hAnsi="宋体" w:eastAsia="宋体" w:cs="宋体"/>
                <w:sz w:val="21"/>
                <w:szCs w:val="21"/>
                <w:highlight w:val="none"/>
              </w:rPr>
              <w:t>、验收、培训、维修、技术支持、售后服务费</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供应商须自行考虑完成项目所需的全部内容（包括验收）中产生的所有费用，采购人不再支付额外费用。采购人不再支付任何费用。</w:t>
            </w:r>
            <w:r>
              <w:rPr>
                <w:rFonts w:hint="eastAsia" w:ascii="宋体" w:hAnsi="宋体" w:eastAsia="宋体" w:cs="宋体"/>
                <w:sz w:val="21"/>
                <w:szCs w:val="21"/>
                <w:highlight w:val="none"/>
                <w:lang w:val="en-US" w:eastAsia="zh-CN"/>
              </w:rPr>
              <w:t>摄像头终端等设备在服务期内</w:t>
            </w:r>
            <w:r>
              <w:rPr>
                <w:rFonts w:hint="eastAsia" w:ascii="宋体" w:hAnsi="宋体" w:eastAsia="宋体" w:cs="宋体"/>
                <w:sz w:val="21"/>
                <w:szCs w:val="21"/>
                <w:highlight w:val="none"/>
              </w:rPr>
              <w:t>取电</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用电电费</w:t>
            </w:r>
            <w:r>
              <w:rPr>
                <w:rFonts w:hint="eastAsia" w:ascii="宋体" w:hAnsi="宋体" w:eastAsia="宋体" w:cs="宋体"/>
                <w:sz w:val="21"/>
                <w:szCs w:val="21"/>
                <w:highlight w:val="none"/>
              </w:rPr>
              <w:t>及日常电力使用问题由</w:t>
            </w:r>
            <w:r>
              <w:rPr>
                <w:rFonts w:hint="eastAsia" w:ascii="宋体" w:hAnsi="宋体" w:cs="宋体"/>
                <w:color w:val="0000FF"/>
                <w:sz w:val="21"/>
                <w:szCs w:val="21"/>
                <w:highlight w:val="none"/>
                <w:lang w:val="en-US" w:eastAsia="zh-CN"/>
              </w:rPr>
              <w:t>供应商</w:t>
            </w:r>
            <w:r>
              <w:rPr>
                <w:rFonts w:hint="eastAsia" w:ascii="宋体" w:hAnsi="宋体" w:eastAsia="宋体" w:cs="宋体"/>
                <w:sz w:val="21"/>
                <w:szCs w:val="21"/>
                <w:highlight w:val="none"/>
              </w:rPr>
              <w:t>负责</w:t>
            </w:r>
            <w:r>
              <w:rPr>
                <w:rFonts w:hint="eastAsia" w:ascii="宋体" w:hAnsi="宋体" w:eastAsia="宋体" w:cs="宋体"/>
                <w:sz w:val="21"/>
                <w:szCs w:val="21"/>
                <w:highlight w:val="none"/>
                <w:lang w:eastAsia="zh-CN"/>
              </w:rPr>
              <w:t>。</w:t>
            </w:r>
          </w:p>
          <w:p w14:paraId="63808C71">
            <w:pPr>
              <w:pStyle w:val="12"/>
              <w:spacing w:line="360" w:lineRule="auto"/>
              <w:ind w:firstLine="420" w:firstLineChars="200"/>
              <w:rPr>
                <w:rFonts w:hint="eastAsia" w:ascii="宋体" w:hAnsi="宋体" w:cs="宋体"/>
                <w:sz w:val="21"/>
                <w:szCs w:val="21"/>
                <w:highlight w:val="none"/>
              </w:rPr>
            </w:pPr>
            <w:r>
              <w:rPr>
                <w:rFonts w:hint="eastAsia" w:ascii="宋体" w:hAnsi="宋体" w:cs="宋体"/>
                <w:color w:val="auto"/>
                <w:sz w:val="21"/>
                <w:szCs w:val="21"/>
                <w:highlight w:val="none"/>
              </w:rPr>
              <w:t>合</w:t>
            </w:r>
            <w:r>
              <w:rPr>
                <w:rFonts w:hint="eastAsia" w:ascii="宋体" w:hAnsi="宋体" w:cs="宋体"/>
                <w:sz w:val="21"/>
                <w:szCs w:val="21"/>
                <w:highlight w:val="none"/>
              </w:rPr>
              <w:t>同履行过程中，采购人不再支付合同以外的其他费用。（采购需求另有约定的，从其约定）</w:t>
            </w:r>
          </w:p>
        </w:tc>
      </w:tr>
      <w:tr w14:paraId="73B234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5F8CA75F">
            <w:pPr>
              <w:spacing w:line="360" w:lineRule="auto"/>
              <w:jc w:val="center"/>
              <w:rPr>
                <w:rFonts w:hint="eastAsia" w:ascii="宋体" w:hAnsi="宋体" w:cs="宋体"/>
                <w:sz w:val="21"/>
                <w:szCs w:val="21"/>
                <w:highlight w:val="none"/>
              </w:rPr>
            </w:pPr>
            <w:r>
              <w:rPr>
                <w:rFonts w:hint="eastAsia" w:ascii="宋体" w:hAnsi="宋体" w:cs="宋体"/>
                <w:sz w:val="21"/>
                <w:szCs w:val="21"/>
                <w:highlight w:val="none"/>
              </w:rPr>
              <w:t>16.2</w:t>
            </w:r>
          </w:p>
        </w:tc>
        <w:tc>
          <w:tcPr>
            <w:tcW w:w="8627" w:type="dxa"/>
            <w:vAlign w:val="center"/>
          </w:tcPr>
          <w:p w14:paraId="31FDE11F">
            <w:pPr>
              <w:spacing w:line="360" w:lineRule="auto"/>
              <w:rPr>
                <w:rFonts w:hint="eastAsia" w:ascii="宋体" w:hAnsi="宋体" w:cs="宋体"/>
                <w:sz w:val="21"/>
                <w:szCs w:val="21"/>
                <w:highlight w:val="none"/>
              </w:rPr>
            </w:pPr>
            <w:r>
              <w:rPr>
                <w:rFonts w:hint="eastAsia" w:ascii="宋体" w:hAnsi="宋体" w:cs="宋体"/>
                <w:sz w:val="21"/>
                <w:szCs w:val="21"/>
                <w:highlight w:val="none"/>
              </w:rPr>
              <w:t>竞争性磋商有效期：首次响应文件提交截止之日起60天内。</w:t>
            </w:r>
          </w:p>
        </w:tc>
      </w:tr>
      <w:tr w14:paraId="6E5536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1696302F">
            <w:pPr>
              <w:spacing w:line="360" w:lineRule="auto"/>
              <w:jc w:val="center"/>
              <w:rPr>
                <w:rFonts w:hint="eastAsia" w:ascii="宋体" w:hAnsi="宋体" w:cs="宋体"/>
                <w:sz w:val="21"/>
                <w:szCs w:val="21"/>
                <w:highlight w:val="none"/>
              </w:rPr>
            </w:pPr>
            <w:r>
              <w:rPr>
                <w:rFonts w:hint="eastAsia" w:ascii="宋体" w:hAnsi="宋体" w:cs="宋体"/>
                <w:sz w:val="21"/>
                <w:szCs w:val="21"/>
                <w:highlight w:val="none"/>
              </w:rPr>
              <w:t>17.1</w:t>
            </w:r>
          </w:p>
        </w:tc>
        <w:tc>
          <w:tcPr>
            <w:tcW w:w="8627" w:type="dxa"/>
            <w:vAlign w:val="center"/>
          </w:tcPr>
          <w:p w14:paraId="4BF1F380">
            <w:pPr>
              <w:autoSpaceDE/>
              <w:autoSpaceDN/>
              <w:snapToGrid/>
              <w:spacing w:line="360" w:lineRule="auto"/>
              <w:textAlignment w:val="auto"/>
              <w:rPr>
                <w:rFonts w:hint="eastAsia" w:ascii="宋体" w:hAnsi="宋体" w:cs="宋体"/>
                <w:sz w:val="21"/>
                <w:szCs w:val="21"/>
                <w:highlight w:val="none"/>
              </w:rPr>
            </w:pPr>
            <w:r>
              <w:rPr>
                <w:rFonts w:hint="eastAsia" w:ascii="宋体" w:hAnsi="宋体" w:eastAsia="宋体" w:cs="宋体"/>
                <w:sz w:val="21"/>
                <w:szCs w:val="21"/>
                <w:highlight w:val="none"/>
              </w:rPr>
              <w:sym w:font="Wingdings" w:char="00FE"/>
            </w:r>
            <w:r>
              <w:rPr>
                <w:rFonts w:hint="eastAsia" w:ascii="宋体" w:hAnsi="宋体" w:cs="宋体"/>
                <w:sz w:val="21"/>
                <w:szCs w:val="21"/>
                <w:highlight w:val="none"/>
              </w:rPr>
              <w:t>本项目不收取磋商保证金。</w:t>
            </w:r>
          </w:p>
          <w:p w14:paraId="6F92D07D">
            <w:pPr>
              <w:snapToGrid/>
              <w:spacing w:line="360" w:lineRule="auto"/>
              <w:rPr>
                <w:rFonts w:hint="eastAsia" w:ascii="宋体" w:hAnsi="宋体" w:cs="宋体"/>
                <w:sz w:val="21"/>
                <w:szCs w:val="21"/>
                <w:highlight w:val="none"/>
              </w:rPr>
            </w:pPr>
            <w:r>
              <w:rPr>
                <w:rFonts w:hint="eastAsia" w:ascii="宋体" w:hAnsi="宋体" w:eastAsia="宋体" w:cs="宋体"/>
                <w:sz w:val="21"/>
                <w:szCs w:val="21"/>
                <w:highlight w:val="none"/>
              </w:rPr>
              <w:sym w:font="Wingdings" w:char="00A8"/>
            </w:r>
            <w:r>
              <w:rPr>
                <w:rFonts w:hint="eastAsia" w:ascii="宋体" w:hAnsi="宋体" w:cs="宋体"/>
                <w:sz w:val="21"/>
                <w:szCs w:val="21"/>
                <w:highlight w:val="none"/>
              </w:rPr>
              <w:t>本项目收取磋商保证金。</w:t>
            </w:r>
          </w:p>
        </w:tc>
      </w:tr>
      <w:tr w14:paraId="2222EE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9" w:hRule="atLeast"/>
          <w:jc w:val="center"/>
        </w:trPr>
        <w:tc>
          <w:tcPr>
            <w:tcW w:w="992" w:type="dxa"/>
            <w:vAlign w:val="center"/>
          </w:tcPr>
          <w:p w14:paraId="561DBBFE">
            <w:pPr>
              <w:spacing w:line="360" w:lineRule="auto"/>
              <w:jc w:val="center"/>
              <w:rPr>
                <w:rFonts w:hint="eastAsia" w:ascii="宋体" w:hAnsi="宋体" w:cs="宋体"/>
                <w:sz w:val="21"/>
                <w:szCs w:val="21"/>
                <w:highlight w:val="none"/>
              </w:rPr>
            </w:pPr>
            <w:r>
              <w:rPr>
                <w:rFonts w:hint="eastAsia" w:ascii="宋体" w:hAnsi="宋体" w:cs="宋体"/>
                <w:sz w:val="21"/>
                <w:szCs w:val="21"/>
                <w:highlight w:val="none"/>
              </w:rPr>
              <w:t>18.2</w:t>
            </w:r>
          </w:p>
        </w:tc>
        <w:tc>
          <w:tcPr>
            <w:tcW w:w="8627" w:type="dxa"/>
            <w:vAlign w:val="center"/>
          </w:tcPr>
          <w:p w14:paraId="4DC1E2B4">
            <w:pPr>
              <w:pStyle w:val="12"/>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响应文件应按资格证明文件、报价文件、商务技术文件分别编制，</w:t>
            </w:r>
            <w:r>
              <w:rPr>
                <w:rFonts w:hint="eastAsia" w:ascii="宋体" w:hAnsi="宋体" w:cs="宋体"/>
                <w:sz w:val="21"/>
                <w:szCs w:val="21"/>
                <w:highlight w:val="none"/>
                <w:lang w:bidi="ar"/>
              </w:rPr>
              <w:t>并按广西政府采购云平台的要求编制、加密、上传。</w:t>
            </w:r>
          </w:p>
        </w:tc>
      </w:tr>
      <w:tr w14:paraId="4F5673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9" w:hRule="atLeast"/>
          <w:jc w:val="center"/>
        </w:trPr>
        <w:tc>
          <w:tcPr>
            <w:tcW w:w="992" w:type="dxa"/>
            <w:vAlign w:val="center"/>
          </w:tcPr>
          <w:p w14:paraId="7C288E1A">
            <w:pPr>
              <w:spacing w:line="360" w:lineRule="auto"/>
              <w:jc w:val="center"/>
              <w:rPr>
                <w:rFonts w:hint="eastAsia" w:ascii="宋体" w:hAnsi="宋体" w:cs="宋体"/>
                <w:sz w:val="21"/>
                <w:szCs w:val="21"/>
                <w:highlight w:val="none"/>
              </w:rPr>
            </w:pPr>
            <w:r>
              <w:rPr>
                <w:rFonts w:hint="eastAsia" w:ascii="宋体" w:hAnsi="宋体" w:cs="宋体"/>
                <w:sz w:val="21"/>
                <w:szCs w:val="21"/>
                <w:highlight w:val="none"/>
              </w:rPr>
              <w:t>19.2</w:t>
            </w:r>
          </w:p>
        </w:tc>
        <w:tc>
          <w:tcPr>
            <w:tcW w:w="8627" w:type="dxa"/>
            <w:vAlign w:val="center"/>
          </w:tcPr>
          <w:p w14:paraId="3AE070DC">
            <w:pPr>
              <w:pStyle w:val="12"/>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本项目不接受电子备份响应文件</w:t>
            </w:r>
          </w:p>
        </w:tc>
      </w:tr>
      <w:tr w14:paraId="571AB4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312A5FA6">
            <w:pPr>
              <w:spacing w:line="360" w:lineRule="auto"/>
              <w:jc w:val="center"/>
              <w:rPr>
                <w:rFonts w:hint="eastAsia" w:ascii="宋体" w:hAnsi="宋体" w:cs="宋体"/>
                <w:sz w:val="21"/>
                <w:szCs w:val="21"/>
                <w:highlight w:val="none"/>
              </w:rPr>
            </w:pPr>
            <w:r>
              <w:rPr>
                <w:rFonts w:hint="eastAsia" w:ascii="宋体" w:hAnsi="宋体" w:cs="宋体"/>
                <w:sz w:val="21"/>
                <w:szCs w:val="21"/>
                <w:highlight w:val="none"/>
              </w:rPr>
              <w:t>20.1</w:t>
            </w:r>
          </w:p>
        </w:tc>
        <w:tc>
          <w:tcPr>
            <w:tcW w:w="8627" w:type="dxa"/>
            <w:vAlign w:val="center"/>
          </w:tcPr>
          <w:p w14:paraId="41A43B1F">
            <w:pPr>
              <w:pStyle w:val="12"/>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首次响应文件提交截止时间：详见竞争性磋商公告。</w:t>
            </w:r>
          </w:p>
          <w:p w14:paraId="547CE99B">
            <w:pPr>
              <w:pStyle w:val="12"/>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首次响应文件提交地点：详见竞争性磋商公告。</w:t>
            </w:r>
          </w:p>
        </w:tc>
      </w:tr>
      <w:tr w14:paraId="10ACAD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3699DFD9">
            <w:pPr>
              <w:spacing w:line="360" w:lineRule="auto"/>
              <w:jc w:val="center"/>
              <w:rPr>
                <w:rFonts w:hint="eastAsia" w:ascii="宋体" w:hAnsi="宋体" w:cs="宋体"/>
                <w:sz w:val="21"/>
                <w:szCs w:val="21"/>
                <w:highlight w:val="none"/>
              </w:rPr>
            </w:pPr>
            <w:r>
              <w:rPr>
                <w:rFonts w:hint="eastAsia" w:ascii="宋体" w:hAnsi="宋体" w:cs="宋体"/>
                <w:sz w:val="21"/>
                <w:szCs w:val="21"/>
                <w:highlight w:val="none"/>
              </w:rPr>
              <w:t>24.1</w:t>
            </w:r>
          </w:p>
        </w:tc>
        <w:tc>
          <w:tcPr>
            <w:tcW w:w="8627" w:type="dxa"/>
            <w:vAlign w:val="center"/>
          </w:tcPr>
          <w:p w14:paraId="7B74BD22">
            <w:pPr>
              <w:pStyle w:val="12"/>
              <w:spacing w:line="360" w:lineRule="auto"/>
              <w:ind w:firstLine="420" w:firstLineChars="200"/>
              <w:rPr>
                <w:rFonts w:hint="eastAsia" w:ascii="宋体" w:hAnsi="宋体" w:eastAsia="宋体" w:cs="宋体"/>
                <w:sz w:val="21"/>
                <w:szCs w:val="21"/>
                <w:highlight w:val="none"/>
              </w:rPr>
            </w:pPr>
            <w:r>
              <w:rPr>
                <w:rFonts w:hint="eastAsia" w:ascii="宋体" w:hAnsi="宋体" w:cs="宋体"/>
                <w:sz w:val="21"/>
                <w:szCs w:val="21"/>
                <w:highlight w:val="none"/>
              </w:rPr>
              <w:t>磋商小组的人数：3人</w:t>
            </w:r>
            <w:r>
              <w:rPr>
                <w:rFonts w:hint="eastAsia" w:ascii="宋体" w:hAnsi="宋体" w:eastAsia="宋体" w:cs="宋体"/>
                <w:sz w:val="21"/>
                <w:szCs w:val="21"/>
                <w:highlight w:val="none"/>
              </w:rPr>
              <w:t>，其中采购人代表1人，专家2人。</w:t>
            </w:r>
          </w:p>
          <w:p w14:paraId="482D65F1">
            <w:pPr>
              <w:pStyle w:val="12"/>
              <w:spacing w:line="360" w:lineRule="auto"/>
              <w:ind w:firstLine="420" w:firstLineChars="200"/>
              <w:rPr>
                <w:rFonts w:hint="eastAsia" w:ascii="宋体" w:hAnsi="宋体" w:cs="宋体"/>
                <w:sz w:val="21"/>
                <w:szCs w:val="21"/>
                <w:highlight w:val="none"/>
                <w:u w:val="single"/>
              </w:rPr>
            </w:pPr>
            <w:r>
              <w:rPr>
                <w:rFonts w:hint="eastAsia" w:ascii="宋体" w:hAnsi="宋体" w:eastAsia="宋体" w:cs="宋体"/>
                <w:sz w:val="21"/>
                <w:szCs w:val="21"/>
                <w:highlight w:val="none"/>
              </w:rPr>
              <w:t>专家确定方式：评审前由采购代理机构从广西政府采购云平台的广西壮族自治区政府采购评审专家库系统设立的专家库中通过电脑随机抽取。</w:t>
            </w:r>
          </w:p>
        </w:tc>
      </w:tr>
      <w:tr w14:paraId="74FD34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4B93CCB0">
            <w:pPr>
              <w:spacing w:line="360" w:lineRule="auto"/>
              <w:jc w:val="center"/>
              <w:rPr>
                <w:rFonts w:hint="eastAsia" w:ascii="宋体" w:hAnsi="宋体" w:cs="宋体"/>
                <w:sz w:val="21"/>
                <w:szCs w:val="21"/>
                <w:highlight w:val="none"/>
              </w:rPr>
            </w:pPr>
            <w:r>
              <w:rPr>
                <w:rFonts w:hint="eastAsia" w:ascii="宋体" w:hAnsi="宋体" w:cs="宋体"/>
                <w:sz w:val="21"/>
                <w:szCs w:val="21"/>
                <w:highlight w:val="none"/>
              </w:rPr>
              <w:t>25.2</w:t>
            </w:r>
          </w:p>
        </w:tc>
        <w:tc>
          <w:tcPr>
            <w:tcW w:w="8627" w:type="dxa"/>
            <w:vAlign w:val="center"/>
          </w:tcPr>
          <w:p w14:paraId="00205F85">
            <w:pPr>
              <w:pStyle w:val="12"/>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采购代理机构将依托电子交易平台发起开始解密指令，</w:t>
            </w:r>
            <w:r>
              <w:rPr>
                <w:rFonts w:hint="eastAsia" w:ascii="宋体" w:hAnsi="宋体" w:cs="宋体"/>
                <w:b/>
                <w:sz w:val="21"/>
                <w:szCs w:val="21"/>
                <w:highlight w:val="none"/>
              </w:rPr>
              <w:t>供应商的法定代表人或其委托代理人须携带加密时所用的CA锁按平台提示和采购文件的规定登录到广西政府采购云平台电子开标大厅签到并在发起解密指令之时起30分钟内完成对电子响应文件在线解密。</w:t>
            </w:r>
            <w:r>
              <w:rPr>
                <w:rFonts w:hint="eastAsia" w:ascii="宋体" w:hAnsi="宋体" w:cs="宋体"/>
                <w:b/>
                <w:bCs/>
                <w:sz w:val="21"/>
                <w:szCs w:val="21"/>
                <w:highlight w:val="none"/>
              </w:rPr>
              <w:t>响应文件未按时解密的，</w:t>
            </w:r>
            <w:r>
              <w:rPr>
                <w:rFonts w:hint="eastAsia" w:ascii="宋体" w:hAnsi="宋体" w:cs="宋体"/>
                <w:b/>
                <w:sz w:val="21"/>
                <w:szCs w:val="21"/>
                <w:highlight w:val="none"/>
              </w:rPr>
              <w:t>视为响应</w:t>
            </w:r>
            <w:r>
              <w:rPr>
                <w:rFonts w:hint="eastAsia" w:ascii="宋体" w:hAnsi="宋体" w:cs="宋体"/>
                <w:b/>
                <w:bCs/>
                <w:sz w:val="21"/>
                <w:szCs w:val="21"/>
                <w:highlight w:val="none"/>
              </w:rPr>
              <w:t>文件无效。</w:t>
            </w:r>
          </w:p>
        </w:tc>
      </w:tr>
      <w:tr w14:paraId="162223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Merge w:val="restart"/>
            <w:vAlign w:val="center"/>
          </w:tcPr>
          <w:p w14:paraId="30C696E9">
            <w:pPr>
              <w:spacing w:line="360" w:lineRule="auto"/>
              <w:jc w:val="center"/>
              <w:rPr>
                <w:rFonts w:hint="eastAsia" w:ascii="宋体" w:hAnsi="宋体" w:cs="宋体"/>
                <w:sz w:val="21"/>
                <w:szCs w:val="21"/>
                <w:highlight w:val="none"/>
              </w:rPr>
            </w:pPr>
            <w:r>
              <w:rPr>
                <w:rFonts w:hint="eastAsia" w:ascii="宋体" w:hAnsi="宋体" w:cs="宋体"/>
                <w:sz w:val="21"/>
                <w:szCs w:val="21"/>
                <w:highlight w:val="none"/>
              </w:rPr>
              <w:t>26</w:t>
            </w:r>
          </w:p>
        </w:tc>
        <w:tc>
          <w:tcPr>
            <w:tcW w:w="8627" w:type="dxa"/>
            <w:vAlign w:val="center"/>
          </w:tcPr>
          <w:p w14:paraId="4D98294F">
            <w:pPr>
              <w:pStyle w:val="12"/>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磋商的顺序：按“广西政府采购云平台”系统的编号顺序。</w:t>
            </w:r>
          </w:p>
          <w:p w14:paraId="61758C2C">
            <w:pPr>
              <w:pStyle w:val="12"/>
              <w:spacing w:line="360" w:lineRule="auto"/>
              <w:ind w:firstLine="422" w:firstLineChars="200"/>
              <w:rPr>
                <w:rFonts w:hint="eastAsia" w:ascii="宋体" w:hAnsi="宋体" w:cs="宋体"/>
                <w:b/>
                <w:sz w:val="21"/>
                <w:szCs w:val="21"/>
                <w:highlight w:val="none"/>
              </w:rPr>
            </w:pPr>
            <w:r>
              <w:rPr>
                <w:rFonts w:hint="eastAsia" w:ascii="宋体" w:hAnsi="宋体" w:cs="宋体"/>
                <w:b/>
                <w:sz w:val="21"/>
                <w:szCs w:val="21"/>
                <w:highlight w:val="none"/>
              </w:rPr>
              <w:t>符合</w:t>
            </w:r>
            <w:r>
              <w:rPr>
                <w:rFonts w:hint="eastAsia" w:ascii="宋体" w:hAnsi="宋体" w:cs="宋体"/>
                <w:sz w:val="21"/>
                <w:szCs w:val="21"/>
                <w:highlight w:val="none"/>
              </w:rPr>
              <w:t>磋商</w:t>
            </w:r>
            <w:r>
              <w:rPr>
                <w:rFonts w:hint="eastAsia" w:ascii="宋体" w:hAnsi="宋体" w:cs="宋体"/>
                <w:b/>
                <w:sz w:val="21"/>
                <w:szCs w:val="21"/>
                <w:highlight w:val="none"/>
              </w:rPr>
              <w:t>资格的供应商必须在接到磋商通知后规定时间内参加磋商，未在规定时间内参加磋商的视同放弃参加磋商权利，其响应文件按无效响应处理。</w:t>
            </w:r>
          </w:p>
          <w:p w14:paraId="758F50F8">
            <w:pPr>
              <w:pStyle w:val="12"/>
              <w:spacing w:line="360" w:lineRule="auto"/>
              <w:ind w:firstLine="422" w:firstLineChars="200"/>
              <w:rPr>
                <w:rFonts w:hint="eastAsia" w:ascii="宋体" w:hAnsi="宋体" w:cs="宋体"/>
                <w:sz w:val="21"/>
                <w:szCs w:val="21"/>
                <w:highlight w:val="none"/>
              </w:rPr>
            </w:pPr>
            <w:r>
              <w:rPr>
                <w:rFonts w:hint="eastAsia" w:ascii="宋体" w:hAnsi="宋体" w:cs="宋体"/>
                <w:b/>
                <w:sz w:val="21"/>
                <w:szCs w:val="21"/>
                <w:highlight w:val="none"/>
              </w:rPr>
              <w:t>注：</w:t>
            </w:r>
            <w:r>
              <w:rPr>
                <w:rFonts w:hint="eastAsia" w:ascii="宋体" w:hAnsi="宋体" w:cs="宋体"/>
                <w:sz w:val="21"/>
                <w:szCs w:val="21"/>
                <w:highlight w:val="none"/>
              </w:rPr>
              <w:t>参与</w:t>
            </w:r>
            <w:r>
              <w:rPr>
                <w:rFonts w:hint="eastAsia" w:ascii="宋体" w:hAnsi="宋体" w:cs="宋体"/>
                <w:b/>
                <w:sz w:val="21"/>
                <w:szCs w:val="21"/>
                <w:highlight w:val="none"/>
              </w:rPr>
              <w:t>磋商前，供应商法定代表人或者委托代理人向磋商小组出示本人有效证件原件（有效证件可以是身份证（含临时身份证明）或者护照的其中一项）。</w:t>
            </w:r>
          </w:p>
        </w:tc>
      </w:tr>
      <w:tr w14:paraId="495EEF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92" w:type="dxa"/>
            <w:vMerge w:val="continue"/>
            <w:vAlign w:val="center"/>
          </w:tcPr>
          <w:p w14:paraId="36C7CDF3">
            <w:pPr>
              <w:spacing w:line="360" w:lineRule="auto"/>
              <w:jc w:val="center"/>
              <w:rPr>
                <w:rFonts w:hint="eastAsia" w:ascii="宋体" w:hAnsi="宋体" w:cs="宋体"/>
                <w:sz w:val="21"/>
                <w:szCs w:val="21"/>
                <w:highlight w:val="none"/>
              </w:rPr>
            </w:pPr>
          </w:p>
        </w:tc>
        <w:tc>
          <w:tcPr>
            <w:tcW w:w="8627" w:type="dxa"/>
            <w:vAlign w:val="center"/>
          </w:tcPr>
          <w:p w14:paraId="2A34C13D">
            <w:pPr>
              <w:pStyle w:val="12"/>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商务要求评审中允许负偏离的条款数为</w:t>
            </w:r>
            <w:r>
              <w:rPr>
                <w:rFonts w:hint="eastAsia" w:ascii="宋体" w:hAnsi="宋体" w:cs="宋体"/>
                <w:sz w:val="21"/>
                <w:szCs w:val="21"/>
                <w:highlight w:val="none"/>
                <w:lang w:eastAsia="zh-CN"/>
              </w:rPr>
              <w:t>：</w:t>
            </w:r>
            <w:r>
              <w:rPr>
                <w:rFonts w:hint="eastAsia" w:ascii="宋体" w:hAnsi="宋体" w:cs="宋体"/>
                <w:sz w:val="21"/>
                <w:szCs w:val="21"/>
                <w:highlight w:val="none"/>
              </w:rPr>
              <w:t>0项</w:t>
            </w:r>
          </w:p>
          <w:p w14:paraId="12AC6E93">
            <w:pPr>
              <w:spacing w:line="360" w:lineRule="auto"/>
              <w:ind w:firstLine="422" w:firstLineChars="200"/>
              <w:jc w:val="left"/>
              <w:rPr>
                <w:rFonts w:hint="eastAsia" w:ascii="宋体" w:hAnsi="宋体" w:cs="宋体"/>
                <w:sz w:val="21"/>
                <w:szCs w:val="21"/>
                <w:highlight w:val="none"/>
              </w:rPr>
            </w:pPr>
            <w:r>
              <w:rPr>
                <w:rFonts w:hint="eastAsia" w:ascii="宋体" w:hAnsi="宋体" w:eastAsia="宋体" w:cs="宋体"/>
                <w:b/>
                <w:bCs/>
                <w:sz w:val="21"/>
                <w:szCs w:val="21"/>
                <w:highlight w:val="none"/>
                <w:lang w:val="en-US" w:eastAsia="zh-CN"/>
              </w:rPr>
              <w:t>技术需求非标注“■”号、非标注“▲”允许最大负偏离项数为10项（1项指</w:t>
            </w:r>
            <w:r>
              <w:rPr>
                <w:rFonts w:hint="eastAsia" w:ascii="宋体" w:hAnsi="宋体" w:eastAsia="宋体" w:cs="宋体"/>
                <w:b/>
                <w:bCs/>
                <w:sz w:val="21"/>
                <w:szCs w:val="21"/>
                <w:highlight w:val="none"/>
              </w:rPr>
              <w:t>项目要求及技术需求</w:t>
            </w:r>
            <w:r>
              <w:rPr>
                <w:rFonts w:hint="eastAsia" w:ascii="宋体" w:hAnsi="宋体" w:eastAsia="宋体" w:cs="宋体"/>
                <w:b/>
                <w:bCs/>
                <w:sz w:val="21"/>
                <w:szCs w:val="21"/>
                <w:highlight w:val="none"/>
                <w:lang w:val="en-US" w:eastAsia="zh-CN"/>
              </w:rPr>
              <w:t>以阿拉伯数字为序号的指标），如负偏离项数达11项或以上的磋商无效。</w:t>
            </w:r>
          </w:p>
        </w:tc>
      </w:tr>
      <w:tr w14:paraId="5DA338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5A139856">
            <w:pPr>
              <w:spacing w:line="360" w:lineRule="auto"/>
              <w:jc w:val="center"/>
              <w:rPr>
                <w:rFonts w:hint="eastAsia" w:ascii="宋体" w:hAnsi="宋体" w:cs="宋体"/>
                <w:sz w:val="21"/>
                <w:szCs w:val="21"/>
                <w:highlight w:val="none"/>
              </w:rPr>
            </w:pPr>
            <w:r>
              <w:rPr>
                <w:rFonts w:hint="eastAsia" w:ascii="宋体" w:hAnsi="宋体" w:cs="宋体"/>
                <w:sz w:val="21"/>
                <w:szCs w:val="21"/>
                <w:highlight w:val="none"/>
              </w:rPr>
              <w:t>28.1</w:t>
            </w:r>
          </w:p>
        </w:tc>
        <w:tc>
          <w:tcPr>
            <w:tcW w:w="8627" w:type="dxa"/>
            <w:vAlign w:val="center"/>
          </w:tcPr>
          <w:p w14:paraId="3A3A613C">
            <w:pPr>
              <w:spacing w:line="360" w:lineRule="auto"/>
              <w:contextualSpacing/>
              <w:rPr>
                <w:rFonts w:hint="eastAsia" w:ascii="宋体" w:hAnsi="宋体" w:cs="宋体"/>
                <w:color w:val="auto"/>
                <w:sz w:val="21"/>
                <w:szCs w:val="21"/>
                <w:highlight w:val="none"/>
              </w:rPr>
            </w:pPr>
            <w:r>
              <w:rPr>
                <w:rFonts w:hint="eastAsia" w:ascii="宋体" w:hAnsi="宋体" w:cs="宋体"/>
                <w:color w:val="auto"/>
                <w:sz w:val="21"/>
                <w:szCs w:val="21"/>
                <w:highlight w:val="none"/>
              </w:rPr>
              <w:sym w:font="Wingdings" w:char="00FE"/>
            </w:r>
            <w:r>
              <w:rPr>
                <w:rFonts w:hint="eastAsia" w:ascii="宋体" w:hAnsi="宋体" w:cs="宋体"/>
                <w:color w:val="auto"/>
                <w:sz w:val="21"/>
                <w:szCs w:val="21"/>
                <w:highlight w:val="none"/>
              </w:rPr>
              <w:t>本项目不收取履约保证金。</w:t>
            </w:r>
          </w:p>
          <w:p w14:paraId="6CB100B4">
            <w:pPr>
              <w:spacing w:line="360" w:lineRule="auto"/>
              <w:contextualSpacing/>
              <w:rPr>
                <w:rFonts w:hint="eastAsia" w:ascii="宋体" w:hAnsi="宋体" w:cs="宋体"/>
                <w:color w:val="auto"/>
                <w:sz w:val="21"/>
                <w:szCs w:val="21"/>
                <w:highlight w:val="none"/>
              </w:rPr>
            </w:pPr>
            <w:r>
              <w:rPr>
                <w:rFonts w:hint="eastAsia" w:ascii="宋体" w:hAnsi="宋体" w:cs="宋体"/>
                <w:color w:val="auto"/>
                <w:sz w:val="21"/>
                <w:szCs w:val="21"/>
                <w:highlight w:val="none"/>
              </w:rPr>
              <w:sym w:font="Wingdings" w:char="00A8"/>
            </w:r>
            <w:r>
              <w:rPr>
                <w:rFonts w:hint="eastAsia" w:ascii="宋体" w:hAnsi="宋体" w:cs="宋体"/>
                <w:color w:val="auto"/>
                <w:sz w:val="21"/>
                <w:szCs w:val="21"/>
                <w:highlight w:val="none"/>
              </w:rPr>
              <w:t>本项目收取履约保证金：</w:t>
            </w:r>
            <w:r>
              <w:rPr>
                <w:rFonts w:hint="eastAsia" w:ascii="宋体" w:hAnsi="宋体" w:eastAsia="宋体" w:cs="宋体"/>
                <w:color w:val="auto"/>
                <w:sz w:val="21"/>
                <w:szCs w:val="21"/>
                <w:highlight w:val="none"/>
              </w:rPr>
              <w:t>按</w:t>
            </w:r>
            <w:r>
              <w:rPr>
                <w:rFonts w:hint="eastAsia" w:ascii="宋体" w:hAnsi="宋体" w:cs="宋体"/>
                <w:color w:val="auto"/>
                <w:sz w:val="21"/>
                <w:szCs w:val="21"/>
                <w:highlight w:val="none"/>
                <w:lang w:val="en-US" w:eastAsia="zh-CN"/>
              </w:rPr>
              <w:t>各分标</w:t>
            </w:r>
            <w:r>
              <w:rPr>
                <w:rFonts w:hint="eastAsia" w:ascii="宋体" w:hAnsi="宋体" w:eastAsia="宋体" w:cs="宋体"/>
                <w:color w:val="auto"/>
                <w:sz w:val="21"/>
                <w:szCs w:val="21"/>
                <w:highlight w:val="none"/>
                <w:lang w:eastAsia="zh-CN"/>
              </w:rPr>
              <w:t>合同</w:t>
            </w:r>
            <w:r>
              <w:rPr>
                <w:rFonts w:hint="eastAsia" w:ascii="宋体" w:hAnsi="宋体" w:eastAsia="宋体" w:cs="宋体"/>
                <w:color w:val="auto"/>
                <w:sz w:val="21"/>
                <w:szCs w:val="21"/>
                <w:highlight w:val="none"/>
              </w:rPr>
              <w:t>金额的</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%（注：履约保证金不超过成交金额的5%）。【如为中小型企业，按</w:t>
            </w:r>
            <w:r>
              <w:rPr>
                <w:rFonts w:hint="eastAsia" w:ascii="宋体" w:hAnsi="宋体" w:cs="宋体"/>
                <w:color w:val="auto"/>
                <w:sz w:val="21"/>
                <w:szCs w:val="21"/>
                <w:highlight w:val="none"/>
                <w:lang w:val="en-US" w:eastAsia="zh-CN"/>
              </w:rPr>
              <w:t>各分标</w:t>
            </w:r>
            <w:r>
              <w:rPr>
                <w:rFonts w:hint="eastAsia" w:ascii="宋体" w:hAnsi="宋体" w:eastAsia="宋体" w:cs="宋体"/>
                <w:color w:val="auto"/>
                <w:sz w:val="21"/>
                <w:szCs w:val="21"/>
                <w:highlight w:val="none"/>
              </w:rPr>
              <w:t>合同总金额的2%收取</w:t>
            </w:r>
            <w:r>
              <w:rPr>
                <w:rFonts w:hint="eastAsia" w:ascii="宋体" w:hAnsi="宋体" w:eastAsia="宋体" w:cs="宋体"/>
                <w:color w:val="auto"/>
                <w:sz w:val="21"/>
                <w:szCs w:val="21"/>
                <w:highlight w:val="none"/>
                <w:lang w:eastAsia="zh-CN"/>
              </w:rPr>
              <w:t>，以</w:t>
            </w:r>
            <w:r>
              <w:rPr>
                <w:rFonts w:hint="eastAsia" w:ascii="宋体" w:hAnsi="宋体" w:eastAsia="宋体" w:cs="宋体"/>
                <w:color w:val="auto"/>
                <w:sz w:val="21"/>
                <w:szCs w:val="21"/>
                <w:highlight w:val="none"/>
                <w:lang w:val="en-US" w:eastAsia="zh-CN"/>
              </w:rPr>
              <w:t>响应</w:t>
            </w:r>
            <w:r>
              <w:rPr>
                <w:rFonts w:hint="eastAsia" w:ascii="宋体" w:hAnsi="宋体" w:eastAsia="宋体" w:cs="宋体"/>
                <w:color w:val="auto"/>
                <w:sz w:val="21"/>
                <w:szCs w:val="21"/>
                <w:highlight w:val="none"/>
                <w:lang w:eastAsia="zh-CN"/>
              </w:rPr>
              <w:t>文件中提交的中小企业声明函为依据</w:t>
            </w:r>
            <w:r>
              <w:rPr>
                <w:rFonts w:hint="eastAsia" w:ascii="宋体" w:hAnsi="宋体" w:eastAsia="宋体" w:cs="宋体"/>
                <w:color w:val="auto"/>
                <w:sz w:val="21"/>
                <w:szCs w:val="21"/>
                <w:highlight w:val="none"/>
              </w:rPr>
              <w:t>】。</w:t>
            </w:r>
          </w:p>
          <w:p w14:paraId="5D74E549">
            <w:pPr>
              <w:pStyle w:val="12"/>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履约保证金递交方式：</w:t>
            </w:r>
            <w:r>
              <w:rPr>
                <w:rFonts w:hint="eastAsia" w:ascii="宋体" w:hAnsi="宋体" w:cs="宋体"/>
                <w:color w:val="auto"/>
                <w:highlight w:val="none"/>
              </w:rPr>
              <w:t>银行转账、支票、汇票、本票或者金融、担保机构出具的保函等非现金方式（参照</w:t>
            </w:r>
            <w:r>
              <w:rPr>
                <w:rFonts w:hint="eastAsia" w:ascii="宋体" w:hAnsi="宋体" w:cs="宋体"/>
                <w:color w:val="auto"/>
                <w:highlight w:val="none"/>
                <w:lang w:val="en-US" w:eastAsia="zh-CN"/>
              </w:rPr>
              <w:t>磋商</w:t>
            </w:r>
            <w:r>
              <w:rPr>
                <w:rFonts w:hint="eastAsia" w:ascii="宋体" w:hAnsi="宋体" w:cs="宋体"/>
                <w:color w:val="auto"/>
                <w:highlight w:val="none"/>
              </w:rPr>
              <w:t>保证金）</w:t>
            </w:r>
            <w:r>
              <w:rPr>
                <w:rFonts w:hint="eastAsia" w:ascii="宋体" w:hAnsi="宋体" w:cs="宋体"/>
                <w:color w:val="auto"/>
                <w:szCs w:val="21"/>
                <w:highlight w:val="none"/>
              </w:rPr>
              <w:t>。</w:t>
            </w:r>
          </w:p>
          <w:p w14:paraId="2D3D56E1">
            <w:pPr>
              <w:spacing w:line="360" w:lineRule="auto"/>
              <w:ind w:firstLine="420" w:firstLineChars="200"/>
              <w:rPr>
                <w:rFonts w:hint="eastAsia" w:ascii="宋体" w:hAnsi="宋体" w:eastAsia="宋体" w:cs="宋体"/>
                <w:b w:val="0"/>
                <w:bCs/>
                <w:color w:val="auto"/>
                <w:sz w:val="21"/>
                <w:szCs w:val="21"/>
                <w:highlight w:val="none"/>
              </w:rPr>
            </w:pPr>
            <w:r>
              <w:rPr>
                <w:rFonts w:hint="eastAsia" w:ascii="宋体" w:hAnsi="宋体" w:cs="宋体"/>
                <w:color w:val="auto"/>
                <w:sz w:val="21"/>
                <w:szCs w:val="21"/>
                <w:highlight w:val="none"/>
              </w:rPr>
              <w:t>履约保证金退付方式、时间及条件</w:t>
            </w:r>
            <w:r>
              <w:rPr>
                <w:rFonts w:hint="eastAsia" w:ascii="宋体" w:hAnsi="宋体" w:eastAsia="宋体" w:cs="宋体"/>
                <w:color w:val="auto"/>
                <w:sz w:val="21"/>
                <w:szCs w:val="21"/>
                <w:highlight w:val="none"/>
                <w:lang w:eastAsia="zh-CN"/>
              </w:rPr>
              <w:t>：</w:t>
            </w:r>
            <w:r>
              <w:rPr>
                <w:rFonts w:hint="eastAsia" w:ascii="宋体" w:hAnsi="宋体" w:eastAsia="宋体" w:cs="宋体"/>
                <w:b w:val="0"/>
                <w:bCs/>
                <w:color w:val="auto"/>
                <w:sz w:val="21"/>
                <w:szCs w:val="21"/>
                <w:highlight w:val="none"/>
              </w:rPr>
              <w:t>成交供应商履行完合同约定权利义务事项且</w:t>
            </w:r>
            <w:r>
              <w:rPr>
                <w:rFonts w:hint="eastAsia" w:ascii="宋体" w:hAnsi="宋体" w:eastAsia="宋体" w:cs="宋体"/>
                <w:b w:val="0"/>
                <w:bCs/>
                <w:color w:val="auto"/>
                <w:sz w:val="21"/>
                <w:szCs w:val="21"/>
                <w:highlight w:val="none"/>
                <w:lang w:val="en-US" w:eastAsia="zh-CN"/>
              </w:rPr>
              <w:t>验收合格后</w:t>
            </w:r>
            <w:r>
              <w:rPr>
                <w:rFonts w:hint="eastAsia" w:ascii="宋体" w:hAnsi="宋体" w:eastAsia="宋体" w:cs="宋体"/>
                <w:b w:val="0"/>
                <w:bCs/>
                <w:color w:val="auto"/>
                <w:sz w:val="21"/>
                <w:szCs w:val="21"/>
                <w:highlight w:val="none"/>
              </w:rPr>
              <w:t>无违约情况，凭《项目验收单》和履约保证金交纳凭证向采购人申请办理退还手续，采购人不得额外要求成交供应商提交其他证明材料，并应当自收到退还资料之日起5个工作日内退还其履约保证金（无息）。如成交供应商不按双方签订的合同规定履约，则没收其全部履约保证金，履约保证金不足以赔偿损失的，按实际损失赔偿。</w:t>
            </w:r>
          </w:p>
          <w:p w14:paraId="22207509">
            <w:pPr>
              <w:pStyle w:val="12"/>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如：由成交供应商向履约保证金收取单位提供《广西壮族自治区政府采购项目合同验收书》（详见附件1）及《政府采购项目履约保证金退付意见书》（详见附件2），保证金收取单位在收到合格材料后5个工作日内办理退还手续（不计利息）。</w:t>
            </w:r>
          </w:p>
          <w:p w14:paraId="6ADB447D">
            <w:pPr>
              <w:shd w:val="clear" w:color="auto" w:fill="auto"/>
              <w:snapToGrid w:val="0"/>
              <w:spacing w:afterLines="0" w:line="360" w:lineRule="auto"/>
              <w:ind w:firstLine="420"/>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履约保证金指定账户：</w:t>
            </w:r>
            <w:r>
              <w:rPr>
                <w:rFonts w:hint="eastAsia" w:ascii="宋体" w:hAnsi="宋体" w:cs="宋体"/>
                <w:color w:val="auto"/>
                <w:szCs w:val="21"/>
                <w:highlight w:val="none"/>
                <w:lang w:val="en-US" w:eastAsia="zh-CN"/>
              </w:rPr>
              <w:t>成交后提供。</w:t>
            </w:r>
          </w:p>
          <w:p w14:paraId="1ED0B35F">
            <w:pPr>
              <w:spacing w:line="360" w:lineRule="auto"/>
              <w:contextualSpacing/>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【备注】</w:t>
            </w:r>
          </w:p>
          <w:p w14:paraId="66F3F49E">
            <w:pPr>
              <w:pStyle w:val="12"/>
              <w:spacing w:line="360" w:lineRule="auto"/>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1.根据《广西壮族自治区财政厅关于持续优化政府</w:t>
            </w:r>
            <w:r>
              <w:rPr>
                <w:rFonts w:hint="eastAsia" w:ascii="宋体" w:hAnsi="宋体" w:cs="宋体"/>
                <w:color w:val="auto"/>
                <w:sz w:val="21"/>
                <w:szCs w:val="21"/>
                <w:highlight w:val="none"/>
              </w:rPr>
              <w:t>采购</w:t>
            </w:r>
            <w:r>
              <w:rPr>
                <w:rFonts w:hint="eastAsia" w:ascii="宋体" w:hAnsi="宋体" w:eastAsia="宋体" w:cs="宋体"/>
                <w:b/>
                <w:color w:val="auto"/>
                <w:sz w:val="21"/>
                <w:szCs w:val="21"/>
                <w:highlight w:val="none"/>
              </w:rPr>
              <w:t>营商环境推动高质量发展的通知》（桂财采〔2024〕55号），采购文件要求中标或者成交供应商提交履约保证金的，履约保证金数额不得超过政府采购合同金额的5%，对中小企业收取的履约保证金数额不得超过政府采购合同金额的2%。</w:t>
            </w:r>
          </w:p>
          <w:p w14:paraId="6301D313">
            <w:pPr>
              <w:pStyle w:val="12"/>
              <w:spacing w:line="360" w:lineRule="auto"/>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w:t>
            </w:r>
            <w:r>
              <w:rPr>
                <w:rFonts w:hint="eastAsia" w:ascii="宋体" w:hAnsi="宋体" w:cs="宋体"/>
                <w:color w:val="auto"/>
                <w:szCs w:val="21"/>
                <w:highlight w:val="none"/>
              </w:rPr>
              <w:t xml:space="preserve"> </w:t>
            </w:r>
            <w:r>
              <w:rPr>
                <w:rFonts w:hint="eastAsia" w:ascii="宋体" w:hAnsi="宋体" w:eastAsia="宋体" w:cs="宋体"/>
                <w:b/>
                <w:color w:val="auto"/>
                <w:sz w:val="21"/>
                <w:szCs w:val="21"/>
                <w:highlight w:val="none"/>
              </w:rPr>
              <w:t>履约</w:t>
            </w:r>
            <w:r>
              <w:rPr>
                <w:rFonts w:hint="eastAsia" w:ascii="宋体" w:hAnsi="宋体" w:cs="宋体"/>
                <w:color w:val="auto"/>
                <w:sz w:val="21"/>
                <w:szCs w:val="21"/>
                <w:highlight w:val="none"/>
              </w:rPr>
              <w:t>保证金</w:t>
            </w:r>
            <w:r>
              <w:rPr>
                <w:rFonts w:hint="eastAsia" w:ascii="宋体" w:hAnsi="宋体" w:eastAsia="宋体" w:cs="宋体"/>
                <w:b/>
                <w:color w:val="auto"/>
                <w:sz w:val="21"/>
                <w:szCs w:val="21"/>
                <w:highlight w:val="none"/>
              </w:rPr>
              <w:t>必须足额缴纳，或出具的保函额度必须足额且保函有效期不能低于合同履行期限（即签订采购合同之日起至履行完合同约定的权利及义务之日止），否则视为无效履约保证金。</w:t>
            </w:r>
          </w:p>
          <w:p w14:paraId="008A3E7B">
            <w:pPr>
              <w:pStyle w:val="12"/>
              <w:spacing w:line="360" w:lineRule="auto"/>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3.采用</w:t>
            </w:r>
            <w:r>
              <w:rPr>
                <w:rFonts w:hint="eastAsia" w:ascii="宋体" w:hAnsi="宋体" w:cs="宋体"/>
                <w:color w:val="auto"/>
                <w:sz w:val="21"/>
                <w:szCs w:val="21"/>
                <w:highlight w:val="none"/>
              </w:rPr>
              <w:t>保函</w:t>
            </w:r>
            <w:r>
              <w:rPr>
                <w:rFonts w:hint="eastAsia" w:ascii="宋体" w:hAnsi="宋体" w:eastAsia="宋体" w:cs="宋体"/>
                <w:b/>
                <w:color w:val="auto"/>
                <w:sz w:val="21"/>
                <w:szCs w:val="21"/>
                <w:highlight w:val="none"/>
              </w:rPr>
              <w:t>的，必须为无条件保函，否则视为无效履约保证金。</w:t>
            </w:r>
          </w:p>
          <w:p w14:paraId="68BAB449">
            <w:pPr>
              <w:pStyle w:val="12"/>
              <w:spacing w:line="360" w:lineRule="auto"/>
              <w:ind w:firstLine="422" w:firstLineChars="200"/>
              <w:rPr>
                <w:rFonts w:hint="eastAsia" w:ascii="宋体" w:hAnsi="宋体" w:cs="宋体"/>
                <w:color w:val="auto"/>
                <w:sz w:val="21"/>
                <w:szCs w:val="21"/>
                <w:highlight w:val="none"/>
              </w:rPr>
            </w:pPr>
            <w:r>
              <w:rPr>
                <w:rFonts w:hint="eastAsia" w:ascii="宋体" w:hAnsi="宋体" w:eastAsia="宋体" w:cs="宋体"/>
                <w:b/>
                <w:color w:val="auto"/>
                <w:sz w:val="21"/>
                <w:szCs w:val="21"/>
                <w:highlight w:val="none"/>
              </w:rPr>
              <w:t>4.</w:t>
            </w:r>
            <w:r>
              <w:rPr>
                <w:rFonts w:hint="eastAsia" w:ascii="宋体" w:hAnsi="宋体" w:eastAsia="宋体" w:cs="宋体"/>
                <w:b/>
                <w:color w:val="auto"/>
                <w:sz w:val="21"/>
                <w:szCs w:val="21"/>
                <w:highlight w:val="none"/>
                <w:lang w:eastAsia="zh-CN"/>
              </w:rPr>
              <w:t>供应商</w:t>
            </w:r>
            <w:r>
              <w:rPr>
                <w:rFonts w:hint="eastAsia" w:ascii="宋体" w:hAnsi="宋体" w:eastAsia="宋体" w:cs="宋体"/>
                <w:b/>
                <w:color w:val="auto"/>
                <w:sz w:val="21"/>
                <w:szCs w:val="21"/>
                <w:highlight w:val="none"/>
              </w:rPr>
              <w:t>为联合体的，由联合体其中一方按规定提交的履约保证金，视为有效履约保证金。</w:t>
            </w:r>
          </w:p>
        </w:tc>
      </w:tr>
      <w:tr w14:paraId="16BBEF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59B1C005">
            <w:pPr>
              <w:spacing w:line="360" w:lineRule="auto"/>
              <w:jc w:val="center"/>
              <w:rPr>
                <w:rFonts w:hint="eastAsia" w:ascii="宋体" w:hAnsi="宋体" w:cs="宋体"/>
                <w:sz w:val="21"/>
                <w:szCs w:val="21"/>
                <w:highlight w:val="none"/>
              </w:rPr>
            </w:pPr>
            <w:r>
              <w:rPr>
                <w:rFonts w:hint="eastAsia" w:ascii="宋体" w:hAnsi="宋体" w:cs="宋体"/>
                <w:sz w:val="21"/>
                <w:szCs w:val="21"/>
                <w:highlight w:val="none"/>
              </w:rPr>
              <w:t>29.1</w:t>
            </w:r>
          </w:p>
        </w:tc>
        <w:tc>
          <w:tcPr>
            <w:tcW w:w="8627" w:type="dxa"/>
            <w:vAlign w:val="center"/>
          </w:tcPr>
          <w:p w14:paraId="132078AE">
            <w:pPr>
              <w:autoSpaceDE/>
              <w:autoSpaceDN/>
              <w:snapToGrid/>
              <w:spacing w:line="360" w:lineRule="auto"/>
              <w:textAlignment w:val="bottom"/>
              <w:rPr>
                <w:rFonts w:hint="eastAsia" w:ascii="宋体" w:hAnsi="宋体" w:cs="宋体"/>
                <w:color w:val="auto"/>
                <w:sz w:val="21"/>
                <w:szCs w:val="21"/>
                <w:highlight w:val="none"/>
              </w:rPr>
            </w:pPr>
            <w:r>
              <w:rPr>
                <w:rFonts w:hint="eastAsia" w:ascii="宋体" w:hAnsi="宋体" w:cs="宋体"/>
                <w:color w:val="auto"/>
                <w:sz w:val="21"/>
                <w:szCs w:val="21"/>
                <w:highlight w:val="none"/>
              </w:rPr>
              <w:t>签订合同携带的证明材料：</w:t>
            </w:r>
          </w:p>
          <w:p w14:paraId="5FC25E29">
            <w:pPr>
              <w:pStyle w:val="12"/>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1.委托代理人负责签订合同的，须携带授权委托书及委托代理人身份证原件等其他资格证件。</w:t>
            </w:r>
          </w:p>
          <w:p w14:paraId="3EA33884">
            <w:pPr>
              <w:pStyle w:val="12"/>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2.法定代表人负责签订合同的，须携带法定代表人身份证明原件及身份证原件等其他证明材料。</w:t>
            </w:r>
          </w:p>
        </w:tc>
      </w:tr>
      <w:tr w14:paraId="613D75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42EC639E">
            <w:pPr>
              <w:spacing w:line="360" w:lineRule="auto"/>
              <w:jc w:val="center"/>
              <w:rPr>
                <w:rFonts w:hint="eastAsia" w:ascii="宋体" w:hAnsi="宋体" w:cs="宋体"/>
                <w:sz w:val="21"/>
                <w:szCs w:val="21"/>
                <w:highlight w:val="none"/>
              </w:rPr>
            </w:pPr>
            <w:r>
              <w:rPr>
                <w:rFonts w:hint="eastAsia" w:ascii="宋体" w:hAnsi="宋体" w:cs="宋体"/>
                <w:sz w:val="21"/>
                <w:szCs w:val="21"/>
                <w:highlight w:val="none"/>
              </w:rPr>
              <w:t>31.2</w:t>
            </w:r>
          </w:p>
        </w:tc>
        <w:tc>
          <w:tcPr>
            <w:tcW w:w="8627" w:type="dxa"/>
            <w:vAlign w:val="center"/>
          </w:tcPr>
          <w:p w14:paraId="01B688CE">
            <w:pPr>
              <w:pStyle w:val="12"/>
              <w:spacing w:line="360" w:lineRule="auto"/>
              <w:ind w:firstLine="420" w:firstLineChars="200"/>
              <w:rPr>
                <w:rFonts w:hint="eastAsia" w:hAnsi="宋体" w:cs="宋体"/>
                <w:color w:val="auto"/>
                <w:sz w:val="21"/>
                <w:szCs w:val="21"/>
                <w:highlight w:val="none"/>
              </w:rPr>
            </w:pPr>
            <w:r>
              <w:rPr>
                <w:rFonts w:hint="eastAsia" w:hAnsi="宋体" w:cs="宋体"/>
                <w:color w:val="auto"/>
                <w:sz w:val="21"/>
                <w:szCs w:val="21"/>
                <w:highlight w:val="none"/>
              </w:rPr>
              <w:t>接收</w:t>
            </w:r>
            <w:r>
              <w:rPr>
                <w:rFonts w:hint="eastAsia" w:ascii="宋体" w:hAnsi="宋体" w:cs="宋体"/>
                <w:color w:val="auto"/>
                <w:sz w:val="21"/>
                <w:szCs w:val="21"/>
                <w:highlight w:val="none"/>
              </w:rPr>
              <w:t>质疑</w:t>
            </w:r>
            <w:r>
              <w:rPr>
                <w:rFonts w:hint="eastAsia" w:hAnsi="宋体" w:cs="宋体"/>
                <w:color w:val="auto"/>
                <w:sz w:val="21"/>
                <w:szCs w:val="21"/>
                <w:highlight w:val="none"/>
              </w:rPr>
              <w:t>函方式：以书面形式。</w:t>
            </w:r>
          </w:p>
          <w:p w14:paraId="52AB0999">
            <w:pPr>
              <w:pStyle w:val="12"/>
              <w:spacing w:line="360" w:lineRule="auto"/>
              <w:ind w:firstLine="420" w:firstLineChars="200"/>
              <w:rPr>
                <w:rFonts w:hint="eastAsia" w:hAnsi="宋体" w:cs="宋体"/>
                <w:color w:val="auto"/>
                <w:sz w:val="21"/>
                <w:szCs w:val="21"/>
                <w:highlight w:val="none"/>
              </w:rPr>
            </w:pPr>
            <w:r>
              <w:rPr>
                <w:rFonts w:hint="eastAsia" w:hAnsi="宋体" w:cs="宋体"/>
                <w:color w:val="auto"/>
                <w:sz w:val="21"/>
                <w:szCs w:val="21"/>
                <w:highlight w:val="none"/>
              </w:rPr>
              <w:t>质疑</w:t>
            </w:r>
            <w:r>
              <w:rPr>
                <w:rFonts w:hint="eastAsia" w:ascii="宋体" w:hAnsi="宋体" w:cs="宋体"/>
                <w:color w:val="auto"/>
                <w:sz w:val="21"/>
                <w:szCs w:val="21"/>
                <w:highlight w:val="none"/>
              </w:rPr>
              <w:t>联系</w:t>
            </w:r>
            <w:r>
              <w:rPr>
                <w:rFonts w:hint="eastAsia" w:hAnsi="宋体" w:cs="宋体"/>
                <w:color w:val="auto"/>
                <w:sz w:val="21"/>
                <w:szCs w:val="21"/>
                <w:highlight w:val="none"/>
              </w:rPr>
              <w:t>部门及联系方式：</w:t>
            </w:r>
            <w:r>
              <w:rPr>
                <w:rFonts w:hint="eastAsia" w:hAnsi="宋体" w:cs="宋体"/>
                <w:b w:val="0"/>
                <w:color w:val="auto"/>
                <w:sz w:val="21"/>
                <w:szCs w:val="21"/>
                <w:highlight w:val="none"/>
                <w:lang w:val="en-US" w:eastAsia="zh-CN"/>
              </w:rPr>
              <w:t>广西城建咨询设计有限公司（桂林分公司）</w:t>
            </w:r>
          </w:p>
          <w:p w14:paraId="069C065C">
            <w:pPr>
              <w:pStyle w:val="12"/>
              <w:spacing w:line="360" w:lineRule="auto"/>
              <w:ind w:firstLine="420" w:firstLineChars="200"/>
              <w:rPr>
                <w:rFonts w:hint="eastAsia" w:hAnsi="宋体" w:cs="宋体"/>
                <w:color w:val="auto"/>
                <w:sz w:val="21"/>
                <w:szCs w:val="21"/>
                <w:highlight w:val="none"/>
              </w:rPr>
            </w:pPr>
            <w:r>
              <w:rPr>
                <w:rFonts w:hint="eastAsia" w:hAnsi="宋体" w:cs="宋体"/>
                <w:color w:val="auto"/>
                <w:sz w:val="21"/>
                <w:szCs w:val="21"/>
                <w:highlight w:val="none"/>
              </w:rPr>
              <w:t>质疑</w:t>
            </w:r>
            <w:r>
              <w:rPr>
                <w:rFonts w:hint="eastAsia" w:ascii="宋体" w:hAnsi="宋体" w:cs="宋体"/>
                <w:color w:val="auto"/>
                <w:sz w:val="21"/>
                <w:szCs w:val="21"/>
                <w:highlight w:val="none"/>
              </w:rPr>
              <w:t>联系人</w:t>
            </w:r>
            <w:r>
              <w:rPr>
                <w:rFonts w:hint="eastAsia" w:hAnsi="宋体" w:cs="宋体"/>
                <w:color w:val="auto"/>
                <w:sz w:val="21"/>
                <w:szCs w:val="21"/>
                <w:highlight w:val="none"/>
              </w:rPr>
              <w:t>：</w:t>
            </w:r>
            <w:r>
              <w:rPr>
                <w:rFonts w:hint="eastAsia" w:hAnsi="宋体" w:cs="宋体"/>
                <w:color w:val="auto"/>
                <w:sz w:val="21"/>
                <w:szCs w:val="21"/>
                <w:highlight w:val="none"/>
                <w:lang w:val="en-US" w:eastAsia="zh-CN"/>
              </w:rPr>
              <w:t>胡丹</w:t>
            </w:r>
            <w:r>
              <w:rPr>
                <w:rFonts w:hint="eastAsia" w:hAnsi="宋体" w:cs="宋体"/>
                <w:color w:val="auto"/>
                <w:sz w:val="21"/>
                <w:szCs w:val="21"/>
                <w:highlight w:val="none"/>
              </w:rPr>
              <w:t xml:space="preserve">  联系电话：</w:t>
            </w:r>
            <w:r>
              <w:rPr>
                <w:rFonts w:hint="eastAsia" w:hAnsi="宋体" w:cs="宋体"/>
                <w:color w:val="auto"/>
                <w:kern w:val="2"/>
                <w:sz w:val="21"/>
                <w:highlight w:val="none"/>
                <w:u w:val="none"/>
                <w:lang w:eastAsia="zh-CN"/>
              </w:rPr>
              <w:t>0773-2826203</w:t>
            </w:r>
          </w:p>
          <w:p w14:paraId="2AAC9E63">
            <w:pPr>
              <w:pStyle w:val="12"/>
              <w:spacing w:line="360" w:lineRule="auto"/>
              <w:ind w:firstLine="420" w:firstLineChars="200"/>
              <w:rPr>
                <w:rFonts w:hint="eastAsia" w:hAnsi="宋体" w:cs="宋体"/>
                <w:color w:val="auto"/>
                <w:sz w:val="21"/>
                <w:szCs w:val="21"/>
                <w:highlight w:val="none"/>
              </w:rPr>
            </w:pPr>
            <w:r>
              <w:rPr>
                <w:rFonts w:hint="eastAsia" w:hAnsi="宋体" w:cs="宋体"/>
                <w:color w:val="auto"/>
                <w:sz w:val="21"/>
                <w:szCs w:val="21"/>
                <w:highlight w:val="none"/>
              </w:rPr>
              <w:t>通讯地址：</w:t>
            </w:r>
            <w:r>
              <w:rPr>
                <w:rFonts w:hint="eastAsia" w:ascii="宋体" w:hAnsi="宋体" w:eastAsia="宋体" w:cs="宋体"/>
                <w:color w:val="auto"/>
                <w:sz w:val="21"/>
                <w:szCs w:val="21"/>
                <w:highlight w:val="none"/>
                <w:lang w:val="en-US" w:eastAsia="zh-CN"/>
              </w:rPr>
              <w:t>桂林市滨江路18号滨江大厦5楼</w:t>
            </w:r>
          </w:p>
          <w:p w14:paraId="3B4500D3">
            <w:pPr>
              <w:pStyle w:val="12"/>
              <w:spacing w:line="360" w:lineRule="auto"/>
              <w:ind w:firstLine="420" w:firstLineChars="200"/>
              <w:rPr>
                <w:rFonts w:hint="eastAsia" w:hAnsi="宋体" w:cs="宋体"/>
                <w:color w:val="auto"/>
                <w:sz w:val="21"/>
                <w:szCs w:val="21"/>
                <w:highlight w:val="none"/>
              </w:rPr>
            </w:pPr>
            <w:r>
              <w:rPr>
                <w:rFonts w:hint="eastAsia" w:hAnsi="宋体" w:cs="宋体"/>
                <w:color w:val="auto"/>
                <w:sz w:val="21"/>
                <w:szCs w:val="21"/>
                <w:highlight w:val="none"/>
              </w:rPr>
              <w:t>业务</w:t>
            </w:r>
            <w:r>
              <w:rPr>
                <w:rFonts w:hint="eastAsia" w:ascii="宋体" w:hAnsi="宋体" w:cs="宋体"/>
                <w:color w:val="auto"/>
                <w:sz w:val="21"/>
                <w:szCs w:val="21"/>
                <w:highlight w:val="none"/>
              </w:rPr>
              <w:t>时间</w:t>
            </w:r>
            <w:r>
              <w:rPr>
                <w:rFonts w:hint="eastAsia" w:hAnsi="宋体" w:cs="宋体"/>
                <w:color w:val="auto"/>
                <w:sz w:val="21"/>
                <w:szCs w:val="21"/>
                <w:highlight w:val="none"/>
              </w:rPr>
              <w:t>：工作日，上午</w:t>
            </w:r>
            <w:r>
              <w:rPr>
                <w:rFonts w:hint="eastAsia" w:hAnsi="宋体" w:cs="宋体"/>
                <w:color w:val="auto"/>
                <w:sz w:val="21"/>
                <w:szCs w:val="21"/>
                <w:highlight w:val="none"/>
                <w:lang w:val="en-US" w:eastAsia="zh-CN"/>
              </w:rPr>
              <w:t>9</w:t>
            </w:r>
            <w:r>
              <w:rPr>
                <w:rFonts w:hint="eastAsia" w:hAnsi="宋体" w:cs="宋体"/>
                <w:color w:val="auto"/>
                <w:sz w:val="21"/>
                <w:szCs w:val="21"/>
                <w:highlight w:val="none"/>
              </w:rPr>
              <w:t>:00-12:00；下午15:00-18:00（北京时间）</w:t>
            </w:r>
          </w:p>
        </w:tc>
      </w:tr>
      <w:tr w14:paraId="43BB40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8" w:hRule="atLeast"/>
          <w:jc w:val="center"/>
        </w:trPr>
        <w:tc>
          <w:tcPr>
            <w:tcW w:w="992" w:type="dxa"/>
            <w:vAlign w:val="center"/>
          </w:tcPr>
          <w:p w14:paraId="0DD9F03C">
            <w:pPr>
              <w:spacing w:line="360" w:lineRule="auto"/>
              <w:jc w:val="center"/>
              <w:rPr>
                <w:rFonts w:hint="eastAsia" w:ascii="宋体" w:hAnsi="宋体" w:cs="宋体"/>
                <w:sz w:val="21"/>
                <w:szCs w:val="21"/>
                <w:highlight w:val="none"/>
              </w:rPr>
            </w:pPr>
            <w:r>
              <w:rPr>
                <w:rFonts w:hint="eastAsia" w:ascii="宋体" w:hAnsi="宋体" w:cs="宋体"/>
                <w:sz w:val="21"/>
                <w:szCs w:val="21"/>
                <w:highlight w:val="none"/>
              </w:rPr>
              <w:t>32.1</w:t>
            </w:r>
          </w:p>
        </w:tc>
        <w:tc>
          <w:tcPr>
            <w:tcW w:w="8627" w:type="dxa"/>
            <w:vAlign w:val="center"/>
          </w:tcPr>
          <w:p w14:paraId="7CE1DFD8">
            <w:pPr>
              <w:pStyle w:val="12"/>
              <w:spacing w:line="360" w:lineRule="auto"/>
              <w:ind w:firstLine="420" w:firstLineChars="200"/>
              <w:rPr>
                <w:rFonts w:hint="eastAsia" w:hAnsi="宋体" w:cs="宋体"/>
                <w:sz w:val="21"/>
                <w:szCs w:val="21"/>
                <w:highlight w:val="none"/>
              </w:rPr>
            </w:pPr>
            <w:r>
              <w:rPr>
                <w:rFonts w:hint="eastAsia" w:hAnsi="宋体" w:cs="宋体"/>
                <w:sz w:val="21"/>
                <w:szCs w:val="21"/>
                <w:highlight w:val="none"/>
              </w:rPr>
              <w:t>1</w:t>
            </w:r>
            <w:r>
              <w:rPr>
                <w:rFonts w:hint="eastAsia" w:hAnsi="宋体" w:cs="宋体"/>
                <w:sz w:val="21"/>
                <w:highlight w:val="none"/>
                <w:lang w:bidi="ar"/>
              </w:rPr>
              <w:t>.</w:t>
            </w:r>
            <w:r>
              <w:rPr>
                <w:rFonts w:hint="eastAsia" w:hAnsi="宋体" w:cs="宋体"/>
                <w:sz w:val="21"/>
                <w:szCs w:val="21"/>
                <w:highlight w:val="none"/>
              </w:rPr>
              <w:t>采购代理服务费支付方式：本项目的招标代理服务费按以下收费标准向成交供应商收取。</w:t>
            </w:r>
          </w:p>
          <w:p w14:paraId="00556E90">
            <w:pPr>
              <w:pStyle w:val="12"/>
              <w:spacing w:line="360" w:lineRule="auto"/>
              <w:ind w:firstLine="420" w:firstLineChars="200"/>
              <w:rPr>
                <w:rFonts w:hint="eastAsia" w:hAnsi="宋体" w:cs="宋体"/>
                <w:sz w:val="21"/>
                <w:szCs w:val="21"/>
                <w:highlight w:val="none"/>
              </w:rPr>
            </w:pPr>
            <w:r>
              <w:rPr>
                <w:rFonts w:hint="eastAsia" w:hAnsi="宋体" w:cs="宋体"/>
                <w:sz w:val="21"/>
                <w:szCs w:val="21"/>
                <w:highlight w:val="none"/>
              </w:rPr>
              <w:t>2</w:t>
            </w:r>
            <w:r>
              <w:rPr>
                <w:rFonts w:hint="eastAsia" w:hAnsi="宋体" w:cs="宋体"/>
                <w:sz w:val="21"/>
                <w:highlight w:val="none"/>
                <w:lang w:bidi="ar"/>
              </w:rPr>
              <w:t>.</w:t>
            </w:r>
            <w:r>
              <w:rPr>
                <w:rFonts w:hint="eastAsia" w:hAnsi="宋体" w:cs="宋体"/>
                <w:sz w:val="21"/>
                <w:szCs w:val="21"/>
                <w:highlight w:val="none"/>
              </w:rPr>
              <w:t>采购代理</w:t>
            </w:r>
            <w:r>
              <w:rPr>
                <w:rFonts w:hint="eastAsia" w:ascii="宋体" w:hAnsi="宋体" w:cs="宋体"/>
                <w:sz w:val="21"/>
                <w:szCs w:val="21"/>
                <w:highlight w:val="none"/>
              </w:rPr>
              <w:t>服务费</w:t>
            </w:r>
            <w:r>
              <w:rPr>
                <w:rFonts w:hint="eastAsia" w:hAnsi="宋体" w:cs="宋体"/>
                <w:sz w:val="21"/>
                <w:szCs w:val="21"/>
                <w:highlight w:val="none"/>
              </w:rPr>
              <w:t>收取标准：</w:t>
            </w:r>
          </w:p>
          <w:p w14:paraId="514F3722">
            <w:pPr>
              <w:pStyle w:val="27"/>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firstLine="420" w:firstLineChars="200"/>
              <w:textAlignment w:val="auto"/>
              <w:rPr>
                <w:rFonts w:hint="default" w:hAnsi="宋体" w:cs="宋体"/>
                <w:color w:val="auto"/>
                <w:sz w:val="21"/>
                <w:highlight w:val="none"/>
                <w:lang w:val="en-US" w:eastAsia="zh-CN"/>
              </w:rPr>
            </w:pPr>
            <w:r>
              <w:rPr>
                <w:rFonts w:hint="eastAsia" w:hAnsi="宋体" w:cs="宋体"/>
                <w:color w:val="auto"/>
                <w:sz w:val="21"/>
                <w:highlight w:val="none"/>
                <w:lang w:val="en-US" w:eastAsia="zh-CN"/>
              </w:rPr>
              <w:t>☑</w:t>
            </w:r>
            <w:r>
              <w:rPr>
                <w:rFonts w:hint="eastAsia" w:ascii="新宋体" w:hAnsi="新宋体" w:eastAsia="新宋体" w:cs="Times New Roman"/>
                <w:color w:val="auto"/>
                <w:sz w:val="21"/>
                <w:szCs w:val="21"/>
                <w:highlight w:val="none"/>
              </w:rPr>
              <w:t>按国家发展计划委员会计价格【2002】1980号《招标代理服务收费管理暂行办法》</w:t>
            </w:r>
            <w:r>
              <w:rPr>
                <w:rFonts w:hint="eastAsia" w:ascii="新宋体" w:hAnsi="新宋体" w:eastAsia="新宋体" w:cs="Times New Roman"/>
                <w:color w:val="auto"/>
                <w:sz w:val="21"/>
                <w:szCs w:val="21"/>
                <w:highlight w:val="none"/>
                <w:lang w:val="en-US" w:eastAsia="zh-CN"/>
              </w:rPr>
              <w:t>服务类</w:t>
            </w:r>
            <w:r>
              <w:rPr>
                <w:rFonts w:hint="eastAsia" w:ascii="新宋体" w:hAnsi="新宋体" w:eastAsia="新宋体" w:cs="Times New Roman"/>
                <w:color w:val="auto"/>
                <w:sz w:val="21"/>
                <w:szCs w:val="21"/>
                <w:highlight w:val="none"/>
              </w:rPr>
              <w:t>收费标准及国家发展和改革委员会发改价格【2011】534号《国家发展和改革委关于降低部分建设项目收费标准规范收费行为等有关问题的通知》收费标准</w:t>
            </w:r>
            <w:r>
              <w:rPr>
                <w:rFonts w:hint="eastAsia" w:ascii="新宋体" w:hAnsi="新宋体" w:eastAsia="新宋体" w:cs="Times New Roman"/>
                <w:color w:val="auto"/>
                <w:sz w:val="21"/>
                <w:szCs w:val="21"/>
                <w:highlight w:val="none"/>
                <w:lang w:val="en-US" w:eastAsia="zh-CN"/>
              </w:rPr>
              <w:t>80%</w:t>
            </w:r>
            <w:r>
              <w:rPr>
                <w:rFonts w:hint="eastAsia" w:ascii="新宋体" w:hAnsi="新宋体" w:eastAsia="新宋体" w:cs="Times New Roman"/>
                <w:color w:val="auto"/>
                <w:sz w:val="21"/>
                <w:szCs w:val="21"/>
                <w:highlight w:val="none"/>
              </w:rPr>
              <w:t>计取(取费基数按</w:t>
            </w:r>
            <w:r>
              <w:rPr>
                <w:rFonts w:hint="eastAsia" w:ascii="新宋体" w:hAnsi="新宋体" w:eastAsia="新宋体" w:cs="Times New Roman"/>
                <w:color w:val="auto"/>
                <w:sz w:val="21"/>
                <w:szCs w:val="21"/>
                <w:highlight w:val="none"/>
                <w:lang w:val="en-US" w:eastAsia="zh-CN"/>
              </w:rPr>
              <w:t>每个分标中标金额</w:t>
            </w:r>
            <w:r>
              <w:rPr>
                <w:rFonts w:hint="eastAsia" w:ascii="新宋体" w:hAnsi="新宋体" w:eastAsia="新宋体" w:cs="Times New Roman"/>
                <w:color w:val="auto"/>
                <w:sz w:val="21"/>
                <w:szCs w:val="21"/>
                <w:highlight w:val="none"/>
              </w:rPr>
              <w:t>计算)，由</w:t>
            </w:r>
            <w:r>
              <w:rPr>
                <w:rFonts w:hint="eastAsia" w:ascii="新宋体" w:hAnsi="新宋体" w:eastAsia="新宋体" w:cs="Times New Roman"/>
                <w:color w:val="auto"/>
                <w:sz w:val="21"/>
                <w:szCs w:val="21"/>
                <w:highlight w:val="none"/>
                <w:lang w:val="en-US" w:eastAsia="zh-CN"/>
              </w:rPr>
              <w:t>各</w:t>
            </w:r>
            <w:r>
              <w:rPr>
                <w:rFonts w:hint="eastAsia" w:ascii="新宋体" w:hAnsi="新宋体" w:eastAsia="新宋体" w:cs="Times New Roman"/>
                <w:color w:val="auto"/>
                <w:sz w:val="21"/>
                <w:szCs w:val="21"/>
                <w:highlight w:val="none"/>
                <w:lang w:eastAsia="zh-CN"/>
              </w:rPr>
              <w:t>成交供应商</w:t>
            </w:r>
            <w:r>
              <w:rPr>
                <w:rFonts w:hint="eastAsia" w:ascii="新宋体" w:hAnsi="新宋体" w:eastAsia="新宋体" w:cs="Times New Roman"/>
                <w:color w:val="auto"/>
                <w:sz w:val="21"/>
                <w:szCs w:val="21"/>
                <w:highlight w:val="none"/>
              </w:rPr>
              <w:t>向乙方支付。</w:t>
            </w:r>
          </w:p>
          <w:p w14:paraId="74A03DFC">
            <w:pPr>
              <w:pStyle w:val="12"/>
              <w:spacing w:line="360" w:lineRule="auto"/>
              <w:ind w:firstLine="420" w:firstLineChars="200"/>
              <w:rPr>
                <w:rFonts w:hint="eastAsia" w:hAnsi="宋体" w:cs="宋体"/>
                <w:sz w:val="21"/>
                <w:szCs w:val="21"/>
                <w:highlight w:val="none"/>
              </w:rPr>
            </w:pPr>
            <w:r>
              <w:rPr>
                <w:rFonts w:hint="eastAsia" w:hAnsi="宋体" w:cs="宋体"/>
                <w:sz w:val="21"/>
                <w:szCs w:val="21"/>
                <w:highlight w:val="none"/>
              </w:rPr>
              <w:t>3</w:t>
            </w:r>
            <w:r>
              <w:rPr>
                <w:rFonts w:hint="eastAsia" w:hAnsi="宋体" w:cs="宋体"/>
                <w:sz w:val="21"/>
                <w:highlight w:val="none"/>
                <w:lang w:bidi="ar"/>
              </w:rPr>
              <w:t>.</w:t>
            </w:r>
            <w:r>
              <w:rPr>
                <w:rFonts w:hint="eastAsia" w:hAnsi="宋体" w:cs="宋体"/>
                <w:sz w:val="21"/>
                <w:szCs w:val="21"/>
                <w:highlight w:val="none"/>
              </w:rPr>
              <w:t>采购代理服务费收取银行账号</w:t>
            </w:r>
            <w:r>
              <w:rPr>
                <w:rFonts w:hint="eastAsia" w:ascii="宋体" w:hAnsi="宋体" w:eastAsia="宋体" w:cs="宋体"/>
                <w:sz w:val="21"/>
                <w:szCs w:val="21"/>
                <w:highlight w:val="none"/>
                <w:lang w:eastAsia="zh-CN"/>
              </w:rPr>
              <w:t>：</w:t>
            </w:r>
          </w:p>
          <w:p w14:paraId="2C5622DC">
            <w:pPr>
              <w:pStyle w:val="12"/>
              <w:spacing w:line="360" w:lineRule="auto"/>
              <w:ind w:firstLine="420" w:firstLineChars="200"/>
              <w:rPr>
                <w:rFonts w:hint="eastAsia" w:hAnsi="宋体"/>
                <w:color w:val="auto"/>
                <w:kern w:val="2"/>
                <w:sz w:val="21"/>
                <w:szCs w:val="24"/>
                <w:highlight w:val="none"/>
              </w:rPr>
            </w:pPr>
            <w:r>
              <w:rPr>
                <w:rFonts w:hint="eastAsia" w:hAnsi="宋体"/>
                <w:color w:val="auto"/>
                <w:kern w:val="2"/>
                <w:sz w:val="21"/>
                <w:szCs w:val="24"/>
                <w:highlight w:val="none"/>
              </w:rPr>
              <w:t>开户名称：</w:t>
            </w:r>
            <w:r>
              <w:rPr>
                <w:rFonts w:hint="eastAsia" w:ascii="宋体" w:hAnsi="宋体" w:cs="宋体"/>
                <w:sz w:val="21"/>
                <w:szCs w:val="21"/>
                <w:highlight w:val="none"/>
              </w:rPr>
              <w:t>广西</w:t>
            </w:r>
            <w:r>
              <w:rPr>
                <w:rFonts w:hint="eastAsia" w:hAnsi="宋体"/>
                <w:color w:val="auto"/>
                <w:kern w:val="2"/>
                <w:sz w:val="21"/>
                <w:szCs w:val="24"/>
                <w:highlight w:val="none"/>
              </w:rPr>
              <w:t>城建咨询设计有限公司桂林分公司</w:t>
            </w:r>
          </w:p>
          <w:p w14:paraId="41A35134">
            <w:pPr>
              <w:pStyle w:val="12"/>
              <w:spacing w:line="360" w:lineRule="auto"/>
              <w:ind w:firstLine="420" w:firstLineChars="200"/>
              <w:rPr>
                <w:rFonts w:hint="eastAsia" w:hAnsi="宋体"/>
                <w:color w:val="auto"/>
                <w:kern w:val="2"/>
                <w:sz w:val="21"/>
                <w:szCs w:val="24"/>
                <w:highlight w:val="none"/>
              </w:rPr>
            </w:pPr>
            <w:r>
              <w:rPr>
                <w:rFonts w:hint="eastAsia" w:hAnsi="宋体"/>
                <w:color w:val="auto"/>
                <w:kern w:val="2"/>
                <w:sz w:val="21"/>
                <w:szCs w:val="24"/>
                <w:highlight w:val="none"/>
              </w:rPr>
              <w:t>开户银行：桂林银行股份有限公司榕湖支行</w:t>
            </w:r>
          </w:p>
          <w:p w14:paraId="5AFCC8BB">
            <w:pPr>
              <w:pStyle w:val="12"/>
              <w:spacing w:line="360" w:lineRule="auto"/>
              <w:ind w:firstLine="420" w:firstLineChars="200"/>
              <w:rPr>
                <w:rFonts w:hint="eastAsia" w:hAnsi="宋体" w:cs="宋体"/>
                <w:sz w:val="21"/>
                <w:szCs w:val="21"/>
                <w:highlight w:val="none"/>
              </w:rPr>
            </w:pPr>
            <w:r>
              <w:rPr>
                <w:rFonts w:hint="eastAsia" w:hAnsi="宋体"/>
                <w:color w:val="auto"/>
                <w:kern w:val="2"/>
                <w:sz w:val="21"/>
                <w:szCs w:val="24"/>
                <w:highlight w:val="none"/>
              </w:rPr>
              <w:t>银行账号：</w:t>
            </w:r>
            <w:r>
              <w:rPr>
                <w:rFonts w:hint="eastAsia" w:ascii="宋体" w:hAnsi="宋体" w:cs="宋体"/>
                <w:sz w:val="21"/>
                <w:szCs w:val="21"/>
                <w:highlight w:val="none"/>
              </w:rPr>
              <w:t>660010033536400020</w:t>
            </w:r>
          </w:p>
        </w:tc>
      </w:tr>
      <w:tr w14:paraId="1131CD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01A00A7F">
            <w:pPr>
              <w:spacing w:line="360" w:lineRule="auto"/>
              <w:jc w:val="center"/>
              <w:rPr>
                <w:rFonts w:hint="eastAsia" w:ascii="宋体" w:hAnsi="宋体" w:cs="宋体"/>
                <w:sz w:val="21"/>
                <w:szCs w:val="21"/>
                <w:highlight w:val="none"/>
              </w:rPr>
            </w:pPr>
            <w:r>
              <w:rPr>
                <w:rFonts w:hint="eastAsia" w:ascii="宋体" w:hAnsi="宋体" w:cs="宋体"/>
                <w:sz w:val="21"/>
                <w:szCs w:val="21"/>
                <w:highlight w:val="none"/>
              </w:rPr>
              <w:t>33.1</w:t>
            </w:r>
          </w:p>
        </w:tc>
        <w:tc>
          <w:tcPr>
            <w:tcW w:w="8627" w:type="dxa"/>
            <w:vAlign w:val="center"/>
          </w:tcPr>
          <w:p w14:paraId="73BF6926">
            <w:pPr>
              <w:pStyle w:val="12"/>
              <w:spacing w:line="360" w:lineRule="auto"/>
              <w:ind w:firstLine="420" w:firstLineChars="200"/>
              <w:rPr>
                <w:rFonts w:hint="eastAsia" w:hAnsi="宋体" w:cs="宋体"/>
                <w:kern w:val="2"/>
                <w:sz w:val="21"/>
                <w:szCs w:val="21"/>
                <w:highlight w:val="none"/>
              </w:rPr>
            </w:pPr>
            <w:r>
              <w:rPr>
                <w:rFonts w:hint="eastAsia" w:hAnsi="宋体" w:cs="宋体"/>
                <w:sz w:val="21"/>
                <w:szCs w:val="21"/>
                <w:highlight w:val="none"/>
              </w:rPr>
              <w:t>解释：构成本磋商文件的</w:t>
            </w:r>
            <w:r>
              <w:rPr>
                <w:rFonts w:hint="eastAsia" w:ascii="宋体" w:hAnsi="宋体" w:cs="宋体"/>
                <w:sz w:val="21"/>
                <w:szCs w:val="21"/>
                <w:highlight w:val="none"/>
              </w:rPr>
              <w:t>各个</w:t>
            </w:r>
            <w:r>
              <w:rPr>
                <w:rFonts w:hint="eastAsia" w:hAnsi="宋体" w:cs="宋体"/>
                <w:sz w:val="21"/>
                <w:szCs w:val="21"/>
                <w:highlight w:val="none"/>
              </w:rPr>
              <w:t>组成文件应互为解释，互为说明；除磋商文件中有特别规定外，仅适用于竞争性磋商阶段的规定，按更正公告（澄清公告）、竞争性磋商公告、供应商须知、采购需求、评审程序、评审方法和评审标准、响应文件格式、合同文本的先后顺序解释；同一组成文件中就同一事项的规定或者约定不一致的，以编排顺序在后者为准；同一组成文件不同版本之间有不一致的，以形成时间在后者为准；更正公告（澄清公告）与同步更新的磋商文件不一致时以更正公告（澄清公告）为准。按本款前述规定仍不能形成结论的，由采购人或者采购代理机构负责解释。</w:t>
            </w:r>
          </w:p>
        </w:tc>
      </w:tr>
      <w:tr w14:paraId="7153F0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3EB0B4D8">
            <w:pPr>
              <w:spacing w:line="360" w:lineRule="auto"/>
              <w:jc w:val="center"/>
              <w:rPr>
                <w:rFonts w:hint="eastAsia" w:ascii="宋体" w:hAnsi="宋体" w:cs="宋体"/>
                <w:sz w:val="21"/>
                <w:szCs w:val="21"/>
                <w:highlight w:val="none"/>
              </w:rPr>
            </w:pPr>
            <w:r>
              <w:rPr>
                <w:rFonts w:hint="eastAsia" w:ascii="宋体" w:hAnsi="宋体" w:cs="宋体"/>
                <w:sz w:val="21"/>
                <w:szCs w:val="21"/>
                <w:highlight w:val="none"/>
              </w:rPr>
              <w:t>33.2</w:t>
            </w:r>
          </w:p>
        </w:tc>
        <w:tc>
          <w:tcPr>
            <w:tcW w:w="8627" w:type="dxa"/>
            <w:vAlign w:val="center"/>
          </w:tcPr>
          <w:p w14:paraId="642B40E0">
            <w:pPr>
              <w:pStyle w:val="12"/>
              <w:spacing w:line="360" w:lineRule="auto"/>
              <w:ind w:firstLine="420" w:firstLineChars="200"/>
              <w:rPr>
                <w:rFonts w:hint="eastAsia" w:hAnsi="宋体" w:cs="宋体"/>
                <w:bCs/>
                <w:sz w:val="21"/>
                <w:szCs w:val="21"/>
                <w:highlight w:val="none"/>
              </w:rPr>
            </w:pPr>
            <w:r>
              <w:rPr>
                <w:rFonts w:hint="eastAsia" w:hAnsi="宋体" w:cs="宋体"/>
                <w:bCs/>
                <w:sz w:val="21"/>
                <w:szCs w:val="21"/>
                <w:highlight w:val="none"/>
              </w:rPr>
              <w:t>1.本磋商文件中描述</w:t>
            </w:r>
            <w:r>
              <w:rPr>
                <w:rFonts w:hint="eastAsia" w:ascii="宋体" w:hAnsi="宋体" w:eastAsia="宋体" w:cs="宋体"/>
                <w:bCs/>
                <w:sz w:val="21"/>
                <w:szCs w:val="21"/>
                <w:highlight w:val="none"/>
                <w:lang w:eastAsia="zh-CN"/>
              </w:rPr>
              <w:t>供应商</w:t>
            </w:r>
            <w:r>
              <w:rPr>
                <w:rFonts w:hint="eastAsia" w:hAnsi="宋体" w:cs="宋体"/>
                <w:bCs/>
                <w:sz w:val="21"/>
                <w:szCs w:val="21"/>
                <w:highlight w:val="none"/>
              </w:rPr>
              <w:t>的“公章”是指根据我国对公章的管理规定，用供应商法定主体名称制作的印章</w:t>
            </w:r>
            <w:r>
              <w:rPr>
                <w:rFonts w:hint="eastAsia" w:hAnsi="宋体" w:cs="宋体"/>
                <w:sz w:val="21"/>
                <w:szCs w:val="21"/>
                <w:highlight w:val="none"/>
              </w:rPr>
              <w:t>或供应商通过指定电子化政府采购平台办理数字证书（CA认证）获得的以法定主体名称制作的电子印章。</w:t>
            </w:r>
            <w:r>
              <w:rPr>
                <w:rFonts w:hint="eastAsia" w:hAnsi="宋体" w:cs="宋体"/>
                <w:bCs/>
                <w:sz w:val="21"/>
                <w:szCs w:val="21"/>
                <w:highlight w:val="none"/>
              </w:rPr>
              <w:t>除本磋商文件有特殊规定外，供应商的财务章、部门章、分公司章、工会章、合同章、投标专用章、业务专用章及银行的转账章、现金收讫章、现金付讫章等其他形式印章均不能代替公章。</w:t>
            </w:r>
          </w:p>
          <w:p w14:paraId="6A64BCF8">
            <w:pPr>
              <w:pStyle w:val="12"/>
              <w:spacing w:line="360" w:lineRule="auto"/>
              <w:ind w:firstLine="420" w:firstLineChars="200"/>
              <w:rPr>
                <w:rFonts w:hint="eastAsia" w:hAnsi="宋体" w:cs="宋体"/>
                <w:bCs/>
                <w:sz w:val="21"/>
                <w:szCs w:val="21"/>
                <w:highlight w:val="none"/>
              </w:rPr>
            </w:pPr>
            <w:r>
              <w:rPr>
                <w:rFonts w:hint="eastAsia" w:hAnsi="宋体" w:cs="宋体"/>
                <w:bCs/>
                <w:sz w:val="21"/>
                <w:szCs w:val="21"/>
                <w:highlight w:val="none"/>
              </w:rPr>
              <w:t>2.供应商为其他组织或者自然人时，本磋商文件规定的法定代表人指负责人或者自然人。本磋商文件所称负责人是指参加</w:t>
            </w:r>
            <w:r>
              <w:rPr>
                <w:rFonts w:hint="eastAsia" w:ascii="宋体" w:hAnsi="宋体" w:cs="宋体"/>
                <w:sz w:val="21"/>
                <w:szCs w:val="21"/>
                <w:highlight w:val="none"/>
              </w:rPr>
              <w:t>竞争性</w:t>
            </w:r>
            <w:r>
              <w:rPr>
                <w:rFonts w:hint="eastAsia" w:hAnsi="宋体" w:cs="宋体"/>
                <w:sz w:val="21"/>
                <w:szCs w:val="21"/>
                <w:highlight w:val="none"/>
              </w:rPr>
              <w:t>磋商</w:t>
            </w:r>
            <w:r>
              <w:rPr>
                <w:rFonts w:hint="eastAsia" w:hAnsi="宋体" w:cs="宋体"/>
                <w:bCs/>
                <w:sz w:val="21"/>
                <w:szCs w:val="21"/>
                <w:highlight w:val="none"/>
              </w:rPr>
              <w:t>的其他组织营业执照或者执业许可证等证照上的负责人，本磋商文件所称自然人指参与</w:t>
            </w:r>
            <w:r>
              <w:rPr>
                <w:rFonts w:hint="eastAsia" w:hAnsi="宋体" w:cs="宋体"/>
                <w:sz w:val="21"/>
                <w:szCs w:val="21"/>
                <w:highlight w:val="none"/>
              </w:rPr>
              <w:t>竞争性磋商</w:t>
            </w:r>
            <w:r>
              <w:rPr>
                <w:rFonts w:hint="eastAsia" w:hAnsi="宋体" w:cs="宋体"/>
                <w:bCs/>
                <w:sz w:val="21"/>
                <w:szCs w:val="21"/>
                <w:highlight w:val="none"/>
              </w:rPr>
              <w:t>的自然人本人，且应具备独立承担民事责任能力，自然人应当为年满18岁以上成年人（十六周岁以上的未成年人，以自己的劳动收入为主要生活来源的，视为完全民事行为能力人）。</w:t>
            </w:r>
          </w:p>
          <w:p w14:paraId="35B27001">
            <w:pPr>
              <w:pStyle w:val="12"/>
              <w:spacing w:line="360" w:lineRule="auto"/>
              <w:ind w:firstLine="420" w:firstLineChars="200"/>
              <w:rPr>
                <w:rFonts w:hint="eastAsia" w:hAnsi="宋体" w:cs="宋体"/>
                <w:bCs/>
                <w:sz w:val="21"/>
                <w:szCs w:val="21"/>
                <w:highlight w:val="none"/>
              </w:rPr>
            </w:pPr>
            <w:r>
              <w:rPr>
                <w:rFonts w:hint="eastAsia" w:hAnsi="宋体" w:cs="宋体"/>
                <w:bCs/>
                <w:sz w:val="21"/>
                <w:szCs w:val="21"/>
                <w:highlight w:val="none"/>
              </w:rPr>
              <w:t>3.本磋商文件中描述</w:t>
            </w:r>
            <w:r>
              <w:rPr>
                <w:rFonts w:hint="eastAsia" w:ascii="宋体" w:hAnsi="宋体" w:eastAsia="宋体" w:cs="宋体"/>
                <w:bCs/>
                <w:sz w:val="21"/>
                <w:szCs w:val="21"/>
                <w:highlight w:val="none"/>
                <w:lang w:eastAsia="zh-CN"/>
              </w:rPr>
              <w:t>供应商</w:t>
            </w:r>
            <w:r>
              <w:rPr>
                <w:rFonts w:hint="eastAsia" w:hAnsi="宋体" w:cs="宋体"/>
                <w:bCs/>
                <w:sz w:val="21"/>
                <w:szCs w:val="21"/>
                <w:highlight w:val="none"/>
              </w:rPr>
              <w:t>的“签字”是指供应商的法定代表人或者委托代理人</w:t>
            </w:r>
            <w:r>
              <w:rPr>
                <w:rFonts w:hint="eastAsia" w:hAnsi="宋体" w:cs="宋体"/>
                <w:sz w:val="21"/>
                <w:szCs w:val="21"/>
                <w:highlight w:val="none"/>
              </w:rPr>
              <w:t>在文件规定签署处签名或者指供应商通过指定</w:t>
            </w:r>
            <w:r>
              <w:rPr>
                <w:rFonts w:hint="eastAsia" w:ascii="宋体" w:hAnsi="宋体" w:cs="宋体"/>
                <w:sz w:val="21"/>
                <w:szCs w:val="21"/>
                <w:highlight w:val="none"/>
              </w:rPr>
              <w:t>电子化</w:t>
            </w:r>
            <w:r>
              <w:rPr>
                <w:rFonts w:hint="eastAsia" w:hAnsi="宋体" w:cs="宋体"/>
                <w:sz w:val="21"/>
                <w:szCs w:val="21"/>
                <w:highlight w:val="none"/>
              </w:rPr>
              <w:t>政府采购平台办理数字证书（CA认证）获得的以供应商法定代表人或者委托代理人姓名制作的电子印章签名的行为，私章、印鉴等其他形式均不能代替签字</w:t>
            </w:r>
            <w:r>
              <w:rPr>
                <w:rFonts w:hint="eastAsia" w:hAnsi="宋体" w:cs="宋体"/>
                <w:bCs/>
                <w:sz w:val="21"/>
                <w:szCs w:val="21"/>
                <w:highlight w:val="none"/>
              </w:rPr>
              <w:t>。</w:t>
            </w:r>
          </w:p>
          <w:p w14:paraId="197F9E26">
            <w:pPr>
              <w:pStyle w:val="12"/>
              <w:spacing w:line="360" w:lineRule="auto"/>
              <w:ind w:firstLine="420" w:firstLineChars="200"/>
              <w:rPr>
                <w:rFonts w:hint="eastAsia" w:hAnsi="宋体" w:cs="宋体"/>
                <w:bCs/>
                <w:sz w:val="21"/>
                <w:szCs w:val="21"/>
                <w:highlight w:val="none"/>
              </w:rPr>
            </w:pPr>
            <w:r>
              <w:rPr>
                <w:rFonts w:hint="eastAsia" w:hAnsi="宋体" w:cs="宋体"/>
                <w:bCs/>
                <w:sz w:val="21"/>
                <w:szCs w:val="21"/>
                <w:highlight w:val="none"/>
              </w:rPr>
              <w:t>4.本磋商文件所称的“电子签章”“电子签名”，是指经广西政府采购云平台认可的CA认证的电子签名数据为表现形式的</w:t>
            </w:r>
            <w:r>
              <w:rPr>
                <w:rFonts w:hint="eastAsia" w:ascii="宋体" w:hAnsi="宋体" w:cs="宋体"/>
                <w:sz w:val="21"/>
                <w:szCs w:val="21"/>
                <w:highlight w:val="none"/>
              </w:rPr>
              <w:t>印章</w:t>
            </w:r>
            <w:r>
              <w:rPr>
                <w:rFonts w:hint="eastAsia" w:hAnsi="宋体" w:cs="宋体"/>
                <w:bCs/>
                <w:sz w:val="21"/>
                <w:szCs w:val="21"/>
                <w:highlight w:val="none"/>
              </w:rPr>
              <w:t>，可用于签署电子响应文件，电子印章与实物印章具有同等法律效力，不因其采用电子化表现形式而否定其法律效力。</w:t>
            </w:r>
          </w:p>
          <w:p w14:paraId="4FE2CBBB">
            <w:pPr>
              <w:pStyle w:val="12"/>
              <w:spacing w:line="360" w:lineRule="auto"/>
              <w:ind w:firstLine="420" w:firstLineChars="200"/>
              <w:rPr>
                <w:rFonts w:hint="eastAsia" w:hAnsi="宋体" w:cs="宋体"/>
                <w:bCs/>
                <w:sz w:val="21"/>
                <w:szCs w:val="21"/>
                <w:highlight w:val="none"/>
              </w:rPr>
            </w:pPr>
            <w:r>
              <w:rPr>
                <w:rFonts w:hint="eastAsia" w:hAnsi="宋体" w:cs="宋体"/>
                <w:bCs/>
                <w:sz w:val="21"/>
                <w:szCs w:val="21"/>
                <w:highlight w:val="none"/>
              </w:rPr>
              <w:t>5.自然人参加</w:t>
            </w:r>
            <w:r>
              <w:rPr>
                <w:rFonts w:hint="eastAsia" w:hAnsi="宋体" w:cs="宋体"/>
                <w:sz w:val="21"/>
                <w:szCs w:val="21"/>
                <w:highlight w:val="none"/>
              </w:rPr>
              <w:t>竞争性磋商</w:t>
            </w:r>
            <w:r>
              <w:rPr>
                <w:rFonts w:hint="eastAsia" w:hAnsi="宋体" w:cs="宋体"/>
                <w:bCs/>
                <w:sz w:val="21"/>
                <w:szCs w:val="21"/>
                <w:highlight w:val="none"/>
              </w:rPr>
              <w:t>的，磋商文件规定盖公章处由自然人摁手指指印。</w:t>
            </w:r>
          </w:p>
          <w:p w14:paraId="0EF8940A">
            <w:pPr>
              <w:pStyle w:val="12"/>
              <w:spacing w:line="360" w:lineRule="auto"/>
              <w:ind w:firstLine="420" w:firstLineChars="200"/>
              <w:rPr>
                <w:rFonts w:hint="eastAsia" w:hAnsi="宋体" w:cs="宋体"/>
                <w:sz w:val="21"/>
                <w:szCs w:val="21"/>
                <w:highlight w:val="none"/>
              </w:rPr>
            </w:pPr>
            <w:r>
              <w:rPr>
                <w:rFonts w:hint="eastAsia" w:hAnsi="宋体" w:cs="宋体"/>
                <w:bCs/>
                <w:sz w:val="21"/>
                <w:highlight w:val="none"/>
              </w:rPr>
              <w:t>6.本磋商文件所称的“</w:t>
            </w:r>
            <w:r>
              <w:rPr>
                <w:rFonts w:hint="eastAsia" w:ascii="宋体" w:hAnsi="宋体" w:cs="宋体"/>
                <w:sz w:val="21"/>
                <w:szCs w:val="21"/>
                <w:highlight w:val="none"/>
              </w:rPr>
              <w:t>以上</w:t>
            </w:r>
            <w:r>
              <w:rPr>
                <w:rFonts w:hint="eastAsia" w:hAnsi="宋体" w:cs="宋体"/>
                <w:bCs/>
                <w:sz w:val="21"/>
                <w:highlight w:val="none"/>
              </w:rPr>
              <w:t>”“以下”“以内”“届满”，包括本数；所称的“不满”“超过”“以外”，不包括本数。</w:t>
            </w:r>
          </w:p>
        </w:tc>
      </w:tr>
    </w:tbl>
    <w:p w14:paraId="3C4A49B5">
      <w:pPr>
        <w:spacing w:line="360" w:lineRule="auto"/>
        <w:jc w:val="center"/>
        <w:rPr>
          <w:rFonts w:ascii="宋体" w:hAnsi="宋体" w:cs="宋体"/>
          <w:b/>
          <w:sz w:val="32"/>
          <w:szCs w:val="32"/>
          <w:highlight w:val="none"/>
        </w:rPr>
      </w:pPr>
      <w:r>
        <w:rPr>
          <w:rFonts w:hint="eastAsia" w:ascii="宋体" w:hAnsi="宋体" w:cs="宋体"/>
          <w:b/>
          <w:sz w:val="21"/>
          <w:szCs w:val="21"/>
          <w:highlight w:val="none"/>
        </w:rPr>
        <w:br w:type="page"/>
      </w:r>
      <w:r>
        <w:rPr>
          <w:rFonts w:hint="eastAsia" w:ascii="宋体" w:hAnsi="宋体" w:cs="宋体"/>
          <w:b/>
          <w:sz w:val="32"/>
          <w:szCs w:val="32"/>
          <w:highlight w:val="none"/>
        </w:rPr>
        <w:t>供应商须知正文</w:t>
      </w:r>
    </w:p>
    <w:p w14:paraId="0CEE5DDC">
      <w:pPr>
        <w:spacing w:line="360" w:lineRule="auto"/>
        <w:jc w:val="center"/>
        <w:rPr>
          <w:rFonts w:ascii="宋体" w:hAnsi="宋体" w:cs="宋体"/>
          <w:b/>
          <w:bCs/>
          <w:sz w:val="32"/>
          <w:szCs w:val="32"/>
          <w:highlight w:val="none"/>
        </w:rPr>
      </w:pPr>
      <w:r>
        <w:rPr>
          <w:rFonts w:hint="eastAsia" w:ascii="宋体" w:hAnsi="宋体" w:cs="宋体"/>
          <w:b/>
          <w:bCs/>
          <w:sz w:val="32"/>
          <w:szCs w:val="32"/>
          <w:highlight w:val="none"/>
        </w:rPr>
        <w:t>一、总则</w:t>
      </w:r>
    </w:p>
    <w:p w14:paraId="47A2F631">
      <w:pPr>
        <w:pStyle w:val="12"/>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1.适用范围</w:t>
      </w:r>
    </w:p>
    <w:p w14:paraId="51CB8BBE">
      <w:pPr>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1.1本项目采购人、采购代理机构、供应商、磋商小组的相关行为均受《中华人民共和国政府采购法》《中华人民共和国政府采购法实施条例》《政府采购竞争性磋商采购方式管理暂行办法》《财政部关于政府采购竞争性磋商采购方式管理暂行办法有关问题的补充通知》及本项目本级和上级财政部门关于政府采购有关规定的约束和保护。</w:t>
      </w:r>
    </w:p>
    <w:p w14:paraId="08BCDEFB">
      <w:pPr>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1.2</w:t>
      </w:r>
      <w:r>
        <w:rPr>
          <w:rFonts w:hint="eastAsia" w:ascii="宋体" w:hAnsi="宋体" w:cs="宋体"/>
          <w:spacing w:val="-6"/>
          <w:sz w:val="21"/>
          <w:szCs w:val="21"/>
          <w:highlight w:val="none"/>
        </w:rPr>
        <w:t>本竞争性磋商文件（以下简称磋商文件）适用于本项目的所有采购程序和环节（法律、法规另有规定的，从其规定）。</w:t>
      </w:r>
    </w:p>
    <w:p w14:paraId="50C2E653">
      <w:pPr>
        <w:spacing w:line="360" w:lineRule="auto"/>
        <w:ind w:firstLine="422" w:firstLineChars="200"/>
        <w:rPr>
          <w:rFonts w:ascii="宋体" w:hAnsi="宋体" w:cs="宋体"/>
          <w:b/>
          <w:bCs/>
          <w:sz w:val="21"/>
          <w:szCs w:val="21"/>
          <w:highlight w:val="none"/>
        </w:rPr>
      </w:pPr>
      <w:r>
        <w:rPr>
          <w:rFonts w:hint="eastAsia" w:ascii="宋体" w:hAnsi="宋体" w:cs="宋体"/>
          <w:b/>
          <w:bCs/>
          <w:sz w:val="21"/>
          <w:szCs w:val="21"/>
          <w:highlight w:val="none"/>
        </w:rPr>
        <w:t>2.定义</w:t>
      </w:r>
    </w:p>
    <w:p w14:paraId="600ADF42">
      <w:pPr>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2.1“采购人”是指依法进行政府采购的国家机关、事业单位、团体组织。</w:t>
      </w:r>
    </w:p>
    <w:p w14:paraId="1C23D067">
      <w:pPr>
        <w:spacing w:line="360" w:lineRule="auto"/>
        <w:ind w:firstLine="420" w:firstLineChars="200"/>
        <w:rPr>
          <w:rFonts w:ascii="宋体" w:hAnsi="宋体" w:cs="宋体"/>
          <w:sz w:val="21"/>
          <w:szCs w:val="21"/>
          <w:highlight w:val="none"/>
          <w:u w:val="single"/>
        </w:rPr>
      </w:pPr>
      <w:r>
        <w:rPr>
          <w:rFonts w:hint="eastAsia" w:ascii="宋体" w:hAnsi="宋体" w:cs="宋体"/>
          <w:sz w:val="21"/>
          <w:szCs w:val="21"/>
          <w:highlight w:val="none"/>
        </w:rPr>
        <w:t>2.2“采购代理机构”是指政府采购集中采购机构和集中采购机构以外的采购代理机构。</w:t>
      </w:r>
    </w:p>
    <w:p w14:paraId="24FEC8B3">
      <w:pPr>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2.3“供应商”是指向采购人提供货物、工程或者服务的法人、其他组织或者自然人。</w:t>
      </w:r>
    </w:p>
    <w:p w14:paraId="5D66473A">
      <w:pPr>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2.4“服务”是指除货物和工程以外的其他政府采购对象。</w:t>
      </w:r>
    </w:p>
    <w:p w14:paraId="37C771DC">
      <w:pPr>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2.5“</w:t>
      </w:r>
      <w:r>
        <w:rPr>
          <w:rFonts w:hint="eastAsia" w:hAnsi="宋体" w:cs="宋体"/>
          <w:sz w:val="21"/>
          <w:szCs w:val="21"/>
          <w:highlight w:val="none"/>
        </w:rPr>
        <w:t>竞争性磋商</w:t>
      </w:r>
      <w:r>
        <w:rPr>
          <w:rFonts w:hint="eastAsia" w:ascii="宋体" w:hAnsi="宋体" w:cs="宋体"/>
          <w:sz w:val="21"/>
          <w:szCs w:val="21"/>
          <w:highlight w:val="none"/>
        </w:rPr>
        <w:t>”是指供应商按照本项目竞争性磋商公告或者邀请函规定的方式获取磋商文件、提交响应文件并希望获得标的的行为。</w:t>
      </w:r>
    </w:p>
    <w:p w14:paraId="7967CD13">
      <w:pPr>
        <w:spacing w:line="360" w:lineRule="auto"/>
        <w:ind w:firstLine="420" w:firstLineChars="200"/>
        <w:contextualSpacing/>
        <w:rPr>
          <w:rFonts w:ascii="宋体" w:hAnsi="宋体" w:cs="宋体"/>
          <w:sz w:val="21"/>
          <w:szCs w:val="21"/>
          <w:highlight w:val="none"/>
        </w:rPr>
      </w:pPr>
      <w:r>
        <w:rPr>
          <w:rFonts w:hint="eastAsia" w:ascii="宋体" w:hAnsi="宋体" w:cs="宋体"/>
          <w:sz w:val="21"/>
          <w:szCs w:val="21"/>
          <w:highlight w:val="none"/>
        </w:rPr>
        <w:t>2.6“书面形式”是指合同书、信件和数据电文（包括电报、电传、传真、电子数据交换和电子邮件）等可以有形地表现所载内容的形式。</w:t>
      </w:r>
    </w:p>
    <w:p w14:paraId="1E334F09">
      <w:pPr>
        <w:spacing w:line="360" w:lineRule="auto"/>
        <w:ind w:firstLine="420" w:firstLineChars="200"/>
        <w:contextualSpacing/>
        <w:rPr>
          <w:rFonts w:ascii="宋体" w:hAnsi="宋体" w:cs="宋体"/>
          <w:sz w:val="21"/>
          <w:szCs w:val="21"/>
          <w:highlight w:val="none"/>
        </w:rPr>
      </w:pPr>
      <w:r>
        <w:rPr>
          <w:rFonts w:hint="eastAsia" w:ascii="宋体" w:hAnsi="宋体" w:cs="宋体"/>
          <w:sz w:val="21"/>
          <w:szCs w:val="21"/>
          <w:highlight w:val="none"/>
        </w:rPr>
        <w:t>2.7“响应文件”</w:t>
      </w:r>
      <w:r>
        <w:rPr>
          <w:rFonts w:hint="eastAsia" w:ascii="宋体" w:hAnsi="宋体" w:cs="宋体"/>
          <w:spacing w:val="-6"/>
          <w:sz w:val="21"/>
          <w:szCs w:val="21"/>
          <w:highlight w:val="none"/>
        </w:rPr>
        <w:t>是指：供应商根据本磋商文件要求，编制包含资格证明、报价商务技术等所有内容的文件。</w:t>
      </w:r>
    </w:p>
    <w:p w14:paraId="316BCCEF">
      <w:pPr>
        <w:spacing w:line="360" w:lineRule="auto"/>
        <w:ind w:firstLine="420" w:firstLineChars="200"/>
        <w:contextualSpacing/>
        <w:rPr>
          <w:rFonts w:ascii="宋体" w:hAnsi="宋体" w:cs="宋体"/>
          <w:sz w:val="21"/>
          <w:szCs w:val="21"/>
          <w:highlight w:val="none"/>
        </w:rPr>
      </w:pPr>
      <w:r>
        <w:rPr>
          <w:rFonts w:hint="eastAsia" w:ascii="宋体" w:hAnsi="宋体" w:cs="宋体"/>
          <w:sz w:val="21"/>
          <w:szCs w:val="21"/>
          <w:highlight w:val="none"/>
        </w:rPr>
        <w:t>2.8“实质性要求”是指磋商文件中已经指明不满足则响应文件按无效响应处理的条款，或者不能负偏离的条款，或者采购需求中带“▲”的条款。</w:t>
      </w:r>
    </w:p>
    <w:p w14:paraId="0FA1BD4D">
      <w:pPr>
        <w:spacing w:line="360" w:lineRule="auto"/>
        <w:ind w:firstLine="420" w:firstLineChars="200"/>
        <w:contextualSpacing/>
        <w:rPr>
          <w:rFonts w:ascii="宋体" w:hAnsi="宋体" w:cs="宋体"/>
          <w:sz w:val="21"/>
          <w:szCs w:val="21"/>
          <w:highlight w:val="none"/>
        </w:rPr>
      </w:pPr>
      <w:r>
        <w:rPr>
          <w:rFonts w:hint="eastAsia" w:ascii="宋体" w:hAnsi="宋体" w:cs="宋体"/>
          <w:sz w:val="21"/>
          <w:szCs w:val="21"/>
          <w:highlight w:val="none"/>
        </w:rPr>
        <w:t>2.9“正偏离”，是指响应文件对磋商文件“采购需求”中有关条款作出的响应优于条款要求并有利于采购人的情形。</w:t>
      </w:r>
    </w:p>
    <w:p w14:paraId="4AE7E998">
      <w:pPr>
        <w:spacing w:line="360" w:lineRule="auto"/>
        <w:ind w:firstLine="420" w:firstLineChars="200"/>
        <w:contextualSpacing/>
        <w:rPr>
          <w:rFonts w:ascii="宋体" w:hAnsi="宋体" w:cs="宋体"/>
          <w:sz w:val="21"/>
          <w:szCs w:val="21"/>
          <w:highlight w:val="none"/>
        </w:rPr>
      </w:pPr>
      <w:r>
        <w:rPr>
          <w:rFonts w:hint="eastAsia" w:ascii="宋体" w:hAnsi="宋体" w:cs="宋体"/>
          <w:sz w:val="21"/>
          <w:szCs w:val="21"/>
          <w:highlight w:val="none"/>
        </w:rPr>
        <w:t>2.10“负偏离”，是指响应文件对磋商文件“采购需求”中有关条款作出的响应不满足条款要求，导致采购人要求不能得到满足的情形。</w:t>
      </w:r>
    </w:p>
    <w:p w14:paraId="3DF95605">
      <w:pPr>
        <w:spacing w:line="360" w:lineRule="auto"/>
        <w:ind w:firstLine="420" w:firstLineChars="200"/>
        <w:contextualSpacing/>
        <w:rPr>
          <w:rFonts w:ascii="宋体" w:hAnsi="宋体" w:cs="宋体"/>
          <w:sz w:val="21"/>
          <w:szCs w:val="21"/>
          <w:highlight w:val="none"/>
        </w:rPr>
      </w:pPr>
      <w:r>
        <w:rPr>
          <w:rFonts w:hint="eastAsia" w:ascii="宋体" w:hAnsi="宋体" w:cs="宋体"/>
          <w:sz w:val="21"/>
          <w:szCs w:val="21"/>
          <w:highlight w:val="none"/>
        </w:rPr>
        <w:t>2.11“允许负偏离的条款”是指采购需求中的不属于“实质性要求”的条款。</w:t>
      </w:r>
    </w:p>
    <w:p w14:paraId="2165C394">
      <w:pPr>
        <w:spacing w:line="360" w:lineRule="auto"/>
        <w:ind w:firstLine="420" w:firstLineChars="200"/>
        <w:contextualSpacing/>
        <w:rPr>
          <w:rFonts w:ascii="宋体" w:hAnsi="宋体" w:cs="宋体"/>
          <w:sz w:val="21"/>
          <w:szCs w:val="21"/>
          <w:highlight w:val="none"/>
        </w:rPr>
      </w:pPr>
      <w:r>
        <w:rPr>
          <w:rFonts w:hint="eastAsia" w:ascii="宋体" w:hAnsi="宋体" w:cs="宋体"/>
          <w:sz w:val="21"/>
          <w:szCs w:val="21"/>
          <w:highlight w:val="none"/>
        </w:rPr>
        <w:t>2.12“首次报价”是指供应商提交的首次响应文件中的报价。</w:t>
      </w:r>
    </w:p>
    <w:p w14:paraId="580CBC5C">
      <w:pPr>
        <w:spacing w:line="360" w:lineRule="auto"/>
        <w:ind w:firstLine="422" w:firstLineChars="200"/>
        <w:rPr>
          <w:rFonts w:ascii="宋体" w:hAnsi="宋体" w:cs="宋体"/>
          <w:b/>
          <w:bCs/>
          <w:sz w:val="21"/>
          <w:szCs w:val="21"/>
          <w:highlight w:val="none"/>
        </w:rPr>
      </w:pPr>
      <w:r>
        <w:rPr>
          <w:rFonts w:hint="eastAsia" w:ascii="宋体" w:hAnsi="宋体" w:cs="宋体"/>
          <w:b/>
          <w:bCs/>
          <w:sz w:val="21"/>
          <w:szCs w:val="21"/>
          <w:highlight w:val="none"/>
        </w:rPr>
        <w:t>3.供应商的资格条件</w:t>
      </w:r>
    </w:p>
    <w:p w14:paraId="7BA30D14">
      <w:pPr>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供应商的资格条件详见“供应商须知前附表”。</w:t>
      </w:r>
    </w:p>
    <w:p w14:paraId="3939BB8A">
      <w:pPr>
        <w:spacing w:line="360" w:lineRule="auto"/>
        <w:ind w:firstLine="422" w:firstLineChars="200"/>
        <w:rPr>
          <w:rFonts w:ascii="宋体" w:hAnsi="宋体" w:cs="宋体"/>
          <w:b/>
          <w:bCs/>
          <w:sz w:val="21"/>
          <w:szCs w:val="21"/>
          <w:highlight w:val="none"/>
        </w:rPr>
      </w:pPr>
      <w:r>
        <w:rPr>
          <w:rFonts w:hint="eastAsia" w:ascii="宋体" w:hAnsi="宋体" w:cs="宋体"/>
          <w:b/>
          <w:bCs/>
          <w:sz w:val="21"/>
          <w:szCs w:val="21"/>
          <w:highlight w:val="none"/>
        </w:rPr>
        <w:t>4.</w:t>
      </w:r>
      <w:r>
        <w:rPr>
          <w:rFonts w:hint="eastAsia" w:hAnsi="宋体" w:cs="宋体"/>
          <w:b/>
          <w:sz w:val="21"/>
          <w:szCs w:val="21"/>
          <w:highlight w:val="none"/>
        </w:rPr>
        <w:t>竞争性磋商</w:t>
      </w:r>
      <w:r>
        <w:rPr>
          <w:rFonts w:hint="eastAsia" w:ascii="宋体" w:hAnsi="宋体" w:cs="宋体"/>
          <w:b/>
          <w:bCs/>
          <w:sz w:val="21"/>
          <w:szCs w:val="21"/>
          <w:highlight w:val="none"/>
        </w:rPr>
        <w:t>费用</w:t>
      </w:r>
    </w:p>
    <w:p w14:paraId="76DC7FF6">
      <w:pPr>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供应商应承担参与本次采购活动有关的所有费用，包括但不限于获取磋商文件、勘查现场、编制和提交响应文件、参加磋商与应答、签订合同等，不论</w:t>
      </w:r>
      <w:r>
        <w:rPr>
          <w:rFonts w:hint="eastAsia" w:hAnsi="宋体" w:cs="宋体"/>
          <w:sz w:val="21"/>
          <w:szCs w:val="21"/>
          <w:highlight w:val="none"/>
        </w:rPr>
        <w:t>竞争性磋商</w:t>
      </w:r>
      <w:r>
        <w:rPr>
          <w:rFonts w:hint="eastAsia" w:ascii="宋体" w:hAnsi="宋体" w:cs="宋体"/>
          <w:sz w:val="21"/>
          <w:szCs w:val="21"/>
          <w:highlight w:val="none"/>
        </w:rPr>
        <w:t>结果如何，均应自行承担。</w:t>
      </w:r>
    </w:p>
    <w:p w14:paraId="0425F09D">
      <w:pPr>
        <w:spacing w:line="360" w:lineRule="auto"/>
        <w:ind w:firstLine="422" w:firstLineChars="200"/>
        <w:rPr>
          <w:rFonts w:ascii="宋体" w:hAnsi="宋体" w:cs="宋体"/>
          <w:b/>
          <w:bCs/>
          <w:sz w:val="21"/>
          <w:szCs w:val="21"/>
          <w:highlight w:val="none"/>
        </w:rPr>
      </w:pPr>
      <w:r>
        <w:rPr>
          <w:rFonts w:hint="eastAsia" w:ascii="宋体" w:hAnsi="宋体" w:cs="宋体"/>
          <w:b/>
          <w:bCs/>
          <w:sz w:val="21"/>
          <w:szCs w:val="21"/>
          <w:highlight w:val="none"/>
        </w:rPr>
        <w:t>5.联合体参加竞争性磋商</w:t>
      </w:r>
    </w:p>
    <w:p w14:paraId="3E8C6E68">
      <w:pPr>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5.1本项目是否接受联合体参加竞争性磋商，详见“供应商须知前附表”。</w:t>
      </w:r>
    </w:p>
    <w:p w14:paraId="2C746E8A">
      <w:pPr>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5.2如接受联合体参加</w:t>
      </w:r>
      <w:r>
        <w:rPr>
          <w:rFonts w:hint="eastAsia" w:hAnsi="宋体" w:cs="宋体"/>
          <w:sz w:val="21"/>
          <w:szCs w:val="21"/>
          <w:highlight w:val="none"/>
        </w:rPr>
        <w:t>竞争性磋商</w:t>
      </w:r>
      <w:r>
        <w:rPr>
          <w:rFonts w:hint="eastAsia" w:ascii="宋体" w:hAnsi="宋体" w:cs="宋体"/>
          <w:sz w:val="21"/>
          <w:szCs w:val="21"/>
          <w:highlight w:val="none"/>
        </w:rPr>
        <w:t>，相关要求详见“供应商须知前附表”。</w:t>
      </w:r>
    </w:p>
    <w:p w14:paraId="09C1670C">
      <w:pPr>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5.3</w:t>
      </w:r>
      <w:bookmarkStart w:id="16" w:name="_Hlk66782192"/>
      <w:r>
        <w:rPr>
          <w:rFonts w:hint="eastAsia" w:ascii="宋体" w:hAnsi="宋体" w:cs="宋体"/>
          <w:sz w:val="21"/>
          <w:szCs w:val="21"/>
          <w:highlight w:val="none"/>
        </w:rPr>
        <w:t>根据《政府采购促进中小企业发展管理办法》（财库〔2020〕46号）</w:t>
      </w:r>
      <w:r>
        <w:rPr>
          <w:rFonts w:hint="eastAsia" w:ascii="宋体" w:hAnsi="宋体" w:cs="宋体"/>
          <w:sz w:val="21"/>
          <w:szCs w:val="21"/>
          <w:highlight w:val="none"/>
          <w:lang w:eastAsia="zh-CN"/>
        </w:rPr>
        <w:t>、</w:t>
      </w:r>
      <w:r>
        <w:rPr>
          <w:rFonts w:hint="eastAsia" w:ascii="宋体" w:hAnsi="宋体" w:eastAsia="宋体" w:cs="宋体"/>
          <w:color w:val="auto"/>
          <w:szCs w:val="21"/>
          <w:highlight w:val="none"/>
        </w:rPr>
        <w:t>广西壮族自治区财政厅关于进一步发挥政府采购政策功能促进企业发展的通知》（桂财采〔2022〕3</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号）</w:t>
      </w:r>
      <w:r>
        <w:rPr>
          <w:rFonts w:hint="eastAsia" w:ascii="宋体" w:hAnsi="宋体" w:eastAsia="宋体" w:cs="宋体"/>
          <w:color w:val="auto"/>
          <w:szCs w:val="21"/>
          <w:highlight w:val="none"/>
          <w:lang w:val="en-US" w:eastAsia="zh-CN"/>
        </w:rPr>
        <w:t>及《广西壮族自治区财政厅关于持续优化政府采购营商环境推动高质量发展的通知》</w:t>
      </w:r>
      <w:r>
        <w:rPr>
          <w:rFonts w:hint="eastAsia" w:ascii="宋体" w:hAnsi="宋体" w:eastAsia="宋体" w:cs="宋体"/>
          <w:color w:val="auto"/>
          <w:szCs w:val="21"/>
          <w:highlight w:val="none"/>
        </w:rPr>
        <w:t>（桂财采〔202</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55</w:t>
      </w:r>
      <w:r>
        <w:rPr>
          <w:rFonts w:hint="eastAsia" w:ascii="宋体" w:hAnsi="宋体" w:eastAsia="宋体" w:cs="宋体"/>
          <w:color w:val="auto"/>
          <w:szCs w:val="21"/>
          <w:highlight w:val="none"/>
        </w:rPr>
        <w:t>号）</w:t>
      </w:r>
      <w:r>
        <w:rPr>
          <w:rFonts w:hint="eastAsia" w:ascii="宋体" w:hAnsi="宋体" w:cs="宋体"/>
          <w:sz w:val="21"/>
          <w:szCs w:val="21"/>
          <w:highlight w:val="none"/>
          <w:lang w:val="en-US" w:eastAsia="zh-CN"/>
        </w:rPr>
        <w:t>规定</w:t>
      </w:r>
      <w:r>
        <w:rPr>
          <w:rFonts w:hint="eastAsia" w:ascii="宋体" w:hAnsi="宋体" w:cs="宋体"/>
          <w:sz w:val="21"/>
          <w:szCs w:val="21"/>
          <w:highlight w:val="none"/>
        </w:rPr>
        <w:t>。货物服务采购项目给予小微企业的价格扣除优惠</w:t>
      </w:r>
      <w:r>
        <w:rPr>
          <w:rFonts w:hint="eastAsia" w:ascii="宋体" w:hAnsi="宋体" w:cs="宋体"/>
          <w:sz w:val="21"/>
          <w:szCs w:val="21"/>
          <w:highlight w:val="none"/>
          <w:lang w:eastAsia="zh-CN"/>
        </w:rPr>
        <w:t>1</w:t>
      </w:r>
      <w:r>
        <w:rPr>
          <w:rFonts w:hint="eastAsia" w:ascii="宋体" w:hAnsi="宋体" w:cs="宋体"/>
          <w:sz w:val="21"/>
          <w:szCs w:val="21"/>
          <w:highlight w:val="none"/>
        </w:rPr>
        <w:t>0%。大中型企业与小微企业组成联合体或者大中型企业向小微企业分包的，对于联合协议约定小微企业的合同份额占到合同总金额 30%以上的，评审优惠</w:t>
      </w:r>
      <w:r>
        <w:rPr>
          <w:rFonts w:ascii="宋体" w:hAnsi="宋体" w:cs="宋体"/>
          <w:sz w:val="21"/>
          <w:szCs w:val="21"/>
          <w:highlight w:val="none"/>
        </w:rPr>
        <w:t>6%</w:t>
      </w:r>
      <w:r>
        <w:rPr>
          <w:rFonts w:hint="eastAsia" w:ascii="宋体" w:hAnsi="宋体" w:cs="宋体"/>
          <w:sz w:val="21"/>
          <w:szCs w:val="21"/>
          <w:highlight w:val="none"/>
        </w:rPr>
        <w:t>，用扣除后的价格参加评审。</w:t>
      </w:r>
      <w:bookmarkEnd w:id="16"/>
    </w:p>
    <w:p w14:paraId="5B9AF2B4">
      <w:pPr>
        <w:spacing w:line="360" w:lineRule="auto"/>
        <w:ind w:firstLine="422" w:firstLineChars="200"/>
        <w:rPr>
          <w:rFonts w:ascii="宋体" w:hAnsi="宋体" w:cs="宋体"/>
          <w:b/>
          <w:bCs/>
          <w:sz w:val="21"/>
          <w:szCs w:val="21"/>
          <w:highlight w:val="none"/>
        </w:rPr>
      </w:pPr>
      <w:r>
        <w:rPr>
          <w:rFonts w:hint="eastAsia" w:ascii="宋体" w:hAnsi="宋体" w:cs="宋体"/>
          <w:b/>
          <w:bCs/>
          <w:sz w:val="21"/>
          <w:szCs w:val="21"/>
          <w:highlight w:val="none"/>
        </w:rPr>
        <w:t xml:space="preserve">6.转包与分包 </w:t>
      </w:r>
    </w:p>
    <w:p w14:paraId="625DB7D5">
      <w:pPr>
        <w:keepNext w:val="0"/>
        <w:keepLines w:val="0"/>
        <w:spacing w:before="0" w:after="0" w:line="360" w:lineRule="auto"/>
        <w:ind w:left="0" w:leftChars="0" w:firstLine="420" w:firstLineChars="200"/>
        <w:rPr>
          <w:rFonts w:hint="eastAsia" w:ascii="宋体" w:hAnsi="宋体" w:eastAsia="宋体" w:cs="宋体"/>
          <w:szCs w:val="21"/>
          <w:highlight w:val="none"/>
        </w:rPr>
      </w:pPr>
      <w:bookmarkStart w:id="17" w:name="_Toc254970673"/>
      <w:bookmarkStart w:id="18" w:name="_Toc254970532"/>
      <w:r>
        <w:rPr>
          <w:rFonts w:hint="eastAsia" w:ascii="宋体" w:hAnsi="宋体" w:eastAsia="宋体" w:cs="宋体"/>
          <w:szCs w:val="21"/>
          <w:highlight w:val="none"/>
        </w:rPr>
        <w:t>6.1本项目不允许转包。</w:t>
      </w:r>
    </w:p>
    <w:p w14:paraId="40625B6B">
      <w:pPr>
        <w:keepNext w:val="0"/>
        <w:keepLines w:val="0"/>
        <w:spacing w:before="0" w:after="0"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6.2本项目是否允许分包详见“供应商须知前附表”，本项目不允许违法分包。允许分包的非主体、非关键性工作，根据法律法规规定承担该工作需要行政许可的，如该工作由供应商自行承担，供应商应具备相应的行政许可，如供应商不具备相应的行政许可必须采用分包的方式，但分包供应商应具备相应行政许可。</w:t>
      </w:r>
    </w:p>
    <w:p w14:paraId="1859E713">
      <w:pPr>
        <w:keepNext w:val="0"/>
        <w:keepLines w:val="0"/>
        <w:spacing w:before="0" w:after="0"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6.3供应商根据磋商文件的规定和采购项目的实际情况，拟在成交后将成交项目的非主体、非关键性工作分包的，应当在响应文件中载明分包承担主体，分包承担主体应当具备相应资质条件且不得再次分包。</w:t>
      </w:r>
    </w:p>
    <w:p w14:paraId="4C027727">
      <w:pPr>
        <w:spacing w:line="360" w:lineRule="auto"/>
        <w:ind w:firstLine="422" w:firstLineChars="200"/>
        <w:rPr>
          <w:rFonts w:ascii="宋体" w:hAnsi="宋体" w:cs="宋体"/>
          <w:b/>
          <w:bCs/>
          <w:sz w:val="21"/>
          <w:szCs w:val="21"/>
          <w:highlight w:val="none"/>
        </w:rPr>
      </w:pPr>
      <w:r>
        <w:rPr>
          <w:rFonts w:hint="eastAsia" w:ascii="宋体" w:hAnsi="宋体" w:cs="宋体"/>
          <w:b/>
          <w:bCs/>
          <w:sz w:val="21"/>
          <w:szCs w:val="21"/>
          <w:highlight w:val="none"/>
        </w:rPr>
        <w:t>7.特别说明</w:t>
      </w:r>
      <w:bookmarkEnd w:id="17"/>
      <w:bookmarkEnd w:id="18"/>
    </w:p>
    <w:p w14:paraId="15A1F64D">
      <w:pPr>
        <w:spacing w:line="360" w:lineRule="auto"/>
        <w:ind w:firstLine="420" w:firstLineChars="200"/>
        <w:rPr>
          <w:rFonts w:ascii="宋体" w:hAnsi="宋体" w:cs="宋体"/>
          <w:sz w:val="21"/>
          <w:szCs w:val="21"/>
          <w:highlight w:val="none"/>
        </w:rPr>
      </w:pPr>
      <w:bookmarkStart w:id="19" w:name="_8.1提供相同品牌产品且通过资格审查、符合性审查的不同投标人参加同一合"/>
      <w:bookmarkEnd w:id="19"/>
      <w:r>
        <w:rPr>
          <w:rFonts w:hint="eastAsia" w:ascii="宋体" w:hAnsi="宋体" w:cs="宋体"/>
          <w:sz w:val="21"/>
          <w:szCs w:val="21"/>
          <w:highlight w:val="none"/>
        </w:rPr>
        <w:t>7.1</w:t>
      </w:r>
      <w:bookmarkStart w:id="20" w:name="_Hlk65832145"/>
      <w:r>
        <w:rPr>
          <w:rFonts w:hint="eastAsia" w:ascii="宋体" w:hAnsi="宋体" w:cs="宋体"/>
          <w:sz w:val="21"/>
          <w:szCs w:val="21"/>
          <w:highlight w:val="none"/>
        </w:rPr>
        <w:t>如果本磋商文件要求提供供应商或制造商的资格、信誉、荣誉、业绩与企业认证等材料的，资格、信誉、荣誉、业绩与企业认证等必须为供应商或者制造商所拥有或自身获得。</w:t>
      </w:r>
    </w:p>
    <w:bookmarkEnd w:id="20"/>
    <w:p w14:paraId="0172A75E">
      <w:pPr>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7.2供应商应仔细阅读磋商文件的所有内容，按照磋商文件的要求提交响应文件，并对所提供的全部资料的真实性承担法律责任。</w:t>
      </w:r>
    </w:p>
    <w:p w14:paraId="268B67E3">
      <w:pPr>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7.3供应商在参与</w:t>
      </w:r>
      <w:r>
        <w:rPr>
          <w:rFonts w:hint="eastAsia" w:hAnsi="宋体" w:cs="宋体"/>
          <w:sz w:val="21"/>
          <w:szCs w:val="21"/>
          <w:highlight w:val="none"/>
        </w:rPr>
        <w:t>竞争性磋商</w:t>
      </w:r>
      <w:r>
        <w:rPr>
          <w:rFonts w:hint="eastAsia" w:ascii="宋体" w:hAnsi="宋体" w:cs="宋体"/>
          <w:sz w:val="21"/>
          <w:szCs w:val="21"/>
          <w:highlight w:val="none"/>
        </w:rPr>
        <w:t>活动中提供任何疑似虚假材料，将报监管部门查处；签订合同后发现的，成交供应商须依法赔偿采购人，且民事赔偿并不免除违法供应商的行政与刑事责任。</w:t>
      </w:r>
    </w:p>
    <w:p w14:paraId="4D1D45C8">
      <w:pPr>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7.4在政府采购活动中，采购人员及相关人员与供应商有下列利害关系之一的，应当回避：</w:t>
      </w:r>
    </w:p>
    <w:p w14:paraId="770AF896">
      <w:pPr>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（1）参加采购活动前3年内与供应商存在劳动关系；</w:t>
      </w:r>
    </w:p>
    <w:p w14:paraId="7AEF7C70">
      <w:pPr>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（2）参加采购活动前3年内担任供应商的董事、监事；</w:t>
      </w:r>
    </w:p>
    <w:p w14:paraId="5085CEE5">
      <w:pPr>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（3）参加采购活动前3年内是供应商的控股股东或者实际控制人；</w:t>
      </w:r>
    </w:p>
    <w:p w14:paraId="385F0AEC">
      <w:pPr>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（4）与供应商的法定代表人或者负责人有夫妻、直系血亲、三代以内旁系血亲或者近姻亲关系；</w:t>
      </w:r>
    </w:p>
    <w:p w14:paraId="3132D082">
      <w:pPr>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（5）与供应商有其他可能影响政府采购活动公平、公正进行的关系。</w:t>
      </w:r>
    </w:p>
    <w:p w14:paraId="0575DDBA">
      <w:pPr>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15C7DB86">
      <w:pPr>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7.5有下列情形之一的视为供应商相互串通参与</w:t>
      </w:r>
      <w:r>
        <w:rPr>
          <w:rFonts w:hint="eastAsia" w:hAnsi="宋体" w:cs="宋体"/>
          <w:sz w:val="21"/>
          <w:szCs w:val="21"/>
          <w:highlight w:val="none"/>
        </w:rPr>
        <w:t>竞争性磋商</w:t>
      </w:r>
      <w:r>
        <w:rPr>
          <w:rFonts w:hint="eastAsia" w:ascii="宋体" w:hAnsi="宋体" w:cs="宋体"/>
          <w:sz w:val="21"/>
          <w:szCs w:val="21"/>
          <w:highlight w:val="none"/>
        </w:rPr>
        <w:t>，响应文件将被视为无效：</w:t>
      </w:r>
    </w:p>
    <w:p w14:paraId="2F3D6AF0">
      <w:pPr>
        <w:spacing w:line="360" w:lineRule="auto"/>
        <w:ind w:firstLine="420" w:firstLineChars="200"/>
        <w:rPr>
          <w:rFonts w:hint="eastAsia" w:ascii="宋体" w:hAnsi="宋体" w:eastAsia="宋体" w:cs="宋体"/>
          <w:sz w:val="21"/>
          <w:szCs w:val="21"/>
          <w:highlight w:val="none"/>
          <w:lang w:val="en-US" w:eastAsia="zh-CN"/>
        </w:rPr>
      </w:pPr>
      <w:r>
        <w:rPr>
          <w:rFonts w:hint="eastAsia" w:ascii="宋体" w:hAnsi="宋体" w:cs="宋体"/>
          <w:sz w:val="21"/>
          <w:szCs w:val="21"/>
          <w:highlight w:val="none"/>
        </w:rPr>
        <w:t>（1）不同供应商的响应文件由同一单位或者个人编制；或不同供应商报名的IP地址一致的</w:t>
      </w:r>
      <w:r>
        <w:rPr>
          <w:rFonts w:hint="eastAsia" w:ascii="宋体" w:hAnsi="宋体" w:cs="宋体"/>
          <w:sz w:val="21"/>
          <w:szCs w:val="21"/>
          <w:highlight w:val="none"/>
          <w:lang w:eastAsia="zh-CN"/>
        </w:rPr>
        <w:t>；或者编制响应文件硬件设备CPU编号、硬盘编号、网卡地址一致的情况；</w:t>
      </w:r>
    </w:p>
    <w:p w14:paraId="623C490F">
      <w:pPr>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（2）不同供应商委托同一单位或者个人办理</w:t>
      </w:r>
      <w:r>
        <w:rPr>
          <w:rFonts w:hint="eastAsia" w:hAnsi="宋体" w:cs="宋体"/>
          <w:sz w:val="21"/>
          <w:szCs w:val="21"/>
          <w:highlight w:val="none"/>
        </w:rPr>
        <w:t>竞争性磋商</w:t>
      </w:r>
      <w:r>
        <w:rPr>
          <w:rFonts w:hint="eastAsia" w:ascii="宋体" w:hAnsi="宋体" w:cs="宋体"/>
          <w:sz w:val="21"/>
          <w:szCs w:val="21"/>
          <w:highlight w:val="none"/>
        </w:rPr>
        <w:t>事宜；</w:t>
      </w:r>
    </w:p>
    <w:p w14:paraId="3DCBB66A">
      <w:pPr>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（3）不同的供应商的响应文件载明的项目管理员为同一个人；</w:t>
      </w:r>
    </w:p>
    <w:p w14:paraId="4B21E4E9">
      <w:pPr>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（4）不同供应商的响应文件异常一致或者报价呈规律性差异；</w:t>
      </w:r>
    </w:p>
    <w:p w14:paraId="6E57A7C4">
      <w:pPr>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（5）不同供应商的响应文件相互混装；</w:t>
      </w:r>
    </w:p>
    <w:p w14:paraId="33CC0456">
      <w:pPr>
        <w:tabs>
          <w:tab w:val="left" w:pos="6931"/>
        </w:tabs>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（6）不同供应商的磋商保证金从同一单位或者个人账户转出。</w:t>
      </w:r>
      <w:r>
        <w:rPr>
          <w:rFonts w:hint="eastAsia" w:ascii="宋体" w:hAnsi="宋体" w:cs="宋体"/>
          <w:sz w:val="21"/>
          <w:szCs w:val="21"/>
          <w:highlight w:val="none"/>
        </w:rPr>
        <w:tab/>
      </w:r>
    </w:p>
    <w:p w14:paraId="6268F1D6">
      <w:pPr>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（7）供应商之间协商报价等响应文件的实质性内容；</w:t>
      </w:r>
    </w:p>
    <w:p w14:paraId="6F1286E4">
      <w:pPr>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（8）供应商之间约定成交供应商；</w:t>
      </w:r>
    </w:p>
    <w:p w14:paraId="34CDC51A">
      <w:pPr>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（9）供应商之间约定部分供应商放弃参与竞争性磋商或者成交；</w:t>
      </w:r>
    </w:p>
    <w:p w14:paraId="7778F0A9">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（10）属于同一集团、协会、商会等组织成员的供应商按照该组织要求协同参与竞争性磋商；</w:t>
      </w:r>
    </w:p>
    <w:p w14:paraId="641A97F1">
      <w:pPr>
        <w:spacing w:line="360" w:lineRule="auto"/>
        <w:ind w:firstLine="420" w:firstLineChars="200"/>
        <w:rPr>
          <w:szCs w:val="21"/>
          <w:highlight w:val="none"/>
        </w:rPr>
      </w:pPr>
      <w:r>
        <w:rPr>
          <w:rFonts w:hint="eastAsia" w:ascii="宋体" w:hAnsi="宋体" w:cs="宋体"/>
          <w:sz w:val="21"/>
          <w:szCs w:val="21"/>
          <w:highlight w:val="none"/>
        </w:rPr>
        <w:t>（11）供应商之间为谋取成交或者排斥特定供应商而采取的其他联合行动。</w:t>
      </w:r>
    </w:p>
    <w:p w14:paraId="34CF3414">
      <w:pPr>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7.6供应商有下列情形之一的，属于恶意串通行为，将报同级监督管理部门：</w:t>
      </w:r>
    </w:p>
    <w:p w14:paraId="0C0DBF22">
      <w:pPr>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（1）供应商直接或者间接从采购人或者采购代理机构处获得其他供应商的相关信息并修改其响应文件；</w:t>
      </w:r>
    </w:p>
    <w:p w14:paraId="066A22FE">
      <w:pPr>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（2）供应商按照采购人或者采购代理机构的授意撤换、修改响应文件；</w:t>
      </w:r>
    </w:p>
    <w:p w14:paraId="30CD211F">
      <w:pPr>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（3）供应商之间协商报价、技术方案等响应文件或者响应文件的实质性内容；</w:t>
      </w:r>
    </w:p>
    <w:p w14:paraId="487C7A9A">
      <w:pPr>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（4）属于同一集团、协会、商会等组织成员的供应商按照该组织要求协同参加政府采购活动；</w:t>
      </w:r>
    </w:p>
    <w:p w14:paraId="6A7845B4">
      <w:pPr>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（5）供应商之间事先约定一致抬高或者压低报价，或者在政府采购活动中事先约定轮流以高价位或者低价位成交，或者事先约定由某一特定供应商成交，然后再参加竞争性磋商；</w:t>
      </w:r>
    </w:p>
    <w:p w14:paraId="2316E97A">
      <w:pPr>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（6）供应商之间商定部分供应商放弃参加政府采购活动或者放弃成交；</w:t>
      </w:r>
    </w:p>
    <w:p w14:paraId="4107B40E">
      <w:pPr>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（7）供应商与采购人或者采购代理机构之间、供应商相互之间，为谋求特定供应商成交或者排斥其他供应商的其他串通行为。</w:t>
      </w:r>
    </w:p>
    <w:p w14:paraId="6E892C11">
      <w:pPr>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7.7竞争性磋商委托</w:t>
      </w:r>
    </w:p>
    <w:p w14:paraId="1F6C810A">
      <w:pPr>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供应商代表参加竞争性磋商活动过程中必须携带个人有效身份证件</w:t>
      </w:r>
      <w:r>
        <w:rPr>
          <w:rFonts w:hint="eastAsia" w:ascii="宋体" w:hAnsi="宋体" w:cs="宋体"/>
          <w:sz w:val="21"/>
          <w:szCs w:val="21"/>
          <w:highlight w:val="none"/>
          <w:lang w:val="en-US" w:eastAsia="zh-CN"/>
        </w:rPr>
        <w:t>进行网络磋商</w:t>
      </w:r>
      <w:r>
        <w:rPr>
          <w:rFonts w:hint="eastAsia" w:ascii="宋体" w:hAnsi="宋体" w:cs="宋体"/>
          <w:sz w:val="21"/>
          <w:szCs w:val="21"/>
          <w:highlight w:val="none"/>
        </w:rPr>
        <w:t>。</w:t>
      </w:r>
    </w:p>
    <w:p w14:paraId="48821FFA">
      <w:pPr>
        <w:pStyle w:val="14"/>
        <w:ind w:firstLine="420"/>
        <w:rPr>
          <w:highlight w:val="none"/>
        </w:rPr>
      </w:pPr>
    </w:p>
    <w:p w14:paraId="2F6CB6F3">
      <w:pPr>
        <w:spacing w:line="360" w:lineRule="auto"/>
        <w:jc w:val="center"/>
        <w:rPr>
          <w:rFonts w:ascii="宋体" w:hAnsi="宋体" w:cs="宋体"/>
          <w:b/>
          <w:bCs/>
          <w:sz w:val="24"/>
          <w:highlight w:val="none"/>
        </w:rPr>
      </w:pPr>
      <w:bookmarkStart w:id="21" w:name="_Toc254970675"/>
      <w:bookmarkStart w:id="22" w:name="_Toc254970534"/>
      <w:r>
        <w:rPr>
          <w:rFonts w:hint="eastAsia" w:ascii="宋体" w:hAnsi="宋体" w:cs="宋体"/>
          <w:b/>
          <w:bCs/>
          <w:sz w:val="24"/>
          <w:highlight w:val="none"/>
        </w:rPr>
        <w:t>二、磋商文件</w:t>
      </w:r>
      <w:bookmarkEnd w:id="21"/>
      <w:bookmarkEnd w:id="22"/>
    </w:p>
    <w:p w14:paraId="78B343B1">
      <w:pPr>
        <w:spacing w:line="360" w:lineRule="auto"/>
        <w:ind w:firstLine="482" w:firstLineChars="200"/>
        <w:rPr>
          <w:rFonts w:ascii="宋体" w:hAnsi="宋体" w:cs="宋体"/>
          <w:b/>
          <w:bCs/>
          <w:sz w:val="24"/>
          <w:highlight w:val="none"/>
        </w:rPr>
      </w:pPr>
    </w:p>
    <w:p w14:paraId="1038DF14">
      <w:pPr>
        <w:spacing w:line="360" w:lineRule="auto"/>
        <w:ind w:firstLine="422" w:firstLineChars="200"/>
        <w:rPr>
          <w:rFonts w:ascii="宋体" w:hAnsi="宋体" w:cs="宋体"/>
          <w:b/>
          <w:bCs/>
          <w:sz w:val="21"/>
          <w:szCs w:val="21"/>
          <w:highlight w:val="none"/>
        </w:rPr>
      </w:pPr>
      <w:r>
        <w:rPr>
          <w:rFonts w:hint="eastAsia" w:ascii="宋体" w:hAnsi="宋体" w:cs="宋体"/>
          <w:b/>
          <w:bCs/>
          <w:sz w:val="21"/>
          <w:szCs w:val="21"/>
          <w:highlight w:val="none"/>
        </w:rPr>
        <w:t>8.磋商文件的构成</w:t>
      </w:r>
    </w:p>
    <w:p w14:paraId="70D2CCD1">
      <w:pPr>
        <w:spacing w:line="360" w:lineRule="auto"/>
        <w:ind w:firstLine="420" w:firstLineChars="200"/>
        <w:jc w:val="left"/>
        <w:rPr>
          <w:rFonts w:ascii="宋体" w:hAnsi="宋体" w:cs="宋体"/>
          <w:sz w:val="21"/>
          <w:szCs w:val="21"/>
          <w:highlight w:val="none"/>
        </w:rPr>
      </w:pPr>
      <w:r>
        <w:rPr>
          <w:rFonts w:hint="eastAsia" w:ascii="宋体" w:hAnsi="宋体" w:cs="宋体"/>
          <w:sz w:val="21"/>
          <w:szCs w:val="21"/>
          <w:highlight w:val="none"/>
        </w:rPr>
        <w:t>（1）竞争性磋商公告；</w:t>
      </w:r>
    </w:p>
    <w:p w14:paraId="620863DC">
      <w:pPr>
        <w:spacing w:line="360" w:lineRule="auto"/>
        <w:ind w:firstLine="420" w:firstLineChars="200"/>
        <w:jc w:val="left"/>
        <w:rPr>
          <w:rFonts w:ascii="宋体" w:hAnsi="宋体" w:cs="宋体"/>
          <w:sz w:val="21"/>
          <w:szCs w:val="21"/>
          <w:highlight w:val="none"/>
        </w:rPr>
      </w:pPr>
      <w:r>
        <w:rPr>
          <w:rFonts w:hint="eastAsia" w:ascii="宋体" w:hAnsi="宋体" w:cs="宋体"/>
          <w:sz w:val="21"/>
          <w:szCs w:val="21"/>
          <w:highlight w:val="none"/>
        </w:rPr>
        <w:t xml:space="preserve">（2）供应商须知； </w:t>
      </w:r>
    </w:p>
    <w:p w14:paraId="76EBEB86">
      <w:pPr>
        <w:spacing w:line="360" w:lineRule="auto"/>
        <w:ind w:firstLine="420" w:firstLineChars="200"/>
        <w:jc w:val="left"/>
        <w:rPr>
          <w:rFonts w:ascii="宋体" w:hAnsi="宋体" w:cs="宋体"/>
          <w:sz w:val="21"/>
          <w:szCs w:val="21"/>
          <w:highlight w:val="none"/>
        </w:rPr>
      </w:pPr>
      <w:r>
        <w:rPr>
          <w:rFonts w:hint="eastAsia" w:ascii="宋体" w:hAnsi="宋体" w:cs="宋体"/>
          <w:sz w:val="21"/>
          <w:szCs w:val="21"/>
          <w:highlight w:val="none"/>
        </w:rPr>
        <w:t>（3）采购需求；</w:t>
      </w:r>
    </w:p>
    <w:p w14:paraId="53B77681">
      <w:pPr>
        <w:spacing w:line="360" w:lineRule="auto"/>
        <w:ind w:firstLine="420" w:firstLineChars="200"/>
        <w:jc w:val="left"/>
        <w:rPr>
          <w:rFonts w:ascii="宋体" w:hAnsi="宋体" w:cs="宋体"/>
          <w:sz w:val="21"/>
          <w:szCs w:val="21"/>
          <w:highlight w:val="none"/>
        </w:rPr>
      </w:pPr>
      <w:r>
        <w:rPr>
          <w:rFonts w:hint="eastAsia" w:ascii="宋体" w:hAnsi="宋体" w:cs="宋体"/>
          <w:sz w:val="21"/>
          <w:szCs w:val="21"/>
          <w:highlight w:val="none"/>
        </w:rPr>
        <w:t>（4）评审程序、评审方法和评审标准；</w:t>
      </w:r>
    </w:p>
    <w:p w14:paraId="404A1266">
      <w:pPr>
        <w:spacing w:line="360" w:lineRule="auto"/>
        <w:ind w:firstLine="420" w:firstLineChars="200"/>
        <w:jc w:val="left"/>
        <w:rPr>
          <w:rFonts w:ascii="宋体" w:hAnsi="宋体" w:cs="宋体"/>
          <w:sz w:val="21"/>
          <w:szCs w:val="21"/>
          <w:highlight w:val="none"/>
        </w:rPr>
      </w:pPr>
      <w:r>
        <w:rPr>
          <w:rFonts w:hint="eastAsia" w:ascii="宋体" w:hAnsi="宋体" w:cs="宋体"/>
          <w:sz w:val="21"/>
          <w:szCs w:val="21"/>
          <w:highlight w:val="none"/>
        </w:rPr>
        <w:t>（5）响应文件格式；</w:t>
      </w:r>
    </w:p>
    <w:p w14:paraId="74B09D3B">
      <w:pPr>
        <w:spacing w:line="360" w:lineRule="auto"/>
        <w:ind w:firstLine="420" w:firstLineChars="200"/>
        <w:jc w:val="left"/>
        <w:rPr>
          <w:rFonts w:ascii="宋体" w:hAnsi="宋体" w:cs="宋体"/>
          <w:sz w:val="21"/>
          <w:szCs w:val="21"/>
          <w:highlight w:val="none"/>
        </w:rPr>
      </w:pPr>
      <w:r>
        <w:rPr>
          <w:rFonts w:hint="eastAsia" w:ascii="宋体" w:hAnsi="宋体" w:cs="宋体"/>
          <w:sz w:val="21"/>
          <w:szCs w:val="21"/>
          <w:highlight w:val="none"/>
        </w:rPr>
        <w:t>（6）</w:t>
      </w:r>
      <w:r>
        <w:rPr>
          <w:rFonts w:hint="eastAsia" w:ascii="宋体" w:hAnsi="宋体"/>
          <w:sz w:val="21"/>
          <w:szCs w:val="21"/>
          <w:highlight w:val="none"/>
        </w:rPr>
        <w:t>拟签订的</w:t>
      </w:r>
      <w:r>
        <w:rPr>
          <w:rFonts w:hint="eastAsia" w:ascii="宋体" w:hAnsi="宋体" w:cs="宋体"/>
          <w:sz w:val="21"/>
          <w:szCs w:val="21"/>
          <w:highlight w:val="none"/>
        </w:rPr>
        <w:t>合同文本。</w:t>
      </w:r>
    </w:p>
    <w:p w14:paraId="368CD9E5">
      <w:pPr>
        <w:spacing w:line="360" w:lineRule="auto"/>
        <w:ind w:firstLine="422" w:firstLineChars="200"/>
        <w:rPr>
          <w:rFonts w:ascii="宋体" w:hAnsi="宋体" w:cs="宋体"/>
          <w:b/>
          <w:bCs/>
          <w:sz w:val="21"/>
          <w:szCs w:val="21"/>
          <w:highlight w:val="none"/>
        </w:rPr>
      </w:pPr>
      <w:r>
        <w:rPr>
          <w:rFonts w:hint="eastAsia" w:ascii="宋体" w:hAnsi="宋体" w:cs="宋体"/>
          <w:b/>
          <w:bCs/>
          <w:sz w:val="21"/>
          <w:szCs w:val="21"/>
          <w:highlight w:val="none"/>
        </w:rPr>
        <w:t>9.供应商的询问</w:t>
      </w:r>
    </w:p>
    <w:p w14:paraId="548FEA9A">
      <w:pPr>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供应商应认真阅读磋商文件的采购需求，如供应商对磋商文件有疑问的，如要求采购人做出澄清或者修改的，供应商尽可能在提交首次响应文件截止之日前，以书面形式向采购人、采购代理机构提出，否则，由此产生的后果由供应商自行负责。</w:t>
      </w:r>
    </w:p>
    <w:p w14:paraId="3027E991">
      <w:pPr>
        <w:spacing w:line="360" w:lineRule="auto"/>
        <w:ind w:firstLine="422" w:firstLineChars="200"/>
        <w:rPr>
          <w:rFonts w:ascii="宋体" w:hAnsi="宋体" w:cs="宋体"/>
          <w:b/>
          <w:bCs/>
          <w:sz w:val="21"/>
          <w:szCs w:val="21"/>
          <w:highlight w:val="none"/>
        </w:rPr>
      </w:pPr>
      <w:r>
        <w:rPr>
          <w:rFonts w:hint="eastAsia" w:ascii="宋体" w:hAnsi="宋体" w:cs="宋体"/>
          <w:b/>
          <w:bCs/>
          <w:sz w:val="21"/>
          <w:szCs w:val="21"/>
          <w:highlight w:val="none"/>
        </w:rPr>
        <w:t>10.磋商文件的澄清和修改</w:t>
      </w:r>
    </w:p>
    <w:p w14:paraId="06382E6E">
      <w:pPr>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10.1提交首次响应文件截止之日前，采购人或者采购代理机构可以对已发出的磋商文件进行必要的澄清或者修改，澄清或者修改的内容作为磋商文件的组成部分。澄清或者修改将在原公告发布媒体上发布更正公告。澄清或者修改的内容可能影响响应文件编制的，采购人、采购代理机构应当在提交首次响应文件截止之日至少3个工作日前，在原公告发布媒体上发布更正公告；不足3个工作日的，采购人、采购代理机构应当顺延提交首次响应文件截止时间。澄清或者更正公告在竞争性磋商公告发布媒体上发布，一经发布，视作已以书面形式通知所有获取竞争性磋商文件的潜在供应商，不再另行通知，所有潜在供应商应密切关注竞争性磋商公告发布媒体，因未能及时获知，由此产生的后果均应自行承担。</w:t>
      </w:r>
    </w:p>
    <w:p w14:paraId="3459E1C4">
      <w:pPr>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10.2采购人和采购代理机构可以视采购具体情况，变更首次响应文件提交截止时间和开启时间，并在原公告发布媒体上发布更正公告。</w:t>
      </w:r>
    </w:p>
    <w:p w14:paraId="7736F1B1">
      <w:pPr>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10.3磋商文件澄清、答复、修改、补充的内容为磋商文件的组成部分。</w:t>
      </w:r>
      <w:r>
        <w:rPr>
          <w:rFonts w:hint="eastAsia" w:ascii="宋体" w:hAnsi="宋体" w:cs="宋体"/>
          <w:b/>
          <w:sz w:val="21"/>
          <w:szCs w:val="21"/>
          <w:highlight w:val="none"/>
        </w:rPr>
        <w:t>当磋商文件与磋商文件的澄清、答复、修改、补充通知就同一内容的表述不一致时，以最后发出的文件为准。</w:t>
      </w:r>
    </w:p>
    <w:p w14:paraId="11E31D2C">
      <w:pPr>
        <w:spacing w:line="360" w:lineRule="auto"/>
        <w:ind w:firstLine="422" w:firstLineChars="200"/>
        <w:rPr>
          <w:rFonts w:ascii="宋体" w:hAnsi="宋体" w:cs="宋体"/>
          <w:b/>
          <w:sz w:val="21"/>
          <w:szCs w:val="21"/>
          <w:highlight w:val="none"/>
        </w:rPr>
      </w:pPr>
      <w:r>
        <w:rPr>
          <w:rFonts w:hint="eastAsia" w:ascii="宋体" w:hAnsi="宋体" w:cs="宋体"/>
          <w:b/>
          <w:sz w:val="21"/>
          <w:szCs w:val="21"/>
          <w:highlight w:val="none"/>
        </w:rPr>
        <w:t>10.4响应文件未按磋商文件的澄清、修改后的内容编制的，其响应文件作无效响应处理。</w:t>
      </w:r>
    </w:p>
    <w:p w14:paraId="50E2DCDA">
      <w:pPr>
        <w:spacing w:line="360" w:lineRule="auto"/>
        <w:ind w:firstLine="482" w:firstLineChars="200"/>
        <w:rPr>
          <w:rFonts w:ascii="宋体" w:hAnsi="宋体" w:cs="宋体"/>
          <w:b/>
          <w:sz w:val="24"/>
          <w:highlight w:val="none"/>
        </w:rPr>
      </w:pPr>
    </w:p>
    <w:p w14:paraId="2A3F760E">
      <w:pPr>
        <w:spacing w:line="360" w:lineRule="auto"/>
        <w:jc w:val="center"/>
        <w:rPr>
          <w:rFonts w:ascii="宋体" w:hAnsi="宋体" w:cs="宋体"/>
          <w:b/>
          <w:bCs/>
          <w:sz w:val="24"/>
          <w:highlight w:val="none"/>
        </w:rPr>
      </w:pPr>
      <w:r>
        <w:rPr>
          <w:rFonts w:hint="eastAsia" w:ascii="宋体" w:hAnsi="宋体" w:cs="宋体"/>
          <w:b/>
          <w:bCs/>
          <w:sz w:val="24"/>
          <w:highlight w:val="none"/>
        </w:rPr>
        <w:t>三、响应文件的编制</w:t>
      </w:r>
    </w:p>
    <w:p w14:paraId="5FA0CF46">
      <w:pPr>
        <w:spacing w:line="360" w:lineRule="auto"/>
        <w:ind w:firstLine="482" w:firstLineChars="200"/>
        <w:rPr>
          <w:rFonts w:ascii="宋体" w:hAnsi="宋体" w:cs="宋体"/>
          <w:b/>
          <w:bCs/>
          <w:sz w:val="24"/>
          <w:highlight w:val="none"/>
        </w:rPr>
      </w:pPr>
    </w:p>
    <w:p w14:paraId="373CA89E">
      <w:pPr>
        <w:spacing w:line="360" w:lineRule="auto"/>
        <w:ind w:firstLine="422" w:firstLineChars="200"/>
        <w:rPr>
          <w:rFonts w:ascii="宋体" w:hAnsi="宋体" w:cs="宋体"/>
          <w:b/>
          <w:bCs/>
          <w:sz w:val="21"/>
          <w:szCs w:val="21"/>
          <w:highlight w:val="none"/>
        </w:rPr>
      </w:pPr>
      <w:r>
        <w:rPr>
          <w:rFonts w:hint="eastAsia" w:ascii="宋体" w:hAnsi="宋体" w:cs="宋体"/>
          <w:b/>
          <w:bCs/>
          <w:sz w:val="21"/>
          <w:szCs w:val="21"/>
          <w:highlight w:val="none"/>
        </w:rPr>
        <w:t>11.响应文件的编制原则</w:t>
      </w:r>
    </w:p>
    <w:p w14:paraId="2D1D765D">
      <w:pPr>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供应商必须按照磋商文件的要求编制响应文件，并对其提交的响应文件的真实性、合法性承担法律责任。响应文件必须对磋商文件做出实质性响应。</w:t>
      </w:r>
    </w:p>
    <w:p w14:paraId="5E5293C4">
      <w:pPr>
        <w:spacing w:line="360" w:lineRule="auto"/>
        <w:ind w:firstLine="422" w:firstLineChars="200"/>
        <w:rPr>
          <w:rFonts w:ascii="宋体" w:hAnsi="宋体" w:cs="宋体"/>
          <w:b/>
          <w:bCs/>
          <w:sz w:val="21"/>
          <w:szCs w:val="21"/>
          <w:highlight w:val="none"/>
        </w:rPr>
      </w:pPr>
      <w:r>
        <w:rPr>
          <w:rFonts w:hint="eastAsia" w:ascii="宋体" w:hAnsi="宋体" w:cs="宋体"/>
          <w:b/>
          <w:bCs/>
          <w:sz w:val="21"/>
          <w:szCs w:val="21"/>
          <w:highlight w:val="none"/>
        </w:rPr>
        <w:t>12.响应文件的组成</w:t>
      </w:r>
    </w:p>
    <w:p w14:paraId="20FBB912">
      <w:pPr>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12.1响应文件由资格证明文件、报价商务服务文件两部分组成。</w:t>
      </w:r>
    </w:p>
    <w:p w14:paraId="73F7AC78">
      <w:pPr>
        <w:spacing w:line="360" w:lineRule="auto"/>
        <w:ind w:left="840" w:leftChars="200" w:hanging="420" w:hangingChars="200"/>
        <w:rPr>
          <w:rFonts w:ascii="宋体" w:hAnsi="宋体" w:cs="宋体"/>
          <w:sz w:val="21"/>
          <w:szCs w:val="21"/>
          <w:highlight w:val="none"/>
        </w:rPr>
      </w:pPr>
      <w:r>
        <w:rPr>
          <w:rFonts w:hint="eastAsia" w:ascii="宋体" w:hAnsi="宋体" w:cs="宋体"/>
          <w:sz w:val="21"/>
          <w:szCs w:val="21"/>
          <w:highlight w:val="none"/>
        </w:rPr>
        <w:t>12.1.1资格证明文件：详见须知前附表</w:t>
      </w:r>
    </w:p>
    <w:p w14:paraId="7FA07BFD">
      <w:pPr>
        <w:spacing w:line="360" w:lineRule="auto"/>
        <w:ind w:left="840" w:leftChars="200" w:hanging="420" w:hangingChars="200"/>
        <w:rPr>
          <w:rFonts w:ascii="宋体" w:hAnsi="宋体" w:cs="宋体"/>
          <w:sz w:val="21"/>
          <w:szCs w:val="21"/>
          <w:highlight w:val="none"/>
        </w:rPr>
      </w:pPr>
      <w:r>
        <w:rPr>
          <w:rFonts w:hint="eastAsia" w:ascii="宋体" w:hAnsi="宋体" w:cs="宋体"/>
          <w:sz w:val="21"/>
          <w:szCs w:val="21"/>
          <w:highlight w:val="none"/>
        </w:rPr>
        <w:t>12.1.2报价商务服务文件：详见须知前附表</w:t>
      </w:r>
    </w:p>
    <w:p w14:paraId="4AC1979D">
      <w:pPr>
        <w:spacing w:line="360" w:lineRule="auto"/>
        <w:ind w:firstLine="422" w:firstLineChars="200"/>
        <w:rPr>
          <w:rFonts w:ascii="宋体" w:hAnsi="宋体" w:cs="宋体"/>
          <w:b/>
          <w:bCs/>
          <w:sz w:val="21"/>
          <w:szCs w:val="21"/>
          <w:highlight w:val="none"/>
        </w:rPr>
      </w:pPr>
      <w:r>
        <w:rPr>
          <w:rFonts w:hint="eastAsia" w:ascii="宋体" w:hAnsi="宋体" w:cs="宋体"/>
          <w:b/>
          <w:bCs/>
          <w:sz w:val="21"/>
          <w:szCs w:val="21"/>
          <w:highlight w:val="none"/>
        </w:rPr>
        <w:t>13.计量单位</w:t>
      </w:r>
    </w:p>
    <w:p w14:paraId="7FE241DD">
      <w:pPr>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磋商文件已有明确规定的，使用磋商文件规定的计量单位；磋商文件没有规定的，应采用中华人民共和国法定计量单位，货币种类为人民币，否则视同未响应。</w:t>
      </w:r>
    </w:p>
    <w:p w14:paraId="2605C7B4">
      <w:pPr>
        <w:spacing w:line="360" w:lineRule="auto"/>
        <w:ind w:firstLine="422" w:firstLineChars="200"/>
        <w:rPr>
          <w:rFonts w:ascii="宋体" w:hAnsi="宋体" w:cs="宋体"/>
          <w:b/>
          <w:bCs/>
          <w:sz w:val="21"/>
          <w:szCs w:val="21"/>
          <w:highlight w:val="none"/>
        </w:rPr>
      </w:pPr>
      <w:r>
        <w:rPr>
          <w:rFonts w:hint="eastAsia" w:ascii="宋体" w:hAnsi="宋体" w:cs="宋体"/>
          <w:b/>
          <w:bCs/>
          <w:sz w:val="21"/>
          <w:szCs w:val="21"/>
          <w:highlight w:val="none"/>
        </w:rPr>
        <w:t>14.竞争性磋商的风险</w:t>
      </w:r>
    </w:p>
    <w:p w14:paraId="46CB0727">
      <w:pPr>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供应商没有按照磋商文件要求提供全部资料，或者供应商没有对磋商文件在各方面做出实质性响应可能导致其响应无效，是供应商应当考虑的风险。</w:t>
      </w:r>
    </w:p>
    <w:p w14:paraId="75DE36EF">
      <w:pPr>
        <w:spacing w:line="360" w:lineRule="auto"/>
        <w:ind w:firstLine="422" w:firstLineChars="200"/>
        <w:rPr>
          <w:rFonts w:ascii="宋体" w:hAnsi="宋体" w:cs="宋体"/>
          <w:b/>
          <w:bCs/>
          <w:sz w:val="21"/>
          <w:szCs w:val="21"/>
          <w:highlight w:val="none"/>
        </w:rPr>
      </w:pPr>
      <w:r>
        <w:rPr>
          <w:rFonts w:hint="eastAsia" w:ascii="宋体" w:hAnsi="宋体" w:cs="宋体"/>
          <w:b/>
          <w:bCs/>
          <w:sz w:val="21"/>
          <w:szCs w:val="21"/>
          <w:highlight w:val="none"/>
        </w:rPr>
        <w:t>15.竞争性磋商报价</w:t>
      </w:r>
    </w:p>
    <w:p w14:paraId="68EE71DF">
      <w:pPr>
        <w:tabs>
          <w:tab w:val="left" w:pos="2492"/>
        </w:tabs>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15.1竞争性磋商报价应按磋商文件中“竞争性磋商报价表”格式填写。</w:t>
      </w:r>
    </w:p>
    <w:p w14:paraId="1E936C61">
      <w:pPr>
        <w:tabs>
          <w:tab w:val="left" w:pos="2492"/>
        </w:tabs>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15.2竞争性磋商报价的内容见“供应商须知前附表”。</w:t>
      </w:r>
    </w:p>
    <w:p w14:paraId="18B17C17">
      <w:pPr>
        <w:spacing w:line="360" w:lineRule="auto"/>
        <w:ind w:left="426" w:leftChars="203"/>
        <w:rPr>
          <w:rFonts w:ascii="宋体" w:hAnsi="宋体" w:cs="宋体"/>
          <w:sz w:val="21"/>
          <w:szCs w:val="21"/>
          <w:highlight w:val="none"/>
        </w:rPr>
      </w:pPr>
      <w:r>
        <w:rPr>
          <w:rFonts w:hint="eastAsia" w:ascii="宋体" w:hAnsi="宋体" w:cs="宋体"/>
          <w:sz w:val="21"/>
          <w:szCs w:val="21"/>
          <w:highlight w:val="none"/>
        </w:rPr>
        <w:t>15.3竞争性磋商报价要求</w:t>
      </w:r>
    </w:p>
    <w:p w14:paraId="6BF23055">
      <w:pPr>
        <w:spacing w:line="360" w:lineRule="auto"/>
        <w:ind w:firstLine="422" w:firstLineChars="200"/>
        <w:rPr>
          <w:rFonts w:ascii="宋体" w:hAnsi="宋体" w:cs="宋体"/>
          <w:b/>
          <w:sz w:val="21"/>
          <w:szCs w:val="21"/>
          <w:highlight w:val="none"/>
        </w:rPr>
      </w:pPr>
      <w:r>
        <w:rPr>
          <w:rFonts w:hint="eastAsia" w:ascii="宋体" w:hAnsi="宋体" w:cs="宋体"/>
          <w:b/>
          <w:sz w:val="21"/>
          <w:szCs w:val="21"/>
          <w:highlight w:val="none"/>
        </w:rPr>
        <w:t>15.3.1供应商的竞争性磋商报价应符合以下要求，否则响应文件按无效响应处理：</w:t>
      </w:r>
    </w:p>
    <w:p w14:paraId="45350CA3">
      <w:pPr>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（1）供应商必须就“采购需求”中所竞标的每个分标的全部内容分别作完整唯一总价报价，不得存在漏项报价；</w:t>
      </w:r>
    </w:p>
    <w:p w14:paraId="1F32A873">
      <w:pPr>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（2）供应商必须就所竞标的分标的单项内容作唯一报价。</w:t>
      </w:r>
    </w:p>
    <w:p w14:paraId="75751872">
      <w:pPr>
        <w:spacing w:line="360" w:lineRule="auto"/>
        <w:ind w:firstLine="420" w:firstLineChars="200"/>
        <w:rPr>
          <w:rFonts w:ascii="宋体" w:hAnsi="宋体" w:cs="宋体"/>
          <w:sz w:val="21"/>
          <w:szCs w:val="21"/>
          <w:highlight w:val="none"/>
        </w:rPr>
      </w:pPr>
      <w:r>
        <w:rPr>
          <w:rFonts w:ascii="宋体" w:hAnsi="宋体" w:cs="宋体"/>
          <w:sz w:val="21"/>
          <w:szCs w:val="21"/>
          <w:highlight w:val="none"/>
        </w:rPr>
        <w:t>15.3.2</w:t>
      </w:r>
      <w:r>
        <w:rPr>
          <w:rFonts w:hint="eastAsia" w:ascii="宋体" w:hAnsi="宋体" w:cs="宋体"/>
          <w:sz w:val="21"/>
          <w:szCs w:val="21"/>
          <w:highlight w:val="none"/>
        </w:rPr>
        <w:t>竞争性磋商报价（包含首次报价、最后报价）超过所开展竞争性磋商分标规定的采购预算金额或者最高限价的，其响应文件将按无效响应处理。</w:t>
      </w:r>
      <w:bookmarkStart w:id="23" w:name="_Hlk42592874"/>
    </w:p>
    <w:p w14:paraId="1A63CE3A">
      <w:pPr>
        <w:spacing w:line="360" w:lineRule="auto"/>
        <w:ind w:firstLine="420" w:firstLineChars="200"/>
        <w:rPr>
          <w:rFonts w:ascii="宋体" w:hAnsi="宋体" w:cs="宋体"/>
          <w:sz w:val="21"/>
          <w:szCs w:val="21"/>
          <w:highlight w:val="none"/>
        </w:rPr>
      </w:pPr>
      <w:r>
        <w:rPr>
          <w:rFonts w:ascii="宋体" w:hAnsi="宋体" w:cs="宋体"/>
          <w:sz w:val="21"/>
          <w:szCs w:val="21"/>
          <w:highlight w:val="none"/>
        </w:rPr>
        <w:t>15.3.3</w:t>
      </w:r>
      <w:r>
        <w:rPr>
          <w:rFonts w:hint="eastAsia" w:ascii="宋体" w:hAnsi="宋体" w:cs="宋体"/>
          <w:sz w:val="21"/>
          <w:szCs w:val="21"/>
          <w:highlight w:val="none"/>
        </w:rPr>
        <w:t>竞争性磋商报价（包含首次报价、最后报价）超过分项采购预算金额或者最高限价的，其响应文件将按无效处理。</w:t>
      </w:r>
    </w:p>
    <w:bookmarkEnd w:id="23"/>
    <w:p w14:paraId="2837B0FF">
      <w:pPr>
        <w:spacing w:line="360" w:lineRule="auto"/>
        <w:ind w:firstLine="422" w:firstLineChars="200"/>
        <w:rPr>
          <w:rFonts w:ascii="宋体" w:hAnsi="宋体" w:cs="宋体"/>
          <w:b/>
          <w:bCs/>
          <w:sz w:val="21"/>
          <w:szCs w:val="21"/>
          <w:highlight w:val="none"/>
        </w:rPr>
      </w:pPr>
      <w:r>
        <w:rPr>
          <w:rFonts w:hint="eastAsia" w:ascii="宋体" w:hAnsi="宋体" w:cs="宋体"/>
          <w:b/>
          <w:bCs/>
          <w:sz w:val="21"/>
          <w:szCs w:val="21"/>
          <w:highlight w:val="none"/>
        </w:rPr>
        <w:t>16.竞争性磋商有效期</w:t>
      </w:r>
    </w:p>
    <w:p w14:paraId="7B8DE98B">
      <w:pPr>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16.1竞争性磋商有效期是指为保证采购人有足够的时间在提交响应文件后完成评审、确定成交供应商、合同签订等工作而要求供应商提交的响应文件在一定时间内保持有效的期限。</w:t>
      </w:r>
    </w:p>
    <w:p w14:paraId="0E458192">
      <w:pPr>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16.2 竞争性磋商有效期应由供应商按“供应商须知前附表”规定的期限作出响应。</w:t>
      </w:r>
    </w:p>
    <w:p w14:paraId="1B886C1F">
      <w:pPr>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16.3供应商的响应文件在竞争性磋商有效期内均保持有效。</w:t>
      </w:r>
    </w:p>
    <w:p w14:paraId="5BA8AFEF">
      <w:pPr>
        <w:spacing w:line="360" w:lineRule="auto"/>
        <w:ind w:firstLine="422" w:firstLineChars="200"/>
        <w:rPr>
          <w:rFonts w:ascii="宋体" w:hAnsi="宋体" w:cs="宋体"/>
          <w:b/>
          <w:bCs/>
          <w:sz w:val="21"/>
          <w:szCs w:val="21"/>
          <w:highlight w:val="none"/>
        </w:rPr>
      </w:pPr>
      <w:r>
        <w:rPr>
          <w:rFonts w:hint="eastAsia" w:ascii="宋体" w:hAnsi="宋体" w:cs="宋体"/>
          <w:b/>
          <w:bCs/>
          <w:sz w:val="21"/>
          <w:szCs w:val="21"/>
          <w:highlight w:val="none"/>
        </w:rPr>
        <w:t>17.磋商保证金</w:t>
      </w:r>
    </w:p>
    <w:p w14:paraId="71725962">
      <w:pPr>
        <w:spacing w:line="360" w:lineRule="auto"/>
        <w:ind w:left="420" w:leftChars="200"/>
        <w:rPr>
          <w:rFonts w:ascii="宋体" w:hAnsi="宋体" w:cs="宋体"/>
          <w:sz w:val="21"/>
          <w:szCs w:val="21"/>
          <w:highlight w:val="none"/>
        </w:rPr>
      </w:pPr>
      <w:r>
        <w:rPr>
          <w:rFonts w:hint="eastAsia" w:ascii="宋体" w:hAnsi="宋体" w:cs="宋体"/>
          <w:sz w:val="21"/>
          <w:szCs w:val="21"/>
          <w:highlight w:val="none"/>
        </w:rPr>
        <w:t>17.1供应商须按“供应商须知前附表”的规定提交磋商保证金。</w:t>
      </w:r>
    </w:p>
    <w:p w14:paraId="4ADC0494">
      <w:pPr>
        <w:spacing w:line="360" w:lineRule="auto"/>
        <w:ind w:left="420" w:leftChars="200"/>
        <w:rPr>
          <w:rFonts w:ascii="宋体" w:hAnsi="宋体" w:cs="宋体"/>
          <w:sz w:val="21"/>
          <w:szCs w:val="21"/>
          <w:highlight w:val="none"/>
        </w:rPr>
      </w:pPr>
      <w:r>
        <w:rPr>
          <w:rFonts w:hint="eastAsia" w:ascii="宋体" w:hAnsi="宋体" w:cs="宋体"/>
          <w:sz w:val="21"/>
          <w:szCs w:val="21"/>
          <w:highlight w:val="none"/>
        </w:rPr>
        <w:t>17.2磋商保证金的退还</w:t>
      </w:r>
    </w:p>
    <w:p w14:paraId="75A884E5">
      <w:pPr>
        <w:spacing w:line="360" w:lineRule="auto"/>
        <w:ind w:firstLine="420" w:firstLineChars="200"/>
        <w:rPr>
          <w:rFonts w:ascii="宋体" w:hAnsi="宋体" w:cs="宋体"/>
          <w:sz w:val="21"/>
          <w:szCs w:val="21"/>
          <w:highlight w:val="none"/>
        </w:rPr>
      </w:pPr>
      <w:bookmarkStart w:id="24" w:name="_Hlk66782243"/>
      <w:r>
        <w:rPr>
          <w:rFonts w:hint="eastAsia" w:ascii="宋体" w:hAnsi="宋体" w:cs="宋体"/>
          <w:sz w:val="21"/>
          <w:szCs w:val="21"/>
          <w:highlight w:val="none"/>
        </w:rPr>
        <w:t>未</w:t>
      </w:r>
      <w:r>
        <w:rPr>
          <w:rFonts w:hint="eastAsia" w:ascii="宋体" w:hAnsi="宋体" w:cs="宋体"/>
          <w:spacing w:val="-6"/>
          <w:sz w:val="21"/>
          <w:szCs w:val="21"/>
          <w:highlight w:val="none"/>
        </w:rPr>
        <w:t>成交供应商的磋商保证金自成交通知书发出之日起</w:t>
      </w:r>
      <w:r>
        <w:rPr>
          <w:rFonts w:hint="eastAsia" w:ascii="宋体" w:hAnsi="宋体" w:cs="宋体"/>
          <w:spacing w:val="-6"/>
          <w:sz w:val="21"/>
          <w:szCs w:val="21"/>
          <w:highlight w:val="none"/>
          <w:lang w:val="en-US" w:eastAsia="zh-CN"/>
        </w:rPr>
        <w:t>5</w:t>
      </w:r>
      <w:r>
        <w:rPr>
          <w:rFonts w:hint="eastAsia" w:ascii="宋体" w:hAnsi="宋体" w:cs="宋体"/>
          <w:spacing w:val="-6"/>
          <w:sz w:val="21"/>
          <w:szCs w:val="21"/>
          <w:highlight w:val="none"/>
        </w:rPr>
        <w:t>个工作日内退还；</w:t>
      </w:r>
      <w:r>
        <w:rPr>
          <w:rFonts w:hint="eastAsia" w:ascii="宋体" w:hAnsi="宋体" w:cs="宋体"/>
          <w:sz w:val="21"/>
          <w:szCs w:val="21"/>
          <w:highlight w:val="none"/>
        </w:rPr>
        <w:t>成交供应商的磋商保证金自签订合同之日起</w:t>
      </w:r>
      <w:r>
        <w:rPr>
          <w:rFonts w:hint="eastAsia" w:ascii="宋体" w:hAnsi="宋体" w:cs="宋体"/>
          <w:sz w:val="21"/>
          <w:szCs w:val="21"/>
          <w:highlight w:val="none"/>
          <w:lang w:val="en-US" w:eastAsia="zh-CN"/>
        </w:rPr>
        <w:t>5</w:t>
      </w:r>
      <w:r>
        <w:rPr>
          <w:rFonts w:hint="eastAsia" w:ascii="宋体" w:hAnsi="宋体" w:cs="宋体"/>
          <w:sz w:val="21"/>
          <w:szCs w:val="21"/>
          <w:highlight w:val="none"/>
        </w:rPr>
        <w:t>个工作日内退还。</w:t>
      </w:r>
      <w:bookmarkEnd w:id="24"/>
      <w:r>
        <w:rPr>
          <w:rFonts w:hint="eastAsia" w:ascii="宋体" w:hAnsi="宋体" w:cs="宋体"/>
          <w:sz w:val="21"/>
          <w:szCs w:val="21"/>
          <w:highlight w:val="none"/>
        </w:rPr>
        <w:t xml:space="preserve"> </w:t>
      </w:r>
    </w:p>
    <w:p w14:paraId="5CFF2AF1">
      <w:pPr>
        <w:spacing w:line="360" w:lineRule="auto"/>
        <w:ind w:left="420" w:leftChars="200"/>
        <w:rPr>
          <w:rFonts w:ascii="宋体" w:hAnsi="宋体" w:cs="宋体"/>
          <w:sz w:val="21"/>
          <w:szCs w:val="21"/>
          <w:highlight w:val="none"/>
        </w:rPr>
      </w:pPr>
      <w:r>
        <w:rPr>
          <w:rFonts w:hint="eastAsia" w:ascii="宋体" w:hAnsi="宋体" w:cs="宋体"/>
          <w:sz w:val="21"/>
          <w:szCs w:val="21"/>
          <w:highlight w:val="none"/>
        </w:rPr>
        <w:t>17.3磋商保证金不计息。</w:t>
      </w:r>
    </w:p>
    <w:p w14:paraId="441F532A">
      <w:pPr>
        <w:spacing w:line="360" w:lineRule="auto"/>
        <w:ind w:left="420" w:leftChars="200"/>
        <w:rPr>
          <w:rFonts w:ascii="宋体" w:hAnsi="宋体" w:cs="宋体"/>
          <w:sz w:val="21"/>
          <w:szCs w:val="21"/>
          <w:highlight w:val="none"/>
        </w:rPr>
      </w:pPr>
      <w:r>
        <w:rPr>
          <w:rFonts w:hint="eastAsia" w:ascii="宋体" w:hAnsi="宋体" w:cs="宋体"/>
          <w:sz w:val="21"/>
          <w:szCs w:val="21"/>
          <w:highlight w:val="none"/>
        </w:rPr>
        <w:t xml:space="preserve">17.4供应商有下列情形之一的，磋商保证金将不予退还： </w:t>
      </w:r>
    </w:p>
    <w:p w14:paraId="00C65684">
      <w:pPr>
        <w:spacing w:line="360" w:lineRule="auto"/>
        <w:ind w:left="420" w:leftChars="200"/>
        <w:rPr>
          <w:rFonts w:ascii="宋体" w:hAnsi="宋体" w:cs="宋体"/>
          <w:sz w:val="21"/>
          <w:szCs w:val="21"/>
          <w:highlight w:val="none"/>
        </w:rPr>
      </w:pPr>
      <w:r>
        <w:rPr>
          <w:rFonts w:hint="eastAsia" w:ascii="宋体" w:hAnsi="宋体" w:cs="宋体"/>
          <w:sz w:val="21"/>
          <w:szCs w:val="21"/>
          <w:highlight w:val="none"/>
        </w:rPr>
        <w:t>（1）供应商在提交首次响应文件截止时间后撤回响应文件的；</w:t>
      </w:r>
    </w:p>
    <w:p w14:paraId="53F1BAC7">
      <w:pPr>
        <w:spacing w:line="360" w:lineRule="auto"/>
        <w:ind w:left="420" w:leftChars="200"/>
        <w:rPr>
          <w:rFonts w:ascii="宋体" w:hAnsi="宋体" w:cs="宋体"/>
          <w:sz w:val="21"/>
          <w:szCs w:val="21"/>
          <w:highlight w:val="none"/>
        </w:rPr>
      </w:pPr>
      <w:r>
        <w:rPr>
          <w:rFonts w:hint="eastAsia" w:ascii="宋体" w:hAnsi="宋体" w:cs="宋体"/>
          <w:sz w:val="21"/>
          <w:szCs w:val="21"/>
          <w:highlight w:val="none"/>
        </w:rPr>
        <w:t>（2）未按规定提交履约保证金的；</w:t>
      </w:r>
    </w:p>
    <w:p w14:paraId="7B97404E">
      <w:pPr>
        <w:spacing w:line="360" w:lineRule="auto"/>
        <w:ind w:left="420" w:leftChars="200"/>
        <w:rPr>
          <w:rFonts w:ascii="宋体" w:hAnsi="宋体" w:cs="宋体"/>
          <w:sz w:val="21"/>
          <w:szCs w:val="21"/>
          <w:highlight w:val="none"/>
        </w:rPr>
      </w:pPr>
      <w:r>
        <w:rPr>
          <w:rFonts w:hint="eastAsia" w:ascii="宋体" w:hAnsi="宋体" w:cs="宋体"/>
          <w:sz w:val="21"/>
          <w:szCs w:val="21"/>
          <w:highlight w:val="none"/>
        </w:rPr>
        <w:t>（3）供应商在响应文件中提供虚假材料的；</w:t>
      </w:r>
    </w:p>
    <w:p w14:paraId="748AD7BC">
      <w:pPr>
        <w:spacing w:line="360" w:lineRule="auto"/>
        <w:ind w:firstLine="420"/>
        <w:rPr>
          <w:rFonts w:ascii="宋体" w:hAnsi="宋体" w:cs="宋体"/>
          <w:sz w:val="21"/>
          <w:szCs w:val="21"/>
          <w:highlight w:val="none"/>
        </w:rPr>
      </w:pPr>
      <w:r>
        <w:rPr>
          <w:rFonts w:hint="eastAsia" w:ascii="宋体" w:hAnsi="宋体" w:cs="宋体"/>
          <w:sz w:val="21"/>
          <w:szCs w:val="21"/>
          <w:highlight w:val="none"/>
        </w:rPr>
        <w:t>（4）除因不可抗力或者磋商文件认可的情形以外，成交供应商不与采购人签订合同的；</w:t>
      </w:r>
    </w:p>
    <w:p w14:paraId="0D833A9D">
      <w:pPr>
        <w:spacing w:line="360" w:lineRule="auto"/>
        <w:ind w:left="420" w:leftChars="200"/>
        <w:rPr>
          <w:rFonts w:ascii="宋体" w:hAnsi="宋体" w:cs="宋体"/>
          <w:sz w:val="21"/>
          <w:szCs w:val="21"/>
          <w:highlight w:val="none"/>
        </w:rPr>
      </w:pPr>
      <w:r>
        <w:rPr>
          <w:rFonts w:hint="eastAsia" w:ascii="宋体" w:hAnsi="宋体" w:cs="宋体"/>
          <w:sz w:val="21"/>
          <w:szCs w:val="21"/>
          <w:highlight w:val="none"/>
        </w:rPr>
        <w:t>（5）供应商与采购人、其他供应商或者采购代理机构恶意串通的；</w:t>
      </w:r>
    </w:p>
    <w:p w14:paraId="7E6C617D">
      <w:pPr>
        <w:spacing w:line="360" w:lineRule="auto"/>
        <w:ind w:left="420" w:leftChars="200"/>
        <w:rPr>
          <w:rFonts w:ascii="宋体" w:hAnsi="宋体" w:cs="宋体"/>
          <w:sz w:val="21"/>
          <w:szCs w:val="21"/>
          <w:highlight w:val="none"/>
        </w:rPr>
      </w:pPr>
      <w:r>
        <w:rPr>
          <w:rFonts w:hint="eastAsia" w:ascii="宋体" w:hAnsi="宋体" w:cs="宋体"/>
          <w:sz w:val="21"/>
          <w:szCs w:val="21"/>
          <w:highlight w:val="none"/>
        </w:rPr>
        <w:t>（6）法律法规规定的其他情形。</w:t>
      </w:r>
    </w:p>
    <w:p w14:paraId="1EE4EB0E">
      <w:pPr>
        <w:spacing w:line="360" w:lineRule="auto"/>
        <w:ind w:firstLine="422" w:firstLineChars="200"/>
        <w:rPr>
          <w:rFonts w:ascii="宋体" w:hAnsi="宋体" w:cs="宋体"/>
          <w:b/>
          <w:bCs/>
          <w:sz w:val="21"/>
          <w:szCs w:val="21"/>
          <w:highlight w:val="none"/>
        </w:rPr>
      </w:pPr>
      <w:r>
        <w:rPr>
          <w:rFonts w:hint="eastAsia" w:ascii="宋体" w:hAnsi="宋体" w:cs="宋体"/>
          <w:b/>
          <w:bCs/>
          <w:sz w:val="21"/>
          <w:szCs w:val="21"/>
          <w:highlight w:val="none"/>
        </w:rPr>
        <w:t>18.响应文件编制的要求</w:t>
      </w:r>
    </w:p>
    <w:p w14:paraId="4F1A2844">
      <w:pPr>
        <w:spacing w:line="360" w:lineRule="auto"/>
        <w:ind w:firstLine="420" w:firstLineChars="200"/>
        <w:rPr>
          <w:rFonts w:ascii="宋体" w:hAnsi="宋体" w:cs="宋体"/>
          <w:spacing w:val="-6"/>
          <w:sz w:val="21"/>
          <w:szCs w:val="21"/>
          <w:highlight w:val="none"/>
        </w:rPr>
      </w:pPr>
      <w:r>
        <w:rPr>
          <w:rFonts w:hint="eastAsia" w:ascii="宋体" w:hAnsi="宋体" w:cs="宋体"/>
          <w:sz w:val="21"/>
          <w:szCs w:val="21"/>
          <w:highlight w:val="none"/>
        </w:rPr>
        <w:t>18.1供应商应按本磋商文件规定的格式和顺序编制响应文件并标注页码，响应文件内容</w:t>
      </w:r>
      <w:r>
        <w:rPr>
          <w:rFonts w:hint="eastAsia" w:ascii="宋体" w:hAnsi="宋体" w:cs="宋体"/>
          <w:spacing w:val="-6"/>
          <w:sz w:val="21"/>
          <w:szCs w:val="21"/>
          <w:highlight w:val="none"/>
        </w:rPr>
        <w:t>不完整、编排混乱导致响应文件被误读、漏读或者查找不到相关内容的，</w:t>
      </w:r>
      <w:r>
        <w:rPr>
          <w:rFonts w:hint="eastAsia" w:ascii="宋体" w:hAnsi="宋体" w:cs="宋体"/>
          <w:sz w:val="21"/>
          <w:szCs w:val="21"/>
          <w:highlight w:val="none"/>
        </w:rPr>
        <w:t>由此引发的</w:t>
      </w:r>
      <w:r>
        <w:rPr>
          <w:rFonts w:hint="eastAsia" w:ascii="宋体" w:hAnsi="宋体" w:cs="宋体"/>
          <w:spacing w:val="-6"/>
          <w:sz w:val="21"/>
          <w:szCs w:val="21"/>
          <w:highlight w:val="none"/>
        </w:rPr>
        <w:t>后果由供应商承担。</w:t>
      </w:r>
    </w:p>
    <w:p w14:paraId="39878AAD">
      <w:pPr>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18.2响应文件应按资格证明文件、报价商务服务文件分别编制电子文件，</w:t>
      </w:r>
      <w:r>
        <w:rPr>
          <w:rFonts w:hint="eastAsia" w:ascii="宋体" w:hAnsi="宋体" w:cs="宋体"/>
          <w:sz w:val="21"/>
          <w:szCs w:val="21"/>
          <w:highlight w:val="none"/>
          <w:lang w:bidi="ar"/>
        </w:rPr>
        <w:t>并按广西政府采购云平台的要求编制、加密、上传。</w:t>
      </w:r>
    </w:p>
    <w:p w14:paraId="1FDFDDC0">
      <w:pPr>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18.</w:t>
      </w:r>
      <w:bookmarkStart w:id="25" w:name="_Hlk65832699"/>
      <w:r>
        <w:rPr>
          <w:rFonts w:hint="eastAsia" w:ascii="宋体" w:hAnsi="宋体" w:cs="宋体"/>
          <w:sz w:val="21"/>
          <w:szCs w:val="21"/>
          <w:highlight w:val="none"/>
        </w:rPr>
        <w:t>3响应文件须由供应商在规定位置盖公章并</w:t>
      </w:r>
      <w:bookmarkStart w:id="26" w:name="_Hlk65832569"/>
      <w:r>
        <w:rPr>
          <w:rFonts w:hint="eastAsia" w:ascii="宋体" w:hAnsi="宋体" w:cs="宋体"/>
          <w:sz w:val="21"/>
          <w:szCs w:val="21"/>
          <w:highlight w:val="none"/>
        </w:rPr>
        <w:t>签字或签章（具体以供应商须知前附表或响应文件格式规定为准）</w:t>
      </w:r>
      <w:bookmarkEnd w:id="25"/>
      <w:bookmarkEnd w:id="26"/>
      <w:r>
        <w:rPr>
          <w:rFonts w:hint="eastAsia" w:ascii="宋体" w:hAnsi="宋体" w:cs="宋体"/>
          <w:sz w:val="21"/>
          <w:szCs w:val="21"/>
          <w:highlight w:val="none"/>
        </w:rPr>
        <w:t>，否则其响应文件按无效响应处理。</w:t>
      </w:r>
    </w:p>
    <w:p w14:paraId="6A4ACC7D">
      <w:pPr>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18.4响应文件中标注的供应商名称应与营业执照（事业单位法人证书、执业许可证、自然人身份证）及公章一致，否则其响应文件按无效响应处理。</w:t>
      </w:r>
    </w:p>
    <w:p w14:paraId="5293CB06">
      <w:pPr>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18.5响应文件应尽量避免涂改、行间插字或者删除。如果出现上述情况，改动之处应由供应商的法定代表人或者其委托代理人签字或者加盖公章。响应文件因涂改、行间插字或者删除导致字迹潦草或者表达不清所引起的后果由供应商承担。</w:t>
      </w:r>
    </w:p>
    <w:p w14:paraId="0AE08970">
      <w:pPr>
        <w:spacing w:line="360" w:lineRule="auto"/>
        <w:ind w:firstLine="422" w:firstLineChars="200"/>
        <w:rPr>
          <w:rFonts w:ascii="宋体" w:hAnsi="宋体" w:cs="宋体"/>
          <w:b/>
          <w:bCs/>
          <w:sz w:val="21"/>
          <w:szCs w:val="21"/>
          <w:highlight w:val="none"/>
        </w:rPr>
      </w:pPr>
      <w:r>
        <w:rPr>
          <w:rFonts w:hint="eastAsia" w:ascii="宋体" w:hAnsi="宋体" w:cs="宋体"/>
          <w:b/>
          <w:bCs/>
          <w:sz w:val="21"/>
          <w:szCs w:val="21"/>
          <w:highlight w:val="none"/>
        </w:rPr>
        <w:t>19.响应文件的加密、解密及电子备份响应文件</w:t>
      </w:r>
    </w:p>
    <w:p w14:paraId="63054283">
      <w:pPr>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19.1电子响应文件编制完成后，供应商应按广西政府采购云平台的要求进行加密，并在规定时间内解密，否则，由此产生的后果由供应商自行负责。</w:t>
      </w:r>
    </w:p>
    <w:p w14:paraId="6AA4AA8B">
      <w:pPr>
        <w:spacing w:line="360" w:lineRule="auto"/>
        <w:ind w:firstLine="420" w:firstLineChars="200"/>
        <w:rPr>
          <w:szCs w:val="21"/>
          <w:highlight w:val="none"/>
        </w:rPr>
      </w:pPr>
      <w:r>
        <w:rPr>
          <w:rFonts w:ascii="宋体" w:hAnsi="宋体" w:cs="宋体"/>
          <w:sz w:val="21"/>
          <w:szCs w:val="21"/>
          <w:highlight w:val="none"/>
        </w:rPr>
        <w:t>19.2</w:t>
      </w:r>
      <w:r>
        <w:rPr>
          <w:rFonts w:hint="eastAsia" w:ascii="宋体" w:hAnsi="宋体" w:cs="宋体"/>
          <w:sz w:val="21"/>
          <w:szCs w:val="21"/>
          <w:highlight w:val="none"/>
        </w:rPr>
        <w:t>电子备份响应文件是指通过“广西政府采购云平台电子投标客户端”在线编制生成且后缀名为“</w:t>
      </w:r>
      <w:r>
        <w:rPr>
          <w:rFonts w:ascii="宋体" w:hAnsi="宋体" w:cs="宋体"/>
          <w:sz w:val="21"/>
          <w:szCs w:val="21"/>
          <w:highlight w:val="none"/>
        </w:rPr>
        <w:t>bfbs</w:t>
      </w:r>
      <w:r>
        <w:rPr>
          <w:rFonts w:hint="eastAsia" w:ascii="宋体" w:hAnsi="宋体" w:cs="宋体"/>
          <w:sz w:val="21"/>
          <w:szCs w:val="21"/>
          <w:highlight w:val="none"/>
        </w:rPr>
        <w:t>”的文件，是否接受电子备份响应文件详见在“供应商须知前附表”。</w:t>
      </w:r>
    </w:p>
    <w:p w14:paraId="5BD5779A">
      <w:pPr>
        <w:spacing w:line="360" w:lineRule="auto"/>
        <w:ind w:firstLine="422" w:firstLineChars="200"/>
        <w:rPr>
          <w:rFonts w:ascii="宋体" w:hAnsi="宋体" w:cs="宋体"/>
          <w:b/>
          <w:bCs/>
          <w:sz w:val="21"/>
          <w:szCs w:val="21"/>
          <w:highlight w:val="none"/>
        </w:rPr>
      </w:pPr>
      <w:r>
        <w:rPr>
          <w:rFonts w:hint="eastAsia" w:ascii="宋体" w:hAnsi="宋体" w:cs="宋体"/>
          <w:b/>
          <w:bCs/>
          <w:sz w:val="21"/>
          <w:szCs w:val="21"/>
          <w:highlight w:val="none"/>
        </w:rPr>
        <w:t>20.响应文件的提交</w:t>
      </w:r>
    </w:p>
    <w:p w14:paraId="275A2AE2">
      <w:pPr>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20.1供应商必须在“供应商须知前附表”规定的时间和地点提交响应文件。</w:t>
      </w:r>
    </w:p>
    <w:p w14:paraId="492BF512">
      <w:pPr>
        <w:widowControl/>
        <w:spacing w:line="360" w:lineRule="auto"/>
        <w:ind w:firstLine="420" w:firstLineChars="200"/>
        <w:rPr>
          <w:rFonts w:ascii="宋体" w:hAnsi="宋体" w:cs="宋体"/>
          <w:b/>
          <w:sz w:val="21"/>
          <w:szCs w:val="21"/>
          <w:highlight w:val="none"/>
          <w:lang w:bidi="ar"/>
        </w:rPr>
      </w:pPr>
      <w:r>
        <w:rPr>
          <w:rFonts w:hint="eastAsia" w:ascii="宋体" w:hAnsi="宋体" w:cs="宋体"/>
          <w:sz w:val="21"/>
          <w:szCs w:val="21"/>
          <w:highlight w:val="none"/>
        </w:rPr>
        <w:t>20.2</w:t>
      </w:r>
      <w:r>
        <w:rPr>
          <w:rFonts w:hint="eastAsia" w:ascii="宋体" w:hAnsi="宋体" w:cs="宋体"/>
          <w:sz w:val="21"/>
          <w:szCs w:val="21"/>
          <w:highlight w:val="none"/>
          <w:lang w:bidi="ar"/>
        </w:rPr>
        <w:t>本项目为全流程电子化政府采购项目，通过广西政府采购云平台（https://www.gcy.zfcg.gxzf.gov.cn/）实行在线电子</w:t>
      </w:r>
      <w:r>
        <w:rPr>
          <w:rFonts w:hint="eastAsia" w:ascii="宋体" w:hAnsi="宋体" w:cs="宋体"/>
          <w:sz w:val="21"/>
          <w:szCs w:val="21"/>
          <w:highlight w:val="none"/>
        </w:rPr>
        <w:t>竞争性磋商</w:t>
      </w:r>
      <w:r>
        <w:rPr>
          <w:rFonts w:hint="eastAsia" w:ascii="宋体" w:hAnsi="宋体" w:cs="宋体"/>
          <w:sz w:val="21"/>
          <w:szCs w:val="21"/>
          <w:highlight w:val="none"/>
          <w:lang w:bidi="ar"/>
        </w:rPr>
        <w:t>，供应商应先安装“广西政府采购云平台电子交易客户端”（请自行前往广西政府采购云平台进行下载），并按照本项目竞争性磋商文件和广西政府采购云平台的要求编制、加密后在首次响应文件提交截止时间前通过网络上传至广西政府采购云平台，</w:t>
      </w:r>
      <w:r>
        <w:rPr>
          <w:rFonts w:hint="eastAsia" w:ascii="宋体" w:hAnsi="宋体" w:cs="宋体"/>
          <w:b/>
          <w:sz w:val="21"/>
          <w:szCs w:val="21"/>
          <w:highlight w:val="none"/>
          <w:lang w:bidi="ar"/>
        </w:rPr>
        <w:t>供应商在广西政府采购云平台提交电子版响应文件时，请填写参加远程开标活动经办人联系方式。</w:t>
      </w:r>
    </w:p>
    <w:p w14:paraId="36658CA1">
      <w:pPr>
        <w:pStyle w:val="6"/>
        <w:keepNext w:val="0"/>
        <w:keepLines w:val="0"/>
        <w:spacing w:before="0" w:after="0" w:line="360" w:lineRule="auto"/>
        <w:ind w:firstLineChars="200"/>
        <w:jc w:val="left"/>
        <w:rPr>
          <w:rFonts w:hint="eastAsia" w:ascii="宋体" w:hAnsi="宋体" w:eastAsia="宋体" w:cs="宋体"/>
          <w:bCs/>
          <w:sz w:val="21"/>
          <w:szCs w:val="21"/>
          <w:highlight w:val="none"/>
        </w:rPr>
      </w:pPr>
      <w:r>
        <w:rPr>
          <w:rFonts w:hint="eastAsia" w:ascii="宋体" w:hAnsi="宋体" w:eastAsia="宋体" w:cs="宋体"/>
          <w:bCs/>
          <w:sz w:val="21"/>
          <w:szCs w:val="21"/>
          <w:highlight w:val="none"/>
        </w:rPr>
        <w:t>20.3未在规定时间内上传或者未按广西政府采购云平台的要求编制、加密的电子响应文件，广西政府采购云平台将拒收。</w:t>
      </w:r>
    </w:p>
    <w:p w14:paraId="70D0D533">
      <w:pPr>
        <w:pStyle w:val="6"/>
        <w:spacing w:line="360" w:lineRule="auto"/>
        <w:rPr>
          <w:rFonts w:ascii="宋体" w:hAnsi="宋体" w:cs="宋体"/>
          <w:sz w:val="21"/>
          <w:szCs w:val="21"/>
          <w:highlight w:val="none"/>
        </w:rPr>
      </w:pPr>
      <w:r>
        <w:rPr>
          <w:rFonts w:hint="eastAsia" w:ascii="宋体" w:hAnsi="宋体" w:cs="宋体"/>
          <w:sz w:val="21"/>
          <w:szCs w:val="21"/>
          <w:highlight w:val="none"/>
        </w:rPr>
        <w:t>20.4电子响应文件提交方</w:t>
      </w:r>
      <w:r>
        <w:rPr>
          <w:rFonts w:hint="eastAsia" w:ascii="宋体" w:hAnsi="宋体" w:cs="宋体"/>
          <w:bCs/>
          <w:sz w:val="21"/>
          <w:szCs w:val="21"/>
          <w:highlight w:val="none"/>
        </w:rPr>
        <w:t>式见“竞争性磋商公告”</w:t>
      </w:r>
      <w:r>
        <w:rPr>
          <w:rFonts w:hint="eastAsia" w:ascii="宋体" w:hAnsi="宋体" w:cs="宋体"/>
          <w:sz w:val="21"/>
          <w:szCs w:val="21"/>
          <w:highlight w:val="none"/>
        </w:rPr>
        <w:t>中“四、响应文件提交”。</w:t>
      </w:r>
    </w:p>
    <w:p w14:paraId="16900821">
      <w:pPr>
        <w:spacing w:line="360" w:lineRule="auto"/>
        <w:ind w:firstLine="422" w:firstLineChars="200"/>
        <w:rPr>
          <w:rFonts w:ascii="宋体" w:hAnsi="宋体" w:cs="宋体"/>
          <w:b/>
          <w:bCs/>
          <w:sz w:val="21"/>
          <w:szCs w:val="21"/>
          <w:highlight w:val="none"/>
        </w:rPr>
      </w:pPr>
      <w:r>
        <w:rPr>
          <w:rFonts w:hint="eastAsia" w:ascii="宋体" w:hAnsi="宋体" w:cs="宋体"/>
          <w:b/>
          <w:bCs/>
          <w:sz w:val="21"/>
          <w:szCs w:val="21"/>
          <w:highlight w:val="none"/>
        </w:rPr>
        <w:t>21.首次响应文件的补充、修改与撤回</w:t>
      </w:r>
    </w:p>
    <w:p w14:paraId="2E94A48B">
      <w:pPr>
        <w:spacing w:line="360" w:lineRule="auto"/>
        <w:ind w:firstLine="420" w:firstLineChars="200"/>
        <w:rPr>
          <w:rFonts w:ascii="宋体" w:hAnsi="宋体" w:cs="宋体"/>
          <w:bCs/>
          <w:sz w:val="21"/>
          <w:szCs w:val="21"/>
          <w:highlight w:val="none"/>
          <w:lang w:bidi="ar"/>
        </w:rPr>
      </w:pPr>
      <w:r>
        <w:rPr>
          <w:rFonts w:hint="eastAsia" w:ascii="宋体" w:hAnsi="宋体" w:cs="宋体"/>
          <w:bCs/>
          <w:sz w:val="21"/>
          <w:szCs w:val="21"/>
          <w:highlight w:val="none"/>
          <w:lang w:bidi="ar"/>
        </w:rPr>
        <w:t>21.1供应商应当在首次响应文件提交截止时间前完成电子响应文件的上传、提交，首次响应文件提交截止时间前可以补充、修改或者撤回响应文件。补充或者修改响应文件的，应当先行撤回原文件，补充、修改后重新上传、提交。首次响应文件提交截止时间前未完成上传、提交的，视为撤回响应文件。首次响应文件提交截止时间以后上传提交的响应文件，广西政府采购云平台将予以拒收。</w:t>
      </w:r>
    </w:p>
    <w:p w14:paraId="17793813">
      <w:pPr>
        <w:spacing w:line="360" w:lineRule="auto"/>
        <w:ind w:firstLine="422" w:firstLineChars="200"/>
        <w:rPr>
          <w:rFonts w:ascii="宋体" w:hAnsi="宋体" w:cs="宋体"/>
          <w:b/>
          <w:bCs/>
          <w:sz w:val="21"/>
          <w:szCs w:val="21"/>
          <w:highlight w:val="none"/>
        </w:rPr>
      </w:pPr>
      <w:bookmarkStart w:id="27" w:name="_Hlk45702405"/>
      <w:r>
        <w:rPr>
          <w:rFonts w:hint="eastAsia" w:ascii="宋体" w:hAnsi="宋体" w:cs="宋体"/>
          <w:b/>
          <w:bCs/>
          <w:sz w:val="21"/>
          <w:szCs w:val="21"/>
          <w:highlight w:val="none"/>
        </w:rPr>
        <w:t>22.首次响应文件的退回</w:t>
      </w:r>
    </w:p>
    <w:p w14:paraId="2068E0A2">
      <w:pPr>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22.1在首次响应文件提交截止时间止提交响应文件的供应商不足3家时，采购代理机构将根据广西政府采购云平台的操作将电子版响应文件退回，除此之外采购人和采购代理机构对已提交的电子响应文件概不退回。</w:t>
      </w:r>
    </w:p>
    <w:p w14:paraId="727E7560">
      <w:pPr>
        <w:spacing w:line="360" w:lineRule="auto"/>
        <w:ind w:firstLine="422" w:firstLineChars="200"/>
        <w:rPr>
          <w:rFonts w:ascii="宋体" w:hAnsi="宋体" w:cs="宋体"/>
          <w:b/>
          <w:bCs/>
          <w:sz w:val="21"/>
          <w:szCs w:val="21"/>
          <w:highlight w:val="none"/>
        </w:rPr>
      </w:pPr>
      <w:r>
        <w:rPr>
          <w:rFonts w:hint="eastAsia" w:ascii="宋体" w:hAnsi="宋体" w:cs="宋体"/>
          <w:b/>
          <w:bCs/>
          <w:sz w:val="21"/>
          <w:szCs w:val="21"/>
          <w:highlight w:val="none"/>
        </w:rPr>
        <w:t>23.截止时间后的撤回</w:t>
      </w:r>
    </w:p>
    <w:p w14:paraId="7869CB7F">
      <w:pPr>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23.1供应商在首次响应文件提交截止时间后书面通知采购人、采购代理机构书面撤回响应文件的，将根据本磋商文件《供应商须知正文》第17.4条的规定不予退还其磋商保证金。</w:t>
      </w:r>
    </w:p>
    <w:bookmarkEnd w:id="27"/>
    <w:p w14:paraId="0DB0CF6F">
      <w:pPr>
        <w:spacing w:line="360" w:lineRule="auto"/>
        <w:rPr>
          <w:rFonts w:ascii="宋体" w:hAnsi="宋体" w:cs="宋体"/>
          <w:sz w:val="24"/>
          <w:highlight w:val="none"/>
        </w:rPr>
      </w:pPr>
    </w:p>
    <w:p w14:paraId="53129862">
      <w:pPr>
        <w:spacing w:line="360" w:lineRule="auto"/>
        <w:jc w:val="center"/>
        <w:rPr>
          <w:rFonts w:ascii="宋体" w:hAnsi="宋体" w:cs="宋体"/>
          <w:b/>
          <w:bCs/>
          <w:sz w:val="24"/>
          <w:highlight w:val="none"/>
        </w:rPr>
      </w:pPr>
      <w:r>
        <w:rPr>
          <w:rFonts w:hint="eastAsia" w:ascii="宋体" w:hAnsi="宋体" w:cs="宋体"/>
          <w:b/>
          <w:bCs/>
          <w:sz w:val="24"/>
          <w:highlight w:val="none"/>
        </w:rPr>
        <w:t>四、评审及磋商</w:t>
      </w:r>
    </w:p>
    <w:p w14:paraId="0B6CD740">
      <w:pPr>
        <w:spacing w:line="360" w:lineRule="auto"/>
        <w:ind w:firstLine="482" w:firstLineChars="200"/>
        <w:rPr>
          <w:rFonts w:ascii="宋体" w:hAnsi="宋体" w:cs="宋体"/>
          <w:b/>
          <w:bCs/>
          <w:sz w:val="24"/>
          <w:highlight w:val="none"/>
        </w:rPr>
      </w:pPr>
    </w:p>
    <w:p w14:paraId="698A5816">
      <w:pPr>
        <w:spacing w:line="360" w:lineRule="auto"/>
        <w:ind w:firstLine="422" w:firstLineChars="200"/>
        <w:rPr>
          <w:rFonts w:ascii="宋体" w:hAnsi="宋体" w:cs="宋体"/>
          <w:b/>
          <w:bCs/>
          <w:sz w:val="21"/>
          <w:szCs w:val="21"/>
          <w:highlight w:val="none"/>
        </w:rPr>
      </w:pPr>
      <w:r>
        <w:rPr>
          <w:rFonts w:hint="eastAsia" w:ascii="宋体" w:hAnsi="宋体" w:cs="宋体"/>
          <w:b/>
          <w:bCs/>
          <w:sz w:val="21"/>
          <w:szCs w:val="21"/>
          <w:highlight w:val="none"/>
        </w:rPr>
        <w:t>24.磋商小组成立</w:t>
      </w:r>
    </w:p>
    <w:p w14:paraId="7B6239C7">
      <w:pPr>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24.1磋商小组由采购人代表和评审专家共3人以上单数组成，具体人数见“供应商须知前附表”，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14:paraId="024F75D1">
      <w:pPr>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14:paraId="3D678368">
      <w:pPr>
        <w:spacing w:line="360" w:lineRule="auto"/>
        <w:ind w:firstLine="422" w:firstLineChars="200"/>
        <w:rPr>
          <w:rFonts w:ascii="宋体" w:hAnsi="宋体" w:cs="宋体"/>
          <w:b/>
          <w:bCs/>
          <w:sz w:val="21"/>
          <w:szCs w:val="21"/>
          <w:highlight w:val="none"/>
        </w:rPr>
      </w:pPr>
      <w:r>
        <w:rPr>
          <w:rFonts w:hint="eastAsia" w:ascii="宋体" w:hAnsi="宋体" w:cs="宋体"/>
          <w:b/>
          <w:bCs/>
          <w:sz w:val="21"/>
          <w:szCs w:val="21"/>
          <w:highlight w:val="none"/>
        </w:rPr>
        <w:t>25.首次响应文件的开启</w:t>
      </w:r>
    </w:p>
    <w:p w14:paraId="4728F444">
      <w:pPr>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25.1首次响应文件由磋商小组或者采购代理机构在“供应商须知前附表”规定的时间开启。</w:t>
      </w:r>
    </w:p>
    <w:p w14:paraId="092FAA20">
      <w:pPr>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25.2 响应文件解密：采购代理机构将在“供应商须知前附表”规定的时间通过电子交易平台组织响应文件开启，采购代理机构将依托电子交易平台发起开始解密指令，</w:t>
      </w:r>
      <w:r>
        <w:rPr>
          <w:rFonts w:hint="eastAsia" w:ascii="宋体" w:hAnsi="宋体" w:cs="宋体"/>
          <w:b/>
          <w:sz w:val="21"/>
          <w:szCs w:val="21"/>
          <w:highlight w:val="none"/>
        </w:rPr>
        <w:t>供应商的法定代表人或其委托代理人须携带加密时所用的CA锁按平台提示和采购文件的规定登录到广西政府采购云平台电子开标大厅签到并在发起解密指令之时起30分钟内完成对电子响应文件在线解密。</w:t>
      </w:r>
      <w:r>
        <w:rPr>
          <w:rFonts w:hint="eastAsia" w:ascii="宋体" w:hAnsi="宋体" w:cs="宋体"/>
          <w:b/>
          <w:bCs/>
          <w:sz w:val="21"/>
          <w:szCs w:val="21"/>
          <w:highlight w:val="none"/>
        </w:rPr>
        <w:t>响应文件未按时解密的，</w:t>
      </w:r>
      <w:r>
        <w:rPr>
          <w:rFonts w:hint="eastAsia" w:ascii="宋体" w:hAnsi="宋体" w:cs="宋体"/>
          <w:b/>
          <w:sz w:val="21"/>
          <w:szCs w:val="21"/>
          <w:highlight w:val="none"/>
        </w:rPr>
        <w:t>视为响应</w:t>
      </w:r>
      <w:r>
        <w:rPr>
          <w:rFonts w:hint="eastAsia" w:ascii="宋体" w:hAnsi="宋体" w:cs="宋体"/>
          <w:b/>
          <w:bCs/>
          <w:sz w:val="21"/>
          <w:szCs w:val="21"/>
          <w:highlight w:val="none"/>
        </w:rPr>
        <w:t>文件无效。</w:t>
      </w:r>
      <w:r>
        <w:rPr>
          <w:rFonts w:hint="eastAsia" w:ascii="宋体" w:hAnsi="宋体" w:cs="宋体"/>
          <w:sz w:val="21"/>
          <w:szCs w:val="21"/>
          <w:highlight w:val="none"/>
        </w:rPr>
        <w:t>（解密异常情况处理：详见本章26.</w:t>
      </w:r>
      <w:r>
        <w:rPr>
          <w:rFonts w:ascii="宋体" w:hAnsi="宋体" w:cs="宋体"/>
          <w:sz w:val="21"/>
          <w:szCs w:val="21"/>
          <w:highlight w:val="none"/>
        </w:rPr>
        <w:t>3</w:t>
      </w:r>
      <w:r>
        <w:rPr>
          <w:rFonts w:hint="eastAsia" w:ascii="宋体" w:hAnsi="宋体" w:cs="宋体"/>
          <w:sz w:val="21"/>
          <w:szCs w:val="21"/>
          <w:highlight w:val="none"/>
        </w:rPr>
        <w:t>电子交易活动的中止。）</w:t>
      </w:r>
    </w:p>
    <w:p w14:paraId="049E43CD">
      <w:pPr>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25.3成功解密响应文件的供应商不足3家的，不得磋商。</w:t>
      </w:r>
    </w:p>
    <w:p w14:paraId="469BCF76">
      <w:pPr>
        <w:spacing w:line="360" w:lineRule="auto"/>
        <w:ind w:firstLine="422" w:firstLineChars="200"/>
        <w:rPr>
          <w:rFonts w:ascii="宋体" w:hAnsi="宋体" w:cs="宋体"/>
          <w:b/>
          <w:bCs/>
          <w:sz w:val="21"/>
          <w:szCs w:val="21"/>
          <w:highlight w:val="none"/>
        </w:rPr>
      </w:pPr>
      <w:r>
        <w:rPr>
          <w:rFonts w:hint="eastAsia" w:ascii="宋体" w:hAnsi="宋体" w:cs="宋体"/>
          <w:b/>
          <w:bCs/>
          <w:sz w:val="21"/>
          <w:szCs w:val="21"/>
          <w:highlight w:val="none"/>
        </w:rPr>
        <w:t>26.评审程序、评审方法和评审标准</w:t>
      </w:r>
    </w:p>
    <w:p w14:paraId="6272C05A">
      <w:pPr>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26.1磋商小组按照“第四章 评审程序、评审方法和评审标准”规定的方法、评审因素、标准和程序对响应文件进行评审。</w:t>
      </w:r>
    </w:p>
    <w:p w14:paraId="737A1C26">
      <w:pPr>
        <w:spacing w:line="360" w:lineRule="auto"/>
        <w:ind w:firstLine="420" w:firstLineChars="200"/>
        <w:rPr>
          <w:szCs w:val="21"/>
          <w:highlight w:val="none"/>
        </w:rPr>
      </w:pPr>
      <w:r>
        <w:rPr>
          <w:rFonts w:hint="eastAsia" w:ascii="宋体" w:hAnsi="宋体" w:cs="宋体"/>
          <w:sz w:val="21"/>
          <w:szCs w:val="21"/>
          <w:highlight w:val="none"/>
        </w:rPr>
        <w:t>26.</w:t>
      </w:r>
      <w:r>
        <w:rPr>
          <w:rFonts w:ascii="宋体" w:hAnsi="宋体" w:cs="宋体"/>
          <w:sz w:val="21"/>
          <w:szCs w:val="21"/>
          <w:highlight w:val="none"/>
        </w:rPr>
        <w:t>2</w:t>
      </w:r>
      <w:r>
        <w:rPr>
          <w:rFonts w:hint="eastAsia" w:ascii="宋体" w:hAnsi="宋体" w:cs="宋体"/>
          <w:sz w:val="21"/>
          <w:szCs w:val="21"/>
          <w:highlight w:val="none"/>
        </w:rPr>
        <w:t>磋商小组成员要依法独立评审，并对评审意见承担个人责任。磋商小组成员对需要共同认定的事项存在争议的，按照少数服从多数的原则做出结论。持不同意见的磋商小组成员应当在评审报告上签署不同意见并说明理由，否则视为同意。</w:t>
      </w:r>
    </w:p>
    <w:p w14:paraId="674A1868">
      <w:pPr>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26.</w:t>
      </w:r>
      <w:r>
        <w:rPr>
          <w:rFonts w:ascii="宋体" w:hAnsi="宋体" w:cs="宋体"/>
          <w:sz w:val="21"/>
          <w:szCs w:val="21"/>
          <w:highlight w:val="none"/>
        </w:rPr>
        <w:t>3</w:t>
      </w:r>
      <w:r>
        <w:rPr>
          <w:rFonts w:hint="eastAsia" w:ascii="宋体" w:hAnsi="宋体" w:cs="宋体"/>
          <w:sz w:val="21"/>
          <w:szCs w:val="21"/>
          <w:highlight w:val="none"/>
        </w:rPr>
        <w:t>电子交易活动的中止。采购过程中出现以下情形，导致电子交易平台无法正常运行，或者无法保证电子交易的公平、公正和安全时，采购机构可中止电子交易活动：</w:t>
      </w:r>
    </w:p>
    <w:p w14:paraId="20973436">
      <w:pPr>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 xml:space="preserve">（1）电子交易平台发生故障而无法登录访问的； </w:t>
      </w:r>
    </w:p>
    <w:p w14:paraId="63BABAB4">
      <w:pPr>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（2）电子交易平台应用或数据库出现错误，不能进行正常操作的；</w:t>
      </w:r>
    </w:p>
    <w:p w14:paraId="0D998959">
      <w:pPr>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（3）电子交易平台发现严重安全漏洞，有潜在泄密危险的；</w:t>
      </w:r>
    </w:p>
    <w:p w14:paraId="5636DBC5">
      <w:pPr>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 xml:space="preserve">（4）病毒发作导致不能进行正常操作的； </w:t>
      </w:r>
    </w:p>
    <w:p w14:paraId="1199F680">
      <w:pPr>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w:t>
      </w:r>
      <w:r>
        <w:rPr>
          <w:rFonts w:ascii="宋体" w:hAnsi="宋体" w:cs="宋体"/>
          <w:sz w:val="21"/>
          <w:szCs w:val="21"/>
          <w:highlight w:val="none"/>
        </w:rPr>
        <w:t>5</w:t>
      </w:r>
      <w:r>
        <w:rPr>
          <w:rFonts w:hint="eastAsia" w:ascii="宋体" w:hAnsi="宋体" w:cs="宋体"/>
          <w:sz w:val="21"/>
          <w:szCs w:val="21"/>
          <w:highlight w:val="none"/>
        </w:rPr>
        <w:t>）其他无法保证电子交易的公平、公正和安全的情况。</w:t>
      </w:r>
    </w:p>
    <w:p w14:paraId="22BFD9E2">
      <w:pPr>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26.</w:t>
      </w:r>
      <w:r>
        <w:rPr>
          <w:rFonts w:ascii="宋体" w:hAnsi="宋体" w:cs="宋体"/>
          <w:sz w:val="21"/>
          <w:szCs w:val="21"/>
          <w:highlight w:val="none"/>
        </w:rPr>
        <w:t>4</w:t>
      </w:r>
      <w:r>
        <w:rPr>
          <w:rFonts w:hint="eastAsia" w:ascii="宋体" w:hAnsi="宋体" w:cs="宋体"/>
          <w:sz w:val="21"/>
          <w:szCs w:val="21"/>
          <w:highlight w:val="none"/>
        </w:rPr>
        <w:t>出现以上情形，不影响采购公平、公正性的，采购代理机构可以待上述情形消除后继续组织电子交易活动；影响或可能影响采购公平、公正性的，经采购代理机构确认后，应当重新采购。</w:t>
      </w:r>
    </w:p>
    <w:p w14:paraId="3A0030B9">
      <w:pPr>
        <w:spacing w:line="360" w:lineRule="auto"/>
        <w:ind w:firstLine="422" w:firstLineChars="200"/>
        <w:rPr>
          <w:rFonts w:ascii="宋体" w:hAnsi="宋体" w:cs="宋体"/>
          <w:b/>
          <w:bCs/>
          <w:sz w:val="21"/>
          <w:szCs w:val="21"/>
          <w:highlight w:val="none"/>
        </w:rPr>
      </w:pPr>
      <w:r>
        <w:rPr>
          <w:rFonts w:hint="eastAsia" w:ascii="宋体" w:hAnsi="宋体" w:cs="宋体"/>
          <w:b/>
          <w:bCs/>
          <w:sz w:val="21"/>
          <w:szCs w:val="21"/>
          <w:highlight w:val="none"/>
        </w:rPr>
        <w:t>27.确定成交供应商及结果公告</w:t>
      </w:r>
    </w:p>
    <w:p w14:paraId="3459F988">
      <w:pPr>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27.1</w:t>
      </w:r>
      <w:r>
        <w:rPr>
          <w:rFonts w:hint="eastAsia" w:ascii="宋体" w:hAnsi="宋体" w:cs="宋体"/>
          <w:kern w:val="0"/>
          <w:sz w:val="21"/>
          <w:szCs w:val="21"/>
          <w:highlight w:val="none"/>
        </w:rPr>
        <w:t xml:space="preserve"> </w:t>
      </w:r>
      <w:r>
        <w:rPr>
          <w:rFonts w:hint="eastAsia" w:ascii="宋体" w:hAnsi="宋体" w:cs="宋体"/>
          <w:sz w:val="21"/>
          <w:szCs w:val="21"/>
          <w:highlight w:val="none"/>
        </w:rPr>
        <w:t>采购代理机构应当在评审结束后2个工作日内将评审报告送采购人确认。采购人应当在收到评审报告后5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14:paraId="7AC6A574">
      <w:pPr>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27.2采购代理机构应当在</w:t>
      </w:r>
      <w:r>
        <w:rPr>
          <w:rFonts w:hint="eastAsia" w:ascii="宋体" w:hAnsi="宋体" w:cs="宋体"/>
          <w:kern w:val="0"/>
          <w:sz w:val="21"/>
          <w:szCs w:val="21"/>
          <w:highlight w:val="none"/>
        </w:rPr>
        <w:t>成交</w:t>
      </w:r>
      <w:r>
        <w:rPr>
          <w:rFonts w:hint="eastAsia" w:ascii="宋体" w:hAnsi="宋体" w:cs="宋体"/>
          <w:sz w:val="21"/>
          <w:szCs w:val="21"/>
          <w:highlight w:val="none"/>
        </w:rPr>
        <w:t>供应商确定后2个工作日内，在省级以上财政部门指定的媒体上公告成交结果，同时向成交供应商发出成交通知书。</w:t>
      </w:r>
      <w:r>
        <w:rPr>
          <w:rFonts w:hint="eastAsia" w:ascii="宋体" w:hAnsi="宋体" w:cs="宋体"/>
          <w:b/>
          <w:sz w:val="21"/>
          <w:szCs w:val="21"/>
          <w:highlight w:val="none"/>
        </w:rPr>
        <w:t>采购人或者采购代理机构发出成交通知书前，应当对成交供应商信用进行查询，对列入失信被执行人、重大税收违法失信主体、政府采购严重违法失信行为记录名单及其他不符合《中华人民共和国政府采购法》第二十二条规定条件的供应商，取消其成交资格，并确定排名第二的成交候选人为成交供应商。</w:t>
      </w:r>
      <w:r>
        <w:rPr>
          <w:rFonts w:hint="eastAsia" w:ascii="宋体" w:hAnsi="宋体" w:cs="宋体"/>
          <w:sz w:val="21"/>
          <w:szCs w:val="21"/>
          <w:highlight w:val="none"/>
        </w:rPr>
        <w:t>排名第二的成交候选人因上述规定的同样原因被取消成交资格的，采购人可以确定排名第三的成交候选人为成交供应商，以此类推。以上信息查询记录及相关证据与磋商文件一并保存。</w:t>
      </w:r>
      <w:bookmarkStart w:id="28" w:name="_Hlk66782294"/>
      <w:r>
        <w:rPr>
          <w:rFonts w:hint="eastAsia" w:ascii="宋体" w:hAnsi="宋体" w:cs="宋体"/>
          <w:sz w:val="21"/>
          <w:szCs w:val="21"/>
          <w:highlight w:val="none"/>
        </w:rPr>
        <w:t>成交供应商享受《政府采购促进中小企业发展管理办法》（财库〔2020〕46号）及《关于进一步加大政府采购支持中小企业力度的通知》（财库〔2022〕19号）规定的中小企业扶持政策的，采购人、采购代理机构应当随成交结果公开成交供应商的《中小企业声明函》。</w:t>
      </w:r>
      <w:bookmarkEnd w:id="28"/>
    </w:p>
    <w:p w14:paraId="31C6452F">
      <w:pPr>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27.3成交供应商拒绝签订政府采购合同（包括但不限于放弃成交、因不可抗力不能履行合同而放弃签订合同），采购人可以按照评审报告推荐的成交候选人名单排序，确定下一候选人为成交供应商，也可以重新开展政府采购活动。拒绝签订政府采购合同的成交供应商不得参加对该项目重新开展的采购活动。</w:t>
      </w:r>
    </w:p>
    <w:p w14:paraId="69AAADF9">
      <w:pPr>
        <w:pStyle w:val="12"/>
        <w:spacing w:line="360" w:lineRule="auto"/>
        <w:ind w:firstLine="422" w:firstLineChars="200"/>
        <w:rPr>
          <w:b/>
          <w:szCs w:val="21"/>
          <w:highlight w:val="none"/>
        </w:rPr>
      </w:pPr>
      <w:r>
        <w:rPr>
          <w:rFonts w:hint="eastAsia" w:ascii="宋体" w:hAnsi="宋体" w:cs="宋体"/>
          <w:b/>
          <w:sz w:val="21"/>
          <w:szCs w:val="21"/>
          <w:highlight w:val="none"/>
        </w:rPr>
        <w:t>成交供应商拒绝与采购人签订合同的，其投标保证金不予退还，并上缴国库。给采购人造成损失，或（并）因此延误采购人</w:t>
      </w:r>
      <w:r>
        <w:rPr>
          <w:rFonts w:hint="eastAsia" w:ascii="宋体" w:hAnsi="宋体" w:cs="宋体"/>
          <w:b/>
          <w:sz w:val="21"/>
          <w:szCs w:val="21"/>
          <w:highlight w:val="none"/>
          <w:lang w:eastAsia="zh-CN"/>
        </w:rPr>
        <w:t>项目</w:t>
      </w:r>
      <w:r>
        <w:rPr>
          <w:rFonts w:hint="eastAsia" w:ascii="宋体" w:hAnsi="宋体" w:cs="宋体"/>
          <w:b/>
          <w:sz w:val="21"/>
          <w:szCs w:val="21"/>
          <w:highlight w:val="none"/>
        </w:rPr>
        <w:t>计划的，须依据《中华人民共和国民法典》第五百条、《政府采购非招标采购方式管理办法（财政部令第</w:t>
      </w:r>
      <w:r>
        <w:rPr>
          <w:rFonts w:ascii="宋体" w:hAnsi="宋体" w:cs="宋体"/>
          <w:b/>
          <w:sz w:val="21"/>
          <w:szCs w:val="21"/>
          <w:highlight w:val="none"/>
        </w:rPr>
        <w:t>74号）》第二十二条、第五十四条规定承担赔偿损失等法律责任，采购人有权将成交供应商的失信行为报财政部门记入诚信档案，以示惩戒。</w:t>
      </w:r>
    </w:p>
    <w:p w14:paraId="18EAD35F">
      <w:pPr>
        <w:spacing w:line="360" w:lineRule="auto"/>
        <w:ind w:firstLine="420" w:firstLineChars="200"/>
        <w:rPr>
          <w:rFonts w:ascii="宋体" w:hAnsi="宋体" w:cs="宋体"/>
          <w:sz w:val="21"/>
          <w:szCs w:val="21"/>
          <w:highlight w:val="none"/>
        </w:rPr>
      </w:pPr>
      <w:r>
        <w:rPr>
          <w:rFonts w:ascii="宋体" w:hAnsi="宋体" w:cs="宋体"/>
          <w:sz w:val="21"/>
          <w:szCs w:val="21"/>
          <w:highlight w:val="none"/>
        </w:rPr>
        <w:t>27.4</w:t>
      </w:r>
      <w:r>
        <w:rPr>
          <w:rFonts w:hint="eastAsia" w:ascii="宋体" w:hAnsi="宋体" w:cs="宋体"/>
          <w:sz w:val="21"/>
          <w:szCs w:val="21"/>
          <w:highlight w:val="none"/>
        </w:rPr>
        <w:t>出现下列情形之一的，采购人或者采购代理机构应当终止竞争性磋商采购活动，发布项目终止公告并说明原因，重新开展采购活动：</w:t>
      </w:r>
    </w:p>
    <w:p w14:paraId="03BBB5A3">
      <w:pPr>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w:t>
      </w:r>
      <w:r>
        <w:rPr>
          <w:rFonts w:ascii="宋体" w:hAnsi="宋体" w:cs="宋体"/>
          <w:sz w:val="21"/>
          <w:szCs w:val="21"/>
          <w:highlight w:val="none"/>
        </w:rPr>
        <w:t>1</w:t>
      </w:r>
      <w:r>
        <w:rPr>
          <w:rFonts w:hint="eastAsia" w:ascii="宋体" w:hAnsi="宋体" w:cs="宋体"/>
          <w:sz w:val="21"/>
          <w:szCs w:val="21"/>
          <w:highlight w:val="none"/>
        </w:rPr>
        <w:t>）因情况变化，不再符合规定的竞争性磋商采购方式适用情形的；</w:t>
      </w:r>
    </w:p>
    <w:p w14:paraId="5333E4B0">
      <w:pPr>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w:t>
      </w:r>
      <w:r>
        <w:rPr>
          <w:rFonts w:ascii="宋体" w:hAnsi="宋体" w:cs="宋体"/>
          <w:sz w:val="21"/>
          <w:szCs w:val="21"/>
          <w:highlight w:val="none"/>
        </w:rPr>
        <w:t>2</w:t>
      </w:r>
      <w:r>
        <w:rPr>
          <w:rFonts w:hint="eastAsia" w:ascii="宋体" w:hAnsi="宋体" w:cs="宋体"/>
          <w:sz w:val="21"/>
          <w:szCs w:val="21"/>
          <w:highlight w:val="none"/>
        </w:rPr>
        <w:t>）出现影响采购公正的违法、违规行为的；</w:t>
      </w:r>
    </w:p>
    <w:p w14:paraId="08D90FCE">
      <w:pPr>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w:t>
      </w:r>
      <w:r>
        <w:rPr>
          <w:rFonts w:ascii="宋体" w:hAnsi="宋体" w:cs="宋体"/>
          <w:sz w:val="21"/>
          <w:szCs w:val="21"/>
          <w:highlight w:val="none"/>
        </w:rPr>
        <w:t>3</w:t>
      </w:r>
      <w:r>
        <w:rPr>
          <w:rFonts w:hint="eastAsia" w:ascii="宋体" w:hAnsi="宋体" w:cs="宋体"/>
          <w:sz w:val="21"/>
          <w:szCs w:val="21"/>
          <w:highlight w:val="none"/>
        </w:rPr>
        <w:t>）除“第四章</w:t>
      </w:r>
      <w:r>
        <w:rPr>
          <w:rFonts w:ascii="宋体" w:hAnsi="宋体" w:cs="宋体"/>
          <w:sz w:val="21"/>
          <w:szCs w:val="21"/>
          <w:highlight w:val="none"/>
        </w:rPr>
        <w:t xml:space="preserve"> </w:t>
      </w:r>
      <w:r>
        <w:rPr>
          <w:rFonts w:hint="eastAsia" w:ascii="宋体" w:hAnsi="宋体" w:cs="宋体"/>
          <w:sz w:val="21"/>
          <w:szCs w:val="21"/>
          <w:highlight w:val="none"/>
        </w:rPr>
        <w:t>评审程序、评审方法和评审标准”第</w:t>
      </w:r>
      <w:r>
        <w:rPr>
          <w:rFonts w:ascii="宋体" w:hAnsi="宋体" w:cs="宋体"/>
          <w:sz w:val="21"/>
          <w:szCs w:val="21"/>
          <w:highlight w:val="none"/>
        </w:rPr>
        <w:t>4.3</w:t>
      </w:r>
      <w:r>
        <w:rPr>
          <w:rFonts w:hint="eastAsia" w:ascii="宋体" w:hAnsi="宋体" w:cs="宋体"/>
          <w:sz w:val="21"/>
          <w:szCs w:val="21"/>
          <w:highlight w:val="none"/>
        </w:rPr>
        <w:t>条规定的情形外，在采购过程中符合要求的供应商或者报价未超过采购预算的供应商不足</w:t>
      </w:r>
      <w:r>
        <w:rPr>
          <w:rFonts w:ascii="宋体" w:hAnsi="宋体" w:cs="宋体"/>
          <w:sz w:val="21"/>
          <w:szCs w:val="21"/>
          <w:highlight w:val="none"/>
        </w:rPr>
        <w:t>3</w:t>
      </w:r>
      <w:r>
        <w:rPr>
          <w:rFonts w:hint="eastAsia" w:ascii="宋体" w:hAnsi="宋体" w:cs="宋体"/>
          <w:sz w:val="21"/>
          <w:szCs w:val="21"/>
          <w:highlight w:val="none"/>
        </w:rPr>
        <w:t>家的。</w:t>
      </w:r>
    </w:p>
    <w:p w14:paraId="44C30D0F">
      <w:pPr>
        <w:spacing w:line="360" w:lineRule="auto"/>
        <w:ind w:firstLine="420" w:firstLineChars="200"/>
        <w:rPr>
          <w:rFonts w:ascii="宋体" w:hAnsi="宋体" w:cs="宋体"/>
          <w:sz w:val="21"/>
          <w:szCs w:val="21"/>
          <w:highlight w:val="none"/>
        </w:rPr>
      </w:pPr>
      <w:r>
        <w:rPr>
          <w:rFonts w:ascii="宋体" w:hAnsi="宋体" w:cs="宋体"/>
          <w:sz w:val="21"/>
          <w:szCs w:val="21"/>
          <w:highlight w:val="none"/>
        </w:rPr>
        <w:t xml:space="preserve">27.5 </w:t>
      </w:r>
      <w:r>
        <w:rPr>
          <w:rFonts w:hint="eastAsia" w:ascii="宋体" w:hAnsi="宋体" w:cs="宋体"/>
          <w:sz w:val="21"/>
          <w:szCs w:val="21"/>
          <w:highlight w:val="none"/>
        </w:rPr>
        <w:t>在采购活动中因重大变故，采购任务取消的，采购人或者采购代理机构应当终止采购活动，通知所有参加采购活动的供应商，并将项目实施情况和采购任务取消原因报送本级财政部门。</w:t>
      </w:r>
    </w:p>
    <w:p w14:paraId="1E58E13C">
      <w:pPr>
        <w:spacing w:line="360" w:lineRule="auto"/>
        <w:ind w:firstLine="422" w:firstLineChars="200"/>
        <w:rPr>
          <w:rFonts w:ascii="宋体" w:hAnsi="宋体" w:cs="宋体"/>
          <w:b/>
          <w:bCs/>
          <w:sz w:val="21"/>
          <w:szCs w:val="21"/>
          <w:highlight w:val="none"/>
        </w:rPr>
      </w:pPr>
      <w:r>
        <w:rPr>
          <w:rFonts w:hint="eastAsia" w:ascii="宋体" w:hAnsi="宋体" w:cs="宋体"/>
          <w:b/>
          <w:bCs/>
          <w:sz w:val="21"/>
          <w:szCs w:val="21"/>
          <w:highlight w:val="none"/>
        </w:rPr>
        <w:t>28.履约保证金</w:t>
      </w:r>
    </w:p>
    <w:p w14:paraId="52C5875F">
      <w:pPr>
        <w:spacing w:line="360" w:lineRule="auto"/>
        <w:ind w:firstLine="424" w:firstLineChars="202"/>
        <w:rPr>
          <w:rFonts w:ascii="宋体" w:hAnsi="宋体" w:cs="宋体"/>
          <w:sz w:val="21"/>
          <w:szCs w:val="21"/>
          <w:highlight w:val="none"/>
        </w:rPr>
      </w:pPr>
      <w:r>
        <w:rPr>
          <w:rFonts w:hint="eastAsia" w:ascii="宋体" w:hAnsi="宋体" w:cs="宋体"/>
          <w:sz w:val="21"/>
          <w:szCs w:val="21"/>
          <w:highlight w:val="none"/>
        </w:rPr>
        <w:t>28.1履约保证金的金额、提交方式、退付的时间和条件详见“供应商须知前附表”。</w:t>
      </w:r>
    </w:p>
    <w:p w14:paraId="7EE739C6">
      <w:pPr>
        <w:spacing w:line="360" w:lineRule="auto"/>
        <w:ind w:firstLine="424" w:firstLineChars="202"/>
        <w:rPr>
          <w:rFonts w:ascii="宋体" w:hAnsi="宋体" w:cs="宋体"/>
          <w:sz w:val="21"/>
          <w:szCs w:val="21"/>
          <w:highlight w:val="none"/>
        </w:rPr>
      </w:pPr>
      <w:r>
        <w:rPr>
          <w:rFonts w:hint="eastAsia" w:ascii="宋体" w:hAnsi="宋体" w:cs="宋体"/>
          <w:sz w:val="21"/>
          <w:szCs w:val="21"/>
          <w:highlight w:val="none"/>
        </w:rPr>
        <w:t>28.2在履约保证金退还日期前，若成交供应商的开户名称、开户银行、</w:t>
      </w:r>
      <w:r>
        <w:rPr>
          <w:rFonts w:hint="eastAsia" w:ascii="宋体" w:hAnsi="宋体" w:cs="宋体"/>
          <w:sz w:val="21"/>
          <w:szCs w:val="21"/>
          <w:highlight w:val="none"/>
          <w:lang w:eastAsia="zh-CN"/>
        </w:rPr>
        <w:t>账号</w:t>
      </w:r>
      <w:r>
        <w:rPr>
          <w:rFonts w:hint="eastAsia" w:ascii="宋体" w:hAnsi="宋体" w:cs="宋体"/>
          <w:sz w:val="21"/>
          <w:szCs w:val="21"/>
          <w:highlight w:val="none"/>
        </w:rPr>
        <w:t>有变动的，请以书面形式通知履约保证金收取单位，否则由此产生的后果由成交供应商自行承担。</w:t>
      </w:r>
    </w:p>
    <w:p w14:paraId="07A06136">
      <w:pPr>
        <w:spacing w:line="360" w:lineRule="auto"/>
        <w:ind w:firstLine="422" w:firstLineChars="200"/>
        <w:rPr>
          <w:rFonts w:ascii="宋体" w:hAnsi="宋体" w:cs="宋体"/>
          <w:b/>
          <w:bCs/>
          <w:sz w:val="21"/>
          <w:szCs w:val="21"/>
          <w:highlight w:val="none"/>
        </w:rPr>
      </w:pPr>
      <w:r>
        <w:rPr>
          <w:rFonts w:hint="eastAsia" w:ascii="宋体" w:hAnsi="宋体" w:cs="宋体"/>
          <w:b/>
          <w:bCs/>
          <w:sz w:val="21"/>
          <w:szCs w:val="21"/>
          <w:highlight w:val="none"/>
        </w:rPr>
        <w:t>29.签订合同</w:t>
      </w:r>
    </w:p>
    <w:p w14:paraId="2EBE06E5">
      <w:pPr>
        <w:spacing w:line="360" w:lineRule="auto"/>
        <w:ind w:firstLine="424" w:firstLineChars="202"/>
        <w:rPr>
          <w:rFonts w:ascii="宋体" w:hAnsi="宋体" w:cs="宋体"/>
          <w:sz w:val="21"/>
          <w:szCs w:val="21"/>
          <w:highlight w:val="none"/>
        </w:rPr>
      </w:pPr>
      <w:r>
        <w:rPr>
          <w:rFonts w:hint="eastAsia" w:ascii="宋体" w:hAnsi="宋体" w:cs="宋体"/>
          <w:sz w:val="21"/>
          <w:szCs w:val="21"/>
          <w:highlight w:val="none"/>
        </w:rPr>
        <w:t>29.1成交供应商在收到成交通知书（书面或电子）后，应当在签订合同时向采购人出示相关证明材料，具体内容详见“供应商须知前附表”，经采购人核验合格后方可签订合同（书面或电子）。如成交供应商为联合体的，联合体各方应当共同与采购人签订采购合同，就采购合同约定的事项对采购人承担连带责任。</w:t>
      </w:r>
    </w:p>
    <w:p w14:paraId="63EF8F0D">
      <w:pPr>
        <w:keepNext w:val="0"/>
        <w:keepLines w:val="0"/>
        <w:pageBreakBefore w:val="0"/>
        <w:widowControl/>
        <w:shd w:val="clear" w:color="auto" w:fill="auto"/>
        <w:kinsoku/>
        <w:wordWrap/>
        <w:overflowPunct/>
        <w:topLinePunct w:val="0"/>
        <w:autoSpaceDE/>
        <w:autoSpaceDN/>
        <w:bidi w:val="0"/>
        <w:adjustRightInd/>
        <w:snapToGrid/>
        <w:spacing w:before="0" w:beforeLines="-2147483648" w:after="0" w:afterLines="-2147483648" w:line="360" w:lineRule="auto"/>
        <w:ind w:firstLine="424" w:firstLineChars="202"/>
        <w:textAlignment w:val="auto"/>
        <w:rPr>
          <w:rFonts w:hint="eastAsia" w:ascii="宋体" w:hAnsi="宋体" w:eastAsia="宋体" w:cs="宋体"/>
          <w:color w:val="auto"/>
          <w:highlight w:val="none"/>
          <w:lang w:eastAsia="zh-CN"/>
        </w:rPr>
      </w:pPr>
      <w:r>
        <w:rPr>
          <w:rFonts w:hint="eastAsia" w:ascii="宋体" w:hAnsi="宋体" w:cs="宋体"/>
          <w:sz w:val="21"/>
          <w:szCs w:val="21"/>
          <w:highlight w:val="none"/>
        </w:rPr>
        <w:t>29.2签订合同时间：</w:t>
      </w:r>
      <w:r>
        <w:rPr>
          <w:rFonts w:hint="eastAsia" w:ascii="宋体" w:hAnsi="宋体" w:eastAsia="宋体" w:cs="宋体"/>
          <w:color w:val="auto"/>
          <w:szCs w:val="21"/>
          <w:highlight w:val="none"/>
        </w:rPr>
        <w:t>自成交通知书发出之日起</w:t>
      </w:r>
      <w:r>
        <w:rPr>
          <w:rFonts w:hint="eastAsia" w:ascii="宋体" w:hAnsi="宋体" w:eastAsia="宋体" w:cs="宋体"/>
          <w:color w:val="auto"/>
          <w:szCs w:val="21"/>
          <w:highlight w:val="none"/>
          <w:lang w:val="en-US" w:eastAsia="zh-CN"/>
        </w:rPr>
        <w:t>8个工作</w:t>
      </w:r>
      <w:r>
        <w:rPr>
          <w:rFonts w:hint="eastAsia" w:ascii="宋体" w:hAnsi="宋体" w:eastAsia="宋体" w:cs="宋体"/>
          <w:color w:val="auto"/>
          <w:szCs w:val="21"/>
          <w:highlight w:val="none"/>
        </w:rPr>
        <w:t>日内</w:t>
      </w:r>
      <w:r>
        <w:rPr>
          <w:rFonts w:hint="eastAsia" w:ascii="宋体" w:hAnsi="宋体" w:eastAsia="宋体" w:cs="宋体"/>
          <w:color w:val="auto"/>
          <w:highlight w:val="none"/>
          <w:lang w:eastAsia="zh-CN"/>
        </w:rPr>
        <w:t>；</w:t>
      </w:r>
    </w:p>
    <w:p w14:paraId="4CCF8EF7">
      <w:pPr>
        <w:spacing w:line="360" w:lineRule="auto"/>
        <w:ind w:firstLine="426" w:firstLineChars="202"/>
        <w:rPr>
          <w:rFonts w:ascii="宋体" w:hAnsi="宋体" w:cs="宋体"/>
          <w:b/>
          <w:sz w:val="21"/>
          <w:szCs w:val="21"/>
          <w:highlight w:val="none"/>
        </w:rPr>
      </w:pPr>
      <w:r>
        <w:rPr>
          <w:rFonts w:ascii="宋体" w:hAnsi="宋体" w:cs="宋体"/>
          <w:b/>
          <w:sz w:val="21"/>
          <w:szCs w:val="21"/>
          <w:highlight w:val="none"/>
        </w:rPr>
        <w:t>29.3成交供应</w:t>
      </w:r>
      <w:r>
        <w:rPr>
          <w:rFonts w:hint="eastAsia" w:ascii="宋体" w:hAnsi="宋体" w:cs="宋体"/>
          <w:b/>
          <w:sz w:val="21"/>
          <w:szCs w:val="21"/>
          <w:highlight w:val="none"/>
        </w:rPr>
        <w:t>商拒绝与采购人签订合同的，按照本磋商文件之《供应商须知正文》第</w:t>
      </w:r>
      <w:r>
        <w:rPr>
          <w:rFonts w:ascii="宋体" w:hAnsi="宋体" w:cs="宋体"/>
          <w:b/>
          <w:sz w:val="21"/>
          <w:szCs w:val="21"/>
          <w:highlight w:val="none"/>
        </w:rPr>
        <w:t>27.3条的规定执行。</w:t>
      </w:r>
    </w:p>
    <w:p w14:paraId="18562417">
      <w:pPr>
        <w:spacing w:line="360" w:lineRule="auto"/>
        <w:ind w:firstLine="424" w:firstLineChars="202"/>
        <w:rPr>
          <w:rFonts w:ascii="宋体" w:hAnsi="宋体" w:cs="宋体"/>
          <w:sz w:val="21"/>
          <w:szCs w:val="21"/>
          <w:highlight w:val="none"/>
        </w:rPr>
      </w:pPr>
      <w:r>
        <w:rPr>
          <w:rFonts w:ascii="宋体" w:hAnsi="宋体" w:cs="宋体"/>
          <w:sz w:val="21"/>
          <w:szCs w:val="21"/>
          <w:highlight w:val="none"/>
        </w:rPr>
        <w:t>29.4</w:t>
      </w:r>
      <w:r>
        <w:rPr>
          <w:rFonts w:hint="eastAsia" w:ascii="宋体" w:hAnsi="宋体" w:cs="宋体"/>
          <w:sz w:val="21"/>
          <w:szCs w:val="21"/>
          <w:highlight w:val="none"/>
        </w:rPr>
        <w:t>政府采购合同是政府采购项目验收的依据，成交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3BB33629">
      <w:pPr>
        <w:spacing w:line="360" w:lineRule="auto"/>
        <w:ind w:firstLine="424" w:firstLineChars="202"/>
        <w:rPr>
          <w:rFonts w:ascii="宋体" w:hAnsi="宋体" w:cs="宋体"/>
          <w:sz w:val="21"/>
          <w:szCs w:val="21"/>
          <w:highlight w:val="none"/>
        </w:rPr>
      </w:pPr>
      <w:r>
        <w:rPr>
          <w:rFonts w:ascii="宋体" w:hAnsi="宋体" w:cs="宋体"/>
          <w:sz w:val="21"/>
          <w:szCs w:val="21"/>
          <w:highlight w:val="none"/>
        </w:rPr>
        <w:t>29.5</w:t>
      </w:r>
      <w:r>
        <w:rPr>
          <w:rFonts w:hint="eastAsia" w:ascii="宋体" w:hAnsi="宋体" w:cs="宋体"/>
          <w:sz w:val="21"/>
          <w:szCs w:val="21"/>
          <w:highlight w:val="none"/>
        </w:rPr>
        <w:t>采购人或成交供应商不得单方面向合同另一方提出任何磋商文件没有约定的条件或不合理的要求，作为签订合同的条件；也不得协商另行订立背离磋商文件和合同实质性内容的协议。</w:t>
      </w:r>
    </w:p>
    <w:p w14:paraId="65319863">
      <w:pPr>
        <w:spacing w:line="360" w:lineRule="auto"/>
        <w:ind w:firstLine="424" w:firstLineChars="202"/>
        <w:rPr>
          <w:rFonts w:ascii="宋体" w:hAnsi="宋体" w:cs="宋体"/>
          <w:sz w:val="21"/>
          <w:szCs w:val="21"/>
          <w:highlight w:val="none"/>
        </w:rPr>
      </w:pPr>
      <w:r>
        <w:rPr>
          <w:rFonts w:ascii="宋体" w:hAnsi="宋体" w:cs="宋体"/>
          <w:sz w:val="21"/>
          <w:szCs w:val="21"/>
          <w:highlight w:val="none"/>
        </w:rPr>
        <w:t>29.6</w:t>
      </w:r>
      <w:r>
        <w:rPr>
          <w:rFonts w:hint="eastAsia" w:ascii="宋体" w:hAnsi="宋体" w:cs="宋体"/>
          <w:sz w:val="21"/>
          <w:szCs w:val="21"/>
          <w:highlight w:val="none"/>
        </w:rPr>
        <w:t>如签订合同并生效后，供应商无故拒绝或延期，除按照合同条款处理外，将承担相应的法律责任。</w:t>
      </w:r>
    </w:p>
    <w:p w14:paraId="4BD92FC6">
      <w:pPr>
        <w:spacing w:line="360" w:lineRule="auto"/>
        <w:ind w:firstLine="424" w:firstLineChars="202"/>
        <w:rPr>
          <w:rFonts w:ascii="宋体" w:hAnsi="宋体" w:cs="宋体"/>
          <w:sz w:val="21"/>
          <w:szCs w:val="21"/>
          <w:highlight w:val="none"/>
        </w:rPr>
      </w:pPr>
      <w:r>
        <w:rPr>
          <w:rFonts w:ascii="宋体" w:hAnsi="宋体" w:cs="宋体"/>
          <w:sz w:val="21"/>
          <w:szCs w:val="21"/>
          <w:highlight w:val="none"/>
        </w:rPr>
        <w:t>29.7</w:t>
      </w:r>
      <w:r>
        <w:rPr>
          <w:rFonts w:hint="eastAsia" w:ascii="宋体" w:hAnsi="宋体" w:cs="宋体"/>
          <w:sz w:val="21"/>
          <w:szCs w:val="21"/>
          <w:highlight w:val="none"/>
        </w:rPr>
        <w:t>政府采购合同履行中，采购人需追加与合同标的相同的货物、工程或者服务的，在不改变合同其他条款的前提下，可以与供应商协商签订补充合同，但所有补充合同的采购金额不得超过原合同采购金额的</w:t>
      </w:r>
      <w:r>
        <w:rPr>
          <w:rFonts w:ascii="宋体" w:hAnsi="宋体" w:cs="宋体"/>
          <w:sz w:val="21"/>
          <w:szCs w:val="21"/>
          <w:highlight w:val="none"/>
        </w:rPr>
        <w:t>10%</w:t>
      </w:r>
      <w:r>
        <w:rPr>
          <w:rFonts w:hint="eastAsia" w:ascii="宋体" w:hAnsi="宋体" w:cs="宋体"/>
          <w:sz w:val="21"/>
          <w:szCs w:val="21"/>
          <w:highlight w:val="none"/>
        </w:rPr>
        <w:t>。</w:t>
      </w:r>
    </w:p>
    <w:p w14:paraId="4D3920D3">
      <w:pPr>
        <w:spacing w:line="360" w:lineRule="auto"/>
        <w:ind w:firstLine="422" w:firstLineChars="200"/>
        <w:rPr>
          <w:rFonts w:ascii="宋体" w:hAnsi="宋体" w:cs="宋体"/>
          <w:b/>
          <w:bCs/>
          <w:sz w:val="21"/>
          <w:szCs w:val="21"/>
          <w:highlight w:val="none"/>
        </w:rPr>
      </w:pPr>
      <w:r>
        <w:rPr>
          <w:rFonts w:hint="eastAsia" w:ascii="宋体" w:hAnsi="宋体" w:cs="宋体"/>
          <w:b/>
          <w:bCs/>
          <w:sz w:val="21"/>
          <w:szCs w:val="21"/>
          <w:highlight w:val="none"/>
        </w:rPr>
        <w:t>30.政府采购合同公告</w:t>
      </w:r>
    </w:p>
    <w:p w14:paraId="23AD1C64">
      <w:pPr>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w:t>
      </w:r>
    </w:p>
    <w:p w14:paraId="4326E4B8">
      <w:pPr>
        <w:spacing w:line="360" w:lineRule="auto"/>
        <w:ind w:firstLine="422" w:firstLineChars="200"/>
        <w:rPr>
          <w:rFonts w:ascii="宋体" w:hAnsi="宋体" w:cs="宋体"/>
          <w:b/>
          <w:bCs/>
          <w:sz w:val="21"/>
          <w:szCs w:val="21"/>
          <w:highlight w:val="none"/>
        </w:rPr>
      </w:pPr>
      <w:r>
        <w:rPr>
          <w:rFonts w:hint="eastAsia" w:ascii="宋体" w:hAnsi="宋体" w:cs="宋体"/>
          <w:b/>
          <w:bCs/>
          <w:sz w:val="21"/>
          <w:szCs w:val="21"/>
          <w:highlight w:val="none"/>
        </w:rPr>
        <w:t>31.询问、质疑和投诉</w:t>
      </w:r>
    </w:p>
    <w:p w14:paraId="4621501E">
      <w:pPr>
        <w:pStyle w:val="6"/>
        <w:spacing w:line="360" w:lineRule="auto"/>
        <w:rPr>
          <w:rFonts w:ascii="宋体" w:hAnsi="宋体" w:cs="宋体"/>
          <w:sz w:val="21"/>
          <w:szCs w:val="21"/>
          <w:highlight w:val="none"/>
        </w:rPr>
      </w:pPr>
      <w:r>
        <w:rPr>
          <w:rFonts w:hint="eastAsia" w:ascii="宋体" w:hAnsi="宋体" w:cs="宋体"/>
          <w:sz w:val="21"/>
          <w:szCs w:val="21"/>
          <w:highlight w:val="none"/>
        </w:rPr>
        <w:t>31.1供应商对政府采购活动事项有疑问的，可以向采购人、采购代理机构提出询问，采购人或者采购代理机构应当在3个工作日内对供应商依法提出的询问做出答复，但答复的内容不得涉及商业秘密。</w:t>
      </w:r>
    </w:p>
    <w:p w14:paraId="070B709C">
      <w:pPr>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31.2供应商认为磋商文件、采购过程或者成交结果使自己的合法权益受到损害的，应当在知道或者应知其权益受到损害之日起7个工作日内，以书面形式向采购人、采购代理机构提出质疑，接收质疑函的方式、联系部门、联系电话和通讯地址等信息详见“供应商须知前附表”。具体质疑起算时间如下：</w:t>
      </w:r>
    </w:p>
    <w:p w14:paraId="5CEBBEC0">
      <w:pPr>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（1）对可以质疑的磋商文件提出质疑的，为收到磋商文件之日或者竞争性磋商公告期限届满之日；</w:t>
      </w:r>
    </w:p>
    <w:p w14:paraId="5B01C0C9">
      <w:pPr>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（2）对采购过程提出质疑的，为各采购程序环节结束之日；</w:t>
      </w:r>
    </w:p>
    <w:p w14:paraId="6D4DD494">
      <w:pPr>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（3）对成交结果提出质疑的，为成交结果公告期限届满之日。</w:t>
      </w:r>
    </w:p>
    <w:p w14:paraId="5DE131BE">
      <w:pPr>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31.3供应商提出的询问或者质疑超出采购人对采购代理机构委托授权范围的，采购代理机构应当告知供应商向采购人提出。政府采购评审专家应当配合采购人或者采购代理机构答复供应商的询问和质疑。</w:t>
      </w:r>
    </w:p>
    <w:p w14:paraId="233E2928">
      <w:pPr>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31.4供应商提出质疑应当提交质疑函和必要的证明材料，针对同一采购程序环节的质疑必须在法定质疑期内一次性提出。质疑函应当包括下列内容</w:t>
      </w:r>
      <w:r>
        <w:rPr>
          <w:rFonts w:hint="eastAsia" w:ascii="宋体" w:hAnsi="宋体" w:cs="宋体"/>
          <w:bCs/>
          <w:sz w:val="21"/>
          <w:szCs w:val="21"/>
          <w:highlight w:val="none"/>
        </w:rPr>
        <w:t>（质疑函格式后附）</w:t>
      </w:r>
      <w:r>
        <w:rPr>
          <w:rFonts w:hint="eastAsia" w:ascii="宋体" w:hAnsi="宋体" w:cs="宋体"/>
          <w:sz w:val="21"/>
          <w:szCs w:val="21"/>
          <w:highlight w:val="none"/>
        </w:rPr>
        <w:t>：</w:t>
      </w:r>
    </w:p>
    <w:p w14:paraId="22BDA2EC">
      <w:pPr>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（1）供应商的姓名或者名称、地址、邮编、联系人及联系电话；</w:t>
      </w:r>
    </w:p>
    <w:p w14:paraId="602004D5">
      <w:pPr>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（2）质疑项目的名称、编号；</w:t>
      </w:r>
    </w:p>
    <w:p w14:paraId="47665C0F">
      <w:pPr>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（3）具体、明确的质疑事项和与质疑事项相关的请求；</w:t>
      </w:r>
    </w:p>
    <w:p w14:paraId="3CE68EE1">
      <w:pPr>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（4）事实依据；</w:t>
      </w:r>
    </w:p>
    <w:p w14:paraId="74042900">
      <w:pPr>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（5）必要的法律依据；</w:t>
      </w:r>
    </w:p>
    <w:p w14:paraId="5EA5C7FB">
      <w:pPr>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（6）提出质疑的日期。</w:t>
      </w:r>
    </w:p>
    <w:p w14:paraId="18F5C014">
      <w:pPr>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供应商为自然人的，应当由本人签字或签章；供应商为法人或者其他组织的，应当由法定代表人、主要负责人，或者其委托代理人签字或签章，并加盖公章。</w:t>
      </w:r>
    </w:p>
    <w:p w14:paraId="26D67537">
      <w:pPr>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31.5采购人、采购代理机构认为供应商质疑不成立，或者成立但未对成交结果构成影响的，继续开展采购活动；认为供应商质疑成立且影响或者可能影响成交结果的，按照下列情况处理：</w:t>
      </w:r>
    </w:p>
    <w:p w14:paraId="0C5B906E">
      <w:pPr>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（1）对采购文件提出的质疑，依法通过澄清或者修改可以继续开展采购活动的，澄清或者修改采购文件后继续开展采购活动；否则应当修改采购文件后重新开展采购活动。</w:t>
      </w:r>
    </w:p>
    <w:p w14:paraId="2FC09072">
      <w:pPr>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（2）对采购过程或者成交结果提出的质疑，合格供应商符合法定数量时，可以从合格的成交候选人中另行确定成交供应商的，应当依法另行确定成交供应商；否则应当重新开展采购活动。</w:t>
      </w:r>
    </w:p>
    <w:p w14:paraId="09724002">
      <w:pPr>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质疑答复导致成交结果改变的，采购人或者采购代理机构应当将有关情况书面报告本级财政部门。</w:t>
      </w:r>
    </w:p>
    <w:p w14:paraId="7F0E30FD">
      <w:pPr>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31.6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p>
    <w:p w14:paraId="5E7A56D0">
      <w:pPr>
        <w:spacing w:line="360" w:lineRule="auto"/>
        <w:ind w:firstLine="422" w:firstLineChars="200"/>
        <w:rPr>
          <w:rFonts w:ascii="宋体" w:hAnsi="宋体" w:cs="宋体"/>
          <w:b/>
          <w:bCs/>
          <w:sz w:val="21"/>
          <w:szCs w:val="21"/>
          <w:highlight w:val="none"/>
        </w:rPr>
      </w:pPr>
      <w:r>
        <w:rPr>
          <w:rFonts w:hint="eastAsia" w:ascii="宋体" w:hAnsi="宋体" w:cs="宋体"/>
          <w:b/>
          <w:bCs/>
          <w:sz w:val="21"/>
          <w:szCs w:val="21"/>
          <w:highlight w:val="none"/>
        </w:rPr>
        <w:t>32.其他内容</w:t>
      </w:r>
    </w:p>
    <w:p w14:paraId="166161FA">
      <w:pPr>
        <w:tabs>
          <w:tab w:val="left" w:pos="2835"/>
        </w:tabs>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32.1代理服务费：代理服务收取标准及缴费账户详见“供应商须知前附表”，供应商为联合体的，可以由联合体中的一方或者多方共同交纳代理服务费。</w:t>
      </w:r>
    </w:p>
    <w:p w14:paraId="30F86353">
      <w:pPr>
        <w:tabs>
          <w:tab w:val="left" w:pos="2835"/>
        </w:tabs>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32.2代理服务费收费计算标准：</w:t>
      </w:r>
      <w:r>
        <w:rPr>
          <w:rFonts w:hint="eastAsia" w:ascii="宋体" w:hAnsi="宋体" w:cs="宋体"/>
          <w:color w:val="auto"/>
          <w:szCs w:val="21"/>
          <w:highlight w:val="none"/>
          <w:lang w:val="en-US" w:eastAsia="zh-CN"/>
        </w:rPr>
        <w:t>详见供应商须知前附表</w:t>
      </w:r>
      <w:r>
        <w:rPr>
          <w:rFonts w:hint="eastAsia" w:ascii="宋体" w:hAnsi="宋体" w:cs="宋体"/>
          <w:color w:val="auto"/>
          <w:szCs w:val="21"/>
          <w:highlight w:val="none"/>
        </w:rPr>
        <w:t>。</w:t>
      </w:r>
    </w:p>
    <w:p w14:paraId="4F59425B">
      <w:pPr>
        <w:spacing w:line="360" w:lineRule="auto"/>
        <w:ind w:firstLine="422" w:firstLineChars="200"/>
        <w:rPr>
          <w:rFonts w:ascii="宋体" w:hAnsi="宋体" w:cs="宋体"/>
          <w:b/>
          <w:bCs/>
          <w:sz w:val="21"/>
          <w:szCs w:val="21"/>
          <w:highlight w:val="none"/>
        </w:rPr>
      </w:pPr>
      <w:r>
        <w:rPr>
          <w:rFonts w:hint="eastAsia" w:ascii="宋体" w:hAnsi="宋体" w:cs="宋体"/>
          <w:b/>
          <w:bCs/>
          <w:sz w:val="21"/>
          <w:szCs w:val="21"/>
          <w:highlight w:val="none"/>
        </w:rPr>
        <w:t>33.需要补充的其他内容</w:t>
      </w:r>
    </w:p>
    <w:p w14:paraId="2E5380F0">
      <w:pPr>
        <w:pStyle w:val="17"/>
        <w:spacing w:line="360" w:lineRule="auto"/>
        <w:ind w:firstLine="420" w:firstLineChars="200"/>
        <w:textAlignment w:val="center"/>
        <w:rPr>
          <w:rFonts w:hAnsi="宋体" w:cs="宋体"/>
          <w:kern w:val="2"/>
          <w:sz w:val="21"/>
          <w:szCs w:val="21"/>
          <w:highlight w:val="none"/>
        </w:rPr>
      </w:pPr>
      <w:r>
        <w:rPr>
          <w:rFonts w:hint="eastAsia" w:hAnsi="宋体" w:cs="宋体"/>
          <w:kern w:val="2"/>
          <w:sz w:val="21"/>
          <w:szCs w:val="21"/>
          <w:highlight w:val="none"/>
        </w:rPr>
        <w:t>33.1本磋商文件解释规则详见“供应商须知前附表”。</w:t>
      </w:r>
    </w:p>
    <w:p w14:paraId="548655E5">
      <w:pPr>
        <w:pStyle w:val="17"/>
        <w:spacing w:line="360" w:lineRule="auto"/>
        <w:ind w:firstLine="420" w:firstLineChars="200"/>
        <w:textAlignment w:val="center"/>
        <w:rPr>
          <w:rFonts w:hAnsi="宋体" w:cs="宋体"/>
          <w:kern w:val="2"/>
          <w:sz w:val="21"/>
          <w:szCs w:val="21"/>
          <w:highlight w:val="none"/>
        </w:rPr>
      </w:pPr>
      <w:r>
        <w:rPr>
          <w:rFonts w:hint="eastAsia" w:hAnsi="宋体" w:cs="宋体"/>
          <w:kern w:val="2"/>
          <w:sz w:val="21"/>
          <w:szCs w:val="21"/>
          <w:highlight w:val="none"/>
        </w:rPr>
        <w:t>33.2 其他事项详见“供应商须知前附表”。</w:t>
      </w:r>
    </w:p>
    <w:p w14:paraId="409A22CF">
      <w:pPr>
        <w:pStyle w:val="17"/>
        <w:spacing w:line="360" w:lineRule="auto"/>
        <w:ind w:firstLine="420" w:firstLineChars="200"/>
        <w:textAlignment w:val="center"/>
        <w:rPr>
          <w:rFonts w:hAnsi="宋体" w:cs="宋体"/>
          <w:kern w:val="2"/>
          <w:sz w:val="21"/>
          <w:szCs w:val="21"/>
          <w:highlight w:val="none"/>
        </w:rPr>
      </w:pPr>
      <w:r>
        <w:rPr>
          <w:rFonts w:hint="eastAsia" w:hAnsi="宋体" w:cs="宋体"/>
          <w:kern w:val="2"/>
          <w:sz w:val="21"/>
          <w:szCs w:val="21"/>
          <w:highlight w:val="none"/>
        </w:rPr>
        <w:t>33.3本磋商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磋商文件规定的中小企业扶持政策：</w:t>
      </w:r>
    </w:p>
    <w:p w14:paraId="74363943">
      <w:pPr>
        <w:pStyle w:val="17"/>
        <w:spacing w:line="360" w:lineRule="auto"/>
        <w:ind w:firstLine="420" w:firstLineChars="200"/>
        <w:contextualSpacing/>
        <w:rPr>
          <w:rFonts w:hAnsi="宋体" w:cs="宋体"/>
          <w:sz w:val="21"/>
          <w:szCs w:val="21"/>
          <w:highlight w:val="none"/>
        </w:rPr>
      </w:pPr>
      <w:r>
        <w:rPr>
          <w:rFonts w:hint="eastAsia" w:hAnsi="宋体" w:cs="宋体"/>
          <w:sz w:val="21"/>
          <w:szCs w:val="21"/>
          <w:highlight w:val="none"/>
        </w:rPr>
        <w:t>（1）在货物采购项目中，货物由中小企业制造，即货物由中小企业生产且使用该中小企业商号或者注册商标，不对其中涉及的工程承建商和服务的承接商作出要求；</w:t>
      </w:r>
    </w:p>
    <w:p w14:paraId="5F3FA5EA">
      <w:pPr>
        <w:pStyle w:val="17"/>
        <w:spacing w:line="360" w:lineRule="auto"/>
        <w:ind w:firstLine="420" w:firstLineChars="200"/>
        <w:contextualSpacing/>
        <w:rPr>
          <w:rFonts w:hAnsi="宋体" w:cs="宋体"/>
          <w:sz w:val="21"/>
          <w:szCs w:val="21"/>
          <w:highlight w:val="none"/>
        </w:rPr>
      </w:pPr>
      <w:r>
        <w:rPr>
          <w:rFonts w:hint="eastAsia" w:hAnsi="宋体" w:cs="宋体"/>
          <w:sz w:val="21"/>
          <w:szCs w:val="21"/>
          <w:highlight w:val="none"/>
        </w:rPr>
        <w:t>（2）在工程采购项目中，工程由中小企业承建，即工程施工单位为中小企业，不对其中涉及的货物的制造商和服务的承接商作出要求；</w:t>
      </w:r>
    </w:p>
    <w:p w14:paraId="27CCF579">
      <w:pPr>
        <w:pStyle w:val="17"/>
        <w:spacing w:line="360" w:lineRule="auto"/>
        <w:ind w:firstLine="420" w:firstLineChars="200"/>
        <w:contextualSpacing/>
        <w:rPr>
          <w:rFonts w:hAnsi="宋体" w:cs="宋体"/>
          <w:sz w:val="21"/>
          <w:szCs w:val="21"/>
          <w:highlight w:val="none"/>
        </w:rPr>
      </w:pPr>
      <w:r>
        <w:rPr>
          <w:rFonts w:hint="eastAsia" w:hAnsi="宋体" w:cs="宋体"/>
          <w:sz w:val="21"/>
          <w:szCs w:val="21"/>
          <w:highlight w:val="none"/>
        </w:rPr>
        <w:t>（3）在服务采购项目中，服务由中小企业承接，即提供服务的人员为中小企业依照《中华人民共和国劳动合同法》订立劳动合同的从业人员，不对其中涉及的货物的制造商和工程承建商作出要求。</w:t>
      </w:r>
    </w:p>
    <w:p w14:paraId="7CF1F945">
      <w:pPr>
        <w:pStyle w:val="17"/>
        <w:spacing w:line="360" w:lineRule="auto"/>
        <w:ind w:firstLine="420" w:firstLineChars="200"/>
        <w:textAlignment w:val="center"/>
        <w:rPr>
          <w:rFonts w:hAnsi="宋体" w:cs="宋体"/>
          <w:kern w:val="2"/>
          <w:sz w:val="21"/>
          <w:szCs w:val="21"/>
          <w:highlight w:val="none"/>
        </w:rPr>
      </w:pPr>
      <w:r>
        <w:rPr>
          <w:rFonts w:hint="eastAsia" w:hAnsi="宋体" w:cs="宋体"/>
          <w:kern w:val="2"/>
          <w:sz w:val="21"/>
          <w:szCs w:val="21"/>
          <w:highlight w:val="none"/>
        </w:rPr>
        <w:t>在货物采购项目中，供应商提供的货物既有中小企业制造货物，也有大型企业制造货物的，不享受本磋商文件规定的中小企业扶持政策。以联合体形式参加政府采购活动，联合体各方均为中小企业的，联合体视同中小企业。其中，联合体各方均为小微企业的，联合体视同小微企业。</w:t>
      </w:r>
    </w:p>
    <w:p w14:paraId="5476212C">
      <w:pPr>
        <w:pStyle w:val="17"/>
        <w:spacing w:line="360" w:lineRule="auto"/>
        <w:ind w:firstLine="420" w:firstLineChars="200"/>
        <w:textAlignment w:val="center"/>
        <w:rPr>
          <w:rFonts w:hint="eastAsia" w:hAnsi="宋体" w:cs="宋体"/>
          <w:kern w:val="2"/>
          <w:sz w:val="21"/>
          <w:szCs w:val="21"/>
          <w:highlight w:val="none"/>
        </w:rPr>
      </w:pPr>
      <w:r>
        <w:rPr>
          <w:rFonts w:hint="eastAsia" w:hAnsi="宋体" w:cs="宋体"/>
          <w:kern w:val="2"/>
          <w:sz w:val="21"/>
          <w:szCs w:val="21"/>
          <w:highlight w:val="none"/>
        </w:rPr>
        <w:t>依据本磋商文件规定享受扶持政策获得政府采购合同的，小微企业不得将合同分包给大中型企业，中型企业不得将合同分包给大型企业。</w:t>
      </w:r>
    </w:p>
    <w:p w14:paraId="258AB1ED">
      <w:pPr>
        <w:ind w:firstLineChars="200"/>
        <w:textAlignment w:val="center"/>
        <w:rPr>
          <w:rFonts w:hint="eastAsia" w:hAnsi="宋体" w:cs="宋体"/>
          <w:kern w:val="2"/>
          <w:sz w:val="21"/>
          <w:szCs w:val="21"/>
          <w:highlight w:val="none"/>
        </w:rPr>
      </w:pPr>
      <w:r>
        <w:rPr>
          <w:rFonts w:hint="eastAsia" w:hAnsi="宋体" w:cs="宋体"/>
          <w:kern w:val="2"/>
          <w:sz w:val="21"/>
          <w:szCs w:val="21"/>
          <w:highlight w:val="none"/>
        </w:rPr>
        <w:br w:type="page"/>
      </w:r>
    </w:p>
    <w:p w14:paraId="79C018E9">
      <w:pPr>
        <w:spacing w:line="360" w:lineRule="auto"/>
        <w:ind w:firstLine="643" w:firstLineChars="200"/>
        <w:rPr>
          <w:rFonts w:hint="eastAsia" w:hAnsi="宋体"/>
          <w:color w:val="auto"/>
          <w:highlight w:val="none"/>
        </w:rPr>
      </w:pPr>
      <w:r>
        <w:rPr>
          <w:rFonts w:hint="eastAsia" w:ascii="宋体" w:hAnsi="宋体" w:eastAsia="宋体" w:cs="宋体"/>
          <w:b/>
          <w:bCs w:val="0"/>
          <w:color w:val="auto"/>
          <w:sz w:val="32"/>
          <w:szCs w:val="32"/>
          <w:highlight w:val="none"/>
        </w:rPr>
        <w:t>附件1：</w:t>
      </w:r>
    </w:p>
    <w:p w14:paraId="77784ADC">
      <w:pPr>
        <w:widowControl/>
        <w:shd w:val="clear" w:color="auto" w:fill="FFFFFF"/>
        <w:spacing w:line="360" w:lineRule="auto"/>
        <w:jc w:val="center"/>
        <w:rPr>
          <w:rFonts w:hint="eastAsia" w:ascii="仿宋" w:hAnsi="仿宋" w:eastAsia="仿宋" w:cs="宋体"/>
          <w:color w:val="auto"/>
          <w:kern w:val="0"/>
          <w:sz w:val="32"/>
          <w:szCs w:val="32"/>
          <w:highlight w:val="none"/>
        </w:rPr>
      </w:pPr>
      <w:r>
        <w:rPr>
          <w:rFonts w:hint="eastAsia" w:ascii="宋体" w:hAnsi="宋体" w:cs="宋体"/>
          <w:b/>
          <w:bCs/>
          <w:color w:val="auto"/>
          <w:kern w:val="0"/>
          <w:sz w:val="32"/>
          <w:szCs w:val="32"/>
          <w:highlight w:val="none"/>
        </w:rPr>
        <w:t>广西壮族自治区政府采购项目合同验收书（格式）</w:t>
      </w:r>
    </w:p>
    <w:p w14:paraId="255AE131">
      <w:pPr>
        <w:widowControl/>
        <w:shd w:val="clear" w:color="auto" w:fill="FFFFFF"/>
        <w:snapToGrid w:val="0"/>
        <w:spacing w:line="360" w:lineRule="auto"/>
        <w:ind w:firstLine="48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根据政府采购项目（</w:t>
      </w:r>
      <w:r>
        <w:rPr>
          <w:rFonts w:hint="eastAsia" w:ascii="宋体" w:hAnsi="宋体" w:eastAsia="宋体" w:cs="宋体"/>
          <w:color w:val="auto"/>
          <w:kern w:val="0"/>
          <w:szCs w:val="21"/>
          <w:highlight w:val="none"/>
          <w:u w:val="single"/>
        </w:rPr>
        <w:t>采购合同编号：</w:t>
      </w:r>
      <w:r>
        <w:rPr>
          <w:rFonts w:hint="eastAsia" w:ascii="宋体" w:hAnsi="宋体" w:eastAsia="宋体" w:cs="宋体"/>
          <w:color w:val="auto"/>
          <w:kern w:val="0"/>
          <w:szCs w:val="21"/>
          <w:highlight w:val="none"/>
          <w:u w:val="single"/>
        </w:rPr>
        <w:softHyphen/>
      </w:r>
      <w:r>
        <w:rPr>
          <w:rFonts w:hint="eastAsia" w:ascii="宋体" w:hAnsi="宋体" w:eastAsia="宋体" w:cs="宋体"/>
          <w:color w:val="auto"/>
          <w:kern w:val="0"/>
          <w:szCs w:val="21"/>
          <w:highlight w:val="none"/>
        </w:rPr>
        <w:t>）的约定，我单位对（</w:t>
      </w:r>
      <w:r>
        <w:rPr>
          <w:rFonts w:hint="eastAsia" w:ascii="宋体" w:hAnsi="宋体" w:eastAsia="宋体" w:cs="宋体"/>
          <w:color w:val="auto"/>
          <w:kern w:val="0"/>
          <w:szCs w:val="21"/>
          <w:highlight w:val="none"/>
          <w:u w:val="single"/>
        </w:rPr>
        <w:t>项目名称</w:t>
      </w:r>
      <w:r>
        <w:rPr>
          <w:rFonts w:hint="eastAsia" w:ascii="宋体" w:hAnsi="宋体" w:eastAsia="宋体" w:cs="宋体"/>
          <w:color w:val="auto"/>
          <w:kern w:val="0"/>
          <w:szCs w:val="21"/>
          <w:highlight w:val="none"/>
        </w:rPr>
        <w:t>）政府采购项目</w:t>
      </w:r>
      <w:r>
        <w:rPr>
          <w:rFonts w:hint="eastAsia" w:ascii="宋体" w:hAnsi="宋体" w:cs="宋体"/>
          <w:color w:val="auto"/>
          <w:kern w:val="0"/>
          <w:szCs w:val="21"/>
          <w:highlight w:val="none"/>
          <w:lang w:eastAsia="zh-CN"/>
        </w:rPr>
        <w:t>成交人</w:t>
      </w:r>
      <w:r>
        <w:rPr>
          <w:rFonts w:hint="eastAsia" w:ascii="宋体" w:hAnsi="宋体" w:eastAsia="宋体" w:cs="宋体"/>
          <w:color w:val="auto"/>
          <w:kern w:val="0"/>
          <w:szCs w:val="21"/>
          <w:highlight w:val="none"/>
        </w:rPr>
        <w:t>（</w:t>
      </w:r>
      <w:r>
        <w:rPr>
          <w:rFonts w:hint="eastAsia" w:ascii="宋体" w:hAnsi="宋体" w:eastAsia="宋体" w:cs="宋体"/>
          <w:color w:val="auto"/>
          <w:kern w:val="0"/>
          <w:szCs w:val="21"/>
          <w:highlight w:val="none"/>
          <w:u w:val="single"/>
        </w:rPr>
        <w:t>公司名称</w:t>
      </w:r>
      <w:r>
        <w:rPr>
          <w:rFonts w:hint="eastAsia" w:ascii="宋体" w:hAnsi="宋体" w:eastAsia="宋体" w:cs="宋体"/>
          <w:color w:val="auto"/>
          <w:kern w:val="0"/>
          <w:szCs w:val="21"/>
          <w:highlight w:val="none"/>
        </w:rPr>
        <w:t>）提供的工程（或者货物、服务）进行了验收，验收情况如下：</w:t>
      </w:r>
    </w:p>
    <w:tbl>
      <w:tblPr>
        <w:tblStyle w:val="32"/>
        <w:tblW w:w="0" w:type="auto"/>
        <w:jc w:val="center"/>
        <w:tblLayout w:type="fixed"/>
        <w:tblCellMar>
          <w:top w:w="0" w:type="dxa"/>
          <w:left w:w="0" w:type="dxa"/>
          <w:bottom w:w="0" w:type="dxa"/>
          <w:right w:w="0" w:type="dxa"/>
        </w:tblCellMar>
      </w:tblPr>
      <w:tblGrid>
        <w:gridCol w:w="824"/>
        <w:gridCol w:w="846"/>
        <w:gridCol w:w="1664"/>
        <w:gridCol w:w="818"/>
        <w:gridCol w:w="105"/>
        <w:gridCol w:w="2052"/>
        <w:gridCol w:w="183"/>
        <w:gridCol w:w="701"/>
        <w:gridCol w:w="1466"/>
      </w:tblGrid>
      <w:tr w14:paraId="0CB8A830">
        <w:tblPrEx>
          <w:tblCellMar>
            <w:top w:w="0" w:type="dxa"/>
            <w:left w:w="0" w:type="dxa"/>
            <w:bottom w:w="0" w:type="dxa"/>
            <w:right w:w="0" w:type="dxa"/>
          </w:tblCellMar>
        </w:tblPrEx>
        <w:trPr>
          <w:trHeight w:val="90" w:hRule="atLeast"/>
          <w:jc w:val="center"/>
        </w:trPr>
        <w:tc>
          <w:tcPr>
            <w:tcW w:w="3334" w:type="dxa"/>
            <w:gridSpan w:val="3"/>
            <w:tcBorders>
              <w:top w:val="single" w:color="auto" w:sz="8" w:space="0"/>
              <w:left w:val="single" w:color="auto" w:sz="8" w:space="0"/>
              <w:bottom w:val="single" w:color="auto" w:sz="8" w:space="0"/>
              <w:right w:val="single" w:color="auto" w:sz="8" w:space="0"/>
            </w:tcBorders>
            <w:noWrap w:val="0"/>
            <w:vAlign w:val="center"/>
          </w:tcPr>
          <w:p w14:paraId="32DFB5B2">
            <w:pPr>
              <w:widowControl/>
              <w:snapToGrid w:val="0"/>
              <w:spacing w:before="100" w:beforeAutospacing="1" w:after="100" w:afterAutospacing="1" w:line="360" w:lineRule="auto"/>
              <w:ind w:firstLine="5"/>
              <w:jc w:val="center"/>
              <w:rPr>
                <w:rFonts w:ascii="Verdana" w:hAnsi="Verdana" w:cs="宋体"/>
                <w:color w:val="auto"/>
                <w:kern w:val="0"/>
                <w:szCs w:val="21"/>
                <w:highlight w:val="none"/>
              </w:rPr>
            </w:pPr>
            <w:r>
              <w:rPr>
                <w:rFonts w:ascii="Verdana" w:hAnsi="Verdana" w:cs="宋体"/>
                <w:color w:val="auto"/>
                <w:kern w:val="0"/>
                <w:szCs w:val="21"/>
                <w:highlight w:val="none"/>
              </w:rPr>
              <w:t>验收方式：</w:t>
            </w:r>
          </w:p>
        </w:tc>
        <w:tc>
          <w:tcPr>
            <w:tcW w:w="5325" w:type="dxa"/>
            <w:gridSpan w:val="6"/>
            <w:tcBorders>
              <w:top w:val="single" w:color="auto" w:sz="8" w:space="0"/>
              <w:left w:val="nil"/>
              <w:bottom w:val="single" w:color="auto" w:sz="8" w:space="0"/>
              <w:right w:val="single" w:color="auto" w:sz="8" w:space="0"/>
            </w:tcBorders>
            <w:noWrap w:val="0"/>
            <w:vAlign w:val="center"/>
          </w:tcPr>
          <w:p w14:paraId="03B2B69C">
            <w:pPr>
              <w:widowControl/>
              <w:snapToGrid w:val="0"/>
              <w:spacing w:before="100" w:beforeAutospacing="1" w:after="100" w:afterAutospacing="1" w:line="360" w:lineRule="auto"/>
              <w:jc w:val="center"/>
              <w:rPr>
                <w:rFonts w:ascii="Verdana" w:hAnsi="Verdana" w:cs="宋体"/>
                <w:color w:val="auto"/>
                <w:kern w:val="0"/>
                <w:szCs w:val="21"/>
                <w:highlight w:val="none"/>
              </w:rPr>
            </w:pPr>
            <w:r>
              <w:rPr>
                <w:rFonts w:ascii="Verdana" w:hAnsi="Verdana" w:cs="宋体"/>
                <w:color w:val="auto"/>
                <w:kern w:val="0"/>
                <w:szCs w:val="21"/>
                <w:highlight w:val="none"/>
              </w:rPr>
              <w:sym w:font="Wingdings 2" w:char="00A3"/>
            </w:r>
            <w:r>
              <w:rPr>
                <w:rFonts w:ascii="Verdana" w:hAnsi="Verdana" w:cs="宋体"/>
                <w:color w:val="auto"/>
                <w:kern w:val="0"/>
                <w:szCs w:val="21"/>
                <w:highlight w:val="none"/>
              </w:rPr>
              <w:t>自行验收</w:t>
            </w:r>
            <w:r>
              <w:rPr>
                <w:rFonts w:ascii="Verdana" w:hAnsi="Verdana" w:cs="宋体"/>
                <w:color w:val="auto"/>
                <w:kern w:val="0"/>
                <w:szCs w:val="21"/>
                <w:highlight w:val="none"/>
              </w:rPr>
              <w:sym w:font="Wingdings 2" w:char="00A3"/>
            </w:r>
            <w:r>
              <w:rPr>
                <w:rFonts w:ascii="Verdana" w:hAnsi="Verdana" w:cs="宋体"/>
                <w:color w:val="auto"/>
                <w:kern w:val="0"/>
                <w:szCs w:val="21"/>
                <w:highlight w:val="none"/>
              </w:rPr>
              <w:t>委托验收</w:t>
            </w:r>
          </w:p>
        </w:tc>
      </w:tr>
      <w:tr w14:paraId="0FD852FE">
        <w:tblPrEx>
          <w:tblCellMar>
            <w:top w:w="0" w:type="dxa"/>
            <w:left w:w="0" w:type="dxa"/>
            <w:bottom w:w="0" w:type="dxa"/>
            <w:right w:w="0" w:type="dxa"/>
          </w:tblCellMar>
        </w:tblPrEx>
        <w:trPr>
          <w:trHeight w:val="90" w:hRule="atLeast"/>
          <w:jc w:val="center"/>
        </w:trPr>
        <w:tc>
          <w:tcPr>
            <w:tcW w:w="824" w:type="dxa"/>
            <w:tcBorders>
              <w:top w:val="nil"/>
              <w:left w:val="single" w:color="auto" w:sz="8" w:space="0"/>
              <w:bottom w:val="single" w:color="auto" w:sz="8" w:space="0"/>
              <w:right w:val="single" w:color="auto" w:sz="8" w:space="0"/>
            </w:tcBorders>
            <w:noWrap w:val="0"/>
            <w:vAlign w:val="center"/>
          </w:tcPr>
          <w:p w14:paraId="112DB599">
            <w:pPr>
              <w:widowControl/>
              <w:snapToGrid w:val="0"/>
              <w:spacing w:before="100" w:beforeAutospacing="1" w:after="100" w:afterAutospacing="1" w:line="360" w:lineRule="auto"/>
              <w:ind w:firstLine="2"/>
              <w:jc w:val="center"/>
              <w:rPr>
                <w:rFonts w:ascii="Verdana" w:hAnsi="Verdana" w:cs="宋体"/>
                <w:color w:val="auto"/>
                <w:kern w:val="0"/>
                <w:szCs w:val="21"/>
                <w:highlight w:val="none"/>
              </w:rPr>
            </w:pPr>
            <w:r>
              <w:rPr>
                <w:rFonts w:ascii="Verdana" w:hAnsi="Verdana" w:cs="宋体"/>
                <w:color w:val="auto"/>
                <w:kern w:val="0"/>
                <w:szCs w:val="21"/>
                <w:highlight w:val="none"/>
              </w:rPr>
              <w:t>序号</w:t>
            </w:r>
          </w:p>
        </w:tc>
        <w:tc>
          <w:tcPr>
            <w:tcW w:w="2510" w:type="dxa"/>
            <w:gridSpan w:val="2"/>
            <w:tcBorders>
              <w:top w:val="nil"/>
              <w:left w:val="nil"/>
              <w:bottom w:val="single" w:color="auto" w:sz="8" w:space="0"/>
              <w:right w:val="single" w:color="auto" w:sz="8" w:space="0"/>
            </w:tcBorders>
            <w:noWrap w:val="0"/>
            <w:vAlign w:val="center"/>
          </w:tcPr>
          <w:p w14:paraId="451A5632">
            <w:pPr>
              <w:widowControl/>
              <w:snapToGrid w:val="0"/>
              <w:spacing w:before="100" w:beforeAutospacing="1" w:after="100" w:afterAutospacing="1" w:line="360" w:lineRule="auto"/>
              <w:ind w:firstLine="2"/>
              <w:jc w:val="center"/>
              <w:rPr>
                <w:rFonts w:ascii="Verdana" w:hAnsi="Verdana" w:cs="宋体"/>
                <w:color w:val="auto"/>
                <w:kern w:val="0"/>
                <w:szCs w:val="21"/>
                <w:highlight w:val="none"/>
              </w:rPr>
            </w:pPr>
            <w:r>
              <w:rPr>
                <w:rFonts w:ascii="Verdana" w:hAnsi="Verdana" w:cs="宋体"/>
                <w:color w:val="auto"/>
                <w:kern w:val="0"/>
                <w:szCs w:val="21"/>
                <w:highlight w:val="none"/>
              </w:rPr>
              <w:t>名称</w:t>
            </w:r>
          </w:p>
        </w:tc>
        <w:tc>
          <w:tcPr>
            <w:tcW w:w="2975" w:type="dxa"/>
            <w:gridSpan w:val="3"/>
            <w:tcBorders>
              <w:top w:val="nil"/>
              <w:left w:val="nil"/>
              <w:bottom w:val="single" w:color="auto" w:sz="8" w:space="0"/>
              <w:right w:val="single" w:color="auto" w:sz="8" w:space="0"/>
            </w:tcBorders>
            <w:noWrap w:val="0"/>
            <w:vAlign w:val="center"/>
          </w:tcPr>
          <w:p w14:paraId="7E4A552A">
            <w:pPr>
              <w:widowControl/>
              <w:snapToGrid w:val="0"/>
              <w:spacing w:before="100" w:beforeAutospacing="1" w:after="100" w:afterAutospacing="1" w:line="360" w:lineRule="auto"/>
              <w:ind w:firstLine="2"/>
              <w:jc w:val="center"/>
              <w:rPr>
                <w:rFonts w:ascii="Verdana" w:hAnsi="Verdana" w:cs="宋体"/>
                <w:color w:val="auto"/>
                <w:kern w:val="0"/>
                <w:szCs w:val="21"/>
                <w:highlight w:val="none"/>
              </w:rPr>
            </w:pPr>
            <w:r>
              <w:rPr>
                <w:rFonts w:ascii="Verdana" w:hAnsi="Verdana" w:cs="宋体"/>
                <w:color w:val="auto"/>
                <w:kern w:val="0"/>
                <w:szCs w:val="21"/>
                <w:highlight w:val="none"/>
              </w:rPr>
              <w:t>货物型号规格、标准及配置等（或者服务内容、标准）</w:t>
            </w:r>
          </w:p>
        </w:tc>
        <w:tc>
          <w:tcPr>
            <w:tcW w:w="884" w:type="dxa"/>
            <w:gridSpan w:val="2"/>
            <w:tcBorders>
              <w:top w:val="nil"/>
              <w:left w:val="nil"/>
              <w:bottom w:val="single" w:color="auto" w:sz="8" w:space="0"/>
              <w:right w:val="single" w:color="auto" w:sz="8" w:space="0"/>
            </w:tcBorders>
            <w:noWrap w:val="0"/>
            <w:vAlign w:val="center"/>
          </w:tcPr>
          <w:p w14:paraId="68D529EE">
            <w:pPr>
              <w:widowControl/>
              <w:snapToGrid w:val="0"/>
              <w:spacing w:before="100" w:beforeAutospacing="1" w:after="100" w:afterAutospacing="1" w:line="360" w:lineRule="auto"/>
              <w:jc w:val="center"/>
              <w:rPr>
                <w:rFonts w:ascii="Verdana" w:hAnsi="Verdana" w:cs="宋体"/>
                <w:color w:val="auto"/>
                <w:kern w:val="0"/>
                <w:szCs w:val="21"/>
                <w:highlight w:val="none"/>
              </w:rPr>
            </w:pPr>
            <w:r>
              <w:rPr>
                <w:rFonts w:ascii="Verdana" w:hAnsi="Verdana" w:cs="宋体"/>
                <w:color w:val="auto"/>
                <w:kern w:val="0"/>
                <w:szCs w:val="21"/>
                <w:highlight w:val="none"/>
              </w:rPr>
              <w:t>数量</w:t>
            </w:r>
          </w:p>
        </w:tc>
        <w:tc>
          <w:tcPr>
            <w:tcW w:w="1466" w:type="dxa"/>
            <w:tcBorders>
              <w:top w:val="nil"/>
              <w:left w:val="nil"/>
              <w:bottom w:val="single" w:color="auto" w:sz="8" w:space="0"/>
              <w:right w:val="single" w:color="auto" w:sz="8" w:space="0"/>
            </w:tcBorders>
            <w:noWrap w:val="0"/>
            <w:vAlign w:val="center"/>
          </w:tcPr>
          <w:p w14:paraId="716ED3CD">
            <w:pPr>
              <w:widowControl/>
              <w:snapToGrid w:val="0"/>
              <w:spacing w:before="100" w:beforeAutospacing="1" w:after="100" w:afterAutospacing="1" w:line="360" w:lineRule="auto"/>
              <w:ind w:firstLine="2"/>
              <w:jc w:val="center"/>
              <w:rPr>
                <w:rFonts w:ascii="Verdana" w:hAnsi="Verdana" w:cs="宋体"/>
                <w:color w:val="auto"/>
                <w:kern w:val="0"/>
                <w:szCs w:val="21"/>
                <w:highlight w:val="none"/>
              </w:rPr>
            </w:pPr>
            <w:r>
              <w:rPr>
                <w:rFonts w:ascii="Verdana" w:hAnsi="Verdana" w:cs="宋体"/>
                <w:color w:val="auto"/>
                <w:kern w:val="0"/>
                <w:szCs w:val="21"/>
                <w:highlight w:val="none"/>
              </w:rPr>
              <w:t>金额</w:t>
            </w:r>
          </w:p>
        </w:tc>
      </w:tr>
      <w:tr w14:paraId="4EC3E992">
        <w:tblPrEx>
          <w:tblCellMar>
            <w:top w:w="0" w:type="dxa"/>
            <w:left w:w="0" w:type="dxa"/>
            <w:bottom w:w="0" w:type="dxa"/>
            <w:right w:w="0" w:type="dxa"/>
          </w:tblCellMar>
        </w:tblPrEx>
        <w:trPr>
          <w:trHeight w:val="90" w:hRule="atLeast"/>
          <w:jc w:val="center"/>
        </w:trPr>
        <w:tc>
          <w:tcPr>
            <w:tcW w:w="824" w:type="dxa"/>
            <w:tcBorders>
              <w:top w:val="nil"/>
              <w:left w:val="single" w:color="auto" w:sz="8" w:space="0"/>
              <w:bottom w:val="single" w:color="auto" w:sz="8" w:space="0"/>
              <w:right w:val="single" w:color="auto" w:sz="8" w:space="0"/>
            </w:tcBorders>
            <w:noWrap w:val="0"/>
            <w:vAlign w:val="center"/>
          </w:tcPr>
          <w:p w14:paraId="0E34ED78">
            <w:pPr>
              <w:widowControl/>
              <w:spacing w:before="100" w:beforeAutospacing="1" w:after="100" w:afterAutospacing="1" w:line="360" w:lineRule="auto"/>
              <w:jc w:val="center"/>
              <w:rPr>
                <w:rFonts w:ascii="Verdana" w:hAnsi="Verdana" w:cs="宋体"/>
                <w:color w:val="auto"/>
                <w:kern w:val="0"/>
                <w:szCs w:val="21"/>
                <w:highlight w:val="none"/>
              </w:rPr>
            </w:pPr>
          </w:p>
        </w:tc>
        <w:tc>
          <w:tcPr>
            <w:tcW w:w="2510" w:type="dxa"/>
            <w:gridSpan w:val="2"/>
            <w:tcBorders>
              <w:top w:val="nil"/>
              <w:left w:val="nil"/>
              <w:bottom w:val="single" w:color="auto" w:sz="8" w:space="0"/>
              <w:right w:val="single" w:color="auto" w:sz="8" w:space="0"/>
            </w:tcBorders>
            <w:noWrap w:val="0"/>
            <w:vAlign w:val="center"/>
          </w:tcPr>
          <w:p w14:paraId="25A77828">
            <w:pPr>
              <w:widowControl/>
              <w:spacing w:before="100" w:beforeAutospacing="1" w:after="100" w:afterAutospacing="1" w:line="360" w:lineRule="auto"/>
              <w:jc w:val="center"/>
              <w:rPr>
                <w:rFonts w:ascii="Verdana" w:hAnsi="Verdana" w:cs="宋体"/>
                <w:color w:val="auto"/>
                <w:kern w:val="0"/>
                <w:szCs w:val="21"/>
                <w:highlight w:val="none"/>
              </w:rPr>
            </w:pPr>
          </w:p>
        </w:tc>
        <w:tc>
          <w:tcPr>
            <w:tcW w:w="2975" w:type="dxa"/>
            <w:gridSpan w:val="3"/>
            <w:tcBorders>
              <w:top w:val="nil"/>
              <w:left w:val="nil"/>
              <w:bottom w:val="single" w:color="auto" w:sz="8" w:space="0"/>
              <w:right w:val="single" w:color="auto" w:sz="8" w:space="0"/>
            </w:tcBorders>
            <w:noWrap w:val="0"/>
            <w:vAlign w:val="center"/>
          </w:tcPr>
          <w:p w14:paraId="176259BC">
            <w:pPr>
              <w:widowControl/>
              <w:spacing w:before="100" w:beforeAutospacing="1" w:after="100" w:afterAutospacing="1" w:line="360" w:lineRule="auto"/>
              <w:jc w:val="center"/>
              <w:rPr>
                <w:rFonts w:ascii="Verdana" w:hAnsi="Verdana" w:cs="宋体"/>
                <w:color w:val="auto"/>
                <w:kern w:val="0"/>
                <w:szCs w:val="21"/>
                <w:highlight w:val="none"/>
              </w:rPr>
            </w:pPr>
          </w:p>
        </w:tc>
        <w:tc>
          <w:tcPr>
            <w:tcW w:w="884" w:type="dxa"/>
            <w:gridSpan w:val="2"/>
            <w:tcBorders>
              <w:top w:val="nil"/>
              <w:left w:val="nil"/>
              <w:bottom w:val="single" w:color="auto" w:sz="8" w:space="0"/>
              <w:right w:val="single" w:color="auto" w:sz="8" w:space="0"/>
            </w:tcBorders>
            <w:noWrap w:val="0"/>
            <w:vAlign w:val="center"/>
          </w:tcPr>
          <w:p w14:paraId="109C1080">
            <w:pPr>
              <w:widowControl/>
              <w:spacing w:before="100" w:beforeAutospacing="1" w:after="100" w:afterAutospacing="1" w:line="360" w:lineRule="auto"/>
              <w:jc w:val="center"/>
              <w:rPr>
                <w:rFonts w:ascii="Verdana" w:hAnsi="Verdana" w:cs="宋体"/>
                <w:color w:val="auto"/>
                <w:kern w:val="0"/>
                <w:szCs w:val="21"/>
                <w:highlight w:val="none"/>
              </w:rPr>
            </w:pPr>
          </w:p>
        </w:tc>
        <w:tc>
          <w:tcPr>
            <w:tcW w:w="1466" w:type="dxa"/>
            <w:tcBorders>
              <w:top w:val="nil"/>
              <w:left w:val="nil"/>
              <w:bottom w:val="single" w:color="auto" w:sz="8" w:space="0"/>
              <w:right w:val="single" w:color="auto" w:sz="8" w:space="0"/>
            </w:tcBorders>
            <w:noWrap w:val="0"/>
            <w:vAlign w:val="center"/>
          </w:tcPr>
          <w:p w14:paraId="29955EED">
            <w:pPr>
              <w:widowControl/>
              <w:spacing w:before="100" w:beforeAutospacing="1" w:after="100" w:afterAutospacing="1" w:line="360" w:lineRule="auto"/>
              <w:jc w:val="center"/>
              <w:rPr>
                <w:rFonts w:ascii="Verdana" w:hAnsi="Verdana" w:cs="宋体"/>
                <w:color w:val="auto"/>
                <w:kern w:val="0"/>
                <w:szCs w:val="21"/>
                <w:highlight w:val="none"/>
              </w:rPr>
            </w:pPr>
          </w:p>
        </w:tc>
      </w:tr>
      <w:tr w14:paraId="1303447C">
        <w:tblPrEx>
          <w:tblCellMar>
            <w:top w:w="0" w:type="dxa"/>
            <w:left w:w="0" w:type="dxa"/>
            <w:bottom w:w="0" w:type="dxa"/>
            <w:right w:w="0" w:type="dxa"/>
          </w:tblCellMar>
        </w:tblPrEx>
        <w:trPr>
          <w:trHeight w:val="90" w:hRule="atLeast"/>
          <w:jc w:val="center"/>
        </w:trPr>
        <w:tc>
          <w:tcPr>
            <w:tcW w:w="824" w:type="dxa"/>
            <w:tcBorders>
              <w:top w:val="nil"/>
              <w:left w:val="single" w:color="auto" w:sz="8" w:space="0"/>
              <w:bottom w:val="single" w:color="auto" w:sz="8" w:space="0"/>
              <w:right w:val="single" w:color="auto" w:sz="8" w:space="0"/>
            </w:tcBorders>
            <w:noWrap w:val="0"/>
            <w:vAlign w:val="center"/>
          </w:tcPr>
          <w:p w14:paraId="5CBF8B74">
            <w:pPr>
              <w:widowControl/>
              <w:spacing w:before="100" w:beforeAutospacing="1" w:after="100" w:afterAutospacing="1" w:line="360" w:lineRule="auto"/>
              <w:jc w:val="center"/>
              <w:rPr>
                <w:rFonts w:ascii="Verdana" w:hAnsi="Verdana" w:cs="宋体"/>
                <w:color w:val="auto"/>
                <w:kern w:val="0"/>
                <w:szCs w:val="21"/>
                <w:highlight w:val="none"/>
              </w:rPr>
            </w:pPr>
          </w:p>
        </w:tc>
        <w:tc>
          <w:tcPr>
            <w:tcW w:w="2510" w:type="dxa"/>
            <w:gridSpan w:val="2"/>
            <w:tcBorders>
              <w:top w:val="nil"/>
              <w:left w:val="nil"/>
              <w:bottom w:val="single" w:color="auto" w:sz="8" w:space="0"/>
              <w:right w:val="single" w:color="auto" w:sz="8" w:space="0"/>
            </w:tcBorders>
            <w:noWrap w:val="0"/>
            <w:vAlign w:val="center"/>
          </w:tcPr>
          <w:p w14:paraId="5A030ED7">
            <w:pPr>
              <w:widowControl/>
              <w:spacing w:before="100" w:beforeAutospacing="1" w:after="100" w:afterAutospacing="1" w:line="360" w:lineRule="auto"/>
              <w:jc w:val="center"/>
              <w:rPr>
                <w:rFonts w:ascii="Verdana" w:hAnsi="Verdana" w:cs="宋体"/>
                <w:color w:val="auto"/>
                <w:kern w:val="0"/>
                <w:szCs w:val="21"/>
                <w:highlight w:val="none"/>
              </w:rPr>
            </w:pPr>
          </w:p>
        </w:tc>
        <w:tc>
          <w:tcPr>
            <w:tcW w:w="2975" w:type="dxa"/>
            <w:gridSpan w:val="3"/>
            <w:tcBorders>
              <w:top w:val="nil"/>
              <w:left w:val="nil"/>
              <w:bottom w:val="single" w:color="auto" w:sz="8" w:space="0"/>
              <w:right w:val="single" w:color="auto" w:sz="8" w:space="0"/>
            </w:tcBorders>
            <w:noWrap w:val="0"/>
            <w:vAlign w:val="center"/>
          </w:tcPr>
          <w:p w14:paraId="76C924CC">
            <w:pPr>
              <w:widowControl/>
              <w:spacing w:before="100" w:beforeAutospacing="1" w:after="100" w:afterAutospacing="1" w:line="360" w:lineRule="auto"/>
              <w:jc w:val="center"/>
              <w:rPr>
                <w:rFonts w:ascii="Verdana" w:hAnsi="Verdana" w:cs="宋体"/>
                <w:color w:val="auto"/>
                <w:kern w:val="0"/>
                <w:szCs w:val="21"/>
                <w:highlight w:val="none"/>
              </w:rPr>
            </w:pPr>
          </w:p>
        </w:tc>
        <w:tc>
          <w:tcPr>
            <w:tcW w:w="884" w:type="dxa"/>
            <w:gridSpan w:val="2"/>
            <w:tcBorders>
              <w:top w:val="nil"/>
              <w:left w:val="nil"/>
              <w:bottom w:val="single" w:color="auto" w:sz="8" w:space="0"/>
              <w:right w:val="single" w:color="auto" w:sz="8" w:space="0"/>
            </w:tcBorders>
            <w:noWrap w:val="0"/>
            <w:vAlign w:val="center"/>
          </w:tcPr>
          <w:p w14:paraId="569F02DF">
            <w:pPr>
              <w:widowControl/>
              <w:spacing w:before="100" w:beforeAutospacing="1" w:after="100" w:afterAutospacing="1" w:line="360" w:lineRule="auto"/>
              <w:jc w:val="center"/>
              <w:rPr>
                <w:rFonts w:ascii="Verdana" w:hAnsi="Verdana" w:cs="宋体"/>
                <w:color w:val="auto"/>
                <w:kern w:val="0"/>
                <w:szCs w:val="21"/>
                <w:highlight w:val="none"/>
              </w:rPr>
            </w:pPr>
          </w:p>
        </w:tc>
        <w:tc>
          <w:tcPr>
            <w:tcW w:w="1466" w:type="dxa"/>
            <w:tcBorders>
              <w:top w:val="nil"/>
              <w:left w:val="nil"/>
              <w:bottom w:val="single" w:color="auto" w:sz="8" w:space="0"/>
              <w:right w:val="single" w:color="auto" w:sz="8" w:space="0"/>
            </w:tcBorders>
            <w:noWrap w:val="0"/>
            <w:vAlign w:val="center"/>
          </w:tcPr>
          <w:p w14:paraId="7AE8EE84">
            <w:pPr>
              <w:widowControl/>
              <w:spacing w:before="100" w:beforeAutospacing="1" w:after="100" w:afterAutospacing="1" w:line="360" w:lineRule="auto"/>
              <w:jc w:val="center"/>
              <w:rPr>
                <w:rFonts w:ascii="Verdana" w:hAnsi="Verdana" w:cs="宋体"/>
                <w:color w:val="auto"/>
                <w:kern w:val="0"/>
                <w:szCs w:val="21"/>
                <w:highlight w:val="none"/>
              </w:rPr>
            </w:pPr>
          </w:p>
        </w:tc>
      </w:tr>
      <w:tr w14:paraId="3259CAFC">
        <w:tblPrEx>
          <w:tblCellMar>
            <w:top w:w="0" w:type="dxa"/>
            <w:left w:w="0" w:type="dxa"/>
            <w:bottom w:w="0" w:type="dxa"/>
            <w:right w:w="0" w:type="dxa"/>
          </w:tblCellMar>
        </w:tblPrEx>
        <w:trPr>
          <w:trHeight w:val="90" w:hRule="atLeast"/>
          <w:jc w:val="center"/>
        </w:trPr>
        <w:tc>
          <w:tcPr>
            <w:tcW w:w="824" w:type="dxa"/>
            <w:tcBorders>
              <w:top w:val="nil"/>
              <w:left w:val="single" w:color="auto" w:sz="8" w:space="0"/>
              <w:bottom w:val="single" w:color="auto" w:sz="8" w:space="0"/>
              <w:right w:val="single" w:color="auto" w:sz="8" w:space="0"/>
            </w:tcBorders>
            <w:noWrap w:val="0"/>
            <w:vAlign w:val="center"/>
          </w:tcPr>
          <w:p w14:paraId="69B76276">
            <w:pPr>
              <w:widowControl/>
              <w:spacing w:before="100" w:beforeAutospacing="1" w:after="100" w:afterAutospacing="1" w:line="360" w:lineRule="auto"/>
              <w:jc w:val="center"/>
              <w:rPr>
                <w:rFonts w:ascii="Verdana" w:hAnsi="Verdana" w:cs="宋体"/>
                <w:color w:val="auto"/>
                <w:kern w:val="0"/>
                <w:szCs w:val="21"/>
                <w:highlight w:val="none"/>
              </w:rPr>
            </w:pPr>
          </w:p>
        </w:tc>
        <w:tc>
          <w:tcPr>
            <w:tcW w:w="2510" w:type="dxa"/>
            <w:gridSpan w:val="2"/>
            <w:tcBorders>
              <w:top w:val="nil"/>
              <w:left w:val="nil"/>
              <w:bottom w:val="single" w:color="auto" w:sz="8" w:space="0"/>
              <w:right w:val="single" w:color="auto" w:sz="8" w:space="0"/>
            </w:tcBorders>
            <w:noWrap w:val="0"/>
            <w:vAlign w:val="center"/>
          </w:tcPr>
          <w:p w14:paraId="51669CF5">
            <w:pPr>
              <w:widowControl/>
              <w:spacing w:before="100" w:beforeAutospacing="1" w:after="100" w:afterAutospacing="1" w:line="360" w:lineRule="auto"/>
              <w:jc w:val="center"/>
              <w:rPr>
                <w:rFonts w:ascii="Verdana" w:hAnsi="Verdana" w:cs="宋体"/>
                <w:color w:val="auto"/>
                <w:kern w:val="0"/>
                <w:szCs w:val="21"/>
                <w:highlight w:val="none"/>
              </w:rPr>
            </w:pPr>
          </w:p>
        </w:tc>
        <w:tc>
          <w:tcPr>
            <w:tcW w:w="2975" w:type="dxa"/>
            <w:gridSpan w:val="3"/>
            <w:tcBorders>
              <w:top w:val="nil"/>
              <w:left w:val="nil"/>
              <w:bottom w:val="single" w:color="auto" w:sz="8" w:space="0"/>
              <w:right w:val="single" w:color="auto" w:sz="8" w:space="0"/>
            </w:tcBorders>
            <w:noWrap w:val="0"/>
            <w:vAlign w:val="center"/>
          </w:tcPr>
          <w:p w14:paraId="30724A04">
            <w:pPr>
              <w:widowControl/>
              <w:spacing w:before="100" w:beforeAutospacing="1" w:after="100" w:afterAutospacing="1" w:line="360" w:lineRule="auto"/>
              <w:jc w:val="center"/>
              <w:rPr>
                <w:rFonts w:ascii="Verdana" w:hAnsi="Verdana" w:cs="宋体"/>
                <w:color w:val="auto"/>
                <w:kern w:val="0"/>
                <w:szCs w:val="21"/>
                <w:highlight w:val="none"/>
              </w:rPr>
            </w:pPr>
          </w:p>
        </w:tc>
        <w:tc>
          <w:tcPr>
            <w:tcW w:w="884" w:type="dxa"/>
            <w:gridSpan w:val="2"/>
            <w:tcBorders>
              <w:top w:val="nil"/>
              <w:left w:val="nil"/>
              <w:bottom w:val="single" w:color="auto" w:sz="8" w:space="0"/>
              <w:right w:val="single" w:color="auto" w:sz="8" w:space="0"/>
            </w:tcBorders>
            <w:noWrap w:val="0"/>
            <w:vAlign w:val="center"/>
          </w:tcPr>
          <w:p w14:paraId="67DE72A4">
            <w:pPr>
              <w:widowControl/>
              <w:spacing w:before="100" w:beforeAutospacing="1" w:after="100" w:afterAutospacing="1" w:line="360" w:lineRule="auto"/>
              <w:jc w:val="center"/>
              <w:rPr>
                <w:rFonts w:ascii="Verdana" w:hAnsi="Verdana" w:cs="宋体"/>
                <w:color w:val="auto"/>
                <w:kern w:val="0"/>
                <w:szCs w:val="21"/>
                <w:highlight w:val="none"/>
              </w:rPr>
            </w:pPr>
          </w:p>
        </w:tc>
        <w:tc>
          <w:tcPr>
            <w:tcW w:w="1466" w:type="dxa"/>
            <w:tcBorders>
              <w:top w:val="nil"/>
              <w:left w:val="nil"/>
              <w:bottom w:val="single" w:color="auto" w:sz="8" w:space="0"/>
              <w:right w:val="single" w:color="auto" w:sz="8" w:space="0"/>
            </w:tcBorders>
            <w:noWrap w:val="0"/>
            <w:vAlign w:val="center"/>
          </w:tcPr>
          <w:p w14:paraId="3ED7FBD9">
            <w:pPr>
              <w:widowControl/>
              <w:spacing w:before="100" w:beforeAutospacing="1" w:after="100" w:afterAutospacing="1" w:line="360" w:lineRule="auto"/>
              <w:jc w:val="center"/>
              <w:rPr>
                <w:rFonts w:ascii="Verdana" w:hAnsi="Verdana" w:cs="宋体"/>
                <w:color w:val="auto"/>
                <w:kern w:val="0"/>
                <w:szCs w:val="21"/>
                <w:highlight w:val="none"/>
              </w:rPr>
            </w:pPr>
          </w:p>
        </w:tc>
      </w:tr>
      <w:tr w14:paraId="3DA88A76">
        <w:tblPrEx>
          <w:tblCellMar>
            <w:top w:w="0" w:type="dxa"/>
            <w:left w:w="0" w:type="dxa"/>
            <w:bottom w:w="0" w:type="dxa"/>
            <w:right w:w="0" w:type="dxa"/>
          </w:tblCellMar>
        </w:tblPrEx>
        <w:trPr>
          <w:trHeight w:val="90" w:hRule="atLeast"/>
          <w:jc w:val="center"/>
        </w:trPr>
        <w:tc>
          <w:tcPr>
            <w:tcW w:w="6309" w:type="dxa"/>
            <w:gridSpan w:val="6"/>
            <w:tcBorders>
              <w:top w:val="nil"/>
              <w:left w:val="single" w:color="auto" w:sz="8" w:space="0"/>
              <w:bottom w:val="single" w:color="auto" w:sz="8" w:space="0"/>
              <w:right w:val="single" w:color="auto" w:sz="8" w:space="0"/>
            </w:tcBorders>
            <w:noWrap w:val="0"/>
            <w:vAlign w:val="center"/>
          </w:tcPr>
          <w:p w14:paraId="4A3F85F0">
            <w:pPr>
              <w:widowControl/>
              <w:snapToGrid w:val="0"/>
              <w:spacing w:before="100" w:beforeAutospacing="1" w:after="100" w:afterAutospacing="1" w:line="360" w:lineRule="auto"/>
              <w:ind w:firstLine="5"/>
              <w:jc w:val="center"/>
              <w:rPr>
                <w:rFonts w:ascii="Verdana" w:hAnsi="Verdana" w:cs="宋体"/>
                <w:color w:val="auto"/>
                <w:kern w:val="0"/>
                <w:szCs w:val="21"/>
                <w:highlight w:val="none"/>
              </w:rPr>
            </w:pPr>
            <w:r>
              <w:rPr>
                <w:rFonts w:ascii="Verdana" w:hAnsi="Verdana" w:cs="宋体"/>
                <w:color w:val="auto"/>
                <w:kern w:val="0"/>
                <w:szCs w:val="21"/>
                <w:highlight w:val="none"/>
              </w:rPr>
              <w:t>合计</w:t>
            </w:r>
          </w:p>
        </w:tc>
        <w:tc>
          <w:tcPr>
            <w:tcW w:w="884" w:type="dxa"/>
            <w:gridSpan w:val="2"/>
            <w:tcBorders>
              <w:top w:val="nil"/>
              <w:left w:val="nil"/>
              <w:bottom w:val="single" w:color="auto" w:sz="8" w:space="0"/>
              <w:right w:val="single" w:color="auto" w:sz="8" w:space="0"/>
            </w:tcBorders>
            <w:noWrap w:val="0"/>
            <w:vAlign w:val="center"/>
          </w:tcPr>
          <w:p w14:paraId="4F836E10">
            <w:pPr>
              <w:widowControl/>
              <w:spacing w:before="100" w:beforeAutospacing="1" w:after="100" w:afterAutospacing="1" w:line="360" w:lineRule="auto"/>
              <w:jc w:val="center"/>
              <w:rPr>
                <w:rFonts w:ascii="Verdana" w:hAnsi="Verdana" w:cs="宋体"/>
                <w:color w:val="auto"/>
                <w:kern w:val="0"/>
                <w:szCs w:val="21"/>
                <w:highlight w:val="none"/>
              </w:rPr>
            </w:pPr>
          </w:p>
        </w:tc>
        <w:tc>
          <w:tcPr>
            <w:tcW w:w="1466" w:type="dxa"/>
            <w:tcBorders>
              <w:top w:val="nil"/>
              <w:left w:val="nil"/>
              <w:bottom w:val="single" w:color="auto" w:sz="8" w:space="0"/>
              <w:right w:val="single" w:color="auto" w:sz="8" w:space="0"/>
            </w:tcBorders>
            <w:noWrap w:val="0"/>
            <w:vAlign w:val="center"/>
          </w:tcPr>
          <w:p w14:paraId="26B47514">
            <w:pPr>
              <w:widowControl/>
              <w:spacing w:before="100" w:beforeAutospacing="1" w:after="100" w:afterAutospacing="1" w:line="360" w:lineRule="auto"/>
              <w:jc w:val="center"/>
              <w:rPr>
                <w:rFonts w:ascii="Verdana" w:hAnsi="Verdana" w:cs="宋体"/>
                <w:color w:val="auto"/>
                <w:kern w:val="0"/>
                <w:szCs w:val="21"/>
                <w:highlight w:val="none"/>
              </w:rPr>
            </w:pPr>
          </w:p>
        </w:tc>
      </w:tr>
      <w:tr w14:paraId="19159F25">
        <w:tblPrEx>
          <w:tblCellMar>
            <w:top w:w="0" w:type="dxa"/>
            <w:left w:w="0" w:type="dxa"/>
            <w:bottom w:w="0" w:type="dxa"/>
            <w:right w:w="0" w:type="dxa"/>
          </w:tblCellMar>
        </w:tblPrEx>
        <w:trPr>
          <w:trHeight w:val="90" w:hRule="atLeast"/>
          <w:jc w:val="center"/>
        </w:trPr>
        <w:tc>
          <w:tcPr>
            <w:tcW w:w="8659" w:type="dxa"/>
            <w:gridSpan w:val="9"/>
            <w:tcBorders>
              <w:top w:val="nil"/>
              <w:left w:val="single" w:color="auto" w:sz="8" w:space="0"/>
              <w:bottom w:val="single" w:color="auto" w:sz="8" w:space="0"/>
              <w:right w:val="single" w:color="auto" w:sz="8" w:space="0"/>
            </w:tcBorders>
            <w:noWrap w:val="0"/>
            <w:vAlign w:val="center"/>
          </w:tcPr>
          <w:p w14:paraId="1F236CA4">
            <w:pPr>
              <w:widowControl/>
              <w:snapToGrid w:val="0"/>
              <w:spacing w:before="100" w:beforeAutospacing="1" w:after="100" w:afterAutospacing="1" w:line="360" w:lineRule="auto"/>
              <w:ind w:firstLine="210" w:firstLineChars="100"/>
              <w:jc w:val="left"/>
              <w:rPr>
                <w:rFonts w:ascii="Verdana" w:hAnsi="Verdana" w:cs="宋体"/>
                <w:color w:val="auto"/>
                <w:kern w:val="0"/>
                <w:szCs w:val="21"/>
                <w:highlight w:val="none"/>
              </w:rPr>
            </w:pPr>
            <w:r>
              <w:rPr>
                <w:rFonts w:ascii="Verdana" w:hAnsi="Verdana" w:cs="宋体"/>
                <w:color w:val="auto"/>
                <w:kern w:val="0"/>
                <w:szCs w:val="21"/>
                <w:highlight w:val="none"/>
              </w:rPr>
              <w:t xml:space="preserve">合计大写金额： </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仟 </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佰 </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拾 </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万 </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仟 </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佰 </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拾 </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元</w:t>
            </w:r>
          </w:p>
        </w:tc>
      </w:tr>
      <w:tr w14:paraId="4818FCF5">
        <w:tblPrEx>
          <w:tblCellMar>
            <w:top w:w="0" w:type="dxa"/>
            <w:left w:w="0" w:type="dxa"/>
            <w:bottom w:w="0" w:type="dxa"/>
            <w:right w:w="0" w:type="dxa"/>
          </w:tblCellMar>
        </w:tblPrEx>
        <w:trPr>
          <w:trHeight w:val="90" w:hRule="atLeast"/>
          <w:jc w:val="center"/>
        </w:trPr>
        <w:tc>
          <w:tcPr>
            <w:tcW w:w="1670" w:type="dxa"/>
            <w:gridSpan w:val="2"/>
            <w:tcBorders>
              <w:top w:val="nil"/>
              <w:left w:val="single" w:color="auto" w:sz="8" w:space="0"/>
              <w:bottom w:val="single" w:color="auto" w:sz="8" w:space="0"/>
              <w:right w:val="single" w:color="auto" w:sz="8" w:space="0"/>
            </w:tcBorders>
            <w:noWrap w:val="0"/>
            <w:vAlign w:val="center"/>
          </w:tcPr>
          <w:p w14:paraId="314809DF">
            <w:pPr>
              <w:widowControl/>
              <w:snapToGrid w:val="0"/>
              <w:spacing w:before="100" w:beforeAutospacing="1" w:after="100" w:afterAutospacing="1" w:line="360" w:lineRule="auto"/>
              <w:ind w:firstLine="2"/>
              <w:jc w:val="center"/>
              <w:rPr>
                <w:rFonts w:ascii="Verdana" w:hAnsi="Verdana" w:cs="宋体"/>
                <w:color w:val="auto"/>
                <w:kern w:val="0"/>
                <w:szCs w:val="21"/>
                <w:highlight w:val="none"/>
              </w:rPr>
            </w:pPr>
            <w:r>
              <w:rPr>
                <w:rFonts w:ascii="Verdana" w:hAnsi="Verdana" w:cs="宋体"/>
                <w:color w:val="auto"/>
                <w:kern w:val="0"/>
                <w:szCs w:val="21"/>
                <w:highlight w:val="none"/>
              </w:rPr>
              <w:t>实际供货日期</w:t>
            </w:r>
          </w:p>
        </w:tc>
        <w:tc>
          <w:tcPr>
            <w:tcW w:w="2482" w:type="dxa"/>
            <w:gridSpan w:val="2"/>
            <w:tcBorders>
              <w:top w:val="nil"/>
              <w:left w:val="nil"/>
              <w:bottom w:val="single" w:color="auto" w:sz="8" w:space="0"/>
              <w:right w:val="single" w:color="auto" w:sz="8" w:space="0"/>
            </w:tcBorders>
            <w:noWrap w:val="0"/>
            <w:vAlign w:val="center"/>
          </w:tcPr>
          <w:p w14:paraId="3E1E9BF2">
            <w:pPr>
              <w:widowControl/>
              <w:spacing w:before="100" w:beforeAutospacing="1" w:after="100" w:afterAutospacing="1" w:line="360" w:lineRule="auto"/>
              <w:jc w:val="center"/>
              <w:rPr>
                <w:rFonts w:ascii="Verdana" w:hAnsi="Verdana" w:cs="宋体"/>
                <w:color w:val="auto"/>
                <w:kern w:val="0"/>
                <w:szCs w:val="21"/>
                <w:highlight w:val="none"/>
              </w:rPr>
            </w:pPr>
          </w:p>
        </w:tc>
        <w:tc>
          <w:tcPr>
            <w:tcW w:w="2340" w:type="dxa"/>
            <w:gridSpan w:val="3"/>
            <w:tcBorders>
              <w:top w:val="nil"/>
              <w:left w:val="nil"/>
              <w:bottom w:val="single" w:color="auto" w:sz="8" w:space="0"/>
              <w:right w:val="single" w:color="auto" w:sz="8" w:space="0"/>
            </w:tcBorders>
            <w:noWrap w:val="0"/>
            <w:vAlign w:val="center"/>
          </w:tcPr>
          <w:p w14:paraId="27984B4F">
            <w:pPr>
              <w:widowControl/>
              <w:snapToGrid w:val="0"/>
              <w:spacing w:before="100" w:beforeAutospacing="1" w:after="100" w:afterAutospacing="1" w:line="360" w:lineRule="auto"/>
              <w:ind w:firstLine="46"/>
              <w:jc w:val="center"/>
              <w:rPr>
                <w:rFonts w:ascii="Verdana" w:hAnsi="Verdana" w:cs="宋体"/>
                <w:color w:val="auto"/>
                <w:kern w:val="0"/>
                <w:szCs w:val="21"/>
                <w:highlight w:val="none"/>
              </w:rPr>
            </w:pPr>
            <w:r>
              <w:rPr>
                <w:rFonts w:ascii="Verdana" w:hAnsi="Verdana" w:cs="宋体"/>
                <w:color w:val="auto"/>
                <w:kern w:val="0"/>
                <w:szCs w:val="21"/>
                <w:highlight w:val="none"/>
              </w:rPr>
              <w:t>合同交货验收日期</w:t>
            </w:r>
          </w:p>
        </w:tc>
        <w:tc>
          <w:tcPr>
            <w:tcW w:w="2167" w:type="dxa"/>
            <w:gridSpan w:val="2"/>
            <w:tcBorders>
              <w:top w:val="nil"/>
              <w:left w:val="nil"/>
              <w:bottom w:val="single" w:color="auto" w:sz="8" w:space="0"/>
              <w:right w:val="single" w:color="auto" w:sz="8" w:space="0"/>
            </w:tcBorders>
            <w:noWrap w:val="0"/>
            <w:vAlign w:val="center"/>
          </w:tcPr>
          <w:p w14:paraId="0A7E35EF">
            <w:pPr>
              <w:widowControl/>
              <w:spacing w:before="100" w:beforeAutospacing="1" w:after="100" w:afterAutospacing="1" w:line="360" w:lineRule="auto"/>
              <w:jc w:val="center"/>
              <w:rPr>
                <w:rFonts w:ascii="Verdana" w:hAnsi="Verdana" w:cs="宋体"/>
                <w:color w:val="auto"/>
                <w:kern w:val="0"/>
                <w:szCs w:val="21"/>
                <w:highlight w:val="none"/>
              </w:rPr>
            </w:pPr>
          </w:p>
        </w:tc>
      </w:tr>
      <w:tr w14:paraId="59F6C200">
        <w:tblPrEx>
          <w:tblCellMar>
            <w:top w:w="0" w:type="dxa"/>
            <w:left w:w="0" w:type="dxa"/>
            <w:bottom w:w="0" w:type="dxa"/>
            <w:right w:w="0" w:type="dxa"/>
          </w:tblCellMar>
        </w:tblPrEx>
        <w:trPr>
          <w:trHeight w:val="90" w:hRule="atLeast"/>
          <w:jc w:val="center"/>
        </w:trPr>
        <w:tc>
          <w:tcPr>
            <w:tcW w:w="1670" w:type="dxa"/>
            <w:gridSpan w:val="2"/>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74B19B04">
            <w:pPr>
              <w:widowControl/>
              <w:snapToGrid w:val="0"/>
              <w:spacing w:before="100" w:beforeAutospacing="1" w:after="100" w:afterAutospacing="1" w:line="360" w:lineRule="auto"/>
              <w:jc w:val="left"/>
              <w:rPr>
                <w:rFonts w:ascii="Verdana" w:hAnsi="Verdana" w:cs="宋体"/>
                <w:color w:val="auto"/>
                <w:kern w:val="0"/>
                <w:szCs w:val="21"/>
                <w:highlight w:val="none"/>
              </w:rPr>
            </w:pPr>
            <w:r>
              <w:rPr>
                <w:rFonts w:ascii="Verdana" w:hAnsi="Verdana" w:cs="宋体"/>
                <w:color w:val="auto"/>
                <w:kern w:val="0"/>
                <w:szCs w:val="21"/>
                <w:highlight w:val="none"/>
              </w:rPr>
              <w:t>验收具体内容</w:t>
            </w:r>
          </w:p>
        </w:tc>
        <w:tc>
          <w:tcPr>
            <w:tcW w:w="6989" w:type="dxa"/>
            <w:gridSpan w:val="7"/>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20641786">
            <w:pPr>
              <w:widowControl/>
              <w:snapToGrid w:val="0"/>
              <w:spacing w:before="100" w:beforeAutospacing="1" w:after="100" w:afterAutospacing="1" w:line="360" w:lineRule="auto"/>
              <w:jc w:val="left"/>
              <w:rPr>
                <w:rFonts w:ascii="Verdana" w:hAnsi="Verdana" w:cs="宋体"/>
                <w:color w:val="auto"/>
                <w:kern w:val="0"/>
                <w:szCs w:val="21"/>
                <w:highlight w:val="none"/>
              </w:rPr>
            </w:pPr>
            <w:r>
              <w:rPr>
                <w:rFonts w:ascii="Verdana" w:hAnsi="Verdana" w:cs="宋体"/>
                <w:color w:val="auto"/>
                <w:kern w:val="0"/>
                <w:szCs w:val="21"/>
                <w:highlight w:val="none"/>
              </w:rPr>
              <w:t>（应按采购合同、磋商文件、竞标响应文件及验收方案等进行验收；并核对</w:t>
            </w:r>
            <w:r>
              <w:rPr>
                <w:rFonts w:hint="eastAsia" w:ascii="Verdana" w:hAnsi="Verdana" w:cs="宋体"/>
                <w:color w:val="auto"/>
                <w:kern w:val="0"/>
                <w:szCs w:val="21"/>
                <w:highlight w:val="none"/>
                <w:lang w:eastAsia="zh-CN"/>
              </w:rPr>
              <w:t>成交人</w:t>
            </w:r>
            <w:r>
              <w:rPr>
                <w:rFonts w:ascii="Verdana" w:hAnsi="Verdana" w:cs="宋体"/>
                <w:color w:val="auto"/>
                <w:kern w:val="0"/>
                <w:szCs w:val="21"/>
                <w:highlight w:val="none"/>
              </w:rPr>
              <w:t>在安装调试等方面是否违反合同约定或者服务规范要求、提供的质量保证证明材料是否齐全、应有的配件及附件是否达到合同约定等。可附件)</w:t>
            </w:r>
          </w:p>
        </w:tc>
      </w:tr>
      <w:tr w14:paraId="4A7087EE">
        <w:tblPrEx>
          <w:tblCellMar>
            <w:top w:w="0" w:type="dxa"/>
            <w:left w:w="0" w:type="dxa"/>
            <w:bottom w:w="0" w:type="dxa"/>
            <w:right w:w="0" w:type="dxa"/>
          </w:tblCellMar>
        </w:tblPrEx>
        <w:trPr>
          <w:trHeight w:val="90" w:hRule="atLeast"/>
          <w:jc w:val="center"/>
        </w:trPr>
        <w:tc>
          <w:tcPr>
            <w:tcW w:w="1670" w:type="dxa"/>
            <w:gridSpan w:val="2"/>
            <w:vMerge w:val="restart"/>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64786D70">
            <w:pPr>
              <w:widowControl/>
              <w:spacing w:before="100" w:beforeAutospacing="1" w:after="100" w:afterAutospacing="1" w:line="360" w:lineRule="auto"/>
              <w:jc w:val="left"/>
              <w:rPr>
                <w:rFonts w:ascii="Verdana" w:hAnsi="Verdana" w:cs="宋体"/>
                <w:color w:val="auto"/>
                <w:kern w:val="0"/>
                <w:szCs w:val="21"/>
                <w:highlight w:val="none"/>
              </w:rPr>
            </w:pPr>
            <w:r>
              <w:rPr>
                <w:rFonts w:ascii="Verdana" w:hAnsi="Verdana" w:cs="宋体"/>
                <w:color w:val="auto"/>
                <w:kern w:val="0"/>
                <w:szCs w:val="21"/>
                <w:highlight w:val="none"/>
              </w:rPr>
              <w:t>验收小组意见</w:t>
            </w:r>
          </w:p>
        </w:tc>
        <w:tc>
          <w:tcPr>
            <w:tcW w:w="6989" w:type="dxa"/>
            <w:gridSpan w:val="7"/>
            <w:tcBorders>
              <w:top w:val="nil"/>
              <w:left w:val="nil"/>
              <w:bottom w:val="single" w:color="auto" w:sz="8" w:space="0"/>
              <w:right w:val="single" w:color="auto" w:sz="8" w:space="0"/>
            </w:tcBorders>
            <w:noWrap w:val="0"/>
            <w:vAlign w:val="center"/>
          </w:tcPr>
          <w:p w14:paraId="14C60941">
            <w:pPr>
              <w:widowControl/>
              <w:spacing w:before="100" w:beforeAutospacing="1" w:after="100" w:afterAutospacing="1" w:line="360" w:lineRule="auto"/>
              <w:ind w:firstLine="210" w:firstLineChars="100"/>
              <w:jc w:val="left"/>
              <w:rPr>
                <w:rFonts w:ascii="Verdana" w:hAnsi="Verdana" w:cs="宋体"/>
                <w:color w:val="auto"/>
                <w:kern w:val="0"/>
                <w:szCs w:val="21"/>
                <w:highlight w:val="none"/>
              </w:rPr>
            </w:pPr>
            <w:r>
              <w:rPr>
                <w:rFonts w:ascii="Verdana" w:hAnsi="Verdana" w:cs="宋体"/>
                <w:color w:val="auto"/>
                <w:kern w:val="0"/>
                <w:szCs w:val="21"/>
                <w:highlight w:val="none"/>
              </w:rPr>
              <w:t>验收结论性意见：</w:t>
            </w:r>
          </w:p>
        </w:tc>
      </w:tr>
      <w:tr w14:paraId="01BCCD1C">
        <w:tblPrEx>
          <w:tblCellMar>
            <w:top w:w="0" w:type="dxa"/>
            <w:left w:w="0" w:type="dxa"/>
            <w:bottom w:w="0" w:type="dxa"/>
            <w:right w:w="0" w:type="dxa"/>
          </w:tblCellMar>
        </w:tblPrEx>
        <w:trPr>
          <w:trHeight w:val="90" w:hRule="atLeast"/>
          <w:jc w:val="center"/>
        </w:trPr>
        <w:tc>
          <w:tcPr>
            <w:tcW w:w="1670" w:type="dxa"/>
            <w:gridSpan w:val="2"/>
            <w:vMerge w:val="continue"/>
            <w:tcBorders>
              <w:top w:val="nil"/>
              <w:left w:val="single" w:color="auto" w:sz="8" w:space="0"/>
              <w:bottom w:val="single" w:color="auto" w:sz="8" w:space="0"/>
              <w:right w:val="single" w:color="auto" w:sz="8" w:space="0"/>
            </w:tcBorders>
            <w:noWrap w:val="0"/>
            <w:vAlign w:val="center"/>
          </w:tcPr>
          <w:p w14:paraId="015F7DEF">
            <w:pPr>
              <w:widowControl/>
              <w:spacing w:line="360" w:lineRule="auto"/>
              <w:jc w:val="left"/>
              <w:rPr>
                <w:rFonts w:ascii="Verdana" w:hAnsi="Verdana" w:cs="宋体"/>
                <w:color w:val="auto"/>
                <w:kern w:val="0"/>
                <w:szCs w:val="21"/>
                <w:highlight w:val="none"/>
              </w:rPr>
            </w:pPr>
          </w:p>
        </w:tc>
        <w:tc>
          <w:tcPr>
            <w:tcW w:w="6989" w:type="dxa"/>
            <w:gridSpan w:val="7"/>
            <w:tcBorders>
              <w:top w:val="nil"/>
              <w:left w:val="nil"/>
              <w:bottom w:val="single" w:color="auto" w:sz="8" w:space="0"/>
              <w:right w:val="single" w:color="auto" w:sz="8" w:space="0"/>
            </w:tcBorders>
            <w:noWrap w:val="0"/>
            <w:vAlign w:val="center"/>
          </w:tcPr>
          <w:p w14:paraId="09DBCD4E">
            <w:pPr>
              <w:widowControl/>
              <w:spacing w:before="100" w:beforeAutospacing="1" w:after="100" w:afterAutospacing="1" w:line="360" w:lineRule="auto"/>
              <w:ind w:firstLine="210" w:firstLineChars="100"/>
              <w:jc w:val="left"/>
              <w:rPr>
                <w:rFonts w:ascii="Verdana" w:hAnsi="Verdana" w:cs="宋体"/>
                <w:color w:val="auto"/>
                <w:kern w:val="0"/>
                <w:szCs w:val="21"/>
                <w:highlight w:val="none"/>
              </w:rPr>
            </w:pPr>
            <w:r>
              <w:rPr>
                <w:rFonts w:ascii="Verdana" w:hAnsi="Verdana" w:cs="宋体"/>
                <w:color w:val="auto"/>
                <w:kern w:val="0"/>
                <w:szCs w:val="21"/>
                <w:highlight w:val="none"/>
              </w:rPr>
              <w:t>有异议的意见和说明理由：</w:t>
            </w:r>
          </w:p>
          <w:p w14:paraId="61220F01">
            <w:pPr>
              <w:widowControl/>
              <w:spacing w:before="100" w:beforeAutospacing="1" w:after="100" w:afterAutospacing="1" w:line="360" w:lineRule="auto"/>
              <w:ind w:firstLine="210" w:firstLineChars="100"/>
              <w:jc w:val="left"/>
              <w:rPr>
                <w:rFonts w:ascii="Verdana" w:hAnsi="Verdana" w:cs="宋体"/>
                <w:color w:val="auto"/>
                <w:kern w:val="0"/>
                <w:szCs w:val="21"/>
                <w:highlight w:val="none"/>
              </w:rPr>
            </w:pPr>
            <w:r>
              <w:rPr>
                <w:rFonts w:hint="eastAsia" w:ascii="Verdana" w:hAnsi="Verdana" w:cs="宋体"/>
                <w:color w:val="auto"/>
                <w:kern w:val="0"/>
                <w:szCs w:val="21"/>
                <w:highlight w:val="none"/>
                <w:lang w:eastAsia="zh-CN"/>
              </w:rPr>
              <w:t>签字（或个人CA签章）</w:t>
            </w:r>
            <w:r>
              <w:rPr>
                <w:rFonts w:ascii="Verdana" w:hAnsi="Verdana" w:cs="宋体"/>
                <w:color w:val="auto"/>
                <w:kern w:val="0"/>
                <w:szCs w:val="21"/>
                <w:highlight w:val="none"/>
              </w:rPr>
              <w:t>：</w:t>
            </w:r>
          </w:p>
        </w:tc>
      </w:tr>
      <w:tr w14:paraId="4555FBAE">
        <w:tblPrEx>
          <w:tblCellMar>
            <w:top w:w="0" w:type="dxa"/>
            <w:left w:w="0" w:type="dxa"/>
            <w:bottom w:w="0" w:type="dxa"/>
            <w:right w:w="0" w:type="dxa"/>
          </w:tblCellMar>
        </w:tblPrEx>
        <w:trPr>
          <w:trHeight w:val="90" w:hRule="atLeast"/>
          <w:jc w:val="center"/>
        </w:trPr>
        <w:tc>
          <w:tcPr>
            <w:tcW w:w="8659" w:type="dxa"/>
            <w:gridSpan w:val="9"/>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168A86A3">
            <w:pPr>
              <w:widowControl/>
              <w:spacing w:before="100" w:beforeAutospacing="1" w:after="100" w:afterAutospacing="1" w:line="360" w:lineRule="auto"/>
              <w:jc w:val="left"/>
              <w:rPr>
                <w:rFonts w:ascii="Verdana" w:hAnsi="Verdana" w:cs="宋体"/>
                <w:color w:val="auto"/>
                <w:kern w:val="0"/>
                <w:szCs w:val="21"/>
                <w:highlight w:val="none"/>
              </w:rPr>
            </w:pPr>
            <w:r>
              <w:rPr>
                <w:rFonts w:ascii="Verdana" w:hAnsi="Verdana" w:cs="宋体"/>
                <w:color w:val="auto"/>
                <w:kern w:val="0"/>
                <w:szCs w:val="21"/>
                <w:highlight w:val="none"/>
              </w:rPr>
              <w:t>验收小组成员</w:t>
            </w:r>
            <w:r>
              <w:rPr>
                <w:rFonts w:hint="eastAsia" w:ascii="Verdana" w:hAnsi="Verdana" w:cs="宋体"/>
                <w:color w:val="auto"/>
                <w:kern w:val="0"/>
                <w:szCs w:val="21"/>
                <w:highlight w:val="none"/>
                <w:lang w:eastAsia="zh-CN"/>
              </w:rPr>
              <w:t>签字（或个人CA签章）</w:t>
            </w:r>
            <w:r>
              <w:rPr>
                <w:rFonts w:ascii="Verdana" w:hAnsi="Verdana" w:cs="宋体"/>
                <w:color w:val="auto"/>
                <w:kern w:val="0"/>
                <w:szCs w:val="21"/>
                <w:highlight w:val="none"/>
              </w:rPr>
              <w:t>：</w:t>
            </w:r>
          </w:p>
        </w:tc>
      </w:tr>
      <w:tr w14:paraId="3C924265">
        <w:tblPrEx>
          <w:tblCellMar>
            <w:top w:w="0" w:type="dxa"/>
            <w:left w:w="0" w:type="dxa"/>
            <w:bottom w:w="0" w:type="dxa"/>
            <w:right w:w="0" w:type="dxa"/>
          </w:tblCellMar>
        </w:tblPrEx>
        <w:trPr>
          <w:trHeight w:val="90" w:hRule="atLeast"/>
          <w:jc w:val="center"/>
        </w:trPr>
        <w:tc>
          <w:tcPr>
            <w:tcW w:w="8659" w:type="dxa"/>
            <w:gridSpan w:val="9"/>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1ECF85A3">
            <w:pPr>
              <w:widowControl/>
              <w:spacing w:before="100" w:beforeAutospacing="1" w:after="100" w:afterAutospacing="1" w:line="360" w:lineRule="auto"/>
              <w:jc w:val="left"/>
              <w:rPr>
                <w:rFonts w:ascii="Verdana" w:hAnsi="Verdana" w:cs="宋体"/>
                <w:color w:val="auto"/>
                <w:kern w:val="0"/>
                <w:szCs w:val="21"/>
                <w:highlight w:val="none"/>
              </w:rPr>
            </w:pPr>
            <w:r>
              <w:rPr>
                <w:rFonts w:ascii="Verdana" w:hAnsi="Verdana" w:cs="宋体"/>
                <w:color w:val="auto"/>
                <w:kern w:val="0"/>
                <w:szCs w:val="21"/>
                <w:highlight w:val="none"/>
              </w:rPr>
              <w:t>监督人员或者其他相关人员</w:t>
            </w:r>
            <w:r>
              <w:rPr>
                <w:rFonts w:hint="eastAsia" w:ascii="Verdana" w:hAnsi="Verdana" w:cs="宋体"/>
                <w:color w:val="auto"/>
                <w:kern w:val="0"/>
                <w:szCs w:val="21"/>
                <w:highlight w:val="none"/>
                <w:lang w:eastAsia="zh-CN"/>
              </w:rPr>
              <w:t>签字（或个人CA签章）</w:t>
            </w:r>
            <w:r>
              <w:rPr>
                <w:rFonts w:ascii="Verdana" w:hAnsi="Verdana" w:cs="宋体"/>
                <w:color w:val="auto"/>
                <w:kern w:val="0"/>
                <w:szCs w:val="21"/>
                <w:highlight w:val="none"/>
              </w:rPr>
              <w:t>：</w:t>
            </w:r>
          </w:p>
          <w:p w14:paraId="04747C10">
            <w:pPr>
              <w:widowControl/>
              <w:spacing w:before="100" w:beforeAutospacing="1" w:after="100" w:afterAutospacing="1" w:line="360" w:lineRule="auto"/>
              <w:ind w:firstLine="74"/>
              <w:jc w:val="left"/>
              <w:rPr>
                <w:rFonts w:ascii="Verdana" w:hAnsi="Verdana" w:cs="宋体"/>
                <w:color w:val="auto"/>
                <w:kern w:val="0"/>
                <w:szCs w:val="21"/>
                <w:highlight w:val="none"/>
              </w:rPr>
            </w:pPr>
            <w:r>
              <w:rPr>
                <w:rFonts w:ascii="Verdana" w:hAnsi="Verdana" w:cs="宋体"/>
                <w:color w:val="auto"/>
                <w:kern w:val="0"/>
                <w:szCs w:val="21"/>
                <w:highlight w:val="none"/>
              </w:rPr>
              <w:t>或者受邀机构的意见（盖章）：</w:t>
            </w:r>
          </w:p>
        </w:tc>
      </w:tr>
      <w:tr w14:paraId="2FB1A7E6">
        <w:tblPrEx>
          <w:tblCellMar>
            <w:top w:w="0" w:type="dxa"/>
            <w:left w:w="0" w:type="dxa"/>
            <w:bottom w:w="0" w:type="dxa"/>
            <w:right w:w="0" w:type="dxa"/>
          </w:tblCellMar>
        </w:tblPrEx>
        <w:trPr>
          <w:trHeight w:val="90" w:hRule="atLeast"/>
          <w:jc w:val="center"/>
        </w:trPr>
        <w:tc>
          <w:tcPr>
            <w:tcW w:w="4257" w:type="dxa"/>
            <w:gridSpan w:val="5"/>
            <w:tcBorders>
              <w:top w:val="nil"/>
              <w:left w:val="single" w:color="auto" w:sz="8" w:space="0"/>
              <w:bottom w:val="single" w:color="auto" w:sz="8" w:space="0"/>
              <w:right w:val="nil"/>
            </w:tcBorders>
            <w:noWrap w:val="0"/>
            <w:tcMar>
              <w:top w:w="0" w:type="dxa"/>
              <w:left w:w="108" w:type="dxa"/>
              <w:bottom w:w="0" w:type="dxa"/>
              <w:right w:w="108" w:type="dxa"/>
            </w:tcMar>
            <w:vAlign w:val="center"/>
          </w:tcPr>
          <w:p w14:paraId="2D070DDA">
            <w:pPr>
              <w:widowControl/>
              <w:spacing w:before="100" w:beforeAutospacing="1" w:after="100" w:afterAutospacing="1" w:line="360" w:lineRule="auto"/>
              <w:jc w:val="left"/>
              <w:rPr>
                <w:rFonts w:ascii="Verdana" w:hAnsi="Verdana" w:cs="宋体"/>
                <w:color w:val="auto"/>
                <w:kern w:val="0"/>
                <w:szCs w:val="21"/>
                <w:highlight w:val="none"/>
              </w:rPr>
            </w:pPr>
            <w:r>
              <w:rPr>
                <w:rFonts w:hint="eastAsia" w:ascii="Verdana" w:hAnsi="Verdana" w:cs="宋体"/>
                <w:color w:val="auto"/>
                <w:kern w:val="0"/>
                <w:szCs w:val="21"/>
                <w:highlight w:val="none"/>
                <w:lang w:eastAsia="zh-CN"/>
              </w:rPr>
              <w:t>成交人</w:t>
            </w:r>
            <w:r>
              <w:rPr>
                <w:rFonts w:ascii="Verdana" w:hAnsi="Verdana" w:cs="宋体"/>
                <w:color w:val="auto"/>
                <w:kern w:val="0"/>
                <w:szCs w:val="21"/>
                <w:highlight w:val="none"/>
              </w:rPr>
              <w:t>负责人</w:t>
            </w:r>
            <w:r>
              <w:rPr>
                <w:rFonts w:hint="eastAsia" w:ascii="Verdana" w:hAnsi="Verdana" w:cs="宋体"/>
                <w:color w:val="auto"/>
                <w:kern w:val="0"/>
                <w:szCs w:val="21"/>
                <w:highlight w:val="none"/>
                <w:lang w:eastAsia="zh-CN"/>
              </w:rPr>
              <w:t>签字（或个人CA签章）</w:t>
            </w:r>
            <w:r>
              <w:rPr>
                <w:rFonts w:ascii="Verdana" w:hAnsi="Verdana" w:cs="宋体"/>
                <w:color w:val="auto"/>
                <w:kern w:val="0"/>
                <w:szCs w:val="21"/>
                <w:highlight w:val="none"/>
              </w:rPr>
              <w:t>或者</w:t>
            </w:r>
            <w:r>
              <w:rPr>
                <w:rFonts w:hint="eastAsia" w:ascii="Verdana" w:hAnsi="Verdana" w:cs="宋体"/>
                <w:color w:val="auto"/>
                <w:kern w:val="0"/>
                <w:szCs w:val="21"/>
                <w:highlight w:val="none"/>
                <w:lang w:eastAsia="zh-CN"/>
              </w:rPr>
              <w:t>的</w:t>
            </w:r>
            <w:r>
              <w:rPr>
                <w:rFonts w:ascii="Verdana" w:hAnsi="Verdana" w:cs="宋体"/>
                <w:color w:val="auto"/>
                <w:kern w:val="0"/>
                <w:szCs w:val="21"/>
                <w:highlight w:val="none"/>
              </w:rPr>
              <w:t>盖章：</w:t>
            </w:r>
          </w:p>
          <w:p w14:paraId="0BA5AFA3">
            <w:pPr>
              <w:widowControl/>
              <w:spacing w:before="100" w:beforeAutospacing="1" w:after="100" w:afterAutospacing="1" w:line="360" w:lineRule="auto"/>
              <w:jc w:val="left"/>
              <w:rPr>
                <w:rFonts w:ascii="Verdana" w:hAnsi="Verdana" w:cs="宋体"/>
                <w:color w:val="auto"/>
                <w:kern w:val="0"/>
                <w:szCs w:val="21"/>
                <w:highlight w:val="none"/>
              </w:rPr>
            </w:pPr>
            <w:r>
              <w:rPr>
                <w:rFonts w:ascii="Verdana" w:hAnsi="Verdana" w:cs="宋体"/>
                <w:color w:val="auto"/>
                <w:kern w:val="0"/>
                <w:szCs w:val="21"/>
                <w:highlight w:val="none"/>
              </w:rPr>
              <w:t>联系电话：</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 年</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 月 </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日</w:t>
            </w:r>
          </w:p>
        </w:tc>
        <w:tc>
          <w:tcPr>
            <w:tcW w:w="4402" w:type="dxa"/>
            <w:gridSpan w:val="4"/>
            <w:tcBorders>
              <w:top w:val="nil"/>
              <w:left w:val="nil"/>
              <w:bottom w:val="single" w:color="auto" w:sz="8" w:space="0"/>
              <w:right w:val="single" w:color="auto" w:sz="8" w:space="0"/>
            </w:tcBorders>
            <w:noWrap w:val="0"/>
            <w:vAlign w:val="center"/>
          </w:tcPr>
          <w:p w14:paraId="48CA2113">
            <w:pPr>
              <w:widowControl/>
              <w:spacing w:before="100" w:beforeAutospacing="1" w:after="100" w:afterAutospacing="1" w:line="360" w:lineRule="auto"/>
              <w:ind w:firstLine="210" w:firstLineChars="100"/>
              <w:jc w:val="left"/>
              <w:rPr>
                <w:rFonts w:ascii="Verdana" w:hAnsi="Verdana" w:cs="宋体"/>
                <w:color w:val="auto"/>
                <w:kern w:val="0"/>
                <w:szCs w:val="21"/>
                <w:highlight w:val="none"/>
              </w:rPr>
            </w:pPr>
            <w:r>
              <w:rPr>
                <w:rFonts w:hint="eastAsia" w:ascii="Verdana" w:hAnsi="Verdana" w:cs="宋体"/>
                <w:color w:val="auto"/>
                <w:kern w:val="0"/>
                <w:szCs w:val="21"/>
                <w:highlight w:val="none"/>
                <w:lang w:eastAsia="zh-CN"/>
              </w:rPr>
              <w:t>采购人</w:t>
            </w:r>
            <w:r>
              <w:rPr>
                <w:rFonts w:ascii="Verdana" w:hAnsi="Verdana" w:cs="宋体"/>
                <w:color w:val="auto"/>
                <w:kern w:val="0"/>
                <w:szCs w:val="21"/>
                <w:highlight w:val="none"/>
              </w:rPr>
              <w:t>或者受托机构的意见（盖章）：</w:t>
            </w:r>
          </w:p>
          <w:p w14:paraId="5B286595">
            <w:pPr>
              <w:widowControl/>
              <w:spacing w:before="100" w:beforeAutospacing="1" w:after="100" w:afterAutospacing="1" w:line="360" w:lineRule="auto"/>
              <w:ind w:firstLine="210" w:firstLineChars="100"/>
              <w:jc w:val="left"/>
              <w:rPr>
                <w:rFonts w:ascii="Verdana" w:hAnsi="Verdana" w:cs="宋体"/>
                <w:color w:val="auto"/>
                <w:kern w:val="0"/>
                <w:szCs w:val="21"/>
                <w:highlight w:val="none"/>
              </w:rPr>
            </w:pPr>
          </w:p>
          <w:p w14:paraId="3C4D43AB">
            <w:pPr>
              <w:widowControl/>
              <w:spacing w:before="100" w:beforeAutospacing="1" w:after="100" w:afterAutospacing="1" w:line="360" w:lineRule="auto"/>
              <w:ind w:firstLine="210" w:firstLineChars="100"/>
              <w:jc w:val="left"/>
              <w:rPr>
                <w:rFonts w:ascii="Verdana" w:hAnsi="Verdana" w:cs="宋体"/>
                <w:color w:val="auto"/>
                <w:kern w:val="0"/>
                <w:szCs w:val="21"/>
                <w:highlight w:val="none"/>
              </w:rPr>
            </w:pPr>
            <w:r>
              <w:rPr>
                <w:rFonts w:ascii="Verdana" w:hAnsi="Verdana" w:cs="宋体"/>
                <w:color w:val="auto"/>
                <w:kern w:val="0"/>
                <w:szCs w:val="21"/>
                <w:highlight w:val="none"/>
              </w:rPr>
              <w:t>联系电话：</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年</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 月</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 日</w:t>
            </w:r>
          </w:p>
        </w:tc>
      </w:tr>
    </w:tbl>
    <w:p w14:paraId="466CA54D">
      <w:pPr>
        <w:pStyle w:val="17"/>
        <w:snapToGrid w:val="0"/>
        <w:spacing w:line="360" w:lineRule="auto"/>
        <w:rPr>
          <w:rFonts w:hint="eastAsia" w:ascii="黑体" w:hAnsi="黑体" w:eastAsia="黑体" w:cs="黑体"/>
          <w:color w:val="auto"/>
          <w:sz w:val="32"/>
          <w:szCs w:val="32"/>
          <w:highlight w:val="none"/>
        </w:rPr>
      </w:pPr>
      <w:r>
        <w:rPr>
          <w:rFonts w:hAnsi="宋体"/>
          <w:color w:val="auto"/>
          <w:highlight w:val="none"/>
        </w:rPr>
        <w:br w:type="page"/>
      </w:r>
      <w:r>
        <w:rPr>
          <w:rFonts w:hint="eastAsia" w:ascii="宋体" w:hAnsi="宋体" w:eastAsia="宋体" w:cs="宋体"/>
          <w:b/>
          <w:bCs/>
          <w:color w:val="auto"/>
          <w:sz w:val="32"/>
          <w:szCs w:val="32"/>
          <w:highlight w:val="none"/>
        </w:rPr>
        <w:t>附件2：</w:t>
      </w:r>
    </w:p>
    <w:p w14:paraId="28E2493A">
      <w:pPr>
        <w:spacing w:line="360" w:lineRule="auto"/>
        <w:jc w:val="center"/>
        <w:rPr>
          <w:rFonts w:hint="eastAsia" w:ascii="宋体" w:hAnsi="宋体" w:cs="宋体"/>
          <w:b/>
          <w:bCs/>
          <w:color w:val="auto"/>
          <w:sz w:val="32"/>
          <w:szCs w:val="32"/>
          <w:highlight w:val="none"/>
        </w:rPr>
      </w:pPr>
      <w:r>
        <w:rPr>
          <w:rFonts w:hint="eastAsia" w:ascii="宋体" w:hAnsi="宋体" w:cs="宋体"/>
          <w:b/>
          <w:bCs/>
          <w:color w:val="auto"/>
          <w:sz w:val="32"/>
          <w:szCs w:val="32"/>
          <w:highlight w:val="none"/>
        </w:rPr>
        <w:t>政府采购项目履约保证金退付意见书</w:t>
      </w:r>
    </w:p>
    <w:p w14:paraId="3A6C0653">
      <w:pPr>
        <w:spacing w:line="360" w:lineRule="auto"/>
        <w:jc w:val="center"/>
        <w:rPr>
          <w:rFonts w:hint="eastAsia" w:ascii="黑体" w:hAnsi="黑体" w:eastAsia="黑体"/>
          <w:color w:val="auto"/>
          <w:sz w:val="36"/>
          <w:szCs w:val="36"/>
          <w:highlight w:val="none"/>
        </w:rPr>
      </w:pP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2"/>
        <w:gridCol w:w="7967"/>
      </w:tblGrid>
      <w:tr w14:paraId="78BC1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12" w:type="dxa"/>
            <w:vMerge w:val="restart"/>
            <w:noWrap w:val="0"/>
            <w:vAlign w:val="center"/>
          </w:tcPr>
          <w:p w14:paraId="6FCF91AD">
            <w:pPr>
              <w:spacing w:line="360" w:lineRule="auto"/>
              <w:jc w:val="center"/>
              <w:rPr>
                <w:rFonts w:hint="eastAsia"/>
                <w:color w:val="auto"/>
                <w:sz w:val="21"/>
                <w:szCs w:val="21"/>
                <w:highlight w:val="none"/>
              </w:rPr>
            </w:pPr>
            <w:r>
              <w:rPr>
                <w:rFonts w:hint="eastAsia"/>
                <w:color w:val="auto"/>
                <w:sz w:val="21"/>
                <w:szCs w:val="21"/>
                <w:highlight w:val="none"/>
              </w:rPr>
              <w:t>供</w:t>
            </w:r>
          </w:p>
          <w:p w14:paraId="6E41103F">
            <w:pPr>
              <w:spacing w:line="360" w:lineRule="auto"/>
              <w:jc w:val="center"/>
              <w:rPr>
                <w:rFonts w:hint="eastAsia"/>
                <w:color w:val="auto"/>
                <w:sz w:val="21"/>
                <w:szCs w:val="21"/>
                <w:highlight w:val="none"/>
              </w:rPr>
            </w:pPr>
            <w:r>
              <w:rPr>
                <w:rFonts w:hint="eastAsia"/>
                <w:color w:val="auto"/>
                <w:sz w:val="21"/>
                <w:szCs w:val="21"/>
                <w:highlight w:val="none"/>
              </w:rPr>
              <w:t>应</w:t>
            </w:r>
          </w:p>
          <w:p w14:paraId="7A1C1767">
            <w:pPr>
              <w:spacing w:line="360" w:lineRule="auto"/>
              <w:jc w:val="center"/>
              <w:rPr>
                <w:rFonts w:hint="eastAsia"/>
                <w:color w:val="auto"/>
                <w:sz w:val="21"/>
                <w:szCs w:val="21"/>
                <w:highlight w:val="none"/>
              </w:rPr>
            </w:pPr>
            <w:r>
              <w:rPr>
                <w:rFonts w:hint="eastAsia"/>
                <w:color w:val="auto"/>
                <w:sz w:val="21"/>
                <w:szCs w:val="21"/>
                <w:highlight w:val="none"/>
              </w:rPr>
              <w:t>商</w:t>
            </w:r>
          </w:p>
          <w:p w14:paraId="7BAC2F97">
            <w:pPr>
              <w:spacing w:line="360" w:lineRule="auto"/>
              <w:jc w:val="center"/>
              <w:rPr>
                <w:rFonts w:hint="eastAsia"/>
                <w:color w:val="auto"/>
                <w:sz w:val="21"/>
                <w:szCs w:val="21"/>
                <w:highlight w:val="none"/>
              </w:rPr>
            </w:pPr>
            <w:r>
              <w:rPr>
                <w:rFonts w:hint="eastAsia"/>
                <w:color w:val="auto"/>
                <w:sz w:val="21"/>
                <w:szCs w:val="21"/>
                <w:highlight w:val="none"/>
              </w:rPr>
              <w:t>申</w:t>
            </w:r>
          </w:p>
          <w:p w14:paraId="59DB2ABA">
            <w:pPr>
              <w:spacing w:line="360" w:lineRule="auto"/>
              <w:jc w:val="center"/>
              <w:rPr>
                <w:rFonts w:hint="eastAsia"/>
                <w:color w:val="auto"/>
                <w:sz w:val="21"/>
                <w:szCs w:val="21"/>
                <w:highlight w:val="none"/>
              </w:rPr>
            </w:pPr>
            <w:r>
              <w:rPr>
                <w:rFonts w:hint="eastAsia"/>
                <w:color w:val="auto"/>
                <w:sz w:val="21"/>
                <w:szCs w:val="21"/>
                <w:highlight w:val="none"/>
              </w:rPr>
              <w:t>请</w:t>
            </w:r>
          </w:p>
        </w:tc>
        <w:tc>
          <w:tcPr>
            <w:tcW w:w="7967" w:type="dxa"/>
            <w:noWrap w:val="0"/>
            <w:vAlign w:val="center"/>
          </w:tcPr>
          <w:p w14:paraId="2B9F0888">
            <w:pPr>
              <w:spacing w:line="360" w:lineRule="auto"/>
              <w:rPr>
                <w:rFonts w:hint="eastAsia"/>
                <w:color w:val="auto"/>
                <w:sz w:val="21"/>
                <w:szCs w:val="21"/>
                <w:highlight w:val="none"/>
              </w:rPr>
            </w:pPr>
            <w:r>
              <w:rPr>
                <w:rFonts w:hint="eastAsia"/>
                <w:color w:val="auto"/>
                <w:sz w:val="21"/>
                <w:szCs w:val="21"/>
                <w:highlight w:val="none"/>
              </w:rPr>
              <w:t>项目编号：</w:t>
            </w:r>
          </w:p>
        </w:tc>
      </w:tr>
      <w:tr w14:paraId="15865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12" w:type="dxa"/>
            <w:vMerge w:val="continue"/>
            <w:noWrap w:val="0"/>
            <w:vAlign w:val="center"/>
          </w:tcPr>
          <w:p w14:paraId="7D8DF972">
            <w:pPr>
              <w:spacing w:line="360" w:lineRule="auto"/>
              <w:rPr>
                <w:rFonts w:hint="eastAsia"/>
                <w:color w:val="auto"/>
                <w:sz w:val="21"/>
                <w:szCs w:val="21"/>
                <w:highlight w:val="none"/>
              </w:rPr>
            </w:pPr>
          </w:p>
        </w:tc>
        <w:tc>
          <w:tcPr>
            <w:tcW w:w="7967" w:type="dxa"/>
            <w:noWrap w:val="0"/>
            <w:vAlign w:val="center"/>
          </w:tcPr>
          <w:p w14:paraId="64F750CC">
            <w:pPr>
              <w:spacing w:line="360" w:lineRule="auto"/>
              <w:rPr>
                <w:rFonts w:hint="eastAsia"/>
                <w:color w:val="auto"/>
                <w:sz w:val="21"/>
                <w:szCs w:val="21"/>
                <w:highlight w:val="none"/>
              </w:rPr>
            </w:pPr>
            <w:r>
              <w:rPr>
                <w:rFonts w:hint="eastAsia"/>
                <w:color w:val="auto"/>
                <w:sz w:val="21"/>
                <w:szCs w:val="21"/>
                <w:highlight w:val="none"/>
              </w:rPr>
              <w:t>项目名称：</w:t>
            </w:r>
          </w:p>
        </w:tc>
      </w:tr>
      <w:tr w14:paraId="015E0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9" w:hRule="atLeast"/>
          <w:jc w:val="center"/>
        </w:trPr>
        <w:tc>
          <w:tcPr>
            <w:tcW w:w="812" w:type="dxa"/>
            <w:vMerge w:val="continue"/>
            <w:noWrap w:val="0"/>
            <w:vAlign w:val="top"/>
          </w:tcPr>
          <w:p w14:paraId="0CB30D70">
            <w:pPr>
              <w:spacing w:line="360" w:lineRule="auto"/>
              <w:rPr>
                <w:rFonts w:hint="eastAsia"/>
                <w:color w:val="auto"/>
                <w:sz w:val="21"/>
                <w:szCs w:val="21"/>
                <w:highlight w:val="none"/>
              </w:rPr>
            </w:pPr>
          </w:p>
        </w:tc>
        <w:tc>
          <w:tcPr>
            <w:tcW w:w="7967" w:type="dxa"/>
            <w:noWrap w:val="0"/>
            <w:vAlign w:val="top"/>
          </w:tcPr>
          <w:p w14:paraId="196A1CC3">
            <w:pPr>
              <w:spacing w:line="360" w:lineRule="auto"/>
              <w:rPr>
                <w:rFonts w:hint="eastAsia" w:eastAsia="宋体"/>
                <w:color w:val="auto"/>
                <w:sz w:val="21"/>
                <w:szCs w:val="21"/>
                <w:highlight w:val="none"/>
                <w:lang w:eastAsia="zh-CN"/>
              </w:rPr>
            </w:pPr>
          </w:p>
          <w:p w14:paraId="3BE28AF8">
            <w:pPr>
              <w:spacing w:line="360" w:lineRule="auto"/>
              <w:ind w:firstLine="420" w:firstLineChars="200"/>
              <w:rPr>
                <w:rFonts w:hint="eastAsia"/>
                <w:color w:val="auto"/>
                <w:sz w:val="21"/>
                <w:szCs w:val="21"/>
                <w:highlight w:val="none"/>
              </w:rPr>
            </w:pPr>
            <w:r>
              <w:rPr>
                <w:rFonts w:hint="eastAsia"/>
                <w:color w:val="auto"/>
                <w:sz w:val="21"/>
                <w:szCs w:val="21"/>
                <w:highlight w:val="none"/>
              </w:rPr>
              <w:t>该项目已于</w:t>
            </w:r>
            <w:r>
              <w:rPr>
                <w:rFonts w:hint="eastAsia"/>
                <w:color w:val="auto"/>
                <w:sz w:val="21"/>
                <w:szCs w:val="21"/>
                <w:highlight w:val="none"/>
                <w:u w:val="single"/>
              </w:rPr>
              <w:t xml:space="preserve">       </w:t>
            </w:r>
            <w:r>
              <w:rPr>
                <w:rFonts w:hint="eastAsia"/>
                <w:color w:val="auto"/>
                <w:sz w:val="21"/>
                <w:szCs w:val="21"/>
                <w:highlight w:val="none"/>
              </w:rPr>
              <w:t>年</w:t>
            </w:r>
            <w:r>
              <w:rPr>
                <w:rFonts w:hint="eastAsia"/>
                <w:color w:val="auto"/>
                <w:sz w:val="21"/>
                <w:szCs w:val="21"/>
                <w:highlight w:val="none"/>
                <w:u w:val="single"/>
              </w:rPr>
              <w:t xml:space="preserve">     </w:t>
            </w:r>
            <w:r>
              <w:rPr>
                <w:rFonts w:hint="eastAsia"/>
                <w:color w:val="auto"/>
                <w:sz w:val="21"/>
                <w:szCs w:val="21"/>
                <w:highlight w:val="none"/>
              </w:rPr>
              <w:t>月</w:t>
            </w:r>
            <w:r>
              <w:rPr>
                <w:rFonts w:hint="eastAsia"/>
                <w:color w:val="auto"/>
                <w:sz w:val="21"/>
                <w:szCs w:val="21"/>
                <w:highlight w:val="none"/>
                <w:u w:val="single"/>
              </w:rPr>
              <w:t xml:space="preserve">     </w:t>
            </w:r>
            <w:r>
              <w:rPr>
                <w:rFonts w:hint="eastAsia"/>
                <w:color w:val="auto"/>
                <w:sz w:val="21"/>
                <w:szCs w:val="21"/>
                <w:highlight w:val="none"/>
              </w:rPr>
              <w:t>日验收并交付使用。根据合同规定，该项目的履约保证金期限于</w:t>
            </w:r>
            <w:r>
              <w:rPr>
                <w:rFonts w:hint="eastAsia"/>
                <w:color w:val="auto"/>
                <w:sz w:val="21"/>
                <w:szCs w:val="21"/>
                <w:highlight w:val="none"/>
                <w:u w:val="single"/>
              </w:rPr>
              <w:t xml:space="preserve">         </w:t>
            </w:r>
            <w:r>
              <w:rPr>
                <w:rFonts w:hint="eastAsia"/>
                <w:color w:val="auto"/>
                <w:sz w:val="21"/>
                <w:szCs w:val="21"/>
                <w:highlight w:val="none"/>
              </w:rPr>
              <w:t>年</w:t>
            </w:r>
            <w:r>
              <w:rPr>
                <w:rFonts w:hint="eastAsia"/>
                <w:color w:val="auto"/>
                <w:sz w:val="21"/>
                <w:szCs w:val="21"/>
                <w:highlight w:val="none"/>
                <w:u w:val="single"/>
              </w:rPr>
              <w:t xml:space="preserve">        </w:t>
            </w:r>
            <w:r>
              <w:rPr>
                <w:rFonts w:hint="eastAsia"/>
                <w:color w:val="auto"/>
                <w:sz w:val="21"/>
                <w:szCs w:val="21"/>
                <w:highlight w:val="none"/>
              </w:rPr>
              <w:t>月</w:t>
            </w:r>
            <w:r>
              <w:rPr>
                <w:rFonts w:hint="eastAsia"/>
                <w:color w:val="auto"/>
                <w:sz w:val="21"/>
                <w:szCs w:val="21"/>
                <w:highlight w:val="none"/>
                <w:u w:val="single"/>
              </w:rPr>
              <w:t xml:space="preserve">        </w:t>
            </w:r>
            <w:r>
              <w:rPr>
                <w:rFonts w:hint="eastAsia"/>
                <w:color w:val="auto"/>
                <w:sz w:val="21"/>
                <w:szCs w:val="21"/>
                <w:highlight w:val="none"/>
              </w:rPr>
              <w:t>日已满，请将履约保证金</w:t>
            </w:r>
          </w:p>
          <w:p w14:paraId="6FF0A99B">
            <w:pPr>
              <w:spacing w:line="360" w:lineRule="auto"/>
              <w:rPr>
                <w:rFonts w:hint="eastAsia"/>
                <w:color w:val="auto"/>
                <w:sz w:val="21"/>
                <w:szCs w:val="21"/>
                <w:highlight w:val="none"/>
              </w:rPr>
            </w:pPr>
            <w:r>
              <w:rPr>
                <w:rFonts w:hint="eastAsia"/>
                <w:color w:val="auto"/>
                <w:sz w:val="21"/>
                <w:szCs w:val="21"/>
                <w:highlight w:val="none"/>
                <w:u w:val="single"/>
              </w:rPr>
              <w:t xml:space="preserve">                                      </w:t>
            </w:r>
            <w:r>
              <w:rPr>
                <w:rFonts w:hint="eastAsia"/>
                <w:color w:val="auto"/>
                <w:sz w:val="21"/>
                <w:szCs w:val="21"/>
                <w:highlight w:val="none"/>
              </w:rPr>
              <w:t>（大写）¥</w:t>
            </w:r>
            <w:r>
              <w:rPr>
                <w:rFonts w:hint="eastAsia"/>
                <w:color w:val="auto"/>
                <w:sz w:val="21"/>
                <w:szCs w:val="21"/>
                <w:highlight w:val="none"/>
                <w:u w:val="single"/>
              </w:rPr>
              <w:t xml:space="preserve">          </w:t>
            </w:r>
            <w:r>
              <w:rPr>
                <w:rFonts w:hint="eastAsia"/>
                <w:color w:val="auto"/>
                <w:sz w:val="21"/>
                <w:szCs w:val="21"/>
                <w:highlight w:val="none"/>
              </w:rPr>
              <w:t>（小写）退付到达以下帐户。</w:t>
            </w:r>
          </w:p>
          <w:p w14:paraId="29063EC1">
            <w:pPr>
              <w:spacing w:line="360" w:lineRule="auto"/>
              <w:rPr>
                <w:rFonts w:hint="eastAsia"/>
                <w:color w:val="auto"/>
                <w:sz w:val="21"/>
                <w:szCs w:val="21"/>
                <w:highlight w:val="none"/>
              </w:rPr>
            </w:pPr>
            <w:r>
              <w:rPr>
                <w:rFonts w:hint="eastAsia"/>
                <w:color w:val="auto"/>
                <w:sz w:val="21"/>
                <w:szCs w:val="21"/>
                <w:highlight w:val="none"/>
              </w:rPr>
              <w:t>单位名称：</w:t>
            </w:r>
          </w:p>
          <w:p w14:paraId="7520C802">
            <w:pPr>
              <w:spacing w:line="360" w:lineRule="auto"/>
              <w:rPr>
                <w:rFonts w:hint="eastAsia"/>
                <w:color w:val="auto"/>
                <w:sz w:val="21"/>
                <w:szCs w:val="21"/>
                <w:highlight w:val="none"/>
              </w:rPr>
            </w:pPr>
            <w:r>
              <w:rPr>
                <w:rFonts w:hint="eastAsia"/>
                <w:color w:val="auto"/>
                <w:sz w:val="21"/>
                <w:szCs w:val="21"/>
                <w:highlight w:val="none"/>
              </w:rPr>
              <w:t>开户银行：</w:t>
            </w:r>
          </w:p>
          <w:p w14:paraId="6E7DE436">
            <w:pPr>
              <w:spacing w:line="360" w:lineRule="auto"/>
              <w:rPr>
                <w:rFonts w:hint="eastAsia"/>
                <w:color w:val="auto"/>
                <w:sz w:val="21"/>
                <w:szCs w:val="21"/>
                <w:highlight w:val="none"/>
              </w:rPr>
            </w:pPr>
            <w:r>
              <w:rPr>
                <w:rFonts w:hint="eastAsia"/>
                <w:color w:val="auto"/>
                <w:sz w:val="21"/>
                <w:szCs w:val="21"/>
                <w:highlight w:val="none"/>
              </w:rPr>
              <w:t>帐    号：</w:t>
            </w:r>
          </w:p>
          <w:p w14:paraId="250E0440">
            <w:pPr>
              <w:spacing w:line="360" w:lineRule="auto"/>
              <w:rPr>
                <w:rFonts w:hint="eastAsia"/>
                <w:color w:val="auto"/>
                <w:sz w:val="21"/>
                <w:szCs w:val="21"/>
                <w:highlight w:val="none"/>
              </w:rPr>
            </w:pPr>
            <w:r>
              <w:rPr>
                <w:rFonts w:hint="eastAsia"/>
                <w:color w:val="auto"/>
                <w:sz w:val="21"/>
                <w:szCs w:val="21"/>
                <w:highlight w:val="none"/>
              </w:rPr>
              <w:t>联系人及电话：</w:t>
            </w:r>
          </w:p>
          <w:p w14:paraId="2B881289">
            <w:pPr>
              <w:spacing w:line="360" w:lineRule="auto"/>
              <w:rPr>
                <w:rFonts w:hint="eastAsia"/>
                <w:color w:val="auto"/>
                <w:sz w:val="21"/>
                <w:szCs w:val="21"/>
                <w:highlight w:val="none"/>
              </w:rPr>
            </w:pPr>
          </w:p>
          <w:p w14:paraId="65634328">
            <w:pPr>
              <w:spacing w:line="360" w:lineRule="auto"/>
              <w:jc w:val="center"/>
              <w:rPr>
                <w:rFonts w:hint="eastAsia"/>
                <w:color w:val="auto"/>
                <w:sz w:val="21"/>
                <w:szCs w:val="21"/>
                <w:highlight w:val="none"/>
              </w:rPr>
            </w:pPr>
            <w:r>
              <w:rPr>
                <w:rFonts w:hint="eastAsia"/>
                <w:color w:val="auto"/>
                <w:sz w:val="21"/>
                <w:szCs w:val="21"/>
                <w:highlight w:val="none"/>
              </w:rPr>
              <w:t xml:space="preserve">                           供应商签章：</w:t>
            </w:r>
          </w:p>
          <w:p w14:paraId="4B95D6BE">
            <w:pPr>
              <w:spacing w:line="360" w:lineRule="auto"/>
              <w:jc w:val="center"/>
              <w:rPr>
                <w:rFonts w:hint="eastAsia"/>
                <w:color w:val="auto"/>
                <w:sz w:val="21"/>
                <w:szCs w:val="21"/>
                <w:highlight w:val="none"/>
              </w:rPr>
            </w:pPr>
            <w:r>
              <w:rPr>
                <w:rFonts w:hint="eastAsia"/>
                <w:color w:val="auto"/>
                <w:sz w:val="21"/>
                <w:szCs w:val="21"/>
                <w:highlight w:val="none"/>
              </w:rPr>
              <w:t xml:space="preserve">                                                年    月    日</w:t>
            </w:r>
          </w:p>
        </w:tc>
      </w:tr>
      <w:tr w14:paraId="5AD60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812" w:type="dxa"/>
            <w:noWrap w:val="0"/>
            <w:vAlign w:val="center"/>
          </w:tcPr>
          <w:p w14:paraId="2B7BD1A8">
            <w:pPr>
              <w:spacing w:line="360" w:lineRule="auto"/>
              <w:jc w:val="center"/>
              <w:rPr>
                <w:rFonts w:hint="eastAsia"/>
                <w:color w:val="auto"/>
                <w:sz w:val="21"/>
                <w:szCs w:val="21"/>
                <w:highlight w:val="none"/>
              </w:rPr>
            </w:pPr>
            <w:r>
              <w:rPr>
                <w:rFonts w:hint="eastAsia"/>
                <w:color w:val="auto"/>
                <w:sz w:val="21"/>
                <w:szCs w:val="21"/>
                <w:highlight w:val="none"/>
              </w:rPr>
              <w:t>采</w:t>
            </w:r>
          </w:p>
          <w:p w14:paraId="38D4E992">
            <w:pPr>
              <w:spacing w:line="360" w:lineRule="auto"/>
              <w:jc w:val="center"/>
              <w:rPr>
                <w:rFonts w:hint="eastAsia"/>
                <w:color w:val="auto"/>
                <w:sz w:val="21"/>
                <w:szCs w:val="21"/>
                <w:highlight w:val="none"/>
              </w:rPr>
            </w:pPr>
            <w:r>
              <w:rPr>
                <w:rFonts w:hint="eastAsia"/>
                <w:color w:val="auto"/>
                <w:sz w:val="21"/>
                <w:szCs w:val="21"/>
                <w:highlight w:val="none"/>
              </w:rPr>
              <w:t>购</w:t>
            </w:r>
          </w:p>
          <w:p w14:paraId="537739E5">
            <w:pPr>
              <w:spacing w:line="360" w:lineRule="auto"/>
              <w:jc w:val="center"/>
              <w:rPr>
                <w:rFonts w:hint="eastAsia"/>
                <w:color w:val="auto"/>
                <w:sz w:val="21"/>
                <w:szCs w:val="21"/>
                <w:highlight w:val="none"/>
              </w:rPr>
            </w:pPr>
            <w:r>
              <w:rPr>
                <w:rFonts w:hint="eastAsia"/>
                <w:color w:val="auto"/>
                <w:sz w:val="21"/>
                <w:szCs w:val="21"/>
                <w:highlight w:val="none"/>
              </w:rPr>
              <w:t>单</w:t>
            </w:r>
          </w:p>
          <w:p w14:paraId="5626D3AC">
            <w:pPr>
              <w:spacing w:line="360" w:lineRule="auto"/>
              <w:jc w:val="center"/>
              <w:rPr>
                <w:rFonts w:hint="eastAsia"/>
                <w:color w:val="auto"/>
                <w:sz w:val="21"/>
                <w:szCs w:val="21"/>
                <w:highlight w:val="none"/>
              </w:rPr>
            </w:pPr>
            <w:r>
              <w:rPr>
                <w:rFonts w:hint="eastAsia"/>
                <w:color w:val="auto"/>
                <w:sz w:val="21"/>
                <w:szCs w:val="21"/>
                <w:highlight w:val="none"/>
              </w:rPr>
              <w:t>位</w:t>
            </w:r>
          </w:p>
          <w:p w14:paraId="24192467">
            <w:pPr>
              <w:spacing w:line="360" w:lineRule="auto"/>
              <w:jc w:val="center"/>
              <w:rPr>
                <w:rFonts w:hint="eastAsia"/>
                <w:color w:val="auto"/>
                <w:sz w:val="21"/>
                <w:szCs w:val="21"/>
                <w:highlight w:val="none"/>
              </w:rPr>
            </w:pPr>
            <w:r>
              <w:rPr>
                <w:rFonts w:hint="eastAsia"/>
                <w:color w:val="auto"/>
                <w:sz w:val="21"/>
                <w:szCs w:val="21"/>
                <w:highlight w:val="none"/>
              </w:rPr>
              <w:t>意</w:t>
            </w:r>
          </w:p>
          <w:p w14:paraId="07031123">
            <w:pPr>
              <w:spacing w:line="360" w:lineRule="auto"/>
              <w:jc w:val="center"/>
              <w:rPr>
                <w:rFonts w:hint="eastAsia"/>
                <w:color w:val="auto"/>
                <w:sz w:val="21"/>
                <w:szCs w:val="21"/>
                <w:highlight w:val="none"/>
              </w:rPr>
            </w:pPr>
            <w:r>
              <w:rPr>
                <w:rFonts w:hint="eastAsia"/>
                <w:color w:val="auto"/>
                <w:sz w:val="21"/>
                <w:szCs w:val="21"/>
                <w:highlight w:val="none"/>
              </w:rPr>
              <w:t>见</w:t>
            </w:r>
          </w:p>
        </w:tc>
        <w:tc>
          <w:tcPr>
            <w:tcW w:w="7967" w:type="dxa"/>
            <w:noWrap w:val="0"/>
            <w:vAlign w:val="top"/>
          </w:tcPr>
          <w:p w14:paraId="736BA017">
            <w:pPr>
              <w:spacing w:line="360" w:lineRule="auto"/>
              <w:rPr>
                <w:rFonts w:hint="eastAsia"/>
                <w:color w:val="auto"/>
                <w:sz w:val="21"/>
                <w:szCs w:val="21"/>
                <w:highlight w:val="none"/>
              </w:rPr>
            </w:pPr>
          </w:p>
          <w:p w14:paraId="3DDF502D">
            <w:pPr>
              <w:spacing w:line="360" w:lineRule="auto"/>
              <w:rPr>
                <w:rFonts w:hint="eastAsia"/>
                <w:color w:val="auto"/>
                <w:sz w:val="21"/>
                <w:szCs w:val="21"/>
                <w:highlight w:val="none"/>
              </w:rPr>
            </w:pPr>
            <w:r>
              <w:rPr>
                <w:rFonts w:hint="eastAsia"/>
                <w:color w:val="auto"/>
                <w:sz w:val="21"/>
                <w:szCs w:val="21"/>
                <w:highlight w:val="none"/>
              </w:rPr>
              <w:t>退付意见：是否同意退付履约保证金及退付金额：</w:t>
            </w:r>
          </w:p>
          <w:p w14:paraId="7312941B">
            <w:pPr>
              <w:spacing w:line="360" w:lineRule="auto"/>
              <w:rPr>
                <w:rFonts w:hint="eastAsia"/>
                <w:color w:val="auto"/>
                <w:sz w:val="21"/>
                <w:szCs w:val="21"/>
                <w:highlight w:val="none"/>
              </w:rPr>
            </w:pPr>
          </w:p>
          <w:p w14:paraId="7A8E324F">
            <w:pPr>
              <w:spacing w:line="360" w:lineRule="auto"/>
              <w:rPr>
                <w:rFonts w:hint="eastAsia"/>
                <w:color w:val="auto"/>
                <w:sz w:val="21"/>
                <w:szCs w:val="21"/>
                <w:highlight w:val="none"/>
              </w:rPr>
            </w:pPr>
          </w:p>
          <w:p w14:paraId="3EFE2D6A">
            <w:pPr>
              <w:spacing w:line="360" w:lineRule="auto"/>
              <w:rPr>
                <w:rFonts w:hint="eastAsia"/>
                <w:color w:val="auto"/>
                <w:sz w:val="21"/>
                <w:szCs w:val="21"/>
                <w:highlight w:val="none"/>
              </w:rPr>
            </w:pPr>
            <w:r>
              <w:rPr>
                <w:rFonts w:hint="eastAsia"/>
                <w:color w:val="auto"/>
                <w:sz w:val="21"/>
                <w:szCs w:val="21"/>
                <w:highlight w:val="none"/>
              </w:rPr>
              <w:t xml:space="preserve">联系人及电话：                                </w:t>
            </w:r>
          </w:p>
          <w:p w14:paraId="4772DA8B">
            <w:pPr>
              <w:spacing w:line="360" w:lineRule="auto"/>
              <w:rPr>
                <w:rFonts w:hint="eastAsia"/>
                <w:color w:val="auto"/>
                <w:sz w:val="21"/>
                <w:szCs w:val="21"/>
                <w:highlight w:val="none"/>
              </w:rPr>
            </w:pPr>
          </w:p>
          <w:p w14:paraId="5E196573">
            <w:pPr>
              <w:spacing w:line="360" w:lineRule="auto"/>
              <w:ind w:firstLine="3990" w:firstLineChars="1900"/>
              <w:rPr>
                <w:rFonts w:hint="eastAsia"/>
                <w:color w:val="auto"/>
                <w:sz w:val="21"/>
                <w:szCs w:val="21"/>
                <w:highlight w:val="none"/>
              </w:rPr>
            </w:pPr>
            <w:r>
              <w:rPr>
                <w:rFonts w:hint="eastAsia"/>
                <w:color w:val="auto"/>
                <w:sz w:val="21"/>
                <w:szCs w:val="21"/>
                <w:highlight w:val="none"/>
              </w:rPr>
              <w:t xml:space="preserve"> </w:t>
            </w:r>
            <w:r>
              <w:rPr>
                <w:rFonts w:hint="eastAsia"/>
                <w:color w:val="auto"/>
                <w:sz w:val="21"/>
                <w:szCs w:val="21"/>
                <w:highlight w:val="none"/>
                <w:lang w:eastAsia="zh-CN"/>
              </w:rPr>
              <w:t>采购人</w:t>
            </w:r>
            <w:r>
              <w:rPr>
                <w:rFonts w:hint="eastAsia"/>
                <w:color w:val="auto"/>
                <w:sz w:val="21"/>
                <w:szCs w:val="21"/>
                <w:highlight w:val="none"/>
              </w:rPr>
              <w:t>签章：</w:t>
            </w:r>
          </w:p>
          <w:p w14:paraId="338F343F">
            <w:pPr>
              <w:spacing w:line="360" w:lineRule="auto"/>
              <w:jc w:val="center"/>
              <w:rPr>
                <w:rFonts w:hint="eastAsia"/>
                <w:color w:val="auto"/>
                <w:sz w:val="21"/>
                <w:szCs w:val="21"/>
                <w:highlight w:val="none"/>
              </w:rPr>
            </w:pPr>
            <w:r>
              <w:rPr>
                <w:rFonts w:hint="eastAsia"/>
                <w:color w:val="auto"/>
                <w:sz w:val="21"/>
                <w:szCs w:val="21"/>
                <w:highlight w:val="none"/>
              </w:rPr>
              <w:t xml:space="preserve">                                                年    月    日</w:t>
            </w:r>
          </w:p>
        </w:tc>
      </w:tr>
      <w:tr w14:paraId="06024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812" w:type="dxa"/>
            <w:noWrap w:val="0"/>
            <w:vAlign w:val="center"/>
          </w:tcPr>
          <w:p w14:paraId="425732C2">
            <w:pPr>
              <w:spacing w:line="360" w:lineRule="auto"/>
              <w:jc w:val="center"/>
              <w:rPr>
                <w:rFonts w:hint="eastAsia"/>
                <w:color w:val="auto"/>
                <w:sz w:val="21"/>
                <w:szCs w:val="21"/>
                <w:highlight w:val="none"/>
              </w:rPr>
            </w:pPr>
            <w:r>
              <w:rPr>
                <w:rFonts w:hint="eastAsia"/>
                <w:color w:val="auto"/>
                <w:sz w:val="21"/>
                <w:szCs w:val="21"/>
                <w:highlight w:val="none"/>
              </w:rPr>
              <w:t>备注</w:t>
            </w:r>
          </w:p>
        </w:tc>
        <w:tc>
          <w:tcPr>
            <w:tcW w:w="7967" w:type="dxa"/>
            <w:noWrap w:val="0"/>
            <w:vAlign w:val="top"/>
          </w:tcPr>
          <w:p w14:paraId="0A85117F">
            <w:pPr>
              <w:spacing w:line="360" w:lineRule="auto"/>
              <w:rPr>
                <w:rFonts w:hint="eastAsia"/>
                <w:color w:val="auto"/>
                <w:sz w:val="21"/>
                <w:szCs w:val="21"/>
                <w:highlight w:val="none"/>
              </w:rPr>
            </w:pPr>
          </w:p>
        </w:tc>
      </w:tr>
    </w:tbl>
    <w:p w14:paraId="082BA2BF">
      <w:pPr>
        <w:pStyle w:val="14"/>
        <w:spacing w:line="360" w:lineRule="auto"/>
        <w:ind w:left="1" w:firstLine="2" w:firstLineChars="1"/>
        <w:rPr>
          <w:rFonts w:hint="eastAsia" w:ascii="宋体"/>
          <w:b/>
          <w:bCs/>
          <w:color w:val="auto"/>
          <w:sz w:val="18"/>
          <w:szCs w:val="18"/>
          <w:highlight w:val="none"/>
        </w:rPr>
      </w:pPr>
      <w:r>
        <w:rPr>
          <w:rFonts w:hint="eastAsia" w:ascii="宋体"/>
          <w:b/>
          <w:bCs/>
          <w:color w:val="auto"/>
          <w:sz w:val="18"/>
          <w:szCs w:val="18"/>
          <w:highlight w:val="none"/>
        </w:rPr>
        <w:t>注：供应商凭经</w:t>
      </w:r>
      <w:r>
        <w:rPr>
          <w:rFonts w:hint="eastAsia" w:ascii="宋体"/>
          <w:b/>
          <w:bCs/>
          <w:color w:val="auto"/>
          <w:sz w:val="18"/>
          <w:szCs w:val="18"/>
          <w:highlight w:val="none"/>
          <w:lang w:eastAsia="zh-CN"/>
        </w:rPr>
        <w:t>采购人</w:t>
      </w:r>
      <w:r>
        <w:rPr>
          <w:rFonts w:hint="eastAsia" w:ascii="宋体"/>
          <w:b/>
          <w:bCs/>
          <w:color w:val="auto"/>
          <w:sz w:val="18"/>
          <w:szCs w:val="18"/>
          <w:highlight w:val="none"/>
        </w:rPr>
        <w:t>审批的退付意见书到履约保证金收取单位财务部门办理履约保证金退付事宜。</w:t>
      </w:r>
    </w:p>
    <w:p w14:paraId="3E24B5AA">
      <w:pPr>
        <w:rPr>
          <w:rFonts w:hAnsi="Times New Roman" w:cs="Times New Roman"/>
          <w:b w:val="0"/>
          <w:sz w:val="21"/>
          <w:szCs w:val="24"/>
          <w:highlight w:val="none"/>
        </w:rPr>
      </w:pPr>
    </w:p>
    <w:p w14:paraId="54D8A4F1">
      <w:pPr>
        <w:pStyle w:val="17"/>
        <w:snapToGrid w:val="0"/>
        <w:spacing w:before="120" w:after="120" w:line="360" w:lineRule="auto"/>
        <w:jc w:val="center"/>
        <w:outlineLvl w:val="0"/>
        <w:rPr>
          <w:rFonts w:hAnsi="宋体" w:cs="宋体"/>
          <w:b/>
          <w:bCs/>
          <w:sz w:val="44"/>
          <w:szCs w:val="44"/>
          <w:highlight w:val="none"/>
        </w:rPr>
      </w:pPr>
      <w:r>
        <w:rPr>
          <w:rFonts w:hint="eastAsia" w:hAnsi="宋体" w:cs="宋体"/>
          <w:highlight w:val="none"/>
        </w:rPr>
        <w:br w:type="page"/>
      </w:r>
      <w:bookmarkStart w:id="29" w:name="_Toc13362"/>
      <w:r>
        <w:rPr>
          <w:rFonts w:hint="eastAsia" w:hAnsi="宋体" w:cs="宋体"/>
          <w:b/>
          <w:bCs/>
          <w:sz w:val="44"/>
          <w:szCs w:val="44"/>
          <w:highlight w:val="none"/>
        </w:rPr>
        <w:t>第三章</w:t>
      </w:r>
      <w:r>
        <w:rPr>
          <w:rFonts w:hAnsi="宋体" w:cs="宋体"/>
          <w:b/>
          <w:bCs/>
          <w:sz w:val="44"/>
          <w:szCs w:val="44"/>
          <w:highlight w:val="none"/>
        </w:rPr>
        <w:t xml:space="preserve"> </w:t>
      </w:r>
      <w:r>
        <w:rPr>
          <w:rFonts w:hint="eastAsia" w:hAnsi="宋体" w:cs="宋体"/>
          <w:b/>
          <w:bCs/>
          <w:sz w:val="44"/>
          <w:szCs w:val="44"/>
          <w:highlight w:val="none"/>
        </w:rPr>
        <w:t>采购需求</w:t>
      </w:r>
      <w:bookmarkEnd w:id="29"/>
    </w:p>
    <w:p w14:paraId="163C9535">
      <w:pPr>
        <w:spacing w:line="440" w:lineRule="exact"/>
        <w:jc w:val="center"/>
        <w:rPr>
          <w:rFonts w:ascii="宋体" w:hAnsi="宋体" w:cs="宋体"/>
          <w:b/>
          <w:sz w:val="32"/>
          <w:szCs w:val="32"/>
          <w:highlight w:val="none"/>
        </w:rPr>
      </w:pPr>
    </w:p>
    <w:p w14:paraId="2D34DC0F">
      <w:pPr>
        <w:spacing w:line="360" w:lineRule="auto"/>
        <w:jc w:val="left"/>
        <w:rPr>
          <w:rFonts w:hint="eastAsia" w:ascii="宋体" w:hAnsi="宋体" w:cs="宋体"/>
          <w:sz w:val="21"/>
          <w:szCs w:val="21"/>
          <w:highlight w:val="none"/>
        </w:rPr>
      </w:pPr>
      <w:r>
        <w:rPr>
          <w:rFonts w:hint="eastAsia" w:ascii="宋体" w:hAnsi="宋体" w:cs="宋体"/>
          <w:sz w:val="21"/>
          <w:szCs w:val="21"/>
          <w:highlight w:val="none"/>
        </w:rPr>
        <w:t>说明：</w:t>
      </w:r>
    </w:p>
    <w:p w14:paraId="5FEB0211">
      <w:pPr>
        <w:spacing w:line="360" w:lineRule="auto"/>
        <w:ind w:firstLine="420" w:firstLineChars="200"/>
        <w:jc w:val="left"/>
        <w:rPr>
          <w:rFonts w:hint="eastAsia" w:ascii="宋体" w:hAnsi="宋体" w:cs="宋体"/>
          <w:sz w:val="21"/>
          <w:szCs w:val="21"/>
          <w:highlight w:val="none"/>
        </w:rPr>
      </w:pPr>
      <w:r>
        <w:rPr>
          <w:rFonts w:hint="eastAsia" w:ascii="宋体" w:hAnsi="宋体" w:cs="宋体"/>
          <w:sz w:val="21"/>
          <w:szCs w:val="21"/>
          <w:highlight w:val="none"/>
        </w:rPr>
        <w:t>1.为落实政府采购政策需满足的要求:</w:t>
      </w:r>
    </w:p>
    <w:p w14:paraId="55BB1F1D">
      <w:pPr>
        <w:spacing w:line="360" w:lineRule="auto"/>
        <w:ind w:firstLine="420" w:firstLineChars="200"/>
        <w:jc w:val="left"/>
        <w:rPr>
          <w:rFonts w:hint="eastAsia" w:ascii="宋体" w:hAnsi="宋体" w:cs="宋体"/>
          <w:sz w:val="21"/>
          <w:szCs w:val="21"/>
          <w:highlight w:val="none"/>
        </w:rPr>
      </w:pPr>
      <w:r>
        <w:rPr>
          <w:rFonts w:hint="eastAsia" w:ascii="宋体" w:hAnsi="宋体" w:cs="宋体"/>
          <w:sz w:val="21"/>
          <w:szCs w:val="21"/>
          <w:highlight w:val="none"/>
        </w:rPr>
        <w:t>本竞争性磋商采购文件所称中小企业必须符合《政府采购促进中小企业发展管理办法》（财库〔2020〕46号）的规定。</w:t>
      </w:r>
    </w:p>
    <w:p w14:paraId="1F90393F">
      <w:pPr>
        <w:spacing w:line="360" w:lineRule="auto"/>
        <w:ind w:firstLine="420" w:firstLineChars="200"/>
        <w:jc w:val="left"/>
        <w:rPr>
          <w:rFonts w:hint="eastAsia" w:ascii="宋体" w:hAnsi="宋体" w:cs="宋体"/>
          <w:sz w:val="21"/>
          <w:szCs w:val="21"/>
          <w:highlight w:val="none"/>
        </w:rPr>
      </w:pPr>
      <w:r>
        <w:rPr>
          <w:rFonts w:hint="eastAsia" w:ascii="宋体" w:hAnsi="宋体" w:eastAsia="宋体" w:cs="宋体"/>
          <w:sz w:val="21"/>
          <w:szCs w:val="21"/>
          <w:highlight w:val="none"/>
          <w:lang w:eastAsia="zh-CN"/>
        </w:rPr>
        <w:t>2</w:t>
      </w:r>
      <w:r>
        <w:rPr>
          <w:rFonts w:hint="eastAsia" w:ascii="宋体" w:hAnsi="宋体" w:cs="宋体"/>
          <w:sz w:val="21"/>
          <w:szCs w:val="21"/>
          <w:highlight w:val="none"/>
        </w:rPr>
        <w:t>.供应商必须自行为其参加竞争性磋商的产品侵犯他人的知识产权或者专利成果的行为承担相应法律责任。</w:t>
      </w:r>
    </w:p>
    <w:p w14:paraId="403C4290">
      <w:pPr>
        <w:spacing w:line="360" w:lineRule="auto"/>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3</w:t>
      </w:r>
      <w:r>
        <w:rPr>
          <w:rFonts w:hint="eastAsia" w:ascii="宋体" w:hAnsi="宋体" w:cs="宋体"/>
          <w:bCs w:val="0"/>
          <w:sz w:val="21"/>
          <w:szCs w:val="21"/>
          <w:highlight w:val="none"/>
        </w:rPr>
        <w:t>．</w:t>
      </w:r>
      <w:r>
        <w:rPr>
          <w:rFonts w:hint="eastAsia" w:ascii="宋体" w:hAnsi="宋体" w:eastAsia="宋体" w:cs="宋体"/>
          <w:sz w:val="21"/>
          <w:szCs w:val="21"/>
          <w:highlight w:val="none"/>
        </w:rPr>
        <w:t>“实质性要求”是指采购需求中带“▲”的条款或者不能负偏离的条款或者已经指明不满足按响应文件作无效处理的条款。本项目凡标注“▲”的条款或要求不响应或不满足的，其响应文件即作竞争性磋商无效处理。</w:t>
      </w:r>
    </w:p>
    <w:p w14:paraId="61960E56">
      <w:pPr>
        <w:spacing w:line="360" w:lineRule="auto"/>
        <w:ind w:firstLine="420" w:firstLineChars="200"/>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w:t>
      </w:r>
      <w:r>
        <w:rPr>
          <w:rFonts w:hint="eastAsia" w:ascii="宋体" w:hAnsi="宋体" w:eastAsia="宋体" w:cs="宋体"/>
          <w:sz w:val="21"/>
          <w:szCs w:val="21"/>
          <w:highlight w:val="none"/>
        </w:rPr>
        <w:t>采购需求中标注“</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rPr>
        <w:t>”号的条款系指与项目实际紧密相关的功能条款、技术指标，作为服务性能评审依据，由评委根据</w:t>
      </w:r>
      <w:r>
        <w:rPr>
          <w:rFonts w:hint="eastAsia" w:ascii="宋体" w:hAnsi="宋体" w:eastAsia="宋体" w:cs="宋体"/>
          <w:sz w:val="21"/>
          <w:szCs w:val="21"/>
          <w:highlight w:val="none"/>
          <w:lang w:val="en-US" w:eastAsia="zh-CN"/>
        </w:rPr>
        <w:t>供应商</w:t>
      </w:r>
      <w:r>
        <w:rPr>
          <w:rFonts w:hint="eastAsia" w:ascii="宋体" w:hAnsi="宋体" w:eastAsia="宋体" w:cs="宋体"/>
          <w:sz w:val="21"/>
          <w:szCs w:val="21"/>
          <w:highlight w:val="none"/>
        </w:rPr>
        <w:t>提供的证明材料并加盖</w:t>
      </w:r>
      <w:r>
        <w:rPr>
          <w:rFonts w:hint="eastAsia" w:ascii="宋体" w:hAnsi="宋体" w:eastAsia="宋体" w:cs="宋体"/>
          <w:sz w:val="21"/>
          <w:szCs w:val="21"/>
          <w:highlight w:val="none"/>
          <w:lang w:eastAsia="zh-CN"/>
        </w:rPr>
        <w:t>供应商公章（或电子签章）</w:t>
      </w:r>
      <w:r>
        <w:rPr>
          <w:rFonts w:hint="eastAsia" w:ascii="宋体" w:hAnsi="宋体" w:eastAsia="宋体" w:cs="宋体"/>
          <w:sz w:val="21"/>
          <w:szCs w:val="21"/>
          <w:highlight w:val="none"/>
        </w:rPr>
        <w:t>进行打分</w:t>
      </w:r>
      <w:r>
        <w:rPr>
          <w:rFonts w:hint="eastAsia" w:ascii="宋体" w:hAnsi="宋体" w:eastAsia="宋体" w:cs="宋体"/>
          <w:sz w:val="21"/>
          <w:szCs w:val="21"/>
          <w:highlight w:val="none"/>
          <w:lang w:eastAsia="zh-CN"/>
        </w:rPr>
        <w:t>。</w:t>
      </w:r>
    </w:p>
    <w:p w14:paraId="63E8FF79">
      <w:pPr>
        <w:spacing w:line="360" w:lineRule="auto"/>
        <w:ind w:firstLine="422" w:firstLineChars="200"/>
        <w:jc w:val="left"/>
        <w:rPr>
          <w:rFonts w:hint="eastAsia" w:ascii="宋体" w:hAnsi="宋体" w:eastAsia="宋体" w:cs="宋体"/>
          <w:b/>
          <w:bCs/>
          <w:sz w:val="21"/>
          <w:szCs w:val="21"/>
          <w:highlight w:val="none"/>
          <w:lang w:val="en-US" w:eastAsia="zh-CN"/>
        </w:rPr>
      </w:pPr>
      <w:r>
        <w:rPr>
          <w:rFonts w:hint="eastAsia" w:ascii="宋体" w:hAnsi="宋体" w:cs="宋体"/>
          <w:b/>
          <w:bCs/>
          <w:sz w:val="21"/>
          <w:szCs w:val="21"/>
          <w:highlight w:val="none"/>
          <w:lang w:val="en-US" w:eastAsia="zh-CN"/>
        </w:rPr>
        <w:t>5</w:t>
      </w:r>
      <w:r>
        <w:rPr>
          <w:rFonts w:hint="eastAsia" w:ascii="宋体" w:hAnsi="宋体" w:eastAsia="宋体" w:cs="宋体"/>
          <w:b/>
          <w:bCs/>
          <w:sz w:val="21"/>
          <w:szCs w:val="21"/>
          <w:highlight w:val="none"/>
          <w:lang w:val="en-US" w:eastAsia="zh-CN"/>
        </w:rPr>
        <w:t>.</w:t>
      </w:r>
      <w:r>
        <w:rPr>
          <w:rFonts w:hint="eastAsia" w:ascii="宋体" w:hAnsi="宋体" w:eastAsia="宋体" w:cs="宋体"/>
          <w:b/>
          <w:bCs/>
          <w:sz w:val="21"/>
          <w:szCs w:val="21"/>
          <w:highlight w:val="none"/>
        </w:rPr>
        <w:t>采购需求一览表</w:t>
      </w:r>
      <w:r>
        <w:rPr>
          <w:rFonts w:hint="eastAsia" w:ascii="宋体" w:hAnsi="宋体" w:eastAsia="宋体" w:cs="宋体"/>
          <w:b/>
          <w:bCs/>
          <w:sz w:val="21"/>
          <w:szCs w:val="21"/>
          <w:highlight w:val="none"/>
          <w:lang w:val="en-US" w:eastAsia="zh-CN"/>
        </w:rPr>
        <w:t>中的</w:t>
      </w:r>
      <w:r>
        <w:rPr>
          <w:rFonts w:hint="eastAsia" w:ascii="宋体" w:hAnsi="宋体" w:eastAsia="宋体" w:cs="宋体"/>
          <w:b/>
          <w:bCs/>
          <w:sz w:val="21"/>
          <w:szCs w:val="21"/>
          <w:highlight w:val="none"/>
        </w:rPr>
        <w:t>项目要</w:t>
      </w:r>
      <w:r>
        <w:rPr>
          <w:rFonts w:hint="eastAsia" w:ascii="宋体" w:hAnsi="宋体" w:eastAsia="宋体" w:cs="宋体"/>
          <w:b/>
          <w:bCs/>
          <w:sz w:val="21"/>
          <w:szCs w:val="21"/>
          <w:highlight w:val="none"/>
          <w:lang w:val="en-US" w:eastAsia="zh-CN"/>
        </w:rPr>
        <w:t>求及技术需求非标注“■”号、非标注“▲”允许最大负偏离项数为10项（1项指</w:t>
      </w:r>
      <w:r>
        <w:rPr>
          <w:rFonts w:hint="eastAsia" w:ascii="宋体" w:hAnsi="宋体" w:eastAsia="宋体" w:cs="宋体"/>
          <w:b/>
          <w:bCs/>
          <w:sz w:val="21"/>
          <w:szCs w:val="21"/>
          <w:highlight w:val="none"/>
        </w:rPr>
        <w:t>项目要求及技术需求</w:t>
      </w:r>
      <w:r>
        <w:rPr>
          <w:rFonts w:hint="eastAsia" w:ascii="宋体" w:hAnsi="宋体" w:eastAsia="宋体" w:cs="宋体"/>
          <w:b/>
          <w:bCs/>
          <w:sz w:val="21"/>
          <w:szCs w:val="21"/>
          <w:highlight w:val="none"/>
          <w:lang w:val="en-US" w:eastAsia="zh-CN"/>
        </w:rPr>
        <w:t>以阿拉伯数字为序号的指标），如负偏离项数达11项或以上的磋商无效。</w:t>
      </w:r>
    </w:p>
    <w:p w14:paraId="28635BD2">
      <w:pPr>
        <w:spacing w:line="360" w:lineRule="auto"/>
        <w:ind w:firstLine="420" w:firstLineChars="200"/>
        <w:jc w:val="left"/>
        <w:rPr>
          <w:rFonts w:hint="eastAsia" w:ascii="宋体" w:hAnsi="宋体" w:eastAsia="宋体" w:cs="宋体"/>
          <w:sz w:val="21"/>
          <w:szCs w:val="21"/>
          <w:highlight w:val="none"/>
        </w:rPr>
      </w:pPr>
      <w:r>
        <w:rPr>
          <w:rFonts w:hint="eastAsia" w:ascii="宋体" w:hAnsi="宋体" w:cs="宋体"/>
          <w:sz w:val="21"/>
          <w:szCs w:val="21"/>
          <w:highlight w:val="none"/>
          <w:lang w:val="en-US" w:eastAsia="zh-CN"/>
        </w:rPr>
        <w:t>6.</w:t>
      </w:r>
      <w:r>
        <w:rPr>
          <w:rFonts w:hint="eastAsia" w:ascii="宋体" w:hAnsi="宋体" w:eastAsia="宋体" w:cs="宋体"/>
          <w:sz w:val="21"/>
          <w:szCs w:val="21"/>
          <w:highlight w:val="none"/>
        </w:rPr>
        <w:t>所属行业：</w:t>
      </w:r>
      <w:r>
        <w:rPr>
          <w:rFonts w:hint="eastAsia" w:ascii="宋体" w:hAnsi="宋体" w:cs="宋体"/>
          <w:color w:val="000000"/>
          <w:kern w:val="0"/>
          <w:szCs w:val="21"/>
          <w:highlight w:val="none"/>
          <w:lang w:bidi="ar"/>
        </w:rPr>
        <w:t>本项目所属行业参照《统计上大中小微型企业划分标准表》，属于“</w:t>
      </w:r>
      <w:r>
        <w:rPr>
          <w:rFonts w:hint="eastAsia" w:ascii="宋体" w:hAnsi="宋体" w:cs="宋体"/>
          <w:b/>
          <w:bCs/>
          <w:color w:val="000000"/>
          <w:kern w:val="0"/>
          <w:szCs w:val="21"/>
          <w:highlight w:val="none"/>
          <w:lang w:bidi="ar"/>
        </w:rPr>
        <w:t>信息传输业</w:t>
      </w:r>
      <w:r>
        <w:rPr>
          <w:rFonts w:hint="eastAsia" w:ascii="宋体" w:hAnsi="宋体" w:cs="宋体"/>
          <w:color w:val="000000"/>
          <w:kern w:val="0"/>
          <w:szCs w:val="21"/>
          <w:highlight w:val="none"/>
          <w:lang w:bidi="ar"/>
        </w:rPr>
        <w:t>”</w:t>
      </w:r>
    </w:p>
    <w:p w14:paraId="7AF0F588">
      <w:pPr>
        <w:numPr>
          <w:ilvl w:val="0"/>
          <w:numId w:val="1"/>
        </w:numPr>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single"/>
        </w:rPr>
        <w:br w:type="page"/>
      </w:r>
    </w:p>
    <w:p w14:paraId="4EE55B9D">
      <w:pPr>
        <w:pStyle w:val="6"/>
        <w:rPr>
          <w:rFonts w:hint="eastAsia"/>
          <w:highlight w:val="none"/>
        </w:rPr>
      </w:pPr>
    </w:p>
    <w:tbl>
      <w:tblPr>
        <w:tblStyle w:val="32"/>
        <w:tblW w:w="995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637"/>
        <w:gridCol w:w="1020"/>
        <w:gridCol w:w="7118"/>
        <w:gridCol w:w="488"/>
        <w:gridCol w:w="695"/>
      </w:tblGrid>
      <w:tr w14:paraId="5992B6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76" w:hRule="atLeast"/>
          <w:jc w:val="center"/>
        </w:trPr>
        <w:tc>
          <w:tcPr>
            <w:tcW w:w="5000" w:type="pct"/>
            <w:gridSpan w:val="5"/>
            <w:tcBorders>
              <w:top w:val="single" w:color="auto" w:sz="4" w:space="0"/>
              <w:left w:val="single" w:color="auto" w:sz="4" w:space="0"/>
              <w:bottom w:val="single" w:color="auto" w:sz="4" w:space="0"/>
              <w:right w:val="single" w:color="auto" w:sz="4" w:space="0"/>
            </w:tcBorders>
            <w:noWrap w:val="0"/>
            <w:vAlign w:val="center"/>
          </w:tcPr>
          <w:p w14:paraId="3859E145">
            <w:pPr>
              <w:keepNext w:val="0"/>
              <w:keepLines/>
              <w:pageBreakBefore w:val="0"/>
              <w:widowControl w:val="0"/>
              <w:kinsoku/>
              <w:wordWrap w:val="0"/>
              <w:overflowPunct/>
              <w:topLinePunct/>
              <w:autoSpaceDE/>
              <w:autoSpaceDN/>
              <w:bidi w:val="0"/>
              <w:spacing w:before="0" w:after="0" w:line="360" w:lineRule="auto"/>
              <w:jc w:val="center"/>
              <w:textAlignment w:val="auto"/>
              <w:outlineLvl w:val="9"/>
              <w:rPr>
                <w:rFonts w:hint="eastAsia" w:ascii="宋体" w:hAnsi="宋体" w:eastAsia="宋体" w:cs="宋体"/>
                <w:b/>
                <w:bCs/>
                <w:color w:val="000000"/>
                <w:sz w:val="21"/>
                <w:szCs w:val="21"/>
                <w:highlight w:val="none"/>
              </w:rPr>
            </w:pPr>
            <w:r>
              <w:rPr>
                <w:rFonts w:hint="eastAsia" w:ascii="宋体" w:hAnsi="宋体" w:cs="宋体"/>
                <w:b/>
                <w:bCs/>
                <w:sz w:val="28"/>
                <w:szCs w:val="28"/>
                <w:highlight w:val="none"/>
                <w:u w:val="none"/>
                <w:lang w:eastAsia="zh-CN"/>
              </w:rPr>
              <w:t>资源县公安局天网工程基础运行维护服务项目（</w:t>
            </w:r>
            <w:r>
              <w:rPr>
                <w:rFonts w:hint="eastAsia" w:ascii="宋体" w:hAnsi="宋体" w:cs="宋体"/>
                <w:b/>
                <w:bCs/>
                <w:sz w:val="28"/>
                <w:szCs w:val="28"/>
                <w:highlight w:val="none"/>
                <w:u w:val="none"/>
                <w:lang w:val="en-US" w:eastAsia="zh-CN"/>
              </w:rPr>
              <w:t>标项一</w:t>
            </w:r>
            <w:r>
              <w:rPr>
                <w:rFonts w:hint="eastAsia" w:ascii="宋体" w:hAnsi="宋体" w:cs="宋体"/>
                <w:b/>
                <w:bCs/>
                <w:sz w:val="28"/>
                <w:szCs w:val="28"/>
                <w:highlight w:val="none"/>
                <w:u w:val="none"/>
                <w:lang w:eastAsia="zh-CN"/>
              </w:rPr>
              <w:t>）</w:t>
            </w:r>
          </w:p>
        </w:tc>
      </w:tr>
      <w:tr w14:paraId="1FB696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76" w:hRule="atLeast"/>
          <w:jc w:val="center"/>
        </w:trPr>
        <w:tc>
          <w:tcPr>
            <w:tcW w:w="5000" w:type="pct"/>
            <w:gridSpan w:val="5"/>
            <w:tcBorders>
              <w:top w:val="single" w:color="auto" w:sz="4" w:space="0"/>
              <w:left w:val="single" w:color="auto" w:sz="4" w:space="0"/>
              <w:bottom w:val="single" w:color="auto" w:sz="4" w:space="0"/>
              <w:right w:val="single" w:color="auto" w:sz="4" w:space="0"/>
            </w:tcBorders>
            <w:noWrap w:val="0"/>
            <w:vAlign w:val="center"/>
          </w:tcPr>
          <w:p w14:paraId="0DD7889C">
            <w:pPr>
              <w:keepNext w:val="0"/>
              <w:keepLines/>
              <w:pageBreakBefore w:val="0"/>
              <w:widowControl w:val="0"/>
              <w:kinsoku/>
              <w:wordWrap w:val="0"/>
              <w:overflowPunct/>
              <w:topLinePunct/>
              <w:autoSpaceDE/>
              <w:autoSpaceDN/>
              <w:bidi w:val="0"/>
              <w:spacing w:before="0" w:after="0" w:line="360" w:lineRule="auto"/>
              <w:jc w:val="left"/>
              <w:textAlignment w:val="auto"/>
              <w:outlineLvl w:val="9"/>
              <w:rPr>
                <w:rFonts w:hint="eastAsia" w:ascii="宋体" w:hAnsi="宋体" w:cs="宋体"/>
                <w:b/>
                <w:bCs/>
                <w:color w:val="auto"/>
                <w:sz w:val="21"/>
                <w:szCs w:val="21"/>
                <w:highlight w:val="none"/>
              </w:rPr>
            </w:pPr>
            <w:r>
              <w:rPr>
                <w:rFonts w:hint="eastAsia" w:ascii="宋体" w:hAnsi="宋体" w:cs="Arial"/>
                <w:b/>
                <w:color w:val="auto"/>
                <w:sz w:val="21"/>
                <w:szCs w:val="21"/>
                <w:highlight w:val="none"/>
                <w:lang w:eastAsia="zh-CN"/>
              </w:rPr>
              <w:t>一、</w:t>
            </w:r>
            <w:r>
              <w:rPr>
                <w:rFonts w:hint="eastAsia" w:ascii="宋体" w:hAnsi="宋体" w:cs="Arial"/>
                <w:b/>
                <w:color w:val="auto"/>
                <w:sz w:val="21"/>
                <w:szCs w:val="21"/>
                <w:highlight w:val="none"/>
              </w:rPr>
              <w:t>采购需求一览表</w:t>
            </w:r>
          </w:p>
        </w:tc>
      </w:tr>
      <w:tr w14:paraId="1271FE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76" w:hRule="atLeast"/>
          <w:jc w:val="center"/>
        </w:trPr>
        <w:tc>
          <w:tcPr>
            <w:tcW w:w="320" w:type="pct"/>
            <w:tcBorders>
              <w:top w:val="single" w:color="auto" w:sz="4" w:space="0"/>
              <w:left w:val="single" w:color="auto" w:sz="4" w:space="0"/>
              <w:bottom w:val="single" w:color="auto" w:sz="4" w:space="0"/>
              <w:right w:val="single" w:color="auto" w:sz="4" w:space="0"/>
            </w:tcBorders>
            <w:noWrap w:val="0"/>
            <w:vAlign w:val="center"/>
          </w:tcPr>
          <w:p w14:paraId="3F160DFA">
            <w:pPr>
              <w:keepNext w:val="0"/>
              <w:keepLines/>
              <w:pageBreakBefore w:val="0"/>
              <w:widowControl w:val="0"/>
              <w:kinsoku/>
              <w:wordWrap w:val="0"/>
              <w:overflowPunct/>
              <w:topLinePunct/>
              <w:autoSpaceDE/>
              <w:autoSpaceDN/>
              <w:bidi w:val="0"/>
              <w:spacing w:before="0" w:after="0" w:line="360" w:lineRule="auto"/>
              <w:jc w:val="center"/>
              <w:textAlignment w:val="auto"/>
              <w:outlineLvl w:val="9"/>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序号</w:t>
            </w:r>
          </w:p>
        </w:tc>
        <w:tc>
          <w:tcPr>
            <w:tcW w:w="512" w:type="pct"/>
            <w:tcBorders>
              <w:top w:val="single" w:color="auto" w:sz="4" w:space="0"/>
              <w:left w:val="single" w:color="auto" w:sz="4" w:space="0"/>
              <w:bottom w:val="single" w:color="auto" w:sz="4" w:space="0"/>
              <w:right w:val="single" w:color="auto" w:sz="4" w:space="0"/>
            </w:tcBorders>
            <w:noWrap w:val="0"/>
            <w:vAlign w:val="center"/>
          </w:tcPr>
          <w:p w14:paraId="5CFFE1EF">
            <w:pPr>
              <w:keepNext w:val="0"/>
              <w:keepLines/>
              <w:pageBreakBefore w:val="0"/>
              <w:widowControl w:val="0"/>
              <w:kinsoku/>
              <w:wordWrap w:val="0"/>
              <w:overflowPunct/>
              <w:topLinePunct/>
              <w:autoSpaceDE/>
              <w:autoSpaceDN/>
              <w:bidi w:val="0"/>
              <w:spacing w:before="0" w:after="0" w:line="360" w:lineRule="auto"/>
              <w:jc w:val="center"/>
              <w:textAlignment w:val="auto"/>
              <w:outlineLvl w:val="9"/>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服务名称</w:t>
            </w:r>
          </w:p>
        </w:tc>
        <w:tc>
          <w:tcPr>
            <w:tcW w:w="3574" w:type="pct"/>
            <w:tcBorders>
              <w:top w:val="single" w:color="auto" w:sz="4" w:space="0"/>
              <w:left w:val="single" w:color="auto" w:sz="4" w:space="0"/>
              <w:bottom w:val="single" w:color="auto" w:sz="4" w:space="0"/>
              <w:right w:val="single" w:color="auto" w:sz="4" w:space="0"/>
            </w:tcBorders>
            <w:noWrap w:val="0"/>
            <w:vAlign w:val="center"/>
          </w:tcPr>
          <w:p w14:paraId="313B175B">
            <w:pPr>
              <w:keepNext w:val="0"/>
              <w:keepLines/>
              <w:pageBreakBefore w:val="0"/>
              <w:widowControl w:val="0"/>
              <w:kinsoku/>
              <w:wordWrap w:val="0"/>
              <w:overflowPunct/>
              <w:topLinePunct/>
              <w:autoSpaceDE/>
              <w:autoSpaceDN/>
              <w:bidi w:val="0"/>
              <w:spacing w:before="0" w:after="0" w:line="360" w:lineRule="auto"/>
              <w:jc w:val="center"/>
              <w:textAlignment w:val="auto"/>
              <w:outlineLvl w:val="9"/>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项目要求及技术需求</w:t>
            </w:r>
          </w:p>
        </w:tc>
        <w:tc>
          <w:tcPr>
            <w:tcW w:w="245" w:type="pct"/>
            <w:tcBorders>
              <w:top w:val="single" w:color="auto" w:sz="4" w:space="0"/>
              <w:left w:val="single" w:color="auto" w:sz="4" w:space="0"/>
              <w:bottom w:val="single" w:color="auto" w:sz="4" w:space="0"/>
              <w:right w:val="single" w:color="auto" w:sz="4" w:space="0"/>
            </w:tcBorders>
            <w:noWrap w:val="0"/>
            <w:vAlign w:val="center"/>
          </w:tcPr>
          <w:p w14:paraId="1032CB58">
            <w:pPr>
              <w:keepNext w:val="0"/>
              <w:keepLines/>
              <w:pageBreakBefore w:val="0"/>
              <w:widowControl w:val="0"/>
              <w:kinsoku/>
              <w:wordWrap w:val="0"/>
              <w:overflowPunct/>
              <w:topLinePunct/>
              <w:autoSpaceDE/>
              <w:autoSpaceDN/>
              <w:bidi w:val="0"/>
              <w:spacing w:before="0" w:after="0" w:line="360" w:lineRule="auto"/>
              <w:jc w:val="center"/>
              <w:textAlignment w:val="auto"/>
              <w:outlineLvl w:val="9"/>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单位</w:t>
            </w:r>
          </w:p>
        </w:tc>
        <w:tc>
          <w:tcPr>
            <w:tcW w:w="347" w:type="pct"/>
            <w:tcBorders>
              <w:top w:val="single" w:color="auto" w:sz="4" w:space="0"/>
              <w:left w:val="single" w:color="auto" w:sz="4" w:space="0"/>
              <w:bottom w:val="single" w:color="auto" w:sz="4" w:space="0"/>
              <w:right w:val="single" w:color="auto" w:sz="4" w:space="0"/>
            </w:tcBorders>
            <w:noWrap w:val="0"/>
            <w:vAlign w:val="center"/>
          </w:tcPr>
          <w:p w14:paraId="72752497">
            <w:pPr>
              <w:keepNext w:val="0"/>
              <w:keepLines/>
              <w:pageBreakBefore w:val="0"/>
              <w:widowControl w:val="0"/>
              <w:kinsoku/>
              <w:wordWrap w:val="0"/>
              <w:overflowPunct/>
              <w:topLinePunct/>
              <w:autoSpaceDE/>
              <w:autoSpaceDN/>
              <w:bidi w:val="0"/>
              <w:spacing w:before="0" w:after="0" w:line="360" w:lineRule="auto"/>
              <w:jc w:val="center"/>
              <w:textAlignment w:val="auto"/>
              <w:outlineLvl w:val="9"/>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数量</w:t>
            </w:r>
          </w:p>
        </w:tc>
      </w:tr>
      <w:tr w14:paraId="78EDCC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17" w:hRule="atLeast"/>
          <w:jc w:val="center"/>
        </w:trPr>
        <w:tc>
          <w:tcPr>
            <w:tcW w:w="320" w:type="pct"/>
            <w:tcBorders>
              <w:top w:val="single" w:color="auto" w:sz="4" w:space="0"/>
              <w:left w:val="single" w:color="auto" w:sz="4" w:space="0"/>
              <w:bottom w:val="single" w:color="auto" w:sz="4" w:space="0"/>
              <w:right w:val="single" w:color="auto" w:sz="4" w:space="0"/>
            </w:tcBorders>
            <w:noWrap w:val="0"/>
            <w:vAlign w:val="center"/>
          </w:tcPr>
          <w:p w14:paraId="71475299">
            <w:pPr>
              <w:keepNext w:val="0"/>
              <w:keepLines/>
              <w:pageBreakBefore w:val="0"/>
              <w:widowControl w:val="0"/>
              <w:kinsoku/>
              <w:wordWrap w:val="0"/>
              <w:overflowPunct/>
              <w:topLinePunct/>
              <w:autoSpaceDE/>
              <w:autoSpaceDN/>
              <w:bidi w:val="0"/>
              <w:snapToGrid w:val="0"/>
              <w:spacing w:before="0" w:after="0" w:line="360" w:lineRule="auto"/>
              <w:jc w:val="center"/>
              <w:textAlignment w:val="auto"/>
              <w:outlineLvl w:val="9"/>
              <w:rPr>
                <w:rFonts w:hint="eastAsia" w:ascii="宋体" w:hAnsi="宋体" w:eastAsia="宋体" w:cs="宋体"/>
                <w:b/>
                <w:bCs/>
                <w:color w:val="000000"/>
                <w:sz w:val="21"/>
                <w:szCs w:val="21"/>
                <w:highlight w:val="none"/>
              </w:rPr>
            </w:pPr>
            <w:r>
              <w:rPr>
                <w:rFonts w:hint="eastAsia" w:ascii="宋体" w:hAnsi="宋体" w:eastAsia="宋体" w:cs="宋体"/>
                <w:bCs/>
                <w:color w:val="000000"/>
                <w:sz w:val="21"/>
                <w:szCs w:val="21"/>
                <w:highlight w:val="none"/>
              </w:rPr>
              <w:t>1</w:t>
            </w:r>
          </w:p>
        </w:tc>
        <w:tc>
          <w:tcPr>
            <w:tcW w:w="512" w:type="pct"/>
            <w:tcBorders>
              <w:top w:val="single" w:color="auto" w:sz="4" w:space="0"/>
              <w:left w:val="single" w:color="auto" w:sz="4" w:space="0"/>
              <w:bottom w:val="single" w:color="auto" w:sz="4" w:space="0"/>
              <w:right w:val="single" w:color="auto" w:sz="4" w:space="0"/>
            </w:tcBorders>
            <w:noWrap w:val="0"/>
            <w:vAlign w:val="center"/>
          </w:tcPr>
          <w:p w14:paraId="415937F2">
            <w:pPr>
              <w:keepNext w:val="0"/>
              <w:keepLines/>
              <w:pageBreakBefore w:val="0"/>
              <w:widowControl w:val="0"/>
              <w:numPr>
                <w:ilvl w:val="0"/>
                <w:numId w:val="0"/>
              </w:numPr>
              <w:kinsoku/>
              <w:wordWrap w:val="0"/>
              <w:overflowPunct/>
              <w:topLinePunct/>
              <w:autoSpaceDE/>
              <w:autoSpaceDN/>
              <w:bidi w:val="0"/>
              <w:spacing w:before="0" w:after="0" w:line="360" w:lineRule="auto"/>
              <w:textAlignment w:val="auto"/>
              <w:outlineLvl w:val="9"/>
              <w:rPr>
                <w:rFonts w:hint="eastAsia" w:ascii="宋体" w:hAnsi="宋体" w:eastAsia="宋体" w:cs="宋体"/>
                <w:b/>
                <w:bCs/>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专用网络链路租赁服务</w:t>
            </w:r>
          </w:p>
        </w:tc>
        <w:tc>
          <w:tcPr>
            <w:tcW w:w="3574" w:type="pct"/>
            <w:tcBorders>
              <w:top w:val="single" w:color="auto" w:sz="4" w:space="0"/>
              <w:left w:val="single" w:color="auto" w:sz="4" w:space="0"/>
              <w:bottom w:val="single" w:color="auto" w:sz="4" w:space="0"/>
              <w:right w:val="single" w:color="auto" w:sz="4" w:space="0"/>
            </w:tcBorders>
            <w:noWrap w:val="0"/>
            <w:vAlign w:val="center"/>
          </w:tcPr>
          <w:p w14:paraId="0BD2B980">
            <w:pPr>
              <w:pageBreakBefore w:val="0"/>
              <w:widowControl w:val="0"/>
              <w:kinsoku/>
              <w:overflowPunct/>
              <w:autoSpaceDE/>
              <w:autoSpaceDN/>
              <w:bidi w:val="0"/>
              <w:adjustRightInd w:val="0"/>
              <w:snapToGrid w:val="0"/>
              <w:spacing w:before="0" w:after="0" w:line="360" w:lineRule="auto"/>
              <w:ind w:firstLine="211" w:firstLineChars="100"/>
              <w:rPr>
                <w:rFonts w:hint="eastAsia" w:ascii="宋体" w:hAnsi="宋体" w:cs="宋体"/>
                <w:b/>
                <w:bCs/>
                <w:sz w:val="21"/>
                <w:szCs w:val="21"/>
                <w:highlight w:val="none"/>
                <w:lang w:val="en-US" w:eastAsia="zh-CN"/>
              </w:rPr>
            </w:pPr>
            <w:r>
              <w:rPr>
                <w:rFonts w:hint="eastAsia" w:ascii="宋体" w:hAnsi="宋体" w:cs="宋体"/>
                <w:b/>
                <w:bCs/>
                <w:sz w:val="21"/>
                <w:szCs w:val="21"/>
                <w:highlight w:val="none"/>
                <w:lang w:val="en-US" w:eastAsia="zh-CN"/>
              </w:rPr>
              <w:t>一、监控数据传输链路技术要求：</w:t>
            </w:r>
          </w:p>
          <w:p w14:paraId="72AF13E0">
            <w:pPr>
              <w:pageBreakBefore w:val="0"/>
              <w:widowControl w:val="0"/>
              <w:kinsoku/>
              <w:overflowPunct/>
              <w:autoSpaceDE/>
              <w:autoSpaceDN/>
              <w:bidi w:val="0"/>
              <w:adjustRightInd w:val="0"/>
              <w:snapToGrid w:val="0"/>
              <w:spacing w:before="0" w:after="0" w:line="360" w:lineRule="auto"/>
              <w:ind w:firstLine="210" w:firstLineChars="100"/>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提供前端监控点位数字光纤链路接入至资源县公安局用于视频传输服务，上行下行带宽对等。</w:t>
            </w:r>
          </w:p>
          <w:p w14:paraId="20C5297E">
            <w:pPr>
              <w:pageBreakBefore w:val="0"/>
              <w:widowControl w:val="0"/>
              <w:kinsoku/>
              <w:overflowPunct/>
              <w:autoSpaceDE/>
              <w:autoSpaceDN/>
              <w:bidi w:val="0"/>
              <w:adjustRightInd w:val="0"/>
              <w:snapToGrid w:val="0"/>
              <w:spacing w:before="0" w:after="0" w:line="360" w:lineRule="auto"/>
              <w:ind w:firstLine="210" w:firstLineChars="100"/>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1、参照网络技术标准，带宽不低于50Mbps的线路,端到端电路平均网络延时≤50ms；端到端电路丢包率≤1%。</w:t>
            </w:r>
          </w:p>
          <w:p w14:paraId="4DEF1D64">
            <w:pPr>
              <w:pageBreakBefore w:val="0"/>
              <w:widowControl w:val="0"/>
              <w:kinsoku/>
              <w:overflowPunct/>
              <w:autoSpaceDE/>
              <w:autoSpaceDN/>
              <w:bidi w:val="0"/>
              <w:adjustRightInd w:val="0"/>
              <w:snapToGrid w:val="0"/>
              <w:spacing w:before="0" w:after="0" w:line="360" w:lineRule="auto"/>
              <w:ind w:firstLine="211" w:firstLineChars="100"/>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二、监控数据传输链路服务要求：</w:t>
            </w:r>
          </w:p>
          <w:p w14:paraId="37494404">
            <w:pPr>
              <w:pageBreakBefore w:val="0"/>
              <w:widowControl w:val="0"/>
              <w:kinsoku/>
              <w:overflowPunct/>
              <w:autoSpaceDE/>
              <w:autoSpaceDN/>
              <w:bidi w:val="0"/>
              <w:adjustRightInd w:val="0"/>
              <w:snapToGrid w:val="0"/>
              <w:spacing w:before="0" w:after="0" w:line="360" w:lineRule="auto"/>
              <w:ind w:firstLine="210" w:firstLineChars="100"/>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1、专用网络链路租赁服务须在签约合同五个工作日内完成全部检测并投入使用，符合《公共安全视频图像信息系统管理条例》标准要求，如超过五个工作日未完成的，视为自动放弃。</w:t>
            </w:r>
          </w:p>
          <w:p w14:paraId="041C6745">
            <w:pPr>
              <w:pageBreakBefore w:val="0"/>
              <w:widowControl w:val="0"/>
              <w:kinsoku/>
              <w:overflowPunct/>
              <w:autoSpaceDE/>
              <w:autoSpaceDN/>
              <w:bidi w:val="0"/>
              <w:adjustRightInd w:val="0"/>
              <w:snapToGrid w:val="0"/>
              <w:spacing w:before="0" w:after="0" w:line="360" w:lineRule="auto"/>
              <w:ind w:firstLine="210" w:firstLineChars="100"/>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2、提供售后服务承诺书，指定专人负责专用网络链路的售后服务，提供售后服务联系人名单，详细地址及联系方式。</w:t>
            </w:r>
          </w:p>
          <w:p w14:paraId="24D59762">
            <w:pPr>
              <w:pageBreakBefore w:val="0"/>
              <w:widowControl w:val="0"/>
              <w:kinsoku/>
              <w:overflowPunct/>
              <w:autoSpaceDE/>
              <w:autoSpaceDN/>
              <w:bidi w:val="0"/>
              <w:adjustRightInd w:val="0"/>
              <w:snapToGrid w:val="0"/>
              <w:spacing w:before="0" w:after="0" w:line="360" w:lineRule="auto"/>
              <w:ind w:firstLine="210" w:firstLineChars="100"/>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3、负责保证网络的畅通，负责使用单位网络设备免费运行维护，如果主干网络出现问题，在接到报告后1个小时内到达现场，负责排除故障，直到网络恢复正常。</w:t>
            </w:r>
          </w:p>
          <w:p w14:paraId="5D7DB260">
            <w:pPr>
              <w:pageBreakBefore w:val="0"/>
              <w:widowControl w:val="0"/>
              <w:kinsoku/>
              <w:overflowPunct/>
              <w:autoSpaceDE/>
              <w:autoSpaceDN/>
              <w:bidi w:val="0"/>
              <w:adjustRightInd w:val="0"/>
              <w:snapToGrid w:val="0"/>
              <w:spacing w:before="0" w:after="0" w:line="360" w:lineRule="auto"/>
              <w:ind w:firstLine="210" w:firstLineChars="100"/>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4、（1）重大活动期间（如节假日、安保任务），须安排专人现场值守，增加巡检频次，提供相关证明台账资料。</w:t>
            </w:r>
          </w:p>
          <w:p w14:paraId="76E9D587">
            <w:pPr>
              <w:pageBreakBefore w:val="0"/>
              <w:widowControl w:val="0"/>
              <w:kinsoku/>
              <w:overflowPunct/>
              <w:autoSpaceDE/>
              <w:autoSpaceDN/>
              <w:bidi w:val="0"/>
              <w:adjustRightInd w:val="0"/>
              <w:snapToGrid w:val="0"/>
              <w:spacing w:before="0" w:after="0" w:line="360" w:lineRule="auto"/>
              <w:ind w:firstLine="210" w:firstLineChars="100"/>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（2）每季度提供《链路运行季报》，含线路在线率、维修报告及现场工作照片、丢包率、光功率等指标。</w:t>
            </w:r>
          </w:p>
        </w:tc>
        <w:tc>
          <w:tcPr>
            <w:tcW w:w="245" w:type="pct"/>
            <w:tcBorders>
              <w:top w:val="single" w:color="auto" w:sz="4" w:space="0"/>
              <w:left w:val="single" w:color="auto" w:sz="4" w:space="0"/>
              <w:bottom w:val="single" w:color="auto" w:sz="4" w:space="0"/>
              <w:right w:val="single" w:color="auto" w:sz="4" w:space="0"/>
            </w:tcBorders>
            <w:noWrap w:val="0"/>
            <w:vAlign w:val="center"/>
          </w:tcPr>
          <w:p w14:paraId="1479FE5F">
            <w:pPr>
              <w:keepNext w:val="0"/>
              <w:keepLines/>
              <w:pageBreakBefore w:val="0"/>
              <w:widowControl w:val="0"/>
              <w:kinsoku/>
              <w:wordWrap w:val="0"/>
              <w:overflowPunct/>
              <w:topLinePunct/>
              <w:autoSpaceDE/>
              <w:autoSpaceDN/>
              <w:bidi w:val="0"/>
              <w:spacing w:before="0" w:after="0" w:line="360" w:lineRule="auto"/>
              <w:jc w:val="center"/>
              <w:textAlignment w:val="auto"/>
              <w:outlineLvl w:val="9"/>
              <w:rPr>
                <w:rFonts w:hint="eastAsia" w:ascii="宋体" w:hAnsi="宋体" w:eastAsia="宋体" w:cs="宋体"/>
                <w:color w:val="000000"/>
                <w:sz w:val="21"/>
                <w:szCs w:val="21"/>
                <w:highlight w:val="none"/>
                <w:lang w:eastAsia="zh-CN"/>
              </w:rPr>
            </w:pPr>
            <w:r>
              <w:rPr>
                <w:rFonts w:hint="eastAsia" w:ascii="宋体" w:hAnsi="宋体" w:cs="宋体"/>
                <w:color w:val="000000"/>
                <w:sz w:val="21"/>
                <w:szCs w:val="21"/>
                <w:highlight w:val="none"/>
                <w:lang w:val="en-US" w:eastAsia="zh-CN"/>
              </w:rPr>
              <w:t>条</w:t>
            </w:r>
          </w:p>
        </w:tc>
        <w:tc>
          <w:tcPr>
            <w:tcW w:w="347" w:type="pct"/>
            <w:tcBorders>
              <w:top w:val="single" w:color="auto" w:sz="4" w:space="0"/>
              <w:left w:val="single" w:color="auto" w:sz="4" w:space="0"/>
              <w:bottom w:val="single" w:color="auto" w:sz="4" w:space="0"/>
              <w:right w:val="single" w:color="auto" w:sz="4" w:space="0"/>
            </w:tcBorders>
            <w:noWrap w:val="0"/>
            <w:vAlign w:val="center"/>
          </w:tcPr>
          <w:p w14:paraId="7DAEC03F">
            <w:pPr>
              <w:keepNext w:val="0"/>
              <w:keepLines/>
              <w:pageBreakBefore w:val="0"/>
              <w:widowControl w:val="0"/>
              <w:kinsoku/>
              <w:wordWrap w:val="0"/>
              <w:overflowPunct/>
              <w:topLinePunct/>
              <w:autoSpaceDE/>
              <w:autoSpaceDN/>
              <w:bidi w:val="0"/>
              <w:spacing w:before="0" w:after="0" w:line="360" w:lineRule="auto"/>
              <w:jc w:val="center"/>
              <w:textAlignment w:val="auto"/>
              <w:outlineLvl w:val="9"/>
              <w:rPr>
                <w:rFonts w:hint="default" w:ascii="宋体" w:hAnsi="宋体" w:eastAsia="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192</w:t>
            </w:r>
          </w:p>
        </w:tc>
      </w:tr>
      <w:tr w14:paraId="0AFBFD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20" w:type="pct"/>
            <w:tcBorders>
              <w:top w:val="single" w:color="auto" w:sz="4" w:space="0"/>
              <w:left w:val="single" w:color="auto" w:sz="4" w:space="0"/>
              <w:bottom w:val="single" w:color="auto" w:sz="4" w:space="0"/>
              <w:right w:val="single" w:color="auto" w:sz="4" w:space="0"/>
            </w:tcBorders>
            <w:noWrap w:val="0"/>
            <w:vAlign w:val="center"/>
          </w:tcPr>
          <w:p w14:paraId="2718056E">
            <w:pPr>
              <w:keepNext w:val="0"/>
              <w:keepLines/>
              <w:pageBreakBefore w:val="0"/>
              <w:widowControl w:val="0"/>
              <w:kinsoku/>
              <w:wordWrap w:val="0"/>
              <w:overflowPunct/>
              <w:topLinePunct/>
              <w:autoSpaceDE/>
              <w:autoSpaceDN/>
              <w:bidi w:val="0"/>
              <w:snapToGrid w:val="0"/>
              <w:spacing w:before="0" w:after="0" w:line="360" w:lineRule="auto"/>
              <w:jc w:val="center"/>
              <w:textAlignment w:val="auto"/>
              <w:outlineLvl w:val="9"/>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lang w:val="en-US" w:eastAsia="zh-CN"/>
              </w:rPr>
              <w:t>2</w:t>
            </w:r>
          </w:p>
        </w:tc>
        <w:tc>
          <w:tcPr>
            <w:tcW w:w="512" w:type="pct"/>
            <w:tcBorders>
              <w:top w:val="single" w:color="auto" w:sz="4" w:space="0"/>
              <w:left w:val="single" w:color="auto" w:sz="4" w:space="0"/>
              <w:bottom w:val="single" w:color="auto" w:sz="4" w:space="0"/>
              <w:right w:val="single" w:color="auto" w:sz="4" w:space="0"/>
            </w:tcBorders>
            <w:noWrap w:val="0"/>
            <w:vAlign w:val="center"/>
          </w:tcPr>
          <w:p w14:paraId="5FF7791B">
            <w:pPr>
              <w:keepNext w:val="0"/>
              <w:keepLines/>
              <w:pageBreakBefore w:val="0"/>
              <w:widowControl w:val="0"/>
              <w:suppressLineNumbers w:val="0"/>
              <w:kinsoku/>
              <w:wordWrap w:val="0"/>
              <w:overflowPunct/>
              <w:topLinePunct/>
              <w:autoSpaceDE/>
              <w:autoSpaceDN/>
              <w:bidi w:val="0"/>
              <w:spacing w:before="0" w:after="0" w:line="360" w:lineRule="auto"/>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b w:val="0"/>
                <w:bCs w:val="0"/>
                <w:i w:val="0"/>
                <w:iCs w:val="0"/>
                <w:color w:val="000000"/>
                <w:kern w:val="0"/>
                <w:sz w:val="21"/>
                <w:szCs w:val="21"/>
                <w:highlight w:val="none"/>
                <w:u w:val="none"/>
                <w:lang w:val="en-US" w:eastAsia="zh-CN" w:bidi="ar"/>
              </w:rPr>
              <w:t>天网前端设备维护服务</w:t>
            </w:r>
          </w:p>
        </w:tc>
        <w:tc>
          <w:tcPr>
            <w:tcW w:w="3574" w:type="pct"/>
            <w:tcBorders>
              <w:top w:val="single" w:color="auto" w:sz="4" w:space="0"/>
              <w:left w:val="single" w:color="auto" w:sz="4" w:space="0"/>
              <w:bottom w:val="single" w:color="auto" w:sz="4" w:space="0"/>
              <w:right w:val="single" w:color="auto" w:sz="4" w:space="0"/>
            </w:tcBorders>
            <w:noWrap w:val="0"/>
            <w:vAlign w:val="center"/>
          </w:tcPr>
          <w:p w14:paraId="6D555132">
            <w:pPr>
              <w:pStyle w:val="2"/>
              <w:pageBreakBefore w:val="0"/>
              <w:widowControl w:val="0"/>
              <w:numPr>
                <w:ilvl w:val="0"/>
                <w:numId w:val="2"/>
              </w:numPr>
              <w:kinsoku/>
              <w:wordWrap/>
              <w:overflowPunct/>
              <w:topLinePunct w:val="0"/>
              <w:autoSpaceDE/>
              <w:autoSpaceDN/>
              <w:bidi w:val="0"/>
              <w:adjustRightInd/>
              <w:spacing w:before="0" w:after="0" w:line="360" w:lineRule="auto"/>
              <w:jc w:val="left"/>
              <w:textAlignment w:val="auto"/>
              <w:rPr>
                <w:rFonts w:hint="eastAsia"/>
                <w:sz w:val="21"/>
                <w:szCs w:val="21"/>
                <w:highlight w:val="none"/>
                <w:lang w:val="en-US" w:eastAsia="zh-CN"/>
              </w:rPr>
            </w:pPr>
            <w:r>
              <w:rPr>
                <w:rFonts w:hint="eastAsia"/>
                <w:sz w:val="21"/>
                <w:szCs w:val="21"/>
                <w:highlight w:val="none"/>
                <w:lang w:val="en-US" w:eastAsia="zh-CN"/>
              </w:rPr>
              <w:t>前端监控设备维护服务</w:t>
            </w:r>
          </w:p>
          <w:p w14:paraId="541EBFB1">
            <w:pPr>
              <w:pageBreakBefore w:val="0"/>
              <w:widowControl w:val="0"/>
              <w:kinsoku/>
              <w:wordWrap/>
              <w:overflowPunct/>
              <w:topLinePunct w:val="0"/>
              <w:autoSpaceDE/>
              <w:autoSpaceDN/>
              <w:bidi w:val="0"/>
              <w:adjustRightInd/>
              <w:snapToGrid w:val="0"/>
              <w:spacing w:before="0" w:after="0" w:line="360" w:lineRule="auto"/>
              <w:jc w:val="left"/>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sz w:val="21"/>
                <w:szCs w:val="21"/>
                <w:highlight w:val="none"/>
                <w:lang w:val="en-US" w:eastAsia="zh-CN"/>
              </w:rPr>
              <w:t>包括211个城区和乡镇天网摄像头的日常维护，维护内容包括前端摄像机和人像故障排查、除尘、取电点至设备箱的电路故障、树枝遮蔽、清洁、扶正等修正维护工作等。前端点位的线路走线符合城市管理规范，符合安全规范</w:t>
            </w:r>
            <w:r>
              <w:rPr>
                <w:rFonts w:hint="eastAsia" w:ascii="宋体" w:hAnsi="宋体" w:eastAsia="宋体" w:cs="宋体"/>
                <w:sz w:val="21"/>
                <w:szCs w:val="21"/>
                <w:highlight w:val="none"/>
              </w:rPr>
              <w:t>。</w:t>
            </w:r>
            <w:r>
              <w:rPr>
                <w:rFonts w:hint="eastAsia" w:ascii="宋体" w:hAnsi="宋体" w:cs="宋体"/>
                <w:sz w:val="21"/>
                <w:szCs w:val="21"/>
                <w:highlight w:val="none"/>
                <w:lang w:val="en-US" w:eastAsia="zh-CN"/>
              </w:rPr>
              <w:t>乙方按要求做好售后服务，保证监控点位在线率达95%以上。</w:t>
            </w:r>
          </w:p>
          <w:p w14:paraId="5B15CDA1">
            <w:pPr>
              <w:pStyle w:val="2"/>
              <w:pageBreakBefore w:val="0"/>
              <w:widowControl w:val="0"/>
              <w:kinsoku/>
              <w:wordWrap/>
              <w:overflowPunct/>
              <w:topLinePunct w:val="0"/>
              <w:autoSpaceDE/>
              <w:autoSpaceDN/>
              <w:bidi w:val="0"/>
              <w:adjustRightInd/>
              <w:spacing w:before="0" w:after="0" w:line="360" w:lineRule="auto"/>
              <w:jc w:val="left"/>
              <w:textAlignment w:val="auto"/>
              <w:rPr>
                <w:rFonts w:hint="eastAsia"/>
                <w:sz w:val="21"/>
                <w:szCs w:val="21"/>
                <w:highlight w:val="none"/>
                <w:lang w:val="en-US" w:eastAsia="zh-CN"/>
              </w:rPr>
            </w:pPr>
            <w:r>
              <w:rPr>
                <w:rFonts w:hint="eastAsia"/>
                <w:sz w:val="21"/>
                <w:szCs w:val="21"/>
                <w:highlight w:val="none"/>
                <w:lang w:val="en-US" w:eastAsia="zh-CN"/>
              </w:rPr>
              <w:t>二、提供前端监控设备供电维持服务：</w:t>
            </w:r>
          </w:p>
          <w:p w14:paraId="44F729D9">
            <w:pPr>
              <w:pageBreakBefore w:val="0"/>
              <w:widowControl w:val="0"/>
              <w:kinsoku/>
              <w:wordWrap/>
              <w:overflowPunct/>
              <w:topLinePunct w:val="0"/>
              <w:autoSpaceDE/>
              <w:autoSpaceDN/>
              <w:bidi w:val="0"/>
              <w:adjustRightInd/>
              <w:spacing w:before="0" w:after="0" w:line="360" w:lineRule="auto"/>
              <w:jc w:val="left"/>
              <w:textAlignment w:val="auto"/>
              <w:rPr>
                <w:rFonts w:hint="eastAsia"/>
                <w:sz w:val="21"/>
                <w:szCs w:val="21"/>
                <w:highlight w:val="none"/>
                <w:lang w:val="en-US" w:eastAsia="zh-CN"/>
              </w:rPr>
            </w:pPr>
            <w:r>
              <w:rPr>
                <w:rFonts w:hint="eastAsia"/>
                <w:sz w:val="21"/>
                <w:szCs w:val="21"/>
                <w:highlight w:val="none"/>
                <w:lang w:val="en-US" w:eastAsia="zh-CN"/>
              </w:rPr>
              <w:t>包括前端天网211个摄像头终端正常运行所需的用电费用。</w:t>
            </w:r>
          </w:p>
          <w:p w14:paraId="07C9FE73">
            <w:pPr>
              <w:pStyle w:val="2"/>
              <w:pageBreakBefore w:val="0"/>
              <w:widowControl w:val="0"/>
              <w:kinsoku/>
              <w:wordWrap/>
              <w:overflowPunct/>
              <w:topLinePunct w:val="0"/>
              <w:autoSpaceDE/>
              <w:autoSpaceDN/>
              <w:bidi w:val="0"/>
              <w:adjustRightInd/>
              <w:snapToGrid/>
              <w:spacing w:before="0" w:after="0" w:line="360" w:lineRule="auto"/>
              <w:jc w:val="left"/>
              <w:textAlignment w:val="auto"/>
              <w:rPr>
                <w:rFonts w:hint="eastAsia"/>
                <w:sz w:val="21"/>
                <w:szCs w:val="21"/>
                <w:highlight w:val="none"/>
                <w:lang w:val="en-US" w:eastAsia="zh-CN"/>
              </w:rPr>
            </w:pPr>
            <w:r>
              <w:rPr>
                <w:rFonts w:hint="eastAsia"/>
                <w:sz w:val="21"/>
                <w:szCs w:val="21"/>
                <w:highlight w:val="none"/>
                <w:lang w:val="en-US" w:eastAsia="zh-CN"/>
              </w:rPr>
              <w:t>三、提供不低于所维护前端监控设备总数十四分之一的设备备件服务，须满足以下参数及功能：</w:t>
            </w:r>
          </w:p>
          <w:p w14:paraId="74D1BA3A">
            <w:pPr>
              <w:pStyle w:val="3"/>
              <w:pageBreakBefore w:val="0"/>
              <w:widowControl w:val="0"/>
              <w:numPr>
                <w:ilvl w:val="0"/>
                <w:numId w:val="0"/>
              </w:numPr>
              <w:kinsoku/>
              <w:wordWrap/>
              <w:overflowPunct/>
              <w:topLinePunct w:val="0"/>
              <w:autoSpaceDE/>
              <w:autoSpaceDN/>
              <w:bidi w:val="0"/>
              <w:adjustRightInd/>
              <w:snapToGrid/>
              <w:spacing w:before="0" w:after="0" w:line="360" w:lineRule="auto"/>
              <w:ind w:firstLine="422" w:firstLineChars="200"/>
              <w:jc w:val="left"/>
              <w:textAlignment w:val="auto"/>
              <w:rPr>
                <w:rFonts w:hint="eastAsia"/>
                <w:sz w:val="21"/>
                <w:szCs w:val="21"/>
                <w:highlight w:val="none"/>
                <w:lang w:val="en-US" w:eastAsia="zh-CN"/>
              </w:rPr>
            </w:pPr>
            <w:r>
              <w:rPr>
                <w:rFonts w:hint="eastAsia"/>
                <w:sz w:val="21"/>
                <w:szCs w:val="21"/>
                <w:highlight w:val="none"/>
                <w:lang w:val="en-US" w:eastAsia="zh-CN"/>
              </w:rPr>
              <w:t>（一）红外网络球机备件服务：</w:t>
            </w:r>
          </w:p>
          <w:p w14:paraId="25E16D37">
            <w:pPr>
              <w:pageBreakBefore w:val="0"/>
              <w:widowControl w:val="0"/>
              <w:kinsoku/>
              <w:wordWrap/>
              <w:overflowPunct/>
              <w:topLinePunct w:val="0"/>
              <w:autoSpaceDE/>
              <w:autoSpaceDN/>
              <w:bidi w:val="0"/>
              <w:adjustRightInd/>
              <w:snapToGrid/>
              <w:spacing w:before="0" w:after="0" w:line="360" w:lineRule="auto"/>
              <w:ind w:firstLine="420" w:firstLineChars="200"/>
              <w:jc w:val="both"/>
              <w:textAlignment w:val="auto"/>
              <w:rPr>
                <w:rFonts w:hint="eastAsia"/>
                <w:sz w:val="21"/>
                <w:szCs w:val="21"/>
                <w:highlight w:val="none"/>
                <w:lang w:val="en-US" w:eastAsia="zh-CN"/>
              </w:rPr>
            </w:pPr>
            <w:r>
              <w:rPr>
                <w:rFonts w:hint="eastAsia"/>
                <w:sz w:val="21"/>
                <w:szCs w:val="21"/>
                <w:highlight w:val="none"/>
                <w:lang w:val="en-US" w:eastAsia="zh-CN"/>
              </w:rPr>
              <w:t>1、采用≥400万像素；支持≥23倍光学变倍，16倍数字变倍；</w:t>
            </w:r>
          </w:p>
          <w:p w14:paraId="6726BF1C">
            <w:pPr>
              <w:pageBreakBefore w:val="0"/>
              <w:widowControl w:val="0"/>
              <w:kinsoku/>
              <w:wordWrap/>
              <w:overflowPunct/>
              <w:topLinePunct w:val="0"/>
              <w:autoSpaceDE/>
              <w:autoSpaceDN/>
              <w:bidi w:val="0"/>
              <w:adjustRightInd/>
              <w:snapToGrid/>
              <w:spacing w:before="0" w:after="0" w:line="360" w:lineRule="auto"/>
              <w:ind w:firstLine="420" w:firstLineChars="200"/>
              <w:jc w:val="both"/>
              <w:textAlignment w:val="auto"/>
              <w:rPr>
                <w:rFonts w:hint="eastAsia"/>
                <w:sz w:val="21"/>
                <w:szCs w:val="21"/>
                <w:highlight w:val="none"/>
                <w:lang w:val="en-US" w:eastAsia="zh-CN"/>
              </w:rPr>
            </w:pPr>
            <w:r>
              <w:rPr>
                <w:rFonts w:hint="eastAsia"/>
                <w:sz w:val="21"/>
                <w:szCs w:val="21"/>
                <w:highlight w:val="none"/>
                <w:lang w:val="en-US" w:eastAsia="zh-CN"/>
              </w:rPr>
              <w:t>2、彩色≤0.0005Lux，黑白≤0.0001Lux；</w:t>
            </w:r>
          </w:p>
          <w:p w14:paraId="2DA1E381">
            <w:pPr>
              <w:pageBreakBefore w:val="0"/>
              <w:widowControl w:val="0"/>
              <w:kinsoku/>
              <w:wordWrap/>
              <w:overflowPunct/>
              <w:topLinePunct w:val="0"/>
              <w:autoSpaceDE/>
              <w:autoSpaceDN/>
              <w:bidi w:val="0"/>
              <w:adjustRightInd/>
              <w:snapToGrid/>
              <w:spacing w:before="0" w:after="0" w:line="360" w:lineRule="auto"/>
              <w:ind w:firstLine="420" w:firstLineChars="200"/>
              <w:jc w:val="both"/>
              <w:textAlignment w:val="auto"/>
              <w:rPr>
                <w:rFonts w:hint="eastAsia"/>
                <w:sz w:val="21"/>
                <w:szCs w:val="21"/>
                <w:highlight w:val="none"/>
                <w:lang w:val="en-US" w:eastAsia="zh-CN"/>
              </w:rPr>
            </w:pPr>
            <w:r>
              <w:rPr>
                <w:rFonts w:hint="eastAsia"/>
                <w:sz w:val="21"/>
                <w:szCs w:val="21"/>
                <w:highlight w:val="none"/>
                <w:lang w:val="en-US" w:eastAsia="zh-CN"/>
              </w:rPr>
              <w:t>3、支持H.265编码，实现超低码流传输；</w:t>
            </w:r>
          </w:p>
          <w:p w14:paraId="532B8535">
            <w:pPr>
              <w:pageBreakBefore w:val="0"/>
              <w:widowControl w:val="0"/>
              <w:kinsoku/>
              <w:wordWrap/>
              <w:overflowPunct/>
              <w:topLinePunct w:val="0"/>
              <w:autoSpaceDE/>
              <w:autoSpaceDN/>
              <w:bidi w:val="0"/>
              <w:adjustRightInd/>
              <w:snapToGrid/>
              <w:spacing w:before="0" w:after="0" w:line="360" w:lineRule="auto"/>
              <w:ind w:firstLine="420" w:firstLineChars="200"/>
              <w:jc w:val="both"/>
              <w:textAlignment w:val="auto"/>
              <w:rPr>
                <w:rFonts w:hint="eastAsia"/>
                <w:sz w:val="21"/>
                <w:szCs w:val="21"/>
                <w:highlight w:val="none"/>
                <w:lang w:val="en-US" w:eastAsia="zh-CN"/>
              </w:rPr>
            </w:pPr>
            <w:r>
              <w:rPr>
                <w:rFonts w:hint="eastAsia"/>
                <w:sz w:val="21"/>
                <w:szCs w:val="21"/>
                <w:highlight w:val="none"/>
                <w:lang w:val="en-US" w:eastAsia="zh-CN"/>
              </w:rPr>
              <w:t>4、≥150米红外灯补光，补光效果均匀；</w:t>
            </w:r>
          </w:p>
          <w:p w14:paraId="511338F9">
            <w:pPr>
              <w:pageBreakBefore w:val="0"/>
              <w:widowControl w:val="0"/>
              <w:kinsoku/>
              <w:wordWrap/>
              <w:overflowPunct/>
              <w:topLinePunct w:val="0"/>
              <w:autoSpaceDE/>
              <w:autoSpaceDN/>
              <w:bidi w:val="0"/>
              <w:adjustRightInd/>
              <w:snapToGrid/>
              <w:spacing w:before="0" w:after="0" w:line="360" w:lineRule="auto"/>
              <w:ind w:firstLine="420" w:firstLineChars="200"/>
              <w:jc w:val="both"/>
              <w:textAlignment w:val="auto"/>
              <w:rPr>
                <w:rFonts w:hint="eastAsia"/>
                <w:sz w:val="21"/>
                <w:szCs w:val="21"/>
                <w:highlight w:val="none"/>
                <w:lang w:val="en-US" w:eastAsia="zh-CN"/>
              </w:rPr>
            </w:pPr>
            <w:r>
              <w:rPr>
                <w:rFonts w:hint="eastAsia"/>
                <w:sz w:val="21"/>
                <w:szCs w:val="21"/>
                <w:highlight w:val="none"/>
                <w:lang w:val="en-US" w:eastAsia="zh-CN"/>
              </w:rPr>
              <w:t>5、支持绊线入侵，支持区域入侵，支持徘徊检测，支持物品遗留，支持物品搬移，支持快速移动，支持停车检测，支持人员聚集，支持人车分类报警，支持联动跟踪；</w:t>
            </w:r>
          </w:p>
          <w:p w14:paraId="55111DF3">
            <w:pPr>
              <w:pageBreakBefore w:val="0"/>
              <w:widowControl w:val="0"/>
              <w:kinsoku/>
              <w:wordWrap/>
              <w:overflowPunct/>
              <w:topLinePunct w:val="0"/>
              <w:autoSpaceDE/>
              <w:autoSpaceDN/>
              <w:bidi w:val="0"/>
              <w:adjustRightInd/>
              <w:snapToGrid/>
              <w:spacing w:before="0" w:after="0" w:line="360" w:lineRule="auto"/>
              <w:ind w:firstLine="420" w:firstLineChars="200"/>
              <w:jc w:val="both"/>
              <w:textAlignment w:val="auto"/>
              <w:rPr>
                <w:rFonts w:hint="eastAsia"/>
                <w:sz w:val="21"/>
                <w:szCs w:val="21"/>
                <w:highlight w:val="none"/>
                <w:lang w:val="en-US" w:eastAsia="zh-CN"/>
              </w:rPr>
            </w:pPr>
            <w:r>
              <w:rPr>
                <w:rFonts w:hint="eastAsia"/>
                <w:sz w:val="21"/>
                <w:szCs w:val="21"/>
                <w:highlight w:val="none"/>
                <w:lang w:val="en-US" w:eastAsia="zh-CN"/>
              </w:rPr>
              <w:t>6、支持人脸检测；支持人脸轨迹框；支持抓拍；支持人脸增强；支持人脸抠图区域可设：人脸，单寸照；支持实时抓拍，质量优先二种抓拍策略；</w:t>
            </w:r>
          </w:p>
          <w:p w14:paraId="38245B0E">
            <w:pPr>
              <w:pageBreakBefore w:val="0"/>
              <w:widowControl w:val="0"/>
              <w:kinsoku/>
              <w:wordWrap/>
              <w:overflowPunct/>
              <w:topLinePunct w:val="0"/>
              <w:autoSpaceDE/>
              <w:autoSpaceDN/>
              <w:bidi w:val="0"/>
              <w:adjustRightInd/>
              <w:snapToGrid/>
              <w:spacing w:before="0" w:after="0" w:line="360" w:lineRule="auto"/>
              <w:ind w:firstLine="420" w:firstLineChars="200"/>
              <w:jc w:val="both"/>
              <w:textAlignment w:val="auto"/>
              <w:rPr>
                <w:rFonts w:hint="eastAsia"/>
                <w:sz w:val="21"/>
                <w:szCs w:val="21"/>
                <w:highlight w:val="none"/>
                <w:lang w:val="en-US" w:eastAsia="zh-CN"/>
              </w:rPr>
            </w:pPr>
            <w:r>
              <w:rPr>
                <w:rFonts w:hint="eastAsia"/>
                <w:sz w:val="21"/>
                <w:szCs w:val="21"/>
                <w:highlight w:val="none"/>
                <w:lang w:val="en-US" w:eastAsia="zh-CN"/>
              </w:rPr>
              <w:t>7、水平方向360°连续旋转，垂直方向-20°～90°自动翻转180°后连续监视，无监视盲区。</w:t>
            </w:r>
          </w:p>
          <w:p w14:paraId="28605EF4">
            <w:pPr>
              <w:pageBreakBefore w:val="0"/>
              <w:widowControl w:val="0"/>
              <w:kinsoku/>
              <w:wordWrap/>
              <w:overflowPunct/>
              <w:topLinePunct w:val="0"/>
              <w:autoSpaceDE/>
              <w:autoSpaceDN/>
              <w:bidi w:val="0"/>
              <w:adjustRightInd/>
              <w:snapToGrid/>
              <w:spacing w:before="0" w:after="0" w:line="360" w:lineRule="auto"/>
              <w:ind w:firstLine="420" w:firstLineChars="200"/>
              <w:jc w:val="both"/>
              <w:textAlignment w:val="auto"/>
              <w:rPr>
                <w:rFonts w:hint="eastAsia"/>
                <w:sz w:val="21"/>
                <w:szCs w:val="21"/>
                <w:highlight w:val="none"/>
                <w:lang w:val="en-US" w:eastAsia="zh-CN"/>
              </w:rPr>
            </w:pPr>
            <w:r>
              <w:rPr>
                <w:rFonts w:hint="eastAsia"/>
                <w:sz w:val="21"/>
                <w:szCs w:val="21"/>
                <w:highlight w:val="none"/>
                <w:lang w:val="en-US" w:eastAsia="zh-CN"/>
              </w:rPr>
              <w:t>8、设备与客户端之间用100m五类非屏蔽网线直接连接,使用丢包测试软件发送1000个数据包,重复测试3次,每次丢包数≤1个</w:t>
            </w:r>
          </w:p>
          <w:p w14:paraId="2CF5F0FE">
            <w:pPr>
              <w:pageBreakBefore w:val="0"/>
              <w:widowControl w:val="0"/>
              <w:kinsoku/>
              <w:wordWrap/>
              <w:overflowPunct/>
              <w:topLinePunct w:val="0"/>
              <w:autoSpaceDE/>
              <w:autoSpaceDN/>
              <w:bidi w:val="0"/>
              <w:adjustRightInd/>
              <w:snapToGrid/>
              <w:spacing w:before="0" w:after="0" w:line="360" w:lineRule="auto"/>
              <w:ind w:firstLine="420" w:firstLineChars="200"/>
              <w:jc w:val="both"/>
              <w:textAlignment w:val="auto"/>
              <w:rPr>
                <w:rFonts w:hint="eastAsia"/>
                <w:sz w:val="21"/>
                <w:szCs w:val="21"/>
                <w:highlight w:val="none"/>
                <w:lang w:val="en-US" w:eastAsia="zh-CN"/>
              </w:rPr>
            </w:pPr>
            <w:r>
              <w:rPr>
                <w:rFonts w:hint="eastAsia"/>
                <w:sz w:val="21"/>
                <w:szCs w:val="21"/>
                <w:highlight w:val="none"/>
                <w:lang w:val="en-US" w:eastAsia="zh-CN"/>
              </w:rPr>
              <w:t>9、具有感兴趣区域设置选项,主码流、子码流和第三路码流分别可设置≥8块感兴趣区域,支持对人脸、车牌,智能分析行为的感兴趣区域设置</w:t>
            </w:r>
          </w:p>
          <w:p w14:paraId="67010109">
            <w:pPr>
              <w:pStyle w:val="3"/>
              <w:pageBreakBefore w:val="0"/>
              <w:widowControl w:val="0"/>
              <w:numPr>
                <w:ilvl w:val="0"/>
                <w:numId w:val="0"/>
              </w:numPr>
              <w:kinsoku/>
              <w:wordWrap/>
              <w:overflowPunct/>
              <w:topLinePunct w:val="0"/>
              <w:autoSpaceDE/>
              <w:autoSpaceDN/>
              <w:bidi w:val="0"/>
              <w:adjustRightInd/>
              <w:snapToGrid/>
              <w:spacing w:before="0" w:after="0" w:line="360" w:lineRule="auto"/>
              <w:ind w:firstLine="422" w:firstLineChars="200"/>
              <w:jc w:val="both"/>
              <w:textAlignment w:val="auto"/>
              <w:rPr>
                <w:rFonts w:hint="eastAsia"/>
                <w:sz w:val="21"/>
                <w:szCs w:val="21"/>
                <w:highlight w:val="none"/>
                <w:lang w:val="en-US" w:eastAsia="zh-CN"/>
              </w:rPr>
            </w:pPr>
            <w:r>
              <w:rPr>
                <w:rFonts w:hint="eastAsia"/>
                <w:sz w:val="21"/>
                <w:szCs w:val="21"/>
                <w:highlight w:val="none"/>
                <w:lang w:val="en-US" w:eastAsia="zh-CN"/>
              </w:rPr>
              <w:t>（二）双光全彩枪型网络摄像机备件服务：</w:t>
            </w:r>
          </w:p>
          <w:p w14:paraId="22B81867">
            <w:pPr>
              <w:pageBreakBefore w:val="0"/>
              <w:widowControl w:val="0"/>
              <w:kinsoku/>
              <w:wordWrap/>
              <w:overflowPunct/>
              <w:topLinePunct w:val="0"/>
              <w:autoSpaceDE/>
              <w:autoSpaceDN/>
              <w:bidi w:val="0"/>
              <w:adjustRightInd/>
              <w:snapToGrid/>
              <w:spacing w:before="0" w:after="0" w:line="360" w:lineRule="auto"/>
              <w:ind w:firstLine="420" w:firstLineChars="200"/>
              <w:jc w:val="both"/>
              <w:textAlignment w:val="auto"/>
              <w:rPr>
                <w:rFonts w:hint="eastAsia"/>
                <w:sz w:val="21"/>
                <w:szCs w:val="21"/>
                <w:highlight w:val="none"/>
                <w:lang w:val="en-US" w:eastAsia="zh-CN"/>
              </w:rPr>
            </w:pPr>
            <w:r>
              <w:rPr>
                <w:rFonts w:hint="eastAsia"/>
                <w:sz w:val="21"/>
                <w:szCs w:val="21"/>
                <w:highlight w:val="none"/>
                <w:lang w:val="en-US" w:eastAsia="zh-CN"/>
              </w:rPr>
              <w:t>1、采用≥400万CMOS图像传感器，支持≥50米补光距离</w:t>
            </w:r>
          </w:p>
          <w:p w14:paraId="5AB7A4CE">
            <w:pPr>
              <w:pageBreakBefore w:val="0"/>
              <w:widowControl w:val="0"/>
              <w:kinsoku/>
              <w:wordWrap/>
              <w:overflowPunct/>
              <w:topLinePunct w:val="0"/>
              <w:autoSpaceDE/>
              <w:autoSpaceDN/>
              <w:bidi w:val="0"/>
              <w:adjustRightInd/>
              <w:snapToGrid/>
              <w:spacing w:before="0" w:after="0" w:line="360" w:lineRule="auto"/>
              <w:ind w:firstLine="420" w:firstLineChars="200"/>
              <w:jc w:val="both"/>
              <w:textAlignment w:val="auto"/>
              <w:rPr>
                <w:rFonts w:hint="eastAsia"/>
                <w:sz w:val="21"/>
                <w:szCs w:val="21"/>
                <w:highlight w:val="none"/>
                <w:lang w:val="en-US" w:eastAsia="zh-CN"/>
              </w:rPr>
            </w:pPr>
            <w:r>
              <w:rPr>
                <w:rFonts w:hint="eastAsia"/>
                <w:sz w:val="21"/>
                <w:szCs w:val="21"/>
                <w:highlight w:val="none"/>
                <w:lang w:val="en-US" w:eastAsia="zh-CN"/>
              </w:rPr>
              <w:t>2、设备内置≥4颗混合补光灯,可同时开启≥4颗红外补光灯或≥4颗白光补光灯，补光灯表面为磨砂面,灯珠朝向与设备照射方向一致，补光灯开启后,正面不可见补光灯灯珠</w:t>
            </w:r>
          </w:p>
          <w:p w14:paraId="0C467E1B">
            <w:pPr>
              <w:pageBreakBefore w:val="0"/>
              <w:widowControl w:val="0"/>
              <w:kinsoku/>
              <w:wordWrap/>
              <w:overflowPunct/>
              <w:topLinePunct w:val="0"/>
              <w:autoSpaceDE/>
              <w:autoSpaceDN/>
              <w:bidi w:val="0"/>
              <w:adjustRightInd/>
              <w:snapToGrid/>
              <w:spacing w:before="0" w:after="0" w:line="360" w:lineRule="auto"/>
              <w:ind w:firstLine="420" w:firstLineChars="200"/>
              <w:jc w:val="both"/>
              <w:textAlignment w:val="auto"/>
              <w:rPr>
                <w:rFonts w:hint="eastAsia"/>
                <w:sz w:val="21"/>
                <w:szCs w:val="21"/>
                <w:highlight w:val="none"/>
                <w:lang w:val="en-US" w:eastAsia="zh-CN"/>
              </w:rPr>
            </w:pPr>
            <w:r>
              <w:rPr>
                <w:rFonts w:hint="eastAsia"/>
                <w:sz w:val="21"/>
                <w:szCs w:val="21"/>
                <w:highlight w:val="none"/>
                <w:lang w:val="en-US" w:eastAsia="zh-CN"/>
              </w:rPr>
              <w:t>3、支持数字宽动态，3D降噪，强光抑制，背光补偿，数字水印，适用不同监控环境</w:t>
            </w:r>
          </w:p>
          <w:p w14:paraId="20A3FFF0">
            <w:pPr>
              <w:pageBreakBefore w:val="0"/>
              <w:widowControl w:val="0"/>
              <w:kinsoku/>
              <w:wordWrap/>
              <w:overflowPunct/>
              <w:topLinePunct w:val="0"/>
              <w:autoSpaceDE/>
              <w:autoSpaceDN/>
              <w:bidi w:val="0"/>
              <w:adjustRightInd/>
              <w:snapToGrid/>
              <w:spacing w:before="0" w:after="0" w:line="360" w:lineRule="auto"/>
              <w:ind w:firstLine="420" w:firstLineChars="200"/>
              <w:jc w:val="both"/>
              <w:textAlignment w:val="auto"/>
              <w:rPr>
                <w:rFonts w:hint="eastAsia"/>
                <w:sz w:val="21"/>
                <w:szCs w:val="21"/>
                <w:highlight w:val="none"/>
                <w:lang w:val="en-US" w:eastAsia="zh-CN"/>
              </w:rPr>
            </w:pPr>
            <w:r>
              <w:rPr>
                <w:rFonts w:hint="eastAsia"/>
                <w:sz w:val="21"/>
                <w:szCs w:val="21"/>
                <w:highlight w:val="none"/>
                <w:lang w:val="en-US" w:eastAsia="zh-CN"/>
              </w:rPr>
              <w:t>4、支持对人、机动车、全部(人或机动车)进行检测,当小狗、树叶等非人或车辆目标经过检测区域时,不会触发报警，设备支持行为分析触发后联动抓图、录像、目标跟踪、报警上传、发送邮件等多种报警触发方式;设备支持设置≥6组智能周界规则并进行独立布防,每组的布撤防时间可单独设置,目标在布防区域和布防时间段内出现会触发报警,并联动相关操作</w:t>
            </w:r>
          </w:p>
          <w:p w14:paraId="6C1CC3E9">
            <w:pPr>
              <w:pageBreakBefore w:val="0"/>
              <w:widowControl w:val="0"/>
              <w:kinsoku/>
              <w:wordWrap/>
              <w:overflowPunct/>
              <w:topLinePunct w:val="0"/>
              <w:autoSpaceDE/>
              <w:autoSpaceDN/>
              <w:bidi w:val="0"/>
              <w:adjustRightInd/>
              <w:snapToGrid/>
              <w:spacing w:before="0" w:after="0" w:line="360" w:lineRule="auto"/>
              <w:ind w:firstLine="420" w:firstLineChars="200"/>
              <w:jc w:val="both"/>
              <w:textAlignment w:val="auto"/>
              <w:rPr>
                <w:rFonts w:hint="eastAsia"/>
                <w:sz w:val="21"/>
                <w:szCs w:val="21"/>
                <w:highlight w:val="none"/>
                <w:lang w:val="en-US" w:eastAsia="zh-CN"/>
              </w:rPr>
            </w:pPr>
            <w:r>
              <w:rPr>
                <w:rFonts w:hint="eastAsia"/>
                <w:sz w:val="21"/>
                <w:szCs w:val="21"/>
                <w:highlight w:val="none"/>
                <w:lang w:val="en-US" w:eastAsia="zh-CN"/>
              </w:rPr>
              <w:t>5、支持对智能行为分析目标方向规则进行设置,可设置方向为A-&gt;B、B-&gt;A、A&lt;-&gt;B3种规则;支持灵敏度设置0~10</w:t>
            </w:r>
          </w:p>
          <w:p w14:paraId="1D43F51C">
            <w:pPr>
              <w:pageBreakBefore w:val="0"/>
              <w:widowControl w:val="0"/>
              <w:kinsoku/>
              <w:wordWrap/>
              <w:overflowPunct/>
              <w:topLinePunct w:val="0"/>
              <w:autoSpaceDE/>
              <w:autoSpaceDN/>
              <w:bidi w:val="0"/>
              <w:adjustRightInd/>
              <w:snapToGrid/>
              <w:spacing w:before="0" w:after="0" w:line="360" w:lineRule="auto"/>
              <w:ind w:firstLine="420" w:firstLineChars="200"/>
              <w:jc w:val="both"/>
              <w:textAlignment w:val="auto"/>
              <w:rPr>
                <w:rFonts w:hint="eastAsia"/>
                <w:sz w:val="21"/>
                <w:szCs w:val="21"/>
                <w:highlight w:val="none"/>
                <w:lang w:val="en-US" w:eastAsia="zh-CN"/>
              </w:rPr>
            </w:pPr>
            <w:r>
              <w:rPr>
                <w:rFonts w:hint="eastAsia"/>
                <w:sz w:val="21"/>
                <w:szCs w:val="21"/>
                <w:highlight w:val="none"/>
                <w:lang w:val="en-US" w:eastAsia="zh-CN"/>
              </w:rPr>
              <w:t>6、可对目标大小(像素值)范围进行设置,使设备只对预设大小(像素值)范围内的人员及机动车辆进行检测，设备可同时采用DC12V电源与POE供电,当一路电源停止供电后,设备可正常工作</w:t>
            </w:r>
          </w:p>
          <w:p w14:paraId="575658D8">
            <w:pPr>
              <w:pageBreakBefore w:val="0"/>
              <w:widowControl w:val="0"/>
              <w:kinsoku/>
              <w:wordWrap/>
              <w:overflowPunct/>
              <w:topLinePunct w:val="0"/>
              <w:autoSpaceDE/>
              <w:autoSpaceDN/>
              <w:bidi w:val="0"/>
              <w:adjustRightInd/>
              <w:snapToGrid/>
              <w:spacing w:before="0" w:after="0" w:line="360" w:lineRule="auto"/>
              <w:ind w:firstLine="420" w:firstLineChars="200"/>
              <w:jc w:val="both"/>
              <w:textAlignment w:val="auto"/>
              <w:rPr>
                <w:rFonts w:hint="eastAsia"/>
                <w:sz w:val="21"/>
                <w:szCs w:val="21"/>
                <w:highlight w:val="none"/>
                <w:lang w:val="en-US" w:eastAsia="zh-CN"/>
              </w:rPr>
            </w:pPr>
            <w:r>
              <w:rPr>
                <w:rFonts w:hint="eastAsia"/>
                <w:sz w:val="21"/>
                <w:szCs w:val="21"/>
                <w:highlight w:val="none"/>
                <w:lang w:val="en-US" w:eastAsia="zh-CN"/>
              </w:rPr>
              <w:t>7、当补光灯开启后,补光亮度均匀,无明显波纹状、圆环状、麻点状、条纹状及不规则亮斑，设备镜头前盖玻璃呈倾斜状,与镜头平面呈4°夹角</w:t>
            </w:r>
          </w:p>
          <w:p w14:paraId="417C1DDC">
            <w:pPr>
              <w:pageBreakBefore w:val="0"/>
              <w:widowControl w:val="0"/>
              <w:kinsoku/>
              <w:wordWrap/>
              <w:overflowPunct/>
              <w:topLinePunct w:val="0"/>
              <w:autoSpaceDE/>
              <w:autoSpaceDN/>
              <w:bidi w:val="0"/>
              <w:adjustRightInd/>
              <w:snapToGrid/>
              <w:spacing w:before="0" w:after="0" w:line="360" w:lineRule="auto"/>
              <w:ind w:firstLine="420" w:firstLineChars="200"/>
              <w:jc w:val="both"/>
              <w:textAlignment w:val="auto"/>
              <w:rPr>
                <w:rFonts w:hint="eastAsia"/>
                <w:sz w:val="21"/>
                <w:szCs w:val="21"/>
                <w:highlight w:val="none"/>
                <w:lang w:val="en-US" w:eastAsia="zh-CN"/>
              </w:rPr>
            </w:pPr>
            <w:r>
              <w:rPr>
                <w:rFonts w:hint="eastAsia"/>
                <w:sz w:val="21"/>
                <w:szCs w:val="21"/>
                <w:highlight w:val="none"/>
                <w:lang w:val="en-US" w:eastAsia="zh-CN"/>
              </w:rPr>
              <w:t>8、内置≥1个麦克风，支持IP67防护等级</w:t>
            </w:r>
          </w:p>
          <w:p w14:paraId="73FF252E">
            <w:pPr>
              <w:pStyle w:val="3"/>
              <w:pageBreakBefore w:val="0"/>
              <w:widowControl w:val="0"/>
              <w:numPr>
                <w:ilvl w:val="0"/>
                <w:numId w:val="0"/>
              </w:numPr>
              <w:kinsoku/>
              <w:wordWrap/>
              <w:overflowPunct/>
              <w:topLinePunct w:val="0"/>
              <w:autoSpaceDE/>
              <w:autoSpaceDN/>
              <w:bidi w:val="0"/>
              <w:adjustRightInd/>
              <w:snapToGrid/>
              <w:spacing w:before="0" w:after="0" w:line="360" w:lineRule="auto"/>
              <w:ind w:firstLine="422" w:firstLineChars="200"/>
              <w:jc w:val="both"/>
              <w:textAlignment w:val="auto"/>
              <w:rPr>
                <w:rFonts w:hint="eastAsia"/>
                <w:sz w:val="21"/>
                <w:szCs w:val="21"/>
                <w:highlight w:val="none"/>
                <w:lang w:val="en-US" w:eastAsia="zh-CN"/>
              </w:rPr>
            </w:pPr>
            <w:r>
              <w:rPr>
                <w:rFonts w:hint="eastAsia"/>
                <w:sz w:val="21"/>
                <w:szCs w:val="21"/>
                <w:highlight w:val="none"/>
                <w:lang w:val="en-US" w:eastAsia="zh-CN"/>
              </w:rPr>
              <w:t>（三）智能红外变焦枪型网络摄像机备件服务</w:t>
            </w:r>
          </w:p>
          <w:p w14:paraId="249D0F32">
            <w:pPr>
              <w:pageBreakBefore w:val="0"/>
              <w:widowControl w:val="0"/>
              <w:kinsoku/>
              <w:wordWrap/>
              <w:overflowPunct/>
              <w:topLinePunct w:val="0"/>
              <w:autoSpaceDE/>
              <w:autoSpaceDN/>
              <w:bidi w:val="0"/>
              <w:adjustRightInd/>
              <w:snapToGrid/>
              <w:spacing w:before="0" w:after="0" w:line="360" w:lineRule="auto"/>
              <w:ind w:firstLine="420" w:firstLineChars="200"/>
              <w:jc w:val="both"/>
              <w:textAlignment w:val="auto"/>
              <w:rPr>
                <w:rFonts w:hint="eastAsia"/>
                <w:sz w:val="21"/>
                <w:szCs w:val="21"/>
                <w:highlight w:val="none"/>
                <w:lang w:val="en-US" w:eastAsia="zh-CN"/>
              </w:rPr>
            </w:pPr>
            <w:r>
              <w:rPr>
                <w:rFonts w:hint="eastAsia"/>
                <w:sz w:val="21"/>
                <w:szCs w:val="21"/>
                <w:highlight w:val="none"/>
                <w:lang w:val="en-US" w:eastAsia="zh-CN"/>
              </w:rPr>
              <w:t>1、采用≥400万CMOS图像传感器，支持≥50米补光距离</w:t>
            </w:r>
          </w:p>
          <w:p w14:paraId="09A8CFD0">
            <w:pPr>
              <w:pageBreakBefore w:val="0"/>
              <w:widowControl w:val="0"/>
              <w:kinsoku/>
              <w:wordWrap/>
              <w:overflowPunct/>
              <w:topLinePunct w:val="0"/>
              <w:autoSpaceDE/>
              <w:autoSpaceDN/>
              <w:bidi w:val="0"/>
              <w:adjustRightInd/>
              <w:snapToGrid/>
              <w:spacing w:before="0" w:after="0" w:line="360" w:lineRule="auto"/>
              <w:ind w:firstLine="420" w:firstLineChars="200"/>
              <w:jc w:val="both"/>
              <w:textAlignment w:val="auto"/>
              <w:rPr>
                <w:rFonts w:hint="eastAsia"/>
                <w:sz w:val="21"/>
                <w:szCs w:val="21"/>
                <w:highlight w:val="none"/>
                <w:lang w:val="en-US" w:eastAsia="zh-CN"/>
              </w:rPr>
            </w:pPr>
            <w:r>
              <w:rPr>
                <w:rFonts w:hint="eastAsia"/>
                <w:sz w:val="21"/>
                <w:szCs w:val="21"/>
                <w:highlight w:val="none"/>
                <w:lang w:val="en-US" w:eastAsia="zh-CN"/>
              </w:rPr>
              <w:t>2、支持人脸侦测功能，可对经过设定区域的行人进行人脸检测，当检测到人脸后，可联动抓拍人脸图片、录像及给出报警提示；可按照检测到的人脸人数、性别、年龄段、表情方式进行统计，并生成日报表、周报表、三天报表</w:t>
            </w:r>
          </w:p>
          <w:p w14:paraId="7C9596B1">
            <w:pPr>
              <w:pageBreakBefore w:val="0"/>
              <w:widowControl w:val="0"/>
              <w:kinsoku/>
              <w:wordWrap/>
              <w:overflowPunct/>
              <w:topLinePunct w:val="0"/>
              <w:autoSpaceDE/>
              <w:autoSpaceDN/>
              <w:bidi w:val="0"/>
              <w:adjustRightInd/>
              <w:snapToGrid/>
              <w:spacing w:before="0" w:after="0" w:line="360" w:lineRule="auto"/>
              <w:ind w:firstLine="420" w:firstLineChars="200"/>
              <w:jc w:val="both"/>
              <w:textAlignment w:val="auto"/>
              <w:rPr>
                <w:rFonts w:hint="eastAsia"/>
                <w:sz w:val="21"/>
                <w:szCs w:val="21"/>
                <w:highlight w:val="none"/>
                <w:lang w:val="en-US" w:eastAsia="zh-CN"/>
              </w:rPr>
            </w:pPr>
            <w:r>
              <w:rPr>
                <w:rFonts w:hint="eastAsia"/>
                <w:sz w:val="21"/>
                <w:szCs w:val="21"/>
                <w:highlight w:val="none"/>
                <w:lang w:val="en-US" w:eastAsia="zh-CN"/>
              </w:rPr>
              <w:t>3、支持数字宽动态，3D降噪，强光抑制，背光补偿，数字水印，适用不同监控环境</w:t>
            </w:r>
          </w:p>
          <w:p w14:paraId="6A619E4F">
            <w:pPr>
              <w:pageBreakBefore w:val="0"/>
              <w:widowControl w:val="0"/>
              <w:kinsoku/>
              <w:wordWrap/>
              <w:overflowPunct/>
              <w:topLinePunct w:val="0"/>
              <w:autoSpaceDE/>
              <w:autoSpaceDN/>
              <w:bidi w:val="0"/>
              <w:adjustRightInd/>
              <w:snapToGrid/>
              <w:spacing w:before="0" w:after="0" w:line="360" w:lineRule="auto"/>
              <w:ind w:firstLine="420" w:firstLineChars="200"/>
              <w:jc w:val="both"/>
              <w:textAlignment w:val="auto"/>
              <w:rPr>
                <w:rFonts w:hint="eastAsia"/>
                <w:sz w:val="21"/>
                <w:szCs w:val="21"/>
                <w:highlight w:val="none"/>
                <w:lang w:val="en-US" w:eastAsia="zh-CN"/>
              </w:rPr>
            </w:pPr>
            <w:r>
              <w:rPr>
                <w:rFonts w:hint="eastAsia"/>
                <w:sz w:val="21"/>
                <w:szCs w:val="21"/>
                <w:highlight w:val="none"/>
                <w:lang w:val="en-US" w:eastAsia="zh-CN"/>
              </w:rPr>
              <w:t>4、支持对人、机动车、全部(人或机动车)进行检测,当小狗、树叶等非人或车辆目标经过检测区域时,不会触发报警，设备支持行为分析触发后联动抓图、录像、目标跟踪、报警上传、发送邮件等多种报警触发方式;设备支持设置≥6组智能周界规则并进行独立布防,每组的布撤防时间可单独设置,目标在布防区域和布防时间段内出现会触发报警,并联动相关操作</w:t>
            </w:r>
          </w:p>
          <w:p w14:paraId="6EF1C78A">
            <w:pPr>
              <w:pageBreakBefore w:val="0"/>
              <w:widowControl w:val="0"/>
              <w:kinsoku/>
              <w:wordWrap/>
              <w:overflowPunct/>
              <w:topLinePunct w:val="0"/>
              <w:autoSpaceDE/>
              <w:autoSpaceDN/>
              <w:bidi w:val="0"/>
              <w:adjustRightInd/>
              <w:snapToGrid/>
              <w:spacing w:before="0" w:after="0" w:line="360" w:lineRule="auto"/>
              <w:ind w:firstLine="420" w:firstLineChars="200"/>
              <w:jc w:val="both"/>
              <w:textAlignment w:val="auto"/>
              <w:rPr>
                <w:rFonts w:hint="eastAsia"/>
                <w:sz w:val="21"/>
                <w:szCs w:val="21"/>
                <w:highlight w:val="none"/>
                <w:lang w:val="en-US" w:eastAsia="zh-CN"/>
              </w:rPr>
            </w:pPr>
            <w:r>
              <w:rPr>
                <w:rFonts w:hint="eastAsia"/>
                <w:sz w:val="21"/>
                <w:szCs w:val="21"/>
                <w:highlight w:val="none"/>
                <w:lang w:val="en-US" w:eastAsia="zh-CN"/>
              </w:rPr>
              <w:t>5、支持对智能行为分析目标方向规则进行设置,可设置方向为A-&gt;B、B-&gt;A、A&lt;-&gt;B3种规则;支持灵敏度设置0~10</w:t>
            </w:r>
          </w:p>
          <w:p w14:paraId="446CA70F">
            <w:pPr>
              <w:pageBreakBefore w:val="0"/>
              <w:widowControl w:val="0"/>
              <w:kinsoku/>
              <w:wordWrap/>
              <w:overflowPunct/>
              <w:topLinePunct w:val="0"/>
              <w:autoSpaceDE/>
              <w:autoSpaceDN/>
              <w:bidi w:val="0"/>
              <w:adjustRightInd/>
              <w:snapToGrid/>
              <w:spacing w:before="0" w:after="0" w:line="360" w:lineRule="auto"/>
              <w:ind w:firstLine="420" w:firstLineChars="200"/>
              <w:jc w:val="both"/>
              <w:textAlignment w:val="auto"/>
              <w:rPr>
                <w:rFonts w:hint="eastAsia"/>
                <w:sz w:val="21"/>
                <w:szCs w:val="21"/>
                <w:highlight w:val="none"/>
                <w:lang w:val="en-US" w:eastAsia="zh-CN"/>
              </w:rPr>
            </w:pPr>
            <w:r>
              <w:rPr>
                <w:rFonts w:hint="eastAsia"/>
                <w:sz w:val="21"/>
                <w:szCs w:val="21"/>
                <w:highlight w:val="none"/>
                <w:lang w:val="en-US" w:eastAsia="zh-CN"/>
              </w:rPr>
              <w:t>6、可对目标大小(像素值)范围进行设置,使设备只对预设大小(像素值)范围内的人员及机动车辆进行检测，设备可同时采用DC12V电源与POE供电,当一路电源停止供电后,设备可正常工作</w:t>
            </w:r>
          </w:p>
          <w:p w14:paraId="5A0CA073">
            <w:pPr>
              <w:pageBreakBefore w:val="0"/>
              <w:widowControl w:val="0"/>
              <w:kinsoku/>
              <w:wordWrap/>
              <w:overflowPunct/>
              <w:topLinePunct w:val="0"/>
              <w:autoSpaceDE/>
              <w:autoSpaceDN/>
              <w:bidi w:val="0"/>
              <w:adjustRightInd/>
              <w:snapToGrid/>
              <w:spacing w:before="0" w:after="0" w:line="360" w:lineRule="auto"/>
              <w:ind w:firstLine="420" w:firstLineChars="200"/>
              <w:jc w:val="both"/>
              <w:textAlignment w:val="auto"/>
              <w:rPr>
                <w:rFonts w:hint="eastAsia"/>
                <w:sz w:val="21"/>
                <w:szCs w:val="21"/>
                <w:highlight w:val="none"/>
                <w:lang w:val="en-US" w:eastAsia="zh-CN"/>
              </w:rPr>
            </w:pPr>
            <w:r>
              <w:rPr>
                <w:rFonts w:hint="eastAsia"/>
                <w:sz w:val="21"/>
                <w:szCs w:val="21"/>
                <w:highlight w:val="none"/>
                <w:lang w:val="en-US" w:eastAsia="zh-CN"/>
              </w:rPr>
              <w:t>7、内置≥1个麦克风，支持IP67防护等级</w:t>
            </w:r>
          </w:p>
          <w:p w14:paraId="1FE2FADE">
            <w:pPr>
              <w:pStyle w:val="3"/>
              <w:pageBreakBefore w:val="0"/>
              <w:widowControl w:val="0"/>
              <w:numPr>
                <w:ilvl w:val="0"/>
                <w:numId w:val="0"/>
              </w:numPr>
              <w:kinsoku/>
              <w:wordWrap/>
              <w:overflowPunct/>
              <w:topLinePunct w:val="0"/>
              <w:autoSpaceDE/>
              <w:autoSpaceDN/>
              <w:bidi w:val="0"/>
              <w:adjustRightInd/>
              <w:snapToGrid/>
              <w:spacing w:before="0" w:after="0" w:line="360" w:lineRule="auto"/>
              <w:ind w:firstLine="422" w:firstLineChars="200"/>
              <w:jc w:val="both"/>
              <w:textAlignment w:val="auto"/>
              <w:rPr>
                <w:rFonts w:hint="eastAsia"/>
                <w:sz w:val="21"/>
                <w:szCs w:val="21"/>
                <w:highlight w:val="none"/>
                <w:lang w:val="en-US" w:eastAsia="zh-CN"/>
              </w:rPr>
            </w:pPr>
            <w:r>
              <w:rPr>
                <w:rFonts w:hint="eastAsia"/>
                <w:sz w:val="21"/>
                <w:szCs w:val="21"/>
                <w:highlight w:val="none"/>
                <w:lang w:val="en-US" w:eastAsia="zh-CN"/>
              </w:rPr>
              <w:t>（四）400万智能双光变焦枪型网络摄像机备件服务：</w:t>
            </w:r>
          </w:p>
          <w:p w14:paraId="1928A229">
            <w:pPr>
              <w:pageBreakBefore w:val="0"/>
              <w:widowControl w:val="0"/>
              <w:kinsoku/>
              <w:wordWrap/>
              <w:overflowPunct/>
              <w:topLinePunct w:val="0"/>
              <w:autoSpaceDE/>
              <w:autoSpaceDN/>
              <w:bidi w:val="0"/>
              <w:adjustRightInd/>
              <w:snapToGrid/>
              <w:spacing w:before="0" w:after="0" w:line="360" w:lineRule="auto"/>
              <w:ind w:firstLine="420" w:firstLineChars="200"/>
              <w:jc w:val="both"/>
              <w:textAlignment w:val="auto"/>
              <w:rPr>
                <w:rFonts w:hint="eastAsia"/>
                <w:sz w:val="21"/>
                <w:szCs w:val="21"/>
                <w:highlight w:val="none"/>
                <w:lang w:val="en-US" w:eastAsia="zh-CN"/>
              </w:rPr>
            </w:pPr>
            <w:r>
              <w:rPr>
                <w:rFonts w:hint="eastAsia"/>
                <w:sz w:val="21"/>
                <w:szCs w:val="21"/>
                <w:highlight w:val="none"/>
                <w:lang w:val="en-US" w:eastAsia="zh-CN"/>
              </w:rPr>
              <w:t>1、支持输出分辨率≥2688×1520，支持五码流</w:t>
            </w:r>
          </w:p>
          <w:p w14:paraId="1ECE3E4C">
            <w:pPr>
              <w:keepNext w:val="0"/>
              <w:keepLines w:val="0"/>
              <w:pageBreakBefore w:val="0"/>
              <w:widowControl w:val="0"/>
              <w:kinsoku/>
              <w:wordWrap/>
              <w:overflowPunct/>
              <w:topLinePunct w:val="0"/>
              <w:autoSpaceDE/>
              <w:autoSpaceDN/>
              <w:bidi w:val="0"/>
              <w:adjustRightInd/>
              <w:snapToGrid/>
              <w:spacing w:before="0" w:after="0" w:line="360" w:lineRule="auto"/>
              <w:ind w:firstLine="420" w:firstLineChars="200"/>
              <w:jc w:val="both"/>
              <w:textAlignment w:val="auto"/>
              <w:rPr>
                <w:rFonts w:hint="eastAsia"/>
                <w:sz w:val="21"/>
                <w:szCs w:val="21"/>
                <w:highlight w:val="none"/>
                <w:lang w:val="en-US" w:eastAsia="zh-CN"/>
              </w:rPr>
            </w:pPr>
            <w:r>
              <w:rPr>
                <w:rFonts w:hint="eastAsia"/>
                <w:sz w:val="21"/>
                <w:szCs w:val="21"/>
                <w:highlight w:val="none"/>
                <w:lang w:val="en-US" w:eastAsia="zh-CN"/>
              </w:rPr>
              <w:t>2、支持报警3进2出，双MIC，扬声器，音频2进1出，485，BNC，支持≥512GMicroSD卡</w:t>
            </w:r>
          </w:p>
          <w:p w14:paraId="6C69D55C">
            <w:pPr>
              <w:keepNext w:val="0"/>
              <w:keepLines w:val="0"/>
              <w:pageBreakBefore w:val="0"/>
              <w:widowControl w:val="0"/>
              <w:kinsoku/>
              <w:wordWrap/>
              <w:overflowPunct/>
              <w:topLinePunct w:val="0"/>
              <w:autoSpaceDE/>
              <w:autoSpaceDN/>
              <w:bidi w:val="0"/>
              <w:adjustRightInd/>
              <w:snapToGrid/>
              <w:spacing w:before="0" w:after="0" w:line="360" w:lineRule="auto"/>
              <w:ind w:firstLine="420" w:firstLineChars="200"/>
              <w:jc w:val="both"/>
              <w:textAlignment w:val="auto"/>
              <w:rPr>
                <w:rFonts w:hint="eastAsia"/>
                <w:sz w:val="21"/>
                <w:szCs w:val="21"/>
                <w:highlight w:val="none"/>
                <w:lang w:val="en-US" w:eastAsia="zh-CN"/>
              </w:rPr>
            </w:pPr>
            <w:r>
              <w:rPr>
                <w:rFonts w:hint="eastAsia"/>
                <w:sz w:val="21"/>
                <w:szCs w:val="21"/>
                <w:highlight w:val="none"/>
                <w:lang w:val="en-US" w:eastAsia="zh-CN"/>
              </w:rPr>
              <w:t>3、支持六种智能资源切换：通用行为分析、人脸检测、人脸识别、视频结构化、人数统计、道路监控</w:t>
            </w:r>
          </w:p>
          <w:p w14:paraId="3143454E">
            <w:pPr>
              <w:keepNext w:val="0"/>
              <w:keepLines w:val="0"/>
              <w:pageBreakBefore w:val="0"/>
              <w:widowControl w:val="0"/>
              <w:kinsoku/>
              <w:wordWrap/>
              <w:overflowPunct/>
              <w:topLinePunct w:val="0"/>
              <w:autoSpaceDE/>
              <w:autoSpaceDN/>
              <w:bidi w:val="0"/>
              <w:adjustRightInd/>
              <w:snapToGrid/>
              <w:spacing w:before="0" w:after="0" w:line="360" w:lineRule="auto"/>
              <w:ind w:firstLine="420" w:firstLineChars="200"/>
              <w:jc w:val="both"/>
              <w:textAlignment w:val="auto"/>
              <w:rPr>
                <w:rFonts w:hint="eastAsia"/>
                <w:sz w:val="21"/>
                <w:szCs w:val="21"/>
                <w:highlight w:val="none"/>
                <w:lang w:val="en-US" w:eastAsia="zh-CN"/>
              </w:rPr>
            </w:pPr>
            <w:r>
              <w:rPr>
                <w:rFonts w:hint="eastAsia"/>
                <w:sz w:val="21"/>
                <w:szCs w:val="21"/>
                <w:highlight w:val="none"/>
                <w:lang w:val="en-US" w:eastAsia="zh-CN"/>
              </w:rPr>
              <w:t>4、支持声光报警联动，可触发联动声音警报和灯光闪烁；支持DC12V/AC24V/POE三合一供电方式，支持12V电源返送</w:t>
            </w:r>
          </w:p>
          <w:p w14:paraId="66A0E639">
            <w:pPr>
              <w:pStyle w:val="12"/>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
                <w:bCs/>
                <w:sz w:val="21"/>
                <w:szCs w:val="21"/>
                <w:highlight w:val="none"/>
                <w:lang w:val="en-US" w:eastAsia="zh-CN"/>
              </w:rPr>
            </w:pPr>
            <w:r>
              <w:rPr>
                <w:rFonts w:hint="eastAsia"/>
                <w:sz w:val="21"/>
                <w:szCs w:val="21"/>
                <w:highlight w:val="none"/>
                <w:lang w:val="en-US" w:eastAsia="zh-CN"/>
              </w:rPr>
              <w:t>■5、支持补光灯表面为微四边形阵列，采用多层透镜结构；在环境光照度低于50lx，可对速度≥40km/h的机动车，速度≤25km/h的非机动车，速度≤5km/h的行人三种同时经过画面的目标进行分类曝光，可抓拍人脸、人体、非机动车和机动车目标，抓拍的人脸和车牌号码图片应清晰可辨，无过曝、欠曝情况</w:t>
            </w:r>
            <w:r>
              <w:rPr>
                <w:rFonts w:hint="eastAsia"/>
                <w:b/>
                <w:bCs/>
                <w:sz w:val="21"/>
                <w:szCs w:val="21"/>
                <w:highlight w:val="none"/>
                <w:lang w:val="en-US" w:eastAsia="zh-CN"/>
              </w:rPr>
              <w:t>（</w:t>
            </w:r>
            <w:r>
              <w:rPr>
                <w:rFonts w:hint="eastAsia"/>
                <w:b/>
                <w:bCs/>
                <w:color w:val="auto"/>
                <w:szCs w:val="21"/>
                <w:highlight w:val="none"/>
                <w:lang w:val="en-US" w:eastAsia="zh-CN"/>
              </w:rPr>
              <w:t>响应文件中</w:t>
            </w:r>
            <w:r>
              <w:rPr>
                <w:rFonts w:hint="eastAsia"/>
                <w:b/>
                <w:bCs/>
                <w:color w:val="auto"/>
                <w:szCs w:val="21"/>
                <w:highlight w:val="none"/>
                <w:lang w:eastAsia="zh-CN"/>
              </w:rPr>
              <w:t>需提供国家认可的第三方检测机构出具的</w:t>
            </w:r>
            <w:r>
              <w:rPr>
                <w:rFonts w:hint="eastAsia" w:ascii="宋体" w:hAnsi="宋体" w:cs="宋体"/>
                <w:b/>
                <w:bCs/>
                <w:color w:val="auto"/>
                <w:szCs w:val="21"/>
                <w:highlight w:val="none"/>
                <w:lang w:val="en-US" w:eastAsia="zh-CN"/>
              </w:rPr>
              <w:t>关于上述功能的有效的检测报告，</w:t>
            </w:r>
            <w:r>
              <w:rPr>
                <w:b/>
                <w:bCs/>
                <w:color w:val="auto"/>
                <w:szCs w:val="21"/>
                <w:highlight w:val="none"/>
              </w:rPr>
              <w:t>并加盖</w:t>
            </w:r>
            <w:r>
              <w:rPr>
                <w:rFonts w:hint="eastAsia"/>
                <w:b/>
                <w:bCs/>
                <w:color w:val="auto"/>
                <w:szCs w:val="21"/>
                <w:highlight w:val="none"/>
                <w:lang w:eastAsia="zh-CN"/>
              </w:rPr>
              <w:t>供应商公章（或电子签章），</w:t>
            </w:r>
            <w:r>
              <w:rPr>
                <w:rFonts w:hint="eastAsia"/>
                <w:b/>
                <w:bCs/>
                <w:color w:val="auto"/>
                <w:szCs w:val="21"/>
                <w:highlight w:val="none"/>
                <w:lang w:val="en-US" w:eastAsia="zh-CN"/>
              </w:rPr>
              <w:t>否则不予计分</w:t>
            </w:r>
            <w:r>
              <w:rPr>
                <w:rFonts w:hint="eastAsia" w:ascii="宋体" w:hAnsi="宋体" w:cs="宋体"/>
                <w:b/>
                <w:bCs/>
                <w:color w:val="auto"/>
                <w:szCs w:val="21"/>
                <w:highlight w:val="none"/>
                <w:lang w:eastAsia="zh-CN"/>
              </w:rPr>
              <w:t>。</w:t>
            </w:r>
            <w:r>
              <w:rPr>
                <w:rFonts w:hint="eastAsia"/>
                <w:b/>
                <w:bCs/>
                <w:sz w:val="21"/>
                <w:szCs w:val="21"/>
                <w:highlight w:val="none"/>
                <w:lang w:val="en-US" w:eastAsia="zh-CN"/>
              </w:rPr>
              <w:t>）</w:t>
            </w:r>
          </w:p>
          <w:p w14:paraId="27D28BCC">
            <w:pPr>
              <w:pStyle w:val="12"/>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
                <w:bCs/>
                <w:sz w:val="21"/>
                <w:szCs w:val="21"/>
                <w:highlight w:val="none"/>
                <w:lang w:val="en-US" w:eastAsia="zh-CN"/>
              </w:rPr>
            </w:pPr>
            <w:r>
              <w:rPr>
                <w:rFonts w:hint="eastAsia"/>
                <w:sz w:val="21"/>
                <w:szCs w:val="21"/>
                <w:highlight w:val="none"/>
                <w:lang w:val="en-US" w:eastAsia="zh-CN"/>
              </w:rPr>
              <w:t>■6、支持相同照度场景下，速度不同的运动目标，同时经过监控画面时，相机可自适应控制≥2套快门曝光时间，来适配不同速度目标，以保证抓拍目标图片效果；嵌入两种不同形状灯杯共四颗补光灯，组成的一体化透镜，可覆盖近景和远景补光，补光灯光线照射方向与灯珠方向一致</w:t>
            </w:r>
            <w:r>
              <w:rPr>
                <w:rFonts w:hint="eastAsia"/>
                <w:b/>
                <w:bCs/>
                <w:sz w:val="21"/>
                <w:szCs w:val="21"/>
                <w:highlight w:val="none"/>
                <w:lang w:val="en-US" w:eastAsia="zh-CN"/>
              </w:rPr>
              <w:t>（</w:t>
            </w:r>
            <w:r>
              <w:rPr>
                <w:rFonts w:hint="eastAsia"/>
                <w:b/>
                <w:bCs/>
                <w:color w:val="auto"/>
                <w:szCs w:val="21"/>
                <w:highlight w:val="none"/>
                <w:lang w:val="en-US" w:eastAsia="zh-CN"/>
              </w:rPr>
              <w:t>响应文件中</w:t>
            </w:r>
            <w:r>
              <w:rPr>
                <w:rFonts w:hint="eastAsia"/>
                <w:b/>
                <w:bCs/>
                <w:color w:val="auto"/>
                <w:szCs w:val="21"/>
                <w:highlight w:val="none"/>
                <w:lang w:eastAsia="zh-CN"/>
              </w:rPr>
              <w:t>需提供国家认可的第三方检测机构出具的</w:t>
            </w:r>
            <w:r>
              <w:rPr>
                <w:rFonts w:hint="eastAsia" w:ascii="宋体" w:hAnsi="宋体" w:cs="宋体"/>
                <w:b/>
                <w:bCs/>
                <w:color w:val="auto"/>
                <w:szCs w:val="21"/>
                <w:highlight w:val="none"/>
                <w:lang w:val="en-US" w:eastAsia="zh-CN"/>
              </w:rPr>
              <w:t>关于上述功能的有效的检测报告，</w:t>
            </w:r>
            <w:r>
              <w:rPr>
                <w:b/>
                <w:bCs/>
                <w:color w:val="auto"/>
                <w:szCs w:val="21"/>
                <w:highlight w:val="none"/>
              </w:rPr>
              <w:t>并加盖</w:t>
            </w:r>
            <w:r>
              <w:rPr>
                <w:rFonts w:hint="eastAsia"/>
                <w:b/>
                <w:bCs/>
                <w:color w:val="auto"/>
                <w:szCs w:val="21"/>
                <w:highlight w:val="none"/>
                <w:lang w:eastAsia="zh-CN"/>
              </w:rPr>
              <w:t>供应商公章（或电子签章），</w:t>
            </w:r>
            <w:r>
              <w:rPr>
                <w:rFonts w:hint="eastAsia"/>
                <w:b/>
                <w:bCs/>
                <w:color w:val="auto"/>
                <w:szCs w:val="21"/>
                <w:highlight w:val="none"/>
                <w:lang w:val="en-US" w:eastAsia="zh-CN"/>
              </w:rPr>
              <w:t>否则不予计分</w:t>
            </w:r>
            <w:r>
              <w:rPr>
                <w:rFonts w:hint="eastAsia" w:ascii="宋体" w:hAnsi="宋体" w:cs="宋体"/>
                <w:b/>
                <w:bCs/>
                <w:color w:val="auto"/>
                <w:szCs w:val="21"/>
                <w:highlight w:val="none"/>
                <w:lang w:eastAsia="zh-CN"/>
              </w:rPr>
              <w:t>。</w:t>
            </w:r>
            <w:r>
              <w:rPr>
                <w:rFonts w:hint="eastAsia"/>
                <w:b/>
                <w:bCs/>
                <w:sz w:val="21"/>
                <w:szCs w:val="21"/>
                <w:highlight w:val="none"/>
                <w:lang w:val="en-US" w:eastAsia="zh-CN"/>
              </w:rPr>
              <w:t>）</w:t>
            </w:r>
          </w:p>
          <w:p w14:paraId="486363C7">
            <w:pPr>
              <w:pageBreakBefore w:val="0"/>
              <w:widowControl w:val="0"/>
              <w:kinsoku/>
              <w:wordWrap/>
              <w:overflowPunct/>
              <w:topLinePunct w:val="0"/>
              <w:autoSpaceDE/>
              <w:autoSpaceDN/>
              <w:bidi w:val="0"/>
              <w:adjustRightInd/>
              <w:snapToGrid/>
              <w:spacing w:before="0" w:after="0" w:line="360" w:lineRule="auto"/>
              <w:ind w:firstLine="420" w:firstLineChars="200"/>
              <w:jc w:val="both"/>
              <w:textAlignment w:val="auto"/>
              <w:rPr>
                <w:rFonts w:hint="eastAsia"/>
                <w:sz w:val="21"/>
                <w:szCs w:val="21"/>
                <w:highlight w:val="none"/>
                <w:lang w:val="en-US" w:eastAsia="zh-CN"/>
              </w:rPr>
            </w:pPr>
            <w:r>
              <w:rPr>
                <w:rFonts w:hint="eastAsia"/>
                <w:sz w:val="21"/>
                <w:szCs w:val="21"/>
                <w:highlight w:val="none"/>
                <w:lang w:val="en-US" w:eastAsia="zh-CN"/>
              </w:rPr>
              <w:t>7、支持设置网卡混杂模式检查、系统敏感文件检查、非法超级账户检测、僵尸网络检测、Rootkit检测、程序白名单、挖矿恶意进程检测、隐藏进程检测等设备功能</w:t>
            </w:r>
          </w:p>
          <w:p w14:paraId="775400BA">
            <w:pPr>
              <w:pageBreakBefore w:val="0"/>
              <w:widowControl w:val="0"/>
              <w:kinsoku/>
              <w:wordWrap/>
              <w:overflowPunct/>
              <w:topLinePunct w:val="0"/>
              <w:autoSpaceDE/>
              <w:autoSpaceDN/>
              <w:bidi w:val="0"/>
              <w:adjustRightInd/>
              <w:snapToGrid/>
              <w:spacing w:before="0" w:after="0" w:line="360" w:lineRule="auto"/>
              <w:ind w:firstLine="420" w:firstLineChars="200"/>
              <w:jc w:val="both"/>
              <w:textAlignment w:val="auto"/>
              <w:rPr>
                <w:rFonts w:hint="eastAsia"/>
                <w:sz w:val="21"/>
                <w:szCs w:val="21"/>
                <w:highlight w:val="none"/>
                <w:lang w:val="en-US" w:eastAsia="zh-CN"/>
              </w:rPr>
            </w:pPr>
            <w:r>
              <w:rPr>
                <w:rFonts w:hint="eastAsia"/>
                <w:sz w:val="21"/>
                <w:szCs w:val="21"/>
                <w:highlight w:val="none"/>
                <w:lang w:val="en-US" w:eastAsia="zh-CN"/>
              </w:rPr>
              <w:t>8、支持对存储在SD卡中的录像，进行存储与下载加密。支持用户多次配置下载录像的加密密码，使用专用播放器播放下载录像时，必须输入加密密码。当启用该功能时，可在线预览SD卡中的录像；当关闭该功能时，无法在线预览SD卡中的录像</w:t>
            </w:r>
          </w:p>
          <w:p w14:paraId="131D17A5">
            <w:pPr>
              <w:pageBreakBefore w:val="0"/>
              <w:widowControl w:val="0"/>
              <w:kinsoku/>
              <w:wordWrap/>
              <w:overflowPunct/>
              <w:topLinePunct w:val="0"/>
              <w:autoSpaceDE/>
              <w:autoSpaceDN/>
              <w:bidi w:val="0"/>
              <w:adjustRightInd/>
              <w:snapToGrid/>
              <w:spacing w:before="0" w:after="0" w:line="360" w:lineRule="auto"/>
              <w:ind w:firstLine="420" w:firstLineChars="200"/>
              <w:jc w:val="both"/>
              <w:textAlignment w:val="auto"/>
              <w:rPr>
                <w:rFonts w:hint="eastAsia"/>
                <w:sz w:val="21"/>
                <w:szCs w:val="21"/>
                <w:highlight w:val="none"/>
                <w:lang w:val="en-US" w:eastAsia="zh-CN"/>
              </w:rPr>
            </w:pPr>
            <w:r>
              <w:rPr>
                <w:rFonts w:hint="eastAsia"/>
                <w:sz w:val="21"/>
                <w:szCs w:val="21"/>
                <w:highlight w:val="none"/>
                <w:lang w:val="en-US" w:eastAsia="zh-CN"/>
              </w:rPr>
              <w:t>9、支持补光灯开启后，无明显波纹状、圆环状、麻点状、条纹状及不规则亮斑</w:t>
            </w:r>
          </w:p>
          <w:p w14:paraId="2D646646">
            <w:pPr>
              <w:pageBreakBefore w:val="0"/>
              <w:widowControl w:val="0"/>
              <w:kinsoku/>
              <w:wordWrap/>
              <w:overflowPunct/>
              <w:topLinePunct w:val="0"/>
              <w:autoSpaceDE/>
              <w:autoSpaceDN/>
              <w:bidi w:val="0"/>
              <w:adjustRightInd/>
              <w:snapToGrid/>
              <w:spacing w:before="0" w:after="0" w:line="360" w:lineRule="auto"/>
              <w:ind w:firstLine="420" w:firstLineChars="200"/>
              <w:jc w:val="both"/>
              <w:textAlignment w:val="auto"/>
              <w:rPr>
                <w:rFonts w:hint="eastAsia"/>
                <w:sz w:val="21"/>
                <w:szCs w:val="21"/>
                <w:highlight w:val="none"/>
                <w:lang w:val="en-US" w:eastAsia="zh-CN"/>
              </w:rPr>
            </w:pPr>
            <w:r>
              <w:rPr>
                <w:rFonts w:hint="eastAsia"/>
                <w:sz w:val="21"/>
                <w:szCs w:val="21"/>
                <w:highlight w:val="none"/>
                <w:lang w:val="en-US" w:eastAsia="zh-CN"/>
              </w:rPr>
              <w:t>10、支持机动车、非机动车、人脸、人体检测；支持上报最优的人脸抓图支持机动车和非机动车属性提取，机动车支持≥7种属性，非机动车支持≥6种属性；支持人脸和人体属性提取，人脸支持≥6种属性，人体支持≥8种属性</w:t>
            </w:r>
          </w:p>
          <w:p w14:paraId="49059333">
            <w:pPr>
              <w:pStyle w:val="12"/>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
                <w:bCs/>
                <w:sz w:val="21"/>
                <w:szCs w:val="21"/>
                <w:highlight w:val="none"/>
                <w:lang w:val="en-US" w:eastAsia="zh-CN"/>
              </w:rPr>
            </w:pPr>
            <w:r>
              <w:rPr>
                <w:rFonts w:hint="eastAsia"/>
                <w:sz w:val="21"/>
                <w:szCs w:val="21"/>
                <w:highlight w:val="none"/>
                <w:lang w:val="en-US" w:eastAsia="zh-CN"/>
              </w:rPr>
              <w:t>■11、支持补光灯透镜采用微四边形阵列镜面，通过多层透镜组合，可消除监控画面中目标的眩光、杂光和亮点等现象；支持变焦镜头全焦段图像畸变校正功能，相机从短焦到长焦变倍全过程均可同步自动进行画面畸变校正，画面几何失真全焦段≤3%</w:t>
            </w:r>
            <w:r>
              <w:rPr>
                <w:rFonts w:hint="eastAsia"/>
                <w:b/>
                <w:bCs/>
                <w:sz w:val="21"/>
                <w:szCs w:val="21"/>
                <w:highlight w:val="none"/>
                <w:lang w:val="en-US" w:eastAsia="zh-CN"/>
              </w:rPr>
              <w:t>（</w:t>
            </w:r>
            <w:r>
              <w:rPr>
                <w:rFonts w:hint="eastAsia"/>
                <w:b/>
                <w:bCs/>
                <w:color w:val="auto"/>
                <w:szCs w:val="21"/>
                <w:highlight w:val="none"/>
                <w:lang w:val="en-US" w:eastAsia="zh-CN"/>
              </w:rPr>
              <w:t>响应文件中</w:t>
            </w:r>
            <w:r>
              <w:rPr>
                <w:rFonts w:hint="eastAsia"/>
                <w:b/>
                <w:bCs/>
                <w:color w:val="auto"/>
                <w:szCs w:val="21"/>
                <w:highlight w:val="none"/>
                <w:lang w:eastAsia="zh-CN"/>
              </w:rPr>
              <w:t>需提供国家认可的第三方检测机构出具的</w:t>
            </w:r>
            <w:r>
              <w:rPr>
                <w:rFonts w:hint="eastAsia" w:ascii="宋体" w:hAnsi="宋体" w:cs="宋体"/>
                <w:b/>
                <w:bCs/>
                <w:color w:val="auto"/>
                <w:szCs w:val="21"/>
                <w:highlight w:val="none"/>
                <w:lang w:val="en-US" w:eastAsia="zh-CN"/>
              </w:rPr>
              <w:t>关于上述功能的有效的检测报告，</w:t>
            </w:r>
            <w:r>
              <w:rPr>
                <w:b/>
                <w:bCs/>
                <w:color w:val="auto"/>
                <w:szCs w:val="21"/>
                <w:highlight w:val="none"/>
              </w:rPr>
              <w:t>并加盖</w:t>
            </w:r>
            <w:r>
              <w:rPr>
                <w:rFonts w:hint="eastAsia"/>
                <w:b/>
                <w:bCs/>
                <w:color w:val="auto"/>
                <w:szCs w:val="21"/>
                <w:highlight w:val="none"/>
                <w:lang w:eastAsia="zh-CN"/>
              </w:rPr>
              <w:t>供应商公章（或电子签章），</w:t>
            </w:r>
            <w:r>
              <w:rPr>
                <w:rFonts w:hint="eastAsia"/>
                <w:b/>
                <w:bCs/>
                <w:color w:val="auto"/>
                <w:szCs w:val="21"/>
                <w:highlight w:val="none"/>
                <w:lang w:val="en-US" w:eastAsia="zh-CN"/>
              </w:rPr>
              <w:t>否则不予计分</w:t>
            </w:r>
            <w:r>
              <w:rPr>
                <w:rFonts w:hint="eastAsia" w:ascii="宋体" w:hAnsi="宋体" w:cs="宋体"/>
                <w:b/>
                <w:bCs/>
                <w:color w:val="auto"/>
                <w:szCs w:val="21"/>
                <w:highlight w:val="none"/>
                <w:lang w:eastAsia="zh-CN"/>
              </w:rPr>
              <w:t>。</w:t>
            </w:r>
            <w:r>
              <w:rPr>
                <w:rFonts w:hint="eastAsia"/>
                <w:b/>
                <w:bCs/>
                <w:sz w:val="21"/>
                <w:szCs w:val="21"/>
                <w:highlight w:val="none"/>
                <w:lang w:val="en-US" w:eastAsia="zh-CN"/>
              </w:rPr>
              <w:t>）</w:t>
            </w:r>
          </w:p>
          <w:p w14:paraId="63A148B8">
            <w:pPr>
              <w:pageBreakBefore w:val="0"/>
              <w:widowControl w:val="0"/>
              <w:kinsoku/>
              <w:wordWrap/>
              <w:overflowPunct/>
              <w:topLinePunct w:val="0"/>
              <w:autoSpaceDE/>
              <w:autoSpaceDN/>
              <w:bidi w:val="0"/>
              <w:adjustRightInd/>
              <w:snapToGrid/>
              <w:spacing w:before="0" w:after="0" w:line="360" w:lineRule="auto"/>
              <w:ind w:firstLine="420" w:firstLineChars="200"/>
              <w:jc w:val="both"/>
              <w:textAlignment w:val="auto"/>
              <w:rPr>
                <w:rFonts w:hint="eastAsia"/>
                <w:b/>
                <w:bCs/>
                <w:sz w:val="21"/>
                <w:szCs w:val="21"/>
                <w:highlight w:val="none"/>
                <w:lang w:val="en-US" w:eastAsia="zh-CN"/>
              </w:rPr>
            </w:pPr>
            <w:r>
              <w:rPr>
                <w:rFonts w:hint="eastAsia"/>
                <w:sz w:val="21"/>
                <w:szCs w:val="21"/>
                <w:highlight w:val="none"/>
                <w:lang w:val="en-US" w:eastAsia="zh-CN"/>
              </w:rPr>
              <w:t>■12、支持0.001lux照度下，可自动提升视频画面中人脸与人体目标的亮度；支持场景大模型算法，开启环境自适应功能后，可自动识别不同环境光的监控场景并切换图像配置，包括宽动态、曝光、增益等参数</w:t>
            </w:r>
            <w:r>
              <w:rPr>
                <w:rFonts w:hint="eastAsia"/>
                <w:b/>
                <w:bCs/>
                <w:sz w:val="21"/>
                <w:szCs w:val="21"/>
                <w:highlight w:val="none"/>
                <w:lang w:val="en-US" w:eastAsia="zh-CN"/>
              </w:rPr>
              <w:t>（</w:t>
            </w:r>
            <w:r>
              <w:rPr>
                <w:rFonts w:hint="eastAsia"/>
                <w:b/>
                <w:bCs/>
                <w:color w:val="auto"/>
                <w:szCs w:val="21"/>
                <w:highlight w:val="none"/>
                <w:lang w:val="en-US" w:eastAsia="zh-CN"/>
              </w:rPr>
              <w:t>响应文件中</w:t>
            </w:r>
            <w:r>
              <w:rPr>
                <w:rFonts w:hint="eastAsia"/>
                <w:b/>
                <w:bCs/>
                <w:color w:val="auto"/>
                <w:szCs w:val="21"/>
                <w:highlight w:val="none"/>
                <w:lang w:eastAsia="zh-CN"/>
              </w:rPr>
              <w:t>需提供国家认可的第三方检测机构出具的</w:t>
            </w:r>
            <w:r>
              <w:rPr>
                <w:rFonts w:hint="eastAsia" w:ascii="宋体" w:hAnsi="宋体" w:cs="宋体"/>
                <w:b/>
                <w:bCs/>
                <w:color w:val="auto"/>
                <w:szCs w:val="21"/>
                <w:highlight w:val="none"/>
                <w:lang w:val="en-US" w:eastAsia="zh-CN"/>
              </w:rPr>
              <w:t>关于上述功能的有效的检测报告，</w:t>
            </w:r>
            <w:r>
              <w:rPr>
                <w:b/>
                <w:bCs/>
                <w:color w:val="auto"/>
                <w:szCs w:val="21"/>
                <w:highlight w:val="none"/>
              </w:rPr>
              <w:t>并加盖</w:t>
            </w:r>
            <w:r>
              <w:rPr>
                <w:rFonts w:hint="eastAsia"/>
                <w:b/>
                <w:bCs/>
                <w:color w:val="auto"/>
                <w:szCs w:val="21"/>
                <w:highlight w:val="none"/>
                <w:lang w:eastAsia="zh-CN"/>
              </w:rPr>
              <w:t>供应商公章（或电子签章），</w:t>
            </w:r>
            <w:r>
              <w:rPr>
                <w:rFonts w:hint="eastAsia"/>
                <w:b/>
                <w:bCs/>
                <w:color w:val="auto"/>
                <w:szCs w:val="21"/>
                <w:highlight w:val="none"/>
                <w:lang w:val="en-US" w:eastAsia="zh-CN"/>
              </w:rPr>
              <w:t>否则不予计分</w:t>
            </w:r>
            <w:r>
              <w:rPr>
                <w:rFonts w:hint="eastAsia" w:ascii="宋体" w:hAnsi="宋体" w:cs="宋体"/>
                <w:b/>
                <w:bCs/>
                <w:color w:val="auto"/>
                <w:szCs w:val="21"/>
                <w:highlight w:val="none"/>
                <w:lang w:eastAsia="zh-CN"/>
              </w:rPr>
              <w:t>。</w:t>
            </w:r>
            <w:r>
              <w:rPr>
                <w:rFonts w:hint="eastAsia"/>
                <w:b/>
                <w:bCs/>
                <w:sz w:val="21"/>
                <w:szCs w:val="21"/>
                <w:highlight w:val="none"/>
                <w:lang w:val="en-US" w:eastAsia="zh-CN"/>
              </w:rPr>
              <w:t>）</w:t>
            </w:r>
          </w:p>
          <w:p w14:paraId="3766EFDB">
            <w:pPr>
              <w:pStyle w:val="3"/>
              <w:pageBreakBefore w:val="0"/>
              <w:widowControl w:val="0"/>
              <w:numPr>
                <w:ilvl w:val="0"/>
                <w:numId w:val="0"/>
              </w:numPr>
              <w:kinsoku/>
              <w:wordWrap/>
              <w:overflowPunct/>
              <w:topLinePunct w:val="0"/>
              <w:autoSpaceDE/>
              <w:autoSpaceDN/>
              <w:bidi w:val="0"/>
              <w:adjustRightInd/>
              <w:snapToGrid/>
              <w:spacing w:before="0" w:after="0" w:line="360" w:lineRule="auto"/>
              <w:ind w:firstLine="422" w:firstLineChars="200"/>
              <w:jc w:val="both"/>
              <w:textAlignment w:val="auto"/>
              <w:rPr>
                <w:rFonts w:hint="eastAsia"/>
                <w:sz w:val="21"/>
                <w:szCs w:val="21"/>
                <w:highlight w:val="none"/>
                <w:lang w:val="en-US" w:eastAsia="zh-CN"/>
              </w:rPr>
            </w:pPr>
            <w:r>
              <w:rPr>
                <w:rFonts w:hint="eastAsia"/>
                <w:sz w:val="21"/>
                <w:szCs w:val="21"/>
                <w:highlight w:val="none"/>
                <w:lang w:val="en-US" w:eastAsia="zh-CN"/>
              </w:rPr>
              <w:t>（五）终端防雷服务，须满足以下参数及功能：</w:t>
            </w:r>
          </w:p>
          <w:p w14:paraId="461FB6D7">
            <w:pPr>
              <w:pageBreakBefore w:val="0"/>
              <w:widowControl w:val="0"/>
              <w:kinsoku/>
              <w:wordWrap/>
              <w:overflowPunct/>
              <w:topLinePunct w:val="0"/>
              <w:autoSpaceDE/>
              <w:autoSpaceDN/>
              <w:bidi w:val="0"/>
              <w:adjustRightInd/>
              <w:snapToGrid/>
              <w:spacing w:before="0" w:after="0" w:line="360" w:lineRule="auto"/>
              <w:ind w:firstLine="420" w:firstLineChars="200"/>
              <w:jc w:val="both"/>
              <w:textAlignment w:val="auto"/>
              <w:rPr>
                <w:rFonts w:hint="eastAsia"/>
                <w:sz w:val="21"/>
                <w:szCs w:val="21"/>
                <w:highlight w:val="none"/>
                <w:lang w:val="en-US" w:eastAsia="zh-CN"/>
              </w:rPr>
            </w:pPr>
            <w:r>
              <w:rPr>
                <w:rFonts w:hint="eastAsia"/>
                <w:sz w:val="21"/>
                <w:szCs w:val="21"/>
                <w:highlight w:val="none"/>
                <w:lang w:val="en-US" w:eastAsia="zh-CN"/>
              </w:rPr>
              <w:t>一、硬件参数：</w:t>
            </w:r>
          </w:p>
          <w:p w14:paraId="0E3A5E6A">
            <w:pPr>
              <w:pageBreakBefore w:val="0"/>
              <w:widowControl w:val="0"/>
              <w:kinsoku/>
              <w:wordWrap/>
              <w:overflowPunct/>
              <w:topLinePunct w:val="0"/>
              <w:autoSpaceDE/>
              <w:autoSpaceDN/>
              <w:bidi w:val="0"/>
              <w:adjustRightInd/>
              <w:snapToGrid/>
              <w:spacing w:before="0" w:after="0" w:line="360" w:lineRule="auto"/>
              <w:ind w:firstLine="420" w:firstLineChars="200"/>
              <w:jc w:val="both"/>
              <w:textAlignment w:val="auto"/>
              <w:rPr>
                <w:rFonts w:hint="eastAsia"/>
                <w:sz w:val="21"/>
                <w:szCs w:val="21"/>
                <w:highlight w:val="none"/>
                <w:lang w:val="en-US" w:eastAsia="zh-CN"/>
              </w:rPr>
            </w:pPr>
            <w:r>
              <w:rPr>
                <w:rFonts w:hint="eastAsia"/>
                <w:sz w:val="21"/>
                <w:szCs w:val="21"/>
                <w:highlight w:val="none"/>
                <w:lang w:val="en-US" w:eastAsia="zh-CN"/>
              </w:rPr>
              <w:t>电源额定工作电压：220V（220V电源插头公头接入、母头输出）</w:t>
            </w:r>
          </w:p>
          <w:p w14:paraId="5743759C">
            <w:pPr>
              <w:pageBreakBefore w:val="0"/>
              <w:widowControl w:val="0"/>
              <w:kinsoku/>
              <w:wordWrap/>
              <w:overflowPunct/>
              <w:topLinePunct w:val="0"/>
              <w:autoSpaceDE/>
              <w:autoSpaceDN/>
              <w:bidi w:val="0"/>
              <w:adjustRightInd/>
              <w:snapToGrid/>
              <w:spacing w:before="0" w:after="0" w:line="360" w:lineRule="auto"/>
              <w:ind w:firstLine="420" w:firstLineChars="200"/>
              <w:jc w:val="both"/>
              <w:textAlignment w:val="auto"/>
              <w:rPr>
                <w:rFonts w:hint="eastAsia"/>
                <w:sz w:val="21"/>
                <w:szCs w:val="21"/>
                <w:highlight w:val="none"/>
                <w:lang w:val="en-US" w:eastAsia="zh-CN"/>
              </w:rPr>
            </w:pPr>
            <w:r>
              <w:rPr>
                <w:rFonts w:hint="eastAsia"/>
                <w:sz w:val="21"/>
                <w:szCs w:val="21"/>
                <w:highlight w:val="none"/>
                <w:lang w:val="en-US" w:eastAsia="zh-CN"/>
              </w:rPr>
              <w:t>网络额定工作电压：5V，2路RJ45口（一进一出）</w:t>
            </w:r>
          </w:p>
          <w:p w14:paraId="34499FC3">
            <w:pPr>
              <w:pageBreakBefore w:val="0"/>
              <w:widowControl w:val="0"/>
              <w:kinsoku/>
              <w:wordWrap/>
              <w:overflowPunct/>
              <w:topLinePunct w:val="0"/>
              <w:autoSpaceDE/>
              <w:autoSpaceDN/>
              <w:bidi w:val="0"/>
              <w:adjustRightInd/>
              <w:snapToGrid/>
              <w:spacing w:before="0" w:after="0" w:line="360" w:lineRule="auto"/>
              <w:ind w:firstLine="420" w:firstLineChars="200"/>
              <w:jc w:val="both"/>
              <w:textAlignment w:val="auto"/>
              <w:rPr>
                <w:rFonts w:hint="eastAsia"/>
                <w:sz w:val="21"/>
                <w:szCs w:val="21"/>
                <w:highlight w:val="none"/>
                <w:lang w:val="en-US" w:eastAsia="zh-CN"/>
              </w:rPr>
            </w:pPr>
            <w:r>
              <w:rPr>
                <w:rFonts w:hint="eastAsia"/>
                <w:sz w:val="21"/>
                <w:szCs w:val="21"/>
                <w:highlight w:val="none"/>
                <w:lang w:val="en-US" w:eastAsia="zh-CN"/>
              </w:rPr>
              <w:t>▲通讯方式：4G/NB,设备自带通讯信号监测判断</w:t>
            </w:r>
          </w:p>
          <w:p w14:paraId="67AADACE">
            <w:pPr>
              <w:pageBreakBefore w:val="0"/>
              <w:widowControl w:val="0"/>
              <w:kinsoku/>
              <w:wordWrap/>
              <w:overflowPunct/>
              <w:topLinePunct w:val="0"/>
              <w:autoSpaceDE/>
              <w:autoSpaceDN/>
              <w:bidi w:val="0"/>
              <w:adjustRightInd/>
              <w:snapToGrid/>
              <w:spacing w:before="0" w:after="0" w:line="360" w:lineRule="auto"/>
              <w:ind w:firstLine="420" w:firstLineChars="200"/>
              <w:jc w:val="both"/>
              <w:textAlignment w:val="auto"/>
              <w:rPr>
                <w:rFonts w:hint="eastAsia"/>
                <w:sz w:val="21"/>
                <w:szCs w:val="21"/>
                <w:highlight w:val="none"/>
                <w:lang w:val="en-US" w:eastAsia="zh-CN"/>
              </w:rPr>
            </w:pPr>
            <w:r>
              <w:rPr>
                <w:rFonts w:hint="eastAsia"/>
                <w:sz w:val="21"/>
                <w:szCs w:val="21"/>
                <w:highlight w:val="none"/>
                <w:lang w:val="en-US" w:eastAsia="zh-CN"/>
              </w:rPr>
              <w:t>网络传输：1000M</w:t>
            </w:r>
          </w:p>
          <w:p w14:paraId="29B1BCAE">
            <w:pPr>
              <w:pageBreakBefore w:val="0"/>
              <w:widowControl w:val="0"/>
              <w:kinsoku/>
              <w:wordWrap/>
              <w:overflowPunct/>
              <w:topLinePunct w:val="0"/>
              <w:autoSpaceDE/>
              <w:autoSpaceDN/>
              <w:bidi w:val="0"/>
              <w:adjustRightInd/>
              <w:snapToGrid/>
              <w:spacing w:before="0" w:after="0" w:line="360" w:lineRule="auto"/>
              <w:ind w:firstLine="420" w:firstLineChars="200"/>
              <w:jc w:val="both"/>
              <w:textAlignment w:val="auto"/>
              <w:rPr>
                <w:rFonts w:hint="eastAsia"/>
                <w:sz w:val="21"/>
                <w:szCs w:val="21"/>
                <w:highlight w:val="none"/>
                <w:lang w:val="en-US" w:eastAsia="zh-CN"/>
              </w:rPr>
            </w:pPr>
            <w:r>
              <w:rPr>
                <w:rFonts w:hint="eastAsia"/>
                <w:sz w:val="21"/>
                <w:szCs w:val="21"/>
                <w:highlight w:val="none"/>
                <w:lang w:val="en-US" w:eastAsia="zh-CN"/>
              </w:rPr>
              <w:t>标称放电电流：5KA</w:t>
            </w:r>
          </w:p>
          <w:p w14:paraId="5386A3D8">
            <w:pPr>
              <w:pageBreakBefore w:val="0"/>
              <w:widowControl w:val="0"/>
              <w:kinsoku/>
              <w:wordWrap/>
              <w:overflowPunct/>
              <w:topLinePunct w:val="0"/>
              <w:autoSpaceDE/>
              <w:autoSpaceDN/>
              <w:bidi w:val="0"/>
              <w:adjustRightInd/>
              <w:snapToGrid/>
              <w:spacing w:before="0" w:after="0" w:line="360" w:lineRule="auto"/>
              <w:ind w:firstLine="420" w:firstLineChars="200"/>
              <w:jc w:val="both"/>
              <w:textAlignment w:val="auto"/>
              <w:rPr>
                <w:rFonts w:hint="eastAsia"/>
                <w:sz w:val="21"/>
                <w:szCs w:val="21"/>
                <w:highlight w:val="none"/>
                <w:lang w:val="en-US" w:eastAsia="zh-CN"/>
              </w:rPr>
            </w:pPr>
            <w:r>
              <w:rPr>
                <w:rFonts w:hint="eastAsia"/>
                <w:sz w:val="21"/>
                <w:szCs w:val="21"/>
                <w:highlight w:val="none"/>
                <w:lang w:val="en-US" w:eastAsia="zh-CN"/>
              </w:rPr>
              <w:t>最大放电电流：10KA</w:t>
            </w:r>
          </w:p>
          <w:p w14:paraId="0B356D61">
            <w:pPr>
              <w:pageBreakBefore w:val="0"/>
              <w:widowControl w:val="0"/>
              <w:kinsoku/>
              <w:wordWrap/>
              <w:overflowPunct/>
              <w:topLinePunct w:val="0"/>
              <w:autoSpaceDE/>
              <w:autoSpaceDN/>
              <w:bidi w:val="0"/>
              <w:adjustRightInd/>
              <w:snapToGrid/>
              <w:spacing w:before="0" w:after="0" w:line="360" w:lineRule="auto"/>
              <w:ind w:firstLine="420" w:firstLineChars="200"/>
              <w:jc w:val="both"/>
              <w:textAlignment w:val="auto"/>
              <w:rPr>
                <w:rFonts w:hint="eastAsia"/>
                <w:b/>
                <w:bCs/>
                <w:sz w:val="21"/>
                <w:szCs w:val="21"/>
                <w:highlight w:val="none"/>
                <w:lang w:val="en-US" w:eastAsia="zh-CN"/>
              </w:rPr>
            </w:pPr>
            <w:r>
              <w:rPr>
                <w:rFonts w:hint="eastAsia"/>
                <w:sz w:val="21"/>
                <w:szCs w:val="21"/>
                <w:highlight w:val="none"/>
                <w:lang w:val="en-US" w:eastAsia="zh-CN"/>
              </w:rPr>
              <w:t>■网络防雷状态监测：1路</w:t>
            </w:r>
            <w:r>
              <w:rPr>
                <w:rFonts w:hint="eastAsia"/>
                <w:b/>
                <w:bCs/>
                <w:sz w:val="21"/>
                <w:szCs w:val="21"/>
                <w:highlight w:val="none"/>
                <w:lang w:val="en-US" w:eastAsia="zh-CN"/>
              </w:rPr>
              <w:t>（</w:t>
            </w:r>
            <w:r>
              <w:rPr>
                <w:rFonts w:hint="eastAsia"/>
                <w:b/>
                <w:bCs/>
                <w:color w:val="auto"/>
                <w:szCs w:val="21"/>
                <w:highlight w:val="none"/>
                <w:lang w:val="en-US" w:eastAsia="zh-CN"/>
              </w:rPr>
              <w:t>响应文件中</w:t>
            </w:r>
            <w:r>
              <w:rPr>
                <w:rFonts w:hint="eastAsia"/>
                <w:b/>
                <w:bCs/>
                <w:color w:val="auto"/>
                <w:szCs w:val="21"/>
                <w:highlight w:val="none"/>
                <w:lang w:eastAsia="zh-CN"/>
              </w:rPr>
              <w:t>需提供国家认可的第三方检测机构出具的</w:t>
            </w:r>
            <w:r>
              <w:rPr>
                <w:rFonts w:hint="eastAsia" w:ascii="宋体" w:hAnsi="宋体" w:cs="宋体"/>
                <w:b/>
                <w:bCs/>
                <w:color w:val="auto"/>
                <w:szCs w:val="21"/>
                <w:highlight w:val="none"/>
                <w:lang w:val="en-US" w:eastAsia="zh-CN"/>
              </w:rPr>
              <w:t>关于上述功能的有效的检测报告，</w:t>
            </w:r>
            <w:r>
              <w:rPr>
                <w:b/>
                <w:bCs/>
                <w:color w:val="auto"/>
                <w:szCs w:val="21"/>
                <w:highlight w:val="none"/>
              </w:rPr>
              <w:t>并加盖</w:t>
            </w:r>
            <w:r>
              <w:rPr>
                <w:rFonts w:hint="eastAsia"/>
                <w:b/>
                <w:bCs/>
                <w:color w:val="auto"/>
                <w:szCs w:val="21"/>
                <w:highlight w:val="none"/>
                <w:lang w:eastAsia="zh-CN"/>
              </w:rPr>
              <w:t>供应商公章（或电子签章），</w:t>
            </w:r>
            <w:r>
              <w:rPr>
                <w:rFonts w:hint="eastAsia"/>
                <w:b/>
                <w:bCs/>
                <w:color w:val="auto"/>
                <w:szCs w:val="21"/>
                <w:highlight w:val="none"/>
                <w:lang w:val="en-US" w:eastAsia="zh-CN"/>
              </w:rPr>
              <w:t>否则不予计分</w:t>
            </w:r>
            <w:r>
              <w:rPr>
                <w:rFonts w:hint="eastAsia" w:ascii="宋体" w:hAnsi="宋体" w:cs="宋体"/>
                <w:b/>
                <w:bCs/>
                <w:color w:val="auto"/>
                <w:szCs w:val="21"/>
                <w:highlight w:val="none"/>
                <w:lang w:eastAsia="zh-CN"/>
              </w:rPr>
              <w:t>。</w:t>
            </w:r>
            <w:r>
              <w:rPr>
                <w:rFonts w:hint="eastAsia"/>
                <w:b/>
                <w:bCs/>
                <w:sz w:val="21"/>
                <w:szCs w:val="21"/>
                <w:highlight w:val="none"/>
                <w:lang w:val="en-US" w:eastAsia="zh-CN"/>
              </w:rPr>
              <w:t>）</w:t>
            </w:r>
          </w:p>
          <w:p w14:paraId="7CE50AE7">
            <w:pPr>
              <w:pageBreakBefore w:val="0"/>
              <w:widowControl w:val="0"/>
              <w:kinsoku/>
              <w:wordWrap/>
              <w:overflowPunct/>
              <w:topLinePunct w:val="0"/>
              <w:autoSpaceDE/>
              <w:autoSpaceDN/>
              <w:bidi w:val="0"/>
              <w:adjustRightInd/>
              <w:snapToGrid/>
              <w:spacing w:before="0" w:after="0" w:line="360" w:lineRule="auto"/>
              <w:ind w:firstLine="420" w:firstLineChars="200"/>
              <w:jc w:val="both"/>
              <w:textAlignment w:val="auto"/>
              <w:rPr>
                <w:rFonts w:hint="eastAsia"/>
                <w:b/>
                <w:bCs/>
                <w:sz w:val="21"/>
                <w:szCs w:val="21"/>
                <w:highlight w:val="none"/>
                <w:lang w:val="en-US" w:eastAsia="zh-CN"/>
              </w:rPr>
            </w:pPr>
            <w:r>
              <w:rPr>
                <w:rFonts w:hint="eastAsia"/>
                <w:sz w:val="21"/>
                <w:szCs w:val="21"/>
                <w:highlight w:val="none"/>
                <w:lang w:val="en-US" w:eastAsia="zh-CN"/>
              </w:rPr>
              <w:t>■电源防雷状态监测：1路</w:t>
            </w:r>
            <w:r>
              <w:rPr>
                <w:rFonts w:hint="eastAsia"/>
                <w:b/>
                <w:bCs/>
                <w:sz w:val="21"/>
                <w:szCs w:val="21"/>
                <w:highlight w:val="none"/>
                <w:lang w:val="en-US" w:eastAsia="zh-CN"/>
              </w:rPr>
              <w:t>（</w:t>
            </w:r>
            <w:r>
              <w:rPr>
                <w:rFonts w:hint="eastAsia"/>
                <w:b/>
                <w:bCs/>
                <w:color w:val="auto"/>
                <w:szCs w:val="21"/>
                <w:highlight w:val="none"/>
                <w:lang w:val="en-US" w:eastAsia="zh-CN"/>
              </w:rPr>
              <w:t>响应文件中</w:t>
            </w:r>
            <w:r>
              <w:rPr>
                <w:rFonts w:hint="eastAsia"/>
                <w:b/>
                <w:bCs/>
                <w:color w:val="auto"/>
                <w:szCs w:val="21"/>
                <w:highlight w:val="none"/>
                <w:lang w:eastAsia="zh-CN"/>
              </w:rPr>
              <w:t>需提供国家认可的第三方检测机构出具的</w:t>
            </w:r>
            <w:r>
              <w:rPr>
                <w:rFonts w:hint="eastAsia" w:ascii="宋体" w:hAnsi="宋体" w:cs="宋体"/>
                <w:b/>
                <w:bCs/>
                <w:color w:val="auto"/>
                <w:szCs w:val="21"/>
                <w:highlight w:val="none"/>
                <w:lang w:val="en-US" w:eastAsia="zh-CN"/>
              </w:rPr>
              <w:t>关于上述功能的有效的检测报告，</w:t>
            </w:r>
            <w:r>
              <w:rPr>
                <w:b/>
                <w:bCs/>
                <w:color w:val="auto"/>
                <w:szCs w:val="21"/>
                <w:highlight w:val="none"/>
              </w:rPr>
              <w:t>并加盖</w:t>
            </w:r>
            <w:r>
              <w:rPr>
                <w:rFonts w:hint="eastAsia"/>
                <w:b/>
                <w:bCs/>
                <w:color w:val="auto"/>
                <w:szCs w:val="21"/>
                <w:highlight w:val="none"/>
                <w:lang w:eastAsia="zh-CN"/>
              </w:rPr>
              <w:t>供应商公章（或电子签章），</w:t>
            </w:r>
            <w:r>
              <w:rPr>
                <w:rFonts w:hint="eastAsia"/>
                <w:b/>
                <w:bCs/>
                <w:color w:val="auto"/>
                <w:szCs w:val="21"/>
                <w:highlight w:val="none"/>
                <w:lang w:val="en-US" w:eastAsia="zh-CN"/>
              </w:rPr>
              <w:t>否则不予计分</w:t>
            </w:r>
            <w:r>
              <w:rPr>
                <w:rFonts w:hint="eastAsia" w:ascii="宋体" w:hAnsi="宋体" w:cs="宋体"/>
                <w:b/>
                <w:bCs/>
                <w:color w:val="auto"/>
                <w:szCs w:val="21"/>
                <w:highlight w:val="none"/>
                <w:lang w:eastAsia="zh-CN"/>
              </w:rPr>
              <w:t>。</w:t>
            </w:r>
            <w:r>
              <w:rPr>
                <w:rFonts w:hint="eastAsia"/>
                <w:b/>
                <w:bCs/>
                <w:sz w:val="21"/>
                <w:szCs w:val="21"/>
                <w:highlight w:val="none"/>
                <w:lang w:val="en-US" w:eastAsia="zh-CN"/>
              </w:rPr>
              <w:t>）</w:t>
            </w:r>
          </w:p>
          <w:p w14:paraId="243D81AC">
            <w:pPr>
              <w:pageBreakBefore w:val="0"/>
              <w:widowControl w:val="0"/>
              <w:kinsoku/>
              <w:wordWrap/>
              <w:overflowPunct/>
              <w:topLinePunct w:val="0"/>
              <w:autoSpaceDE/>
              <w:autoSpaceDN/>
              <w:bidi w:val="0"/>
              <w:adjustRightInd/>
              <w:snapToGrid/>
              <w:spacing w:before="0" w:after="0" w:line="360" w:lineRule="auto"/>
              <w:ind w:firstLine="420" w:firstLineChars="200"/>
              <w:jc w:val="both"/>
              <w:textAlignment w:val="auto"/>
              <w:rPr>
                <w:rFonts w:hint="eastAsia"/>
                <w:sz w:val="21"/>
                <w:szCs w:val="21"/>
                <w:highlight w:val="none"/>
                <w:lang w:val="en-US" w:eastAsia="zh-CN"/>
              </w:rPr>
            </w:pPr>
            <w:r>
              <w:rPr>
                <w:rFonts w:hint="eastAsia"/>
                <w:sz w:val="21"/>
                <w:szCs w:val="21"/>
                <w:highlight w:val="none"/>
                <w:lang w:val="en-US" w:eastAsia="zh-CN"/>
              </w:rPr>
              <w:t>感应雷击防护过电流计数：1路</w:t>
            </w:r>
          </w:p>
          <w:p w14:paraId="01C5DA5A">
            <w:pPr>
              <w:pageBreakBefore w:val="0"/>
              <w:widowControl w:val="0"/>
              <w:kinsoku/>
              <w:wordWrap/>
              <w:overflowPunct/>
              <w:topLinePunct w:val="0"/>
              <w:autoSpaceDE/>
              <w:autoSpaceDN/>
              <w:bidi w:val="0"/>
              <w:adjustRightInd/>
              <w:snapToGrid/>
              <w:spacing w:before="0" w:after="0" w:line="360" w:lineRule="auto"/>
              <w:ind w:firstLine="420" w:firstLineChars="200"/>
              <w:jc w:val="both"/>
              <w:textAlignment w:val="auto"/>
              <w:rPr>
                <w:rFonts w:hint="eastAsia"/>
                <w:sz w:val="21"/>
                <w:szCs w:val="21"/>
                <w:highlight w:val="none"/>
                <w:lang w:val="en-US" w:eastAsia="zh-CN"/>
              </w:rPr>
            </w:pPr>
            <w:r>
              <w:rPr>
                <w:rFonts w:hint="eastAsia"/>
                <w:sz w:val="21"/>
                <w:szCs w:val="21"/>
                <w:highlight w:val="none"/>
                <w:lang w:val="en-US" w:eastAsia="zh-CN"/>
              </w:rPr>
              <w:t>存储：1000条</w:t>
            </w:r>
          </w:p>
          <w:p w14:paraId="62F700AF">
            <w:pPr>
              <w:pageBreakBefore w:val="0"/>
              <w:widowControl w:val="0"/>
              <w:kinsoku/>
              <w:wordWrap/>
              <w:overflowPunct/>
              <w:topLinePunct w:val="0"/>
              <w:autoSpaceDE/>
              <w:autoSpaceDN/>
              <w:bidi w:val="0"/>
              <w:adjustRightInd/>
              <w:snapToGrid/>
              <w:spacing w:before="0" w:after="0" w:line="360" w:lineRule="auto"/>
              <w:ind w:firstLine="420" w:firstLineChars="200"/>
              <w:jc w:val="both"/>
              <w:textAlignment w:val="auto"/>
              <w:rPr>
                <w:rFonts w:hint="eastAsia"/>
                <w:sz w:val="21"/>
                <w:szCs w:val="21"/>
                <w:highlight w:val="none"/>
                <w:lang w:val="en-US" w:eastAsia="zh-CN"/>
              </w:rPr>
            </w:pPr>
            <w:r>
              <w:rPr>
                <w:rFonts w:hint="eastAsia"/>
                <w:sz w:val="21"/>
                <w:szCs w:val="21"/>
                <w:highlight w:val="none"/>
                <w:lang w:val="en-US" w:eastAsia="zh-CN"/>
              </w:rPr>
              <w:t>时钟：自带</w:t>
            </w:r>
          </w:p>
          <w:p w14:paraId="679DEA2A">
            <w:pPr>
              <w:pageBreakBefore w:val="0"/>
              <w:widowControl w:val="0"/>
              <w:kinsoku/>
              <w:wordWrap/>
              <w:overflowPunct/>
              <w:topLinePunct w:val="0"/>
              <w:autoSpaceDE/>
              <w:autoSpaceDN/>
              <w:bidi w:val="0"/>
              <w:adjustRightInd/>
              <w:snapToGrid/>
              <w:spacing w:before="0" w:after="0" w:line="360" w:lineRule="auto"/>
              <w:ind w:firstLine="420" w:firstLineChars="200"/>
              <w:jc w:val="both"/>
              <w:textAlignment w:val="auto"/>
              <w:rPr>
                <w:rFonts w:hint="eastAsia"/>
                <w:sz w:val="21"/>
                <w:szCs w:val="21"/>
                <w:highlight w:val="none"/>
                <w:lang w:val="en-US" w:eastAsia="zh-CN"/>
              </w:rPr>
            </w:pPr>
            <w:r>
              <w:rPr>
                <w:rFonts w:hint="eastAsia"/>
                <w:sz w:val="21"/>
                <w:szCs w:val="21"/>
                <w:highlight w:val="none"/>
                <w:lang w:val="en-US" w:eastAsia="zh-CN"/>
              </w:rPr>
              <w:t>自带看门狗</w:t>
            </w:r>
          </w:p>
          <w:p w14:paraId="4DE4728F">
            <w:pPr>
              <w:pageBreakBefore w:val="0"/>
              <w:widowControl w:val="0"/>
              <w:kinsoku/>
              <w:wordWrap/>
              <w:overflowPunct/>
              <w:topLinePunct w:val="0"/>
              <w:autoSpaceDE/>
              <w:autoSpaceDN/>
              <w:bidi w:val="0"/>
              <w:adjustRightInd/>
              <w:snapToGrid/>
              <w:spacing w:before="0" w:after="0" w:line="360" w:lineRule="auto"/>
              <w:ind w:firstLine="420" w:firstLineChars="200"/>
              <w:jc w:val="both"/>
              <w:textAlignment w:val="auto"/>
              <w:rPr>
                <w:rFonts w:hint="eastAsia"/>
                <w:sz w:val="21"/>
                <w:szCs w:val="21"/>
                <w:highlight w:val="none"/>
                <w:lang w:val="en-US" w:eastAsia="zh-CN"/>
              </w:rPr>
            </w:pPr>
            <w:r>
              <w:rPr>
                <w:rFonts w:hint="eastAsia"/>
                <w:sz w:val="21"/>
                <w:szCs w:val="21"/>
                <w:highlight w:val="none"/>
                <w:lang w:val="en-US" w:eastAsia="zh-CN"/>
              </w:rPr>
              <w:t>安装方式：220V电源插头公头接入，220V电源母头输出；</w:t>
            </w:r>
          </w:p>
          <w:p w14:paraId="6AEDD552">
            <w:pPr>
              <w:pageBreakBefore w:val="0"/>
              <w:widowControl w:val="0"/>
              <w:kinsoku/>
              <w:wordWrap/>
              <w:overflowPunct/>
              <w:topLinePunct w:val="0"/>
              <w:autoSpaceDE/>
              <w:autoSpaceDN/>
              <w:bidi w:val="0"/>
              <w:adjustRightInd/>
              <w:snapToGrid/>
              <w:spacing w:before="0" w:after="0" w:line="360" w:lineRule="auto"/>
              <w:ind w:firstLine="420" w:firstLineChars="200"/>
              <w:jc w:val="both"/>
              <w:textAlignment w:val="auto"/>
              <w:rPr>
                <w:rFonts w:hint="eastAsia"/>
                <w:sz w:val="21"/>
                <w:szCs w:val="21"/>
                <w:highlight w:val="none"/>
                <w:lang w:val="en-US" w:eastAsia="zh-CN"/>
              </w:rPr>
            </w:pPr>
            <w:r>
              <w:rPr>
                <w:rFonts w:hint="eastAsia"/>
                <w:sz w:val="21"/>
                <w:szCs w:val="21"/>
                <w:highlight w:val="none"/>
                <w:lang w:val="en-US" w:eastAsia="zh-CN"/>
              </w:rPr>
              <w:t>二、软件参数：</w:t>
            </w:r>
          </w:p>
          <w:p w14:paraId="36407713">
            <w:pPr>
              <w:pageBreakBefore w:val="0"/>
              <w:widowControl w:val="0"/>
              <w:kinsoku/>
              <w:wordWrap/>
              <w:overflowPunct/>
              <w:topLinePunct w:val="0"/>
              <w:autoSpaceDE/>
              <w:autoSpaceDN/>
              <w:bidi w:val="0"/>
              <w:adjustRightInd/>
              <w:snapToGrid/>
              <w:spacing w:before="0" w:after="0" w:line="360" w:lineRule="auto"/>
              <w:ind w:firstLine="420" w:firstLineChars="200"/>
              <w:jc w:val="both"/>
              <w:textAlignment w:val="auto"/>
              <w:rPr>
                <w:rFonts w:hint="eastAsia"/>
                <w:b/>
                <w:bCs/>
                <w:sz w:val="21"/>
                <w:szCs w:val="21"/>
                <w:highlight w:val="none"/>
                <w:lang w:val="en-US" w:eastAsia="zh-CN"/>
              </w:rPr>
            </w:pPr>
            <w:r>
              <w:rPr>
                <w:rFonts w:hint="eastAsia"/>
                <w:sz w:val="21"/>
                <w:szCs w:val="21"/>
                <w:highlight w:val="none"/>
                <w:lang w:val="en-US" w:eastAsia="zh-CN"/>
              </w:rPr>
              <w:t>■1、PC\手机微信功能查询、告警：防雷功能寿命预警、防雷失效告警，设备GIS集中展现管理，每个设备的项目名称查询展示；设备PC\手机在线故障报修。</w:t>
            </w:r>
            <w:r>
              <w:rPr>
                <w:rFonts w:hint="eastAsia"/>
                <w:b/>
                <w:bCs/>
                <w:sz w:val="21"/>
                <w:szCs w:val="21"/>
                <w:highlight w:val="none"/>
                <w:lang w:val="en-US" w:eastAsia="zh-CN"/>
              </w:rPr>
              <w:t>（</w:t>
            </w:r>
            <w:r>
              <w:rPr>
                <w:rFonts w:hint="eastAsia"/>
                <w:b/>
                <w:bCs/>
                <w:color w:val="auto"/>
                <w:szCs w:val="21"/>
                <w:highlight w:val="none"/>
                <w:lang w:val="en-US" w:eastAsia="zh-CN"/>
              </w:rPr>
              <w:t>响应文件中</w:t>
            </w:r>
            <w:r>
              <w:rPr>
                <w:rFonts w:hint="eastAsia"/>
                <w:b/>
                <w:bCs/>
                <w:color w:val="auto"/>
                <w:szCs w:val="21"/>
                <w:highlight w:val="none"/>
                <w:lang w:eastAsia="zh-CN"/>
              </w:rPr>
              <w:t>需提供国家认可的第三方检测机构出具的</w:t>
            </w:r>
            <w:r>
              <w:rPr>
                <w:rFonts w:hint="eastAsia" w:ascii="宋体" w:hAnsi="宋体" w:cs="宋体"/>
                <w:b/>
                <w:bCs/>
                <w:color w:val="auto"/>
                <w:szCs w:val="21"/>
                <w:highlight w:val="none"/>
                <w:lang w:val="en-US" w:eastAsia="zh-CN"/>
              </w:rPr>
              <w:t>关于上述功能的有效的检测报告，</w:t>
            </w:r>
            <w:r>
              <w:rPr>
                <w:b/>
                <w:bCs/>
                <w:color w:val="auto"/>
                <w:szCs w:val="21"/>
                <w:highlight w:val="none"/>
              </w:rPr>
              <w:t>并加盖</w:t>
            </w:r>
            <w:r>
              <w:rPr>
                <w:rFonts w:hint="eastAsia"/>
                <w:b/>
                <w:bCs/>
                <w:color w:val="auto"/>
                <w:szCs w:val="21"/>
                <w:highlight w:val="none"/>
                <w:lang w:eastAsia="zh-CN"/>
              </w:rPr>
              <w:t>供应商公章（或电子签章），</w:t>
            </w:r>
            <w:r>
              <w:rPr>
                <w:rFonts w:hint="eastAsia"/>
                <w:b/>
                <w:bCs/>
                <w:color w:val="auto"/>
                <w:szCs w:val="21"/>
                <w:highlight w:val="none"/>
                <w:lang w:val="en-US" w:eastAsia="zh-CN"/>
              </w:rPr>
              <w:t>否则不予计分</w:t>
            </w:r>
            <w:r>
              <w:rPr>
                <w:rFonts w:hint="eastAsia" w:ascii="宋体" w:hAnsi="宋体" w:cs="宋体"/>
                <w:b/>
                <w:bCs/>
                <w:color w:val="auto"/>
                <w:szCs w:val="21"/>
                <w:highlight w:val="none"/>
                <w:lang w:eastAsia="zh-CN"/>
              </w:rPr>
              <w:t>。</w:t>
            </w:r>
            <w:r>
              <w:rPr>
                <w:rFonts w:hint="eastAsia"/>
                <w:b/>
                <w:bCs/>
                <w:sz w:val="21"/>
                <w:szCs w:val="21"/>
                <w:highlight w:val="none"/>
                <w:lang w:val="en-US" w:eastAsia="zh-CN"/>
              </w:rPr>
              <w:t>）</w:t>
            </w:r>
          </w:p>
          <w:p w14:paraId="6EC38C26">
            <w:pPr>
              <w:pageBreakBefore w:val="0"/>
              <w:widowControl w:val="0"/>
              <w:kinsoku/>
              <w:wordWrap/>
              <w:overflowPunct/>
              <w:topLinePunct w:val="0"/>
              <w:autoSpaceDE/>
              <w:autoSpaceDN/>
              <w:bidi w:val="0"/>
              <w:adjustRightInd/>
              <w:snapToGrid/>
              <w:spacing w:before="0" w:after="0" w:line="360" w:lineRule="auto"/>
              <w:ind w:firstLine="420" w:firstLineChars="200"/>
              <w:jc w:val="both"/>
              <w:textAlignment w:val="auto"/>
              <w:rPr>
                <w:rFonts w:hint="eastAsia"/>
                <w:sz w:val="21"/>
                <w:szCs w:val="21"/>
                <w:highlight w:val="none"/>
                <w:lang w:val="en-US" w:eastAsia="zh-CN"/>
              </w:rPr>
            </w:pPr>
            <w:r>
              <w:rPr>
                <w:rFonts w:hint="eastAsia"/>
                <w:sz w:val="21"/>
                <w:szCs w:val="21"/>
                <w:highlight w:val="none"/>
                <w:lang w:val="en-US" w:eastAsia="zh-CN"/>
              </w:rPr>
              <w:t>■2、数据云存储：网络防雷、电源防雷的状态、寿命、失效数据，通讯信号值、流量值、项目名称等数据的云端存储。</w:t>
            </w:r>
            <w:r>
              <w:rPr>
                <w:rFonts w:hint="eastAsia"/>
                <w:b/>
                <w:bCs/>
                <w:sz w:val="21"/>
                <w:szCs w:val="21"/>
                <w:highlight w:val="none"/>
                <w:lang w:val="en-US" w:eastAsia="zh-CN"/>
              </w:rPr>
              <w:t>（</w:t>
            </w:r>
            <w:r>
              <w:rPr>
                <w:rFonts w:hint="eastAsia"/>
                <w:b/>
                <w:bCs/>
                <w:color w:val="auto"/>
                <w:szCs w:val="21"/>
                <w:highlight w:val="none"/>
                <w:lang w:val="en-US" w:eastAsia="zh-CN"/>
              </w:rPr>
              <w:t>响应文件中</w:t>
            </w:r>
            <w:r>
              <w:rPr>
                <w:rFonts w:hint="eastAsia"/>
                <w:b/>
                <w:bCs/>
                <w:color w:val="auto"/>
                <w:szCs w:val="21"/>
                <w:highlight w:val="none"/>
                <w:lang w:eastAsia="zh-CN"/>
              </w:rPr>
              <w:t>需提供国家认可的第三方检测机构出具的</w:t>
            </w:r>
            <w:r>
              <w:rPr>
                <w:rFonts w:hint="eastAsia" w:ascii="宋体" w:hAnsi="宋体" w:cs="宋体"/>
                <w:b/>
                <w:bCs/>
                <w:color w:val="auto"/>
                <w:szCs w:val="21"/>
                <w:highlight w:val="none"/>
                <w:lang w:val="en-US" w:eastAsia="zh-CN"/>
              </w:rPr>
              <w:t>关于上述功能的有效的检测报告，</w:t>
            </w:r>
            <w:r>
              <w:rPr>
                <w:b/>
                <w:bCs/>
                <w:color w:val="auto"/>
                <w:szCs w:val="21"/>
                <w:highlight w:val="none"/>
              </w:rPr>
              <w:t>并加盖</w:t>
            </w:r>
            <w:r>
              <w:rPr>
                <w:rFonts w:hint="eastAsia"/>
                <w:b/>
                <w:bCs/>
                <w:color w:val="auto"/>
                <w:szCs w:val="21"/>
                <w:highlight w:val="none"/>
                <w:lang w:eastAsia="zh-CN"/>
              </w:rPr>
              <w:t>供应商公章（或电子签章），</w:t>
            </w:r>
            <w:r>
              <w:rPr>
                <w:rFonts w:hint="eastAsia"/>
                <w:b/>
                <w:bCs/>
                <w:color w:val="auto"/>
                <w:szCs w:val="21"/>
                <w:highlight w:val="none"/>
                <w:lang w:val="en-US" w:eastAsia="zh-CN"/>
              </w:rPr>
              <w:t>否则不予计分</w:t>
            </w:r>
            <w:r>
              <w:rPr>
                <w:rFonts w:hint="eastAsia" w:ascii="宋体" w:hAnsi="宋体" w:cs="宋体"/>
                <w:b/>
                <w:bCs/>
                <w:color w:val="auto"/>
                <w:szCs w:val="21"/>
                <w:highlight w:val="none"/>
                <w:lang w:eastAsia="zh-CN"/>
              </w:rPr>
              <w:t>。</w:t>
            </w:r>
            <w:r>
              <w:rPr>
                <w:rFonts w:hint="eastAsia"/>
                <w:b/>
                <w:bCs/>
                <w:sz w:val="21"/>
                <w:szCs w:val="21"/>
                <w:highlight w:val="none"/>
                <w:lang w:val="en-US" w:eastAsia="zh-CN"/>
              </w:rPr>
              <w:t>）</w:t>
            </w:r>
          </w:p>
          <w:p w14:paraId="7085EF5D">
            <w:pPr>
              <w:pageBreakBefore w:val="0"/>
              <w:widowControl w:val="0"/>
              <w:kinsoku/>
              <w:wordWrap/>
              <w:overflowPunct/>
              <w:topLinePunct w:val="0"/>
              <w:autoSpaceDE/>
              <w:autoSpaceDN/>
              <w:bidi w:val="0"/>
              <w:adjustRightInd/>
              <w:snapToGrid/>
              <w:spacing w:before="0" w:after="0" w:line="360" w:lineRule="auto"/>
              <w:ind w:firstLine="420" w:firstLineChars="200"/>
              <w:jc w:val="both"/>
              <w:textAlignment w:val="auto"/>
              <w:rPr>
                <w:rFonts w:hint="eastAsia"/>
                <w:b/>
                <w:bCs/>
                <w:sz w:val="21"/>
                <w:szCs w:val="21"/>
                <w:highlight w:val="none"/>
                <w:lang w:val="en-US" w:eastAsia="zh-CN"/>
              </w:rPr>
            </w:pPr>
            <w:r>
              <w:rPr>
                <w:rFonts w:hint="eastAsia"/>
                <w:sz w:val="21"/>
                <w:szCs w:val="21"/>
                <w:highlight w:val="none"/>
                <w:lang w:val="en-US" w:eastAsia="zh-CN"/>
              </w:rPr>
              <w:t>■3、数据统计分析：网络防雷、电源防雷的寿命、失效，通讯信号值、流量值等的数据统计分析。</w:t>
            </w:r>
            <w:r>
              <w:rPr>
                <w:rFonts w:hint="eastAsia"/>
                <w:b/>
                <w:bCs/>
                <w:sz w:val="21"/>
                <w:szCs w:val="21"/>
                <w:highlight w:val="none"/>
                <w:lang w:val="en-US" w:eastAsia="zh-CN"/>
              </w:rPr>
              <w:t>（</w:t>
            </w:r>
            <w:r>
              <w:rPr>
                <w:rFonts w:hint="eastAsia"/>
                <w:b/>
                <w:bCs/>
                <w:color w:val="auto"/>
                <w:szCs w:val="21"/>
                <w:highlight w:val="none"/>
                <w:lang w:val="en-US" w:eastAsia="zh-CN"/>
              </w:rPr>
              <w:t>响应文件中</w:t>
            </w:r>
            <w:r>
              <w:rPr>
                <w:rFonts w:hint="eastAsia"/>
                <w:b/>
                <w:bCs/>
                <w:color w:val="auto"/>
                <w:szCs w:val="21"/>
                <w:highlight w:val="none"/>
                <w:lang w:eastAsia="zh-CN"/>
              </w:rPr>
              <w:t>需提供国家认可的第三方检测机构出具的</w:t>
            </w:r>
            <w:r>
              <w:rPr>
                <w:rFonts w:hint="eastAsia" w:ascii="宋体" w:hAnsi="宋体" w:cs="宋体"/>
                <w:b/>
                <w:bCs/>
                <w:color w:val="auto"/>
                <w:szCs w:val="21"/>
                <w:highlight w:val="none"/>
                <w:lang w:val="en-US" w:eastAsia="zh-CN"/>
              </w:rPr>
              <w:t>关于上述功能的有效的检测报告，</w:t>
            </w:r>
            <w:r>
              <w:rPr>
                <w:b/>
                <w:bCs/>
                <w:color w:val="auto"/>
                <w:szCs w:val="21"/>
                <w:highlight w:val="none"/>
              </w:rPr>
              <w:t>并加盖</w:t>
            </w:r>
            <w:r>
              <w:rPr>
                <w:rFonts w:hint="eastAsia"/>
                <w:b/>
                <w:bCs/>
                <w:color w:val="auto"/>
                <w:szCs w:val="21"/>
                <w:highlight w:val="none"/>
                <w:lang w:eastAsia="zh-CN"/>
              </w:rPr>
              <w:t>供应商公章（或电子签章），</w:t>
            </w:r>
            <w:r>
              <w:rPr>
                <w:rFonts w:hint="eastAsia"/>
                <w:b/>
                <w:bCs/>
                <w:color w:val="auto"/>
                <w:szCs w:val="21"/>
                <w:highlight w:val="none"/>
                <w:lang w:val="en-US" w:eastAsia="zh-CN"/>
              </w:rPr>
              <w:t>否则不予计分</w:t>
            </w:r>
            <w:r>
              <w:rPr>
                <w:rFonts w:hint="eastAsia" w:ascii="宋体" w:hAnsi="宋体" w:cs="宋体"/>
                <w:b/>
                <w:bCs/>
                <w:color w:val="auto"/>
                <w:szCs w:val="21"/>
                <w:highlight w:val="none"/>
                <w:lang w:eastAsia="zh-CN"/>
              </w:rPr>
              <w:t>。</w:t>
            </w:r>
            <w:r>
              <w:rPr>
                <w:rFonts w:hint="eastAsia"/>
                <w:b/>
                <w:bCs/>
                <w:sz w:val="21"/>
                <w:szCs w:val="21"/>
                <w:highlight w:val="none"/>
                <w:lang w:val="en-US" w:eastAsia="zh-CN"/>
              </w:rPr>
              <w:t>）</w:t>
            </w:r>
          </w:p>
          <w:p w14:paraId="61EC72F2">
            <w:pPr>
              <w:pageBreakBefore w:val="0"/>
              <w:widowControl w:val="0"/>
              <w:kinsoku/>
              <w:wordWrap/>
              <w:overflowPunct/>
              <w:topLinePunct w:val="0"/>
              <w:autoSpaceDE/>
              <w:autoSpaceDN/>
              <w:bidi w:val="0"/>
              <w:adjustRightInd/>
              <w:snapToGrid/>
              <w:spacing w:before="0" w:after="0" w:line="360" w:lineRule="auto"/>
              <w:ind w:firstLine="420" w:firstLineChars="200"/>
              <w:jc w:val="both"/>
              <w:textAlignment w:val="auto"/>
              <w:rPr>
                <w:rFonts w:hint="eastAsia"/>
                <w:sz w:val="21"/>
                <w:szCs w:val="21"/>
                <w:highlight w:val="none"/>
                <w:lang w:val="en-US" w:eastAsia="zh-CN"/>
              </w:rPr>
            </w:pPr>
            <w:r>
              <w:rPr>
                <w:rFonts w:hint="eastAsia"/>
                <w:sz w:val="21"/>
                <w:szCs w:val="21"/>
                <w:highlight w:val="none"/>
                <w:lang w:val="en-US" w:eastAsia="zh-CN"/>
              </w:rPr>
              <w:t>4、适用网络和电源设备：服务器、交换机、路由器、电脑、防火墙、摄像头、硬盘录像机、录播设备、多媒体设备、LED等。</w:t>
            </w:r>
          </w:p>
          <w:p w14:paraId="51FC37A5">
            <w:pPr>
              <w:pageBreakBefore w:val="0"/>
              <w:widowControl w:val="0"/>
              <w:kinsoku/>
              <w:wordWrap/>
              <w:overflowPunct/>
              <w:topLinePunct w:val="0"/>
              <w:autoSpaceDE/>
              <w:autoSpaceDN/>
              <w:bidi w:val="0"/>
              <w:adjustRightInd/>
              <w:snapToGrid/>
              <w:spacing w:before="0" w:after="0" w:line="360" w:lineRule="auto"/>
              <w:ind w:firstLine="420" w:firstLineChars="200"/>
              <w:jc w:val="both"/>
              <w:textAlignment w:val="auto"/>
              <w:rPr>
                <w:rFonts w:hint="default"/>
                <w:sz w:val="21"/>
                <w:szCs w:val="21"/>
                <w:highlight w:val="none"/>
                <w:lang w:val="en-US" w:eastAsia="zh-CN"/>
              </w:rPr>
            </w:pPr>
            <w:r>
              <w:rPr>
                <w:rFonts w:hint="eastAsia"/>
                <w:sz w:val="21"/>
                <w:szCs w:val="21"/>
                <w:highlight w:val="none"/>
                <w:lang w:val="en-US" w:eastAsia="zh-CN"/>
              </w:rPr>
              <w:t>三、配套插座1套</w:t>
            </w:r>
          </w:p>
        </w:tc>
        <w:tc>
          <w:tcPr>
            <w:tcW w:w="245" w:type="pct"/>
            <w:tcBorders>
              <w:top w:val="single" w:color="auto" w:sz="4" w:space="0"/>
              <w:left w:val="single" w:color="auto" w:sz="4" w:space="0"/>
              <w:bottom w:val="single" w:color="auto" w:sz="4" w:space="0"/>
              <w:right w:val="single" w:color="auto" w:sz="4" w:space="0"/>
            </w:tcBorders>
            <w:noWrap w:val="0"/>
            <w:vAlign w:val="center"/>
          </w:tcPr>
          <w:p w14:paraId="34CFEE84">
            <w:pPr>
              <w:keepNext w:val="0"/>
              <w:keepLines/>
              <w:pageBreakBefore w:val="0"/>
              <w:widowControl w:val="0"/>
              <w:kinsoku/>
              <w:wordWrap w:val="0"/>
              <w:overflowPunct/>
              <w:topLinePunct/>
              <w:autoSpaceDE/>
              <w:autoSpaceDN/>
              <w:bidi w:val="0"/>
              <w:spacing w:before="0" w:after="0" w:line="360" w:lineRule="auto"/>
              <w:jc w:val="center"/>
              <w:textAlignment w:val="auto"/>
              <w:outlineLvl w:val="9"/>
              <w:rPr>
                <w:rFonts w:hint="eastAsia" w:ascii="宋体" w:hAnsi="宋体" w:eastAsia="宋体" w:cs="宋体"/>
                <w:color w:val="000000"/>
                <w:sz w:val="21"/>
                <w:szCs w:val="21"/>
                <w:highlight w:val="none"/>
                <w:lang w:eastAsia="zh-CN"/>
              </w:rPr>
            </w:pPr>
            <w:r>
              <w:rPr>
                <w:rFonts w:hint="eastAsia" w:ascii="宋体" w:hAnsi="宋体" w:cs="宋体"/>
                <w:color w:val="000000"/>
                <w:sz w:val="21"/>
                <w:szCs w:val="21"/>
                <w:highlight w:val="none"/>
                <w:lang w:val="en-US" w:eastAsia="zh-CN"/>
              </w:rPr>
              <w:t>点</w:t>
            </w:r>
          </w:p>
        </w:tc>
        <w:tc>
          <w:tcPr>
            <w:tcW w:w="347" w:type="pct"/>
            <w:tcBorders>
              <w:top w:val="single" w:color="auto" w:sz="4" w:space="0"/>
              <w:left w:val="single" w:color="auto" w:sz="4" w:space="0"/>
              <w:bottom w:val="single" w:color="auto" w:sz="4" w:space="0"/>
              <w:right w:val="single" w:color="auto" w:sz="4" w:space="0"/>
            </w:tcBorders>
            <w:noWrap w:val="0"/>
            <w:vAlign w:val="center"/>
          </w:tcPr>
          <w:p w14:paraId="4BDFB7CB">
            <w:pPr>
              <w:keepNext w:val="0"/>
              <w:keepLines/>
              <w:pageBreakBefore w:val="0"/>
              <w:widowControl w:val="0"/>
              <w:kinsoku/>
              <w:wordWrap w:val="0"/>
              <w:overflowPunct/>
              <w:topLinePunct/>
              <w:autoSpaceDE/>
              <w:autoSpaceDN/>
              <w:bidi w:val="0"/>
              <w:spacing w:before="0" w:after="0" w:line="360" w:lineRule="auto"/>
              <w:jc w:val="center"/>
              <w:textAlignment w:val="auto"/>
              <w:outlineLvl w:val="9"/>
              <w:rPr>
                <w:rFonts w:hint="default" w:ascii="宋体" w:hAnsi="宋体" w:eastAsia="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211</w:t>
            </w:r>
          </w:p>
        </w:tc>
      </w:tr>
    </w:tbl>
    <w:p w14:paraId="35DFE2BD">
      <w:pPr>
        <w:rPr>
          <w:rFonts w:hint="eastAsia" w:ascii="宋体" w:hAnsi="宋体" w:cs="宋体"/>
          <w:sz w:val="21"/>
          <w:szCs w:val="21"/>
          <w:highlight w:val="none"/>
          <w:u w:val="single"/>
        </w:rPr>
      </w:pPr>
      <w:r>
        <w:rPr>
          <w:rFonts w:hint="eastAsia" w:ascii="宋体" w:hAnsi="宋体" w:cs="宋体"/>
          <w:sz w:val="21"/>
          <w:szCs w:val="21"/>
          <w:highlight w:val="none"/>
          <w:u w:val="single"/>
        </w:rPr>
        <w:br w:type="page"/>
      </w:r>
    </w:p>
    <w:tbl>
      <w:tblPr>
        <w:tblStyle w:val="32"/>
        <w:tblW w:w="102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0"/>
        <w:gridCol w:w="8522"/>
      </w:tblGrid>
      <w:tr w14:paraId="4951C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10242" w:type="dxa"/>
            <w:gridSpan w:val="2"/>
            <w:noWrap w:val="0"/>
            <w:vAlign w:val="center"/>
          </w:tcPr>
          <w:p w14:paraId="1FCE7CFC">
            <w:pPr>
              <w:widowControl/>
              <w:spacing w:line="360" w:lineRule="auto"/>
              <w:jc w:val="left"/>
              <w:rPr>
                <w:rFonts w:hint="eastAsia" w:ascii="宋体" w:hAnsi="宋体" w:eastAsia="宋体" w:cs="宋体"/>
                <w:b/>
                <w:bCs/>
                <w:kern w:val="0"/>
                <w:sz w:val="24"/>
                <w:szCs w:val="24"/>
                <w:highlight w:val="none"/>
              </w:rPr>
            </w:pPr>
            <w:r>
              <w:rPr>
                <w:rFonts w:hint="eastAsia" w:ascii="宋体" w:hAnsi="宋体" w:eastAsia="宋体" w:cs="宋体"/>
                <w:sz w:val="21"/>
                <w:szCs w:val="21"/>
                <w:highlight w:val="none"/>
              </w:rPr>
              <w:t>▲</w:t>
            </w:r>
            <w:r>
              <w:rPr>
                <w:rFonts w:hint="eastAsia" w:ascii="宋体" w:hAnsi="宋体" w:eastAsia="宋体" w:cs="宋体"/>
                <w:b/>
                <w:bCs/>
                <w:kern w:val="0"/>
                <w:sz w:val="24"/>
                <w:szCs w:val="24"/>
                <w:highlight w:val="none"/>
                <w:lang w:val="en-US" w:eastAsia="zh-CN"/>
              </w:rPr>
              <w:t>二、</w:t>
            </w:r>
            <w:r>
              <w:rPr>
                <w:rFonts w:hint="eastAsia" w:ascii="宋体" w:hAnsi="宋体" w:eastAsia="宋体" w:cs="宋体"/>
                <w:b/>
                <w:bCs/>
                <w:kern w:val="0"/>
                <w:sz w:val="24"/>
                <w:szCs w:val="24"/>
                <w:highlight w:val="none"/>
              </w:rPr>
              <w:t>商务要求（商务要求不允许负偏离）</w:t>
            </w:r>
          </w:p>
        </w:tc>
      </w:tr>
      <w:tr w14:paraId="25248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720" w:type="dxa"/>
            <w:noWrap w:val="0"/>
            <w:vAlign w:val="center"/>
          </w:tcPr>
          <w:p w14:paraId="375639DC">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服务要求</w:t>
            </w:r>
          </w:p>
        </w:tc>
        <w:tc>
          <w:tcPr>
            <w:tcW w:w="8522" w:type="dxa"/>
            <w:noWrap w:val="0"/>
            <w:vAlign w:val="center"/>
          </w:tcPr>
          <w:p w14:paraId="55199D75">
            <w:pPr>
              <w:keepNext w:val="0"/>
              <w:keepLines/>
              <w:pageBreakBefore w:val="0"/>
              <w:widowControl w:val="0"/>
              <w:numPr>
                <w:ilvl w:val="0"/>
                <w:numId w:val="0"/>
              </w:numPr>
              <w:kinsoku/>
              <w:wordWrap w:val="0"/>
              <w:overflowPunct/>
              <w:topLinePunct/>
              <w:autoSpaceDE/>
              <w:autoSpaceDN/>
              <w:bidi w:val="0"/>
              <w:adjustRightInd/>
              <w:snapToGrid/>
              <w:spacing w:line="360" w:lineRule="auto"/>
              <w:ind w:firstLine="420" w:firstLineChars="200"/>
              <w:textAlignment w:val="auto"/>
              <w:outlineLvl w:val="9"/>
              <w:rPr>
                <w:rFonts w:hint="eastAsia" w:ascii="宋体" w:hAnsi="宋体" w:eastAsia="宋体" w:cs="宋体"/>
                <w:color w:val="000000"/>
                <w:kern w:val="0"/>
                <w:sz w:val="21"/>
                <w:szCs w:val="21"/>
                <w:highlight w:val="none"/>
              </w:rPr>
            </w:pPr>
            <w:r>
              <w:rPr>
                <w:rFonts w:hint="eastAsia" w:ascii="宋体" w:hAnsi="宋体" w:cs="宋体"/>
                <w:color w:val="000000"/>
                <w:kern w:val="0"/>
                <w:sz w:val="21"/>
                <w:szCs w:val="21"/>
                <w:highlight w:val="none"/>
                <w:lang w:val="en-US" w:eastAsia="zh-CN"/>
              </w:rPr>
              <w:t>1.服务</w:t>
            </w:r>
            <w:r>
              <w:rPr>
                <w:rFonts w:hint="eastAsia" w:ascii="宋体" w:hAnsi="宋体" w:eastAsia="宋体" w:cs="宋体"/>
                <w:color w:val="000000"/>
                <w:kern w:val="0"/>
                <w:sz w:val="21"/>
                <w:szCs w:val="21"/>
                <w:highlight w:val="none"/>
              </w:rPr>
              <w:t>范围内的免费技术培训。</w:t>
            </w:r>
          </w:p>
          <w:p w14:paraId="21134F92">
            <w:pPr>
              <w:keepNext w:val="0"/>
              <w:keepLines/>
              <w:pageBreakBefore w:val="0"/>
              <w:widowControl w:val="0"/>
              <w:numPr>
                <w:ilvl w:val="0"/>
                <w:numId w:val="0"/>
              </w:numPr>
              <w:kinsoku/>
              <w:wordWrap w:val="0"/>
              <w:overflowPunct/>
              <w:topLinePunct/>
              <w:autoSpaceDE/>
              <w:autoSpaceDN/>
              <w:bidi w:val="0"/>
              <w:adjustRightInd/>
              <w:snapToGrid/>
              <w:spacing w:line="360" w:lineRule="auto"/>
              <w:ind w:firstLine="420" w:firstLineChars="200"/>
              <w:textAlignment w:val="auto"/>
              <w:outlineLvl w:val="9"/>
              <w:rPr>
                <w:rFonts w:hint="eastAsia" w:ascii="宋体" w:hAnsi="宋体" w:eastAsia="宋体" w:cs="宋体"/>
                <w:color w:val="000000"/>
                <w:kern w:val="0"/>
                <w:sz w:val="21"/>
                <w:szCs w:val="21"/>
                <w:highlight w:val="none"/>
              </w:rPr>
            </w:pPr>
            <w:r>
              <w:rPr>
                <w:rFonts w:hint="eastAsia" w:ascii="宋体" w:hAnsi="宋体" w:cs="宋体"/>
                <w:color w:val="000000"/>
                <w:kern w:val="0"/>
                <w:sz w:val="21"/>
                <w:szCs w:val="21"/>
                <w:highlight w:val="none"/>
                <w:lang w:val="en-US" w:eastAsia="zh-CN"/>
              </w:rPr>
              <w:t>2.服务内容第一项中</w:t>
            </w:r>
            <w:r>
              <w:rPr>
                <w:rFonts w:hint="eastAsia" w:ascii="宋体" w:hAnsi="宋体" w:cs="宋体"/>
                <w:color w:val="000000"/>
                <w:sz w:val="21"/>
                <w:szCs w:val="21"/>
                <w:highlight w:val="none"/>
                <w:lang w:val="en-US" w:eastAsia="zh-CN"/>
              </w:rPr>
              <w:t>，专用网络链路租赁服务须在5个工作日内完成建设并投入使用，如超过5个工作日未完成的，视为自动放弃。</w:t>
            </w:r>
          </w:p>
          <w:p w14:paraId="03891F28">
            <w:pPr>
              <w:keepNext w:val="0"/>
              <w:keepLines/>
              <w:pageBreakBefore w:val="0"/>
              <w:widowControl w:val="0"/>
              <w:kinsoku/>
              <w:wordWrap w:val="0"/>
              <w:overflowPunct/>
              <w:topLinePunct/>
              <w:autoSpaceDE/>
              <w:autoSpaceDN/>
              <w:bidi w:val="0"/>
              <w:adjustRightInd/>
              <w:snapToGrid/>
              <w:spacing w:line="360" w:lineRule="auto"/>
              <w:ind w:firstLine="420" w:firstLineChars="200"/>
              <w:textAlignment w:val="auto"/>
              <w:outlineLvl w:val="9"/>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lang w:val="en-US" w:eastAsia="zh-CN"/>
              </w:rPr>
              <w:t>3</w:t>
            </w:r>
            <w:r>
              <w:rPr>
                <w:rFonts w:hint="eastAsia" w:ascii="宋体" w:hAnsi="宋体" w:eastAsia="宋体" w:cs="宋体"/>
                <w:color w:val="000000"/>
                <w:kern w:val="0"/>
                <w:sz w:val="21"/>
                <w:szCs w:val="21"/>
                <w:highlight w:val="none"/>
              </w:rPr>
              <w:t>.在电路租用期间应提供免费传输知识培训，指导做好日常维护。</w:t>
            </w:r>
          </w:p>
          <w:p w14:paraId="217D4EFB">
            <w:pPr>
              <w:keepNext w:val="0"/>
              <w:keepLines/>
              <w:pageBreakBefore w:val="0"/>
              <w:widowControl w:val="0"/>
              <w:kinsoku/>
              <w:wordWrap w:val="0"/>
              <w:overflowPunct/>
              <w:topLinePunct/>
              <w:autoSpaceDE/>
              <w:autoSpaceDN/>
              <w:bidi w:val="0"/>
              <w:adjustRightInd/>
              <w:snapToGrid/>
              <w:spacing w:line="360" w:lineRule="auto"/>
              <w:ind w:firstLine="420" w:firstLineChars="200"/>
              <w:textAlignment w:val="auto"/>
              <w:outlineLvl w:val="9"/>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lang w:val="en-US" w:eastAsia="zh-CN"/>
              </w:rPr>
              <w:t>4</w:t>
            </w:r>
            <w:r>
              <w:rPr>
                <w:rFonts w:hint="eastAsia" w:ascii="宋体" w:hAnsi="宋体" w:eastAsia="宋体" w:cs="宋体"/>
                <w:color w:val="000000"/>
                <w:kern w:val="0"/>
                <w:sz w:val="21"/>
                <w:szCs w:val="21"/>
                <w:highlight w:val="none"/>
              </w:rPr>
              <w:t>.提供售后服务承诺书，在线路使用当地有专人实施电路的售后服务，提供售后服务联系人名单，详细地址及联系方式，并提出维护能力证明。</w:t>
            </w:r>
          </w:p>
          <w:p w14:paraId="02A44C2A">
            <w:pPr>
              <w:keepNext w:val="0"/>
              <w:keepLines/>
              <w:pageBreakBefore w:val="0"/>
              <w:widowControl w:val="0"/>
              <w:kinsoku/>
              <w:wordWrap w:val="0"/>
              <w:overflowPunct/>
              <w:topLinePunct/>
              <w:autoSpaceDE/>
              <w:autoSpaceDN/>
              <w:bidi w:val="0"/>
              <w:adjustRightInd/>
              <w:snapToGrid/>
              <w:spacing w:line="360" w:lineRule="auto"/>
              <w:ind w:firstLine="420" w:firstLineChars="200"/>
              <w:textAlignment w:val="auto"/>
              <w:outlineLvl w:val="9"/>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lang w:val="en-US" w:eastAsia="zh-CN"/>
              </w:rPr>
              <w:t>5</w:t>
            </w:r>
            <w:r>
              <w:rPr>
                <w:rFonts w:hint="eastAsia" w:ascii="宋体" w:hAnsi="宋体" w:eastAsia="宋体" w:cs="宋体"/>
                <w:color w:val="000000"/>
                <w:kern w:val="0"/>
                <w:sz w:val="21"/>
                <w:szCs w:val="21"/>
                <w:highlight w:val="none"/>
              </w:rPr>
              <w:t>.提供7×24小时热线电话服务，并提供多个故障申告途径及绿色通道，做到全方位响应，业务恢复时限≤12小时，故障响应时间≤30分钟。</w:t>
            </w:r>
          </w:p>
          <w:p w14:paraId="41ED7919">
            <w:pPr>
              <w:keepNext w:val="0"/>
              <w:keepLines/>
              <w:pageBreakBefore w:val="0"/>
              <w:widowControl w:val="0"/>
              <w:kinsoku/>
              <w:wordWrap w:val="0"/>
              <w:overflowPunct/>
              <w:topLinePunct/>
              <w:autoSpaceDE/>
              <w:autoSpaceDN/>
              <w:bidi w:val="0"/>
              <w:adjustRightInd/>
              <w:snapToGrid/>
              <w:spacing w:line="360" w:lineRule="auto"/>
              <w:ind w:firstLine="420" w:firstLineChars="200"/>
              <w:textAlignment w:val="auto"/>
              <w:outlineLvl w:val="9"/>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lang w:val="en-US" w:eastAsia="zh-CN"/>
              </w:rPr>
              <w:t>6</w:t>
            </w:r>
            <w:r>
              <w:rPr>
                <w:rFonts w:hint="eastAsia" w:ascii="宋体" w:hAnsi="宋体" w:eastAsia="宋体" w:cs="宋体"/>
                <w:color w:val="000000"/>
                <w:kern w:val="0"/>
                <w:sz w:val="21"/>
                <w:szCs w:val="21"/>
                <w:highlight w:val="none"/>
              </w:rPr>
              <w:t>.负责保证网络的畅通，负责使用单位</w:t>
            </w:r>
            <w:r>
              <w:rPr>
                <w:rFonts w:hint="eastAsia" w:ascii="宋体" w:hAnsi="宋体" w:eastAsia="宋体" w:cs="宋体"/>
                <w:color w:val="000000"/>
                <w:kern w:val="0"/>
                <w:sz w:val="21"/>
                <w:szCs w:val="21"/>
                <w:highlight w:val="none"/>
                <w:lang w:val="en-US" w:eastAsia="zh-CN"/>
              </w:rPr>
              <w:t>网络设备onu</w:t>
            </w:r>
            <w:r>
              <w:rPr>
                <w:rFonts w:hint="eastAsia" w:ascii="宋体" w:hAnsi="宋体" w:eastAsia="宋体" w:cs="宋体"/>
                <w:color w:val="000000"/>
                <w:kern w:val="0"/>
                <w:sz w:val="21"/>
                <w:szCs w:val="21"/>
                <w:highlight w:val="none"/>
              </w:rPr>
              <w:t>免费运行维护，如果主干网络出现问题，在接到报告后1个小时内到达现场，负责排除故障，直到网络恢复正常。</w:t>
            </w:r>
          </w:p>
          <w:p w14:paraId="3063F1BC">
            <w:pPr>
              <w:keepNext w:val="0"/>
              <w:keepLines/>
              <w:pageBreakBefore w:val="0"/>
              <w:widowControl w:val="0"/>
              <w:kinsoku/>
              <w:wordWrap w:val="0"/>
              <w:overflowPunct/>
              <w:topLinePunct/>
              <w:autoSpaceDE/>
              <w:autoSpaceDN/>
              <w:bidi w:val="0"/>
              <w:adjustRightInd/>
              <w:snapToGrid/>
              <w:spacing w:line="360" w:lineRule="auto"/>
              <w:ind w:firstLine="420" w:firstLineChars="200"/>
              <w:textAlignment w:val="auto"/>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7.（1）</w:t>
            </w:r>
            <w:r>
              <w:rPr>
                <w:rFonts w:hint="eastAsia" w:ascii="宋体" w:hAnsi="宋体" w:eastAsia="宋体" w:cs="宋体"/>
                <w:color w:val="000000"/>
                <w:kern w:val="2"/>
                <w:sz w:val="21"/>
                <w:szCs w:val="21"/>
                <w:highlight w:val="none"/>
                <w:lang w:val="en-US" w:eastAsia="zh-CN" w:bidi="ar-SA"/>
              </w:rPr>
              <w:t>重大活动期间（如节假日、安保任务），须安排专人现场值守，增加巡检频次，提供相关证明台账资料。</w:t>
            </w:r>
          </w:p>
          <w:p w14:paraId="6FABDB7B">
            <w:pPr>
              <w:keepNext w:val="0"/>
              <w:keepLines/>
              <w:pageBreakBefore w:val="0"/>
              <w:widowControl w:val="0"/>
              <w:kinsoku/>
              <w:wordWrap w:val="0"/>
              <w:overflowPunct/>
              <w:topLinePunct/>
              <w:autoSpaceDE/>
              <w:autoSpaceDN/>
              <w:bidi w:val="0"/>
              <w:adjustRightInd/>
              <w:snapToGrid/>
              <w:spacing w:line="360" w:lineRule="auto"/>
              <w:ind w:firstLine="420" w:firstLineChars="200"/>
              <w:textAlignment w:val="auto"/>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（2）链路要求在线率达</w:t>
            </w:r>
            <w:r>
              <w:rPr>
                <w:rFonts w:hint="eastAsia" w:ascii="宋体" w:hAnsi="宋体" w:eastAsia="宋体" w:cs="宋体"/>
                <w:color w:val="FF0000"/>
                <w:kern w:val="2"/>
                <w:sz w:val="21"/>
                <w:szCs w:val="21"/>
                <w:highlight w:val="none"/>
                <w:lang w:val="en-US" w:eastAsia="zh-CN" w:bidi="ar-SA"/>
              </w:rPr>
              <w:t>9</w:t>
            </w:r>
            <w:r>
              <w:rPr>
                <w:rFonts w:hint="eastAsia" w:ascii="宋体" w:hAnsi="宋体" w:cs="宋体"/>
                <w:color w:val="FF0000"/>
                <w:kern w:val="2"/>
                <w:sz w:val="21"/>
                <w:szCs w:val="21"/>
                <w:highlight w:val="none"/>
                <w:lang w:val="en-US" w:eastAsia="zh-CN" w:bidi="ar-SA"/>
              </w:rPr>
              <w:t>5</w:t>
            </w:r>
            <w:r>
              <w:rPr>
                <w:rFonts w:hint="eastAsia" w:ascii="宋体" w:hAnsi="宋体" w:eastAsia="宋体" w:cs="宋体"/>
                <w:color w:val="FF0000"/>
                <w:kern w:val="2"/>
                <w:sz w:val="21"/>
                <w:szCs w:val="21"/>
                <w:highlight w:val="none"/>
                <w:lang w:val="en-US" w:eastAsia="zh-CN" w:bidi="ar-SA"/>
              </w:rPr>
              <w:t>%</w:t>
            </w:r>
            <w:r>
              <w:rPr>
                <w:rFonts w:hint="eastAsia" w:ascii="宋体" w:hAnsi="宋体" w:eastAsia="宋体" w:cs="宋体"/>
                <w:color w:val="000000"/>
                <w:kern w:val="2"/>
                <w:sz w:val="21"/>
                <w:szCs w:val="21"/>
                <w:highlight w:val="none"/>
                <w:lang w:val="en-US" w:eastAsia="zh-CN" w:bidi="ar-SA"/>
              </w:rPr>
              <w:t>及以上。同时每季度提供《链路运行季报》，含线路在线率、维修报告及现场工作照片、丢包率、光功率等指标。</w:t>
            </w:r>
          </w:p>
          <w:p w14:paraId="22E7C6A0">
            <w:pPr>
              <w:keepNext w:val="0"/>
              <w:keepLines/>
              <w:pageBreakBefore w:val="0"/>
              <w:widowControl w:val="0"/>
              <w:kinsoku/>
              <w:wordWrap w:val="0"/>
              <w:overflowPunct/>
              <w:topLinePunct/>
              <w:autoSpaceDE/>
              <w:autoSpaceDN/>
              <w:bidi w:val="0"/>
              <w:adjustRightInd/>
              <w:snapToGrid/>
              <w:spacing w:line="360" w:lineRule="auto"/>
              <w:ind w:firstLine="420" w:firstLineChars="200"/>
              <w:textAlignment w:val="auto"/>
              <w:outlineLvl w:val="9"/>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（3）所有参与本项目的施工、运维人员持有有效身份证件，主动告知并接受</w:t>
            </w:r>
            <w:r>
              <w:rPr>
                <w:rFonts w:hint="eastAsia" w:ascii="宋体" w:hAnsi="宋体" w:cs="宋体"/>
                <w:color w:val="000000"/>
                <w:kern w:val="2"/>
                <w:sz w:val="21"/>
                <w:szCs w:val="21"/>
                <w:highlight w:val="none"/>
                <w:lang w:val="en-US" w:eastAsia="zh-CN" w:bidi="ar-SA"/>
              </w:rPr>
              <w:t>采购人</w:t>
            </w:r>
            <w:r>
              <w:rPr>
                <w:rFonts w:hint="eastAsia" w:ascii="宋体" w:hAnsi="宋体" w:eastAsia="宋体" w:cs="宋体"/>
                <w:color w:val="000000"/>
                <w:kern w:val="2"/>
                <w:sz w:val="21"/>
                <w:szCs w:val="21"/>
                <w:highlight w:val="none"/>
                <w:lang w:val="en-US" w:eastAsia="zh-CN" w:bidi="ar-SA"/>
              </w:rPr>
              <w:t>背景核查，签订相关保密协议承诺书，如人员更换应及时告知</w:t>
            </w:r>
            <w:r>
              <w:rPr>
                <w:rFonts w:hint="eastAsia" w:ascii="宋体" w:hAnsi="宋体" w:cs="宋体"/>
                <w:color w:val="000000"/>
                <w:kern w:val="2"/>
                <w:sz w:val="21"/>
                <w:szCs w:val="21"/>
                <w:highlight w:val="none"/>
                <w:lang w:val="en-US" w:eastAsia="zh-CN" w:bidi="ar-SA"/>
              </w:rPr>
              <w:t>采购人</w:t>
            </w:r>
            <w:r>
              <w:rPr>
                <w:rFonts w:hint="eastAsia" w:ascii="宋体" w:hAnsi="宋体" w:eastAsia="宋体" w:cs="宋体"/>
                <w:color w:val="000000"/>
                <w:kern w:val="2"/>
                <w:sz w:val="21"/>
                <w:szCs w:val="21"/>
                <w:highlight w:val="none"/>
                <w:lang w:val="en-US" w:eastAsia="zh-CN" w:bidi="ar-SA"/>
              </w:rPr>
              <w:t>。</w:t>
            </w:r>
          </w:p>
          <w:p w14:paraId="438F0079">
            <w:pPr>
              <w:keepNext w:val="0"/>
              <w:pageBreakBefore w:val="0"/>
              <w:widowControl w:val="0"/>
              <w:kinsoku/>
              <w:overflowPunct/>
              <w:autoSpaceDE/>
              <w:autoSpaceDN/>
              <w:bidi w:val="0"/>
              <w:adjustRightInd w:val="0"/>
              <w:snapToGrid w:val="0"/>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color w:val="000000"/>
                <w:kern w:val="2"/>
                <w:sz w:val="21"/>
                <w:szCs w:val="21"/>
                <w:highlight w:val="none"/>
                <w:lang w:val="en-US" w:eastAsia="zh-CN" w:bidi="ar-SA"/>
              </w:rPr>
              <w:t>8.</w:t>
            </w:r>
            <w:r>
              <w:rPr>
                <w:rFonts w:hint="eastAsia" w:ascii="宋体" w:hAnsi="宋体" w:eastAsia="宋体" w:cs="宋体"/>
                <w:color w:val="000000"/>
                <w:sz w:val="21"/>
                <w:szCs w:val="21"/>
                <w:highlight w:val="none"/>
                <w:lang w:eastAsia="zh-CN" w:bidi="ar"/>
              </w:rPr>
              <w:t>在服务期内，</w:t>
            </w:r>
            <w:r>
              <w:rPr>
                <w:rFonts w:hint="eastAsia" w:ascii="宋体" w:hAnsi="宋体" w:cs="宋体"/>
                <w:color w:val="000000"/>
                <w:sz w:val="21"/>
                <w:szCs w:val="21"/>
                <w:highlight w:val="none"/>
                <w:lang w:eastAsia="zh-CN" w:bidi="ar"/>
              </w:rPr>
              <w:t>成交供应商</w:t>
            </w:r>
            <w:r>
              <w:rPr>
                <w:rFonts w:hint="eastAsia" w:ascii="宋体" w:hAnsi="宋体" w:eastAsia="宋体" w:cs="宋体"/>
                <w:color w:val="000000"/>
                <w:sz w:val="21"/>
                <w:szCs w:val="21"/>
                <w:highlight w:val="none"/>
                <w:lang w:eastAsia="zh-CN" w:bidi="ar"/>
              </w:rPr>
              <w:t>必须要将项目服务中的相关人员购买社保及人身意外保险，并要求管理人员及工作人员在日常工作中，必须做好安全措施，穿着统一的反光工作服，项目运维过程中发生交通事故、工伤事故等安全事故责任均由</w:t>
            </w:r>
            <w:r>
              <w:rPr>
                <w:rFonts w:hint="eastAsia" w:ascii="宋体" w:hAnsi="宋体" w:cs="宋体"/>
                <w:color w:val="000000"/>
                <w:sz w:val="21"/>
                <w:szCs w:val="21"/>
                <w:highlight w:val="none"/>
                <w:lang w:eastAsia="zh-CN" w:bidi="ar"/>
              </w:rPr>
              <w:t>成交供应商</w:t>
            </w:r>
            <w:r>
              <w:rPr>
                <w:rFonts w:hint="eastAsia" w:ascii="宋体" w:hAnsi="宋体" w:eastAsia="宋体" w:cs="宋体"/>
                <w:color w:val="000000"/>
                <w:sz w:val="21"/>
                <w:szCs w:val="21"/>
                <w:highlight w:val="none"/>
                <w:lang w:eastAsia="zh-CN" w:bidi="ar"/>
              </w:rPr>
              <w:t>自行承担。</w:t>
            </w:r>
          </w:p>
        </w:tc>
      </w:tr>
      <w:tr w14:paraId="4FC8E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0" w:type="dxa"/>
            <w:noWrap w:val="0"/>
            <w:vAlign w:val="center"/>
          </w:tcPr>
          <w:p w14:paraId="7392BF9F">
            <w:pPr>
              <w:adjustRightInd w:val="0"/>
              <w:snapToGrid w:val="0"/>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服务期限及服务地点</w:t>
            </w:r>
          </w:p>
        </w:tc>
        <w:tc>
          <w:tcPr>
            <w:tcW w:w="8522" w:type="dxa"/>
            <w:noWrap w:val="0"/>
            <w:vAlign w:val="top"/>
          </w:tcPr>
          <w:p w14:paraId="6E20BDC0">
            <w:pPr>
              <w:adjustRightInd w:val="0"/>
              <w:snapToGrid w:val="0"/>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rPr>
              <w:t>服务期限：自验收合格并交付使用之日起</w:t>
            </w:r>
            <w:r>
              <w:rPr>
                <w:rFonts w:hint="eastAsia" w:ascii="宋体" w:hAnsi="宋体" w:eastAsia="宋体" w:cs="宋体"/>
                <w:sz w:val="21"/>
                <w:szCs w:val="21"/>
                <w:highlight w:val="none"/>
                <w:lang w:val="en-US" w:eastAsia="zh-CN"/>
              </w:rPr>
              <w:t>12</w:t>
            </w:r>
            <w:r>
              <w:rPr>
                <w:rFonts w:hint="eastAsia" w:ascii="宋体" w:hAnsi="宋体" w:eastAsia="宋体" w:cs="宋体"/>
                <w:sz w:val="21"/>
                <w:szCs w:val="21"/>
                <w:highlight w:val="none"/>
              </w:rPr>
              <w:t>个月。</w:t>
            </w:r>
          </w:p>
          <w:p w14:paraId="48AB95ED">
            <w:pPr>
              <w:adjustRightInd w:val="0"/>
              <w:snapToGrid w:val="0"/>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、服务地点：</w:t>
            </w:r>
            <w:r>
              <w:rPr>
                <w:rFonts w:hint="eastAsia" w:ascii="宋体" w:hAnsi="宋体" w:cs="宋体"/>
                <w:sz w:val="21"/>
                <w:szCs w:val="21"/>
                <w:highlight w:val="none"/>
                <w:lang w:val="en-US" w:eastAsia="zh-CN"/>
              </w:rPr>
              <w:t>资源县</w:t>
            </w:r>
            <w:r>
              <w:rPr>
                <w:rFonts w:hint="eastAsia" w:ascii="宋体" w:hAnsi="宋体" w:eastAsia="宋体" w:cs="宋体"/>
                <w:sz w:val="21"/>
                <w:szCs w:val="21"/>
                <w:highlight w:val="none"/>
              </w:rPr>
              <w:t>区域内采购人指定地点。</w:t>
            </w:r>
          </w:p>
          <w:p w14:paraId="7FE09DB6">
            <w:pPr>
              <w:adjustRightInd w:val="0"/>
              <w:snapToGrid w:val="0"/>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、交付使用期限：自签订合同之日起</w:t>
            </w:r>
            <w:r>
              <w:rPr>
                <w:rFonts w:hint="eastAsia" w:ascii="宋体" w:hAnsi="宋体" w:cs="宋体"/>
                <w:sz w:val="21"/>
                <w:szCs w:val="21"/>
                <w:highlight w:val="none"/>
                <w:lang w:val="en-US" w:eastAsia="zh-CN"/>
              </w:rPr>
              <w:t>15</w:t>
            </w:r>
            <w:r>
              <w:rPr>
                <w:rFonts w:hint="eastAsia" w:ascii="宋体" w:hAnsi="宋体" w:eastAsia="宋体" w:cs="宋体"/>
                <w:sz w:val="21"/>
                <w:szCs w:val="21"/>
                <w:highlight w:val="none"/>
              </w:rPr>
              <w:t>个工作日内交付。</w:t>
            </w:r>
          </w:p>
          <w:p w14:paraId="25FE9BF7">
            <w:pPr>
              <w:adjustRightInd w:val="0"/>
              <w:snapToGrid w:val="0"/>
              <w:spacing w:line="360" w:lineRule="auto"/>
              <w:jc w:val="left"/>
              <w:textAlignment w:val="center"/>
              <w:rPr>
                <w:rFonts w:hint="eastAsia" w:ascii="宋体" w:hAnsi="宋体" w:eastAsia="宋体" w:cs="宋体"/>
                <w:bCs/>
                <w:kern w:val="0"/>
                <w:sz w:val="21"/>
                <w:szCs w:val="21"/>
                <w:highlight w:val="none"/>
                <w:lang w:bidi="ar"/>
              </w:rPr>
            </w:pPr>
            <w:r>
              <w:rPr>
                <w:rFonts w:hint="eastAsia" w:ascii="宋体" w:hAnsi="宋体" w:eastAsia="宋体" w:cs="宋体"/>
                <w:sz w:val="21"/>
                <w:szCs w:val="21"/>
                <w:highlight w:val="none"/>
                <w:lang w:val="en-US" w:eastAsia="zh-CN"/>
              </w:rPr>
              <w:t>4</w:t>
            </w:r>
            <w:r>
              <w:rPr>
                <w:rFonts w:hint="eastAsia" w:ascii="宋体" w:hAnsi="宋体" w:eastAsia="宋体" w:cs="宋体"/>
                <w:sz w:val="21"/>
                <w:szCs w:val="21"/>
                <w:highlight w:val="none"/>
              </w:rPr>
              <w:t>、交付方式：现场</w:t>
            </w:r>
            <w:r>
              <w:rPr>
                <w:rFonts w:hint="eastAsia" w:ascii="宋体" w:hAnsi="宋体" w:eastAsia="宋体" w:cs="宋体"/>
                <w:sz w:val="21"/>
                <w:szCs w:val="21"/>
                <w:highlight w:val="none"/>
                <w:lang w:val="en-US" w:eastAsia="zh-CN"/>
              </w:rPr>
              <w:t>方式</w:t>
            </w:r>
            <w:r>
              <w:rPr>
                <w:rFonts w:hint="eastAsia" w:ascii="宋体" w:hAnsi="宋体" w:eastAsia="宋体" w:cs="宋体"/>
                <w:sz w:val="21"/>
                <w:szCs w:val="21"/>
                <w:highlight w:val="none"/>
              </w:rPr>
              <w:t>。</w:t>
            </w:r>
          </w:p>
        </w:tc>
      </w:tr>
      <w:tr w14:paraId="35FF7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5" w:hRule="atLeast"/>
          <w:jc w:val="center"/>
        </w:trPr>
        <w:tc>
          <w:tcPr>
            <w:tcW w:w="1720" w:type="dxa"/>
            <w:noWrap w:val="0"/>
            <w:vAlign w:val="center"/>
          </w:tcPr>
          <w:p w14:paraId="68B26642">
            <w:pPr>
              <w:adjustRightInd w:val="0"/>
              <w:snapToGrid w:val="0"/>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现场勘察</w:t>
            </w:r>
          </w:p>
        </w:tc>
        <w:tc>
          <w:tcPr>
            <w:tcW w:w="8522" w:type="dxa"/>
            <w:noWrap w:val="0"/>
            <w:vAlign w:val="top"/>
          </w:tcPr>
          <w:p w14:paraId="0B3A3F6C">
            <w:pPr>
              <w:adjustRightInd w:val="0"/>
              <w:snapToGrid w:val="0"/>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1、潜在</w:t>
            </w:r>
            <w:r>
              <w:rPr>
                <w:rFonts w:hint="eastAsia" w:ascii="宋体" w:hAnsi="宋体" w:eastAsia="宋体" w:cs="宋体"/>
                <w:sz w:val="21"/>
                <w:szCs w:val="21"/>
                <w:highlight w:val="none"/>
                <w:lang w:val="en-US" w:eastAsia="zh-CN"/>
              </w:rPr>
              <w:t>供应商</w:t>
            </w:r>
            <w:r>
              <w:rPr>
                <w:rFonts w:hint="eastAsia" w:ascii="宋体" w:hAnsi="宋体" w:eastAsia="宋体" w:cs="宋体"/>
                <w:sz w:val="21"/>
                <w:szCs w:val="21"/>
                <w:highlight w:val="none"/>
              </w:rPr>
              <w:t>可自行（非强制性要求）勘查现场，本项目</w:t>
            </w:r>
            <w:r>
              <w:rPr>
                <w:rFonts w:hint="eastAsia" w:ascii="宋体" w:hAnsi="宋体" w:cs="宋体"/>
                <w:sz w:val="21"/>
                <w:szCs w:val="21"/>
                <w:highlight w:val="none"/>
                <w:lang w:val="en-US" w:eastAsia="zh-CN"/>
              </w:rPr>
              <w:t>前端监控</w:t>
            </w:r>
            <w:r>
              <w:rPr>
                <w:rFonts w:hint="eastAsia" w:ascii="宋体" w:hAnsi="宋体" w:eastAsia="宋体" w:cs="宋体"/>
                <w:sz w:val="21"/>
                <w:szCs w:val="21"/>
                <w:highlight w:val="none"/>
              </w:rPr>
              <w:t>的设备点位覆盖</w:t>
            </w:r>
            <w:r>
              <w:rPr>
                <w:rFonts w:hint="eastAsia" w:ascii="宋体" w:hAnsi="宋体" w:cs="宋体"/>
                <w:sz w:val="21"/>
                <w:szCs w:val="21"/>
                <w:highlight w:val="none"/>
                <w:lang w:val="en-US" w:eastAsia="zh-CN"/>
              </w:rPr>
              <w:t>资源县</w:t>
            </w:r>
            <w:r>
              <w:rPr>
                <w:rFonts w:hint="eastAsia" w:ascii="宋体" w:hAnsi="宋体" w:eastAsia="宋体" w:cs="宋体"/>
                <w:sz w:val="21"/>
                <w:szCs w:val="21"/>
                <w:highlight w:val="none"/>
              </w:rPr>
              <w:t>区域内，每个点位的安装角度</w:t>
            </w:r>
            <w:r>
              <w:rPr>
                <w:rFonts w:hint="eastAsia" w:ascii="宋体" w:hAnsi="宋体" w:cs="宋体"/>
                <w:sz w:val="21"/>
                <w:szCs w:val="21"/>
                <w:highlight w:val="none"/>
                <w:lang w:eastAsia="zh-CN"/>
              </w:rPr>
              <w:t>、</w:t>
            </w:r>
            <w:r>
              <w:rPr>
                <w:rFonts w:hint="eastAsia" w:ascii="宋体" w:hAnsi="宋体" w:eastAsia="宋体" w:cs="宋体"/>
                <w:sz w:val="21"/>
                <w:szCs w:val="21"/>
                <w:highlight w:val="none"/>
              </w:rPr>
              <w:t>覆盖位置</w:t>
            </w:r>
            <w:r>
              <w:rPr>
                <w:rFonts w:hint="eastAsia" w:ascii="宋体" w:hAnsi="宋体" w:cs="宋体"/>
                <w:sz w:val="21"/>
                <w:szCs w:val="21"/>
                <w:highlight w:val="none"/>
                <w:lang w:eastAsia="zh-CN"/>
              </w:rPr>
              <w:t>、</w:t>
            </w:r>
            <w:r>
              <w:rPr>
                <w:rFonts w:hint="eastAsia" w:ascii="宋体" w:hAnsi="宋体" w:eastAsia="宋体" w:cs="宋体"/>
                <w:sz w:val="21"/>
                <w:szCs w:val="21"/>
                <w:highlight w:val="none"/>
              </w:rPr>
              <w:t>杆件长度不一致，潜在</w:t>
            </w:r>
            <w:r>
              <w:rPr>
                <w:rFonts w:hint="eastAsia" w:ascii="宋体" w:hAnsi="宋体" w:eastAsia="宋体" w:cs="宋体"/>
                <w:sz w:val="21"/>
                <w:szCs w:val="21"/>
                <w:highlight w:val="none"/>
                <w:lang w:val="en-US" w:eastAsia="zh-CN"/>
              </w:rPr>
              <w:t>供应商</w:t>
            </w:r>
            <w:r>
              <w:rPr>
                <w:rFonts w:hint="eastAsia" w:ascii="宋体" w:hAnsi="宋体" w:eastAsia="宋体" w:cs="宋体"/>
                <w:sz w:val="21"/>
                <w:szCs w:val="21"/>
                <w:highlight w:val="none"/>
              </w:rPr>
              <w:t>通过现场勘察制定</w:t>
            </w:r>
            <w:r>
              <w:rPr>
                <w:rFonts w:hint="eastAsia" w:ascii="宋体" w:hAnsi="宋体" w:cs="宋体"/>
                <w:sz w:val="21"/>
                <w:szCs w:val="21"/>
                <w:highlight w:val="none"/>
                <w:lang w:val="en-US" w:eastAsia="zh-CN"/>
              </w:rPr>
              <w:t>相应的</w:t>
            </w:r>
            <w:r>
              <w:rPr>
                <w:rFonts w:hint="eastAsia" w:ascii="宋体" w:hAnsi="宋体" w:eastAsia="宋体" w:cs="宋体"/>
                <w:sz w:val="21"/>
                <w:szCs w:val="21"/>
                <w:highlight w:val="none"/>
              </w:rPr>
              <w:t>维护方案。</w:t>
            </w:r>
          </w:p>
          <w:p w14:paraId="50AFD613">
            <w:pPr>
              <w:adjustRightInd w:val="0"/>
              <w:snapToGrid w:val="0"/>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2、由各潜在</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自行勘查，请参加人员自行准备交通工具，现场勘察所发生的一切费用及人生安全自行承担。</w:t>
            </w:r>
          </w:p>
        </w:tc>
      </w:tr>
      <w:tr w14:paraId="02F76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0" w:type="dxa"/>
            <w:noWrap w:val="0"/>
            <w:vAlign w:val="center"/>
          </w:tcPr>
          <w:p w14:paraId="75E9D303">
            <w:pPr>
              <w:adjustRightInd w:val="0"/>
              <w:snapToGrid w:val="0"/>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付款方式</w:t>
            </w:r>
          </w:p>
        </w:tc>
        <w:tc>
          <w:tcPr>
            <w:tcW w:w="8522" w:type="dxa"/>
            <w:noWrap w:val="0"/>
            <w:vAlign w:val="center"/>
          </w:tcPr>
          <w:p w14:paraId="7D7508F7">
            <w:pPr>
              <w:adjustRightInd w:val="0"/>
              <w:snapToGrid w:val="0"/>
              <w:spacing w:line="360" w:lineRule="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项目竣工后</w:t>
            </w:r>
            <w:r>
              <w:rPr>
                <w:rFonts w:hint="eastAsia" w:ascii="宋体" w:hAnsi="宋体" w:cs="宋体"/>
                <w:sz w:val="21"/>
                <w:szCs w:val="21"/>
                <w:highlight w:val="none"/>
                <w:lang w:val="en-US" w:eastAsia="zh-CN"/>
              </w:rPr>
              <w:t>成交</w:t>
            </w:r>
            <w:r>
              <w:rPr>
                <w:rFonts w:hint="eastAsia" w:ascii="宋体" w:hAnsi="宋体" w:eastAsia="宋体" w:cs="宋体"/>
                <w:sz w:val="21"/>
                <w:szCs w:val="21"/>
                <w:highlight w:val="none"/>
              </w:rPr>
              <w:t>供应商上报项目移交申请书，采购人应在收到项目移交申请书后15个工作日</w:t>
            </w:r>
            <w:r>
              <w:rPr>
                <w:rFonts w:hint="eastAsia" w:ascii="宋体" w:hAnsi="宋体" w:eastAsia="宋体" w:cs="宋体"/>
                <w:sz w:val="21"/>
                <w:szCs w:val="21"/>
                <w:highlight w:val="none"/>
                <w:lang w:val="en-US" w:eastAsia="zh-CN"/>
              </w:rPr>
              <w:t>内</w:t>
            </w:r>
            <w:r>
              <w:rPr>
                <w:rFonts w:hint="eastAsia" w:ascii="宋体" w:hAnsi="宋体" w:eastAsia="宋体" w:cs="宋体"/>
                <w:sz w:val="21"/>
                <w:szCs w:val="21"/>
                <w:highlight w:val="none"/>
              </w:rPr>
              <w:t>进行验收，此次验收合格后次月开始7个工作日内支付中标金额的1/12，剩余合同金额按每月等额支付。</w:t>
            </w:r>
          </w:p>
        </w:tc>
      </w:tr>
      <w:tr w14:paraId="60DFA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0" w:type="dxa"/>
            <w:noWrap w:val="0"/>
            <w:vAlign w:val="center"/>
          </w:tcPr>
          <w:p w14:paraId="03C3B7B7">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验收标准、规范</w:t>
            </w:r>
          </w:p>
        </w:tc>
        <w:tc>
          <w:tcPr>
            <w:tcW w:w="8522" w:type="dxa"/>
            <w:noWrap w:val="0"/>
            <w:vAlign w:val="center"/>
          </w:tcPr>
          <w:p w14:paraId="065D68AD">
            <w:pPr>
              <w:snapToGrid w:val="0"/>
              <w:spacing w:line="360" w:lineRule="auto"/>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1、符合合同要求及国家相关标准；</w:t>
            </w:r>
          </w:p>
          <w:p w14:paraId="1B1AF476">
            <w:pPr>
              <w:snapToGrid w:val="0"/>
              <w:spacing w:line="360" w:lineRule="auto"/>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2、服务内容符合或优于合同要求；</w:t>
            </w:r>
          </w:p>
          <w:p w14:paraId="787B6FD0">
            <w:pPr>
              <w:snapToGrid w:val="0"/>
              <w:spacing w:line="360" w:lineRule="auto"/>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3、供应商提供所招标采购的服务、配套设备、所属装置等有关技术资料作为验收的参考依据；</w:t>
            </w:r>
          </w:p>
          <w:p w14:paraId="6F81C378">
            <w:pPr>
              <w:snapToGrid w:val="0"/>
              <w:spacing w:line="360" w:lineRule="auto"/>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4、验收过程中所产生的一切费用均由供应商承担，供应商报价时应考虑相关费用；</w:t>
            </w:r>
          </w:p>
          <w:p w14:paraId="7DA0721F">
            <w:pPr>
              <w:snapToGrid w:val="0"/>
              <w:spacing w:line="360" w:lineRule="auto"/>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5、供应商在服务成果验收时由采购单位对照采购文件的服务参数全面核对检验，对所有要求出具的证明文件的原件进行核查，如不符合采购文件的服务需求以及提供虚假承诺的，按相关规定作违约处理，供应商承担所有责任和费用，采购人保留进一步追究责任的权利；</w:t>
            </w:r>
          </w:p>
          <w:p w14:paraId="6411AC19">
            <w:pPr>
              <w:snapToGrid w:val="0"/>
              <w:spacing w:line="360" w:lineRule="auto"/>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6、采购标的需执行国家标准、行业标准、地方标准或者其他标准、规范，如有最新的按最新的执行；</w:t>
            </w:r>
          </w:p>
          <w:p w14:paraId="073D7860">
            <w:pPr>
              <w:snapToGrid w:val="0"/>
              <w:spacing w:line="360" w:lineRule="auto"/>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7、验收不通过的，根据采购人意见进行整改，直到验收通过为止，期间产生相关费用由供应商承担。</w:t>
            </w:r>
          </w:p>
        </w:tc>
      </w:tr>
      <w:tr w14:paraId="2DD23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0" w:type="dxa"/>
            <w:noWrap w:val="0"/>
            <w:vAlign w:val="center"/>
          </w:tcPr>
          <w:p w14:paraId="49AD2125">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其它要求</w:t>
            </w:r>
          </w:p>
        </w:tc>
        <w:tc>
          <w:tcPr>
            <w:tcW w:w="8522" w:type="dxa"/>
            <w:noWrap w:val="0"/>
            <w:vAlign w:val="center"/>
          </w:tcPr>
          <w:p w14:paraId="36263589">
            <w:pPr>
              <w:spacing w:line="360" w:lineRule="auto"/>
              <w:jc w:val="left"/>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1、报价必须包含以下部分，包括：</w:t>
            </w:r>
          </w:p>
          <w:p w14:paraId="384426F9">
            <w:pPr>
              <w:spacing w:line="360" w:lineRule="auto"/>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（1）服务的价格。</w:t>
            </w:r>
          </w:p>
          <w:p w14:paraId="3E9B1A2A">
            <w:pPr>
              <w:spacing w:line="360" w:lineRule="auto"/>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（2）服务接入设备</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杆件及辅材</w:t>
            </w:r>
            <w:r>
              <w:rPr>
                <w:rFonts w:hint="eastAsia" w:ascii="宋体" w:hAnsi="宋体" w:eastAsia="宋体" w:cs="宋体"/>
                <w:sz w:val="21"/>
                <w:szCs w:val="21"/>
                <w:highlight w:val="none"/>
              </w:rPr>
              <w:t>的价格。</w:t>
            </w:r>
          </w:p>
          <w:p w14:paraId="632CAA03">
            <w:pPr>
              <w:spacing w:line="360" w:lineRule="auto"/>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（3）运输、装卸、调试、验收、培训、维修、技术支持、售后服务费。</w:t>
            </w:r>
          </w:p>
          <w:p w14:paraId="0E986DD1">
            <w:pPr>
              <w:spacing w:line="360" w:lineRule="auto"/>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4</w:t>
            </w:r>
            <w:r>
              <w:rPr>
                <w:rFonts w:hint="eastAsia" w:ascii="宋体" w:hAnsi="宋体" w:eastAsia="宋体" w:cs="宋体"/>
                <w:sz w:val="21"/>
                <w:szCs w:val="21"/>
                <w:highlight w:val="none"/>
              </w:rPr>
              <w:t>）供应商须自行考虑完成项目所需的全部内容（包括验收）中产生的所有费用，采购人不再支付额外费用。</w:t>
            </w:r>
          </w:p>
          <w:p w14:paraId="33823EF6">
            <w:pPr>
              <w:spacing w:line="360" w:lineRule="auto"/>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5</w:t>
            </w:r>
            <w:r>
              <w:rPr>
                <w:rFonts w:hint="eastAsia" w:ascii="宋体" w:hAnsi="宋体" w:eastAsia="宋体" w:cs="宋体"/>
                <w:sz w:val="21"/>
                <w:szCs w:val="21"/>
                <w:highlight w:val="none"/>
              </w:rPr>
              <w:t>）供应商应对本项目所有服务内容进行总承包报价，采购人不再支付任何费用。</w:t>
            </w:r>
          </w:p>
          <w:p w14:paraId="3AACBB6F">
            <w:pPr>
              <w:spacing w:line="360" w:lineRule="auto"/>
              <w:jc w:val="left"/>
              <w:rPr>
                <w:rFonts w:hint="eastAsia" w:eastAsia="宋体"/>
                <w:strike w:val="0"/>
                <w:sz w:val="21"/>
                <w:szCs w:val="21"/>
                <w:highlight w:val="none"/>
                <w:lang w:val="en-US" w:eastAsia="zh-CN"/>
              </w:rPr>
            </w:pP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6</w:t>
            </w:r>
            <w:r>
              <w:rPr>
                <w:rFonts w:hint="eastAsia" w:ascii="宋体" w:hAnsi="宋体" w:eastAsia="宋体" w:cs="宋体"/>
                <w:sz w:val="21"/>
                <w:szCs w:val="21"/>
                <w:highlight w:val="none"/>
              </w:rPr>
              <w:t>）</w:t>
            </w:r>
            <w:r>
              <w:rPr>
                <w:rFonts w:hint="eastAsia" w:ascii="宋体" w:hAnsi="宋体" w:cs="宋体"/>
                <w:strike w:val="0"/>
                <w:dstrike w:val="0"/>
                <w:sz w:val="21"/>
                <w:szCs w:val="21"/>
                <w:highlight w:val="none"/>
                <w:lang w:val="en-US" w:eastAsia="zh-CN"/>
              </w:rPr>
              <w:t>摄像头终端等设备在服务期内</w:t>
            </w:r>
            <w:r>
              <w:rPr>
                <w:rFonts w:hint="eastAsia" w:ascii="宋体" w:hAnsi="宋体" w:eastAsia="宋体" w:cs="宋体"/>
                <w:strike w:val="0"/>
                <w:dstrike w:val="0"/>
                <w:sz w:val="21"/>
                <w:szCs w:val="21"/>
                <w:highlight w:val="none"/>
              </w:rPr>
              <w:t>取电</w:t>
            </w:r>
            <w:r>
              <w:rPr>
                <w:rFonts w:hint="eastAsia" w:ascii="宋体" w:hAnsi="宋体" w:cs="宋体"/>
                <w:strike w:val="0"/>
                <w:dstrike w:val="0"/>
                <w:sz w:val="21"/>
                <w:szCs w:val="21"/>
                <w:highlight w:val="none"/>
                <w:lang w:eastAsia="zh-CN"/>
              </w:rPr>
              <w:t>、</w:t>
            </w:r>
            <w:r>
              <w:rPr>
                <w:rFonts w:hint="eastAsia" w:ascii="宋体" w:hAnsi="宋体" w:cs="宋体"/>
                <w:strike w:val="0"/>
                <w:dstrike w:val="0"/>
                <w:sz w:val="21"/>
                <w:szCs w:val="21"/>
                <w:highlight w:val="none"/>
                <w:lang w:val="en-US" w:eastAsia="zh-CN"/>
              </w:rPr>
              <w:t>用电电费</w:t>
            </w:r>
            <w:r>
              <w:rPr>
                <w:rFonts w:hint="eastAsia" w:ascii="宋体" w:hAnsi="宋体" w:eastAsia="宋体" w:cs="宋体"/>
                <w:strike w:val="0"/>
                <w:dstrike w:val="0"/>
                <w:sz w:val="21"/>
                <w:szCs w:val="21"/>
                <w:highlight w:val="none"/>
              </w:rPr>
              <w:t>及日常电力使用问题由</w:t>
            </w:r>
            <w:r>
              <w:rPr>
                <w:rFonts w:hint="eastAsia" w:ascii="宋体" w:hAnsi="宋体" w:cs="宋体"/>
                <w:strike w:val="0"/>
                <w:dstrike w:val="0"/>
                <w:sz w:val="21"/>
                <w:szCs w:val="21"/>
                <w:highlight w:val="none"/>
                <w:lang w:val="en-US" w:eastAsia="zh-CN"/>
              </w:rPr>
              <w:t>供应商</w:t>
            </w:r>
            <w:r>
              <w:rPr>
                <w:rFonts w:hint="eastAsia" w:ascii="宋体" w:hAnsi="宋体" w:eastAsia="宋体" w:cs="宋体"/>
                <w:strike w:val="0"/>
                <w:dstrike w:val="0"/>
                <w:sz w:val="21"/>
                <w:szCs w:val="21"/>
                <w:highlight w:val="none"/>
              </w:rPr>
              <w:t>负责</w:t>
            </w:r>
            <w:r>
              <w:rPr>
                <w:rFonts w:hint="eastAsia" w:ascii="宋体" w:hAnsi="宋体" w:cs="宋体"/>
                <w:strike w:val="0"/>
                <w:dstrike w:val="0"/>
                <w:sz w:val="21"/>
                <w:szCs w:val="21"/>
                <w:highlight w:val="none"/>
                <w:lang w:eastAsia="zh-CN"/>
              </w:rPr>
              <w:t>。</w:t>
            </w:r>
          </w:p>
          <w:p w14:paraId="1D67B11D">
            <w:pPr>
              <w:spacing w:line="360" w:lineRule="auto"/>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7</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知识产权归属：本项目知识产权归属归采购人所有，未经采购人同意，中标</w:t>
            </w:r>
            <w:r>
              <w:rPr>
                <w:rFonts w:hint="eastAsia" w:ascii="宋体" w:hAnsi="宋体" w:eastAsia="宋体" w:cs="宋体"/>
                <w:color w:val="000000"/>
                <w:sz w:val="21"/>
                <w:szCs w:val="21"/>
                <w:highlight w:val="none"/>
                <w:lang w:val="en-US" w:eastAsia="zh-CN"/>
              </w:rPr>
              <w:t>/成交供应</w:t>
            </w:r>
            <w:r>
              <w:rPr>
                <w:rFonts w:hint="eastAsia" w:ascii="宋体" w:hAnsi="宋体" w:eastAsia="宋体" w:cs="宋体"/>
                <w:sz w:val="21"/>
                <w:szCs w:val="21"/>
                <w:highlight w:val="none"/>
                <w:lang w:val="en-US" w:eastAsia="zh-CN"/>
              </w:rPr>
              <w:t>商不得将有关于本项目所有内容事项告知第三方，因此对采购人造成损害损失的，由中标</w:t>
            </w:r>
            <w:r>
              <w:rPr>
                <w:rFonts w:hint="eastAsia" w:ascii="宋体" w:hAnsi="宋体" w:eastAsia="宋体" w:cs="宋体"/>
                <w:color w:val="000000"/>
                <w:sz w:val="21"/>
                <w:szCs w:val="21"/>
                <w:highlight w:val="none"/>
                <w:lang w:val="en-US" w:eastAsia="zh-CN"/>
              </w:rPr>
              <w:t>/成交</w:t>
            </w:r>
            <w:r>
              <w:rPr>
                <w:rFonts w:hint="eastAsia" w:ascii="宋体" w:hAnsi="宋体" w:eastAsia="宋体" w:cs="宋体"/>
                <w:sz w:val="21"/>
                <w:szCs w:val="21"/>
                <w:highlight w:val="none"/>
                <w:lang w:val="en-US" w:eastAsia="zh-CN"/>
              </w:rPr>
              <w:t>供应商承担一切法律责任。</w:t>
            </w:r>
          </w:p>
          <w:p w14:paraId="3F060BE8">
            <w:pPr>
              <w:spacing w:line="360" w:lineRule="auto"/>
              <w:jc w:val="left"/>
              <w:rPr>
                <w:rFonts w:hint="default" w:eastAsia="宋体"/>
                <w:sz w:val="21"/>
                <w:szCs w:val="21"/>
                <w:highlight w:val="none"/>
                <w:lang w:val="en-US" w:eastAsia="zh-CN"/>
              </w:rPr>
            </w:pPr>
            <w:r>
              <w:rPr>
                <w:rFonts w:hint="eastAsia" w:ascii="宋体" w:hAnsi="宋体" w:eastAsia="宋体" w:cs="宋体"/>
                <w:b/>
                <w:bCs/>
                <w:sz w:val="21"/>
                <w:szCs w:val="21"/>
                <w:highlight w:val="none"/>
                <w:lang w:val="en-US" w:eastAsia="zh-CN"/>
              </w:rPr>
              <w:t>2</w:t>
            </w:r>
            <w:r>
              <w:rPr>
                <w:rFonts w:hint="eastAsia" w:ascii="宋体" w:hAnsi="宋体" w:eastAsia="宋体" w:cs="宋体"/>
                <w:b/>
                <w:bCs/>
                <w:sz w:val="21"/>
                <w:szCs w:val="21"/>
                <w:highlight w:val="none"/>
              </w:rPr>
              <w:t>、本项目政府采购最高限价为人民币：</w:t>
            </w:r>
            <w:r>
              <w:rPr>
                <w:rFonts w:hint="eastAsia" w:ascii="宋体" w:hAnsi="宋体" w:cs="宋体"/>
                <w:b/>
                <w:bCs/>
                <w:sz w:val="21"/>
                <w:szCs w:val="21"/>
                <w:highlight w:val="none"/>
                <w:lang w:val="en-US" w:eastAsia="zh-CN"/>
              </w:rPr>
              <w:t>肆拾陆万陆仟叁佰捌拾元整</w:t>
            </w:r>
            <w:r>
              <w:rPr>
                <w:rFonts w:hint="eastAsia" w:ascii="宋体" w:hAnsi="宋体" w:eastAsia="宋体" w:cs="宋体"/>
                <w:b/>
                <w:bCs/>
                <w:sz w:val="21"/>
                <w:szCs w:val="21"/>
                <w:highlight w:val="none"/>
              </w:rPr>
              <w:t>（¥</w:t>
            </w:r>
            <w:r>
              <w:rPr>
                <w:rFonts w:hint="eastAsia" w:ascii="宋体" w:hAnsi="宋体" w:cs="宋体"/>
                <w:b/>
                <w:bCs/>
                <w:sz w:val="21"/>
                <w:szCs w:val="21"/>
                <w:highlight w:val="none"/>
                <w:lang w:val="en-US" w:eastAsia="zh-CN"/>
              </w:rPr>
              <w:t>466380</w:t>
            </w:r>
            <w:r>
              <w:rPr>
                <w:rFonts w:hint="eastAsia" w:ascii="宋体" w:hAnsi="宋体" w:eastAsia="宋体" w:cs="宋体"/>
                <w:b/>
                <w:bCs/>
                <w:sz w:val="21"/>
                <w:szCs w:val="21"/>
                <w:highlight w:val="none"/>
              </w:rPr>
              <w:t>.00元）</w:t>
            </w:r>
            <w:r>
              <w:rPr>
                <w:rFonts w:hint="eastAsia" w:ascii="宋体" w:hAnsi="宋体" w:eastAsia="宋体" w:cs="宋体"/>
                <w:sz w:val="21"/>
                <w:szCs w:val="21"/>
                <w:highlight w:val="none"/>
              </w:rPr>
              <w:t>，</w:t>
            </w:r>
            <w:r>
              <w:rPr>
                <w:rFonts w:hint="eastAsia" w:ascii="宋体" w:hAnsi="宋体" w:eastAsia="宋体" w:cs="宋体"/>
                <w:sz w:val="21"/>
                <w:szCs w:val="21"/>
                <w:highlight w:val="none"/>
                <w:lang w:eastAsia="zh-CN"/>
              </w:rPr>
              <w:t>竞标</w:t>
            </w:r>
            <w:r>
              <w:rPr>
                <w:rFonts w:hint="eastAsia" w:ascii="宋体" w:hAnsi="宋体" w:eastAsia="宋体" w:cs="宋体"/>
                <w:sz w:val="21"/>
                <w:szCs w:val="21"/>
                <w:highlight w:val="none"/>
              </w:rPr>
              <w:t>报价超出最高限价的作</w:t>
            </w:r>
            <w:r>
              <w:rPr>
                <w:rFonts w:hint="eastAsia" w:ascii="宋体" w:hAnsi="宋体" w:cs="宋体"/>
                <w:sz w:val="21"/>
                <w:szCs w:val="21"/>
                <w:highlight w:val="none"/>
                <w:lang w:eastAsia="zh-CN"/>
              </w:rPr>
              <w:t>磋商无效处理</w:t>
            </w:r>
            <w:r>
              <w:rPr>
                <w:rFonts w:hint="eastAsia" w:ascii="宋体" w:hAnsi="宋体" w:eastAsia="宋体" w:cs="宋体"/>
                <w:sz w:val="21"/>
                <w:szCs w:val="21"/>
                <w:highlight w:val="none"/>
              </w:rPr>
              <w:t>。</w:t>
            </w:r>
          </w:p>
        </w:tc>
      </w:tr>
    </w:tbl>
    <w:p w14:paraId="58D5B6A6">
      <w:pPr>
        <w:spacing w:line="360" w:lineRule="auto"/>
        <w:ind w:left="-10" w:leftChars="-5" w:right="2" w:rightChars="1" w:firstLine="420" w:firstLineChars="200"/>
        <w:rPr>
          <w:rFonts w:hint="eastAsia" w:ascii="宋体" w:hAnsi="宋体" w:cs="宋体"/>
          <w:sz w:val="21"/>
          <w:szCs w:val="21"/>
          <w:highlight w:val="none"/>
          <w:u w:val="single"/>
        </w:rPr>
      </w:pPr>
    </w:p>
    <w:p w14:paraId="7A806398">
      <w:pPr>
        <w:jc w:val="left"/>
        <w:rPr>
          <w:rFonts w:hint="eastAsia" w:ascii="宋体" w:hAnsi="宋体" w:eastAsia="宋体" w:cs="宋体"/>
          <w:bCs/>
          <w:sz w:val="21"/>
          <w:highlight w:val="none"/>
          <w:u w:val="single"/>
        </w:rPr>
      </w:pPr>
      <w:r>
        <w:rPr>
          <w:rFonts w:hint="eastAsia" w:ascii="宋体" w:hAnsi="宋体" w:eastAsia="宋体" w:cs="宋体"/>
          <w:bCs/>
          <w:sz w:val="21"/>
          <w:highlight w:val="none"/>
          <w:u w:val="single"/>
        </w:rPr>
        <w:br w:type="page"/>
      </w:r>
    </w:p>
    <w:tbl>
      <w:tblPr>
        <w:tblStyle w:val="32"/>
        <w:tblW w:w="995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637"/>
        <w:gridCol w:w="1020"/>
        <w:gridCol w:w="7118"/>
        <w:gridCol w:w="488"/>
        <w:gridCol w:w="695"/>
      </w:tblGrid>
      <w:tr w14:paraId="515C63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76" w:hRule="atLeast"/>
          <w:jc w:val="center"/>
        </w:trPr>
        <w:tc>
          <w:tcPr>
            <w:tcW w:w="5000" w:type="pct"/>
            <w:gridSpan w:val="5"/>
            <w:tcBorders>
              <w:top w:val="single" w:color="auto" w:sz="4" w:space="0"/>
              <w:left w:val="single" w:color="auto" w:sz="4" w:space="0"/>
              <w:bottom w:val="single" w:color="auto" w:sz="4" w:space="0"/>
              <w:right w:val="single" w:color="auto" w:sz="4" w:space="0"/>
            </w:tcBorders>
            <w:noWrap w:val="0"/>
            <w:vAlign w:val="center"/>
          </w:tcPr>
          <w:p w14:paraId="1DD09C34">
            <w:pPr>
              <w:keepNext w:val="0"/>
              <w:keepLines/>
              <w:pageBreakBefore w:val="0"/>
              <w:widowControl w:val="0"/>
              <w:kinsoku/>
              <w:wordWrap w:val="0"/>
              <w:overflowPunct/>
              <w:topLinePunct/>
              <w:autoSpaceDE/>
              <w:autoSpaceDN/>
              <w:bidi w:val="0"/>
              <w:spacing w:before="0" w:after="0" w:line="360" w:lineRule="auto"/>
              <w:jc w:val="center"/>
              <w:textAlignment w:val="auto"/>
              <w:outlineLvl w:val="9"/>
              <w:rPr>
                <w:rFonts w:hint="eastAsia" w:ascii="宋体" w:hAnsi="宋体" w:eastAsia="宋体" w:cs="宋体"/>
                <w:b/>
                <w:bCs/>
                <w:color w:val="000000"/>
                <w:sz w:val="21"/>
                <w:szCs w:val="21"/>
                <w:highlight w:val="none"/>
              </w:rPr>
            </w:pPr>
            <w:r>
              <w:rPr>
                <w:rFonts w:hint="eastAsia" w:ascii="宋体" w:hAnsi="宋体" w:cs="宋体"/>
                <w:b/>
                <w:bCs/>
                <w:sz w:val="28"/>
                <w:szCs w:val="28"/>
                <w:highlight w:val="none"/>
                <w:u w:val="none"/>
                <w:lang w:eastAsia="zh-CN"/>
              </w:rPr>
              <w:t>资源县公安局天网工程基础运行维护服务项目（</w:t>
            </w:r>
            <w:r>
              <w:rPr>
                <w:rFonts w:hint="eastAsia" w:ascii="宋体" w:hAnsi="宋体" w:cs="宋体"/>
                <w:b/>
                <w:bCs/>
                <w:sz w:val="28"/>
                <w:szCs w:val="28"/>
                <w:highlight w:val="none"/>
                <w:u w:val="none"/>
                <w:lang w:val="en-US" w:eastAsia="zh-CN"/>
              </w:rPr>
              <w:t>标项二</w:t>
            </w:r>
            <w:r>
              <w:rPr>
                <w:rFonts w:hint="eastAsia" w:ascii="宋体" w:hAnsi="宋体" w:cs="宋体"/>
                <w:b/>
                <w:bCs/>
                <w:sz w:val="28"/>
                <w:szCs w:val="28"/>
                <w:highlight w:val="none"/>
                <w:u w:val="none"/>
                <w:lang w:eastAsia="zh-CN"/>
              </w:rPr>
              <w:t>）</w:t>
            </w:r>
          </w:p>
        </w:tc>
      </w:tr>
      <w:tr w14:paraId="550645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76" w:hRule="atLeast"/>
          <w:jc w:val="center"/>
        </w:trPr>
        <w:tc>
          <w:tcPr>
            <w:tcW w:w="5000" w:type="pct"/>
            <w:gridSpan w:val="5"/>
            <w:tcBorders>
              <w:top w:val="single" w:color="auto" w:sz="4" w:space="0"/>
              <w:left w:val="single" w:color="auto" w:sz="4" w:space="0"/>
              <w:bottom w:val="single" w:color="auto" w:sz="4" w:space="0"/>
              <w:right w:val="single" w:color="auto" w:sz="4" w:space="0"/>
            </w:tcBorders>
            <w:noWrap w:val="0"/>
            <w:vAlign w:val="center"/>
          </w:tcPr>
          <w:p w14:paraId="70C8E5DA">
            <w:pPr>
              <w:keepNext w:val="0"/>
              <w:keepLines/>
              <w:pageBreakBefore w:val="0"/>
              <w:widowControl w:val="0"/>
              <w:kinsoku/>
              <w:wordWrap w:val="0"/>
              <w:overflowPunct/>
              <w:topLinePunct/>
              <w:autoSpaceDE/>
              <w:autoSpaceDN/>
              <w:bidi w:val="0"/>
              <w:spacing w:before="0" w:after="0" w:line="360" w:lineRule="auto"/>
              <w:jc w:val="left"/>
              <w:textAlignment w:val="auto"/>
              <w:outlineLvl w:val="9"/>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br w:type="page"/>
            </w:r>
            <w:r>
              <w:rPr>
                <w:rFonts w:hint="eastAsia" w:ascii="宋体" w:hAnsi="宋体" w:cs="Arial"/>
                <w:b/>
                <w:color w:val="auto"/>
                <w:sz w:val="21"/>
                <w:szCs w:val="21"/>
                <w:highlight w:val="none"/>
                <w:lang w:eastAsia="zh-CN"/>
              </w:rPr>
              <w:t>一、</w:t>
            </w:r>
            <w:r>
              <w:rPr>
                <w:rFonts w:hint="eastAsia" w:ascii="宋体" w:hAnsi="宋体" w:cs="Arial"/>
                <w:b/>
                <w:color w:val="auto"/>
                <w:sz w:val="21"/>
                <w:szCs w:val="21"/>
                <w:highlight w:val="none"/>
              </w:rPr>
              <w:t>采购需求一览表</w:t>
            </w:r>
          </w:p>
        </w:tc>
      </w:tr>
      <w:tr w14:paraId="14ED6D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76" w:hRule="atLeast"/>
          <w:jc w:val="center"/>
        </w:trPr>
        <w:tc>
          <w:tcPr>
            <w:tcW w:w="320" w:type="pct"/>
            <w:tcBorders>
              <w:top w:val="single" w:color="auto" w:sz="4" w:space="0"/>
              <w:left w:val="single" w:color="auto" w:sz="4" w:space="0"/>
              <w:bottom w:val="single" w:color="auto" w:sz="4" w:space="0"/>
              <w:right w:val="single" w:color="auto" w:sz="4" w:space="0"/>
            </w:tcBorders>
            <w:noWrap w:val="0"/>
            <w:vAlign w:val="center"/>
          </w:tcPr>
          <w:p w14:paraId="5577CE95">
            <w:pPr>
              <w:keepNext w:val="0"/>
              <w:keepLines/>
              <w:pageBreakBefore w:val="0"/>
              <w:widowControl w:val="0"/>
              <w:kinsoku/>
              <w:wordWrap w:val="0"/>
              <w:overflowPunct/>
              <w:topLinePunct/>
              <w:autoSpaceDE/>
              <w:autoSpaceDN/>
              <w:bidi w:val="0"/>
              <w:spacing w:before="0" w:after="0" w:line="360" w:lineRule="auto"/>
              <w:jc w:val="center"/>
              <w:textAlignment w:val="auto"/>
              <w:outlineLvl w:val="9"/>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序号</w:t>
            </w:r>
          </w:p>
        </w:tc>
        <w:tc>
          <w:tcPr>
            <w:tcW w:w="512" w:type="pct"/>
            <w:tcBorders>
              <w:top w:val="single" w:color="auto" w:sz="4" w:space="0"/>
              <w:left w:val="single" w:color="auto" w:sz="4" w:space="0"/>
              <w:bottom w:val="single" w:color="auto" w:sz="4" w:space="0"/>
              <w:right w:val="single" w:color="auto" w:sz="4" w:space="0"/>
            </w:tcBorders>
            <w:noWrap w:val="0"/>
            <w:vAlign w:val="center"/>
          </w:tcPr>
          <w:p w14:paraId="23A1235C">
            <w:pPr>
              <w:keepNext w:val="0"/>
              <w:keepLines/>
              <w:pageBreakBefore w:val="0"/>
              <w:widowControl w:val="0"/>
              <w:kinsoku/>
              <w:wordWrap w:val="0"/>
              <w:overflowPunct/>
              <w:topLinePunct/>
              <w:autoSpaceDE/>
              <w:autoSpaceDN/>
              <w:bidi w:val="0"/>
              <w:spacing w:before="0" w:after="0" w:line="360" w:lineRule="auto"/>
              <w:jc w:val="center"/>
              <w:textAlignment w:val="auto"/>
              <w:outlineLvl w:val="9"/>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服务名称</w:t>
            </w:r>
          </w:p>
        </w:tc>
        <w:tc>
          <w:tcPr>
            <w:tcW w:w="3574" w:type="pct"/>
            <w:tcBorders>
              <w:top w:val="single" w:color="auto" w:sz="4" w:space="0"/>
              <w:left w:val="single" w:color="auto" w:sz="4" w:space="0"/>
              <w:bottom w:val="single" w:color="auto" w:sz="4" w:space="0"/>
              <w:right w:val="single" w:color="auto" w:sz="4" w:space="0"/>
            </w:tcBorders>
            <w:noWrap w:val="0"/>
            <w:vAlign w:val="center"/>
          </w:tcPr>
          <w:p w14:paraId="498512F5">
            <w:pPr>
              <w:keepNext w:val="0"/>
              <w:keepLines/>
              <w:pageBreakBefore w:val="0"/>
              <w:widowControl w:val="0"/>
              <w:kinsoku/>
              <w:wordWrap w:val="0"/>
              <w:overflowPunct/>
              <w:topLinePunct/>
              <w:autoSpaceDE/>
              <w:autoSpaceDN/>
              <w:bidi w:val="0"/>
              <w:spacing w:before="0" w:after="0" w:line="360" w:lineRule="auto"/>
              <w:jc w:val="center"/>
              <w:textAlignment w:val="auto"/>
              <w:outlineLvl w:val="9"/>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项目要求及技术需求</w:t>
            </w:r>
          </w:p>
        </w:tc>
        <w:tc>
          <w:tcPr>
            <w:tcW w:w="245" w:type="pct"/>
            <w:tcBorders>
              <w:top w:val="single" w:color="auto" w:sz="4" w:space="0"/>
              <w:left w:val="single" w:color="auto" w:sz="4" w:space="0"/>
              <w:bottom w:val="single" w:color="auto" w:sz="4" w:space="0"/>
              <w:right w:val="single" w:color="auto" w:sz="4" w:space="0"/>
            </w:tcBorders>
            <w:noWrap w:val="0"/>
            <w:vAlign w:val="center"/>
          </w:tcPr>
          <w:p w14:paraId="5CBC452B">
            <w:pPr>
              <w:keepNext w:val="0"/>
              <w:keepLines/>
              <w:pageBreakBefore w:val="0"/>
              <w:widowControl w:val="0"/>
              <w:kinsoku/>
              <w:wordWrap w:val="0"/>
              <w:overflowPunct/>
              <w:topLinePunct/>
              <w:autoSpaceDE/>
              <w:autoSpaceDN/>
              <w:bidi w:val="0"/>
              <w:spacing w:before="0" w:after="0" w:line="360" w:lineRule="auto"/>
              <w:jc w:val="center"/>
              <w:textAlignment w:val="auto"/>
              <w:outlineLvl w:val="9"/>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单位</w:t>
            </w:r>
          </w:p>
        </w:tc>
        <w:tc>
          <w:tcPr>
            <w:tcW w:w="347" w:type="pct"/>
            <w:tcBorders>
              <w:top w:val="single" w:color="auto" w:sz="4" w:space="0"/>
              <w:left w:val="single" w:color="auto" w:sz="4" w:space="0"/>
              <w:bottom w:val="single" w:color="auto" w:sz="4" w:space="0"/>
              <w:right w:val="single" w:color="auto" w:sz="4" w:space="0"/>
            </w:tcBorders>
            <w:noWrap w:val="0"/>
            <w:vAlign w:val="center"/>
          </w:tcPr>
          <w:p w14:paraId="548650A9">
            <w:pPr>
              <w:keepNext w:val="0"/>
              <w:keepLines/>
              <w:pageBreakBefore w:val="0"/>
              <w:widowControl w:val="0"/>
              <w:kinsoku/>
              <w:wordWrap w:val="0"/>
              <w:overflowPunct/>
              <w:topLinePunct/>
              <w:autoSpaceDE/>
              <w:autoSpaceDN/>
              <w:bidi w:val="0"/>
              <w:spacing w:before="0" w:after="0" w:line="360" w:lineRule="auto"/>
              <w:jc w:val="center"/>
              <w:textAlignment w:val="auto"/>
              <w:outlineLvl w:val="9"/>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数量</w:t>
            </w:r>
          </w:p>
        </w:tc>
      </w:tr>
      <w:tr w14:paraId="4B7E37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17" w:hRule="atLeast"/>
          <w:jc w:val="center"/>
        </w:trPr>
        <w:tc>
          <w:tcPr>
            <w:tcW w:w="320" w:type="pct"/>
            <w:tcBorders>
              <w:top w:val="single" w:color="auto" w:sz="4" w:space="0"/>
              <w:left w:val="single" w:color="auto" w:sz="4" w:space="0"/>
              <w:bottom w:val="single" w:color="auto" w:sz="4" w:space="0"/>
              <w:right w:val="single" w:color="auto" w:sz="4" w:space="0"/>
            </w:tcBorders>
            <w:noWrap w:val="0"/>
            <w:vAlign w:val="center"/>
          </w:tcPr>
          <w:p w14:paraId="0794BDB2">
            <w:pPr>
              <w:keepNext w:val="0"/>
              <w:keepLines/>
              <w:pageBreakBefore w:val="0"/>
              <w:widowControl w:val="0"/>
              <w:kinsoku/>
              <w:wordWrap w:val="0"/>
              <w:overflowPunct/>
              <w:topLinePunct/>
              <w:autoSpaceDE/>
              <w:autoSpaceDN/>
              <w:bidi w:val="0"/>
              <w:snapToGrid w:val="0"/>
              <w:spacing w:before="0" w:after="0" w:line="360" w:lineRule="auto"/>
              <w:jc w:val="center"/>
              <w:textAlignment w:val="auto"/>
              <w:outlineLvl w:val="9"/>
              <w:rPr>
                <w:rFonts w:hint="eastAsia" w:ascii="宋体" w:hAnsi="宋体" w:eastAsia="宋体" w:cs="宋体"/>
                <w:b/>
                <w:bCs/>
                <w:color w:val="000000"/>
                <w:sz w:val="21"/>
                <w:szCs w:val="21"/>
                <w:highlight w:val="none"/>
              </w:rPr>
            </w:pPr>
            <w:r>
              <w:rPr>
                <w:rFonts w:hint="eastAsia" w:ascii="宋体" w:hAnsi="宋体" w:eastAsia="宋体" w:cs="宋体"/>
                <w:bCs/>
                <w:color w:val="000000"/>
                <w:sz w:val="21"/>
                <w:szCs w:val="21"/>
                <w:highlight w:val="none"/>
              </w:rPr>
              <w:t>1</w:t>
            </w:r>
          </w:p>
        </w:tc>
        <w:tc>
          <w:tcPr>
            <w:tcW w:w="512" w:type="pct"/>
            <w:tcBorders>
              <w:top w:val="single" w:color="auto" w:sz="4" w:space="0"/>
              <w:left w:val="single" w:color="auto" w:sz="4" w:space="0"/>
              <w:bottom w:val="single" w:color="auto" w:sz="4" w:space="0"/>
              <w:right w:val="single" w:color="auto" w:sz="4" w:space="0"/>
            </w:tcBorders>
            <w:noWrap w:val="0"/>
            <w:vAlign w:val="center"/>
          </w:tcPr>
          <w:p w14:paraId="275C5F3B">
            <w:pPr>
              <w:keepNext w:val="0"/>
              <w:keepLines/>
              <w:pageBreakBefore w:val="0"/>
              <w:widowControl w:val="0"/>
              <w:numPr>
                <w:ilvl w:val="0"/>
                <w:numId w:val="0"/>
              </w:numPr>
              <w:kinsoku/>
              <w:wordWrap w:val="0"/>
              <w:overflowPunct/>
              <w:topLinePunct/>
              <w:autoSpaceDE/>
              <w:autoSpaceDN/>
              <w:bidi w:val="0"/>
              <w:spacing w:before="0" w:after="0" w:line="360" w:lineRule="auto"/>
              <w:textAlignment w:val="auto"/>
              <w:outlineLvl w:val="9"/>
              <w:rPr>
                <w:rFonts w:hint="eastAsia" w:ascii="宋体" w:hAnsi="宋体" w:eastAsia="宋体" w:cs="宋体"/>
                <w:b/>
                <w:bCs/>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专用网络链路租赁服务</w:t>
            </w:r>
          </w:p>
        </w:tc>
        <w:tc>
          <w:tcPr>
            <w:tcW w:w="3574" w:type="pct"/>
            <w:tcBorders>
              <w:top w:val="single" w:color="auto" w:sz="4" w:space="0"/>
              <w:left w:val="single" w:color="auto" w:sz="4" w:space="0"/>
              <w:bottom w:val="single" w:color="auto" w:sz="4" w:space="0"/>
              <w:right w:val="single" w:color="auto" w:sz="4" w:space="0"/>
            </w:tcBorders>
            <w:noWrap w:val="0"/>
            <w:vAlign w:val="center"/>
          </w:tcPr>
          <w:p w14:paraId="0999282E">
            <w:pPr>
              <w:keepNext w:val="0"/>
              <w:keepLines/>
              <w:pageBreakBefore w:val="0"/>
              <w:widowControl w:val="0"/>
              <w:kinsoku/>
              <w:wordWrap w:val="0"/>
              <w:overflowPunct/>
              <w:topLinePunct/>
              <w:autoSpaceDE/>
              <w:autoSpaceDN/>
              <w:bidi w:val="0"/>
              <w:adjustRightInd/>
              <w:snapToGrid/>
              <w:spacing w:line="360" w:lineRule="auto"/>
              <w:ind w:firstLine="422" w:firstLineChars="200"/>
              <w:textAlignment w:val="auto"/>
              <w:rPr>
                <w:rFonts w:hint="eastAsia" w:ascii="宋体" w:hAnsi="宋体" w:eastAsia="宋体" w:cs="宋体"/>
                <w:b/>
                <w:bCs/>
                <w:color w:val="000000"/>
                <w:sz w:val="21"/>
                <w:szCs w:val="21"/>
                <w:highlight w:val="none"/>
                <w:lang w:eastAsia="zh-CN"/>
              </w:rPr>
            </w:pPr>
            <w:r>
              <w:rPr>
                <w:rFonts w:hint="eastAsia" w:ascii="宋体" w:hAnsi="宋体" w:eastAsia="宋体" w:cs="宋体"/>
                <w:b/>
                <w:bCs/>
                <w:color w:val="000000"/>
                <w:sz w:val="21"/>
                <w:szCs w:val="21"/>
                <w:highlight w:val="none"/>
                <w:lang w:eastAsia="zh-CN"/>
              </w:rPr>
              <w:t>（一）监控数据传输链路</w:t>
            </w:r>
            <w:r>
              <w:rPr>
                <w:rFonts w:hint="eastAsia" w:ascii="宋体" w:hAnsi="宋体" w:cs="宋体"/>
                <w:b/>
                <w:bCs/>
                <w:color w:val="000000"/>
                <w:sz w:val="21"/>
                <w:szCs w:val="21"/>
                <w:highlight w:val="none"/>
                <w:lang w:val="en-US" w:eastAsia="zh-CN"/>
              </w:rPr>
              <w:t>技术</w:t>
            </w:r>
            <w:r>
              <w:rPr>
                <w:rFonts w:hint="eastAsia" w:ascii="宋体" w:hAnsi="宋体" w:eastAsia="宋体" w:cs="宋体"/>
                <w:b/>
                <w:bCs/>
                <w:color w:val="000000"/>
                <w:sz w:val="21"/>
                <w:szCs w:val="21"/>
                <w:highlight w:val="none"/>
                <w:lang w:eastAsia="zh-CN"/>
              </w:rPr>
              <w:t>要求：</w:t>
            </w:r>
          </w:p>
          <w:p w14:paraId="2587841F">
            <w:pPr>
              <w:keepNext w:val="0"/>
              <w:keepLines/>
              <w:pageBreakBefore w:val="0"/>
              <w:widowControl w:val="0"/>
              <w:kinsoku/>
              <w:wordWrap w:val="0"/>
              <w:overflowPunct/>
              <w:topLinePunct/>
              <w:autoSpaceDE/>
              <w:autoSpaceDN/>
              <w:bidi w:val="0"/>
              <w:adjustRightInd/>
              <w:snapToGrid/>
              <w:spacing w:line="360" w:lineRule="auto"/>
              <w:ind w:firstLine="420" w:firstLineChars="200"/>
              <w:textAlignment w:val="auto"/>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提供前端监控点位数字光纤链路接入至资源县公安局用于视频传输服务，上行下行带宽对等。</w:t>
            </w:r>
          </w:p>
          <w:p w14:paraId="1618DE02">
            <w:pPr>
              <w:keepNext w:val="0"/>
              <w:keepLines/>
              <w:pageBreakBefore w:val="0"/>
              <w:widowControl w:val="0"/>
              <w:kinsoku/>
              <w:wordWrap w:val="0"/>
              <w:overflowPunct/>
              <w:topLinePunct/>
              <w:autoSpaceDE/>
              <w:autoSpaceDN/>
              <w:bidi w:val="0"/>
              <w:adjustRightInd/>
              <w:snapToGrid/>
              <w:spacing w:line="360" w:lineRule="auto"/>
              <w:ind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eastAsia="zh-CN"/>
              </w:rPr>
              <w:t>1、参照网络技术标准，带宽不低于50Mbps的线路,端到端电路平均网络延时≤50ms；端到端电路丢包率≤1%。</w:t>
            </w:r>
          </w:p>
          <w:p w14:paraId="07A888B0">
            <w:pPr>
              <w:keepNext w:val="0"/>
              <w:keepLines/>
              <w:pageBreakBefore w:val="0"/>
              <w:widowControl w:val="0"/>
              <w:kinsoku/>
              <w:wordWrap w:val="0"/>
              <w:overflowPunct/>
              <w:topLinePunct/>
              <w:autoSpaceDE/>
              <w:autoSpaceDN/>
              <w:bidi w:val="0"/>
              <w:adjustRightInd/>
              <w:snapToGrid/>
              <w:spacing w:line="360" w:lineRule="auto"/>
              <w:ind w:firstLine="422" w:firstLineChars="200"/>
              <w:textAlignment w:val="auto"/>
              <w:rPr>
                <w:rFonts w:hint="eastAsia" w:ascii="宋体" w:hAnsi="宋体" w:eastAsia="宋体" w:cs="宋体"/>
                <w:b/>
                <w:bCs/>
                <w:color w:val="000000"/>
                <w:sz w:val="21"/>
                <w:szCs w:val="21"/>
                <w:highlight w:val="none"/>
                <w:lang w:eastAsia="zh-CN"/>
              </w:rPr>
            </w:pPr>
            <w:r>
              <w:rPr>
                <w:rFonts w:hint="eastAsia" w:ascii="宋体" w:hAnsi="宋体" w:eastAsia="宋体" w:cs="宋体"/>
                <w:b/>
                <w:bCs/>
                <w:color w:val="000000"/>
                <w:sz w:val="21"/>
                <w:szCs w:val="21"/>
                <w:highlight w:val="none"/>
                <w:lang w:eastAsia="zh-CN"/>
              </w:rPr>
              <w:t>（</w:t>
            </w:r>
            <w:r>
              <w:rPr>
                <w:rFonts w:hint="eastAsia" w:ascii="宋体" w:hAnsi="宋体" w:cs="宋体"/>
                <w:b/>
                <w:bCs/>
                <w:color w:val="000000"/>
                <w:sz w:val="21"/>
                <w:szCs w:val="21"/>
                <w:highlight w:val="none"/>
                <w:lang w:val="en-US" w:eastAsia="zh-CN"/>
              </w:rPr>
              <w:t>二</w:t>
            </w:r>
            <w:r>
              <w:rPr>
                <w:rFonts w:hint="eastAsia" w:ascii="宋体" w:hAnsi="宋体" w:eastAsia="宋体" w:cs="宋体"/>
                <w:b/>
                <w:bCs/>
                <w:color w:val="000000"/>
                <w:sz w:val="21"/>
                <w:szCs w:val="21"/>
                <w:highlight w:val="none"/>
                <w:lang w:eastAsia="zh-CN"/>
              </w:rPr>
              <w:t>）监控数据传输链路</w:t>
            </w:r>
            <w:r>
              <w:rPr>
                <w:rFonts w:hint="eastAsia" w:ascii="宋体" w:hAnsi="宋体" w:cs="宋体"/>
                <w:b/>
                <w:bCs/>
                <w:color w:val="000000"/>
                <w:sz w:val="21"/>
                <w:szCs w:val="21"/>
                <w:highlight w:val="none"/>
                <w:lang w:val="en-US" w:eastAsia="zh-CN"/>
              </w:rPr>
              <w:t>服务</w:t>
            </w:r>
            <w:r>
              <w:rPr>
                <w:rFonts w:hint="eastAsia" w:ascii="宋体" w:hAnsi="宋体" w:eastAsia="宋体" w:cs="宋体"/>
                <w:b/>
                <w:bCs/>
                <w:color w:val="000000"/>
                <w:sz w:val="21"/>
                <w:szCs w:val="21"/>
                <w:highlight w:val="none"/>
                <w:lang w:eastAsia="zh-CN"/>
              </w:rPr>
              <w:t>要求：</w:t>
            </w:r>
          </w:p>
          <w:p w14:paraId="763A0DD7">
            <w:pPr>
              <w:keepNext w:val="0"/>
              <w:keepLines/>
              <w:pageBreakBefore w:val="0"/>
              <w:widowControl w:val="0"/>
              <w:kinsoku/>
              <w:wordWrap w:val="0"/>
              <w:overflowPunct/>
              <w:topLinePunct/>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rPr>
            </w:pPr>
            <w:r>
              <w:rPr>
                <w:rFonts w:hint="eastAsia" w:ascii="宋体" w:hAnsi="宋体" w:cs="宋体"/>
                <w:color w:val="000000"/>
                <w:sz w:val="21"/>
                <w:szCs w:val="21"/>
                <w:highlight w:val="none"/>
                <w:lang w:val="en-US" w:eastAsia="zh-CN"/>
              </w:rPr>
              <w:t>1、</w:t>
            </w:r>
            <w:r>
              <w:rPr>
                <w:rFonts w:hint="eastAsia" w:ascii="宋体" w:hAnsi="宋体" w:eastAsia="宋体" w:cs="宋体"/>
                <w:color w:val="000000"/>
                <w:sz w:val="21"/>
                <w:szCs w:val="21"/>
                <w:highlight w:val="none"/>
                <w:lang w:val="en-US" w:eastAsia="zh-CN"/>
              </w:rPr>
              <w:t>专用网络链路租赁服务</w:t>
            </w:r>
            <w:r>
              <w:rPr>
                <w:rFonts w:hint="eastAsia" w:ascii="宋体" w:hAnsi="宋体" w:cs="宋体"/>
                <w:color w:val="000000"/>
                <w:sz w:val="21"/>
                <w:szCs w:val="21"/>
                <w:highlight w:val="none"/>
                <w:lang w:val="en-US" w:eastAsia="zh-CN"/>
              </w:rPr>
              <w:t>须在签约合同五个工作日内完成全部检测并投入使用，符合《公共安全视频图像信息系统管理条例》标准要求，如超过五个工作日未完成的，视为自动放弃。</w:t>
            </w:r>
          </w:p>
          <w:p w14:paraId="47FA480D">
            <w:pPr>
              <w:keepNext w:val="0"/>
              <w:keepLines/>
              <w:pageBreakBefore w:val="0"/>
              <w:widowControl w:val="0"/>
              <w:kinsoku/>
              <w:wordWrap w:val="0"/>
              <w:overflowPunct/>
              <w:topLinePunct/>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rPr>
            </w:pPr>
            <w:r>
              <w:rPr>
                <w:rFonts w:hint="eastAsia" w:ascii="宋体" w:hAnsi="宋体" w:cs="宋体"/>
                <w:color w:val="000000"/>
                <w:kern w:val="0"/>
                <w:sz w:val="21"/>
                <w:szCs w:val="21"/>
                <w:highlight w:val="none"/>
                <w:lang w:val="en-US" w:eastAsia="zh-CN"/>
              </w:rPr>
              <w:t>2、</w:t>
            </w:r>
            <w:r>
              <w:rPr>
                <w:rFonts w:hint="eastAsia" w:ascii="宋体" w:hAnsi="宋体" w:eastAsia="宋体" w:cs="宋体"/>
                <w:color w:val="000000"/>
                <w:kern w:val="0"/>
                <w:sz w:val="21"/>
                <w:szCs w:val="21"/>
                <w:highlight w:val="none"/>
              </w:rPr>
              <w:t>在电路租用期间应提供免费传输知识培训，指导做好日常维护。</w:t>
            </w:r>
          </w:p>
          <w:p w14:paraId="030EAAC8">
            <w:pPr>
              <w:keepNext w:val="0"/>
              <w:keepLines/>
              <w:pageBreakBefore w:val="0"/>
              <w:widowControl w:val="0"/>
              <w:kinsoku/>
              <w:wordWrap w:val="0"/>
              <w:overflowPunct/>
              <w:topLinePunct/>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rPr>
            </w:pPr>
            <w:r>
              <w:rPr>
                <w:rFonts w:hint="eastAsia" w:ascii="宋体" w:hAnsi="宋体" w:cs="宋体"/>
                <w:color w:val="000000"/>
                <w:kern w:val="0"/>
                <w:sz w:val="21"/>
                <w:szCs w:val="21"/>
                <w:highlight w:val="none"/>
                <w:lang w:val="en-US" w:eastAsia="zh-CN"/>
              </w:rPr>
              <w:t>3、</w:t>
            </w:r>
            <w:r>
              <w:rPr>
                <w:rFonts w:hint="eastAsia" w:ascii="宋体" w:hAnsi="宋体" w:eastAsia="宋体" w:cs="宋体"/>
                <w:color w:val="000000"/>
                <w:kern w:val="0"/>
                <w:sz w:val="21"/>
                <w:szCs w:val="21"/>
                <w:highlight w:val="none"/>
              </w:rPr>
              <w:t>提供售后服务承诺书，在线路使用当地有专人实施电路的售后服务，提供售后服务联系人名单，详细地址及联系方式，并提出维护能力证明。</w:t>
            </w:r>
          </w:p>
          <w:p w14:paraId="6AF12C24">
            <w:pPr>
              <w:keepNext w:val="0"/>
              <w:keepLines/>
              <w:pageBreakBefore w:val="0"/>
              <w:widowControl w:val="0"/>
              <w:kinsoku/>
              <w:wordWrap w:val="0"/>
              <w:overflowPunct/>
              <w:topLinePunct/>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rPr>
            </w:pPr>
            <w:r>
              <w:rPr>
                <w:rFonts w:hint="eastAsia" w:ascii="宋体" w:hAnsi="宋体" w:cs="宋体"/>
                <w:color w:val="000000"/>
                <w:kern w:val="0"/>
                <w:sz w:val="21"/>
                <w:szCs w:val="21"/>
                <w:highlight w:val="none"/>
                <w:lang w:val="en-US" w:eastAsia="zh-CN"/>
              </w:rPr>
              <w:t>4、</w:t>
            </w:r>
            <w:r>
              <w:rPr>
                <w:rFonts w:hint="eastAsia" w:ascii="宋体" w:hAnsi="宋体" w:eastAsia="宋体" w:cs="宋体"/>
                <w:color w:val="000000"/>
                <w:kern w:val="0"/>
                <w:sz w:val="21"/>
                <w:szCs w:val="21"/>
                <w:highlight w:val="none"/>
              </w:rPr>
              <w:t>提供7×24小时热线电话服务，并提供多个故障申告途径及绿色通道，做到全方位响应，业务恢复时限≤12小时，故障响应时间≤30分钟。</w:t>
            </w:r>
          </w:p>
          <w:p w14:paraId="6E35787A">
            <w:pPr>
              <w:keepNext w:val="0"/>
              <w:keepLines/>
              <w:pageBreakBefore w:val="0"/>
              <w:widowControl w:val="0"/>
              <w:kinsoku/>
              <w:wordWrap w:val="0"/>
              <w:overflowPunct/>
              <w:topLinePunct/>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rPr>
            </w:pPr>
            <w:r>
              <w:rPr>
                <w:rFonts w:hint="eastAsia" w:ascii="宋体" w:hAnsi="宋体" w:cs="宋体"/>
                <w:color w:val="000000"/>
                <w:kern w:val="0"/>
                <w:sz w:val="21"/>
                <w:szCs w:val="21"/>
                <w:highlight w:val="none"/>
                <w:lang w:val="en-US" w:eastAsia="zh-CN"/>
              </w:rPr>
              <w:t>5、</w:t>
            </w:r>
            <w:r>
              <w:rPr>
                <w:rFonts w:hint="eastAsia" w:ascii="宋体" w:hAnsi="宋体" w:eastAsia="宋体" w:cs="宋体"/>
                <w:color w:val="000000"/>
                <w:kern w:val="0"/>
                <w:sz w:val="21"/>
                <w:szCs w:val="21"/>
                <w:highlight w:val="none"/>
              </w:rPr>
              <w:t>负责保证网络的畅通，负责使用单位</w:t>
            </w:r>
            <w:r>
              <w:rPr>
                <w:rFonts w:hint="eastAsia" w:ascii="宋体" w:hAnsi="宋体" w:eastAsia="宋体" w:cs="宋体"/>
                <w:color w:val="000000"/>
                <w:kern w:val="0"/>
                <w:sz w:val="21"/>
                <w:szCs w:val="21"/>
                <w:highlight w:val="none"/>
                <w:lang w:val="en-US" w:eastAsia="zh-CN"/>
              </w:rPr>
              <w:t>网络设备</w:t>
            </w:r>
            <w:r>
              <w:rPr>
                <w:rFonts w:hint="eastAsia" w:ascii="宋体" w:hAnsi="宋体" w:eastAsia="宋体" w:cs="宋体"/>
                <w:color w:val="000000"/>
                <w:kern w:val="0"/>
                <w:sz w:val="21"/>
                <w:szCs w:val="21"/>
                <w:highlight w:val="none"/>
              </w:rPr>
              <w:t>免费运行维护，如果主干网络出现问题，在接到报告后1个小时内到达现场，负责排除故障，直到网络恢复正常。</w:t>
            </w:r>
          </w:p>
          <w:p w14:paraId="65752B09">
            <w:pPr>
              <w:keepNext w:val="0"/>
              <w:keepLines/>
              <w:pageBreakBefore w:val="0"/>
              <w:widowControl w:val="0"/>
              <w:kinsoku/>
              <w:wordWrap w:val="0"/>
              <w:overflowPunct/>
              <w:topLinePunct/>
              <w:autoSpaceDE/>
              <w:autoSpaceDN/>
              <w:bidi w:val="0"/>
              <w:adjustRightInd/>
              <w:snapToGrid/>
              <w:spacing w:line="360" w:lineRule="auto"/>
              <w:ind w:firstLine="420" w:firstLineChars="200"/>
              <w:textAlignment w:val="auto"/>
              <w:rPr>
                <w:rFonts w:hint="eastAsia" w:ascii="宋体" w:hAnsi="宋体" w:eastAsia="宋体" w:cs="宋体"/>
                <w:color w:val="000000"/>
                <w:kern w:val="2"/>
                <w:sz w:val="21"/>
                <w:szCs w:val="21"/>
                <w:highlight w:val="none"/>
                <w:lang w:val="en-US" w:eastAsia="zh-CN" w:bidi="ar-SA"/>
              </w:rPr>
            </w:pPr>
            <w:r>
              <w:rPr>
                <w:rFonts w:hint="eastAsia" w:ascii="宋体" w:hAnsi="宋体" w:cs="宋体"/>
                <w:color w:val="000000"/>
                <w:sz w:val="21"/>
                <w:szCs w:val="21"/>
                <w:highlight w:val="none"/>
                <w:lang w:val="en-US" w:eastAsia="zh-CN"/>
              </w:rPr>
              <w:t>6、</w:t>
            </w:r>
            <w:r>
              <w:rPr>
                <w:rFonts w:hint="eastAsia" w:ascii="宋体" w:hAnsi="宋体" w:eastAsia="宋体" w:cs="宋体"/>
                <w:color w:val="000000"/>
                <w:sz w:val="21"/>
                <w:szCs w:val="21"/>
                <w:highlight w:val="none"/>
                <w:lang w:val="en-US" w:eastAsia="zh-CN"/>
              </w:rPr>
              <w:t>（1）</w:t>
            </w:r>
            <w:r>
              <w:rPr>
                <w:rFonts w:hint="eastAsia" w:ascii="宋体" w:hAnsi="宋体" w:eastAsia="宋体" w:cs="宋体"/>
                <w:color w:val="000000"/>
                <w:kern w:val="2"/>
                <w:sz w:val="21"/>
                <w:szCs w:val="21"/>
                <w:highlight w:val="none"/>
                <w:lang w:val="en-US" w:eastAsia="zh-CN" w:bidi="ar-SA"/>
              </w:rPr>
              <w:t>重大活动期间（如节假日、安保任务），须安排专人现场值守，增加巡检频次，提供相关证明台账资料。</w:t>
            </w:r>
          </w:p>
          <w:p w14:paraId="4C875418">
            <w:pPr>
              <w:keepNext w:val="0"/>
              <w:keepLines/>
              <w:pageBreakBefore w:val="0"/>
              <w:widowControl w:val="0"/>
              <w:kinsoku/>
              <w:wordWrap w:val="0"/>
              <w:overflowPunct/>
              <w:topLinePunct/>
              <w:autoSpaceDE/>
              <w:autoSpaceDN/>
              <w:bidi w:val="0"/>
              <w:adjustRightInd/>
              <w:snapToGrid/>
              <w:spacing w:line="360" w:lineRule="auto"/>
              <w:ind w:firstLine="420" w:firstLineChars="200"/>
              <w:textAlignment w:val="auto"/>
              <w:rPr>
                <w:rFonts w:hint="eastAsia" w:ascii="宋体" w:hAnsi="宋体" w:cs="宋体"/>
                <w:sz w:val="21"/>
                <w:szCs w:val="21"/>
                <w:highlight w:val="none"/>
                <w:lang w:val="en-US" w:eastAsia="zh-CN"/>
              </w:rPr>
            </w:pPr>
            <w:r>
              <w:rPr>
                <w:rFonts w:hint="eastAsia" w:ascii="宋体" w:hAnsi="宋体" w:eastAsia="宋体" w:cs="宋体"/>
                <w:color w:val="000000"/>
                <w:kern w:val="2"/>
                <w:sz w:val="21"/>
                <w:szCs w:val="21"/>
                <w:highlight w:val="none"/>
                <w:lang w:val="en-US" w:eastAsia="zh-CN" w:bidi="ar-SA"/>
              </w:rPr>
              <w:t>（2）每季度提供《链路运行季报》，含线路在线率、维修报告及现场工作照片、丢包率、光功率等指标。</w:t>
            </w:r>
          </w:p>
        </w:tc>
        <w:tc>
          <w:tcPr>
            <w:tcW w:w="245" w:type="pct"/>
            <w:tcBorders>
              <w:top w:val="single" w:color="auto" w:sz="4" w:space="0"/>
              <w:left w:val="single" w:color="auto" w:sz="4" w:space="0"/>
              <w:bottom w:val="single" w:color="auto" w:sz="4" w:space="0"/>
              <w:right w:val="single" w:color="auto" w:sz="4" w:space="0"/>
            </w:tcBorders>
            <w:noWrap w:val="0"/>
            <w:vAlign w:val="center"/>
          </w:tcPr>
          <w:p w14:paraId="59F0151B">
            <w:pPr>
              <w:keepNext w:val="0"/>
              <w:keepLines/>
              <w:pageBreakBefore w:val="0"/>
              <w:widowControl w:val="0"/>
              <w:kinsoku/>
              <w:wordWrap w:val="0"/>
              <w:overflowPunct/>
              <w:topLinePunct/>
              <w:autoSpaceDE/>
              <w:autoSpaceDN/>
              <w:bidi w:val="0"/>
              <w:spacing w:before="0" w:after="0" w:line="360" w:lineRule="auto"/>
              <w:jc w:val="center"/>
              <w:textAlignment w:val="auto"/>
              <w:outlineLvl w:val="9"/>
              <w:rPr>
                <w:rFonts w:hint="eastAsia" w:ascii="宋体" w:hAnsi="宋体" w:eastAsia="宋体" w:cs="宋体"/>
                <w:color w:val="000000"/>
                <w:sz w:val="21"/>
                <w:szCs w:val="21"/>
                <w:highlight w:val="none"/>
                <w:lang w:eastAsia="zh-CN"/>
              </w:rPr>
            </w:pPr>
            <w:r>
              <w:rPr>
                <w:rFonts w:hint="eastAsia" w:ascii="宋体" w:hAnsi="宋体" w:cs="宋体"/>
                <w:color w:val="000000"/>
                <w:sz w:val="21"/>
                <w:szCs w:val="21"/>
                <w:highlight w:val="none"/>
                <w:lang w:val="en-US" w:eastAsia="zh-CN"/>
              </w:rPr>
              <w:t>条</w:t>
            </w:r>
          </w:p>
        </w:tc>
        <w:tc>
          <w:tcPr>
            <w:tcW w:w="347" w:type="pct"/>
            <w:tcBorders>
              <w:top w:val="single" w:color="auto" w:sz="4" w:space="0"/>
              <w:left w:val="single" w:color="auto" w:sz="4" w:space="0"/>
              <w:bottom w:val="single" w:color="auto" w:sz="4" w:space="0"/>
              <w:right w:val="single" w:color="auto" w:sz="4" w:space="0"/>
            </w:tcBorders>
            <w:noWrap w:val="0"/>
            <w:vAlign w:val="center"/>
          </w:tcPr>
          <w:p w14:paraId="556B0C99">
            <w:pPr>
              <w:keepNext w:val="0"/>
              <w:keepLines/>
              <w:pageBreakBefore w:val="0"/>
              <w:widowControl w:val="0"/>
              <w:kinsoku/>
              <w:wordWrap w:val="0"/>
              <w:overflowPunct/>
              <w:topLinePunct/>
              <w:autoSpaceDE/>
              <w:autoSpaceDN/>
              <w:bidi w:val="0"/>
              <w:spacing w:before="0" w:after="0" w:line="360" w:lineRule="auto"/>
              <w:jc w:val="center"/>
              <w:textAlignment w:val="auto"/>
              <w:outlineLvl w:val="9"/>
              <w:rPr>
                <w:rFonts w:hint="default" w:ascii="宋体" w:hAnsi="宋体" w:eastAsia="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134</w:t>
            </w:r>
          </w:p>
        </w:tc>
      </w:tr>
      <w:tr w14:paraId="396A89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20" w:type="pct"/>
            <w:tcBorders>
              <w:top w:val="single" w:color="auto" w:sz="4" w:space="0"/>
              <w:left w:val="single" w:color="auto" w:sz="4" w:space="0"/>
              <w:bottom w:val="single" w:color="auto" w:sz="4" w:space="0"/>
              <w:right w:val="single" w:color="auto" w:sz="4" w:space="0"/>
            </w:tcBorders>
            <w:noWrap w:val="0"/>
            <w:vAlign w:val="center"/>
          </w:tcPr>
          <w:p w14:paraId="3A936D51">
            <w:pPr>
              <w:keepNext w:val="0"/>
              <w:keepLines/>
              <w:pageBreakBefore w:val="0"/>
              <w:widowControl w:val="0"/>
              <w:kinsoku/>
              <w:wordWrap w:val="0"/>
              <w:overflowPunct/>
              <w:topLinePunct/>
              <w:autoSpaceDE/>
              <w:autoSpaceDN/>
              <w:bidi w:val="0"/>
              <w:snapToGrid w:val="0"/>
              <w:spacing w:before="0" w:after="0" w:line="360" w:lineRule="auto"/>
              <w:jc w:val="center"/>
              <w:textAlignment w:val="auto"/>
              <w:outlineLvl w:val="9"/>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lang w:val="en-US" w:eastAsia="zh-CN"/>
              </w:rPr>
              <w:t>2</w:t>
            </w:r>
          </w:p>
        </w:tc>
        <w:tc>
          <w:tcPr>
            <w:tcW w:w="512" w:type="pct"/>
            <w:tcBorders>
              <w:top w:val="single" w:color="auto" w:sz="4" w:space="0"/>
              <w:left w:val="single" w:color="auto" w:sz="4" w:space="0"/>
              <w:bottom w:val="single" w:color="auto" w:sz="4" w:space="0"/>
              <w:right w:val="single" w:color="auto" w:sz="4" w:space="0"/>
            </w:tcBorders>
            <w:noWrap w:val="0"/>
            <w:vAlign w:val="center"/>
          </w:tcPr>
          <w:p w14:paraId="7DCCC791">
            <w:pPr>
              <w:keepNext w:val="0"/>
              <w:keepLines/>
              <w:pageBreakBefore w:val="0"/>
              <w:widowControl w:val="0"/>
              <w:suppressLineNumbers w:val="0"/>
              <w:kinsoku/>
              <w:wordWrap w:val="0"/>
              <w:overflowPunct/>
              <w:topLinePunct/>
              <w:autoSpaceDE/>
              <w:autoSpaceDN/>
              <w:bidi w:val="0"/>
              <w:spacing w:before="0" w:after="0" w:line="360" w:lineRule="auto"/>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b w:val="0"/>
                <w:bCs w:val="0"/>
                <w:i w:val="0"/>
                <w:iCs w:val="0"/>
                <w:color w:val="000000"/>
                <w:kern w:val="0"/>
                <w:sz w:val="21"/>
                <w:szCs w:val="21"/>
                <w:highlight w:val="none"/>
                <w:u w:val="none"/>
                <w:lang w:val="en-US" w:eastAsia="zh-CN" w:bidi="ar"/>
              </w:rPr>
              <w:t>天网前端设备维护服务</w:t>
            </w:r>
          </w:p>
        </w:tc>
        <w:tc>
          <w:tcPr>
            <w:tcW w:w="3574" w:type="pct"/>
            <w:tcBorders>
              <w:top w:val="single" w:color="auto" w:sz="4" w:space="0"/>
              <w:left w:val="single" w:color="auto" w:sz="4" w:space="0"/>
              <w:bottom w:val="single" w:color="auto" w:sz="4" w:space="0"/>
              <w:right w:val="single" w:color="auto" w:sz="4" w:space="0"/>
            </w:tcBorders>
            <w:noWrap w:val="0"/>
            <w:vAlign w:val="center"/>
          </w:tcPr>
          <w:p w14:paraId="216F03C6">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textAlignment w:val="auto"/>
              <w:rPr>
                <w:rFonts w:hint="eastAsia" w:ascii="宋体" w:hAnsi="宋体" w:eastAsia="宋体" w:cs="宋体"/>
                <w:b/>
                <w:bCs/>
                <w:color w:val="000000"/>
                <w:sz w:val="21"/>
                <w:szCs w:val="21"/>
                <w:highlight w:val="none"/>
                <w:lang w:val="en-US" w:eastAsia="zh-CN"/>
              </w:rPr>
            </w:pP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i w:val="0"/>
                <w:iCs w:val="0"/>
                <w:color w:val="000000"/>
                <w:kern w:val="0"/>
                <w:sz w:val="21"/>
                <w:szCs w:val="21"/>
                <w:highlight w:val="none"/>
                <w:u w:val="none"/>
                <w:lang w:val="en-US" w:eastAsia="zh-CN" w:bidi="ar"/>
              </w:rPr>
              <w:t>提供天网前端设备维护服务</w:t>
            </w:r>
            <w:r>
              <w:rPr>
                <w:rFonts w:hint="eastAsia" w:ascii="宋体" w:hAnsi="宋体" w:eastAsia="宋体" w:cs="宋体"/>
                <w:b/>
                <w:bCs/>
                <w:color w:val="000000"/>
                <w:sz w:val="21"/>
                <w:szCs w:val="21"/>
                <w:highlight w:val="none"/>
                <w:lang w:val="en-US" w:eastAsia="zh-CN"/>
              </w:rPr>
              <w:t>，须满足以下参数及功能：</w:t>
            </w:r>
          </w:p>
          <w:p w14:paraId="67A51CAA">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包括城区和乡镇天网摄像头的日常维护，维护内容包括前端摄像机和人像故障排查、除尘、取电点至设备箱的电路故障、公网供电系统、树枝遮蔽、清洁、扶正等的修正维护工作等。前端点位的线路走线符合城市管理规范，符合安全规范。</w:t>
            </w:r>
          </w:p>
          <w:p w14:paraId="71F56794">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textAlignment w:val="auto"/>
              <w:rPr>
                <w:rFonts w:hint="eastAsia" w:ascii="宋体" w:hAnsi="宋体" w:eastAsia="宋体" w:cs="宋体"/>
                <w:b/>
                <w:bCs/>
                <w:color w:val="000000"/>
                <w:sz w:val="21"/>
                <w:szCs w:val="21"/>
                <w:highlight w:val="none"/>
                <w:lang w:val="en-US" w:eastAsia="zh-CN"/>
              </w:rPr>
            </w:pPr>
            <w:r>
              <w:rPr>
                <w:rFonts w:hint="eastAsia" w:ascii="宋体" w:hAnsi="宋体" w:eastAsia="宋体" w:cs="宋体"/>
                <w:b/>
                <w:bCs/>
                <w:color w:val="000000"/>
                <w:sz w:val="21"/>
                <w:szCs w:val="21"/>
                <w:highlight w:val="none"/>
                <w:lang w:val="en-US" w:eastAsia="zh-CN"/>
              </w:rPr>
              <w:t>二、提供</w:t>
            </w:r>
            <w:r>
              <w:rPr>
                <w:rFonts w:hint="eastAsia" w:ascii="宋体" w:hAnsi="宋体" w:eastAsia="宋体" w:cs="宋体"/>
                <w:b/>
                <w:bCs/>
                <w:i w:val="0"/>
                <w:iCs w:val="0"/>
                <w:color w:val="000000"/>
                <w:kern w:val="0"/>
                <w:sz w:val="21"/>
                <w:szCs w:val="21"/>
                <w:highlight w:val="none"/>
                <w:u w:val="none"/>
                <w:lang w:val="en-US" w:eastAsia="zh-CN" w:bidi="ar"/>
              </w:rPr>
              <w:t>天网前端设备供电维持服务</w:t>
            </w:r>
            <w:r>
              <w:rPr>
                <w:rFonts w:hint="eastAsia" w:ascii="宋体" w:hAnsi="宋体" w:eastAsia="宋体" w:cs="宋体"/>
                <w:b/>
                <w:bCs/>
                <w:color w:val="000000"/>
                <w:sz w:val="21"/>
                <w:szCs w:val="21"/>
                <w:highlight w:val="none"/>
                <w:lang w:val="en-US" w:eastAsia="zh-CN"/>
              </w:rPr>
              <w:t>：</w:t>
            </w:r>
          </w:p>
          <w:p w14:paraId="51A494AD">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前端包括天网摄像头终端正常运行所需的用电费用。</w:t>
            </w:r>
          </w:p>
          <w:p w14:paraId="6F448EDF">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textAlignment w:val="auto"/>
              <w:rPr>
                <w:rFonts w:hint="eastAsia" w:ascii="宋体" w:hAnsi="宋体" w:eastAsia="宋体" w:cs="宋体"/>
                <w:b/>
                <w:bCs/>
                <w:color w:val="000000"/>
                <w:sz w:val="21"/>
                <w:szCs w:val="21"/>
                <w:highlight w:val="none"/>
                <w:lang w:val="en-US" w:eastAsia="zh-CN"/>
              </w:rPr>
            </w:pPr>
            <w:r>
              <w:rPr>
                <w:rFonts w:hint="eastAsia" w:ascii="宋体" w:hAnsi="宋体" w:cs="宋体"/>
                <w:b/>
                <w:bCs/>
                <w:color w:val="000000"/>
                <w:sz w:val="21"/>
                <w:szCs w:val="21"/>
                <w:highlight w:val="none"/>
                <w:lang w:val="en-US" w:eastAsia="zh-CN"/>
              </w:rPr>
              <w:t>三、</w:t>
            </w:r>
            <w:r>
              <w:rPr>
                <w:rFonts w:hint="eastAsia" w:ascii="宋体" w:hAnsi="宋体" w:eastAsia="宋体" w:cs="宋体"/>
                <w:b/>
                <w:bCs/>
                <w:color w:val="000000"/>
                <w:sz w:val="21"/>
                <w:szCs w:val="21"/>
                <w:highlight w:val="none"/>
                <w:lang w:val="en-US" w:eastAsia="zh-CN"/>
              </w:rPr>
              <w:t>提供</w:t>
            </w:r>
            <w:r>
              <w:rPr>
                <w:rFonts w:hint="eastAsia" w:ascii="宋体" w:hAnsi="宋体" w:cs="宋体"/>
                <w:b/>
                <w:bCs/>
                <w:color w:val="000000"/>
                <w:sz w:val="21"/>
                <w:szCs w:val="21"/>
                <w:highlight w:val="none"/>
                <w:lang w:val="en-US" w:eastAsia="zh-CN"/>
              </w:rPr>
              <w:t>不低于所维护前端总数十四分之一的设备备件服务</w:t>
            </w:r>
            <w:r>
              <w:rPr>
                <w:rFonts w:hint="eastAsia" w:ascii="宋体" w:hAnsi="宋体" w:eastAsia="宋体" w:cs="宋体"/>
                <w:b/>
                <w:bCs/>
                <w:color w:val="000000"/>
                <w:sz w:val="21"/>
                <w:szCs w:val="21"/>
                <w:highlight w:val="none"/>
                <w:lang w:val="en-US" w:eastAsia="zh-CN"/>
              </w:rPr>
              <w:t>，须满足以下参数及功能：</w:t>
            </w:r>
          </w:p>
          <w:p w14:paraId="1E9E407D">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textAlignment w:val="auto"/>
              <w:rPr>
                <w:rFonts w:hint="eastAsia" w:ascii="宋体" w:hAnsi="宋体" w:cs="宋体"/>
                <w:b/>
                <w:bCs/>
                <w:color w:val="000000"/>
                <w:sz w:val="21"/>
                <w:szCs w:val="21"/>
                <w:highlight w:val="none"/>
                <w:lang w:val="en-US" w:eastAsia="zh-CN"/>
              </w:rPr>
            </w:pPr>
            <w:r>
              <w:rPr>
                <w:rFonts w:hint="eastAsia" w:ascii="宋体" w:hAnsi="宋体" w:cs="宋体"/>
                <w:b/>
                <w:bCs/>
                <w:color w:val="000000"/>
                <w:sz w:val="21"/>
                <w:szCs w:val="21"/>
                <w:highlight w:val="none"/>
                <w:lang w:val="en-US" w:eastAsia="zh-CN"/>
              </w:rPr>
              <w:t>一）、红外网络球机备件服务：</w:t>
            </w:r>
          </w:p>
          <w:p w14:paraId="331720C0">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highlight w:val="none"/>
                <w:lang w:val="en-US" w:eastAsia="zh-CN"/>
              </w:rPr>
            </w:pPr>
            <w:r>
              <w:rPr>
                <w:rFonts w:hint="default"/>
                <w:highlight w:val="none"/>
                <w:lang w:val="en-US" w:eastAsia="zh-CN"/>
              </w:rPr>
              <w:t>1、采用≥400万像素；支持≥23倍光学变倍，16倍数字变倍；</w:t>
            </w:r>
          </w:p>
          <w:p w14:paraId="7DB3D8F6">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highlight w:val="none"/>
                <w:lang w:val="en-US" w:eastAsia="zh-CN"/>
              </w:rPr>
            </w:pPr>
            <w:r>
              <w:rPr>
                <w:rFonts w:hint="default"/>
                <w:highlight w:val="none"/>
                <w:lang w:val="en-US" w:eastAsia="zh-CN"/>
              </w:rPr>
              <w:t>2、彩色≤0.0005Lux，黑白≤0.0001Lux；</w:t>
            </w:r>
          </w:p>
          <w:p w14:paraId="5AE55A21">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highlight w:val="none"/>
                <w:lang w:val="en-US" w:eastAsia="zh-CN"/>
              </w:rPr>
            </w:pPr>
            <w:r>
              <w:rPr>
                <w:rFonts w:hint="default"/>
                <w:highlight w:val="none"/>
                <w:lang w:val="en-US" w:eastAsia="zh-CN"/>
              </w:rPr>
              <w:t>3、支持H.265编码，实现超低码流传输；</w:t>
            </w:r>
          </w:p>
          <w:p w14:paraId="328F4837">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highlight w:val="none"/>
                <w:lang w:val="en-US" w:eastAsia="zh-CN"/>
              </w:rPr>
            </w:pPr>
            <w:r>
              <w:rPr>
                <w:rFonts w:hint="default"/>
                <w:highlight w:val="none"/>
                <w:lang w:val="en-US" w:eastAsia="zh-CN"/>
              </w:rPr>
              <w:t>4、≥150米红外灯补光，补光效果均匀；</w:t>
            </w:r>
          </w:p>
          <w:p w14:paraId="4F98CAB0">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highlight w:val="none"/>
                <w:lang w:val="en-US" w:eastAsia="zh-CN"/>
              </w:rPr>
            </w:pPr>
            <w:r>
              <w:rPr>
                <w:rFonts w:hint="default"/>
                <w:highlight w:val="none"/>
                <w:lang w:val="en-US" w:eastAsia="zh-CN"/>
              </w:rPr>
              <w:t>5、支持绊线入侵，支持区域入侵，支持徘徊检测，支持物品遗留，支持物品搬移，支持快速移动，支持停车检测，支持人员聚集，支持人车分类报警，支持联动跟踪；</w:t>
            </w:r>
          </w:p>
          <w:p w14:paraId="21BA2825">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highlight w:val="none"/>
                <w:lang w:val="en-US" w:eastAsia="zh-CN"/>
              </w:rPr>
            </w:pPr>
            <w:r>
              <w:rPr>
                <w:rFonts w:hint="default"/>
                <w:highlight w:val="none"/>
                <w:lang w:val="en-US" w:eastAsia="zh-CN"/>
              </w:rPr>
              <w:t>6、支持人脸检测；支持人脸轨迹框；支持抓拍；支持人脸增强；支持人脸抠图区域可设：人脸，单寸照；支持实时抓拍，质量优先二种抓拍策略；</w:t>
            </w:r>
          </w:p>
          <w:p w14:paraId="3B0A1549">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highlight w:val="none"/>
                <w:lang w:val="en-US" w:eastAsia="zh-CN"/>
              </w:rPr>
            </w:pPr>
            <w:r>
              <w:rPr>
                <w:rFonts w:hint="default"/>
                <w:highlight w:val="none"/>
                <w:lang w:val="en-US" w:eastAsia="zh-CN"/>
              </w:rPr>
              <w:t>7、水平方向360°连续旋转，垂直方向-20°～90°自动翻转180°后连续监视，无监视盲区。</w:t>
            </w:r>
          </w:p>
          <w:p w14:paraId="12B74CB0">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highlight w:val="none"/>
                <w:lang w:val="en-US" w:eastAsia="zh-CN"/>
              </w:rPr>
            </w:pPr>
            <w:r>
              <w:rPr>
                <w:rFonts w:hint="default"/>
                <w:highlight w:val="none"/>
                <w:lang w:val="en-US" w:eastAsia="zh-CN"/>
              </w:rPr>
              <w:t>8、设备与客户端之间用100m五类非屏蔽网线直接连接,使用丢包测试软件发送1000个数据包,重复测试3次,每次丢包数≤1个</w:t>
            </w:r>
          </w:p>
          <w:p w14:paraId="7FCFB30E">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highlight w:val="none"/>
                <w:lang w:val="en-US" w:eastAsia="zh-CN"/>
              </w:rPr>
            </w:pPr>
            <w:r>
              <w:rPr>
                <w:rFonts w:hint="default"/>
                <w:highlight w:val="none"/>
                <w:lang w:val="en-US" w:eastAsia="zh-CN"/>
              </w:rPr>
              <w:t>9、具有感兴趣区域设置选项,主码流、子码流和第三路码流分别可设置≥8块感兴趣区域,支持对人脸、车牌,智能分析行为的感兴趣区域设置</w:t>
            </w:r>
          </w:p>
          <w:p w14:paraId="76B6F3DB">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textAlignment w:val="auto"/>
              <w:rPr>
                <w:rFonts w:hint="eastAsia"/>
                <w:b/>
                <w:bCs/>
                <w:highlight w:val="none"/>
                <w:lang w:val="en-US" w:eastAsia="zh-CN"/>
              </w:rPr>
            </w:pPr>
            <w:r>
              <w:rPr>
                <w:rFonts w:hint="eastAsia" w:ascii="宋体" w:hAnsi="宋体" w:cs="宋体"/>
                <w:b/>
                <w:bCs/>
                <w:color w:val="000000"/>
                <w:sz w:val="21"/>
                <w:szCs w:val="21"/>
                <w:highlight w:val="none"/>
                <w:lang w:val="en-US" w:eastAsia="zh-CN"/>
              </w:rPr>
              <w:t>二）、</w:t>
            </w:r>
            <w:r>
              <w:rPr>
                <w:rFonts w:hint="eastAsia"/>
                <w:b/>
                <w:bCs/>
                <w:highlight w:val="none"/>
                <w:lang w:val="en-US" w:eastAsia="zh-CN"/>
              </w:rPr>
              <w:t>双光全彩枪型网络摄像机</w:t>
            </w:r>
            <w:r>
              <w:rPr>
                <w:rFonts w:hint="eastAsia" w:ascii="宋体" w:hAnsi="宋体" w:cs="宋体"/>
                <w:b/>
                <w:bCs/>
                <w:color w:val="000000"/>
                <w:sz w:val="21"/>
                <w:szCs w:val="21"/>
                <w:highlight w:val="none"/>
                <w:lang w:val="en-US" w:eastAsia="zh-CN"/>
              </w:rPr>
              <w:t>备件服务</w:t>
            </w:r>
            <w:r>
              <w:rPr>
                <w:rFonts w:hint="eastAsia"/>
                <w:b/>
                <w:bCs/>
                <w:highlight w:val="none"/>
                <w:lang w:val="en-US" w:eastAsia="zh-CN"/>
              </w:rPr>
              <w:t>：</w:t>
            </w:r>
          </w:p>
          <w:p w14:paraId="5F1BE822">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highlight w:val="none"/>
                <w:lang w:val="en-US" w:eastAsia="zh-CN"/>
              </w:rPr>
            </w:pPr>
            <w:r>
              <w:rPr>
                <w:rFonts w:hint="default"/>
                <w:highlight w:val="none"/>
                <w:lang w:val="en-US" w:eastAsia="zh-CN"/>
              </w:rPr>
              <w:t>1、采用≥400万CMOS图像传感器，支持≥50米补光距离</w:t>
            </w:r>
          </w:p>
          <w:p w14:paraId="52A1CFEF">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highlight w:val="none"/>
                <w:lang w:val="en-US" w:eastAsia="zh-CN"/>
              </w:rPr>
            </w:pPr>
            <w:r>
              <w:rPr>
                <w:rFonts w:hint="default"/>
                <w:highlight w:val="none"/>
                <w:lang w:val="en-US" w:eastAsia="zh-CN"/>
              </w:rPr>
              <w:t>2、设备内置≥4颗混合补光灯,可同时开启≥4颗红外补光灯或≥4颗白光补光灯，补光灯表面为磨砂面,灯珠朝向与设备照射方向一致，补光灯开启后,正面不可见补光灯灯珠</w:t>
            </w:r>
          </w:p>
          <w:p w14:paraId="7F54C726">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highlight w:val="none"/>
                <w:lang w:val="en-US" w:eastAsia="zh-CN"/>
              </w:rPr>
            </w:pPr>
            <w:r>
              <w:rPr>
                <w:rFonts w:hint="default"/>
                <w:highlight w:val="none"/>
                <w:lang w:val="en-US" w:eastAsia="zh-CN"/>
              </w:rPr>
              <w:t>3、支持数字宽动态，3D降噪，强光抑制，背光补偿，数字水印，适用不同监控环境</w:t>
            </w:r>
          </w:p>
          <w:p w14:paraId="10372C7F">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highlight w:val="none"/>
                <w:lang w:val="en-US" w:eastAsia="zh-CN"/>
              </w:rPr>
            </w:pPr>
            <w:r>
              <w:rPr>
                <w:rFonts w:hint="default"/>
                <w:highlight w:val="none"/>
                <w:lang w:val="en-US" w:eastAsia="zh-CN"/>
              </w:rPr>
              <w:t>4、支持对人、机动车、全部(人或机动车)进行检测,当小狗、树叶等非人或车辆目标经过检测区域时,不会触发报警，设备支持行为分析触发后联动抓图、录像、目标跟踪、报警上传、发送邮件等多种报警触发方式;设备支持设置≥6组智能周界规则并进行独立布防,每组的布撤防时间可单独设置,目标在布防区域和布防时间段内出现会触发报警,并联动相关操作</w:t>
            </w:r>
          </w:p>
          <w:p w14:paraId="6B03B18E">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highlight w:val="none"/>
                <w:lang w:val="en-US" w:eastAsia="zh-CN"/>
              </w:rPr>
            </w:pPr>
            <w:r>
              <w:rPr>
                <w:rFonts w:hint="default"/>
                <w:highlight w:val="none"/>
                <w:lang w:val="en-US" w:eastAsia="zh-CN"/>
              </w:rPr>
              <w:t>5、支持对智能行为分析目标方向规则进行设置,可设置方向为A-&gt;B、B-&gt;A、A&lt;-&gt;B3种规则;支持灵敏度设置0~10</w:t>
            </w:r>
          </w:p>
          <w:p w14:paraId="7B1F1B75">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highlight w:val="none"/>
                <w:lang w:val="en-US" w:eastAsia="zh-CN"/>
              </w:rPr>
            </w:pPr>
            <w:r>
              <w:rPr>
                <w:rFonts w:hint="default"/>
                <w:highlight w:val="none"/>
                <w:lang w:val="en-US" w:eastAsia="zh-CN"/>
              </w:rPr>
              <w:t>6、可对目标大小(像素值)范围进行设置,使设备只对预设大小(像素值)范围内的人员及机动车辆进行检测，设备可同时采用DC12V电源与POE供电,当一路电源停止供电后,设备可正常工作</w:t>
            </w:r>
          </w:p>
          <w:p w14:paraId="3B2EE8E4">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highlight w:val="none"/>
                <w:lang w:val="en-US" w:eastAsia="zh-CN"/>
              </w:rPr>
            </w:pPr>
            <w:r>
              <w:rPr>
                <w:rFonts w:hint="default"/>
                <w:highlight w:val="none"/>
                <w:lang w:val="en-US" w:eastAsia="zh-CN"/>
              </w:rPr>
              <w:t>7、当补光灯开启后,补光亮度均匀,无明显波纹状、圆环状、麻点状、条纹状及不规则亮斑，设备镜头前盖玻璃呈倾斜状,与镜头平面呈4°夹角</w:t>
            </w:r>
          </w:p>
          <w:p w14:paraId="38E4F757">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highlight w:val="none"/>
                <w:lang w:val="en-US" w:eastAsia="zh-CN"/>
              </w:rPr>
            </w:pPr>
            <w:r>
              <w:rPr>
                <w:rFonts w:hint="default"/>
                <w:highlight w:val="none"/>
                <w:lang w:val="en-US" w:eastAsia="zh-CN"/>
              </w:rPr>
              <w:t>8、内置≥1个麦克风，支持IP67防护等级</w:t>
            </w:r>
          </w:p>
          <w:p w14:paraId="25FA1387">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textAlignment w:val="auto"/>
              <w:rPr>
                <w:rFonts w:hint="eastAsia" w:ascii="宋体" w:hAnsi="宋体" w:cs="宋体"/>
                <w:b w:val="0"/>
                <w:bCs w:val="0"/>
                <w:color w:val="000000"/>
                <w:sz w:val="21"/>
                <w:szCs w:val="21"/>
                <w:highlight w:val="none"/>
                <w:lang w:val="en-US" w:eastAsia="zh-CN"/>
              </w:rPr>
            </w:pPr>
            <w:r>
              <w:rPr>
                <w:rFonts w:hint="eastAsia" w:ascii="宋体" w:hAnsi="宋体" w:cs="宋体"/>
                <w:b/>
                <w:bCs/>
                <w:color w:val="000000"/>
                <w:sz w:val="21"/>
                <w:szCs w:val="21"/>
                <w:highlight w:val="none"/>
                <w:lang w:val="en-US" w:eastAsia="zh-CN"/>
              </w:rPr>
              <w:t>三）、900万抓拍单元备件服务</w:t>
            </w:r>
          </w:p>
          <w:p w14:paraId="285A2BC4">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highlight w:val="none"/>
                <w:lang w:val="en-US" w:eastAsia="zh-CN"/>
              </w:rPr>
            </w:pPr>
            <w:r>
              <w:rPr>
                <w:rFonts w:hint="eastAsia"/>
                <w:highlight w:val="none"/>
                <w:lang w:val="en-US" w:eastAsia="zh-CN"/>
              </w:rPr>
              <w:t>1、包含摄像机、室外防护罩、电源适配器等组成；支持传感器≥1.1英寸GS-CMOS，视频分辨率≥4096×2336，抓图分辨率≥4096×2336；</w:t>
            </w:r>
          </w:p>
          <w:p w14:paraId="4265EB24">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highlight w:val="none"/>
                <w:lang w:val="en-US" w:eastAsia="zh-CN"/>
              </w:rPr>
            </w:pPr>
            <w:r>
              <w:rPr>
                <w:rFonts w:hint="eastAsia"/>
                <w:highlight w:val="none"/>
                <w:lang w:val="en-US" w:eastAsia="zh-CN"/>
              </w:rPr>
              <w:t>2、采用先进的图像融合技术，夜间不得使用白光爆闪灯或外加频闪灯（正常环境光路口，电警可仅采用下挂灯）；支持配合外接补光灯控制使用，支持闪光灯和频闪灯同步补光；</w:t>
            </w:r>
          </w:p>
          <w:p w14:paraId="675D82E8">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highlight w:val="none"/>
                <w:lang w:val="en-US" w:eastAsia="zh-CN"/>
              </w:rPr>
            </w:pPr>
            <w:r>
              <w:rPr>
                <w:rFonts w:hint="eastAsia"/>
                <w:highlight w:val="none"/>
                <w:lang w:val="en-US" w:eastAsia="zh-CN"/>
              </w:rPr>
              <w:t>▲3、支持按照车型配置主/副驾驶不系安全带行为抓拍，包括无牌机动车和黄牌货车；支持特殊车牌表达模式配置，可根据车辆类型、车牌层数等进行号牌示例匹配，并结合视频识别结果进行车牌输出；支持对抓图特写区域的范围进行设置；</w:t>
            </w:r>
          </w:p>
          <w:p w14:paraId="6D0D3AD1">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highlight w:val="none"/>
                <w:lang w:val="en-US" w:eastAsia="zh-CN"/>
              </w:rPr>
            </w:pPr>
            <w:r>
              <w:rPr>
                <w:rFonts w:hint="eastAsia"/>
                <w:highlight w:val="none"/>
                <w:lang w:val="en-US" w:eastAsia="zh-CN"/>
              </w:rPr>
              <w:t>4、支持自动采集车道、车流量、平均速度、车辆类型、占有率、平均车头时距、平均排队长度、时间段等交通信息数据并进行统计，支持自动上传采集的交通信息数据，上传时间间隔可设置；</w:t>
            </w:r>
          </w:p>
          <w:p w14:paraId="42DFC6C0">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highlight w:val="none"/>
                <w:lang w:val="en-US" w:eastAsia="zh-CN"/>
              </w:rPr>
            </w:pPr>
            <w:r>
              <w:rPr>
                <w:rFonts w:hint="eastAsia"/>
                <w:highlight w:val="none"/>
                <w:lang w:val="en-US" w:eastAsia="zh-CN"/>
              </w:rPr>
              <w:t>5、支持车牌识别功能：白天识别准确率≥99%；晚上识别准确率≥99%；支持车辆违章变道检测抓拍功能， 白天捕获率≥99%； 晚上捕获率≥99%；</w:t>
            </w:r>
          </w:p>
          <w:p w14:paraId="20F2BCD8">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highlight w:val="none"/>
                <w:lang w:val="en-US" w:eastAsia="zh-CN"/>
              </w:rPr>
            </w:pPr>
            <w:r>
              <w:rPr>
                <w:rFonts w:hint="eastAsia"/>
                <w:highlight w:val="none"/>
                <w:lang w:val="en-US" w:eastAsia="zh-CN"/>
              </w:rPr>
              <w:t>6、支持对超速(按所设超速阈值)行使的车辆进行检测抓拍功能， 白天捕获率≥99%； 晚上捕获率≥99%；</w:t>
            </w:r>
          </w:p>
          <w:p w14:paraId="4F6EE42A">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highlight w:val="none"/>
                <w:lang w:val="en-US" w:eastAsia="zh-CN"/>
              </w:rPr>
            </w:pPr>
            <w:r>
              <w:rPr>
                <w:rFonts w:hint="eastAsia"/>
                <w:highlight w:val="none"/>
                <w:lang w:val="en-US" w:eastAsia="zh-CN"/>
              </w:rPr>
              <w:t>▲7、支持透雾模式的开启和关闭，可分别设置早晨/傍晚/白天/夜晚等不同场景下的透雾模式状态；支持在预览界面利用图标实时显示道路信号灯红绿状态；</w:t>
            </w:r>
          </w:p>
          <w:p w14:paraId="3BB40AEE">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highlight w:val="none"/>
                <w:lang w:val="en-US" w:eastAsia="zh-CN"/>
              </w:rPr>
            </w:pPr>
            <w:r>
              <w:rPr>
                <w:rFonts w:hint="eastAsia"/>
                <w:highlight w:val="none"/>
                <w:lang w:val="en-US" w:eastAsia="zh-CN"/>
              </w:rPr>
              <w:t>8、支持普通卡口/人员卡口模式切换；支持车辆逆行检测抓拍功能， 白天捕获率≥99%； 晚上捕获率≥99%；</w:t>
            </w:r>
          </w:p>
          <w:p w14:paraId="3E334AE7">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highlight w:val="none"/>
                <w:lang w:val="en-US" w:eastAsia="zh-CN"/>
              </w:rPr>
            </w:pPr>
            <w:r>
              <w:rPr>
                <w:rFonts w:hint="eastAsia"/>
                <w:highlight w:val="none"/>
                <w:lang w:val="en-US" w:eastAsia="zh-CN"/>
              </w:rPr>
              <w:t>9、支持通过视频触发进行车辆抓拍，支持车牌识别、车身颜色识别、车型识别，通行车辆信息捕获和违章检测功能；支持设置卡口抓拍高速应用模式；</w:t>
            </w:r>
          </w:p>
          <w:p w14:paraId="6470D222">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highlight w:val="none"/>
                <w:lang w:val="en-US" w:eastAsia="zh-CN"/>
              </w:rPr>
            </w:pPr>
            <w:r>
              <w:rPr>
                <w:rFonts w:hint="eastAsia"/>
                <w:highlight w:val="none"/>
                <w:lang w:val="en-US" w:eastAsia="zh-CN"/>
              </w:rPr>
              <w:t>10、支持对驾驶员行车时是否有打电话动作的检测，白天识别准确率≥99%；晚上识别准确率≥99%；支持检测并跟踪指定区域内≥220个目标，目标包括机动车、非机动车以及行人等；</w:t>
            </w:r>
          </w:p>
          <w:p w14:paraId="4B76A4A7">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highlight w:val="none"/>
                <w:lang w:val="en-US" w:eastAsia="zh-CN"/>
              </w:rPr>
            </w:pPr>
            <w:r>
              <w:rPr>
                <w:rFonts w:hint="eastAsia"/>
                <w:highlight w:val="none"/>
                <w:lang w:val="en-US" w:eastAsia="zh-CN"/>
              </w:rPr>
              <w:t>▲11、支持通过485接口连接补光灯，并在相机界面反馈补光灯型号信息、端口信息、版本信息；支持升级程序的版本号信息，支持在降版本升级时弹出降版本提示；支持雷达测速速度修正；</w:t>
            </w:r>
          </w:p>
          <w:p w14:paraId="6770E0F0">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highlight w:val="none"/>
                <w:lang w:val="en-US" w:eastAsia="zh-CN"/>
              </w:rPr>
            </w:pPr>
            <w:r>
              <w:rPr>
                <w:rFonts w:hint="eastAsia"/>
                <w:highlight w:val="none"/>
                <w:lang w:val="en-US" w:eastAsia="zh-CN"/>
              </w:rPr>
              <w:t>▲12、支持特殊车牌固定字符匹配等级设置，包括模糊匹配、中等匹配、精准匹配和不启用；支持特殊车牌表达模式配置，可根据车辆类型、车牌层数等进行号牌示例匹配，并结合视频识别结果进行车牌输出；支持获取外接雷达序列号并展示；</w:t>
            </w:r>
          </w:p>
          <w:p w14:paraId="47CFE78C">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highlight w:val="none"/>
                <w:lang w:val="en-US" w:eastAsia="zh-CN"/>
              </w:rPr>
            </w:pPr>
            <w:r>
              <w:rPr>
                <w:rFonts w:hint="eastAsia"/>
                <w:highlight w:val="none"/>
                <w:lang w:val="en-US" w:eastAsia="zh-CN"/>
              </w:rPr>
              <w:t>▲13、支持车辆前排人脸检测并识别主驾驶员的性别、是否戴眼镜结构化属性信息；支持在抓拍图上叠加主/副驾驶人脸小图和主/副驾驶员的结构化属性信息，结构化属性信息可通过OSD叠加到抓拍图中；支持对抓图特写区域的范围进行设置；支持粤港澳三地车牌识别</w:t>
            </w:r>
          </w:p>
          <w:p w14:paraId="0A980836">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textAlignment w:val="auto"/>
              <w:rPr>
                <w:rFonts w:hint="eastAsia" w:ascii="宋体" w:hAnsi="宋体" w:cs="宋体"/>
                <w:b/>
                <w:bCs/>
                <w:color w:val="000000"/>
                <w:sz w:val="21"/>
                <w:szCs w:val="21"/>
                <w:highlight w:val="none"/>
                <w:lang w:val="en-US" w:eastAsia="zh-CN"/>
              </w:rPr>
            </w:pPr>
            <w:r>
              <w:rPr>
                <w:rFonts w:hint="eastAsia" w:ascii="宋体" w:hAnsi="宋体" w:cs="宋体"/>
                <w:b/>
                <w:bCs/>
                <w:color w:val="000000"/>
                <w:sz w:val="21"/>
                <w:szCs w:val="21"/>
                <w:highlight w:val="none"/>
                <w:lang w:val="en-US" w:eastAsia="zh-CN"/>
              </w:rPr>
              <w:t>四）、400万智能双光变焦枪型网络摄像机备件服务：</w:t>
            </w:r>
          </w:p>
          <w:p w14:paraId="03654AEB">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highlight w:val="none"/>
                <w:lang w:val="en-US" w:eastAsia="zh-CN"/>
              </w:rPr>
            </w:pPr>
            <w:r>
              <w:rPr>
                <w:rFonts w:hint="default"/>
                <w:highlight w:val="none"/>
                <w:lang w:val="en-US" w:eastAsia="zh-CN"/>
              </w:rPr>
              <w:t>1、支持输出分辨率≥2688×1520，支持五码流</w:t>
            </w:r>
          </w:p>
          <w:p w14:paraId="5308580F">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highlight w:val="none"/>
                <w:lang w:val="en-US" w:eastAsia="zh-CN"/>
              </w:rPr>
            </w:pPr>
            <w:r>
              <w:rPr>
                <w:rFonts w:hint="default"/>
                <w:highlight w:val="none"/>
                <w:lang w:val="en-US" w:eastAsia="zh-CN"/>
              </w:rPr>
              <w:t>2、支持报警3进2出，双MIC，扬声器，音频2进1出，485，BNC，支持≥512GMicroSD卡</w:t>
            </w:r>
          </w:p>
          <w:p w14:paraId="2404D3C5">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highlight w:val="none"/>
                <w:lang w:val="en-US" w:eastAsia="zh-CN"/>
              </w:rPr>
            </w:pPr>
            <w:r>
              <w:rPr>
                <w:rFonts w:hint="default"/>
                <w:highlight w:val="none"/>
                <w:lang w:val="en-US" w:eastAsia="zh-CN"/>
              </w:rPr>
              <w:t>3、支持六种智能资源切换：通用行为分析、人脸检测、人脸识别、视频结构化、人数统计、道路监控</w:t>
            </w:r>
          </w:p>
          <w:p w14:paraId="4FCE0D6B">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highlight w:val="none"/>
                <w:lang w:val="en-US" w:eastAsia="zh-CN"/>
              </w:rPr>
            </w:pPr>
            <w:r>
              <w:rPr>
                <w:rFonts w:hint="default"/>
                <w:highlight w:val="none"/>
                <w:lang w:val="en-US" w:eastAsia="zh-CN"/>
              </w:rPr>
              <w:t>4、支持声光报警联动，可触发联动声音警报和灯光闪烁；支持DC12V/AC24V/POE三合一供电方式，支持12V电源返送</w:t>
            </w:r>
          </w:p>
          <w:p w14:paraId="6B494D75">
            <w:pPr>
              <w:pStyle w:val="12"/>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
                <w:bCs/>
                <w:sz w:val="21"/>
                <w:szCs w:val="21"/>
                <w:highlight w:val="none"/>
                <w:lang w:val="en-US" w:eastAsia="zh-CN"/>
              </w:rPr>
            </w:pPr>
            <w:r>
              <w:rPr>
                <w:rFonts w:hint="eastAsia"/>
                <w:sz w:val="21"/>
                <w:szCs w:val="21"/>
                <w:highlight w:val="none"/>
                <w:lang w:val="en-US" w:eastAsia="zh-CN"/>
              </w:rPr>
              <w:t>■</w:t>
            </w:r>
            <w:r>
              <w:rPr>
                <w:rFonts w:hint="default"/>
                <w:highlight w:val="none"/>
                <w:lang w:val="en-US" w:eastAsia="zh-CN"/>
              </w:rPr>
              <w:t>5、支持补光灯表面为微四边形阵列，采用多层透镜结构；在环境光照度低于50lx，可对速度≥40km/h的机动车，速度≤25km/h的非机动车，速度≤5km/h的行人三种同时经过画面的目标进行分类曝光，可抓拍人脸、人体、非机动车和机动车目标，抓拍的人脸和车牌号码图片应清晰可辨，无过曝、欠曝情况</w:t>
            </w:r>
            <w:r>
              <w:rPr>
                <w:rFonts w:hint="eastAsia"/>
                <w:b/>
                <w:bCs/>
                <w:sz w:val="21"/>
                <w:szCs w:val="21"/>
                <w:highlight w:val="none"/>
                <w:lang w:val="en-US" w:eastAsia="zh-CN"/>
              </w:rPr>
              <w:t>（</w:t>
            </w:r>
            <w:r>
              <w:rPr>
                <w:rFonts w:hint="eastAsia"/>
                <w:b/>
                <w:bCs/>
                <w:color w:val="auto"/>
                <w:szCs w:val="21"/>
                <w:highlight w:val="none"/>
                <w:lang w:val="en-US" w:eastAsia="zh-CN"/>
              </w:rPr>
              <w:t>响应文件中</w:t>
            </w:r>
            <w:r>
              <w:rPr>
                <w:rFonts w:hint="eastAsia"/>
                <w:b/>
                <w:bCs/>
                <w:color w:val="auto"/>
                <w:szCs w:val="21"/>
                <w:highlight w:val="none"/>
                <w:lang w:eastAsia="zh-CN"/>
              </w:rPr>
              <w:t>需提供国家认可的第三方检测机构出具的</w:t>
            </w:r>
            <w:r>
              <w:rPr>
                <w:rFonts w:hint="eastAsia" w:ascii="宋体" w:hAnsi="宋体" w:cs="宋体"/>
                <w:b/>
                <w:bCs/>
                <w:color w:val="auto"/>
                <w:szCs w:val="21"/>
                <w:highlight w:val="none"/>
                <w:lang w:val="en-US" w:eastAsia="zh-CN"/>
              </w:rPr>
              <w:t>关于上述功能的有效的检测报告，</w:t>
            </w:r>
            <w:r>
              <w:rPr>
                <w:b/>
                <w:bCs/>
                <w:color w:val="auto"/>
                <w:szCs w:val="21"/>
                <w:highlight w:val="none"/>
              </w:rPr>
              <w:t>并加盖</w:t>
            </w:r>
            <w:r>
              <w:rPr>
                <w:rFonts w:hint="eastAsia"/>
                <w:b/>
                <w:bCs/>
                <w:color w:val="auto"/>
                <w:szCs w:val="21"/>
                <w:highlight w:val="none"/>
                <w:lang w:eastAsia="zh-CN"/>
              </w:rPr>
              <w:t>供应商公章（或电子签章），</w:t>
            </w:r>
            <w:r>
              <w:rPr>
                <w:rFonts w:hint="eastAsia"/>
                <w:b/>
                <w:bCs/>
                <w:color w:val="auto"/>
                <w:szCs w:val="21"/>
                <w:highlight w:val="none"/>
                <w:lang w:val="en-US" w:eastAsia="zh-CN"/>
              </w:rPr>
              <w:t>否则不予计分</w:t>
            </w:r>
            <w:r>
              <w:rPr>
                <w:rFonts w:hint="eastAsia" w:ascii="宋体" w:hAnsi="宋体" w:cs="宋体"/>
                <w:b/>
                <w:bCs/>
                <w:color w:val="auto"/>
                <w:szCs w:val="21"/>
                <w:highlight w:val="none"/>
                <w:lang w:eastAsia="zh-CN"/>
              </w:rPr>
              <w:t>。</w:t>
            </w:r>
            <w:r>
              <w:rPr>
                <w:rFonts w:hint="eastAsia"/>
                <w:b/>
                <w:bCs/>
                <w:sz w:val="21"/>
                <w:szCs w:val="21"/>
                <w:highlight w:val="none"/>
                <w:lang w:val="en-US" w:eastAsia="zh-CN"/>
              </w:rPr>
              <w:t>）</w:t>
            </w:r>
          </w:p>
          <w:p w14:paraId="1701697D">
            <w:pPr>
              <w:pStyle w:val="12"/>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
                <w:bCs/>
                <w:sz w:val="21"/>
                <w:szCs w:val="21"/>
                <w:highlight w:val="none"/>
                <w:lang w:val="en-US" w:eastAsia="zh-CN"/>
              </w:rPr>
            </w:pPr>
            <w:r>
              <w:rPr>
                <w:rFonts w:hint="eastAsia"/>
                <w:sz w:val="21"/>
                <w:szCs w:val="21"/>
                <w:highlight w:val="none"/>
                <w:lang w:val="en-US" w:eastAsia="zh-CN"/>
              </w:rPr>
              <w:t>■</w:t>
            </w:r>
            <w:r>
              <w:rPr>
                <w:rFonts w:hint="default"/>
                <w:highlight w:val="none"/>
                <w:lang w:val="en-US" w:eastAsia="zh-CN"/>
              </w:rPr>
              <w:t>6、支持相同照度场景下，速度不同的运动目标，同时经过监控画面时，相机可自适应控制≥2套快门曝光时间，来适配不同速度目标，以保证抓拍目标图片效果；嵌入两种不同形状灯杯共四颗补光灯，组成的一体化透镜，可覆盖近景和远景补光，补光灯光线照射方向与灯珠方向一致</w:t>
            </w:r>
            <w:r>
              <w:rPr>
                <w:rFonts w:hint="eastAsia"/>
                <w:b/>
                <w:bCs/>
                <w:sz w:val="21"/>
                <w:szCs w:val="21"/>
                <w:highlight w:val="none"/>
                <w:lang w:val="en-US" w:eastAsia="zh-CN"/>
              </w:rPr>
              <w:t>（</w:t>
            </w:r>
            <w:r>
              <w:rPr>
                <w:rFonts w:hint="eastAsia"/>
                <w:b/>
                <w:bCs/>
                <w:color w:val="auto"/>
                <w:szCs w:val="21"/>
                <w:highlight w:val="none"/>
                <w:lang w:val="en-US" w:eastAsia="zh-CN"/>
              </w:rPr>
              <w:t>响应文件中</w:t>
            </w:r>
            <w:r>
              <w:rPr>
                <w:rFonts w:hint="eastAsia"/>
                <w:b/>
                <w:bCs/>
                <w:color w:val="auto"/>
                <w:szCs w:val="21"/>
                <w:highlight w:val="none"/>
                <w:lang w:eastAsia="zh-CN"/>
              </w:rPr>
              <w:t>需提供国家认可的第三方检测机构出具的</w:t>
            </w:r>
            <w:r>
              <w:rPr>
                <w:rFonts w:hint="eastAsia" w:ascii="宋体" w:hAnsi="宋体" w:cs="宋体"/>
                <w:b/>
                <w:bCs/>
                <w:color w:val="auto"/>
                <w:szCs w:val="21"/>
                <w:highlight w:val="none"/>
                <w:lang w:val="en-US" w:eastAsia="zh-CN"/>
              </w:rPr>
              <w:t>关于上述功能的有效的检测报告，</w:t>
            </w:r>
            <w:r>
              <w:rPr>
                <w:b/>
                <w:bCs/>
                <w:color w:val="auto"/>
                <w:szCs w:val="21"/>
                <w:highlight w:val="none"/>
              </w:rPr>
              <w:t>并加盖</w:t>
            </w:r>
            <w:r>
              <w:rPr>
                <w:rFonts w:hint="eastAsia"/>
                <w:b/>
                <w:bCs/>
                <w:color w:val="auto"/>
                <w:szCs w:val="21"/>
                <w:highlight w:val="none"/>
                <w:lang w:eastAsia="zh-CN"/>
              </w:rPr>
              <w:t>供应商公章（或电子签章），</w:t>
            </w:r>
            <w:r>
              <w:rPr>
                <w:rFonts w:hint="eastAsia"/>
                <w:b/>
                <w:bCs/>
                <w:color w:val="auto"/>
                <w:szCs w:val="21"/>
                <w:highlight w:val="none"/>
                <w:lang w:val="en-US" w:eastAsia="zh-CN"/>
              </w:rPr>
              <w:t>否则不予计分</w:t>
            </w:r>
            <w:r>
              <w:rPr>
                <w:rFonts w:hint="eastAsia" w:ascii="宋体" w:hAnsi="宋体" w:cs="宋体"/>
                <w:b/>
                <w:bCs/>
                <w:color w:val="auto"/>
                <w:szCs w:val="21"/>
                <w:highlight w:val="none"/>
                <w:lang w:eastAsia="zh-CN"/>
              </w:rPr>
              <w:t>。</w:t>
            </w:r>
            <w:r>
              <w:rPr>
                <w:rFonts w:hint="eastAsia"/>
                <w:b/>
                <w:bCs/>
                <w:sz w:val="21"/>
                <w:szCs w:val="21"/>
                <w:highlight w:val="none"/>
                <w:lang w:val="en-US" w:eastAsia="zh-CN"/>
              </w:rPr>
              <w:t>）</w:t>
            </w:r>
          </w:p>
          <w:p w14:paraId="68F6C5DF">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highlight w:val="none"/>
                <w:lang w:val="en-US" w:eastAsia="zh-CN"/>
              </w:rPr>
            </w:pPr>
            <w:r>
              <w:rPr>
                <w:rFonts w:hint="default"/>
                <w:highlight w:val="none"/>
                <w:lang w:val="en-US" w:eastAsia="zh-CN"/>
              </w:rPr>
              <w:t>7、支持设置网卡混杂模式检查、系统敏感文件检查、非法超级账户检测、僵尸网络检测、Rootkit检测、程序白名单、挖矿恶意进程检测、隐藏进程检测等设备功能</w:t>
            </w:r>
          </w:p>
          <w:p w14:paraId="3D1920F9">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highlight w:val="none"/>
                <w:lang w:val="en-US" w:eastAsia="zh-CN"/>
              </w:rPr>
            </w:pPr>
            <w:r>
              <w:rPr>
                <w:rFonts w:hint="default"/>
                <w:highlight w:val="none"/>
                <w:lang w:val="en-US" w:eastAsia="zh-CN"/>
              </w:rPr>
              <w:t>8、支持对存储在SD卡中的录像，进行存储与下载加密。支持用户多次配置下载录像的加密密码，使用专用播放器播放下载录像时，必须输入加密密码。当启用该功能时，可在线预览SD卡中的录像；当关闭该功能时，无法在线预览SD卡中的录像</w:t>
            </w:r>
          </w:p>
          <w:p w14:paraId="3D9434F0">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highlight w:val="none"/>
                <w:lang w:val="en-US" w:eastAsia="zh-CN"/>
              </w:rPr>
            </w:pPr>
            <w:r>
              <w:rPr>
                <w:rFonts w:hint="default"/>
                <w:highlight w:val="none"/>
                <w:lang w:val="en-US" w:eastAsia="zh-CN"/>
              </w:rPr>
              <w:t>9、支持补光灯开启后，无明显波纹状、圆环状、麻点状、条纹状及不规则亮斑</w:t>
            </w:r>
          </w:p>
          <w:p w14:paraId="6FDCC5F7">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highlight w:val="none"/>
                <w:lang w:val="en-US" w:eastAsia="zh-CN"/>
              </w:rPr>
            </w:pPr>
            <w:r>
              <w:rPr>
                <w:rFonts w:hint="default"/>
                <w:highlight w:val="none"/>
                <w:lang w:val="en-US" w:eastAsia="zh-CN"/>
              </w:rPr>
              <w:t>10、支持机动车、非机动车、人脸、人体检测；支持上报最优的人脸抓图支持机动车和非机动车属性提取，机动车支持≥7种属性，非机动车支持≥6种属性；支持人脸和人体属性提取，人脸支持≥6种属性，人体支持≥8种属性</w:t>
            </w:r>
          </w:p>
          <w:p w14:paraId="76201650">
            <w:pPr>
              <w:pStyle w:val="12"/>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
                <w:bCs/>
                <w:sz w:val="21"/>
                <w:szCs w:val="21"/>
                <w:highlight w:val="none"/>
                <w:lang w:val="en-US" w:eastAsia="zh-CN"/>
              </w:rPr>
            </w:pPr>
            <w:r>
              <w:rPr>
                <w:rFonts w:hint="eastAsia"/>
                <w:sz w:val="21"/>
                <w:szCs w:val="21"/>
                <w:highlight w:val="none"/>
                <w:lang w:val="en-US" w:eastAsia="zh-CN"/>
              </w:rPr>
              <w:t>■</w:t>
            </w:r>
            <w:r>
              <w:rPr>
                <w:rFonts w:hint="default"/>
                <w:highlight w:val="none"/>
                <w:lang w:val="en-US" w:eastAsia="zh-CN"/>
              </w:rPr>
              <w:t>11、支持补光灯透镜采用微四边形阵列镜面，通过多层透镜组合，可消除监控画面中目标的眩光、杂光和亮点等现象；支持变焦镜头全焦段图像畸变校正功能，相机从短焦到长焦变倍全过程均可同步自动进行画面畸变校正，画面几何失真全焦段≤3%</w:t>
            </w:r>
            <w:r>
              <w:rPr>
                <w:rFonts w:hint="eastAsia"/>
                <w:b/>
                <w:bCs/>
                <w:sz w:val="21"/>
                <w:szCs w:val="21"/>
                <w:highlight w:val="none"/>
                <w:lang w:val="en-US" w:eastAsia="zh-CN"/>
              </w:rPr>
              <w:t>（</w:t>
            </w:r>
            <w:r>
              <w:rPr>
                <w:rFonts w:hint="eastAsia"/>
                <w:b/>
                <w:bCs/>
                <w:color w:val="auto"/>
                <w:szCs w:val="21"/>
                <w:highlight w:val="none"/>
                <w:lang w:val="en-US" w:eastAsia="zh-CN"/>
              </w:rPr>
              <w:t>响应文件中</w:t>
            </w:r>
            <w:r>
              <w:rPr>
                <w:rFonts w:hint="eastAsia"/>
                <w:b/>
                <w:bCs/>
                <w:color w:val="auto"/>
                <w:szCs w:val="21"/>
                <w:highlight w:val="none"/>
                <w:lang w:eastAsia="zh-CN"/>
              </w:rPr>
              <w:t>需提供国家认可的第三方检测机构出具的</w:t>
            </w:r>
            <w:r>
              <w:rPr>
                <w:rFonts w:hint="eastAsia" w:ascii="宋体" w:hAnsi="宋体" w:cs="宋体"/>
                <w:b/>
                <w:bCs/>
                <w:color w:val="auto"/>
                <w:szCs w:val="21"/>
                <w:highlight w:val="none"/>
                <w:lang w:val="en-US" w:eastAsia="zh-CN"/>
              </w:rPr>
              <w:t>关于上述功能的有效的检测报告，</w:t>
            </w:r>
            <w:r>
              <w:rPr>
                <w:b/>
                <w:bCs/>
                <w:color w:val="auto"/>
                <w:szCs w:val="21"/>
                <w:highlight w:val="none"/>
              </w:rPr>
              <w:t>并加盖</w:t>
            </w:r>
            <w:r>
              <w:rPr>
                <w:rFonts w:hint="eastAsia"/>
                <w:b/>
                <w:bCs/>
                <w:color w:val="auto"/>
                <w:szCs w:val="21"/>
                <w:highlight w:val="none"/>
                <w:lang w:eastAsia="zh-CN"/>
              </w:rPr>
              <w:t>供应商公章（或电子签章），</w:t>
            </w:r>
            <w:r>
              <w:rPr>
                <w:rFonts w:hint="eastAsia"/>
                <w:b/>
                <w:bCs/>
                <w:color w:val="auto"/>
                <w:szCs w:val="21"/>
                <w:highlight w:val="none"/>
                <w:lang w:val="en-US" w:eastAsia="zh-CN"/>
              </w:rPr>
              <w:t>否则不予计分</w:t>
            </w:r>
            <w:r>
              <w:rPr>
                <w:rFonts w:hint="eastAsia" w:ascii="宋体" w:hAnsi="宋体" w:cs="宋体"/>
                <w:b/>
                <w:bCs/>
                <w:color w:val="auto"/>
                <w:szCs w:val="21"/>
                <w:highlight w:val="none"/>
                <w:lang w:eastAsia="zh-CN"/>
              </w:rPr>
              <w:t>。</w:t>
            </w:r>
            <w:r>
              <w:rPr>
                <w:rFonts w:hint="eastAsia"/>
                <w:b/>
                <w:bCs/>
                <w:sz w:val="21"/>
                <w:szCs w:val="21"/>
                <w:highlight w:val="none"/>
                <w:lang w:val="en-US" w:eastAsia="zh-CN"/>
              </w:rPr>
              <w:t>）</w:t>
            </w:r>
          </w:p>
          <w:p w14:paraId="1CED9893">
            <w:pPr>
              <w:pStyle w:val="12"/>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
                <w:bCs/>
                <w:sz w:val="21"/>
                <w:szCs w:val="21"/>
                <w:highlight w:val="none"/>
                <w:lang w:val="en-US" w:eastAsia="zh-CN"/>
              </w:rPr>
            </w:pPr>
            <w:r>
              <w:rPr>
                <w:rFonts w:hint="eastAsia"/>
                <w:sz w:val="21"/>
                <w:szCs w:val="21"/>
                <w:highlight w:val="none"/>
                <w:lang w:val="en-US" w:eastAsia="zh-CN"/>
              </w:rPr>
              <w:t>■</w:t>
            </w:r>
            <w:r>
              <w:rPr>
                <w:rFonts w:hint="default"/>
                <w:highlight w:val="none"/>
                <w:lang w:val="en-US" w:eastAsia="zh-CN"/>
              </w:rPr>
              <w:t>12、支持0.001lux照度下，可自动提升视频画面中人脸与人体目标的亮度；支持场景大模型算法， 开启环境自适应功能后， 可自动识别不同环境光的监控场景并切换图像配置， 包括宽动态、曝光、增益等参数</w:t>
            </w:r>
            <w:r>
              <w:rPr>
                <w:rFonts w:hint="eastAsia"/>
                <w:b/>
                <w:bCs/>
                <w:sz w:val="21"/>
                <w:szCs w:val="21"/>
                <w:highlight w:val="none"/>
                <w:lang w:val="en-US" w:eastAsia="zh-CN"/>
              </w:rPr>
              <w:t>（</w:t>
            </w:r>
            <w:r>
              <w:rPr>
                <w:rFonts w:hint="eastAsia"/>
                <w:b/>
                <w:bCs/>
                <w:color w:val="auto"/>
                <w:szCs w:val="21"/>
                <w:highlight w:val="none"/>
                <w:lang w:val="en-US" w:eastAsia="zh-CN"/>
              </w:rPr>
              <w:t>响应文件中</w:t>
            </w:r>
            <w:r>
              <w:rPr>
                <w:rFonts w:hint="eastAsia"/>
                <w:b/>
                <w:bCs/>
                <w:color w:val="auto"/>
                <w:szCs w:val="21"/>
                <w:highlight w:val="none"/>
                <w:lang w:eastAsia="zh-CN"/>
              </w:rPr>
              <w:t>需提供国家认可的第三方检测机构出具的</w:t>
            </w:r>
            <w:r>
              <w:rPr>
                <w:rFonts w:hint="eastAsia" w:ascii="宋体" w:hAnsi="宋体" w:cs="宋体"/>
                <w:b/>
                <w:bCs/>
                <w:color w:val="auto"/>
                <w:szCs w:val="21"/>
                <w:highlight w:val="none"/>
                <w:lang w:val="en-US" w:eastAsia="zh-CN"/>
              </w:rPr>
              <w:t>关于上述功能的有效的检测报告，</w:t>
            </w:r>
            <w:r>
              <w:rPr>
                <w:b/>
                <w:bCs/>
                <w:color w:val="auto"/>
                <w:szCs w:val="21"/>
                <w:highlight w:val="none"/>
              </w:rPr>
              <w:t>并加盖</w:t>
            </w:r>
            <w:r>
              <w:rPr>
                <w:rFonts w:hint="eastAsia"/>
                <w:b/>
                <w:bCs/>
                <w:color w:val="auto"/>
                <w:szCs w:val="21"/>
                <w:highlight w:val="none"/>
                <w:lang w:eastAsia="zh-CN"/>
              </w:rPr>
              <w:t>供应商公章（或电子签章），</w:t>
            </w:r>
            <w:r>
              <w:rPr>
                <w:rFonts w:hint="eastAsia"/>
                <w:b/>
                <w:bCs/>
                <w:color w:val="auto"/>
                <w:szCs w:val="21"/>
                <w:highlight w:val="none"/>
                <w:lang w:val="en-US" w:eastAsia="zh-CN"/>
              </w:rPr>
              <w:t>否则不予计分</w:t>
            </w:r>
            <w:r>
              <w:rPr>
                <w:rFonts w:hint="eastAsia" w:ascii="宋体" w:hAnsi="宋体" w:cs="宋体"/>
                <w:b/>
                <w:bCs/>
                <w:color w:val="auto"/>
                <w:szCs w:val="21"/>
                <w:highlight w:val="none"/>
                <w:lang w:eastAsia="zh-CN"/>
              </w:rPr>
              <w:t>。</w:t>
            </w:r>
            <w:r>
              <w:rPr>
                <w:rFonts w:hint="eastAsia"/>
                <w:b/>
                <w:bCs/>
                <w:sz w:val="21"/>
                <w:szCs w:val="21"/>
                <w:highlight w:val="none"/>
                <w:lang w:val="en-US" w:eastAsia="zh-CN"/>
              </w:rPr>
              <w:t>）</w:t>
            </w:r>
          </w:p>
          <w:p w14:paraId="63B60835">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textAlignment w:val="auto"/>
              <w:rPr>
                <w:rFonts w:hint="default"/>
                <w:b/>
                <w:bCs/>
                <w:highlight w:val="none"/>
                <w:lang w:val="en-US" w:eastAsia="zh-CN"/>
              </w:rPr>
            </w:pPr>
            <w:r>
              <w:rPr>
                <w:rFonts w:hint="eastAsia"/>
                <w:b/>
                <w:bCs/>
                <w:highlight w:val="none"/>
                <w:lang w:val="en-US" w:eastAsia="zh-CN"/>
              </w:rPr>
              <w:t>五）、</w:t>
            </w:r>
            <w:r>
              <w:rPr>
                <w:rFonts w:hint="default"/>
                <w:b/>
                <w:bCs/>
                <w:highlight w:val="none"/>
                <w:lang w:val="en-US" w:eastAsia="zh-CN"/>
              </w:rPr>
              <w:t>新国标四合一补光灯</w:t>
            </w:r>
            <w:r>
              <w:rPr>
                <w:rFonts w:hint="eastAsia"/>
                <w:b/>
                <w:bCs/>
                <w:highlight w:val="none"/>
                <w:lang w:val="en-US" w:eastAsia="zh-CN"/>
              </w:rPr>
              <w:t>备件服务</w:t>
            </w:r>
            <w:r>
              <w:rPr>
                <w:rFonts w:hint="eastAsia" w:ascii="宋体" w:hAnsi="宋体" w:cs="宋体"/>
                <w:b/>
                <w:bCs/>
                <w:color w:val="000000"/>
                <w:sz w:val="21"/>
                <w:szCs w:val="21"/>
                <w:highlight w:val="none"/>
                <w:lang w:val="en-US" w:eastAsia="zh-CN"/>
              </w:rPr>
              <w:t>：</w:t>
            </w:r>
          </w:p>
          <w:p w14:paraId="166507B3">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highlight w:val="none"/>
                <w:lang w:val="en-US" w:eastAsia="zh-CN"/>
              </w:rPr>
            </w:pPr>
            <w:r>
              <w:rPr>
                <w:rFonts w:hint="default"/>
                <w:highlight w:val="none"/>
                <w:lang w:val="en-US" w:eastAsia="zh-CN"/>
              </w:rPr>
              <w:t>1、集暖光LED频闪、爆闪和氙气白光、红外爆闪于一体，有效降低光污染、避免麻雀杆现象；支持红外/白光闪光，可自动切换红外和白光模式；</w:t>
            </w:r>
          </w:p>
          <w:p w14:paraId="513ABE9D">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highlight w:val="none"/>
                <w:lang w:val="en-US" w:eastAsia="zh-CN"/>
              </w:rPr>
            </w:pPr>
            <w:r>
              <w:rPr>
                <w:rFonts w:hint="default"/>
                <w:highlight w:val="none"/>
                <w:lang w:val="en-US" w:eastAsia="zh-CN"/>
              </w:rPr>
              <w:t>▲2、支持眩光阈值增量(TI)试验：TI≤2%。；设备在输入频率50Hz、占空比3%的信号时，LED频闪灯肉眼观察无明显抖动；设备重量≤5.5kg；</w:t>
            </w:r>
          </w:p>
          <w:p w14:paraId="254457A6">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highlight w:val="none"/>
                <w:lang w:val="en-US" w:eastAsia="zh-CN"/>
              </w:rPr>
            </w:pPr>
            <w:r>
              <w:rPr>
                <w:rFonts w:hint="default"/>
                <w:highlight w:val="none"/>
                <w:lang w:val="en-US" w:eastAsia="zh-CN"/>
              </w:rPr>
              <w:t>3、视频同步：支持LED频闪同步相机视频补光；支持LED爆闪或氙气爆闪同步相机抓拍补光；</w:t>
            </w:r>
          </w:p>
          <w:p w14:paraId="0487D646">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highlight w:val="none"/>
                <w:lang w:val="en-US" w:eastAsia="zh-CN"/>
              </w:rPr>
            </w:pPr>
            <w:r>
              <w:rPr>
                <w:rFonts w:hint="default"/>
                <w:highlight w:val="none"/>
                <w:lang w:val="en-US" w:eastAsia="zh-CN"/>
              </w:rPr>
              <w:t>▲4、支持红外爆闪透光面积≤350cm²；白光爆闪透光面积≥300cm²；设备的气体爆闪电压峰值≥630V；</w:t>
            </w:r>
          </w:p>
          <w:p w14:paraId="728F3AB0">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highlight w:val="none"/>
                <w:lang w:val="en-US" w:eastAsia="zh-CN"/>
              </w:rPr>
            </w:pPr>
            <w:r>
              <w:rPr>
                <w:rFonts w:hint="default"/>
                <w:highlight w:val="none"/>
                <w:lang w:val="en-US" w:eastAsia="zh-CN"/>
              </w:rPr>
              <w:t>5、支持相机WEB设置LED频闪灯和氙气爆闪灯亮度；支持相机WEB设置LED频闪脉宽时间0~3ms；</w:t>
            </w:r>
          </w:p>
          <w:p w14:paraId="353AE8CD">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highlight w:val="none"/>
                <w:lang w:val="en-US" w:eastAsia="zh-CN"/>
              </w:rPr>
            </w:pPr>
            <w:r>
              <w:rPr>
                <w:rFonts w:hint="default"/>
                <w:highlight w:val="none"/>
                <w:lang w:val="en-US" w:eastAsia="zh-CN"/>
              </w:rPr>
              <w:t>▲6、设备的红外滤光片从关闭到开启的时间≤2s；频闪灯发光角度≤6°；设备可通过只改变输入信号频率来改变LED爆闪平均亮度；设备可通过只改变输入信号频率来改变LED频闪平均亮度；</w:t>
            </w:r>
          </w:p>
          <w:p w14:paraId="1FE2FF9D">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highlight w:val="none"/>
                <w:lang w:val="en-US" w:eastAsia="zh-CN"/>
              </w:rPr>
            </w:pPr>
            <w:r>
              <w:rPr>
                <w:rFonts w:hint="default"/>
                <w:highlight w:val="none"/>
                <w:lang w:val="en-US" w:eastAsia="zh-CN"/>
              </w:rPr>
              <w:t>7、爆闪回电时间＜70ms，满足交通摄像机连抓两张的需求；</w:t>
            </w:r>
          </w:p>
          <w:p w14:paraId="21A12690">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highlight w:val="none"/>
                <w:lang w:val="en-US" w:eastAsia="zh-CN"/>
              </w:rPr>
            </w:pPr>
            <w:r>
              <w:rPr>
                <w:rFonts w:hint="default"/>
                <w:highlight w:val="none"/>
                <w:lang w:val="en-US" w:eastAsia="zh-CN"/>
              </w:rPr>
              <w:t>8、支持开关量触发方式；</w:t>
            </w:r>
          </w:p>
          <w:p w14:paraId="06BF16DE">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highlight w:val="none"/>
                <w:lang w:val="en-US" w:eastAsia="zh-CN"/>
              </w:rPr>
            </w:pPr>
            <w:r>
              <w:rPr>
                <w:rFonts w:hint="default"/>
                <w:highlight w:val="none"/>
                <w:lang w:val="en-US" w:eastAsia="zh-CN"/>
              </w:rPr>
              <w:t>9、支持统计频闪持续时间，方便计算设备寿命；</w:t>
            </w:r>
          </w:p>
          <w:p w14:paraId="21435D04">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highlight w:val="none"/>
                <w:lang w:val="en-US" w:eastAsia="zh-CN"/>
              </w:rPr>
            </w:pPr>
            <w:r>
              <w:rPr>
                <w:rFonts w:hint="default"/>
                <w:highlight w:val="none"/>
                <w:lang w:val="en-US" w:eastAsia="zh-CN"/>
              </w:rPr>
              <w:t>10、支持统计爆闪次数和触发次数，可快速定位现场信号干扰问题；</w:t>
            </w:r>
          </w:p>
          <w:p w14:paraId="5E4B4F1D">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highlight w:val="none"/>
                <w:lang w:val="en-US" w:eastAsia="zh-CN"/>
              </w:rPr>
            </w:pPr>
            <w:r>
              <w:rPr>
                <w:rFonts w:hint="default"/>
                <w:highlight w:val="none"/>
                <w:lang w:val="en-US" w:eastAsia="zh-CN"/>
              </w:rPr>
              <w:t>11、支持在摄像机WEB上远程显示补光灯故障、正常状态，提高运维效率；</w:t>
            </w:r>
          </w:p>
          <w:p w14:paraId="59BAC849">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textAlignment w:val="auto"/>
              <w:rPr>
                <w:rFonts w:hint="default"/>
                <w:b/>
                <w:bCs/>
                <w:highlight w:val="none"/>
                <w:lang w:val="en-US" w:eastAsia="zh-CN"/>
              </w:rPr>
            </w:pPr>
            <w:r>
              <w:rPr>
                <w:rFonts w:hint="eastAsia"/>
                <w:b/>
                <w:bCs/>
                <w:highlight w:val="none"/>
                <w:lang w:val="en-US" w:eastAsia="zh-CN"/>
              </w:rPr>
              <w:t>六）、终端防雷服务</w:t>
            </w:r>
            <w:r>
              <w:rPr>
                <w:rFonts w:hint="eastAsia" w:ascii="宋体" w:hAnsi="宋体" w:cs="宋体"/>
                <w:b/>
                <w:bCs/>
                <w:color w:val="000000"/>
                <w:sz w:val="21"/>
                <w:szCs w:val="21"/>
                <w:highlight w:val="none"/>
                <w:lang w:val="en-US" w:eastAsia="zh-CN"/>
              </w:rPr>
              <w:t>，</w:t>
            </w:r>
            <w:r>
              <w:rPr>
                <w:rFonts w:hint="eastAsia" w:ascii="宋体" w:hAnsi="宋体" w:eastAsia="宋体" w:cs="宋体"/>
                <w:b/>
                <w:bCs/>
                <w:color w:val="000000"/>
                <w:sz w:val="21"/>
                <w:szCs w:val="21"/>
                <w:highlight w:val="none"/>
                <w:lang w:val="en-US" w:eastAsia="zh-CN"/>
              </w:rPr>
              <w:t>须满足以下参数及功能</w:t>
            </w:r>
            <w:r>
              <w:rPr>
                <w:rFonts w:hint="eastAsia" w:ascii="宋体" w:hAnsi="宋体" w:cs="宋体"/>
                <w:b/>
                <w:bCs/>
                <w:color w:val="000000"/>
                <w:sz w:val="21"/>
                <w:szCs w:val="21"/>
                <w:highlight w:val="none"/>
                <w:lang w:val="en-US" w:eastAsia="zh-CN"/>
              </w:rPr>
              <w:t>：</w:t>
            </w:r>
          </w:p>
          <w:p w14:paraId="33B8B942">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textAlignment w:val="auto"/>
              <w:rPr>
                <w:rFonts w:hint="default"/>
                <w:b/>
                <w:bCs/>
                <w:highlight w:val="none"/>
                <w:lang w:val="en-US" w:eastAsia="zh-CN"/>
              </w:rPr>
            </w:pPr>
            <w:r>
              <w:rPr>
                <w:rFonts w:hint="eastAsia"/>
                <w:b/>
                <w:bCs/>
                <w:highlight w:val="none"/>
                <w:lang w:val="en-US" w:eastAsia="zh-CN"/>
              </w:rPr>
              <w:t>1、</w:t>
            </w:r>
            <w:r>
              <w:rPr>
                <w:rFonts w:hint="default"/>
                <w:b/>
                <w:bCs/>
                <w:highlight w:val="none"/>
                <w:lang w:val="en-US" w:eastAsia="zh-CN"/>
              </w:rPr>
              <w:t>硬件参数：</w:t>
            </w:r>
          </w:p>
          <w:p w14:paraId="45187EA1">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highlight w:val="none"/>
                <w:lang w:val="en-US" w:eastAsia="zh-CN"/>
              </w:rPr>
            </w:pPr>
            <w:r>
              <w:rPr>
                <w:rFonts w:hint="default"/>
                <w:highlight w:val="none"/>
                <w:lang w:val="en-US" w:eastAsia="zh-CN"/>
              </w:rPr>
              <w:t>电源额定工作电压：220V（220V电源插头公头接入、母头输出）</w:t>
            </w:r>
          </w:p>
          <w:p w14:paraId="4D0CCDF1">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highlight w:val="none"/>
                <w:lang w:val="en-US" w:eastAsia="zh-CN"/>
              </w:rPr>
            </w:pPr>
            <w:r>
              <w:rPr>
                <w:rFonts w:hint="default"/>
                <w:highlight w:val="none"/>
                <w:lang w:val="en-US" w:eastAsia="zh-CN"/>
              </w:rPr>
              <w:t>网络额定工作电压：5V，2路RJ45口（一进一出）</w:t>
            </w:r>
          </w:p>
          <w:p w14:paraId="482C829A">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highlight w:val="none"/>
                <w:lang w:val="en-US" w:eastAsia="zh-CN"/>
              </w:rPr>
            </w:pPr>
            <w:r>
              <w:rPr>
                <w:rFonts w:hint="default"/>
                <w:highlight w:val="none"/>
                <w:lang w:val="en-US" w:eastAsia="zh-CN"/>
              </w:rPr>
              <w:t>▲通讯方式：4G/NB,设备自带通讯信号监测判断</w:t>
            </w:r>
          </w:p>
          <w:p w14:paraId="1C249DB5">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highlight w:val="none"/>
                <w:lang w:val="en-US" w:eastAsia="zh-CN"/>
              </w:rPr>
            </w:pPr>
            <w:r>
              <w:rPr>
                <w:rFonts w:hint="default"/>
                <w:highlight w:val="none"/>
                <w:lang w:val="en-US" w:eastAsia="zh-CN"/>
              </w:rPr>
              <w:t>网络传输：1000M</w:t>
            </w:r>
          </w:p>
          <w:p w14:paraId="5C668F30">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highlight w:val="none"/>
                <w:lang w:val="en-US" w:eastAsia="zh-CN"/>
              </w:rPr>
            </w:pPr>
            <w:r>
              <w:rPr>
                <w:rFonts w:hint="default"/>
                <w:highlight w:val="none"/>
                <w:lang w:val="en-US" w:eastAsia="zh-CN"/>
              </w:rPr>
              <w:t>标称放电电流：5KA</w:t>
            </w:r>
          </w:p>
          <w:p w14:paraId="0A7095B3">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highlight w:val="none"/>
                <w:lang w:val="en-US" w:eastAsia="zh-CN"/>
              </w:rPr>
            </w:pPr>
            <w:r>
              <w:rPr>
                <w:rFonts w:hint="default"/>
                <w:highlight w:val="none"/>
                <w:lang w:val="en-US" w:eastAsia="zh-CN"/>
              </w:rPr>
              <w:t>最大放电电流：10KA</w:t>
            </w:r>
          </w:p>
          <w:p w14:paraId="72C47325">
            <w:pPr>
              <w:pStyle w:val="12"/>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highlight w:val="none"/>
                <w:lang w:val="en-US" w:eastAsia="zh-CN"/>
              </w:rPr>
            </w:pPr>
            <w:r>
              <w:rPr>
                <w:rFonts w:hint="eastAsia"/>
                <w:sz w:val="21"/>
                <w:szCs w:val="21"/>
                <w:highlight w:val="none"/>
                <w:lang w:val="en-US" w:eastAsia="zh-CN"/>
              </w:rPr>
              <w:t>■</w:t>
            </w:r>
            <w:r>
              <w:rPr>
                <w:rFonts w:hint="default"/>
                <w:highlight w:val="none"/>
                <w:lang w:val="en-US" w:eastAsia="zh-CN"/>
              </w:rPr>
              <w:t>网络防雷状态监测：1路</w:t>
            </w:r>
            <w:r>
              <w:rPr>
                <w:rFonts w:hint="eastAsia"/>
                <w:b/>
                <w:bCs/>
                <w:sz w:val="21"/>
                <w:szCs w:val="21"/>
                <w:highlight w:val="none"/>
                <w:lang w:val="en-US" w:eastAsia="zh-CN"/>
              </w:rPr>
              <w:t>（</w:t>
            </w:r>
            <w:r>
              <w:rPr>
                <w:rFonts w:hint="eastAsia"/>
                <w:b/>
                <w:bCs/>
                <w:color w:val="auto"/>
                <w:szCs w:val="21"/>
                <w:highlight w:val="none"/>
                <w:lang w:val="en-US" w:eastAsia="zh-CN"/>
              </w:rPr>
              <w:t>响应文件中</w:t>
            </w:r>
            <w:r>
              <w:rPr>
                <w:rFonts w:hint="eastAsia"/>
                <w:b/>
                <w:bCs/>
                <w:color w:val="auto"/>
                <w:szCs w:val="21"/>
                <w:highlight w:val="none"/>
                <w:lang w:eastAsia="zh-CN"/>
              </w:rPr>
              <w:t>需提供国家认可的第三方检测机构出具的</w:t>
            </w:r>
            <w:r>
              <w:rPr>
                <w:rFonts w:hint="eastAsia" w:ascii="宋体" w:hAnsi="宋体" w:cs="宋体"/>
                <w:b/>
                <w:bCs/>
                <w:color w:val="auto"/>
                <w:szCs w:val="21"/>
                <w:highlight w:val="none"/>
                <w:lang w:val="en-US" w:eastAsia="zh-CN"/>
              </w:rPr>
              <w:t>关于上述功能的有效的检测报告，</w:t>
            </w:r>
            <w:r>
              <w:rPr>
                <w:b/>
                <w:bCs/>
                <w:color w:val="auto"/>
                <w:szCs w:val="21"/>
                <w:highlight w:val="none"/>
              </w:rPr>
              <w:t>并加盖</w:t>
            </w:r>
            <w:r>
              <w:rPr>
                <w:rFonts w:hint="eastAsia"/>
                <w:b/>
                <w:bCs/>
                <w:color w:val="auto"/>
                <w:szCs w:val="21"/>
                <w:highlight w:val="none"/>
                <w:lang w:eastAsia="zh-CN"/>
              </w:rPr>
              <w:t>供应商公章（或电子签章），</w:t>
            </w:r>
            <w:r>
              <w:rPr>
                <w:rFonts w:hint="eastAsia"/>
                <w:b/>
                <w:bCs/>
                <w:color w:val="auto"/>
                <w:szCs w:val="21"/>
                <w:highlight w:val="none"/>
                <w:lang w:val="en-US" w:eastAsia="zh-CN"/>
              </w:rPr>
              <w:t>否则不予计分</w:t>
            </w:r>
            <w:r>
              <w:rPr>
                <w:rFonts w:hint="eastAsia" w:ascii="宋体" w:hAnsi="宋体" w:cs="宋体"/>
                <w:b/>
                <w:bCs/>
                <w:color w:val="auto"/>
                <w:szCs w:val="21"/>
                <w:highlight w:val="none"/>
                <w:lang w:eastAsia="zh-CN"/>
              </w:rPr>
              <w:t>。</w:t>
            </w:r>
            <w:r>
              <w:rPr>
                <w:rFonts w:hint="eastAsia"/>
                <w:b/>
                <w:bCs/>
                <w:sz w:val="21"/>
                <w:szCs w:val="21"/>
                <w:highlight w:val="none"/>
                <w:lang w:val="en-US" w:eastAsia="zh-CN"/>
              </w:rPr>
              <w:t>）</w:t>
            </w:r>
          </w:p>
          <w:p w14:paraId="7617ACA7">
            <w:pPr>
              <w:pStyle w:val="12"/>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
                <w:bCs/>
                <w:sz w:val="21"/>
                <w:szCs w:val="21"/>
                <w:highlight w:val="none"/>
                <w:lang w:val="en-US" w:eastAsia="zh-CN"/>
              </w:rPr>
            </w:pPr>
            <w:r>
              <w:rPr>
                <w:rFonts w:hint="eastAsia"/>
                <w:sz w:val="21"/>
                <w:szCs w:val="21"/>
                <w:highlight w:val="none"/>
                <w:lang w:val="en-US" w:eastAsia="zh-CN"/>
              </w:rPr>
              <w:t>■</w:t>
            </w:r>
            <w:r>
              <w:rPr>
                <w:rFonts w:hint="default"/>
                <w:highlight w:val="none"/>
                <w:lang w:val="en-US" w:eastAsia="zh-CN"/>
              </w:rPr>
              <w:t>电源防雷状态监测：1路</w:t>
            </w:r>
            <w:r>
              <w:rPr>
                <w:rFonts w:hint="eastAsia"/>
                <w:b/>
                <w:bCs/>
                <w:sz w:val="21"/>
                <w:szCs w:val="21"/>
                <w:highlight w:val="none"/>
                <w:lang w:val="en-US" w:eastAsia="zh-CN"/>
              </w:rPr>
              <w:t>（</w:t>
            </w:r>
            <w:r>
              <w:rPr>
                <w:rFonts w:hint="eastAsia"/>
                <w:b/>
                <w:bCs/>
                <w:color w:val="auto"/>
                <w:szCs w:val="21"/>
                <w:highlight w:val="none"/>
                <w:lang w:val="en-US" w:eastAsia="zh-CN"/>
              </w:rPr>
              <w:t>响应文件中</w:t>
            </w:r>
            <w:r>
              <w:rPr>
                <w:rFonts w:hint="eastAsia"/>
                <w:b/>
                <w:bCs/>
                <w:color w:val="auto"/>
                <w:szCs w:val="21"/>
                <w:highlight w:val="none"/>
                <w:lang w:eastAsia="zh-CN"/>
              </w:rPr>
              <w:t>需提供国家认可的第三方检测机构出具的</w:t>
            </w:r>
            <w:r>
              <w:rPr>
                <w:rFonts w:hint="eastAsia" w:ascii="宋体" w:hAnsi="宋体" w:cs="宋体"/>
                <w:b/>
                <w:bCs/>
                <w:color w:val="auto"/>
                <w:szCs w:val="21"/>
                <w:highlight w:val="none"/>
                <w:lang w:val="en-US" w:eastAsia="zh-CN"/>
              </w:rPr>
              <w:t>关于上述功能的有效的检测报告，</w:t>
            </w:r>
            <w:r>
              <w:rPr>
                <w:b/>
                <w:bCs/>
                <w:color w:val="auto"/>
                <w:szCs w:val="21"/>
                <w:highlight w:val="none"/>
              </w:rPr>
              <w:t>并加盖</w:t>
            </w:r>
            <w:r>
              <w:rPr>
                <w:rFonts w:hint="eastAsia"/>
                <w:b/>
                <w:bCs/>
                <w:color w:val="auto"/>
                <w:szCs w:val="21"/>
                <w:highlight w:val="none"/>
                <w:lang w:eastAsia="zh-CN"/>
              </w:rPr>
              <w:t>供应商公章（或电子签章），</w:t>
            </w:r>
            <w:r>
              <w:rPr>
                <w:rFonts w:hint="eastAsia"/>
                <w:b/>
                <w:bCs/>
                <w:color w:val="auto"/>
                <w:szCs w:val="21"/>
                <w:highlight w:val="none"/>
                <w:lang w:val="en-US" w:eastAsia="zh-CN"/>
              </w:rPr>
              <w:t>否则不予计分</w:t>
            </w:r>
            <w:r>
              <w:rPr>
                <w:rFonts w:hint="eastAsia" w:ascii="宋体" w:hAnsi="宋体" w:cs="宋体"/>
                <w:b/>
                <w:bCs/>
                <w:color w:val="auto"/>
                <w:szCs w:val="21"/>
                <w:highlight w:val="none"/>
                <w:lang w:eastAsia="zh-CN"/>
              </w:rPr>
              <w:t>。</w:t>
            </w:r>
            <w:r>
              <w:rPr>
                <w:rFonts w:hint="eastAsia"/>
                <w:b/>
                <w:bCs/>
                <w:sz w:val="21"/>
                <w:szCs w:val="21"/>
                <w:highlight w:val="none"/>
                <w:lang w:val="en-US" w:eastAsia="zh-CN"/>
              </w:rPr>
              <w:t>）</w:t>
            </w:r>
          </w:p>
          <w:p w14:paraId="1A83AEC4">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highlight w:val="none"/>
                <w:lang w:val="en-US" w:eastAsia="zh-CN"/>
              </w:rPr>
            </w:pPr>
            <w:r>
              <w:rPr>
                <w:rFonts w:hint="default"/>
                <w:highlight w:val="none"/>
                <w:lang w:val="en-US" w:eastAsia="zh-CN"/>
              </w:rPr>
              <w:t>感应雷击防护过电流计数：1路</w:t>
            </w:r>
          </w:p>
          <w:p w14:paraId="61743218">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highlight w:val="none"/>
                <w:lang w:val="en-US" w:eastAsia="zh-CN"/>
              </w:rPr>
            </w:pPr>
            <w:r>
              <w:rPr>
                <w:rFonts w:hint="default"/>
                <w:highlight w:val="none"/>
                <w:lang w:val="en-US" w:eastAsia="zh-CN"/>
              </w:rPr>
              <w:t>存储：1000条</w:t>
            </w:r>
          </w:p>
          <w:p w14:paraId="4ADE32BC">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highlight w:val="none"/>
                <w:lang w:val="en-US" w:eastAsia="zh-CN"/>
              </w:rPr>
            </w:pPr>
            <w:r>
              <w:rPr>
                <w:rFonts w:hint="default"/>
                <w:highlight w:val="none"/>
                <w:lang w:val="en-US" w:eastAsia="zh-CN"/>
              </w:rPr>
              <w:t>时钟：自带</w:t>
            </w:r>
          </w:p>
          <w:p w14:paraId="68579172">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highlight w:val="none"/>
                <w:lang w:val="en-US" w:eastAsia="zh-CN"/>
              </w:rPr>
            </w:pPr>
            <w:r>
              <w:rPr>
                <w:rFonts w:hint="default"/>
                <w:highlight w:val="none"/>
                <w:lang w:val="en-US" w:eastAsia="zh-CN"/>
              </w:rPr>
              <w:t>自带看门狗</w:t>
            </w:r>
          </w:p>
          <w:p w14:paraId="230A4842">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highlight w:val="none"/>
                <w:lang w:val="en-US" w:eastAsia="zh-CN"/>
              </w:rPr>
            </w:pPr>
            <w:r>
              <w:rPr>
                <w:rFonts w:hint="default"/>
                <w:highlight w:val="none"/>
                <w:lang w:val="en-US" w:eastAsia="zh-CN"/>
              </w:rPr>
              <w:t>安装方式：220V电源插头公头接入，220V电源母头输出；</w:t>
            </w:r>
          </w:p>
          <w:p w14:paraId="1EF5C872">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textAlignment w:val="auto"/>
              <w:rPr>
                <w:rFonts w:hint="default"/>
                <w:b/>
                <w:bCs/>
                <w:highlight w:val="none"/>
                <w:lang w:val="en-US" w:eastAsia="zh-CN"/>
              </w:rPr>
            </w:pPr>
            <w:r>
              <w:rPr>
                <w:rFonts w:hint="eastAsia"/>
                <w:b/>
                <w:bCs/>
                <w:highlight w:val="none"/>
                <w:lang w:val="en-US" w:eastAsia="zh-CN"/>
              </w:rPr>
              <w:t>2</w:t>
            </w:r>
            <w:r>
              <w:rPr>
                <w:rFonts w:hint="default"/>
                <w:b/>
                <w:bCs/>
                <w:highlight w:val="none"/>
                <w:lang w:val="en-US" w:eastAsia="zh-CN"/>
              </w:rPr>
              <w:t>、软件参数：</w:t>
            </w:r>
          </w:p>
          <w:p w14:paraId="37B854F9">
            <w:pPr>
              <w:pStyle w:val="12"/>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
                <w:bCs/>
                <w:sz w:val="21"/>
                <w:szCs w:val="21"/>
                <w:highlight w:val="none"/>
                <w:lang w:val="en-US" w:eastAsia="zh-CN"/>
              </w:rPr>
            </w:pPr>
            <w:r>
              <w:rPr>
                <w:rFonts w:hint="eastAsia"/>
                <w:sz w:val="21"/>
                <w:szCs w:val="21"/>
                <w:highlight w:val="none"/>
                <w:lang w:val="en-US" w:eastAsia="zh-CN"/>
              </w:rPr>
              <w:t>■</w:t>
            </w:r>
            <w:r>
              <w:rPr>
                <w:rFonts w:hint="eastAsia"/>
                <w:highlight w:val="none"/>
                <w:lang w:val="en-US" w:eastAsia="zh-CN"/>
              </w:rPr>
              <w:t>2.</w:t>
            </w:r>
            <w:r>
              <w:rPr>
                <w:rFonts w:hint="default"/>
                <w:highlight w:val="none"/>
                <w:lang w:val="en-US" w:eastAsia="zh-CN"/>
              </w:rPr>
              <w:t>1、PC\手机微信功能查询、告警：防雷功能寿命预警、防雷失效告警，设备GIS集中展现管理，每个设备的项目名称查询展示；设备PC\手机在线故障报修。</w:t>
            </w:r>
            <w:r>
              <w:rPr>
                <w:rFonts w:hint="eastAsia"/>
                <w:b/>
                <w:bCs/>
                <w:sz w:val="21"/>
                <w:szCs w:val="21"/>
                <w:highlight w:val="none"/>
                <w:lang w:val="en-US" w:eastAsia="zh-CN"/>
              </w:rPr>
              <w:t>（</w:t>
            </w:r>
            <w:r>
              <w:rPr>
                <w:rFonts w:hint="eastAsia"/>
                <w:b/>
                <w:bCs/>
                <w:color w:val="auto"/>
                <w:szCs w:val="21"/>
                <w:highlight w:val="none"/>
                <w:lang w:val="en-US" w:eastAsia="zh-CN"/>
              </w:rPr>
              <w:t>响应文件中</w:t>
            </w:r>
            <w:r>
              <w:rPr>
                <w:rFonts w:hint="eastAsia"/>
                <w:b/>
                <w:bCs/>
                <w:color w:val="auto"/>
                <w:szCs w:val="21"/>
                <w:highlight w:val="none"/>
                <w:lang w:eastAsia="zh-CN"/>
              </w:rPr>
              <w:t>需提供国家认可的第三方检测机构出具的</w:t>
            </w:r>
            <w:r>
              <w:rPr>
                <w:rFonts w:hint="eastAsia" w:ascii="宋体" w:hAnsi="宋体" w:cs="宋体"/>
                <w:b/>
                <w:bCs/>
                <w:color w:val="auto"/>
                <w:szCs w:val="21"/>
                <w:highlight w:val="none"/>
                <w:lang w:val="en-US" w:eastAsia="zh-CN"/>
              </w:rPr>
              <w:t>关于上述功能的有效的检测报告，</w:t>
            </w:r>
            <w:r>
              <w:rPr>
                <w:b/>
                <w:bCs/>
                <w:color w:val="auto"/>
                <w:szCs w:val="21"/>
                <w:highlight w:val="none"/>
              </w:rPr>
              <w:t>并加盖</w:t>
            </w:r>
            <w:r>
              <w:rPr>
                <w:rFonts w:hint="eastAsia"/>
                <w:b/>
                <w:bCs/>
                <w:color w:val="auto"/>
                <w:szCs w:val="21"/>
                <w:highlight w:val="none"/>
                <w:lang w:eastAsia="zh-CN"/>
              </w:rPr>
              <w:t>供应商公章（或电子签章），</w:t>
            </w:r>
            <w:r>
              <w:rPr>
                <w:rFonts w:hint="eastAsia"/>
                <w:b/>
                <w:bCs/>
                <w:color w:val="auto"/>
                <w:szCs w:val="21"/>
                <w:highlight w:val="none"/>
                <w:lang w:val="en-US" w:eastAsia="zh-CN"/>
              </w:rPr>
              <w:t>否则不予计分</w:t>
            </w:r>
            <w:r>
              <w:rPr>
                <w:rFonts w:hint="eastAsia" w:ascii="宋体" w:hAnsi="宋体" w:cs="宋体"/>
                <w:b/>
                <w:bCs/>
                <w:color w:val="auto"/>
                <w:szCs w:val="21"/>
                <w:highlight w:val="none"/>
                <w:lang w:eastAsia="zh-CN"/>
              </w:rPr>
              <w:t>。</w:t>
            </w:r>
            <w:r>
              <w:rPr>
                <w:rFonts w:hint="eastAsia"/>
                <w:b/>
                <w:bCs/>
                <w:sz w:val="21"/>
                <w:szCs w:val="21"/>
                <w:highlight w:val="none"/>
                <w:lang w:val="en-US" w:eastAsia="zh-CN"/>
              </w:rPr>
              <w:t>）</w:t>
            </w:r>
          </w:p>
          <w:p w14:paraId="3AB283D1">
            <w:pPr>
              <w:pStyle w:val="12"/>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
                <w:bCs/>
                <w:sz w:val="21"/>
                <w:szCs w:val="21"/>
                <w:highlight w:val="none"/>
                <w:lang w:val="en-US" w:eastAsia="zh-CN"/>
              </w:rPr>
            </w:pPr>
            <w:r>
              <w:rPr>
                <w:rFonts w:hint="eastAsia"/>
                <w:sz w:val="21"/>
                <w:szCs w:val="21"/>
                <w:highlight w:val="none"/>
                <w:lang w:val="en-US" w:eastAsia="zh-CN"/>
              </w:rPr>
              <w:t>■</w:t>
            </w:r>
            <w:r>
              <w:rPr>
                <w:rFonts w:hint="eastAsia"/>
                <w:highlight w:val="none"/>
                <w:lang w:val="en-US" w:eastAsia="zh-CN"/>
              </w:rPr>
              <w:t>2.</w:t>
            </w:r>
            <w:r>
              <w:rPr>
                <w:rFonts w:hint="default"/>
                <w:highlight w:val="none"/>
                <w:lang w:val="en-US" w:eastAsia="zh-CN"/>
              </w:rPr>
              <w:t>2、数据云存储：网络防雷、电源防雷的状态、寿命、失效数据，通讯信号值、流量值、项目名称等数据的云端存储。</w:t>
            </w:r>
            <w:r>
              <w:rPr>
                <w:rFonts w:hint="eastAsia"/>
                <w:b/>
                <w:bCs/>
                <w:sz w:val="21"/>
                <w:szCs w:val="21"/>
                <w:highlight w:val="none"/>
                <w:lang w:val="en-US" w:eastAsia="zh-CN"/>
              </w:rPr>
              <w:t>（</w:t>
            </w:r>
            <w:r>
              <w:rPr>
                <w:rFonts w:hint="eastAsia"/>
                <w:b/>
                <w:bCs/>
                <w:color w:val="auto"/>
                <w:szCs w:val="21"/>
                <w:highlight w:val="none"/>
                <w:lang w:val="en-US" w:eastAsia="zh-CN"/>
              </w:rPr>
              <w:t>响应文件中</w:t>
            </w:r>
            <w:r>
              <w:rPr>
                <w:rFonts w:hint="eastAsia"/>
                <w:b/>
                <w:bCs/>
                <w:color w:val="auto"/>
                <w:szCs w:val="21"/>
                <w:highlight w:val="none"/>
                <w:lang w:eastAsia="zh-CN"/>
              </w:rPr>
              <w:t>需提供国家认可的第三方检测机构出具的</w:t>
            </w:r>
            <w:r>
              <w:rPr>
                <w:rFonts w:hint="eastAsia" w:ascii="宋体" w:hAnsi="宋体" w:cs="宋体"/>
                <w:b/>
                <w:bCs/>
                <w:color w:val="auto"/>
                <w:szCs w:val="21"/>
                <w:highlight w:val="none"/>
                <w:lang w:val="en-US" w:eastAsia="zh-CN"/>
              </w:rPr>
              <w:t>关于上述功能的有效的检测报告，</w:t>
            </w:r>
            <w:r>
              <w:rPr>
                <w:b/>
                <w:bCs/>
                <w:color w:val="auto"/>
                <w:szCs w:val="21"/>
                <w:highlight w:val="none"/>
              </w:rPr>
              <w:t>并加盖</w:t>
            </w:r>
            <w:r>
              <w:rPr>
                <w:rFonts w:hint="eastAsia"/>
                <w:b/>
                <w:bCs/>
                <w:color w:val="auto"/>
                <w:szCs w:val="21"/>
                <w:highlight w:val="none"/>
                <w:lang w:eastAsia="zh-CN"/>
              </w:rPr>
              <w:t>供应商公章（或电子签章），</w:t>
            </w:r>
            <w:r>
              <w:rPr>
                <w:rFonts w:hint="eastAsia"/>
                <w:b/>
                <w:bCs/>
                <w:color w:val="auto"/>
                <w:szCs w:val="21"/>
                <w:highlight w:val="none"/>
                <w:lang w:val="en-US" w:eastAsia="zh-CN"/>
              </w:rPr>
              <w:t>否则不予计分</w:t>
            </w:r>
            <w:r>
              <w:rPr>
                <w:rFonts w:hint="eastAsia" w:ascii="宋体" w:hAnsi="宋体" w:cs="宋体"/>
                <w:b/>
                <w:bCs/>
                <w:color w:val="auto"/>
                <w:szCs w:val="21"/>
                <w:highlight w:val="none"/>
                <w:lang w:eastAsia="zh-CN"/>
              </w:rPr>
              <w:t>。</w:t>
            </w:r>
            <w:r>
              <w:rPr>
                <w:rFonts w:hint="eastAsia"/>
                <w:b/>
                <w:bCs/>
                <w:sz w:val="21"/>
                <w:szCs w:val="21"/>
                <w:highlight w:val="none"/>
                <w:lang w:val="en-US" w:eastAsia="zh-CN"/>
              </w:rPr>
              <w:t>）</w:t>
            </w:r>
          </w:p>
          <w:p w14:paraId="505B9607">
            <w:pPr>
              <w:pStyle w:val="12"/>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
                <w:bCs/>
                <w:sz w:val="21"/>
                <w:szCs w:val="21"/>
                <w:highlight w:val="none"/>
                <w:lang w:val="en-US" w:eastAsia="zh-CN"/>
              </w:rPr>
            </w:pPr>
            <w:r>
              <w:rPr>
                <w:rFonts w:hint="eastAsia"/>
                <w:sz w:val="21"/>
                <w:szCs w:val="21"/>
                <w:highlight w:val="none"/>
                <w:lang w:val="en-US" w:eastAsia="zh-CN"/>
              </w:rPr>
              <w:t>■</w:t>
            </w:r>
            <w:r>
              <w:rPr>
                <w:rFonts w:hint="eastAsia"/>
                <w:highlight w:val="none"/>
                <w:lang w:val="en-US" w:eastAsia="zh-CN"/>
              </w:rPr>
              <w:t>2.</w:t>
            </w:r>
            <w:r>
              <w:rPr>
                <w:rFonts w:hint="default"/>
                <w:highlight w:val="none"/>
                <w:lang w:val="en-US" w:eastAsia="zh-CN"/>
              </w:rPr>
              <w:t>3、数据统计分析：网络防雷、电源防雷的寿命、失效，通讯信号值、流量值等的数据统计分析。</w:t>
            </w:r>
            <w:r>
              <w:rPr>
                <w:rFonts w:hint="eastAsia"/>
                <w:b/>
                <w:bCs/>
                <w:sz w:val="21"/>
                <w:szCs w:val="21"/>
                <w:highlight w:val="none"/>
                <w:lang w:val="en-US" w:eastAsia="zh-CN"/>
              </w:rPr>
              <w:t>（</w:t>
            </w:r>
            <w:r>
              <w:rPr>
                <w:rFonts w:hint="eastAsia"/>
                <w:b/>
                <w:bCs/>
                <w:color w:val="auto"/>
                <w:szCs w:val="21"/>
                <w:highlight w:val="none"/>
                <w:lang w:val="en-US" w:eastAsia="zh-CN"/>
              </w:rPr>
              <w:t>响应文件中</w:t>
            </w:r>
            <w:r>
              <w:rPr>
                <w:rFonts w:hint="eastAsia"/>
                <w:b/>
                <w:bCs/>
                <w:color w:val="auto"/>
                <w:szCs w:val="21"/>
                <w:highlight w:val="none"/>
                <w:lang w:eastAsia="zh-CN"/>
              </w:rPr>
              <w:t>需提供国家认可的第三方检测机构出具的</w:t>
            </w:r>
            <w:r>
              <w:rPr>
                <w:rFonts w:hint="eastAsia" w:ascii="宋体" w:hAnsi="宋体" w:cs="宋体"/>
                <w:b/>
                <w:bCs/>
                <w:color w:val="auto"/>
                <w:szCs w:val="21"/>
                <w:highlight w:val="none"/>
                <w:lang w:val="en-US" w:eastAsia="zh-CN"/>
              </w:rPr>
              <w:t>关于上述功能的有效的检测报告，</w:t>
            </w:r>
            <w:r>
              <w:rPr>
                <w:b/>
                <w:bCs/>
                <w:color w:val="auto"/>
                <w:szCs w:val="21"/>
                <w:highlight w:val="none"/>
              </w:rPr>
              <w:t>并加盖</w:t>
            </w:r>
            <w:r>
              <w:rPr>
                <w:rFonts w:hint="eastAsia"/>
                <w:b/>
                <w:bCs/>
                <w:color w:val="auto"/>
                <w:szCs w:val="21"/>
                <w:highlight w:val="none"/>
                <w:lang w:eastAsia="zh-CN"/>
              </w:rPr>
              <w:t>供应商公章（或电子签章），</w:t>
            </w:r>
            <w:r>
              <w:rPr>
                <w:rFonts w:hint="eastAsia"/>
                <w:b/>
                <w:bCs/>
                <w:color w:val="auto"/>
                <w:szCs w:val="21"/>
                <w:highlight w:val="none"/>
                <w:lang w:val="en-US" w:eastAsia="zh-CN"/>
              </w:rPr>
              <w:t>否则不予计分</w:t>
            </w:r>
            <w:r>
              <w:rPr>
                <w:rFonts w:hint="eastAsia" w:ascii="宋体" w:hAnsi="宋体" w:cs="宋体"/>
                <w:b/>
                <w:bCs/>
                <w:color w:val="auto"/>
                <w:szCs w:val="21"/>
                <w:highlight w:val="none"/>
                <w:lang w:eastAsia="zh-CN"/>
              </w:rPr>
              <w:t>。</w:t>
            </w:r>
            <w:r>
              <w:rPr>
                <w:rFonts w:hint="eastAsia"/>
                <w:b/>
                <w:bCs/>
                <w:sz w:val="21"/>
                <w:szCs w:val="21"/>
                <w:highlight w:val="none"/>
                <w:lang w:val="en-US" w:eastAsia="zh-CN"/>
              </w:rPr>
              <w:t>）</w:t>
            </w:r>
          </w:p>
          <w:p w14:paraId="3B289FFB">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highlight w:val="none"/>
                <w:lang w:val="en-US" w:eastAsia="zh-CN"/>
              </w:rPr>
            </w:pPr>
            <w:r>
              <w:rPr>
                <w:rFonts w:hint="eastAsia"/>
                <w:highlight w:val="none"/>
                <w:lang w:val="en-US" w:eastAsia="zh-CN"/>
              </w:rPr>
              <w:t>2.</w:t>
            </w:r>
            <w:r>
              <w:rPr>
                <w:rFonts w:hint="default"/>
                <w:highlight w:val="none"/>
                <w:lang w:val="en-US" w:eastAsia="zh-CN"/>
              </w:rPr>
              <w:t>4、适用网络和电源设备：服务器、交换机、路由器、电脑、防火墙、摄像头、硬盘录像机、录播设备、多媒体设备、LED等。</w:t>
            </w:r>
          </w:p>
          <w:p w14:paraId="5B1DB172">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sz w:val="21"/>
                <w:szCs w:val="21"/>
                <w:highlight w:val="none"/>
                <w:lang w:val="en-US" w:eastAsia="zh-CN"/>
              </w:rPr>
            </w:pPr>
            <w:r>
              <w:rPr>
                <w:rFonts w:hint="eastAsia"/>
                <w:highlight w:val="none"/>
                <w:lang w:val="en-US" w:eastAsia="zh-CN"/>
              </w:rPr>
              <w:t>3</w:t>
            </w:r>
            <w:r>
              <w:rPr>
                <w:rFonts w:hint="default"/>
                <w:highlight w:val="none"/>
                <w:lang w:val="en-US" w:eastAsia="zh-CN"/>
              </w:rPr>
              <w:t>、配套插座</w:t>
            </w:r>
            <w:r>
              <w:rPr>
                <w:rFonts w:hint="eastAsia"/>
                <w:highlight w:val="none"/>
                <w:lang w:val="en-US" w:eastAsia="zh-CN"/>
              </w:rPr>
              <w:t>1套</w:t>
            </w:r>
          </w:p>
        </w:tc>
        <w:tc>
          <w:tcPr>
            <w:tcW w:w="245" w:type="pct"/>
            <w:tcBorders>
              <w:top w:val="single" w:color="auto" w:sz="4" w:space="0"/>
              <w:left w:val="single" w:color="auto" w:sz="4" w:space="0"/>
              <w:bottom w:val="single" w:color="auto" w:sz="4" w:space="0"/>
              <w:right w:val="single" w:color="auto" w:sz="4" w:space="0"/>
            </w:tcBorders>
            <w:noWrap w:val="0"/>
            <w:vAlign w:val="center"/>
          </w:tcPr>
          <w:p w14:paraId="755EA299">
            <w:pPr>
              <w:keepNext w:val="0"/>
              <w:keepLines/>
              <w:pageBreakBefore w:val="0"/>
              <w:widowControl w:val="0"/>
              <w:kinsoku/>
              <w:wordWrap w:val="0"/>
              <w:overflowPunct/>
              <w:topLinePunct/>
              <w:autoSpaceDE/>
              <w:autoSpaceDN/>
              <w:bidi w:val="0"/>
              <w:spacing w:before="0" w:after="0" w:line="360" w:lineRule="auto"/>
              <w:jc w:val="center"/>
              <w:textAlignment w:val="auto"/>
              <w:outlineLvl w:val="9"/>
              <w:rPr>
                <w:rFonts w:hint="eastAsia" w:ascii="宋体" w:hAnsi="宋体" w:eastAsia="宋体" w:cs="宋体"/>
                <w:color w:val="000000"/>
                <w:sz w:val="21"/>
                <w:szCs w:val="21"/>
                <w:highlight w:val="none"/>
                <w:lang w:eastAsia="zh-CN"/>
              </w:rPr>
            </w:pPr>
            <w:r>
              <w:rPr>
                <w:rFonts w:hint="eastAsia" w:ascii="宋体" w:hAnsi="宋体" w:cs="宋体"/>
                <w:color w:val="000000"/>
                <w:sz w:val="21"/>
                <w:szCs w:val="21"/>
                <w:highlight w:val="none"/>
                <w:lang w:val="en-US" w:eastAsia="zh-CN"/>
              </w:rPr>
              <w:t>点</w:t>
            </w:r>
          </w:p>
        </w:tc>
        <w:tc>
          <w:tcPr>
            <w:tcW w:w="347" w:type="pct"/>
            <w:tcBorders>
              <w:top w:val="single" w:color="auto" w:sz="4" w:space="0"/>
              <w:left w:val="single" w:color="auto" w:sz="4" w:space="0"/>
              <w:bottom w:val="single" w:color="auto" w:sz="4" w:space="0"/>
              <w:right w:val="single" w:color="auto" w:sz="4" w:space="0"/>
            </w:tcBorders>
            <w:noWrap w:val="0"/>
            <w:vAlign w:val="center"/>
          </w:tcPr>
          <w:p w14:paraId="55211D64">
            <w:pPr>
              <w:keepNext w:val="0"/>
              <w:keepLines/>
              <w:pageBreakBefore w:val="0"/>
              <w:widowControl w:val="0"/>
              <w:kinsoku/>
              <w:wordWrap w:val="0"/>
              <w:overflowPunct/>
              <w:topLinePunct/>
              <w:autoSpaceDE/>
              <w:autoSpaceDN/>
              <w:bidi w:val="0"/>
              <w:spacing w:before="0" w:after="0" w:line="360" w:lineRule="auto"/>
              <w:jc w:val="center"/>
              <w:textAlignment w:val="auto"/>
              <w:outlineLvl w:val="9"/>
              <w:rPr>
                <w:rFonts w:hint="default" w:ascii="宋体" w:hAnsi="宋体" w:eastAsia="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206</w:t>
            </w:r>
          </w:p>
        </w:tc>
      </w:tr>
    </w:tbl>
    <w:p w14:paraId="6EEEC79D">
      <w:pPr>
        <w:rPr>
          <w:rFonts w:hint="eastAsia" w:hAnsi="宋体" w:cs="宋体"/>
          <w:b/>
          <w:bCs/>
          <w:sz w:val="28"/>
          <w:szCs w:val="28"/>
          <w:highlight w:val="none"/>
        </w:rPr>
      </w:pPr>
      <w:r>
        <w:rPr>
          <w:rFonts w:hint="eastAsia" w:hAnsi="宋体" w:cs="宋体"/>
          <w:b/>
          <w:bCs/>
          <w:sz w:val="28"/>
          <w:szCs w:val="28"/>
          <w:highlight w:val="none"/>
        </w:rPr>
        <w:br w:type="page"/>
      </w:r>
    </w:p>
    <w:tbl>
      <w:tblPr>
        <w:tblStyle w:val="32"/>
        <w:tblW w:w="102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0"/>
        <w:gridCol w:w="8522"/>
      </w:tblGrid>
      <w:tr w14:paraId="4C94B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10242" w:type="dxa"/>
            <w:gridSpan w:val="2"/>
            <w:noWrap w:val="0"/>
            <w:vAlign w:val="center"/>
          </w:tcPr>
          <w:p w14:paraId="5F64B66B">
            <w:pPr>
              <w:widowControl/>
              <w:spacing w:line="360" w:lineRule="auto"/>
              <w:jc w:val="left"/>
              <w:rPr>
                <w:rFonts w:hint="eastAsia" w:ascii="宋体" w:hAnsi="宋体" w:eastAsia="宋体" w:cs="宋体"/>
                <w:b/>
                <w:bCs/>
                <w:kern w:val="0"/>
                <w:sz w:val="24"/>
                <w:szCs w:val="24"/>
                <w:highlight w:val="none"/>
              </w:rPr>
            </w:pPr>
            <w:r>
              <w:rPr>
                <w:rFonts w:hint="eastAsia" w:ascii="宋体" w:hAnsi="宋体" w:eastAsia="宋体" w:cs="宋体"/>
                <w:sz w:val="21"/>
                <w:szCs w:val="21"/>
                <w:highlight w:val="none"/>
              </w:rPr>
              <w:t>▲</w:t>
            </w:r>
            <w:r>
              <w:rPr>
                <w:rFonts w:hint="eastAsia" w:ascii="宋体" w:hAnsi="宋体" w:eastAsia="宋体" w:cs="宋体"/>
                <w:b/>
                <w:bCs/>
                <w:kern w:val="0"/>
                <w:sz w:val="24"/>
                <w:szCs w:val="24"/>
                <w:highlight w:val="none"/>
                <w:lang w:val="en-US" w:eastAsia="zh-CN"/>
              </w:rPr>
              <w:t>二、</w:t>
            </w:r>
            <w:r>
              <w:rPr>
                <w:rFonts w:hint="eastAsia" w:ascii="宋体" w:hAnsi="宋体" w:eastAsia="宋体" w:cs="宋体"/>
                <w:b/>
                <w:bCs/>
                <w:kern w:val="0"/>
                <w:sz w:val="24"/>
                <w:szCs w:val="24"/>
                <w:highlight w:val="none"/>
              </w:rPr>
              <w:t>商务要求（商务要求不允许负偏离）</w:t>
            </w:r>
          </w:p>
        </w:tc>
      </w:tr>
      <w:tr w14:paraId="4DD9A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720" w:type="dxa"/>
            <w:noWrap w:val="0"/>
            <w:vAlign w:val="center"/>
          </w:tcPr>
          <w:p w14:paraId="02416907">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服务要求</w:t>
            </w:r>
          </w:p>
        </w:tc>
        <w:tc>
          <w:tcPr>
            <w:tcW w:w="8522" w:type="dxa"/>
            <w:noWrap w:val="0"/>
            <w:vAlign w:val="center"/>
          </w:tcPr>
          <w:p w14:paraId="3AF11B1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ighlight w:val="none"/>
              </w:rPr>
            </w:pPr>
            <w:r>
              <w:rPr>
                <w:rFonts w:hint="eastAsia"/>
                <w:highlight w:val="none"/>
                <w:lang w:val="en-US" w:eastAsia="zh-CN"/>
              </w:rPr>
              <w:t>1.服务</w:t>
            </w:r>
            <w:r>
              <w:rPr>
                <w:rFonts w:hint="eastAsia"/>
                <w:highlight w:val="none"/>
              </w:rPr>
              <w:t>范围内的免费技术培训。</w:t>
            </w:r>
          </w:p>
          <w:p w14:paraId="74E4150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ighlight w:val="none"/>
              </w:rPr>
            </w:pPr>
            <w:r>
              <w:rPr>
                <w:rFonts w:hint="eastAsia"/>
                <w:highlight w:val="none"/>
                <w:lang w:val="en-US" w:eastAsia="zh-CN"/>
              </w:rPr>
              <w:t>2.服务内容第一项中，专用网络链路租赁服务须在5个工作日内完成建设并投入使用，如超过5个工作日未完成的，视为自动放弃。</w:t>
            </w:r>
          </w:p>
          <w:p w14:paraId="24540A6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ighlight w:val="none"/>
              </w:rPr>
            </w:pPr>
            <w:r>
              <w:rPr>
                <w:rFonts w:hint="eastAsia"/>
                <w:highlight w:val="none"/>
                <w:lang w:val="en-US" w:eastAsia="zh-CN"/>
              </w:rPr>
              <w:t>3</w:t>
            </w:r>
            <w:r>
              <w:rPr>
                <w:rFonts w:hint="eastAsia"/>
                <w:highlight w:val="none"/>
              </w:rPr>
              <w:t>.在电路租用期间应提供免费传输知识培训，指导做好日常维护。</w:t>
            </w:r>
          </w:p>
          <w:p w14:paraId="743AB03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ighlight w:val="none"/>
              </w:rPr>
            </w:pPr>
            <w:r>
              <w:rPr>
                <w:rFonts w:hint="eastAsia"/>
                <w:highlight w:val="none"/>
                <w:lang w:val="en-US" w:eastAsia="zh-CN"/>
              </w:rPr>
              <w:t>4</w:t>
            </w:r>
            <w:r>
              <w:rPr>
                <w:rFonts w:hint="eastAsia"/>
                <w:highlight w:val="none"/>
              </w:rPr>
              <w:t>.提供售后服务承诺书，在线路使用当地有专人实施电路的售后服务，提供售后服务联系人名单，详细地址及联系方式，并提出维护能力证明。</w:t>
            </w:r>
          </w:p>
          <w:p w14:paraId="15D1D74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ighlight w:val="none"/>
              </w:rPr>
            </w:pPr>
            <w:r>
              <w:rPr>
                <w:rFonts w:hint="eastAsia"/>
                <w:highlight w:val="none"/>
                <w:lang w:val="en-US" w:eastAsia="zh-CN"/>
              </w:rPr>
              <w:t>5</w:t>
            </w:r>
            <w:r>
              <w:rPr>
                <w:rFonts w:hint="eastAsia"/>
                <w:highlight w:val="none"/>
              </w:rPr>
              <w:t>.提供7×24小时热线电话服务，并提供多个故障申告途径及绿色通道，做到全方位响应，业务恢复时限≤12小时，故障响应时间≤30分钟。</w:t>
            </w:r>
          </w:p>
          <w:p w14:paraId="68194A8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ighlight w:val="none"/>
              </w:rPr>
            </w:pPr>
            <w:r>
              <w:rPr>
                <w:rFonts w:hint="eastAsia"/>
                <w:highlight w:val="none"/>
                <w:lang w:val="en-US" w:eastAsia="zh-CN"/>
              </w:rPr>
              <w:t>6</w:t>
            </w:r>
            <w:r>
              <w:rPr>
                <w:rFonts w:hint="eastAsia"/>
                <w:highlight w:val="none"/>
              </w:rPr>
              <w:t>.负责保证网络的畅通，负责使用单位</w:t>
            </w:r>
            <w:r>
              <w:rPr>
                <w:rFonts w:hint="eastAsia"/>
                <w:highlight w:val="none"/>
                <w:lang w:val="en-US" w:eastAsia="zh-CN"/>
              </w:rPr>
              <w:t>网络设备onu</w:t>
            </w:r>
            <w:r>
              <w:rPr>
                <w:rFonts w:hint="eastAsia"/>
                <w:highlight w:val="none"/>
              </w:rPr>
              <w:t>免费运行维护，如果主干网络出现问题，在接到报告后1个小时内到达现场，负责排除故障，直到网络恢复正常。</w:t>
            </w:r>
          </w:p>
          <w:p w14:paraId="0B330B2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ighlight w:val="none"/>
                <w:lang w:val="en-US" w:eastAsia="zh-CN"/>
              </w:rPr>
            </w:pPr>
            <w:r>
              <w:rPr>
                <w:rFonts w:hint="eastAsia"/>
                <w:highlight w:val="none"/>
                <w:lang w:val="en-US" w:eastAsia="zh-CN"/>
              </w:rPr>
              <w:t>7.（1）重大活动期间（如节假日、安保任务），须安排专人现场值守，增加巡检频次，提供相关证明台账资料。</w:t>
            </w:r>
          </w:p>
          <w:p w14:paraId="33475E5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ighlight w:val="none"/>
                <w:lang w:val="en-US" w:eastAsia="zh-CN"/>
              </w:rPr>
            </w:pPr>
            <w:r>
              <w:rPr>
                <w:rFonts w:hint="eastAsia"/>
                <w:highlight w:val="none"/>
                <w:lang w:val="en-US" w:eastAsia="zh-CN"/>
              </w:rPr>
              <w:t>（2）链路要求在线率达95%及以上。同时每季度提供《链路运行季报》，含线路在线率、维修报告及现场工作照片、丢包率、光功率等指标。</w:t>
            </w:r>
          </w:p>
          <w:p w14:paraId="432EBC3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ighlight w:val="none"/>
                <w:lang w:val="en-US" w:eastAsia="zh-CN"/>
              </w:rPr>
            </w:pPr>
            <w:r>
              <w:rPr>
                <w:rFonts w:hint="eastAsia"/>
                <w:highlight w:val="none"/>
                <w:lang w:val="en-US" w:eastAsia="zh-CN"/>
              </w:rPr>
              <w:t>（3）所有参与本项目的施工、运维人员持有有效身份证件，主动告知并接受采购人背景核查，签订相关保密协议承诺书，如人员更换应及时告知采购人。</w:t>
            </w:r>
          </w:p>
          <w:p w14:paraId="37F1902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Cs w:val="21"/>
                <w:highlight w:val="none"/>
              </w:rPr>
            </w:pPr>
            <w:r>
              <w:rPr>
                <w:rFonts w:hint="eastAsia"/>
                <w:highlight w:val="none"/>
                <w:lang w:val="en-US" w:eastAsia="zh-CN"/>
              </w:rPr>
              <w:t>8.</w:t>
            </w:r>
            <w:r>
              <w:rPr>
                <w:rFonts w:hint="eastAsia"/>
                <w:highlight w:val="none"/>
                <w:lang w:eastAsia="zh-CN"/>
              </w:rPr>
              <w:t>在服务期内，成交供应商必须要将项目服务中的相关人员购买社保及人身意外保险，并要求管理人员及工作人员在日常工作中，必须做好安全措施，穿着统一的反光工作服，项目运维过程中发生交通事故、工伤事故等安全事故责任均由成交供应商自行承担。</w:t>
            </w:r>
          </w:p>
        </w:tc>
      </w:tr>
      <w:tr w14:paraId="4644D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0" w:type="dxa"/>
            <w:noWrap w:val="0"/>
            <w:vAlign w:val="center"/>
          </w:tcPr>
          <w:p w14:paraId="22B4C32E">
            <w:pPr>
              <w:adjustRightInd w:val="0"/>
              <w:snapToGrid w:val="0"/>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服务期限及服务地点</w:t>
            </w:r>
          </w:p>
        </w:tc>
        <w:tc>
          <w:tcPr>
            <w:tcW w:w="8522" w:type="dxa"/>
            <w:noWrap w:val="0"/>
            <w:vAlign w:val="top"/>
          </w:tcPr>
          <w:p w14:paraId="249616F7">
            <w:pPr>
              <w:adjustRightInd w:val="0"/>
              <w:snapToGrid w:val="0"/>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rPr>
              <w:t>服务期限：自验收合格并交付使用之日起</w:t>
            </w:r>
            <w:r>
              <w:rPr>
                <w:rFonts w:hint="eastAsia" w:ascii="宋体" w:hAnsi="宋体" w:eastAsia="宋体" w:cs="宋体"/>
                <w:sz w:val="21"/>
                <w:szCs w:val="21"/>
                <w:highlight w:val="none"/>
                <w:lang w:val="en-US" w:eastAsia="zh-CN"/>
              </w:rPr>
              <w:t>12</w:t>
            </w:r>
            <w:r>
              <w:rPr>
                <w:rFonts w:hint="eastAsia" w:ascii="宋体" w:hAnsi="宋体" w:eastAsia="宋体" w:cs="宋体"/>
                <w:sz w:val="21"/>
                <w:szCs w:val="21"/>
                <w:highlight w:val="none"/>
              </w:rPr>
              <w:t>个月。</w:t>
            </w:r>
          </w:p>
          <w:p w14:paraId="32964B17">
            <w:pPr>
              <w:adjustRightInd w:val="0"/>
              <w:snapToGrid w:val="0"/>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、服务地点：</w:t>
            </w:r>
            <w:r>
              <w:rPr>
                <w:rFonts w:hint="eastAsia" w:ascii="宋体" w:hAnsi="宋体" w:cs="宋体"/>
                <w:sz w:val="21"/>
                <w:szCs w:val="21"/>
                <w:highlight w:val="none"/>
                <w:lang w:val="en-US" w:eastAsia="zh-CN"/>
              </w:rPr>
              <w:t>资源县</w:t>
            </w:r>
            <w:r>
              <w:rPr>
                <w:rFonts w:hint="eastAsia" w:ascii="宋体" w:hAnsi="宋体" w:eastAsia="宋体" w:cs="宋体"/>
                <w:sz w:val="21"/>
                <w:szCs w:val="21"/>
                <w:highlight w:val="none"/>
              </w:rPr>
              <w:t>区域内采购人指定地点。</w:t>
            </w:r>
          </w:p>
          <w:p w14:paraId="3701E354">
            <w:pPr>
              <w:adjustRightInd w:val="0"/>
              <w:snapToGrid w:val="0"/>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、交付使用期限：自签订合同之日起</w:t>
            </w:r>
            <w:r>
              <w:rPr>
                <w:rFonts w:hint="eastAsia" w:ascii="宋体" w:hAnsi="宋体" w:cs="宋体"/>
                <w:sz w:val="21"/>
                <w:szCs w:val="21"/>
                <w:highlight w:val="none"/>
                <w:lang w:val="en-US" w:eastAsia="zh-CN"/>
              </w:rPr>
              <w:t>15</w:t>
            </w:r>
            <w:r>
              <w:rPr>
                <w:rFonts w:hint="eastAsia" w:ascii="宋体" w:hAnsi="宋体" w:eastAsia="宋体" w:cs="宋体"/>
                <w:sz w:val="21"/>
                <w:szCs w:val="21"/>
                <w:highlight w:val="none"/>
              </w:rPr>
              <w:t>个工作日内交付。</w:t>
            </w:r>
          </w:p>
          <w:p w14:paraId="25DF4F22">
            <w:pPr>
              <w:adjustRightInd w:val="0"/>
              <w:snapToGrid w:val="0"/>
              <w:spacing w:line="360" w:lineRule="auto"/>
              <w:jc w:val="left"/>
              <w:textAlignment w:val="center"/>
              <w:rPr>
                <w:rFonts w:hint="eastAsia" w:ascii="宋体" w:hAnsi="宋体" w:eastAsia="宋体" w:cs="宋体"/>
                <w:bCs/>
                <w:kern w:val="0"/>
                <w:sz w:val="21"/>
                <w:szCs w:val="21"/>
                <w:highlight w:val="none"/>
                <w:lang w:bidi="ar"/>
              </w:rPr>
            </w:pPr>
            <w:r>
              <w:rPr>
                <w:rFonts w:hint="eastAsia" w:ascii="宋体" w:hAnsi="宋体" w:eastAsia="宋体" w:cs="宋体"/>
                <w:sz w:val="21"/>
                <w:szCs w:val="21"/>
                <w:highlight w:val="none"/>
                <w:lang w:val="en-US" w:eastAsia="zh-CN"/>
              </w:rPr>
              <w:t>4</w:t>
            </w:r>
            <w:r>
              <w:rPr>
                <w:rFonts w:hint="eastAsia" w:ascii="宋体" w:hAnsi="宋体" w:eastAsia="宋体" w:cs="宋体"/>
                <w:sz w:val="21"/>
                <w:szCs w:val="21"/>
                <w:highlight w:val="none"/>
              </w:rPr>
              <w:t>、交付方式：现场</w:t>
            </w:r>
            <w:r>
              <w:rPr>
                <w:rFonts w:hint="eastAsia" w:ascii="宋体" w:hAnsi="宋体" w:eastAsia="宋体" w:cs="宋体"/>
                <w:sz w:val="21"/>
                <w:szCs w:val="21"/>
                <w:highlight w:val="none"/>
                <w:lang w:val="en-US" w:eastAsia="zh-CN"/>
              </w:rPr>
              <w:t>方式</w:t>
            </w:r>
            <w:r>
              <w:rPr>
                <w:rFonts w:hint="eastAsia" w:ascii="宋体" w:hAnsi="宋体" w:eastAsia="宋体" w:cs="宋体"/>
                <w:sz w:val="21"/>
                <w:szCs w:val="21"/>
                <w:highlight w:val="none"/>
              </w:rPr>
              <w:t>。</w:t>
            </w:r>
          </w:p>
        </w:tc>
      </w:tr>
      <w:tr w14:paraId="2B597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0" w:type="dxa"/>
            <w:noWrap w:val="0"/>
            <w:vAlign w:val="center"/>
          </w:tcPr>
          <w:p w14:paraId="3FF51038">
            <w:pPr>
              <w:adjustRightInd w:val="0"/>
              <w:snapToGrid w:val="0"/>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现场勘察</w:t>
            </w:r>
          </w:p>
        </w:tc>
        <w:tc>
          <w:tcPr>
            <w:tcW w:w="8522" w:type="dxa"/>
            <w:noWrap w:val="0"/>
            <w:vAlign w:val="top"/>
          </w:tcPr>
          <w:p w14:paraId="36E7334C">
            <w:pPr>
              <w:adjustRightInd w:val="0"/>
              <w:snapToGrid w:val="0"/>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1、潜在</w:t>
            </w:r>
            <w:r>
              <w:rPr>
                <w:rFonts w:hint="eastAsia" w:ascii="宋体" w:hAnsi="宋体" w:eastAsia="宋体" w:cs="宋体"/>
                <w:sz w:val="21"/>
                <w:szCs w:val="21"/>
                <w:highlight w:val="none"/>
                <w:lang w:val="en-US" w:eastAsia="zh-CN"/>
              </w:rPr>
              <w:t>供应商</w:t>
            </w:r>
            <w:r>
              <w:rPr>
                <w:rFonts w:hint="eastAsia" w:ascii="宋体" w:hAnsi="宋体" w:eastAsia="宋体" w:cs="宋体"/>
                <w:sz w:val="21"/>
                <w:szCs w:val="21"/>
                <w:highlight w:val="none"/>
              </w:rPr>
              <w:t>可自行（非强制性要求）勘查现场，本项目</w:t>
            </w:r>
            <w:r>
              <w:rPr>
                <w:rFonts w:hint="eastAsia" w:ascii="宋体" w:hAnsi="宋体" w:cs="宋体"/>
                <w:sz w:val="21"/>
                <w:szCs w:val="21"/>
                <w:highlight w:val="none"/>
                <w:lang w:val="en-US" w:eastAsia="zh-CN"/>
              </w:rPr>
              <w:t>前端监控</w:t>
            </w:r>
            <w:r>
              <w:rPr>
                <w:rFonts w:hint="eastAsia" w:ascii="宋体" w:hAnsi="宋体" w:eastAsia="宋体" w:cs="宋体"/>
                <w:sz w:val="21"/>
                <w:szCs w:val="21"/>
                <w:highlight w:val="none"/>
              </w:rPr>
              <w:t>的设备点位覆盖</w:t>
            </w:r>
            <w:r>
              <w:rPr>
                <w:rFonts w:hint="eastAsia" w:ascii="宋体" w:hAnsi="宋体" w:cs="宋体"/>
                <w:sz w:val="21"/>
                <w:szCs w:val="21"/>
                <w:highlight w:val="none"/>
                <w:lang w:val="en-US" w:eastAsia="zh-CN"/>
              </w:rPr>
              <w:t>资源县</w:t>
            </w:r>
            <w:r>
              <w:rPr>
                <w:rFonts w:hint="eastAsia" w:ascii="宋体" w:hAnsi="宋体" w:eastAsia="宋体" w:cs="宋体"/>
                <w:sz w:val="21"/>
                <w:szCs w:val="21"/>
                <w:highlight w:val="none"/>
              </w:rPr>
              <w:t>区域内，每个点位的安装角度</w:t>
            </w:r>
            <w:r>
              <w:rPr>
                <w:rFonts w:hint="eastAsia" w:ascii="宋体" w:hAnsi="宋体" w:cs="宋体"/>
                <w:sz w:val="21"/>
                <w:szCs w:val="21"/>
                <w:highlight w:val="none"/>
                <w:lang w:eastAsia="zh-CN"/>
              </w:rPr>
              <w:t>、</w:t>
            </w:r>
            <w:r>
              <w:rPr>
                <w:rFonts w:hint="eastAsia" w:ascii="宋体" w:hAnsi="宋体" w:eastAsia="宋体" w:cs="宋体"/>
                <w:sz w:val="21"/>
                <w:szCs w:val="21"/>
                <w:highlight w:val="none"/>
              </w:rPr>
              <w:t>覆盖位置</w:t>
            </w:r>
            <w:r>
              <w:rPr>
                <w:rFonts w:hint="eastAsia" w:ascii="宋体" w:hAnsi="宋体" w:cs="宋体"/>
                <w:sz w:val="21"/>
                <w:szCs w:val="21"/>
                <w:highlight w:val="none"/>
                <w:lang w:eastAsia="zh-CN"/>
              </w:rPr>
              <w:t>、</w:t>
            </w:r>
            <w:r>
              <w:rPr>
                <w:rFonts w:hint="eastAsia" w:ascii="宋体" w:hAnsi="宋体" w:eastAsia="宋体" w:cs="宋体"/>
                <w:sz w:val="21"/>
                <w:szCs w:val="21"/>
                <w:highlight w:val="none"/>
              </w:rPr>
              <w:t>杆件长度不一致，潜在</w:t>
            </w:r>
            <w:r>
              <w:rPr>
                <w:rFonts w:hint="eastAsia" w:ascii="宋体" w:hAnsi="宋体" w:eastAsia="宋体" w:cs="宋体"/>
                <w:sz w:val="21"/>
                <w:szCs w:val="21"/>
                <w:highlight w:val="none"/>
                <w:lang w:val="en-US" w:eastAsia="zh-CN"/>
              </w:rPr>
              <w:t>供应商</w:t>
            </w:r>
            <w:r>
              <w:rPr>
                <w:rFonts w:hint="eastAsia" w:ascii="宋体" w:hAnsi="宋体" w:eastAsia="宋体" w:cs="宋体"/>
                <w:sz w:val="21"/>
                <w:szCs w:val="21"/>
                <w:highlight w:val="none"/>
              </w:rPr>
              <w:t>通过现场勘察制定</w:t>
            </w:r>
            <w:r>
              <w:rPr>
                <w:rFonts w:hint="eastAsia" w:ascii="宋体" w:hAnsi="宋体" w:cs="宋体"/>
                <w:sz w:val="21"/>
                <w:szCs w:val="21"/>
                <w:highlight w:val="none"/>
                <w:lang w:val="en-US" w:eastAsia="zh-CN"/>
              </w:rPr>
              <w:t>相应的</w:t>
            </w:r>
            <w:r>
              <w:rPr>
                <w:rFonts w:hint="eastAsia" w:ascii="宋体" w:hAnsi="宋体" w:eastAsia="宋体" w:cs="宋体"/>
                <w:sz w:val="21"/>
                <w:szCs w:val="21"/>
                <w:highlight w:val="none"/>
              </w:rPr>
              <w:t>维护方案。</w:t>
            </w:r>
          </w:p>
          <w:p w14:paraId="135AB7A0">
            <w:pPr>
              <w:adjustRightInd w:val="0"/>
              <w:snapToGrid w:val="0"/>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2、由各潜在</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自行勘查，请参加人员自行准备交通工具，现场勘察所发生的一切费用及人生安全自行承担。</w:t>
            </w:r>
          </w:p>
        </w:tc>
      </w:tr>
      <w:tr w14:paraId="523FA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0" w:type="dxa"/>
            <w:noWrap w:val="0"/>
            <w:vAlign w:val="center"/>
          </w:tcPr>
          <w:p w14:paraId="09B807A4">
            <w:pPr>
              <w:adjustRightInd w:val="0"/>
              <w:snapToGrid w:val="0"/>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付款方式</w:t>
            </w:r>
          </w:p>
        </w:tc>
        <w:tc>
          <w:tcPr>
            <w:tcW w:w="8522" w:type="dxa"/>
            <w:noWrap w:val="0"/>
            <w:vAlign w:val="center"/>
          </w:tcPr>
          <w:p w14:paraId="159B21C0">
            <w:pPr>
              <w:adjustRightInd w:val="0"/>
              <w:snapToGrid w:val="0"/>
              <w:spacing w:line="360" w:lineRule="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项目竣工后</w:t>
            </w:r>
            <w:r>
              <w:rPr>
                <w:rFonts w:hint="eastAsia" w:ascii="宋体" w:hAnsi="宋体" w:cs="宋体"/>
                <w:sz w:val="21"/>
                <w:szCs w:val="21"/>
                <w:highlight w:val="none"/>
                <w:lang w:eastAsia="zh-CN"/>
              </w:rPr>
              <w:t>成交供应商</w:t>
            </w:r>
            <w:r>
              <w:rPr>
                <w:rFonts w:hint="eastAsia" w:ascii="宋体" w:hAnsi="宋体" w:eastAsia="宋体" w:cs="宋体"/>
                <w:sz w:val="21"/>
                <w:szCs w:val="21"/>
                <w:highlight w:val="none"/>
              </w:rPr>
              <w:t>上报项目移交申请书，采购人应在收到项目移交申请书后 15 个工作日</w:t>
            </w:r>
            <w:r>
              <w:rPr>
                <w:rFonts w:hint="eastAsia" w:ascii="宋体" w:hAnsi="宋体" w:eastAsia="宋体" w:cs="宋体"/>
                <w:sz w:val="21"/>
                <w:szCs w:val="21"/>
                <w:highlight w:val="none"/>
                <w:lang w:val="en-US" w:eastAsia="zh-CN"/>
              </w:rPr>
              <w:t>内</w:t>
            </w:r>
            <w:r>
              <w:rPr>
                <w:rFonts w:hint="eastAsia" w:ascii="宋体" w:hAnsi="宋体" w:eastAsia="宋体" w:cs="宋体"/>
                <w:sz w:val="21"/>
                <w:szCs w:val="21"/>
                <w:highlight w:val="none"/>
              </w:rPr>
              <w:t>进行验收，此次验收合格后次月开始 7 个工作日内支付中标金额的1/12，剩余合同金额按每月等额支付。</w:t>
            </w:r>
          </w:p>
        </w:tc>
      </w:tr>
      <w:tr w14:paraId="2F900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0" w:type="dxa"/>
            <w:noWrap w:val="0"/>
            <w:vAlign w:val="center"/>
          </w:tcPr>
          <w:p w14:paraId="713B93F0">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验收标准、规范</w:t>
            </w:r>
          </w:p>
        </w:tc>
        <w:tc>
          <w:tcPr>
            <w:tcW w:w="8522" w:type="dxa"/>
            <w:noWrap w:val="0"/>
            <w:vAlign w:val="center"/>
          </w:tcPr>
          <w:p w14:paraId="3693EEE2">
            <w:pPr>
              <w:snapToGrid w:val="0"/>
              <w:spacing w:line="360" w:lineRule="auto"/>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1、符合合同要求及国家相关标准；</w:t>
            </w:r>
          </w:p>
          <w:p w14:paraId="70EFC2D9">
            <w:pPr>
              <w:snapToGrid w:val="0"/>
              <w:spacing w:line="360" w:lineRule="auto"/>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2、服务内容符合或优于合同要求；</w:t>
            </w:r>
          </w:p>
          <w:p w14:paraId="6BAD091E">
            <w:pPr>
              <w:snapToGrid w:val="0"/>
              <w:spacing w:line="360" w:lineRule="auto"/>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3、供应商提供所招标采购的服务、配套设备、所属装置等有关技术资料作为验收的参考依据；</w:t>
            </w:r>
          </w:p>
          <w:p w14:paraId="3A1114D6">
            <w:pPr>
              <w:snapToGrid w:val="0"/>
              <w:spacing w:line="360" w:lineRule="auto"/>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4、验收过程中所产生的一切费用均由供应商承担，供应商报价时应考虑相关费用；</w:t>
            </w:r>
          </w:p>
          <w:p w14:paraId="1B212F1F">
            <w:pPr>
              <w:snapToGrid w:val="0"/>
              <w:spacing w:line="360" w:lineRule="auto"/>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5、供应商在服务成果验收时由采购单位对照采购文件的服务参数全面核对检验，对所有要求出具的证明文件的原件进行核查，如不符合采购文件的服务需求以及提供虚假承诺的，按相关规定作违约处理，供应商承担所有责任和费用，采购人保留进一步追究责任的权利；</w:t>
            </w:r>
          </w:p>
          <w:p w14:paraId="01195B62">
            <w:pPr>
              <w:snapToGrid w:val="0"/>
              <w:spacing w:line="360" w:lineRule="auto"/>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6、采购标的需执行国家标准、行业标准、地方标准或者其他标准、规范，如有最新的按最新的执行；</w:t>
            </w:r>
          </w:p>
          <w:p w14:paraId="570CE72F">
            <w:pPr>
              <w:snapToGrid w:val="0"/>
              <w:spacing w:line="360" w:lineRule="auto"/>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7、验收不通过的，根据采购人意见进行整改，直到验收通过为止，期间产生相关费用由供应商承担。</w:t>
            </w:r>
          </w:p>
        </w:tc>
      </w:tr>
      <w:tr w14:paraId="17DDE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0" w:type="dxa"/>
            <w:noWrap w:val="0"/>
            <w:vAlign w:val="center"/>
          </w:tcPr>
          <w:p w14:paraId="1C392A4B">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其它要求</w:t>
            </w:r>
          </w:p>
        </w:tc>
        <w:tc>
          <w:tcPr>
            <w:tcW w:w="8522" w:type="dxa"/>
            <w:noWrap w:val="0"/>
            <w:vAlign w:val="center"/>
          </w:tcPr>
          <w:p w14:paraId="1390DAF1">
            <w:pPr>
              <w:spacing w:line="360" w:lineRule="auto"/>
              <w:jc w:val="left"/>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1、报价必须包含以下部分，包括：</w:t>
            </w:r>
          </w:p>
          <w:p w14:paraId="64931C57">
            <w:pPr>
              <w:spacing w:line="360" w:lineRule="auto"/>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（1）服务的价格。</w:t>
            </w:r>
          </w:p>
          <w:p w14:paraId="3C2C0976">
            <w:pPr>
              <w:spacing w:line="360" w:lineRule="auto"/>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（2）服务接入设备</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杆件及辅材</w:t>
            </w:r>
            <w:r>
              <w:rPr>
                <w:rFonts w:hint="eastAsia" w:ascii="宋体" w:hAnsi="宋体" w:eastAsia="宋体" w:cs="宋体"/>
                <w:sz w:val="21"/>
                <w:szCs w:val="21"/>
                <w:highlight w:val="none"/>
              </w:rPr>
              <w:t>的价格。</w:t>
            </w:r>
          </w:p>
          <w:p w14:paraId="7585AC0C">
            <w:pPr>
              <w:spacing w:line="360" w:lineRule="auto"/>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（3）运输、装卸、调试、验收、培训、维修、技术支持、售后服务费。</w:t>
            </w:r>
          </w:p>
          <w:p w14:paraId="01BCB4EA">
            <w:pPr>
              <w:spacing w:line="360" w:lineRule="auto"/>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4</w:t>
            </w:r>
            <w:r>
              <w:rPr>
                <w:rFonts w:hint="eastAsia" w:ascii="宋体" w:hAnsi="宋体" w:eastAsia="宋体" w:cs="宋体"/>
                <w:sz w:val="21"/>
                <w:szCs w:val="21"/>
                <w:highlight w:val="none"/>
              </w:rPr>
              <w:t>）供应商须自行考虑完成项目所需的全部内容（包括验收）中产生的所有费用，采购人不再支付额外费用。</w:t>
            </w:r>
          </w:p>
          <w:p w14:paraId="04CD0D17">
            <w:pPr>
              <w:spacing w:line="360" w:lineRule="auto"/>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5</w:t>
            </w:r>
            <w:r>
              <w:rPr>
                <w:rFonts w:hint="eastAsia" w:ascii="宋体" w:hAnsi="宋体" w:eastAsia="宋体" w:cs="宋体"/>
                <w:sz w:val="21"/>
                <w:szCs w:val="21"/>
                <w:highlight w:val="none"/>
              </w:rPr>
              <w:t>）供应商应对本项目所有服务内容进行总承包报价，采购人不再支付任何费用。</w:t>
            </w:r>
          </w:p>
          <w:p w14:paraId="1E6B8136">
            <w:pPr>
              <w:spacing w:line="360" w:lineRule="auto"/>
              <w:jc w:val="left"/>
              <w:rPr>
                <w:rFonts w:hint="eastAsia" w:eastAsia="宋体"/>
                <w:strike w:val="0"/>
                <w:sz w:val="21"/>
                <w:szCs w:val="21"/>
                <w:highlight w:val="none"/>
                <w:lang w:val="en-US" w:eastAsia="zh-CN"/>
              </w:rPr>
            </w:pP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6</w:t>
            </w:r>
            <w:r>
              <w:rPr>
                <w:rFonts w:hint="eastAsia" w:ascii="宋体" w:hAnsi="宋体" w:eastAsia="宋体" w:cs="宋体"/>
                <w:sz w:val="21"/>
                <w:szCs w:val="21"/>
                <w:highlight w:val="none"/>
              </w:rPr>
              <w:t>）</w:t>
            </w:r>
            <w:r>
              <w:rPr>
                <w:rFonts w:hint="eastAsia" w:ascii="宋体" w:hAnsi="宋体" w:cs="宋体"/>
                <w:strike w:val="0"/>
                <w:dstrike w:val="0"/>
                <w:sz w:val="21"/>
                <w:szCs w:val="21"/>
                <w:highlight w:val="none"/>
                <w:lang w:val="en-US" w:eastAsia="zh-CN"/>
              </w:rPr>
              <w:t>摄像头终端等设备在服务期内</w:t>
            </w:r>
            <w:r>
              <w:rPr>
                <w:rFonts w:hint="eastAsia" w:ascii="宋体" w:hAnsi="宋体" w:eastAsia="宋体" w:cs="宋体"/>
                <w:strike w:val="0"/>
                <w:dstrike w:val="0"/>
                <w:sz w:val="21"/>
                <w:szCs w:val="21"/>
                <w:highlight w:val="none"/>
              </w:rPr>
              <w:t>取电</w:t>
            </w:r>
            <w:r>
              <w:rPr>
                <w:rFonts w:hint="eastAsia" w:ascii="宋体" w:hAnsi="宋体" w:cs="宋体"/>
                <w:strike w:val="0"/>
                <w:dstrike w:val="0"/>
                <w:sz w:val="21"/>
                <w:szCs w:val="21"/>
                <w:highlight w:val="none"/>
                <w:lang w:eastAsia="zh-CN"/>
              </w:rPr>
              <w:t>、</w:t>
            </w:r>
            <w:r>
              <w:rPr>
                <w:rFonts w:hint="eastAsia" w:ascii="宋体" w:hAnsi="宋体" w:cs="宋体"/>
                <w:strike w:val="0"/>
                <w:dstrike w:val="0"/>
                <w:sz w:val="21"/>
                <w:szCs w:val="21"/>
                <w:highlight w:val="none"/>
                <w:lang w:val="en-US" w:eastAsia="zh-CN"/>
              </w:rPr>
              <w:t>用电电费</w:t>
            </w:r>
            <w:r>
              <w:rPr>
                <w:rFonts w:hint="eastAsia" w:ascii="宋体" w:hAnsi="宋体" w:eastAsia="宋体" w:cs="宋体"/>
                <w:strike w:val="0"/>
                <w:dstrike w:val="0"/>
                <w:sz w:val="21"/>
                <w:szCs w:val="21"/>
                <w:highlight w:val="none"/>
              </w:rPr>
              <w:t>及日常电力使用问题由</w:t>
            </w:r>
            <w:r>
              <w:rPr>
                <w:rFonts w:hint="eastAsia" w:ascii="宋体" w:hAnsi="宋体" w:cs="宋体"/>
                <w:strike w:val="0"/>
                <w:dstrike w:val="0"/>
                <w:sz w:val="21"/>
                <w:szCs w:val="21"/>
                <w:highlight w:val="none"/>
                <w:lang w:val="en-US" w:eastAsia="zh-CN"/>
              </w:rPr>
              <w:t>供应商</w:t>
            </w:r>
            <w:r>
              <w:rPr>
                <w:rFonts w:hint="eastAsia" w:ascii="宋体" w:hAnsi="宋体" w:eastAsia="宋体" w:cs="宋体"/>
                <w:strike w:val="0"/>
                <w:dstrike w:val="0"/>
                <w:sz w:val="21"/>
                <w:szCs w:val="21"/>
                <w:highlight w:val="none"/>
              </w:rPr>
              <w:t>负责</w:t>
            </w:r>
            <w:r>
              <w:rPr>
                <w:rFonts w:hint="eastAsia" w:ascii="宋体" w:hAnsi="宋体" w:cs="宋体"/>
                <w:strike w:val="0"/>
                <w:dstrike w:val="0"/>
                <w:sz w:val="21"/>
                <w:szCs w:val="21"/>
                <w:highlight w:val="none"/>
                <w:lang w:eastAsia="zh-CN"/>
              </w:rPr>
              <w:t>。</w:t>
            </w:r>
          </w:p>
          <w:p w14:paraId="3A1F4932">
            <w:pPr>
              <w:spacing w:line="360" w:lineRule="auto"/>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7</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知识产权归属：本项目知识产权归属归采购人所有，未经采购人同意，中标</w:t>
            </w:r>
            <w:r>
              <w:rPr>
                <w:rFonts w:hint="eastAsia" w:ascii="宋体" w:hAnsi="宋体" w:eastAsia="宋体" w:cs="宋体"/>
                <w:color w:val="000000"/>
                <w:sz w:val="21"/>
                <w:szCs w:val="21"/>
                <w:highlight w:val="none"/>
                <w:lang w:val="en-US" w:eastAsia="zh-CN"/>
              </w:rPr>
              <w:t>/成交供应</w:t>
            </w:r>
            <w:r>
              <w:rPr>
                <w:rFonts w:hint="eastAsia" w:ascii="宋体" w:hAnsi="宋体" w:eastAsia="宋体" w:cs="宋体"/>
                <w:sz w:val="21"/>
                <w:szCs w:val="21"/>
                <w:highlight w:val="none"/>
                <w:lang w:val="en-US" w:eastAsia="zh-CN"/>
              </w:rPr>
              <w:t>商不得将有关于本项目所有内容事项告知第三方，因此对采购人造成损害损失的，由中标</w:t>
            </w:r>
            <w:r>
              <w:rPr>
                <w:rFonts w:hint="eastAsia" w:ascii="宋体" w:hAnsi="宋体" w:eastAsia="宋体" w:cs="宋体"/>
                <w:color w:val="000000"/>
                <w:sz w:val="21"/>
                <w:szCs w:val="21"/>
                <w:highlight w:val="none"/>
                <w:lang w:val="en-US" w:eastAsia="zh-CN"/>
              </w:rPr>
              <w:t>/成交</w:t>
            </w:r>
            <w:r>
              <w:rPr>
                <w:rFonts w:hint="eastAsia" w:ascii="宋体" w:hAnsi="宋体" w:eastAsia="宋体" w:cs="宋体"/>
                <w:sz w:val="21"/>
                <w:szCs w:val="21"/>
                <w:highlight w:val="none"/>
                <w:lang w:val="en-US" w:eastAsia="zh-CN"/>
              </w:rPr>
              <w:t>供应商承担一切法律责任。</w:t>
            </w:r>
          </w:p>
          <w:p w14:paraId="3E58D56B">
            <w:pPr>
              <w:spacing w:line="360" w:lineRule="auto"/>
              <w:jc w:val="left"/>
              <w:rPr>
                <w:rFonts w:hint="default" w:eastAsia="宋体"/>
                <w:sz w:val="21"/>
                <w:szCs w:val="21"/>
                <w:highlight w:val="none"/>
                <w:lang w:val="en-US" w:eastAsia="zh-CN"/>
              </w:rPr>
            </w:pPr>
            <w:r>
              <w:rPr>
                <w:rFonts w:hint="eastAsia" w:ascii="宋体" w:hAnsi="宋体" w:eastAsia="宋体" w:cs="宋体"/>
                <w:b/>
                <w:bCs/>
                <w:sz w:val="21"/>
                <w:szCs w:val="21"/>
                <w:highlight w:val="none"/>
                <w:lang w:val="en-US" w:eastAsia="zh-CN"/>
              </w:rPr>
              <w:t>2</w:t>
            </w:r>
            <w:r>
              <w:rPr>
                <w:rFonts w:hint="eastAsia" w:ascii="宋体" w:hAnsi="宋体" w:eastAsia="宋体" w:cs="宋体"/>
                <w:b/>
                <w:bCs/>
                <w:sz w:val="21"/>
                <w:szCs w:val="21"/>
                <w:highlight w:val="none"/>
              </w:rPr>
              <w:t>、本项目政府采购最高限价为人民币：</w:t>
            </w:r>
            <w:r>
              <w:rPr>
                <w:rFonts w:hint="eastAsia" w:ascii="宋体" w:hAnsi="宋体"/>
                <w:color w:val="000000"/>
                <w:szCs w:val="21"/>
                <w:highlight w:val="none"/>
                <w:lang w:val="en-US" w:eastAsia="zh-CN"/>
              </w:rPr>
              <w:t>叁拾捌万</w:t>
            </w:r>
            <w:r>
              <w:rPr>
                <w:rFonts w:hint="eastAsia" w:ascii="宋体" w:hAnsi="宋体"/>
                <w:color w:val="000000"/>
                <w:szCs w:val="21"/>
                <w:highlight w:val="none"/>
                <w:lang w:eastAsia="zh-CN"/>
              </w:rPr>
              <w:t>整</w:t>
            </w:r>
            <w:r>
              <w:rPr>
                <w:rFonts w:hint="eastAsia"/>
                <w:b/>
                <w:bCs/>
                <w:color w:val="000000"/>
                <w:highlight w:val="none"/>
              </w:rPr>
              <w:t>（¥</w:t>
            </w:r>
            <w:r>
              <w:rPr>
                <w:rFonts w:hint="eastAsia"/>
                <w:b/>
                <w:bCs/>
                <w:color w:val="000000"/>
                <w:highlight w:val="none"/>
                <w:lang w:val="en-US" w:eastAsia="zh-CN"/>
              </w:rPr>
              <w:t>380000</w:t>
            </w:r>
            <w:r>
              <w:rPr>
                <w:rFonts w:ascii="宋体" w:hAnsi="宋体" w:cs="宋体"/>
                <w:b/>
                <w:bCs/>
                <w:color w:val="000000"/>
                <w:szCs w:val="21"/>
                <w:highlight w:val="none"/>
              </w:rPr>
              <w:t>.00</w:t>
            </w:r>
            <w:r>
              <w:rPr>
                <w:rFonts w:hint="eastAsia"/>
                <w:b/>
                <w:bCs/>
                <w:color w:val="000000"/>
                <w:highlight w:val="none"/>
              </w:rPr>
              <w:t>）</w:t>
            </w:r>
            <w:r>
              <w:rPr>
                <w:rFonts w:hint="eastAsia" w:ascii="宋体" w:hAnsi="宋体" w:eastAsia="宋体" w:cs="宋体"/>
                <w:sz w:val="21"/>
                <w:szCs w:val="21"/>
                <w:highlight w:val="none"/>
              </w:rPr>
              <w:t>，</w:t>
            </w:r>
            <w:r>
              <w:rPr>
                <w:rFonts w:hint="eastAsia" w:ascii="宋体" w:hAnsi="宋体" w:eastAsia="宋体" w:cs="宋体"/>
                <w:sz w:val="21"/>
                <w:szCs w:val="21"/>
                <w:highlight w:val="none"/>
                <w:lang w:eastAsia="zh-CN"/>
              </w:rPr>
              <w:t>竞标</w:t>
            </w:r>
            <w:r>
              <w:rPr>
                <w:rFonts w:hint="eastAsia" w:ascii="宋体" w:hAnsi="宋体" w:eastAsia="宋体" w:cs="宋体"/>
                <w:sz w:val="21"/>
                <w:szCs w:val="21"/>
                <w:highlight w:val="none"/>
              </w:rPr>
              <w:t>报价超出最高限价的作</w:t>
            </w:r>
            <w:r>
              <w:rPr>
                <w:rFonts w:hint="eastAsia" w:ascii="宋体" w:hAnsi="宋体" w:cs="宋体"/>
                <w:sz w:val="21"/>
                <w:szCs w:val="21"/>
                <w:highlight w:val="none"/>
                <w:lang w:eastAsia="zh-CN"/>
              </w:rPr>
              <w:t>磋商无效处理</w:t>
            </w:r>
            <w:r>
              <w:rPr>
                <w:rFonts w:hint="eastAsia" w:ascii="宋体" w:hAnsi="宋体" w:eastAsia="宋体" w:cs="宋体"/>
                <w:sz w:val="21"/>
                <w:szCs w:val="21"/>
                <w:highlight w:val="none"/>
              </w:rPr>
              <w:t>。</w:t>
            </w:r>
          </w:p>
        </w:tc>
      </w:tr>
    </w:tbl>
    <w:p w14:paraId="0D4ABDB7">
      <w:pPr>
        <w:rPr>
          <w:rFonts w:hint="eastAsia" w:hAnsi="宋体" w:cs="宋体"/>
          <w:b/>
          <w:bCs/>
          <w:sz w:val="28"/>
          <w:szCs w:val="28"/>
          <w:highlight w:val="none"/>
        </w:rPr>
      </w:pPr>
      <w:r>
        <w:rPr>
          <w:rFonts w:hint="eastAsia" w:hAnsi="宋体" w:cs="宋体"/>
          <w:b/>
          <w:bCs/>
          <w:sz w:val="28"/>
          <w:szCs w:val="28"/>
          <w:highlight w:val="none"/>
        </w:rPr>
        <w:br w:type="page"/>
      </w:r>
    </w:p>
    <w:p w14:paraId="098D8748">
      <w:pPr>
        <w:pStyle w:val="17"/>
        <w:jc w:val="left"/>
        <w:rPr>
          <w:rFonts w:hAnsi="宋体" w:cs="宋体"/>
          <w:b/>
          <w:bCs/>
          <w:sz w:val="28"/>
          <w:szCs w:val="28"/>
          <w:highlight w:val="none"/>
        </w:rPr>
      </w:pPr>
      <w:r>
        <w:rPr>
          <w:rFonts w:hint="eastAsia" w:hAnsi="宋体" w:cs="宋体"/>
          <w:b/>
          <w:bCs/>
          <w:sz w:val="28"/>
          <w:szCs w:val="28"/>
          <w:highlight w:val="none"/>
        </w:rPr>
        <w:t>附</w:t>
      </w:r>
      <w:r>
        <w:rPr>
          <w:rFonts w:hint="eastAsia" w:hAnsi="宋体" w:cs="宋体"/>
          <w:b/>
          <w:bCs/>
          <w:sz w:val="28"/>
          <w:szCs w:val="28"/>
          <w:highlight w:val="none"/>
          <w:lang w:val="en-US" w:eastAsia="zh-CN"/>
        </w:rPr>
        <w:t>件</w:t>
      </w:r>
      <w:r>
        <w:rPr>
          <w:rFonts w:hint="eastAsia" w:hAnsi="宋体" w:cs="宋体"/>
          <w:b/>
          <w:bCs/>
          <w:sz w:val="28"/>
          <w:szCs w:val="28"/>
          <w:highlight w:val="none"/>
        </w:rPr>
        <w:t>：</w:t>
      </w:r>
    </w:p>
    <w:p w14:paraId="158B8018">
      <w:pPr>
        <w:jc w:val="center"/>
        <w:rPr>
          <w:rFonts w:ascii="宋体" w:hAnsi="宋体" w:cs="宋体"/>
          <w:sz w:val="44"/>
          <w:szCs w:val="44"/>
          <w:highlight w:val="none"/>
        </w:rPr>
      </w:pPr>
      <w:r>
        <w:rPr>
          <w:rFonts w:hint="eastAsia" w:ascii="宋体" w:hAnsi="宋体" w:cs="宋体"/>
          <w:sz w:val="44"/>
          <w:szCs w:val="44"/>
          <w:highlight w:val="none"/>
        </w:rPr>
        <w:t>中小微企业划型标准</w:t>
      </w:r>
    </w:p>
    <w:p w14:paraId="23BDCF45">
      <w:pPr>
        <w:ind w:left="1871"/>
        <w:rPr>
          <w:rFonts w:ascii="宋体" w:hAnsi="宋体" w:cs="宋体"/>
          <w:szCs w:val="21"/>
          <w:highlight w:val="none"/>
        </w:rPr>
      </w:pPr>
    </w:p>
    <w:tbl>
      <w:tblPr>
        <w:tblStyle w:val="32"/>
        <w:tblW w:w="0" w:type="auto"/>
        <w:jc w:val="center"/>
        <w:tblLayout w:type="fixed"/>
        <w:tblCellMar>
          <w:top w:w="0" w:type="dxa"/>
          <w:left w:w="108" w:type="dxa"/>
          <w:bottom w:w="0" w:type="dxa"/>
          <w:right w:w="108" w:type="dxa"/>
        </w:tblCellMar>
      </w:tblPr>
      <w:tblGrid>
        <w:gridCol w:w="1701"/>
        <w:gridCol w:w="1384"/>
        <w:gridCol w:w="913"/>
        <w:gridCol w:w="1620"/>
        <w:gridCol w:w="1440"/>
        <w:gridCol w:w="925"/>
      </w:tblGrid>
      <w:tr w14:paraId="27BF73AE">
        <w:tblPrEx>
          <w:tblCellMar>
            <w:top w:w="0" w:type="dxa"/>
            <w:left w:w="108" w:type="dxa"/>
            <w:bottom w:w="0" w:type="dxa"/>
            <w:right w:w="108" w:type="dxa"/>
          </w:tblCellMar>
        </w:tblPrEx>
        <w:trPr>
          <w:trHeight w:val="285" w:hRule="atLeast"/>
          <w:jc w:val="center"/>
        </w:trPr>
        <w:tc>
          <w:tcPr>
            <w:tcW w:w="1701" w:type="dxa"/>
            <w:tcBorders>
              <w:top w:val="single" w:color="auto" w:sz="4" w:space="0"/>
              <w:left w:val="single" w:color="auto" w:sz="4" w:space="0"/>
              <w:bottom w:val="single" w:color="auto" w:sz="4" w:space="0"/>
              <w:right w:val="single" w:color="auto" w:sz="4" w:space="0"/>
            </w:tcBorders>
            <w:vAlign w:val="center"/>
          </w:tcPr>
          <w:p w14:paraId="43C54689">
            <w:pPr>
              <w:widowControl/>
              <w:spacing w:line="240" w:lineRule="auto"/>
              <w:jc w:val="center"/>
              <w:rPr>
                <w:rFonts w:ascii="宋体" w:hAnsi="宋体" w:cs="宋体"/>
                <w:b/>
                <w:kern w:val="0"/>
                <w:sz w:val="24"/>
                <w:highlight w:val="none"/>
              </w:rPr>
            </w:pPr>
            <w:r>
              <w:rPr>
                <w:rFonts w:hint="eastAsia" w:ascii="宋体" w:hAnsi="宋体" w:cs="宋体"/>
                <w:b/>
                <w:kern w:val="0"/>
                <w:sz w:val="24"/>
                <w:highlight w:val="none"/>
              </w:rPr>
              <w:t>行业名称</w:t>
            </w:r>
          </w:p>
        </w:tc>
        <w:tc>
          <w:tcPr>
            <w:tcW w:w="1384" w:type="dxa"/>
            <w:tcBorders>
              <w:top w:val="single" w:color="auto" w:sz="4" w:space="0"/>
              <w:left w:val="nil"/>
              <w:bottom w:val="single" w:color="auto" w:sz="4" w:space="0"/>
              <w:right w:val="single" w:color="auto" w:sz="4" w:space="0"/>
            </w:tcBorders>
            <w:vAlign w:val="center"/>
          </w:tcPr>
          <w:p w14:paraId="022FBFA7">
            <w:pPr>
              <w:widowControl/>
              <w:spacing w:line="240" w:lineRule="auto"/>
              <w:jc w:val="center"/>
              <w:rPr>
                <w:rFonts w:ascii="宋体" w:hAnsi="宋体" w:cs="宋体"/>
                <w:b/>
                <w:kern w:val="0"/>
                <w:sz w:val="24"/>
                <w:highlight w:val="none"/>
              </w:rPr>
            </w:pPr>
            <w:r>
              <w:rPr>
                <w:rFonts w:hint="eastAsia" w:ascii="宋体" w:hAnsi="宋体" w:cs="宋体"/>
                <w:b/>
                <w:kern w:val="0"/>
                <w:sz w:val="24"/>
                <w:highlight w:val="none"/>
              </w:rPr>
              <w:t>指标名称</w:t>
            </w:r>
          </w:p>
        </w:tc>
        <w:tc>
          <w:tcPr>
            <w:tcW w:w="913" w:type="dxa"/>
            <w:tcBorders>
              <w:top w:val="single" w:color="auto" w:sz="4" w:space="0"/>
              <w:left w:val="nil"/>
              <w:bottom w:val="single" w:color="auto" w:sz="4" w:space="0"/>
              <w:right w:val="single" w:color="auto" w:sz="4" w:space="0"/>
            </w:tcBorders>
            <w:vAlign w:val="center"/>
          </w:tcPr>
          <w:p w14:paraId="7CD820E3">
            <w:pPr>
              <w:widowControl/>
              <w:spacing w:line="240" w:lineRule="auto"/>
              <w:jc w:val="center"/>
              <w:rPr>
                <w:rFonts w:ascii="宋体" w:hAnsi="宋体" w:cs="宋体"/>
                <w:b/>
                <w:kern w:val="0"/>
                <w:sz w:val="24"/>
                <w:highlight w:val="none"/>
              </w:rPr>
            </w:pPr>
            <w:r>
              <w:rPr>
                <w:rFonts w:hint="eastAsia" w:ascii="宋体" w:hAnsi="宋体" w:cs="宋体"/>
                <w:b/>
                <w:kern w:val="0"/>
                <w:sz w:val="24"/>
                <w:highlight w:val="none"/>
              </w:rPr>
              <w:t>计量单位</w:t>
            </w:r>
          </w:p>
        </w:tc>
        <w:tc>
          <w:tcPr>
            <w:tcW w:w="1620" w:type="dxa"/>
            <w:tcBorders>
              <w:top w:val="single" w:color="auto" w:sz="4" w:space="0"/>
              <w:left w:val="nil"/>
              <w:bottom w:val="single" w:color="auto" w:sz="4" w:space="0"/>
              <w:right w:val="single" w:color="auto" w:sz="4" w:space="0"/>
            </w:tcBorders>
            <w:vAlign w:val="center"/>
          </w:tcPr>
          <w:p w14:paraId="0A729FA7">
            <w:pPr>
              <w:widowControl/>
              <w:spacing w:line="240" w:lineRule="auto"/>
              <w:jc w:val="center"/>
              <w:rPr>
                <w:rFonts w:ascii="宋体" w:hAnsi="宋体" w:cs="宋体"/>
                <w:b/>
                <w:kern w:val="0"/>
                <w:sz w:val="24"/>
                <w:highlight w:val="none"/>
              </w:rPr>
            </w:pPr>
            <w:r>
              <w:rPr>
                <w:rFonts w:hint="eastAsia" w:ascii="宋体" w:hAnsi="宋体" w:cs="宋体"/>
                <w:b/>
                <w:kern w:val="0"/>
                <w:sz w:val="24"/>
                <w:highlight w:val="none"/>
              </w:rPr>
              <w:t>中型</w:t>
            </w:r>
          </w:p>
        </w:tc>
        <w:tc>
          <w:tcPr>
            <w:tcW w:w="1440" w:type="dxa"/>
            <w:tcBorders>
              <w:top w:val="single" w:color="auto" w:sz="4" w:space="0"/>
              <w:left w:val="nil"/>
              <w:bottom w:val="single" w:color="auto" w:sz="4" w:space="0"/>
              <w:right w:val="single" w:color="auto" w:sz="4" w:space="0"/>
            </w:tcBorders>
            <w:vAlign w:val="center"/>
          </w:tcPr>
          <w:p w14:paraId="6A638589">
            <w:pPr>
              <w:widowControl/>
              <w:spacing w:line="240" w:lineRule="auto"/>
              <w:jc w:val="center"/>
              <w:rPr>
                <w:rFonts w:ascii="宋体" w:hAnsi="宋体" w:cs="宋体"/>
                <w:b/>
                <w:kern w:val="0"/>
                <w:sz w:val="24"/>
                <w:highlight w:val="none"/>
              </w:rPr>
            </w:pPr>
            <w:r>
              <w:rPr>
                <w:rFonts w:hint="eastAsia" w:ascii="宋体" w:hAnsi="宋体" w:cs="宋体"/>
                <w:b/>
                <w:kern w:val="0"/>
                <w:sz w:val="24"/>
                <w:highlight w:val="none"/>
              </w:rPr>
              <w:t>小型</w:t>
            </w:r>
          </w:p>
        </w:tc>
        <w:tc>
          <w:tcPr>
            <w:tcW w:w="925" w:type="dxa"/>
            <w:tcBorders>
              <w:top w:val="single" w:color="auto" w:sz="4" w:space="0"/>
              <w:left w:val="nil"/>
              <w:bottom w:val="single" w:color="auto" w:sz="4" w:space="0"/>
              <w:right w:val="single" w:color="auto" w:sz="4" w:space="0"/>
            </w:tcBorders>
            <w:vAlign w:val="center"/>
          </w:tcPr>
          <w:p w14:paraId="0706B7A2">
            <w:pPr>
              <w:widowControl/>
              <w:spacing w:line="240" w:lineRule="auto"/>
              <w:jc w:val="center"/>
              <w:rPr>
                <w:rFonts w:ascii="宋体" w:hAnsi="宋体" w:cs="宋体"/>
                <w:b/>
                <w:kern w:val="0"/>
                <w:sz w:val="24"/>
                <w:highlight w:val="none"/>
              </w:rPr>
            </w:pPr>
            <w:r>
              <w:rPr>
                <w:rFonts w:hint="eastAsia" w:ascii="宋体" w:hAnsi="宋体" w:cs="宋体"/>
                <w:b/>
                <w:kern w:val="0"/>
                <w:sz w:val="24"/>
                <w:highlight w:val="none"/>
              </w:rPr>
              <w:t>微型</w:t>
            </w:r>
          </w:p>
        </w:tc>
      </w:tr>
      <w:tr w14:paraId="6321B45B">
        <w:tblPrEx>
          <w:tblCellMar>
            <w:top w:w="0" w:type="dxa"/>
            <w:left w:w="108" w:type="dxa"/>
            <w:bottom w:w="0" w:type="dxa"/>
            <w:right w:w="108" w:type="dxa"/>
          </w:tblCellMar>
        </w:tblPrEx>
        <w:trPr>
          <w:trHeight w:val="225" w:hRule="atLeast"/>
          <w:jc w:val="center"/>
        </w:trPr>
        <w:tc>
          <w:tcPr>
            <w:tcW w:w="1701" w:type="dxa"/>
            <w:tcBorders>
              <w:top w:val="nil"/>
              <w:left w:val="single" w:color="auto" w:sz="4" w:space="0"/>
              <w:bottom w:val="single" w:color="auto" w:sz="4" w:space="0"/>
              <w:right w:val="single" w:color="auto" w:sz="4" w:space="0"/>
            </w:tcBorders>
            <w:vAlign w:val="bottom"/>
          </w:tcPr>
          <w:p w14:paraId="76C5AC08">
            <w:pPr>
              <w:widowControl/>
              <w:spacing w:line="240" w:lineRule="auto"/>
              <w:jc w:val="center"/>
              <w:rPr>
                <w:rFonts w:ascii="宋体" w:hAnsi="宋体" w:cs="宋体"/>
                <w:b/>
                <w:bCs/>
                <w:kern w:val="0"/>
                <w:sz w:val="18"/>
                <w:szCs w:val="18"/>
                <w:highlight w:val="none"/>
              </w:rPr>
            </w:pPr>
            <w:r>
              <w:rPr>
                <w:rFonts w:hint="eastAsia" w:ascii="宋体" w:hAnsi="宋体" w:cs="宋体"/>
                <w:b/>
                <w:bCs/>
                <w:kern w:val="0"/>
                <w:sz w:val="18"/>
                <w:szCs w:val="18"/>
                <w:highlight w:val="none"/>
              </w:rPr>
              <w:t>农、林、牧、渔</w:t>
            </w:r>
          </w:p>
        </w:tc>
        <w:tc>
          <w:tcPr>
            <w:tcW w:w="1384" w:type="dxa"/>
            <w:tcBorders>
              <w:top w:val="nil"/>
              <w:left w:val="nil"/>
              <w:bottom w:val="single" w:color="auto" w:sz="4" w:space="0"/>
              <w:right w:val="single" w:color="auto" w:sz="4" w:space="0"/>
            </w:tcBorders>
            <w:vAlign w:val="center"/>
          </w:tcPr>
          <w:p w14:paraId="1865963C">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0C4141DC">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3E884207">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500≤Y＜20000</w:t>
            </w:r>
          </w:p>
        </w:tc>
        <w:tc>
          <w:tcPr>
            <w:tcW w:w="1440" w:type="dxa"/>
            <w:tcBorders>
              <w:top w:val="nil"/>
              <w:left w:val="nil"/>
              <w:bottom w:val="single" w:color="auto" w:sz="4" w:space="0"/>
              <w:right w:val="single" w:color="auto" w:sz="4" w:space="0"/>
            </w:tcBorders>
            <w:vAlign w:val="center"/>
          </w:tcPr>
          <w:p w14:paraId="0C59EDB9">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50≤Y＜500</w:t>
            </w:r>
          </w:p>
        </w:tc>
        <w:tc>
          <w:tcPr>
            <w:tcW w:w="925" w:type="dxa"/>
            <w:tcBorders>
              <w:top w:val="nil"/>
              <w:left w:val="nil"/>
              <w:bottom w:val="single" w:color="auto" w:sz="4" w:space="0"/>
              <w:right w:val="single" w:color="auto" w:sz="4" w:space="0"/>
            </w:tcBorders>
            <w:vAlign w:val="center"/>
          </w:tcPr>
          <w:p w14:paraId="71018A40">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Y＜50</w:t>
            </w:r>
          </w:p>
        </w:tc>
      </w:tr>
      <w:tr w14:paraId="3CDA014E">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1F10F1AF">
            <w:pPr>
              <w:widowControl/>
              <w:spacing w:line="240" w:lineRule="auto"/>
              <w:jc w:val="center"/>
              <w:rPr>
                <w:rFonts w:ascii="宋体" w:hAnsi="宋体" w:cs="宋体"/>
                <w:b/>
                <w:bCs/>
                <w:kern w:val="0"/>
                <w:sz w:val="18"/>
                <w:szCs w:val="18"/>
                <w:highlight w:val="none"/>
              </w:rPr>
            </w:pPr>
            <w:r>
              <w:rPr>
                <w:rFonts w:hint="eastAsia" w:ascii="宋体" w:hAnsi="宋体" w:cs="宋体"/>
                <w:b/>
                <w:bCs/>
                <w:kern w:val="0"/>
                <w:sz w:val="18"/>
                <w:szCs w:val="18"/>
                <w:highlight w:val="none"/>
              </w:rPr>
              <w:t>工业</w:t>
            </w:r>
          </w:p>
        </w:tc>
        <w:tc>
          <w:tcPr>
            <w:tcW w:w="1384" w:type="dxa"/>
            <w:tcBorders>
              <w:top w:val="nil"/>
              <w:left w:val="nil"/>
              <w:bottom w:val="single" w:color="auto" w:sz="4" w:space="0"/>
              <w:right w:val="single" w:color="auto" w:sz="4" w:space="0"/>
            </w:tcBorders>
            <w:vAlign w:val="center"/>
          </w:tcPr>
          <w:p w14:paraId="68148C41">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775596F7">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人</w:t>
            </w:r>
          </w:p>
        </w:tc>
        <w:tc>
          <w:tcPr>
            <w:tcW w:w="1620" w:type="dxa"/>
            <w:tcBorders>
              <w:top w:val="nil"/>
              <w:left w:val="nil"/>
              <w:bottom w:val="single" w:color="auto" w:sz="4" w:space="0"/>
              <w:right w:val="single" w:color="auto" w:sz="4" w:space="0"/>
            </w:tcBorders>
            <w:vAlign w:val="center"/>
          </w:tcPr>
          <w:p w14:paraId="298D7D84">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300≤X＜1000</w:t>
            </w:r>
          </w:p>
        </w:tc>
        <w:tc>
          <w:tcPr>
            <w:tcW w:w="1440" w:type="dxa"/>
            <w:tcBorders>
              <w:top w:val="nil"/>
              <w:left w:val="nil"/>
              <w:bottom w:val="single" w:color="auto" w:sz="4" w:space="0"/>
              <w:right w:val="single" w:color="auto" w:sz="4" w:space="0"/>
            </w:tcBorders>
            <w:vAlign w:val="center"/>
          </w:tcPr>
          <w:p w14:paraId="3414E721">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20≤X＜300</w:t>
            </w:r>
          </w:p>
        </w:tc>
        <w:tc>
          <w:tcPr>
            <w:tcW w:w="925" w:type="dxa"/>
            <w:tcBorders>
              <w:top w:val="nil"/>
              <w:left w:val="nil"/>
              <w:bottom w:val="single" w:color="auto" w:sz="4" w:space="0"/>
              <w:right w:val="single" w:color="auto" w:sz="4" w:space="0"/>
            </w:tcBorders>
            <w:vAlign w:val="center"/>
          </w:tcPr>
          <w:p w14:paraId="20F39CFB">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X＜20</w:t>
            </w:r>
          </w:p>
        </w:tc>
      </w:tr>
      <w:tr w14:paraId="3015EF94">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1270E90D">
            <w:pPr>
              <w:widowControl/>
              <w:spacing w:line="240" w:lineRule="auto"/>
              <w:jc w:val="left"/>
              <w:rPr>
                <w:rFonts w:ascii="宋体" w:hAnsi="宋体" w:cs="宋体"/>
                <w:b/>
                <w:bCs/>
                <w:kern w:val="0"/>
                <w:sz w:val="18"/>
                <w:szCs w:val="18"/>
                <w:highlight w:val="none"/>
              </w:rPr>
            </w:pPr>
          </w:p>
        </w:tc>
        <w:tc>
          <w:tcPr>
            <w:tcW w:w="1384" w:type="dxa"/>
            <w:tcBorders>
              <w:top w:val="nil"/>
              <w:left w:val="nil"/>
              <w:bottom w:val="single" w:color="auto" w:sz="4" w:space="0"/>
              <w:right w:val="single" w:color="auto" w:sz="4" w:space="0"/>
            </w:tcBorders>
            <w:vAlign w:val="center"/>
          </w:tcPr>
          <w:p w14:paraId="10A957CA">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4B999F79">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5F87BC8C">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2000≤Y＜40000</w:t>
            </w:r>
          </w:p>
        </w:tc>
        <w:tc>
          <w:tcPr>
            <w:tcW w:w="1440" w:type="dxa"/>
            <w:tcBorders>
              <w:top w:val="nil"/>
              <w:left w:val="nil"/>
              <w:bottom w:val="single" w:color="auto" w:sz="4" w:space="0"/>
              <w:right w:val="single" w:color="auto" w:sz="4" w:space="0"/>
            </w:tcBorders>
            <w:vAlign w:val="center"/>
          </w:tcPr>
          <w:p w14:paraId="75592DA8">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300≤Y＜2000</w:t>
            </w:r>
          </w:p>
        </w:tc>
        <w:tc>
          <w:tcPr>
            <w:tcW w:w="925" w:type="dxa"/>
            <w:tcBorders>
              <w:top w:val="nil"/>
              <w:left w:val="nil"/>
              <w:bottom w:val="single" w:color="auto" w:sz="4" w:space="0"/>
              <w:right w:val="single" w:color="auto" w:sz="4" w:space="0"/>
            </w:tcBorders>
            <w:vAlign w:val="center"/>
          </w:tcPr>
          <w:p w14:paraId="79398E53">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Y＜300</w:t>
            </w:r>
          </w:p>
        </w:tc>
      </w:tr>
      <w:tr w14:paraId="362066C6">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5494CA1F">
            <w:pPr>
              <w:widowControl/>
              <w:spacing w:line="240" w:lineRule="auto"/>
              <w:jc w:val="center"/>
              <w:rPr>
                <w:rFonts w:ascii="宋体" w:hAnsi="宋体" w:cs="宋体"/>
                <w:b/>
                <w:bCs/>
                <w:kern w:val="0"/>
                <w:sz w:val="18"/>
                <w:szCs w:val="18"/>
                <w:highlight w:val="none"/>
              </w:rPr>
            </w:pPr>
            <w:r>
              <w:rPr>
                <w:rFonts w:hint="eastAsia" w:ascii="宋体" w:hAnsi="宋体" w:cs="宋体"/>
                <w:b/>
                <w:bCs/>
                <w:kern w:val="0"/>
                <w:sz w:val="18"/>
                <w:szCs w:val="18"/>
                <w:highlight w:val="none"/>
              </w:rPr>
              <w:t>建筑业</w:t>
            </w:r>
          </w:p>
        </w:tc>
        <w:tc>
          <w:tcPr>
            <w:tcW w:w="1384" w:type="dxa"/>
            <w:tcBorders>
              <w:top w:val="nil"/>
              <w:left w:val="nil"/>
              <w:bottom w:val="single" w:color="auto" w:sz="4" w:space="0"/>
              <w:right w:val="single" w:color="auto" w:sz="4" w:space="0"/>
            </w:tcBorders>
            <w:vAlign w:val="center"/>
          </w:tcPr>
          <w:p w14:paraId="6B1ADA6E">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003A9FA2">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640AAC18">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6000≤Y＜80000</w:t>
            </w:r>
          </w:p>
        </w:tc>
        <w:tc>
          <w:tcPr>
            <w:tcW w:w="1440" w:type="dxa"/>
            <w:tcBorders>
              <w:top w:val="nil"/>
              <w:left w:val="nil"/>
              <w:bottom w:val="single" w:color="auto" w:sz="4" w:space="0"/>
              <w:right w:val="single" w:color="auto" w:sz="4" w:space="0"/>
            </w:tcBorders>
            <w:vAlign w:val="center"/>
          </w:tcPr>
          <w:p w14:paraId="0878EEF0">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300≤Y＜6000</w:t>
            </w:r>
          </w:p>
        </w:tc>
        <w:tc>
          <w:tcPr>
            <w:tcW w:w="925" w:type="dxa"/>
            <w:tcBorders>
              <w:top w:val="nil"/>
              <w:left w:val="nil"/>
              <w:bottom w:val="single" w:color="auto" w:sz="4" w:space="0"/>
              <w:right w:val="single" w:color="auto" w:sz="4" w:space="0"/>
            </w:tcBorders>
            <w:vAlign w:val="center"/>
          </w:tcPr>
          <w:p w14:paraId="2273235D">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Y＜300</w:t>
            </w:r>
          </w:p>
        </w:tc>
      </w:tr>
      <w:tr w14:paraId="1A2C1010">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1413986B">
            <w:pPr>
              <w:widowControl/>
              <w:spacing w:line="240" w:lineRule="auto"/>
              <w:jc w:val="left"/>
              <w:rPr>
                <w:rFonts w:ascii="宋体" w:hAnsi="宋体" w:cs="宋体"/>
                <w:b/>
                <w:bCs/>
                <w:kern w:val="0"/>
                <w:sz w:val="18"/>
                <w:szCs w:val="18"/>
                <w:highlight w:val="none"/>
              </w:rPr>
            </w:pPr>
          </w:p>
        </w:tc>
        <w:tc>
          <w:tcPr>
            <w:tcW w:w="1384" w:type="dxa"/>
            <w:tcBorders>
              <w:top w:val="nil"/>
              <w:left w:val="nil"/>
              <w:bottom w:val="single" w:color="auto" w:sz="4" w:space="0"/>
              <w:right w:val="single" w:color="auto" w:sz="4" w:space="0"/>
            </w:tcBorders>
            <w:vAlign w:val="center"/>
          </w:tcPr>
          <w:p w14:paraId="4ECAF638">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资产总额（Z）</w:t>
            </w:r>
          </w:p>
        </w:tc>
        <w:tc>
          <w:tcPr>
            <w:tcW w:w="913" w:type="dxa"/>
            <w:tcBorders>
              <w:top w:val="nil"/>
              <w:left w:val="nil"/>
              <w:bottom w:val="single" w:color="auto" w:sz="4" w:space="0"/>
              <w:right w:val="single" w:color="auto" w:sz="4" w:space="0"/>
            </w:tcBorders>
            <w:vAlign w:val="center"/>
          </w:tcPr>
          <w:p w14:paraId="5B54A8C5">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59DB7305">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5000≤Z＜80000</w:t>
            </w:r>
          </w:p>
        </w:tc>
        <w:tc>
          <w:tcPr>
            <w:tcW w:w="1440" w:type="dxa"/>
            <w:tcBorders>
              <w:top w:val="nil"/>
              <w:left w:val="nil"/>
              <w:bottom w:val="single" w:color="auto" w:sz="4" w:space="0"/>
              <w:right w:val="single" w:color="auto" w:sz="4" w:space="0"/>
            </w:tcBorders>
            <w:vAlign w:val="center"/>
          </w:tcPr>
          <w:p w14:paraId="52D85E68">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300≤Z＜5000</w:t>
            </w:r>
          </w:p>
        </w:tc>
        <w:tc>
          <w:tcPr>
            <w:tcW w:w="925" w:type="dxa"/>
            <w:tcBorders>
              <w:top w:val="nil"/>
              <w:left w:val="nil"/>
              <w:bottom w:val="single" w:color="auto" w:sz="4" w:space="0"/>
              <w:right w:val="single" w:color="auto" w:sz="4" w:space="0"/>
            </w:tcBorders>
            <w:vAlign w:val="center"/>
          </w:tcPr>
          <w:p w14:paraId="51AAA295">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Z＜300</w:t>
            </w:r>
          </w:p>
        </w:tc>
      </w:tr>
      <w:tr w14:paraId="749F5071">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2770F8CD">
            <w:pPr>
              <w:widowControl/>
              <w:spacing w:line="240" w:lineRule="auto"/>
              <w:jc w:val="center"/>
              <w:rPr>
                <w:rFonts w:ascii="宋体" w:hAnsi="宋体" w:cs="宋体"/>
                <w:b/>
                <w:bCs/>
                <w:kern w:val="0"/>
                <w:sz w:val="18"/>
                <w:szCs w:val="18"/>
                <w:highlight w:val="none"/>
              </w:rPr>
            </w:pPr>
            <w:r>
              <w:rPr>
                <w:rFonts w:hint="eastAsia" w:ascii="宋体" w:hAnsi="宋体" w:cs="宋体"/>
                <w:b/>
                <w:bCs/>
                <w:kern w:val="0"/>
                <w:sz w:val="18"/>
                <w:szCs w:val="18"/>
                <w:highlight w:val="none"/>
              </w:rPr>
              <w:t>批发业</w:t>
            </w:r>
          </w:p>
        </w:tc>
        <w:tc>
          <w:tcPr>
            <w:tcW w:w="1384" w:type="dxa"/>
            <w:tcBorders>
              <w:top w:val="nil"/>
              <w:left w:val="nil"/>
              <w:bottom w:val="single" w:color="auto" w:sz="4" w:space="0"/>
              <w:right w:val="single" w:color="auto" w:sz="4" w:space="0"/>
            </w:tcBorders>
            <w:vAlign w:val="center"/>
          </w:tcPr>
          <w:p w14:paraId="340592C9">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54DCF957">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人</w:t>
            </w:r>
          </w:p>
        </w:tc>
        <w:tc>
          <w:tcPr>
            <w:tcW w:w="1620" w:type="dxa"/>
            <w:tcBorders>
              <w:top w:val="nil"/>
              <w:left w:val="nil"/>
              <w:bottom w:val="single" w:color="auto" w:sz="4" w:space="0"/>
              <w:right w:val="single" w:color="auto" w:sz="4" w:space="0"/>
            </w:tcBorders>
            <w:vAlign w:val="center"/>
          </w:tcPr>
          <w:p w14:paraId="3C567405">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20≤X＜200</w:t>
            </w:r>
          </w:p>
        </w:tc>
        <w:tc>
          <w:tcPr>
            <w:tcW w:w="1440" w:type="dxa"/>
            <w:tcBorders>
              <w:top w:val="nil"/>
              <w:left w:val="nil"/>
              <w:bottom w:val="single" w:color="auto" w:sz="4" w:space="0"/>
              <w:right w:val="single" w:color="auto" w:sz="4" w:space="0"/>
            </w:tcBorders>
            <w:vAlign w:val="center"/>
          </w:tcPr>
          <w:p w14:paraId="5BADAF7E">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5≤X＜20</w:t>
            </w:r>
          </w:p>
        </w:tc>
        <w:tc>
          <w:tcPr>
            <w:tcW w:w="925" w:type="dxa"/>
            <w:tcBorders>
              <w:top w:val="nil"/>
              <w:left w:val="nil"/>
              <w:bottom w:val="single" w:color="auto" w:sz="4" w:space="0"/>
              <w:right w:val="single" w:color="auto" w:sz="4" w:space="0"/>
            </w:tcBorders>
            <w:vAlign w:val="center"/>
          </w:tcPr>
          <w:p w14:paraId="31326026">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X＜5</w:t>
            </w:r>
          </w:p>
        </w:tc>
      </w:tr>
      <w:tr w14:paraId="242E66A7">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1EDDF990">
            <w:pPr>
              <w:widowControl/>
              <w:spacing w:line="240" w:lineRule="auto"/>
              <w:jc w:val="left"/>
              <w:rPr>
                <w:rFonts w:ascii="宋体" w:hAnsi="宋体" w:cs="宋体"/>
                <w:b/>
                <w:bCs/>
                <w:kern w:val="0"/>
                <w:sz w:val="18"/>
                <w:szCs w:val="18"/>
                <w:highlight w:val="none"/>
              </w:rPr>
            </w:pPr>
          </w:p>
        </w:tc>
        <w:tc>
          <w:tcPr>
            <w:tcW w:w="1384" w:type="dxa"/>
            <w:tcBorders>
              <w:top w:val="nil"/>
              <w:left w:val="nil"/>
              <w:bottom w:val="single" w:color="auto" w:sz="4" w:space="0"/>
              <w:right w:val="single" w:color="auto" w:sz="4" w:space="0"/>
            </w:tcBorders>
            <w:vAlign w:val="center"/>
          </w:tcPr>
          <w:p w14:paraId="44BBBC30">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712F6416">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421F9A5A">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5000≤Y＜40000</w:t>
            </w:r>
          </w:p>
        </w:tc>
        <w:tc>
          <w:tcPr>
            <w:tcW w:w="1440" w:type="dxa"/>
            <w:tcBorders>
              <w:top w:val="nil"/>
              <w:left w:val="nil"/>
              <w:bottom w:val="single" w:color="auto" w:sz="4" w:space="0"/>
              <w:right w:val="single" w:color="auto" w:sz="4" w:space="0"/>
            </w:tcBorders>
            <w:vAlign w:val="center"/>
          </w:tcPr>
          <w:p w14:paraId="517139FF">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1000≤Y＜5000</w:t>
            </w:r>
          </w:p>
        </w:tc>
        <w:tc>
          <w:tcPr>
            <w:tcW w:w="925" w:type="dxa"/>
            <w:tcBorders>
              <w:top w:val="nil"/>
              <w:left w:val="nil"/>
              <w:bottom w:val="single" w:color="auto" w:sz="4" w:space="0"/>
              <w:right w:val="single" w:color="auto" w:sz="4" w:space="0"/>
            </w:tcBorders>
            <w:vAlign w:val="center"/>
          </w:tcPr>
          <w:p w14:paraId="7FCADA87">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Y＜1000</w:t>
            </w:r>
          </w:p>
        </w:tc>
      </w:tr>
      <w:tr w14:paraId="09A6E380">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2324E704">
            <w:pPr>
              <w:widowControl/>
              <w:spacing w:line="240" w:lineRule="auto"/>
              <w:jc w:val="center"/>
              <w:rPr>
                <w:rFonts w:ascii="宋体" w:hAnsi="宋体" w:cs="宋体"/>
                <w:b/>
                <w:bCs/>
                <w:kern w:val="0"/>
                <w:sz w:val="18"/>
                <w:szCs w:val="18"/>
                <w:highlight w:val="none"/>
              </w:rPr>
            </w:pPr>
            <w:r>
              <w:rPr>
                <w:rFonts w:hint="eastAsia" w:ascii="宋体" w:hAnsi="宋体" w:cs="宋体"/>
                <w:b/>
                <w:bCs/>
                <w:kern w:val="0"/>
                <w:sz w:val="18"/>
                <w:szCs w:val="18"/>
                <w:highlight w:val="none"/>
              </w:rPr>
              <w:t>零售业</w:t>
            </w:r>
          </w:p>
        </w:tc>
        <w:tc>
          <w:tcPr>
            <w:tcW w:w="1384" w:type="dxa"/>
            <w:tcBorders>
              <w:top w:val="nil"/>
              <w:left w:val="nil"/>
              <w:bottom w:val="single" w:color="auto" w:sz="4" w:space="0"/>
              <w:right w:val="single" w:color="auto" w:sz="4" w:space="0"/>
            </w:tcBorders>
            <w:vAlign w:val="center"/>
          </w:tcPr>
          <w:p w14:paraId="59BF4FD4">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1B666DE1">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人</w:t>
            </w:r>
          </w:p>
        </w:tc>
        <w:tc>
          <w:tcPr>
            <w:tcW w:w="1620" w:type="dxa"/>
            <w:tcBorders>
              <w:top w:val="nil"/>
              <w:left w:val="nil"/>
              <w:bottom w:val="single" w:color="auto" w:sz="4" w:space="0"/>
              <w:right w:val="single" w:color="auto" w:sz="4" w:space="0"/>
            </w:tcBorders>
            <w:vAlign w:val="center"/>
          </w:tcPr>
          <w:p w14:paraId="43921FDD">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50≤X＜300</w:t>
            </w:r>
          </w:p>
        </w:tc>
        <w:tc>
          <w:tcPr>
            <w:tcW w:w="1440" w:type="dxa"/>
            <w:tcBorders>
              <w:top w:val="nil"/>
              <w:left w:val="nil"/>
              <w:bottom w:val="single" w:color="auto" w:sz="4" w:space="0"/>
              <w:right w:val="single" w:color="auto" w:sz="4" w:space="0"/>
            </w:tcBorders>
            <w:vAlign w:val="center"/>
          </w:tcPr>
          <w:p w14:paraId="57DD33EE">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10≤X＜50</w:t>
            </w:r>
          </w:p>
        </w:tc>
        <w:tc>
          <w:tcPr>
            <w:tcW w:w="925" w:type="dxa"/>
            <w:tcBorders>
              <w:top w:val="nil"/>
              <w:left w:val="nil"/>
              <w:bottom w:val="single" w:color="auto" w:sz="4" w:space="0"/>
              <w:right w:val="single" w:color="auto" w:sz="4" w:space="0"/>
            </w:tcBorders>
            <w:vAlign w:val="center"/>
          </w:tcPr>
          <w:p w14:paraId="5C1E18B6">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X＜10</w:t>
            </w:r>
          </w:p>
        </w:tc>
      </w:tr>
      <w:tr w14:paraId="003285AA">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62724FC2">
            <w:pPr>
              <w:widowControl/>
              <w:spacing w:line="240" w:lineRule="auto"/>
              <w:jc w:val="left"/>
              <w:rPr>
                <w:rFonts w:ascii="宋体" w:hAnsi="宋体" w:cs="宋体"/>
                <w:b/>
                <w:bCs/>
                <w:kern w:val="0"/>
                <w:sz w:val="18"/>
                <w:szCs w:val="18"/>
                <w:highlight w:val="none"/>
              </w:rPr>
            </w:pPr>
          </w:p>
        </w:tc>
        <w:tc>
          <w:tcPr>
            <w:tcW w:w="1384" w:type="dxa"/>
            <w:tcBorders>
              <w:top w:val="nil"/>
              <w:left w:val="nil"/>
              <w:bottom w:val="single" w:color="auto" w:sz="4" w:space="0"/>
              <w:right w:val="single" w:color="auto" w:sz="4" w:space="0"/>
            </w:tcBorders>
            <w:vAlign w:val="center"/>
          </w:tcPr>
          <w:p w14:paraId="566AB066">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55FE1A9C">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104FBF8C">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500≤Y＜20000</w:t>
            </w:r>
          </w:p>
        </w:tc>
        <w:tc>
          <w:tcPr>
            <w:tcW w:w="1440" w:type="dxa"/>
            <w:tcBorders>
              <w:top w:val="nil"/>
              <w:left w:val="nil"/>
              <w:bottom w:val="single" w:color="auto" w:sz="4" w:space="0"/>
              <w:right w:val="single" w:color="auto" w:sz="4" w:space="0"/>
            </w:tcBorders>
            <w:vAlign w:val="center"/>
          </w:tcPr>
          <w:p w14:paraId="5E740E69">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100≤Y＜500</w:t>
            </w:r>
          </w:p>
        </w:tc>
        <w:tc>
          <w:tcPr>
            <w:tcW w:w="925" w:type="dxa"/>
            <w:tcBorders>
              <w:top w:val="nil"/>
              <w:left w:val="nil"/>
              <w:bottom w:val="single" w:color="auto" w:sz="4" w:space="0"/>
              <w:right w:val="single" w:color="auto" w:sz="4" w:space="0"/>
            </w:tcBorders>
            <w:vAlign w:val="center"/>
          </w:tcPr>
          <w:p w14:paraId="2559C6F6">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Y＜100</w:t>
            </w:r>
          </w:p>
        </w:tc>
      </w:tr>
      <w:tr w14:paraId="1E701BD9">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2D3E8A60">
            <w:pPr>
              <w:widowControl/>
              <w:spacing w:line="240" w:lineRule="auto"/>
              <w:jc w:val="center"/>
              <w:rPr>
                <w:rFonts w:ascii="宋体" w:hAnsi="宋体" w:cs="宋体"/>
                <w:b/>
                <w:bCs/>
                <w:kern w:val="0"/>
                <w:sz w:val="18"/>
                <w:szCs w:val="18"/>
                <w:highlight w:val="none"/>
              </w:rPr>
            </w:pPr>
            <w:r>
              <w:rPr>
                <w:rFonts w:hint="eastAsia" w:ascii="宋体" w:hAnsi="宋体" w:cs="宋体"/>
                <w:b/>
                <w:bCs/>
                <w:kern w:val="0"/>
                <w:sz w:val="18"/>
                <w:szCs w:val="18"/>
                <w:highlight w:val="none"/>
              </w:rPr>
              <w:t>交通运输业</w:t>
            </w:r>
          </w:p>
        </w:tc>
        <w:tc>
          <w:tcPr>
            <w:tcW w:w="1384" w:type="dxa"/>
            <w:tcBorders>
              <w:top w:val="nil"/>
              <w:left w:val="nil"/>
              <w:bottom w:val="single" w:color="auto" w:sz="4" w:space="0"/>
              <w:right w:val="single" w:color="auto" w:sz="4" w:space="0"/>
            </w:tcBorders>
            <w:vAlign w:val="center"/>
          </w:tcPr>
          <w:p w14:paraId="534F4085">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226B06A9">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人</w:t>
            </w:r>
          </w:p>
        </w:tc>
        <w:tc>
          <w:tcPr>
            <w:tcW w:w="1620" w:type="dxa"/>
            <w:tcBorders>
              <w:top w:val="nil"/>
              <w:left w:val="nil"/>
              <w:bottom w:val="single" w:color="auto" w:sz="4" w:space="0"/>
              <w:right w:val="single" w:color="auto" w:sz="4" w:space="0"/>
            </w:tcBorders>
            <w:vAlign w:val="center"/>
          </w:tcPr>
          <w:p w14:paraId="7EEB3AC9">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300≤X＜1000</w:t>
            </w:r>
          </w:p>
        </w:tc>
        <w:tc>
          <w:tcPr>
            <w:tcW w:w="1440" w:type="dxa"/>
            <w:tcBorders>
              <w:top w:val="nil"/>
              <w:left w:val="nil"/>
              <w:bottom w:val="single" w:color="auto" w:sz="4" w:space="0"/>
              <w:right w:val="single" w:color="auto" w:sz="4" w:space="0"/>
            </w:tcBorders>
            <w:vAlign w:val="center"/>
          </w:tcPr>
          <w:p w14:paraId="213B3678">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20≤X＜300</w:t>
            </w:r>
          </w:p>
        </w:tc>
        <w:tc>
          <w:tcPr>
            <w:tcW w:w="925" w:type="dxa"/>
            <w:tcBorders>
              <w:top w:val="nil"/>
              <w:left w:val="nil"/>
              <w:bottom w:val="single" w:color="auto" w:sz="4" w:space="0"/>
              <w:right w:val="single" w:color="auto" w:sz="4" w:space="0"/>
            </w:tcBorders>
            <w:vAlign w:val="center"/>
          </w:tcPr>
          <w:p w14:paraId="77A56066">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X＜20</w:t>
            </w:r>
          </w:p>
        </w:tc>
      </w:tr>
      <w:tr w14:paraId="14FE4DDC">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4DE911CC">
            <w:pPr>
              <w:widowControl/>
              <w:spacing w:line="240" w:lineRule="auto"/>
              <w:jc w:val="left"/>
              <w:rPr>
                <w:rFonts w:ascii="宋体" w:hAnsi="宋体" w:cs="宋体"/>
                <w:b/>
                <w:bCs/>
                <w:kern w:val="0"/>
                <w:sz w:val="18"/>
                <w:szCs w:val="18"/>
                <w:highlight w:val="none"/>
              </w:rPr>
            </w:pPr>
          </w:p>
        </w:tc>
        <w:tc>
          <w:tcPr>
            <w:tcW w:w="1384" w:type="dxa"/>
            <w:tcBorders>
              <w:top w:val="nil"/>
              <w:left w:val="nil"/>
              <w:bottom w:val="single" w:color="auto" w:sz="4" w:space="0"/>
              <w:right w:val="single" w:color="auto" w:sz="4" w:space="0"/>
            </w:tcBorders>
            <w:vAlign w:val="center"/>
          </w:tcPr>
          <w:p w14:paraId="015CA145">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59A38598">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7148F487">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3000≤Y＜30000</w:t>
            </w:r>
          </w:p>
        </w:tc>
        <w:tc>
          <w:tcPr>
            <w:tcW w:w="1440" w:type="dxa"/>
            <w:tcBorders>
              <w:top w:val="nil"/>
              <w:left w:val="nil"/>
              <w:bottom w:val="single" w:color="auto" w:sz="4" w:space="0"/>
              <w:right w:val="single" w:color="auto" w:sz="4" w:space="0"/>
            </w:tcBorders>
            <w:vAlign w:val="center"/>
          </w:tcPr>
          <w:p w14:paraId="16D9E252">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200≤Y＜3000</w:t>
            </w:r>
          </w:p>
        </w:tc>
        <w:tc>
          <w:tcPr>
            <w:tcW w:w="925" w:type="dxa"/>
            <w:tcBorders>
              <w:top w:val="nil"/>
              <w:left w:val="nil"/>
              <w:bottom w:val="single" w:color="auto" w:sz="4" w:space="0"/>
              <w:right w:val="single" w:color="auto" w:sz="4" w:space="0"/>
            </w:tcBorders>
            <w:vAlign w:val="center"/>
          </w:tcPr>
          <w:p w14:paraId="3FCC2042">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Y＜200</w:t>
            </w:r>
          </w:p>
        </w:tc>
      </w:tr>
      <w:tr w14:paraId="0282CE23">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7AFDA824">
            <w:pPr>
              <w:widowControl/>
              <w:spacing w:line="240" w:lineRule="auto"/>
              <w:jc w:val="center"/>
              <w:rPr>
                <w:rFonts w:ascii="宋体" w:hAnsi="宋体" w:cs="宋体"/>
                <w:b/>
                <w:bCs/>
                <w:kern w:val="0"/>
                <w:sz w:val="18"/>
                <w:szCs w:val="18"/>
                <w:highlight w:val="none"/>
              </w:rPr>
            </w:pPr>
            <w:r>
              <w:rPr>
                <w:rFonts w:hint="eastAsia" w:ascii="宋体" w:hAnsi="宋体" w:cs="宋体"/>
                <w:b/>
                <w:bCs/>
                <w:kern w:val="0"/>
                <w:sz w:val="18"/>
                <w:szCs w:val="18"/>
                <w:highlight w:val="none"/>
              </w:rPr>
              <w:t>仓储业</w:t>
            </w:r>
          </w:p>
        </w:tc>
        <w:tc>
          <w:tcPr>
            <w:tcW w:w="1384" w:type="dxa"/>
            <w:tcBorders>
              <w:top w:val="nil"/>
              <w:left w:val="nil"/>
              <w:bottom w:val="single" w:color="auto" w:sz="4" w:space="0"/>
              <w:right w:val="single" w:color="auto" w:sz="4" w:space="0"/>
            </w:tcBorders>
            <w:vAlign w:val="center"/>
          </w:tcPr>
          <w:p w14:paraId="70286842">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59349D7E">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人</w:t>
            </w:r>
          </w:p>
        </w:tc>
        <w:tc>
          <w:tcPr>
            <w:tcW w:w="1620" w:type="dxa"/>
            <w:tcBorders>
              <w:top w:val="nil"/>
              <w:left w:val="nil"/>
              <w:bottom w:val="single" w:color="auto" w:sz="4" w:space="0"/>
              <w:right w:val="single" w:color="auto" w:sz="4" w:space="0"/>
            </w:tcBorders>
            <w:vAlign w:val="center"/>
          </w:tcPr>
          <w:p w14:paraId="528ACBCE">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100≤X＜200</w:t>
            </w:r>
          </w:p>
        </w:tc>
        <w:tc>
          <w:tcPr>
            <w:tcW w:w="1440" w:type="dxa"/>
            <w:tcBorders>
              <w:top w:val="nil"/>
              <w:left w:val="nil"/>
              <w:bottom w:val="single" w:color="auto" w:sz="4" w:space="0"/>
              <w:right w:val="single" w:color="auto" w:sz="4" w:space="0"/>
            </w:tcBorders>
            <w:vAlign w:val="center"/>
          </w:tcPr>
          <w:p w14:paraId="31B9804B">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20≤X＜100</w:t>
            </w:r>
          </w:p>
        </w:tc>
        <w:tc>
          <w:tcPr>
            <w:tcW w:w="925" w:type="dxa"/>
            <w:tcBorders>
              <w:top w:val="nil"/>
              <w:left w:val="nil"/>
              <w:bottom w:val="single" w:color="auto" w:sz="4" w:space="0"/>
              <w:right w:val="single" w:color="auto" w:sz="4" w:space="0"/>
            </w:tcBorders>
            <w:vAlign w:val="center"/>
          </w:tcPr>
          <w:p w14:paraId="347B8AA6">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X＜20</w:t>
            </w:r>
          </w:p>
        </w:tc>
      </w:tr>
      <w:tr w14:paraId="152B7479">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6F2AC14B">
            <w:pPr>
              <w:widowControl/>
              <w:spacing w:line="240" w:lineRule="auto"/>
              <w:jc w:val="left"/>
              <w:rPr>
                <w:rFonts w:ascii="宋体" w:hAnsi="宋体" w:cs="宋体"/>
                <w:b/>
                <w:bCs/>
                <w:kern w:val="0"/>
                <w:sz w:val="18"/>
                <w:szCs w:val="18"/>
                <w:highlight w:val="none"/>
              </w:rPr>
            </w:pPr>
          </w:p>
        </w:tc>
        <w:tc>
          <w:tcPr>
            <w:tcW w:w="1384" w:type="dxa"/>
            <w:tcBorders>
              <w:top w:val="nil"/>
              <w:left w:val="nil"/>
              <w:bottom w:val="single" w:color="auto" w:sz="4" w:space="0"/>
              <w:right w:val="single" w:color="auto" w:sz="4" w:space="0"/>
            </w:tcBorders>
            <w:vAlign w:val="center"/>
          </w:tcPr>
          <w:p w14:paraId="56465D5F">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6478F17B">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0ED4F213">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1000≤Y＜30000</w:t>
            </w:r>
          </w:p>
        </w:tc>
        <w:tc>
          <w:tcPr>
            <w:tcW w:w="1440" w:type="dxa"/>
            <w:tcBorders>
              <w:top w:val="nil"/>
              <w:left w:val="nil"/>
              <w:bottom w:val="single" w:color="auto" w:sz="4" w:space="0"/>
              <w:right w:val="single" w:color="auto" w:sz="4" w:space="0"/>
            </w:tcBorders>
            <w:vAlign w:val="center"/>
          </w:tcPr>
          <w:p w14:paraId="1A577615">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100≤Y＜1000</w:t>
            </w:r>
          </w:p>
        </w:tc>
        <w:tc>
          <w:tcPr>
            <w:tcW w:w="925" w:type="dxa"/>
            <w:tcBorders>
              <w:top w:val="nil"/>
              <w:left w:val="nil"/>
              <w:bottom w:val="single" w:color="auto" w:sz="4" w:space="0"/>
              <w:right w:val="single" w:color="auto" w:sz="4" w:space="0"/>
            </w:tcBorders>
            <w:vAlign w:val="center"/>
          </w:tcPr>
          <w:p w14:paraId="2859B96E">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Y＜100</w:t>
            </w:r>
          </w:p>
        </w:tc>
      </w:tr>
      <w:tr w14:paraId="4FDEF207">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3F2012AF">
            <w:pPr>
              <w:widowControl/>
              <w:spacing w:line="240" w:lineRule="auto"/>
              <w:jc w:val="center"/>
              <w:rPr>
                <w:rFonts w:ascii="宋体" w:hAnsi="宋体" w:cs="宋体"/>
                <w:b/>
                <w:bCs/>
                <w:kern w:val="0"/>
                <w:sz w:val="18"/>
                <w:szCs w:val="18"/>
                <w:highlight w:val="none"/>
              </w:rPr>
            </w:pPr>
            <w:r>
              <w:rPr>
                <w:rFonts w:hint="eastAsia" w:ascii="宋体" w:hAnsi="宋体" w:cs="宋体"/>
                <w:b/>
                <w:bCs/>
                <w:kern w:val="0"/>
                <w:sz w:val="18"/>
                <w:szCs w:val="18"/>
                <w:highlight w:val="none"/>
              </w:rPr>
              <w:t>邮政业</w:t>
            </w:r>
          </w:p>
        </w:tc>
        <w:tc>
          <w:tcPr>
            <w:tcW w:w="1384" w:type="dxa"/>
            <w:tcBorders>
              <w:top w:val="nil"/>
              <w:left w:val="nil"/>
              <w:bottom w:val="single" w:color="auto" w:sz="4" w:space="0"/>
              <w:right w:val="single" w:color="auto" w:sz="4" w:space="0"/>
            </w:tcBorders>
            <w:vAlign w:val="center"/>
          </w:tcPr>
          <w:p w14:paraId="4C799D6A">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7098BD2D">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人</w:t>
            </w:r>
          </w:p>
        </w:tc>
        <w:tc>
          <w:tcPr>
            <w:tcW w:w="1620" w:type="dxa"/>
            <w:tcBorders>
              <w:top w:val="nil"/>
              <w:left w:val="nil"/>
              <w:bottom w:val="single" w:color="auto" w:sz="4" w:space="0"/>
              <w:right w:val="single" w:color="auto" w:sz="4" w:space="0"/>
            </w:tcBorders>
            <w:vAlign w:val="center"/>
          </w:tcPr>
          <w:p w14:paraId="2E9E671A">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300≤X＜1000</w:t>
            </w:r>
          </w:p>
        </w:tc>
        <w:tc>
          <w:tcPr>
            <w:tcW w:w="1440" w:type="dxa"/>
            <w:tcBorders>
              <w:top w:val="nil"/>
              <w:left w:val="nil"/>
              <w:bottom w:val="single" w:color="auto" w:sz="4" w:space="0"/>
              <w:right w:val="single" w:color="auto" w:sz="4" w:space="0"/>
            </w:tcBorders>
            <w:vAlign w:val="center"/>
          </w:tcPr>
          <w:p w14:paraId="0DE61EC0">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20≤X＜300</w:t>
            </w:r>
          </w:p>
        </w:tc>
        <w:tc>
          <w:tcPr>
            <w:tcW w:w="925" w:type="dxa"/>
            <w:tcBorders>
              <w:top w:val="nil"/>
              <w:left w:val="nil"/>
              <w:bottom w:val="single" w:color="auto" w:sz="4" w:space="0"/>
              <w:right w:val="single" w:color="auto" w:sz="4" w:space="0"/>
            </w:tcBorders>
            <w:vAlign w:val="center"/>
          </w:tcPr>
          <w:p w14:paraId="5036581B">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X＜20</w:t>
            </w:r>
          </w:p>
        </w:tc>
      </w:tr>
      <w:tr w14:paraId="458CBAFF">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36F7D7CD">
            <w:pPr>
              <w:widowControl/>
              <w:spacing w:line="240" w:lineRule="auto"/>
              <w:jc w:val="left"/>
              <w:rPr>
                <w:rFonts w:ascii="宋体" w:hAnsi="宋体" w:cs="宋体"/>
                <w:b/>
                <w:bCs/>
                <w:kern w:val="0"/>
                <w:sz w:val="18"/>
                <w:szCs w:val="18"/>
                <w:highlight w:val="none"/>
              </w:rPr>
            </w:pPr>
          </w:p>
        </w:tc>
        <w:tc>
          <w:tcPr>
            <w:tcW w:w="1384" w:type="dxa"/>
            <w:tcBorders>
              <w:top w:val="nil"/>
              <w:left w:val="nil"/>
              <w:bottom w:val="single" w:color="auto" w:sz="4" w:space="0"/>
              <w:right w:val="single" w:color="auto" w:sz="4" w:space="0"/>
            </w:tcBorders>
            <w:vAlign w:val="center"/>
          </w:tcPr>
          <w:p w14:paraId="5D1EA478">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7B9876FE">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2319E197">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2000≤Y＜30000</w:t>
            </w:r>
          </w:p>
        </w:tc>
        <w:tc>
          <w:tcPr>
            <w:tcW w:w="1440" w:type="dxa"/>
            <w:tcBorders>
              <w:top w:val="nil"/>
              <w:left w:val="nil"/>
              <w:bottom w:val="single" w:color="auto" w:sz="4" w:space="0"/>
              <w:right w:val="single" w:color="auto" w:sz="4" w:space="0"/>
            </w:tcBorders>
            <w:vAlign w:val="center"/>
          </w:tcPr>
          <w:p w14:paraId="32F02650">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100≤Y＜2000</w:t>
            </w:r>
          </w:p>
        </w:tc>
        <w:tc>
          <w:tcPr>
            <w:tcW w:w="925" w:type="dxa"/>
            <w:tcBorders>
              <w:top w:val="nil"/>
              <w:left w:val="nil"/>
              <w:bottom w:val="single" w:color="auto" w:sz="4" w:space="0"/>
              <w:right w:val="single" w:color="auto" w:sz="4" w:space="0"/>
            </w:tcBorders>
            <w:vAlign w:val="center"/>
          </w:tcPr>
          <w:p w14:paraId="41FA9757">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Y＜100</w:t>
            </w:r>
          </w:p>
        </w:tc>
      </w:tr>
      <w:tr w14:paraId="7B6FE85E">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42EEB309">
            <w:pPr>
              <w:widowControl/>
              <w:spacing w:line="240" w:lineRule="auto"/>
              <w:jc w:val="center"/>
              <w:rPr>
                <w:rFonts w:ascii="宋体" w:hAnsi="宋体" w:cs="宋体"/>
                <w:b/>
                <w:bCs/>
                <w:kern w:val="0"/>
                <w:sz w:val="18"/>
                <w:szCs w:val="18"/>
                <w:highlight w:val="none"/>
              </w:rPr>
            </w:pPr>
            <w:r>
              <w:rPr>
                <w:rFonts w:hint="eastAsia" w:ascii="宋体" w:hAnsi="宋体" w:cs="宋体"/>
                <w:b/>
                <w:bCs/>
                <w:kern w:val="0"/>
                <w:sz w:val="18"/>
                <w:szCs w:val="18"/>
                <w:highlight w:val="none"/>
              </w:rPr>
              <w:t>住宿业</w:t>
            </w:r>
          </w:p>
        </w:tc>
        <w:tc>
          <w:tcPr>
            <w:tcW w:w="1384" w:type="dxa"/>
            <w:tcBorders>
              <w:top w:val="nil"/>
              <w:left w:val="nil"/>
              <w:bottom w:val="single" w:color="auto" w:sz="4" w:space="0"/>
              <w:right w:val="single" w:color="auto" w:sz="4" w:space="0"/>
            </w:tcBorders>
            <w:vAlign w:val="center"/>
          </w:tcPr>
          <w:p w14:paraId="5A573769">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5EF59A7F">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人</w:t>
            </w:r>
          </w:p>
        </w:tc>
        <w:tc>
          <w:tcPr>
            <w:tcW w:w="1620" w:type="dxa"/>
            <w:tcBorders>
              <w:top w:val="nil"/>
              <w:left w:val="nil"/>
              <w:bottom w:val="single" w:color="auto" w:sz="4" w:space="0"/>
              <w:right w:val="single" w:color="auto" w:sz="4" w:space="0"/>
            </w:tcBorders>
            <w:vAlign w:val="center"/>
          </w:tcPr>
          <w:p w14:paraId="0F34F4CC">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100≤X＜300</w:t>
            </w:r>
          </w:p>
        </w:tc>
        <w:tc>
          <w:tcPr>
            <w:tcW w:w="1440" w:type="dxa"/>
            <w:tcBorders>
              <w:top w:val="nil"/>
              <w:left w:val="nil"/>
              <w:bottom w:val="single" w:color="auto" w:sz="4" w:space="0"/>
              <w:right w:val="single" w:color="auto" w:sz="4" w:space="0"/>
            </w:tcBorders>
            <w:vAlign w:val="center"/>
          </w:tcPr>
          <w:p w14:paraId="7D9FF6D8">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10≤X＜100</w:t>
            </w:r>
          </w:p>
        </w:tc>
        <w:tc>
          <w:tcPr>
            <w:tcW w:w="925" w:type="dxa"/>
            <w:tcBorders>
              <w:top w:val="nil"/>
              <w:left w:val="nil"/>
              <w:bottom w:val="single" w:color="auto" w:sz="4" w:space="0"/>
              <w:right w:val="single" w:color="auto" w:sz="4" w:space="0"/>
            </w:tcBorders>
            <w:vAlign w:val="center"/>
          </w:tcPr>
          <w:p w14:paraId="7CCDBA45">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X＜10</w:t>
            </w:r>
          </w:p>
        </w:tc>
      </w:tr>
      <w:tr w14:paraId="5F9FECF0">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0F324F5E">
            <w:pPr>
              <w:widowControl/>
              <w:spacing w:line="240" w:lineRule="auto"/>
              <w:jc w:val="left"/>
              <w:rPr>
                <w:rFonts w:ascii="宋体" w:hAnsi="宋体" w:cs="宋体"/>
                <w:b/>
                <w:bCs/>
                <w:kern w:val="0"/>
                <w:sz w:val="18"/>
                <w:szCs w:val="18"/>
                <w:highlight w:val="none"/>
              </w:rPr>
            </w:pPr>
          </w:p>
        </w:tc>
        <w:tc>
          <w:tcPr>
            <w:tcW w:w="1384" w:type="dxa"/>
            <w:tcBorders>
              <w:top w:val="nil"/>
              <w:left w:val="nil"/>
              <w:bottom w:val="single" w:color="auto" w:sz="4" w:space="0"/>
              <w:right w:val="single" w:color="auto" w:sz="4" w:space="0"/>
            </w:tcBorders>
            <w:vAlign w:val="center"/>
          </w:tcPr>
          <w:p w14:paraId="181B8E4F">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742F3946">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52B524B2">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2000≤Y＜10000</w:t>
            </w:r>
          </w:p>
        </w:tc>
        <w:tc>
          <w:tcPr>
            <w:tcW w:w="1440" w:type="dxa"/>
            <w:tcBorders>
              <w:top w:val="nil"/>
              <w:left w:val="nil"/>
              <w:bottom w:val="single" w:color="auto" w:sz="4" w:space="0"/>
              <w:right w:val="single" w:color="auto" w:sz="4" w:space="0"/>
            </w:tcBorders>
            <w:vAlign w:val="center"/>
          </w:tcPr>
          <w:p w14:paraId="0A4D9AA8">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100≤Y＜2000</w:t>
            </w:r>
          </w:p>
        </w:tc>
        <w:tc>
          <w:tcPr>
            <w:tcW w:w="925" w:type="dxa"/>
            <w:tcBorders>
              <w:top w:val="nil"/>
              <w:left w:val="nil"/>
              <w:bottom w:val="single" w:color="auto" w:sz="4" w:space="0"/>
              <w:right w:val="single" w:color="auto" w:sz="4" w:space="0"/>
            </w:tcBorders>
            <w:vAlign w:val="center"/>
          </w:tcPr>
          <w:p w14:paraId="5E32D846">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Y＜100</w:t>
            </w:r>
          </w:p>
        </w:tc>
      </w:tr>
      <w:tr w14:paraId="4EC1F69D">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1551A887">
            <w:pPr>
              <w:widowControl/>
              <w:spacing w:line="240" w:lineRule="auto"/>
              <w:jc w:val="center"/>
              <w:rPr>
                <w:rFonts w:ascii="宋体" w:hAnsi="宋体" w:cs="宋体"/>
                <w:b/>
                <w:bCs/>
                <w:kern w:val="0"/>
                <w:sz w:val="18"/>
                <w:szCs w:val="18"/>
                <w:highlight w:val="none"/>
              </w:rPr>
            </w:pPr>
            <w:r>
              <w:rPr>
                <w:rFonts w:hint="eastAsia" w:ascii="宋体" w:hAnsi="宋体" w:cs="宋体"/>
                <w:b/>
                <w:bCs/>
                <w:kern w:val="0"/>
                <w:sz w:val="18"/>
                <w:szCs w:val="18"/>
                <w:highlight w:val="none"/>
              </w:rPr>
              <w:t>餐饮业</w:t>
            </w:r>
          </w:p>
        </w:tc>
        <w:tc>
          <w:tcPr>
            <w:tcW w:w="1384" w:type="dxa"/>
            <w:tcBorders>
              <w:top w:val="nil"/>
              <w:left w:val="nil"/>
              <w:bottom w:val="single" w:color="auto" w:sz="4" w:space="0"/>
              <w:right w:val="single" w:color="auto" w:sz="4" w:space="0"/>
            </w:tcBorders>
            <w:vAlign w:val="center"/>
          </w:tcPr>
          <w:p w14:paraId="78BB07C0">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3A25403E">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人</w:t>
            </w:r>
          </w:p>
        </w:tc>
        <w:tc>
          <w:tcPr>
            <w:tcW w:w="1620" w:type="dxa"/>
            <w:tcBorders>
              <w:top w:val="nil"/>
              <w:left w:val="nil"/>
              <w:bottom w:val="single" w:color="auto" w:sz="4" w:space="0"/>
              <w:right w:val="single" w:color="auto" w:sz="4" w:space="0"/>
            </w:tcBorders>
            <w:vAlign w:val="center"/>
          </w:tcPr>
          <w:p w14:paraId="421E6F27">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100≤X＜300</w:t>
            </w:r>
          </w:p>
        </w:tc>
        <w:tc>
          <w:tcPr>
            <w:tcW w:w="1440" w:type="dxa"/>
            <w:tcBorders>
              <w:top w:val="nil"/>
              <w:left w:val="nil"/>
              <w:bottom w:val="single" w:color="auto" w:sz="4" w:space="0"/>
              <w:right w:val="single" w:color="auto" w:sz="4" w:space="0"/>
            </w:tcBorders>
            <w:vAlign w:val="center"/>
          </w:tcPr>
          <w:p w14:paraId="249B02D6">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10≤X＜100</w:t>
            </w:r>
          </w:p>
        </w:tc>
        <w:tc>
          <w:tcPr>
            <w:tcW w:w="925" w:type="dxa"/>
            <w:tcBorders>
              <w:top w:val="nil"/>
              <w:left w:val="nil"/>
              <w:bottom w:val="single" w:color="auto" w:sz="4" w:space="0"/>
              <w:right w:val="single" w:color="auto" w:sz="4" w:space="0"/>
            </w:tcBorders>
            <w:vAlign w:val="center"/>
          </w:tcPr>
          <w:p w14:paraId="69C89326">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X＜10</w:t>
            </w:r>
          </w:p>
        </w:tc>
      </w:tr>
      <w:tr w14:paraId="6802BADB">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021ECEC3">
            <w:pPr>
              <w:widowControl/>
              <w:spacing w:line="240" w:lineRule="auto"/>
              <w:jc w:val="left"/>
              <w:rPr>
                <w:rFonts w:ascii="宋体" w:hAnsi="宋体" w:cs="宋体"/>
                <w:b/>
                <w:bCs/>
                <w:kern w:val="0"/>
                <w:sz w:val="18"/>
                <w:szCs w:val="18"/>
                <w:highlight w:val="none"/>
              </w:rPr>
            </w:pPr>
          </w:p>
        </w:tc>
        <w:tc>
          <w:tcPr>
            <w:tcW w:w="1384" w:type="dxa"/>
            <w:tcBorders>
              <w:top w:val="nil"/>
              <w:left w:val="nil"/>
              <w:bottom w:val="single" w:color="auto" w:sz="4" w:space="0"/>
              <w:right w:val="single" w:color="auto" w:sz="4" w:space="0"/>
            </w:tcBorders>
            <w:vAlign w:val="center"/>
          </w:tcPr>
          <w:p w14:paraId="72EECDA1">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4E537B92">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73B877F6">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2000≤Y＜10000</w:t>
            </w:r>
          </w:p>
        </w:tc>
        <w:tc>
          <w:tcPr>
            <w:tcW w:w="1440" w:type="dxa"/>
            <w:tcBorders>
              <w:top w:val="nil"/>
              <w:left w:val="nil"/>
              <w:bottom w:val="single" w:color="auto" w:sz="4" w:space="0"/>
              <w:right w:val="single" w:color="auto" w:sz="4" w:space="0"/>
            </w:tcBorders>
            <w:vAlign w:val="center"/>
          </w:tcPr>
          <w:p w14:paraId="06DF161A">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100≤Y＜2000</w:t>
            </w:r>
          </w:p>
        </w:tc>
        <w:tc>
          <w:tcPr>
            <w:tcW w:w="925" w:type="dxa"/>
            <w:tcBorders>
              <w:top w:val="nil"/>
              <w:left w:val="nil"/>
              <w:bottom w:val="single" w:color="auto" w:sz="4" w:space="0"/>
              <w:right w:val="single" w:color="auto" w:sz="4" w:space="0"/>
            </w:tcBorders>
            <w:vAlign w:val="center"/>
          </w:tcPr>
          <w:p w14:paraId="375F8F21">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Y＜100</w:t>
            </w:r>
          </w:p>
        </w:tc>
      </w:tr>
      <w:tr w14:paraId="0ECE73E0">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4BC7438B">
            <w:pPr>
              <w:widowControl/>
              <w:spacing w:line="240" w:lineRule="auto"/>
              <w:jc w:val="center"/>
              <w:rPr>
                <w:rFonts w:ascii="宋体" w:hAnsi="宋体" w:cs="宋体"/>
                <w:b/>
                <w:bCs/>
                <w:kern w:val="0"/>
                <w:sz w:val="18"/>
                <w:szCs w:val="18"/>
                <w:highlight w:val="none"/>
              </w:rPr>
            </w:pPr>
            <w:r>
              <w:rPr>
                <w:rFonts w:hint="eastAsia" w:ascii="宋体" w:hAnsi="宋体" w:cs="宋体"/>
                <w:b/>
                <w:bCs/>
                <w:kern w:val="0"/>
                <w:sz w:val="18"/>
                <w:szCs w:val="18"/>
                <w:highlight w:val="none"/>
              </w:rPr>
              <w:t>信息传输业</w:t>
            </w:r>
          </w:p>
        </w:tc>
        <w:tc>
          <w:tcPr>
            <w:tcW w:w="1384" w:type="dxa"/>
            <w:tcBorders>
              <w:top w:val="nil"/>
              <w:left w:val="nil"/>
              <w:bottom w:val="single" w:color="auto" w:sz="4" w:space="0"/>
              <w:right w:val="single" w:color="auto" w:sz="4" w:space="0"/>
            </w:tcBorders>
            <w:vAlign w:val="center"/>
          </w:tcPr>
          <w:p w14:paraId="3676F91F">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0D3FFAFF">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人</w:t>
            </w:r>
          </w:p>
        </w:tc>
        <w:tc>
          <w:tcPr>
            <w:tcW w:w="1620" w:type="dxa"/>
            <w:tcBorders>
              <w:top w:val="nil"/>
              <w:left w:val="nil"/>
              <w:bottom w:val="single" w:color="auto" w:sz="4" w:space="0"/>
              <w:right w:val="single" w:color="auto" w:sz="4" w:space="0"/>
            </w:tcBorders>
            <w:vAlign w:val="center"/>
          </w:tcPr>
          <w:p w14:paraId="6A8CCF38">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100≤X＜2000</w:t>
            </w:r>
          </w:p>
        </w:tc>
        <w:tc>
          <w:tcPr>
            <w:tcW w:w="1440" w:type="dxa"/>
            <w:tcBorders>
              <w:top w:val="nil"/>
              <w:left w:val="nil"/>
              <w:bottom w:val="single" w:color="auto" w:sz="4" w:space="0"/>
              <w:right w:val="single" w:color="auto" w:sz="4" w:space="0"/>
            </w:tcBorders>
            <w:vAlign w:val="center"/>
          </w:tcPr>
          <w:p w14:paraId="36F6753B">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10≤X＜100</w:t>
            </w:r>
          </w:p>
        </w:tc>
        <w:tc>
          <w:tcPr>
            <w:tcW w:w="925" w:type="dxa"/>
            <w:tcBorders>
              <w:top w:val="nil"/>
              <w:left w:val="nil"/>
              <w:bottom w:val="single" w:color="auto" w:sz="4" w:space="0"/>
              <w:right w:val="single" w:color="auto" w:sz="4" w:space="0"/>
            </w:tcBorders>
            <w:vAlign w:val="center"/>
          </w:tcPr>
          <w:p w14:paraId="27FC22C4">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X＜10</w:t>
            </w:r>
          </w:p>
        </w:tc>
      </w:tr>
      <w:tr w14:paraId="1F4F620A">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21401478">
            <w:pPr>
              <w:widowControl/>
              <w:spacing w:line="240" w:lineRule="auto"/>
              <w:jc w:val="left"/>
              <w:rPr>
                <w:rFonts w:ascii="宋体" w:hAnsi="宋体" w:cs="宋体"/>
                <w:b/>
                <w:bCs/>
                <w:kern w:val="0"/>
                <w:sz w:val="18"/>
                <w:szCs w:val="18"/>
                <w:highlight w:val="none"/>
              </w:rPr>
            </w:pPr>
          </w:p>
        </w:tc>
        <w:tc>
          <w:tcPr>
            <w:tcW w:w="1384" w:type="dxa"/>
            <w:tcBorders>
              <w:top w:val="nil"/>
              <w:left w:val="nil"/>
              <w:bottom w:val="single" w:color="auto" w:sz="4" w:space="0"/>
              <w:right w:val="single" w:color="auto" w:sz="4" w:space="0"/>
            </w:tcBorders>
            <w:vAlign w:val="center"/>
          </w:tcPr>
          <w:p w14:paraId="325E0CFF">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5D255E76">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7DA5CE2C">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1000≤Y＜100000</w:t>
            </w:r>
          </w:p>
        </w:tc>
        <w:tc>
          <w:tcPr>
            <w:tcW w:w="1440" w:type="dxa"/>
            <w:tcBorders>
              <w:top w:val="nil"/>
              <w:left w:val="nil"/>
              <w:bottom w:val="single" w:color="auto" w:sz="4" w:space="0"/>
              <w:right w:val="single" w:color="auto" w:sz="4" w:space="0"/>
            </w:tcBorders>
            <w:vAlign w:val="center"/>
          </w:tcPr>
          <w:p w14:paraId="5CE3711C">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100≤Y＜1000</w:t>
            </w:r>
          </w:p>
        </w:tc>
        <w:tc>
          <w:tcPr>
            <w:tcW w:w="925" w:type="dxa"/>
            <w:tcBorders>
              <w:top w:val="nil"/>
              <w:left w:val="nil"/>
              <w:bottom w:val="single" w:color="auto" w:sz="4" w:space="0"/>
              <w:right w:val="single" w:color="auto" w:sz="4" w:space="0"/>
            </w:tcBorders>
            <w:vAlign w:val="center"/>
          </w:tcPr>
          <w:p w14:paraId="1C771438">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Y＜100</w:t>
            </w:r>
          </w:p>
        </w:tc>
      </w:tr>
      <w:tr w14:paraId="49DD9440">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4370EE3A">
            <w:pPr>
              <w:widowControl/>
              <w:spacing w:line="240" w:lineRule="auto"/>
              <w:jc w:val="center"/>
              <w:rPr>
                <w:rFonts w:ascii="宋体" w:hAnsi="宋体" w:cs="宋体"/>
                <w:b/>
                <w:bCs/>
                <w:kern w:val="0"/>
                <w:sz w:val="18"/>
                <w:szCs w:val="18"/>
                <w:highlight w:val="none"/>
              </w:rPr>
            </w:pPr>
            <w:r>
              <w:rPr>
                <w:rFonts w:hint="eastAsia" w:ascii="宋体" w:hAnsi="宋体" w:cs="宋体"/>
                <w:b/>
                <w:bCs/>
                <w:kern w:val="0"/>
                <w:sz w:val="18"/>
                <w:szCs w:val="18"/>
                <w:highlight w:val="none"/>
              </w:rPr>
              <w:t>软件和信息技术服务业</w:t>
            </w:r>
          </w:p>
        </w:tc>
        <w:tc>
          <w:tcPr>
            <w:tcW w:w="1384" w:type="dxa"/>
            <w:tcBorders>
              <w:top w:val="nil"/>
              <w:left w:val="nil"/>
              <w:bottom w:val="single" w:color="auto" w:sz="4" w:space="0"/>
              <w:right w:val="single" w:color="auto" w:sz="4" w:space="0"/>
            </w:tcBorders>
            <w:vAlign w:val="center"/>
          </w:tcPr>
          <w:p w14:paraId="5E7003AE">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0A4A1789">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人</w:t>
            </w:r>
          </w:p>
        </w:tc>
        <w:tc>
          <w:tcPr>
            <w:tcW w:w="1620" w:type="dxa"/>
            <w:tcBorders>
              <w:top w:val="nil"/>
              <w:left w:val="nil"/>
              <w:bottom w:val="single" w:color="auto" w:sz="4" w:space="0"/>
              <w:right w:val="single" w:color="auto" w:sz="4" w:space="0"/>
            </w:tcBorders>
            <w:vAlign w:val="center"/>
          </w:tcPr>
          <w:p w14:paraId="577596C5">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100≤X＜300</w:t>
            </w:r>
          </w:p>
        </w:tc>
        <w:tc>
          <w:tcPr>
            <w:tcW w:w="1440" w:type="dxa"/>
            <w:tcBorders>
              <w:top w:val="nil"/>
              <w:left w:val="nil"/>
              <w:bottom w:val="single" w:color="auto" w:sz="4" w:space="0"/>
              <w:right w:val="single" w:color="auto" w:sz="4" w:space="0"/>
            </w:tcBorders>
            <w:vAlign w:val="center"/>
          </w:tcPr>
          <w:p w14:paraId="5525DFA7">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10≤X＜100</w:t>
            </w:r>
          </w:p>
        </w:tc>
        <w:tc>
          <w:tcPr>
            <w:tcW w:w="925" w:type="dxa"/>
            <w:tcBorders>
              <w:top w:val="nil"/>
              <w:left w:val="nil"/>
              <w:bottom w:val="single" w:color="auto" w:sz="4" w:space="0"/>
              <w:right w:val="single" w:color="auto" w:sz="4" w:space="0"/>
            </w:tcBorders>
            <w:vAlign w:val="center"/>
          </w:tcPr>
          <w:p w14:paraId="2901EC93">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X＜10</w:t>
            </w:r>
          </w:p>
        </w:tc>
      </w:tr>
      <w:tr w14:paraId="2A4B26B9">
        <w:tblPrEx>
          <w:tblCellMar>
            <w:top w:w="0" w:type="dxa"/>
            <w:left w:w="108" w:type="dxa"/>
            <w:bottom w:w="0" w:type="dxa"/>
            <w:right w:w="108" w:type="dxa"/>
          </w:tblCellMar>
        </w:tblPrEx>
        <w:trPr>
          <w:trHeight w:val="323" w:hRule="exact"/>
          <w:jc w:val="center"/>
        </w:trPr>
        <w:tc>
          <w:tcPr>
            <w:tcW w:w="1701" w:type="dxa"/>
            <w:vMerge w:val="continue"/>
            <w:tcBorders>
              <w:top w:val="nil"/>
              <w:left w:val="single" w:color="auto" w:sz="4" w:space="0"/>
              <w:bottom w:val="single" w:color="auto" w:sz="4" w:space="0"/>
              <w:right w:val="single" w:color="auto" w:sz="4" w:space="0"/>
            </w:tcBorders>
            <w:vAlign w:val="center"/>
          </w:tcPr>
          <w:p w14:paraId="548D34B7">
            <w:pPr>
              <w:widowControl/>
              <w:spacing w:line="240" w:lineRule="auto"/>
              <w:jc w:val="left"/>
              <w:rPr>
                <w:rFonts w:ascii="宋体" w:hAnsi="宋体" w:cs="宋体"/>
                <w:b/>
                <w:bCs/>
                <w:kern w:val="0"/>
                <w:sz w:val="18"/>
                <w:szCs w:val="18"/>
                <w:highlight w:val="none"/>
              </w:rPr>
            </w:pPr>
          </w:p>
        </w:tc>
        <w:tc>
          <w:tcPr>
            <w:tcW w:w="1384" w:type="dxa"/>
            <w:tcBorders>
              <w:top w:val="nil"/>
              <w:left w:val="nil"/>
              <w:bottom w:val="single" w:color="auto" w:sz="4" w:space="0"/>
              <w:right w:val="single" w:color="auto" w:sz="4" w:space="0"/>
            </w:tcBorders>
            <w:vAlign w:val="center"/>
          </w:tcPr>
          <w:p w14:paraId="482C25AC">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60AE257A">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13E0AC0A">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1000≤Y＜10000</w:t>
            </w:r>
          </w:p>
        </w:tc>
        <w:tc>
          <w:tcPr>
            <w:tcW w:w="1440" w:type="dxa"/>
            <w:tcBorders>
              <w:top w:val="nil"/>
              <w:left w:val="nil"/>
              <w:bottom w:val="single" w:color="auto" w:sz="4" w:space="0"/>
              <w:right w:val="single" w:color="auto" w:sz="4" w:space="0"/>
            </w:tcBorders>
            <w:vAlign w:val="center"/>
          </w:tcPr>
          <w:p w14:paraId="2D34B2A2">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50≤Y＜1000</w:t>
            </w:r>
          </w:p>
        </w:tc>
        <w:tc>
          <w:tcPr>
            <w:tcW w:w="925" w:type="dxa"/>
            <w:tcBorders>
              <w:top w:val="nil"/>
              <w:left w:val="nil"/>
              <w:bottom w:val="single" w:color="auto" w:sz="4" w:space="0"/>
              <w:right w:val="single" w:color="auto" w:sz="4" w:space="0"/>
            </w:tcBorders>
            <w:vAlign w:val="center"/>
          </w:tcPr>
          <w:p w14:paraId="59B5B0C4">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Y＜50</w:t>
            </w:r>
          </w:p>
        </w:tc>
      </w:tr>
      <w:tr w14:paraId="355EFFB1">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201940AE">
            <w:pPr>
              <w:widowControl/>
              <w:spacing w:line="240" w:lineRule="auto"/>
              <w:jc w:val="center"/>
              <w:rPr>
                <w:rFonts w:ascii="宋体" w:hAnsi="宋体" w:cs="宋体"/>
                <w:b/>
                <w:bCs/>
                <w:kern w:val="0"/>
                <w:sz w:val="18"/>
                <w:szCs w:val="18"/>
                <w:highlight w:val="none"/>
              </w:rPr>
            </w:pPr>
            <w:r>
              <w:rPr>
                <w:rFonts w:hint="eastAsia" w:ascii="宋体" w:hAnsi="宋体" w:cs="宋体"/>
                <w:b/>
                <w:bCs/>
                <w:kern w:val="0"/>
                <w:sz w:val="18"/>
                <w:szCs w:val="18"/>
                <w:highlight w:val="none"/>
              </w:rPr>
              <w:t>房地产开发经营</w:t>
            </w:r>
          </w:p>
        </w:tc>
        <w:tc>
          <w:tcPr>
            <w:tcW w:w="1384" w:type="dxa"/>
            <w:tcBorders>
              <w:top w:val="nil"/>
              <w:left w:val="nil"/>
              <w:bottom w:val="single" w:color="auto" w:sz="4" w:space="0"/>
              <w:right w:val="single" w:color="auto" w:sz="4" w:space="0"/>
            </w:tcBorders>
            <w:vAlign w:val="center"/>
          </w:tcPr>
          <w:p w14:paraId="03D312E7">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5388EA87">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469A293D">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1000≤Y＜200000</w:t>
            </w:r>
          </w:p>
        </w:tc>
        <w:tc>
          <w:tcPr>
            <w:tcW w:w="1440" w:type="dxa"/>
            <w:tcBorders>
              <w:top w:val="nil"/>
              <w:left w:val="nil"/>
              <w:bottom w:val="single" w:color="auto" w:sz="4" w:space="0"/>
              <w:right w:val="single" w:color="auto" w:sz="4" w:space="0"/>
            </w:tcBorders>
            <w:vAlign w:val="center"/>
          </w:tcPr>
          <w:p w14:paraId="232CEE17">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100≤X＜1000</w:t>
            </w:r>
          </w:p>
        </w:tc>
        <w:tc>
          <w:tcPr>
            <w:tcW w:w="925" w:type="dxa"/>
            <w:tcBorders>
              <w:top w:val="nil"/>
              <w:left w:val="nil"/>
              <w:bottom w:val="single" w:color="auto" w:sz="4" w:space="0"/>
              <w:right w:val="single" w:color="auto" w:sz="4" w:space="0"/>
            </w:tcBorders>
            <w:vAlign w:val="center"/>
          </w:tcPr>
          <w:p w14:paraId="0DB6B589">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X＜100</w:t>
            </w:r>
          </w:p>
        </w:tc>
      </w:tr>
      <w:tr w14:paraId="3DE3621D">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1884089D">
            <w:pPr>
              <w:widowControl/>
              <w:spacing w:line="240" w:lineRule="auto"/>
              <w:jc w:val="left"/>
              <w:rPr>
                <w:rFonts w:ascii="宋体" w:hAnsi="宋体" w:cs="宋体"/>
                <w:b/>
                <w:bCs/>
                <w:kern w:val="0"/>
                <w:sz w:val="18"/>
                <w:szCs w:val="18"/>
                <w:highlight w:val="none"/>
              </w:rPr>
            </w:pPr>
          </w:p>
        </w:tc>
        <w:tc>
          <w:tcPr>
            <w:tcW w:w="1384" w:type="dxa"/>
            <w:tcBorders>
              <w:top w:val="nil"/>
              <w:left w:val="nil"/>
              <w:bottom w:val="single" w:color="auto" w:sz="4" w:space="0"/>
              <w:right w:val="single" w:color="auto" w:sz="4" w:space="0"/>
            </w:tcBorders>
            <w:vAlign w:val="center"/>
          </w:tcPr>
          <w:p w14:paraId="1C4B2450">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资产总额（Z）</w:t>
            </w:r>
          </w:p>
        </w:tc>
        <w:tc>
          <w:tcPr>
            <w:tcW w:w="913" w:type="dxa"/>
            <w:tcBorders>
              <w:top w:val="nil"/>
              <w:left w:val="nil"/>
              <w:bottom w:val="single" w:color="auto" w:sz="4" w:space="0"/>
              <w:right w:val="single" w:color="auto" w:sz="4" w:space="0"/>
            </w:tcBorders>
            <w:vAlign w:val="center"/>
          </w:tcPr>
          <w:p w14:paraId="09BCCA29">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2AA44A1B">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5000≤Z＜10000</w:t>
            </w:r>
          </w:p>
        </w:tc>
        <w:tc>
          <w:tcPr>
            <w:tcW w:w="1440" w:type="dxa"/>
            <w:tcBorders>
              <w:top w:val="nil"/>
              <w:left w:val="nil"/>
              <w:bottom w:val="single" w:color="auto" w:sz="4" w:space="0"/>
              <w:right w:val="single" w:color="auto" w:sz="4" w:space="0"/>
            </w:tcBorders>
            <w:vAlign w:val="center"/>
          </w:tcPr>
          <w:p w14:paraId="7BBBC506">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2000≤Y＜5000</w:t>
            </w:r>
          </w:p>
        </w:tc>
        <w:tc>
          <w:tcPr>
            <w:tcW w:w="925" w:type="dxa"/>
            <w:tcBorders>
              <w:top w:val="nil"/>
              <w:left w:val="nil"/>
              <w:bottom w:val="single" w:color="auto" w:sz="4" w:space="0"/>
              <w:right w:val="single" w:color="auto" w:sz="4" w:space="0"/>
            </w:tcBorders>
            <w:vAlign w:val="center"/>
          </w:tcPr>
          <w:p w14:paraId="6D826180">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Y＜2000</w:t>
            </w:r>
          </w:p>
        </w:tc>
      </w:tr>
      <w:tr w14:paraId="3D12D92B">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5737BAB1">
            <w:pPr>
              <w:widowControl/>
              <w:spacing w:line="240" w:lineRule="auto"/>
              <w:jc w:val="center"/>
              <w:rPr>
                <w:rFonts w:ascii="宋体" w:hAnsi="宋体" w:cs="宋体"/>
                <w:b/>
                <w:bCs/>
                <w:kern w:val="0"/>
                <w:sz w:val="18"/>
                <w:szCs w:val="18"/>
                <w:highlight w:val="none"/>
              </w:rPr>
            </w:pPr>
            <w:r>
              <w:rPr>
                <w:rFonts w:hint="eastAsia" w:ascii="宋体" w:hAnsi="宋体" w:cs="宋体"/>
                <w:b/>
                <w:bCs/>
                <w:kern w:val="0"/>
                <w:sz w:val="18"/>
                <w:szCs w:val="18"/>
                <w:highlight w:val="none"/>
              </w:rPr>
              <w:t>物业管理</w:t>
            </w:r>
          </w:p>
        </w:tc>
        <w:tc>
          <w:tcPr>
            <w:tcW w:w="1384" w:type="dxa"/>
            <w:tcBorders>
              <w:top w:val="nil"/>
              <w:left w:val="nil"/>
              <w:bottom w:val="single" w:color="auto" w:sz="4" w:space="0"/>
              <w:right w:val="single" w:color="auto" w:sz="4" w:space="0"/>
            </w:tcBorders>
            <w:vAlign w:val="center"/>
          </w:tcPr>
          <w:p w14:paraId="1001EF12">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353D460E">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人</w:t>
            </w:r>
          </w:p>
        </w:tc>
        <w:tc>
          <w:tcPr>
            <w:tcW w:w="1620" w:type="dxa"/>
            <w:tcBorders>
              <w:top w:val="nil"/>
              <w:left w:val="nil"/>
              <w:bottom w:val="single" w:color="auto" w:sz="4" w:space="0"/>
              <w:right w:val="single" w:color="auto" w:sz="4" w:space="0"/>
            </w:tcBorders>
            <w:vAlign w:val="center"/>
          </w:tcPr>
          <w:p w14:paraId="0AB549A0">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300≤X＜1000</w:t>
            </w:r>
          </w:p>
        </w:tc>
        <w:tc>
          <w:tcPr>
            <w:tcW w:w="1440" w:type="dxa"/>
            <w:tcBorders>
              <w:top w:val="nil"/>
              <w:left w:val="nil"/>
              <w:bottom w:val="single" w:color="auto" w:sz="4" w:space="0"/>
              <w:right w:val="single" w:color="auto" w:sz="4" w:space="0"/>
            </w:tcBorders>
            <w:vAlign w:val="center"/>
          </w:tcPr>
          <w:p w14:paraId="67D63DFD">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100≤X＜300</w:t>
            </w:r>
          </w:p>
        </w:tc>
        <w:tc>
          <w:tcPr>
            <w:tcW w:w="925" w:type="dxa"/>
            <w:tcBorders>
              <w:top w:val="nil"/>
              <w:left w:val="nil"/>
              <w:bottom w:val="single" w:color="auto" w:sz="4" w:space="0"/>
              <w:right w:val="single" w:color="auto" w:sz="4" w:space="0"/>
            </w:tcBorders>
            <w:vAlign w:val="center"/>
          </w:tcPr>
          <w:p w14:paraId="2114FBF6">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X＜100</w:t>
            </w:r>
          </w:p>
        </w:tc>
      </w:tr>
      <w:tr w14:paraId="445FE222">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1722276E">
            <w:pPr>
              <w:widowControl/>
              <w:spacing w:line="240" w:lineRule="auto"/>
              <w:jc w:val="left"/>
              <w:rPr>
                <w:rFonts w:ascii="宋体" w:hAnsi="宋体" w:cs="宋体"/>
                <w:b/>
                <w:bCs/>
                <w:kern w:val="0"/>
                <w:sz w:val="18"/>
                <w:szCs w:val="18"/>
                <w:highlight w:val="none"/>
              </w:rPr>
            </w:pPr>
          </w:p>
        </w:tc>
        <w:tc>
          <w:tcPr>
            <w:tcW w:w="1384" w:type="dxa"/>
            <w:tcBorders>
              <w:top w:val="nil"/>
              <w:left w:val="nil"/>
              <w:bottom w:val="single" w:color="auto" w:sz="4" w:space="0"/>
              <w:right w:val="single" w:color="auto" w:sz="4" w:space="0"/>
            </w:tcBorders>
            <w:vAlign w:val="center"/>
          </w:tcPr>
          <w:p w14:paraId="144F7484">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47359F5B">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6F2F30C2">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1000≤Y＜5000</w:t>
            </w:r>
          </w:p>
        </w:tc>
        <w:tc>
          <w:tcPr>
            <w:tcW w:w="1440" w:type="dxa"/>
            <w:tcBorders>
              <w:top w:val="nil"/>
              <w:left w:val="nil"/>
              <w:bottom w:val="single" w:color="auto" w:sz="4" w:space="0"/>
              <w:right w:val="single" w:color="auto" w:sz="4" w:space="0"/>
            </w:tcBorders>
            <w:vAlign w:val="center"/>
          </w:tcPr>
          <w:p w14:paraId="006E865B">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500≤Y＜1000</w:t>
            </w:r>
          </w:p>
        </w:tc>
        <w:tc>
          <w:tcPr>
            <w:tcW w:w="925" w:type="dxa"/>
            <w:tcBorders>
              <w:top w:val="nil"/>
              <w:left w:val="nil"/>
              <w:bottom w:val="single" w:color="auto" w:sz="4" w:space="0"/>
              <w:right w:val="single" w:color="auto" w:sz="4" w:space="0"/>
            </w:tcBorders>
            <w:vAlign w:val="center"/>
          </w:tcPr>
          <w:p w14:paraId="2B24F88C">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Y＜500</w:t>
            </w:r>
          </w:p>
        </w:tc>
      </w:tr>
      <w:tr w14:paraId="2DDBF018">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2D731E70">
            <w:pPr>
              <w:widowControl/>
              <w:spacing w:line="240" w:lineRule="auto"/>
              <w:jc w:val="center"/>
              <w:rPr>
                <w:rFonts w:ascii="宋体" w:hAnsi="宋体" w:cs="宋体"/>
                <w:b/>
                <w:bCs/>
                <w:kern w:val="0"/>
                <w:sz w:val="18"/>
                <w:szCs w:val="18"/>
                <w:highlight w:val="none"/>
              </w:rPr>
            </w:pPr>
            <w:r>
              <w:rPr>
                <w:rFonts w:hint="eastAsia" w:ascii="宋体" w:hAnsi="宋体" w:cs="宋体"/>
                <w:b/>
                <w:bCs/>
                <w:kern w:val="0"/>
                <w:sz w:val="18"/>
                <w:szCs w:val="18"/>
                <w:highlight w:val="none"/>
              </w:rPr>
              <w:t>租赁和商务服务业</w:t>
            </w:r>
          </w:p>
        </w:tc>
        <w:tc>
          <w:tcPr>
            <w:tcW w:w="1384" w:type="dxa"/>
            <w:tcBorders>
              <w:top w:val="nil"/>
              <w:left w:val="nil"/>
              <w:bottom w:val="single" w:color="auto" w:sz="4" w:space="0"/>
              <w:right w:val="single" w:color="auto" w:sz="4" w:space="0"/>
            </w:tcBorders>
            <w:vAlign w:val="center"/>
          </w:tcPr>
          <w:p w14:paraId="34637605">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66B374A8">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人</w:t>
            </w:r>
          </w:p>
        </w:tc>
        <w:tc>
          <w:tcPr>
            <w:tcW w:w="1620" w:type="dxa"/>
            <w:tcBorders>
              <w:top w:val="nil"/>
              <w:left w:val="nil"/>
              <w:bottom w:val="single" w:color="auto" w:sz="4" w:space="0"/>
              <w:right w:val="single" w:color="auto" w:sz="4" w:space="0"/>
            </w:tcBorders>
            <w:vAlign w:val="center"/>
          </w:tcPr>
          <w:p w14:paraId="0D8F3EE1">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100≤X＜300</w:t>
            </w:r>
          </w:p>
        </w:tc>
        <w:tc>
          <w:tcPr>
            <w:tcW w:w="1440" w:type="dxa"/>
            <w:tcBorders>
              <w:top w:val="nil"/>
              <w:left w:val="nil"/>
              <w:bottom w:val="single" w:color="auto" w:sz="4" w:space="0"/>
              <w:right w:val="single" w:color="auto" w:sz="4" w:space="0"/>
            </w:tcBorders>
            <w:vAlign w:val="center"/>
          </w:tcPr>
          <w:p w14:paraId="4B6BFC27">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10≤X＜100</w:t>
            </w:r>
          </w:p>
        </w:tc>
        <w:tc>
          <w:tcPr>
            <w:tcW w:w="925" w:type="dxa"/>
            <w:tcBorders>
              <w:top w:val="nil"/>
              <w:left w:val="nil"/>
              <w:bottom w:val="single" w:color="auto" w:sz="4" w:space="0"/>
              <w:right w:val="single" w:color="auto" w:sz="4" w:space="0"/>
            </w:tcBorders>
            <w:vAlign w:val="center"/>
          </w:tcPr>
          <w:p w14:paraId="08B549C6">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X＜10</w:t>
            </w:r>
          </w:p>
        </w:tc>
      </w:tr>
      <w:tr w14:paraId="120361F2">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6996A747">
            <w:pPr>
              <w:widowControl/>
              <w:spacing w:line="240" w:lineRule="auto"/>
              <w:jc w:val="left"/>
              <w:rPr>
                <w:rFonts w:ascii="宋体" w:hAnsi="宋体" w:cs="宋体"/>
                <w:b/>
                <w:bCs/>
                <w:kern w:val="0"/>
                <w:sz w:val="18"/>
                <w:szCs w:val="18"/>
                <w:highlight w:val="none"/>
              </w:rPr>
            </w:pPr>
          </w:p>
        </w:tc>
        <w:tc>
          <w:tcPr>
            <w:tcW w:w="1384" w:type="dxa"/>
            <w:tcBorders>
              <w:top w:val="nil"/>
              <w:left w:val="nil"/>
              <w:bottom w:val="single" w:color="auto" w:sz="4" w:space="0"/>
              <w:right w:val="single" w:color="auto" w:sz="4" w:space="0"/>
            </w:tcBorders>
            <w:vAlign w:val="center"/>
          </w:tcPr>
          <w:p w14:paraId="539C3179">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资产总额（Z）</w:t>
            </w:r>
          </w:p>
        </w:tc>
        <w:tc>
          <w:tcPr>
            <w:tcW w:w="913" w:type="dxa"/>
            <w:tcBorders>
              <w:top w:val="nil"/>
              <w:left w:val="nil"/>
              <w:bottom w:val="single" w:color="auto" w:sz="4" w:space="0"/>
              <w:right w:val="single" w:color="auto" w:sz="4" w:space="0"/>
            </w:tcBorders>
            <w:vAlign w:val="center"/>
          </w:tcPr>
          <w:p w14:paraId="2A22D144">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14C2DD2C">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8000≤Z＜120000</w:t>
            </w:r>
          </w:p>
        </w:tc>
        <w:tc>
          <w:tcPr>
            <w:tcW w:w="1440" w:type="dxa"/>
            <w:tcBorders>
              <w:top w:val="nil"/>
              <w:left w:val="nil"/>
              <w:bottom w:val="single" w:color="auto" w:sz="4" w:space="0"/>
              <w:right w:val="single" w:color="auto" w:sz="4" w:space="0"/>
            </w:tcBorders>
            <w:vAlign w:val="center"/>
          </w:tcPr>
          <w:p w14:paraId="12AB8EB2">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100≤Z＜8000</w:t>
            </w:r>
          </w:p>
        </w:tc>
        <w:tc>
          <w:tcPr>
            <w:tcW w:w="925" w:type="dxa"/>
            <w:tcBorders>
              <w:top w:val="nil"/>
              <w:left w:val="nil"/>
              <w:bottom w:val="single" w:color="auto" w:sz="4" w:space="0"/>
              <w:right w:val="single" w:color="auto" w:sz="4" w:space="0"/>
            </w:tcBorders>
            <w:vAlign w:val="center"/>
          </w:tcPr>
          <w:p w14:paraId="5A8DEE7F">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Y＜100</w:t>
            </w:r>
          </w:p>
        </w:tc>
      </w:tr>
      <w:tr w14:paraId="628161AF">
        <w:tblPrEx>
          <w:tblCellMar>
            <w:top w:w="0" w:type="dxa"/>
            <w:left w:w="108" w:type="dxa"/>
            <w:bottom w:w="0" w:type="dxa"/>
            <w:right w:w="108" w:type="dxa"/>
          </w:tblCellMar>
        </w:tblPrEx>
        <w:trPr>
          <w:trHeight w:val="225" w:hRule="atLeast"/>
          <w:jc w:val="center"/>
        </w:trPr>
        <w:tc>
          <w:tcPr>
            <w:tcW w:w="1701" w:type="dxa"/>
            <w:tcBorders>
              <w:top w:val="nil"/>
              <w:left w:val="single" w:color="auto" w:sz="4" w:space="0"/>
              <w:bottom w:val="single" w:color="auto" w:sz="4" w:space="0"/>
              <w:right w:val="single" w:color="auto" w:sz="4" w:space="0"/>
            </w:tcBorders>
            <w:vAlign w:val="bottom"/>
          </w:tcPr>
          <w:p w14:paraId="26D1324B">
            <w:pPr>
              <w:widowControl/>
              <w:spacing w:line="240" w:lineRule="auto"/>
              <w:jc w:val="center"/>
              <w:rPr>
                <w:rFonts w:ascii="宋体" w:hAnsi="宋体" w:cs="宋体"/>
                <w:b/>
                <w:bCs/>
                <w:kern w:val="0"/>
                <w:sz w:val="18"/>
                <w:szCs w:val="18"/>
                <w:highlight w:val="none"/>
              </w:rPr>
            </w:pPr>
            <w:r>
              <w:rPr>
                <w:rFonts w:hint="eastAsia" w:ascii="宋体" w:hAnsi="宋体" w:cs="宋体"/>
                <w:b/>
                <w:bCs/>
                <w:kern w:val="0"/>
                <w:sz w:val="18"/>
                <w:szCs w:val="18"/>
                <w:highlight w:val="none"/>
              </w:rPr>
              <w:t>其他未列明行业</w:t>
            </w:r>
          </w:p>
        </w:tc>
        <w:tc>
          <w:tcPr>
            <w:tcW w:w="1384" w:type="dxa"/>
            <w:tcBorders>
              <w:top w:val="nil"/>
              <w:left w:val="nil"/>
              <w:bottom w:val="single" w:color="auto" w:sz="4" w:space="0"/>
              <w:right w:val="single" w:color="auto" w:sz="4" w:space="0"/>
            </w:tcBorders>
            <w:vAlign w:val="center"/>
          </w:tcPr>
          <w:p w14:paraId="4283359F">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3EACEE74">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人</w:t>
            </w:r>
          </w:p>
        </w:tc>
        <w:tc>
          <w:tcPr>
            <w:tcW w:w="1620" w:type="dxa"/>
            <w:tcBorders>
              <w:top w:val="nil"/>
              <w:left w:val="nil"/>
              <w:bottom w:val="single" w:color="auto" w:sz="4" w:space="0"/>
              <w:right w:val="single" w:color="auto" w:sz="4" w:space="0"/>
            </w:tcBorders>
            <w:vAlign w:val="center"/>
          </w:tcPr>
          <w:p w14:paraId="0B449BE1">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100≤X＜300</w:t>
            </w:r>
          </w:p>
        </w:tc>
        <w:tc>
          <w:tcPr>
            <w:tcW w:w="1440" w:type="dxa"/>
            <w:tcBorders>
              <w:top w:val="nil"/>
              <w:left w:val="nil"/>
              <w:bottom w:val="single" w:color="auto" w:sz="4" w:space="0"/>
              <w:right w:val="single" w:color="auto" w:sz="4" w:space="0"/>
            </w:tcBorders>
            <w:vAlign w:val="center"/>
          </w:tcPr>
          <w:p w14:paraId="621CC201">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10≤X＜100</w:t>
            </w:r>
          </w:p>
        </w:tc>
        <w:tc>
          <w:tcPr>
            <w:tcW w:w="925" w:type="dxa"/>
            <w:tcBorders>
              <w:top w:val="nil"/>
              <w:left w:val="nil"/>
              <w:bottom w:val="single" w:color="auto" w:sz="4" w:space="0"/>
              <w:right w:val="single" w:color="auto" w:sz="4" w:space="0"/>
            </w:tcBorders>
            <w:vAlign w:val="center"/>
          </w:tcPr>
          <w:p w14:paraId="044B9435">
            <w:pPr>
              <w:widowControl/>
              <w:spacing w:line="240" w:lineRule="auto"/>
              <w:jc w:val="left"/>
              <w:rPr>
                <w:rFonts w:ascii="宋体" w:hAnsi="宋体" w:cs="宋体"/>
                <w:kern w:val="0"/>
                <w:sz w:val="18"/>
                <w:szCs w:val="18"/>
                <w:highlight w:val="none"/>
              </w:rPr>
            </w:pPr>
            <w:r>
              <w:rPr>
                <w:rFonts w:hint="eastAsia" w:ascii="宋体" w:hAnsi="宋体" w:cs="宋体"/>
                <w:kern w:val="0"/>
                <w:sz w:val="18"/>
                <w:szCs w:val="18"/>
                <w:highlight w:val="none"/>
              </w:rPr>
              <w:t>X＜10</w:t>
            </w:r>
          </w:p>
        </w:tc>
      </w:tr>
    </w:tbl>
    <w:p w14:paraId="188D6BC4">
      <w:pPr>
        <w:spacing w:line="360" w:lineRule="auto"/>
        <w:ind w:firstLine="525" w:firstLineChars="250"/>
        <w:rPr>
          <w:rFonts w:ascii="宋体" w:hAnsi="宋体" w:cs="宋体"/>
          <w:szCs w:val="21"/>
          <w:highlight w:val="none"/>
        </w:rPr>
      </w:pPr>
    </w:p>
    <w:p w14:paraId="21399803">
      <w:pPr>
        <w:spacing w:line="360" w:lineRule="auto"/>
        <w:ind w:firstLine="527" w:firstLineChars="250"/>
        <w:rPr>
          <w:rFonts w:ascii="楷体" w:hAnsi="楷体" w:eastAsia="楷体" w:cs="宋体"/>
          <w:szCs w:val="21"/>
          <w:highlight w:val="none"/>
        </w:rPr>
      </w:pPr>
      <w:r>
        <w:rPr>
          <w:rFonts w:hint="eastAsia" w:ascii="楷体" w:hAnsi="楷体" w:eastAsia="楷体" w:cs="宋体"/>
          <w:b/>
          <w:szCs w:val="21"/>
          <w:highlight w:val="none"/>
        </w:rPr>
        <w:t>说明：</w:t>
      </w:r>
      <w:r>
        <w:rPr>
          <w:rFonts w:hint="eastAsia" w:ascii="楷体" w:hAnsi="楷体" w:eastAsia="楷体" w:cs="宋体"/>
          <w:szCs w:val="21"/>
          <w:highlight w:val="none"/>
        </w:rPr>
        <w:t>上述标准参照《关于印发中小企业划型标准规定的通知》（工信部联企业</w:t>
      </w:r>
      <w:r>
        <w:rPr>
          <w:rFonts w:ascii="楷体" w:hAnsi="楷体" w:eastAsia="楷体" w:cs="宋体"/>
          <w:szCs w:val="21"/>
          <w:highlight w:val="none"/>
        </w:rPr>
        <w:t>[2011]300号），大型、中型和小型企业须同时满足所列指标的下限，否则下划一档；微型企业只须满足所列指标中的一项即可。</w:t>
      </w:r>
    </w:p>
    <w:p w14:paraId="046BF4FB">
      <w:pPr>
        <w:rPr>
          <w:rFonts w:ascii="楷体" w:hAnsi="楷体" w:eastAsia="楷体" w:cs="宋体"/>
          <w:szCs w:val="21"/>
          <w:highlight w:val="none"/>
        </w:rPr>
      </w:pPr>
      <w:r>
        <w:rPr>
          <w:rFonts w:ascii="楷体" w:hAnsi="楷体" w:eastAsia="楷体" w:cs="宋体"/>
          <w:szCs w:val="21"/>
          <w:highlight w:val="none"/>
        </w:rPr>
        <w:br w:type="page"/>
      </w:r>
    </w:p>
    <w:p w14:paraId="533CB349">
      <w:pPr>
        <w:spacing w:line="360" w:lineRule="auto"/>
        <w:ind w:firstLine="422" w:firstLineChars="200"/>
        <w:jc w:val="left"/>
        <w:rPr>
          <w:rFonts w:hint="eastAsia" w:ascii="宋体" w:hAnsi="宋体" w:cs="宋体"/>
          <w:b/>
          <w:bCs/>
          <w:color w:val="auto"/>
          <w:highlight w:val="none"/>
        </w:rPr>
      </w:pPr>
      <w:r>
        <w:rPr>
          <w:rFonts w:hint="eastAsia" w:ascii="宋体" w:hAnsi="宋体" w:cs="宋体"/>
          <w:b/>
          <w:bCs/>
          <w:color w:val="auto"/>
          <w:highlight w:val="none"/>
        </w:rPr>
        <w:t>附表1：节能产品政府采购品目清单</w:t>
      </w:r>
    </w:p>
    <w:p w14:paraId="50BE542E">
      <w:pPr>
        <w:pStyle w:val="77"/>
        <w:rPr>
          <w:rFonts w:hint="eastAsia" w:ascii="宋体" w:hAnsi="宋体" w:cs="宋体"/>
          <w:b/>
          <w:bCs/>
          <w:color w:val="auto"/>
          <w:highlight w:val="none"/>
        </w:rPr>
      </w:pPr>
      <w:r>
        <w:rPr>
          <w:rFonts w:hint="eastAsia" w:ascii="宋体" w:hAnsi="宋体" w:cs="宋体"/>
          <w:b/>
          <w:bCs/>
          <w:color w:val="auto"/>
          <w:highlight w:val="none"/>
        </w:rPr>
        <w:drawing>
          <wp:inline distT="0" distB="0" distL="114300" distR="114300">
            <wp:extent cx="6022975" cy="8517890"/>
            <wp:effectExtent l="0" t="0" r="12065" b="1270"/>
            <wp:docPr id="8" name="图片 1" descr="节能产品政府采购品目清单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节能产品政府采购品目清单_00"/>
                    <pic:cNvPicPr>
                      <a:picLocks noChangeAspect="1"/>
                    </pic:cNvPicPr>
                  </pic:nvPicPr>
                  <pic:blipFill>
                    <a:blip r:embed="rId12"/>
                    <a:stretch>
                      <a:fillRect/>
                    </a:stretch>
                  </pic:blipFill>
                  <pic:spPr>
                    <a:xfrm>
                      <a:off x="0" y="0"/>
                      <a:ext cx="6022975" cy="8517890"/>
                    </a:xfrm>
                    <a:prstGeom prst="rect">
                      <a:avLst/>
                    </a:prstGeom>
                    <a:noFill/>
                    <a:ln>
                      <a:noFill/>
                    </a:ln>
                  </pic:spPr>
                </pic:pic>
              </a:graphicData>
            </a:graphic>
          </wp:inline>
        </w:drawing>
      </w:r>
    </w:p>
    <w:p w14:paraId="202ED054">
      <w:pPr>
        <w:pStyle w:val="77"/>
        <w:rPr>
          <w:rFonts w:hint="eastAsia" w:ascii="宋体" w:hAnsi="宋体" w:cs="宋体"/>
          <w:b/>
          <w:bCs/>
          <w:color w:val="auto"/>
          <w:highlight w:val="none"/>
        </w:rPr>
      </w:pPr>
      <w:r>
        <w:rPr>
          <w:rFonts w:hint="eastAsia" w:ascii="宋体" w:hAnsi="宋体" w:cs="宋体"/>
          <w:b/>
          <w:bCs/>
          <w:color w:val="auto"/>
          <w:highlight w:val="none"/>
        </w:rPr>
        <w:drawing>
          <wp:inline distT="0" distB="0" distL="114300" distR="114300">
            <wp:extent cx="6117590" cy="8651240"/>
            <wp:effectExtent l="0" t="0" r="8890" b="5080"/>
            <wp:docPr id="2" name="图片 2" descr="节能产品政府采购品目清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节能产品政府采购品目清单_01"/>
                    <pic:cNvPicPr>
                      <a:picLocks noChangeAspect="1"/>
                    </pic:cNvPicPr>
                  </pic:nvPicPr>
                  <pic:blipFill>
                    <a:blip r:embed="rId13"/>
                    <a:stretch>
                      <a:fillRect/>
                    </a:stretch>
                  </pic:blipFill>
                  <pic:spPr>
                    <a:xfrm>
                      <a:off x="0" y="0"/>
                      <a:ext cx="6117590" cy="8651240"/>
                    </a:xfrm>
                    <a:prstGeom prst="rect">
                      <a:avLst/>
                    </a:prstGeom>
                    <a:noFill/>
                    <a:ln>
                      <a:noFill/>
                    </a:ln>
                  </pic:spPr>
                </pic:pic>
              </a:graphicData>
            </a:graphic>
          </wp:inline>
        </w:drawing>
      </w:r>
    </w:p>
    <w:p w14:paraId="153336CE">
      <w:pPr>
        <w:pStyle w:val="77"/>
        <w:rPr>
          <w:rFonts w:hint="eastAsia" w:ascii="宋体" w:hAnsi="宋体" w:cs="宋体"/>
          <w:b/>
          <w:bCs/>
          <w:color w:val="auto"/>
          <w:highlight w:val="none"/>
        </w:rPr>
      </w:pPr>
      <w:r>
        <w:rPr>
          <w:rFonts w:hint="eastAsia" w:ascii="宋体" w:hAnsi="宋体" w:cs="宋体"/>
          <w:b/>
          <w:bCs/>
          <w:color w:val="auto"/>
          <w:highlight w:val="none"/>
        </w:rPr>
        <w:drawing>
          <wp:inline distT="0" distB="0" distL="114300" distR="114300">
            <wp:extent cx="6117590" cy="8651240"/>
            <wp:effectExtent l="0" t="0" r="8890" b="5080"/>
            <wp:docPr id="1" name="图片 3" descr="节能产品政府采购品目清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节能产品政府采购品目清单_02"/>
                    <pic:cNvPicPr>
                      <a:picLocks noChangeAspect="1"/>
                    </pic:cNvPicPr>
                  </pic:nvPicPr>
                  <pic:blipFill>
                    <a:blip r:embed="rId14"/>
                    <a:stretch>
                      <a:fillRect/>
                    </a:stretch>
                  </pic:blipFill>
                  <pic:spPr>
                    <a:xfrm>
                      <a:off x="0" y="0"/>
                      <a:ext cx="6117590" cy="8651240"/>
                    </a:xfrm>
                    <a:prstGeom prst="rect">
                      <a:avLst/>
                    </a:prstGeom>
                    <a:noFill/>
                    <a:ln>
                      <a:noFill/>
                    </a:ln>
                  </pic:spPr>
                </pic:pic>
              </a:graphicData>
            </a:graphic>
          </wp:inline>
        </w:drawing>
      </w:r>
    </w:p>
    <w:p w14:paraId="35DDBEE8">
      <w:pPr>
        <w:pStyle w:val="6"/>
        <w:rPr>
          <w:highlight w:val="none"/>
        </w:rPr>
      </w:pPr>
      <w:r>
        <w:rPr>
          <w:rFonts w:hint="eastAsia" w:ascii="宋体" w:hAnsi="宋体" w:cs="宋体"/>
          <w:b/>
          <w:bCs/>
          <w:color w:val="auto"/>
          <w:highlight w:val="none"/>
        </w:rPr>
        <w:drawing>
          <wp:inline distT="0" distB="0" distL="114300" distR="114300">
            <wp:extent cx="6117590" cy="8651240"/>
            <wp:effectExtent l="0" t="0" r="8890" b="5080"/>
            <wp:docPr id="7" name="图片 4" descr="节能产品政府采购品目清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节能产品政府采购品目清单_03"/>
                    <pic:cNvPicPr>
                      <a:picLocks noChangeAspect="1"/>
                    </pic:cNvPicPr>
                  </pic:nvPicPr>
                  <pic:blipFill>
                    <a:blip r:embed="rId15"/>
                    <a:stretch>
                      <a:fillRect/>
                    </a:stretch>
                  </pic:blipFill>
                  <pic:spPr>
                    <a:xfrm>
                      <a:off x="0" y="0"/>
                      <a:ext cx="6117590" cy="8651240"/>
                    </a:xfrm>
                    <a:prstGeom prst="rect">
                      <a:avLst/>
                    </a:prstGeom>
                    <a:noFill/>
                    <a:ln>
                      <a:noFill/>
                    </a:ln>
                  </pic:spPr>
                </pic:pic>
              </a:graphicData>
            </a:graphic>
          </wp:inline>
        </w:drawing>
      </w:r>
    </w:p>
    <w:p w14:paraId="3CA1EC31">
      <w:pPr>
        <w:pStyle w:val="2"/>
        <w:jc w:val="center"/>
        <w:rPr>
          <w:rFonts w:ascii="宋体" w:hAnsi="宋体" w:cs="宋体"/>
          <w:highlight w:val="none"/>
        </w:rPr>
      </w:pPr>
      <w:r>
        <w:rPr>
          <w:rFonts w:hint="eastAsia" w:ascii="宋体" w:hAnsi="宋体" w:cs="宋体"/>
          <w:highlight w:val="none"/>
        </w:rPr>
        <w:br w:type="page"/>
      </w:r>
      <w:bookmarkStart w:id="30" w:name="_Toc25718"/>
      <w:r>
        <w:rPr>
          <w:rFonts w:hint="eastAsia" w:ascii="宋体" w:hAnsi="宋体" w:cs="宋体"/>
          <w:highlight w:val="none"/>
        </w:rPr>
        <w:t>第四章 评审程序、评审方法和评审标准</w:t>
      </w:r>
      <w:bookmarkEnd w:id="30"/>
    </w:p>
    <w:p w14:paraId="2AEEF7AF">
      <w:pPr>
        <w:spacing w:line="360" w:lineRule="auto"/>
        <w:jc w:val="center"/>
        <w:rPr>
          <w:rFonts w:ascii="宋体" w:hAnsi="宋体" w:cs="宋体"/>
          <w:b/>
          <w:sz w:val="32"/>
          <w:szCs w:val="32"/>
          <w:highlight w:val="none"/>
        </w:rPr>
      </w:pPr>
      <w:r>
        <w:rPr>
          <w:rFonts w:hint="eastAsia" w:ascii="宋体" w:hAnsi="宋体" w:cs="宋体"/>
          <w:b/>
          <w:sz w:val="32"/>
          <w:szCs w:val="32"/>
          <w:highlight w:val="none"/>
        </w:rPr>
        <w:t>一、评审程序和评审方法</w:t>
      </w:r>
    </w:p>
    <w:p w14:paraId="2CA0ACEC">
      <w:pPr>
        <w:spacing w:line="360" w:lineRule="auto"/>
        <w:ind w:firstLine="482" w:firstLineChars="200"/>
        <w:rPr>
          <w:rFonts w:ascii="宋体" w:hAnsi="宋体" w:cs="宋体"/>
          <w:b/>
          <w:bCs/>
          <w:sz w:val="24"/>
          <w:highlight w:val="none"/>
        </w:rPr>
      </w:pPr>
    </w:p>
    <w:p w14:paraId="2B16A3FD">
      <w:pPr>
        <w:spacing w:line="360" w:lineRule="auto"/>
        <w:ind w:firstLine="422" w:firstLineChars="200"/>
        <w:rPr>
          <w:rFonts w:hint="eastAsia" w:ascii="宋体" w:hAnsi="宋体" w:cs="宋体"/>
          <w:b/>
          <w:bCs/>
          <w:sz w:val="21"/>
          <w:szCs w:val="21"/>
          <w:highlight w:val="none"/>
        </w:rPr>
      </w:pPr>
      <w:r>
        <w:rPr>
          <w:rFonts w:hint="eastAsia" w:ascii="宋体" w:hAnsi="宋体" w:cs="宋体"/>
          <w:b/>
          <w:bCs/>
          <w:sz w:val="21"/>
          <w:szCs w:val="21"/>
          <w:highlight w:val="none"/>
        </w:rPr>
        <w:t>1.资格审查</w:t>
      </w:r>
    </w:p>
    <w:p w14:paraId="1E9DFAFA">
      <w:pPr>
        <w:snapToGrid w:val="0"/>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1.1响应文件开启后，磋商小组依法对供应商的资格证明文件进行审查。</w:t>
      </w:r>
    </w:p>
    <w:p w14:paraId="2DB20909">
      <w:pPr>
        <w:snapToGrid w:val="0"/>
        <w:spacing w:line="360" w:lineRule="auto"/>
        <w:ind w:firstLine="420" w:firstLineChars="200"/>
        <w:jc w:val="left"/>
        <w:rPr>
          <w:rFonts w:hint="eastAsia" w:ascii="宋体" w:hAnsi="宋体" w:cs="宋体"/>
          <w:sz w:val="21"/>
          <w:szCs w:val="21"/>
          <w:highlight w:val="none"/>
        </w:rPr>
      </w:pPr>
      <w:r>
        <w:rPr>
          <w:rFonts w:hint="eastAsia" w:ascii="宋体" w:hAnsi="宋体" w:cs="宋体"/>
          <w:sz w:val="21"/>
          <w:szCs w:val="21"/>
          <w:highlight w:val="none"/>
        </w:rPr>
        <w:t>（1）查询渠道：“信用中国”网站（www.creditchina.gov.cn）、中国政府采购网（</w:t>
      </w:r>
      <w:r>
        <w:rPr>
          <w:rFonts w:hint="eastAsia" w:ascii="宋体" w:hAnsi="宋体" w:cs="宋体"/>
          <w:szCs w:val="21"/>
          <w:highlight w:val="none"/>
        </w:rPr>
        <w:fldChar w:fldCharType="begin"/>
      </w:r>
      <w:r>
        <w:rPr>
          <w:rFonts w:hint="eastAsia" w:ascii="宋体" w:hAnsi="宋体" w:cs="宋体"/>
          <w:szCs w:val="21"/>
          <w:highlight w:val="none"/>
        </w:rPr>
        <w:instrText xml:space="preserve"> HYPERLINK "http://www.ccgp.gov.cn" </w:instrText>
      </w:r>
      <w:r>
        <w:rPr>
          <w:rFonts w:hint="eastAsia" w:ascii="宋体" w:hAnsi="宋体" w:cs="宋体"/>
          <w:szCs w:val="21"/>
          <w:highlight w:val="none"/>
        </w:rPr>
        <w:fldChar w:fldCharType="separate"/>
      </w:r>
      <w:r>
        <w:rPr>
          <w:rFonts w:hint="eastAsia" w:ascii="宋体" w:hAnsi="宋体" w:cs="宋体"/>
          <w:sz w:val="21"/>
          <w:szCs w:val="21"/>
          <w:highlight w:val="none"/>
        </w:rPr>
        <w:t>www.ccgp.gov.cn</w:t>
      </w:r>
      <w:r>
        <w:rPr>
          <w:rFonts w:hint="eastAsia" w:ascii="宋体" w:hAnsi="宋体" w:cs="宋体"/>
          <w:sz w:val="21"/>
          <w:szCs w:val="21"/>
          <w:highlight w:val="none"/>
        </w:rPr>
        <w:fldChar w:fldCharType="end"/>
      </w:r>
      <w:r>
        <w:rPr>
          <w:rFonts w:hint="eastAsia" w:ascii="宋体" w:hAnsi="宋体" w:cs="宋体"/>
          <w:sz w:val="21"/>
          <w:szCs w:val="21"/>
          <w:highlight w:val="none"/>
        </w:rPr>
        <w:t>）</w:t>
      </w:r>
      <w:r>
        <w:rPr>
          <w:rFonts w:hint="eastAsia" w:ascii="宋体" w:hAnsi="宋体" w:cs="宋体"/>
          <w:sz w:val="21"/>
          <w:szCs w:val="21"/>
          <w:highlight w:val="none"/>
          <w:lang w:eastAsia="zh-CN"/>
        </w:rPr>
        <w:t>、</w:t>
      </w:r>
      <w:r>
        <w:rPr>
          <w:rFonts w:hint="eastAsia" w:ascii="宋体" w:hAnsi="宋体" w:cs="宋体"/>
          <w:color w:val="auto"/>
          <w:sz w:val="21"/>
          <w:szCs w:val="21"/>
          <w:highlight w:val="none"/>
          <w:lang w:eastAsia="zh-CN" w:bidi="ar"/>
        </w:rPr>
        <w:t>中国执行信息公开网（https://zxgk.court.gov.cn/）</w:t>
      </w:r>
    </w:p>
    <w:p w14:paraId="22116B4C">
      <w:pPr>
        <w:snapToGrid w:val="0"/>
        <w:spacing w:line="360" w:lineRule="auto"/>
        <w:ind w:firstLine="420" w:firstLineChars="200"/>
        <w:jc w:val="left"/>
        <w:rPr>
          <w:rFonts w:hint="eastAsia" w:ascii="宋体" w:hAnsi="宋体" w:cs="宋体"/>
          <w:sz w:val="21"/>
          <w:szCs w:val="21"/>
          <w:highlight w:val="none"/>
        </w:rPr>
      </w:pPr>
      <w:r>
        <w:rPr>
          <w:rFonts w:hint="eastAsia" w:ascii="宋体" w:hAnsi="宋体" w:cs="宋体"/>
          <w:sz w:val="21"/>
          <w:szCs w:val="21"/>
          <w:highlight w:val="none"/>
        </w:rPr>
        <w:t>（2）信用查询截止时点：资格审查结束前</w:t>
      </w:r>
    </w:p>
    <w:p w14:paraId="114E11F6">
      <w:pPr>
        <w:snapToGrid w:val="0"/>
        <w:spacing w:line="360" w:lineRule="auto"/>
        <w:ind w:firstLine="420" w:firstLineChars="200"/>
        <w:jc w:val="left"/>
        <w:rPr>
          <w:rFonts w:hint="eastAsia" w:ascii="宋体" w:hAnsi="宋体" w:cs="宋体"/>
          <w:sz w:val="21"/>
          <w:szCs w:val="21"/>
          <w:highlight w:val="none"/>
        </w:rPr>
      </w:pPr>
      <w:r>
        <w:rPr>
          <w:rFonts w:hint="eastAsia" w:ascii="宋体" w:hAnsi="宋体" w:cs="宋体"/>
          <w:sz w:val="21"/>
          <w:szCs w:val="21"/>
          <w:highlight w:val="none"/>
        </w:rPr>
        <w:t>（3）查询记录和证据留存方式：将查询网站中的查询记录截图并作为评审资料保存。</w:t>
      </w:r>
    </w:p>
    <w:p w14:paraId="7B13CB8D">
      <w:pPr>
        <w:wordWrap w:val="0"/>
        <w:topLinePunct/>
        <w:snapToGrid/>
        <w:spacing w:line="360" w:lineRule="auto"/>
        <w:ind w:firstLine="420" w:firstLineChars="200"/>
        <w:jc w:val="left"/>
        <w:rPr>
          <w:rFonts w:hint="eastAsia" w:ascii="宋体" w:hAnsi="宋体" w:cs="宋体"/>
          <w:sz w:val="21"/>
          <w:szCs w:val="21"/>
          <w:highlight w:val="none"/>
        </w:rPr>
      </w:pPr>
      <w:r>
        <w:rPr>
          <w:rFonts w:hint="eastAsia" w:ascii="宋体" w:hAnsi="宋体" w:cs="宋体"/>
          <w:sz w:val="21"/>
          <w:szCs w:val="21"/>
          <w:highlight w:val="none"/>
        </w:rPr>
        <w:t>（4）信用信息使用规则：根据财政部《关于在政府采购活动中查询及使用信用记录有关问题的通知》（财库〔2016〕125号）的规定，</w:t>
      </w:r>
      <w:r>
        <w:rPr>
          <w:rFonts w:hint="eastAsia" w:ascii="宋体" w:hAnsi="宋体" w:cs="宋体"/>
          <w:color w:val="auto"/>
          <w:sz w:val="21"/>
          <w:szCs w:val="21"/>
          <w:highlight w:val="none"/>
          <w:lang w:bidi="ar"/>
        </w:rPr>
        <w:t>对在“信用中国”网站(www.creditchina.gov.cn)、中国政府采购网(www.ccgp.gov.cn)</w:t>
      </w:r>
      <w:r>
        <w:rPr>
          <w:rFonts w:hint="eastAsia" w:ascii="宋体" w:hAnsi="宋体" w:cs="宋体"/>
          <w:color w:val="auto"/>
          <w:sz w:val="21"/>
          <w:szCs w:val="21"/>
          <w:highlight w:val="none"/>
          <w:lang w:eastAsia="zh-CN" w:bidi="ar"/>
        </w:rPr>
        <w:t>、中国执行信息公开网（https://zxgk.court.gov.cn/）</w:t>
      </w:r>
      <w:r>
        <w:rPr>
          <w:rFonts w:hint="eastAsia" w:ascii="宋体" w:hAnsi="宋体" w:cs="宋体"/>
          <w:color w:val="auto"/>
          <w:sz w:val="21"/>
          <w:szCs w:val="21"/>
          <w:highlight w:val="none"/>
          <w:lang w:bidi="ar"/>
        </w:rPr>
        <w:t>被列入失信被执行人、重大税收违法失信主体、政府采购严重违法失信行为记录名单及其他不符合《中华人民共和国政府采购法》第二十二条</w:t>
      </w:r>
      <w:r>
        <w:rPr>
          <w:rFonts w:hint="eastAsia" w:ascii="宋体" w:hAnsi="宋体" w:cs="宋体"/>
          <w:sz w:val="21"/>
          <w:szCs w:val="21"/>
          <w:highlight w:val="none"/>
        </w:rPr>
        <w:t>规定条件的供应商，不得参与政府采购活动。</w:t>
      </w:r>
    </w:p>
    <w:p w14:paraId="4174E179">
      <w:pPr>
        <w:snapToGrid w:val="0"/>
        <w:spacing w:line="360" w:lineRule="auto"/>
        <w:ind w:firstLine="420" w:firstLineChars="200"/>
        <w:jc w:val="left"/>
        <w:rPr>
          <w:rFonts w:hint="eastAsia" w:ascii="宋体" w:hAnsi="宋体" w:cs="宋体"/>
          <w:sz w:val="21"/>
          <w:szCs w:val="21"/>
          <w:highlight w:val="none"/>
        </w:rPr>
      </w:pPr>
      <w:r>
        <w:rPr>
          <w:rFonts w:hint="eastAsia" w:ascii="宋体" w:hAnsi="宋体" w:cs="宋体"/>
          <w:sz w:val="21"/>
          <w:szCs w:val="21"/>
          <w:highlight w:val="none"/>
        </w:rPr>
        <w:t>1.2资格审查标准为本磋商文件中载明对供应商资格要求的条件。资格审查采用合格制，凡符合磋商文件规定的供应商资格要求的响应文件均通过资格审查。</w:t>
      </w:r>
    </w:p>
    <w:p w14:paraId="3BFAC589">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1.3供应商有下列情形之一的，资格审查不通过，其响应文件按无效响应处理：</w:t>
      </w:r>
    </w:p>
    <w:p w14:paraId="1E78E5CC">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（1）不具备磋商文件中规定的资格要求的；</w:t>
      </w:r>
    </w:p>
    <w:p w14:paraId="1F149276">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（2）响应文件的资格证明文件缺少任一项“供应商须知前附表”资格证明文件规定的“必须提供”的文件资料的；</w:t>
      </w:r>
    </w:p>
    <w:p w14:paraId="73437A0D">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（3）响应文件中的资格证明文件出现任一项不符合“供应商须知前附表”资格证明文件规定的“必须提供”的文件资料要求或者无效的；</w:t>
      </w:r>
    </w:p>
    <w:p w14:paraId="7EAE45F8">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（4）同一合同项下的不同供应商，单位负责人为同一人或者存在直接控股、管理关系的；为本项目提供过整体设计、规范编制或者项目管理、监理、检测等服务的供应商，再参加该采购项目的其他采购活动的。</w:t>
      </w:r>
    </w:p>
    <w:p w14:paraId="7EBF4808">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1.4通过资格审查的合格供应商不足3家的，不得进入符合性审查环节，采购人或者采购代理机构应当重新开展采购活动。</w:t>
      </w:r>
    </w:p>
    <w:p w14:paraId="0B3B4E60">
      <w:pPr>
        <w:spacing w:line="360" w:lineRule="auto"/>
        <w:ind w:firstLine="422" w:firstLineChars="200"/>
        <w:rPr>
          <w:rFonts w:hint="eastAsia" w:ascii="宋体" w:hAnsi="宋体" w:cs="宋体"/>
          <w:b/>
          <w:bCs/>
          <w:sz w:val="21"/>
          <w:szCs w:val="21"/>
          <w:highlight w:val="none"/>
        </w:rPr>
      </w:pPr>
      <w:r>
        <w:rPr>
          <w:rFonts w:hint="eastAsia" w:ascii="宋体" w:hAnsi="宋体" w:cs="宋体"/>
          <w:b/>
          <w:bCs/>
          <w:sz w:val="21"/>
          <w:szCs w:val="21"/>
          <w:highlight w:val="none"/>
        </w:rPr>
        <w:t>2.符合性审查</w:t>
      </w:r>
    </w:p>
    <w:p w14:paraId="7D3A68E7">
      <w:pPr>
        <w:spacing w:line="360" w:lineRule="auto"/>
        <w:ind w:firstLine="420" w:firstLineChars="200"/>
        <w:rPr>
          <w:rFonts w:hint="eastAsia" w:ascii="宋体" w:hAnsi="宋体" w:cs="宋体"/>
          <w:sz w:val="21"/>
          <w:szCs w:val="21"/>
          <w:highlight w:val="none"/>
        </w:rPr>
      </w:pPr>
      <w:bookmarkStart w:id="31" w:name="_Hlk42528882"/>
      <w:r>
        <w:rPr>
          <w:rFonts w:hint="eastAsia" w:ascii="宋体" w:hAnsi="宋体" w:cs="宋体"/>
          <w:sz w:val="21"/>
          <w:szCs w:val="21"/>
          <w:highlight w:val="none"/>
        </w:rPr>
        <w:t>2.1由磋商小组对资格审查的合格供应商的响应文件的竞争性磋商报价、商务、技术等实质性要求进行符合性审查，以确定其是否满足磋商文件的实质性要求。</w:t>
      </w:r>
    </w:p>
    <w:bookmarkEnd w:id="31"/>
    <w:p w14:paraId="44D75051">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2.2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13310A92">
      <w:pPr>
        <w:spacing w:line="360" w:lineRule="auto"/>
        <w:ind w:firstLine="420" w:firstLineChars="200"/>
        <w:rPr>
          <w:rFonts w:hint="eastAsia" w:ascii="宋体" w:hAnsi="宋体" w:cs="宋体"/>
          <w:spacing w:val="-6"/>
          <w:sz w:val="21"/>
          <w:szCs w:val="21"/>
          <w:highlight w:val="none"/>
        </w:rPr>
      </w:pPr>
      <w:r>
        <w:rPr>
          <w:rFonts w:hint="eastAsia" w:ascii="宋体" w:hAnsi="宋体" w:cs="宋体"/>
          <w:sz w:val="21"/>
          <w:szCs w:val="21"/>
          <w:highlight w:val="none"/>
        </w:rPr>
        <w:t>2.3磋商小组要求供应商澄清、说明或者更正响应文件应当以电子澄清函形式作出。供应商的澄清、说明或者更正应当以电子回函形式按照磋商小组的要求作出明确的澄清、说明或者更正，未按磋商小组的要求作出明确澄清、说明或者更正的供应商的响应文件将按照有利于采购人的原则由磋商小组进行判定。供应商的澄清、说明或者更正必须由法定代表人或者其授权代表签字或加盖供应商公章</w:t>
      </w:r>
      <w:r>
        <w:rPr>
          <w:rFonts w:hint="eastAsia" w:ascii="宋体" w:hAnsi="宋体" w:cs="宋体"/>
          <w:spacing w:val="-6"/>
          <w:sz w:val="21"/>
          <w:szCs w:val="21"/>
          <w:highlight w:val="none"/>
        </w:rPr>
        <w:t>。供应商为自然人的，必须由本人签字并附身份证明。</w:t>
      </w:r>
    </w:p>
    <w:p w14:paraId="5B6F4008">
      <w:pPr>
        <w:spacing w:line="360" w:lineRule="auto"/>
        <w:ind w:firstLine="396" w:firstLineChars="200"/>
        <w:rPr>
          <w:rFonts w:hint="eastAsia" w:ascii="宋体" w:hAnsi="宋体" w:cs="宋体"/>
          <w:sz w:val="21"/>
          <w:szCs w:val="21"/>
          <w:highlight w:val="none"/>
        </w:rPr>
      </w:pPr>
      <w:r>
        <w:rPr>
          <w:rFonts w:hint="eastAsia" w:ascii="宋体" w:hAnsi="宋体" w:cs="宋体"/>
          <w:spacing w:val="-6"/>
          <w:sz w:val="21"/>
          <w:szCs w:val="21"/>
          <w:highlight w:val="none"/>
        </w:rPr>
        <w:t>2.4</w:t>
      </w:r>
      <w:r>
        <w:rPr>
          <w:rFonts w:hint="eastAsia" w:ascii="宋体" w:hAnsi="宋体" w:cs="宋体"/>
          <w:sz w:val="21"/>
          <w:szCs w:val="21"/>
          <w:highlight w:val="none"/>
        </w:rPr>
        <w:t xml:space="preserve">首次响应文件报价出现前后不一致的，按照下列规定修正： </w:t>
      </w:r>
    </w:p>
    <w:p w14:paraId="55F84733">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（1）响应文件中报价表内容与响应文件中相应内容不一致的，以报价表为准；</w:t>
      </w:r>
    </w:p>
    <w:p w14:paraId="30D056A1">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（2）大写金额和小写金额不一致的，以大写金额为准；</w:t>
      </w:r>
    </w:p>
    <w:p w14:paraId="439835EE">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（3）单价金额小数点或者百分比有明显错位的，以报价表的总价为准，并修改单价；</w:t>
      </w:r>
    </w:p>
    <w:p w14:paraId="4159C453">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（4）总价金额与按单价汇总金额不一致的，以单价金额计算结果为准。</w:t>
      </w:r>
    </w:p>
    <w:p w14:paraId="2BCD8E54">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同时出现两种以上不一致的，按照以上（1）-（4）规定的顺序逐条进行修正。修正后的报价经供应商确认后产生约束力，供应商不确认的，其响应文件按无效响应处理。</w:t>
      </w:r>
    </w:p>
    <w:p w14:paraId="07D9EEC2">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2.5商务技术报价评审</w:t>
      </w:r>
    </w:p>
    <w:p w14:paraId="4EA92B78">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在评审时，如发现下列情形之一的，将被视为响应文件无效响应处理：</w:t>
      </w:r>
    </w:p>
    <w:p w14:paraId="4AF56DC4">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（1）商务服务评审</w:t>
      </w:r>
    </w:p>
    <w:p w14:paraId="4480C382">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1）响应文件未按磋商文件要求签署、盖章；</w:t>
      </w:r>
    </w:p>
    <w:p w14:paraId="1AD91AC2">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 xml:space="preserve">2）委托代理人未能出具有效身份证或者出具的身份证与授权委托书中的信息不符的； </w:t>
      </w:r>
    </w:p>
    <w:p w14:paraId="15E457BA">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3）提交的磋商保证金无效的或者未按照磋商文件的规定提交磋商保证金；</w:t>
      </w:r>
    </w:p>
    <w:p w14:paraId="7406267A">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4）响应文件中的报价商务服务文件出现任一项不符合“供应商须知前附表”中“必须提供”或者“委托时必须提供”文件资料要求的规定或者提供的报价商务服务文件无效。</w:t>
      </w:r>
    </w:p>
    <w:p w14:paraId="2AFF0118">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5）商务条款中标“▲”的条款发生负偏离或者允许负偏离的条款数超过“供应商须知前附表”规定项数的；</w:t>
      </w:r>
    </w:p>
    <w:p w14:paraId="13D9C96B">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6）未对竞争性磋商有效期作出响应或者响应文件承诺的竞争性磋商有效期不满足磋商文件要求；</w:t>
      </w:r>
    </w:p>
    <w:p w14:paraId="2510BD3A">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7）响应文件的实质性内容未使用中文表述、使用计量单位不符合磋商文件要求；</w:t>
      </w:r>
    </w:p>
    <w:p w14:paraId="0E382C1F">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8）响应文件中的文件资料因填写不齐全或者内容虚假或者出现其他情形而导致被磋商小组认定无效；</w:t>
      </w:r>
    </w:p>
    <w:p w14:paraId="1C0150C5">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9）响应文件含有采购人不能接受的附加条件；</w:t>
      </w:r>
    </w:p>
    <w:p w14:paraId="79844F2F">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10）属于“供应商须知正文”第7.5条情形；</w:t>
      </w:r>
    </w:p>
    <w:p w14:paraId="63DEB210">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11）技术要求中标“▲”的条款发生负偏离或允许负偏离的条款数超过“供应商须知前附表”规定项数的；</w:t>
      </w:r>
    </w:p>
    <w:p w14:paraId="7161F08B">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12）虚假响应，或者出现其他情形而导致被磋商小组认定无效；</w:t>
      </w:r>
    </w:p>
    <w:p w14:paraId="5555F171">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13）</w:t>
      </w:r>
      <w:bookmarkStart w:id="32" w:name="_Hlk71704147"/>
      <w:r>
        <w:rPr>
          <w:rFonts w:hint="eastAsia" w:ascii="宋体" w:hAnsi="宋体" w:cs="宋体"/>
          <w:sz w:val="21"/>
          <w:szCs w:val="21"/>
          <w:highlight w:val="none"/>
        </w:rPr>
        <w:t>磋商文件未载明允许提供备选（替代）响应方案或明确不允许提供备选（替代）响应方案时，供应商提供了备选（替代）响应方案的；</w:t>
      </w:r>
      <w:bookmarkEnd w:id="32"/>
    </w:p>
    <w:p w14:paraId="5D1C5A16">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14）响应文件标注的项目名称或者项目编号与磋商文件标注的项目名称或者项目编号不一致的；</w:t>
      </w:r>
    </w:p>
    <w:p w14:paraId="23B8D643">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15）竞争性磋商文件明确不允许分包，响应文件拟分包的；</w:t>
      </w:r>
    </w:p>
    <w:p w14:paraId="05007AC5">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16）未响应磋商文件实质性要求；</w:t>
      </w:r>
    </w:p>
    <w:p w14:paraId="7E729468">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17）法律、法规和磋商文件规定的其他无效情形。</w:t>
      </w:r>
    </w:p>
    <w:p w14:paraId="0CB44681">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（2）报价评审</w:t>
      </w:r>
    </w:p>
    <w:p w14:paraId="7B018BEA">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1）响应文件未提供“供应商须知前附表”报价商务服务文件中规定的“竞争性磋商报价表”；</w:t>
      </w:r>
    </w:p>
    <w:p w14:paraId="05619409">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2）未采用人民币报价或者未按照磋商文件标明的币种报价；</w:t>
      </w:r>
    </w:p>
    <w:p w14:paraId="0B78D2D9">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3）供应商未就所参与竞争性磋商分标进行报价或者存在漏项报价；供应商未就所参与竞争性磋商分标的单项内容作唯一报价；供应商未就所参与竞争性磋商分标的全部内容作完整唯一总价报价；供应商响应文件中存在有选择、有条件报价的（磋商文件允许有备选方案或者其他约定的除外）；</w:t>
      </w:r>
    </w:p>
    <w:p w14:paraId="5A5E60FB">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4）竞争性磋商报价（包含首次报价、最后报价）超过所参与竞争性磋商分标规定的采购预算金额或者最高限价的（如本项目公布了最高限价），其响应文件将按无效响应处理；</w:t>
      </w:r>
    </w:p>
    <w:p w14:paraId="5BBE4FDD">
      <w:pPr>
        <w:spacing w:line="360" w:lineRule="auto"/>
        <w:ind w:firstLine="420" w:firstLineChars="200"/>
        <w:rPr>
          <w:rFonts w:hint="eastAsia" w:ascii="宋体" w:hAnsi="宋体" w:cs="宋体"/>
          <w:szCs w:val="21"/>
          <w:highlight w:val="none"/>
        </w:rPr>
      </w:pPr>
      <w:r>
        <w:rPr>
          <w:rFonts w:hint="eastAsia" w:ascii="宋体" w:hAnsi="宋体" w:cs="宋体"/>
          <w:sz w:val="21"/>
          <w:szCs w:val="21"/>
          <w:highlight w:val="none"/>
        </w:rPr>
        <w:t>5）竞争性磋商报价（包含首次报价、最后报价）超过分项采购预算金额或者最高限价的（如本项目公布了最高限价），其响应文件将按无效处理；</w:t>
      </w:r>
    </w:p>
    <w:p w14:paraId="13020AC8">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6）修正后的报价，供应商不确认的；或者经供应商确认修正后的最后报价超过所 竞争性磋商分标规定的采购预算金额或者最高限价（如本项目公布了最高限价）；</w:t>
      </w:r>
    </w:p>
    <w:p w14:paraId="50644D02">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7）响应文件响应的标的数量及单位与竞争性磋商采购文件要求实质性不一致的。</w:t>
      </w:r>
    </w:p>
    <w:p w14:paraId="32EB21F7">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2.6磋商小组对响应文件进行评审，未实质性响应磋商文件的响应文件按无效响应处理，磋商小组应当将资格和符合性不通过的情况告知有关供应商。磋商小组从符合磋商文件规定的相应资格条件的供应商名单中确定不少于3家的供应商参加磋商。</w:t>
      </w:r>
    </w:p>
    <w:p w14:paraId="0182CB37">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2.7非政府购买服务项目，通过符合性审查的合格供应商不足3家的，不得进入磋商环节，采购人或者采购代理机构应当重新开展采购活动。</w:t>
      </w:r>
      <w:r>
        <w:rPr>
          <w:rFonts w:hint="eastAsia" w:ascii="宋体" w:hAnsi="宋体" w:cs="宋体"/>
          <w:b/>
          <w:sz w:val="21"/>
          <w:szCs w:val="21"/>
          <w:highlight w:val="none"/>
        </w:rPr>
        <w:t>政府购买服务项目，按《财政部关于政府采购竞争性磋商采购方式管理暂行办法有关问题的补充通知》（财库〔2015〕124号）规定，采购过程中通过符合性审查的供应商（社会资本）只有2家的，磋商采购活动可以继续进行。</w:t>
      </w:r>
    </w:p>
    <w:p w14:paraId="11BA9F3A">
      <w:pPr>
        <w:spacing w:line="360" w:lineRule="auto"/>
        <w:ind w:firstLine="422" w:firstLineChars="200"/>
        <w:rPr>
          <w:rFonts w:hint="eastAsia" w:ascii="宋体" w:hAnsi="宋体" w:cs="宋体"/>
          <w:b/>
          <w:bCs/>
          <w:sz w:val="21"/>
          <w:szCs w:val="21"/>
          <w:highlight w:val="none"/>
        </w:rPr>
      </w:pPr>
      <w:r>
        <w:rPr>
          <w:rFonts w:hint="eastAsia" w:ascii="宋体" w:hAnsi="宋体" w:cs="宋体"/>
          <w:b/>
          <w:bCs/>
          <w:sz w:val="21"/>
          <w:szCs w:val="21"/>
          <w:highlight w:val="none"/>
        </w:rPr>
        <w:t>3.磋商程序</w:t>
      </w:r>
    </w:p>
    <w:p w14:paraId="3F7B27EC">
      <w:pPr>
        <w:spacing w:line="360" w:lineRule="auto"/>
        <w:ind w:firstLine="420" w:firstLineChars="200"/>
        <w:rPr>
          <w:rFonts w:hint="eastAsia" w:ascii="宋体" w:hAnsi="宋体" w:cs="宋体"/>
          <w:sz w:val="21"/>
          <w:szCs w:val="21"/>
          <w:highlight w:val="none"/>
        </w:rPr>
      </w:pPr>
      <w:r>
        <w:rPr>
          <w:rFonts w:hint="eastAsia" w:ascii="宋体" w:hAnsi="宋体" w:cs="宋体"/>
          <w:kern w:val="0"/>
          <w:sz w:val="21"/>
          <w:szCs w:val="21"/>
          <w:highlight w:val="none"/>
        </w:rPr>
        <w:t>3.1磋商小组按照“供应商须知前附表”确定的</w:t>
      </w:r>
      <w:r>
        <w:rPr>
          <w:rFonts w:hint="eastAsia" w:ascii="宋体" w:hAnsi="宋体" w:cs="宋体"/>
          <w:sz w:val="21"/>
          <w:szCs w:val="21"/>
          <w:highlight w:val="none"/>
        </w:rPr>
        <w:t>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14:paraId="72B76262">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3.2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00464370">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3.3对磋商文件作出的实质性变动是磋商文件的有效组成部分，由磋商小组及时以电子磋商记录形式同时通知所有参加磋商的供应商。</w:t>
      </w:r>
    </w:p>
    <w:p w14:paraId="2295E0A7">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3.4供应商必须按照磋商文件的变动情况和磋商小组的要求以电子回函的形式重新提交响应文件，并由其法定代表人或者授权代表签字或者加盖供应商公章。供应商为自然人的，必须由本人签字并附身份证明。参加磋商的供应商未在规定时间内以电子回函的形式重新提交响应文件的，视同退出磋商。</w:t>
      </w:r>
    </w:p>
    <w:p w14:paraId="6AD82CA6">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3.5磋商中，</w:t>
      </w:r>
      <w:r>
        <w:rPr>
          <w:rFonts w:hint="eastAsia" w:ascii="宋体" w:hAnsi="宋体" w:cs="宋体"/>
          <w:spacing w:val="-6"/>
          <w:sz w:val="21"/>
          <w:szCs w:val="21"/>
          <w:highlight w:val="none"/>
        </w:rPr>
        <w:t>磋商的任何一方不得透露与磋商有关的其他供应商的技术资料、价格和其他信息。</w:t>
      </w:r>
    </w:p>
    <w:p w14:paraId="0235DD8F">
      <w:pPr>
        <w:tabs>
          <w:tab w:val="left" w:pos="2835"/>
        </w:tabs>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3.6对磋商过程提交的响应文件进行有效性、完整性和响应程度审查，通过审查的合格供应商不足3家的，采购人或者采购代理机构应当重新开展采购活动。</w:t>
      </w:r>
    </w:p>
    <w:p w14:paraId="7AC09EC9">
      <w:pPr>
        <w:widowControl/>
        <w:tabs>
          <w:tab w:val="left" w:pos="540"/>
        </w:tabs>
        <w:spacing w:line="360" w:lineRule="auto"/>
        <w:ind w:firstLine="420" w:firstLineChars="200"/>
        <w:jc w:val="left"/>
        <w:rPr>
          <w:rFonts w:hint="eastAsia" w:ascii="宋体" w:hAnsi="宋体" w:cs="宋体"/>
          <w:sz w:val="21"/>
          <w:szCs w:val="21"/>
          <w:highlight w:val="none"/>
        </w:rPr>
      </w:pPr>
      <w:r>
        <w:rPr>
          <w:rFonts w:hint="eastAsia" w:ascii="宋体" w:hAnsi="宋体" w:cs="宋体"/>
          <w:sz w:val="21"/>
          <w:szCs w:val="21"/>
          <w:highlight w:val="none"/>
        </w:rPr>
        <w:t>3.7根据《财政部关于政府采购竞争性磋商采购方式管理暂行办法有关问题的补充通知》（财库〔2015〕124号）的规定，采用竞争性磋商采购方式采购的政府购买服务项目（含政府和社会资本合作项目），在采购过程中符合要求的供应商（社会资本）只有2家的，竞争性磋商采购活动可以继续进行。</w:t>
      </w:r>
    </w:p>
    <w:p w14:paraId="67817729">
      <w:pPr>
        <w:widowControl/>
        <w:tabs>
          <w:tab w:val="left" w:pos="540"/>
        </w:tabs>
        <w:spacing w:line="360" w:lineRule="auto"/>
        <w:ind w:firstLine="420" w:firstLineChars="200"/>
        <w:jc w:val="left"/>
        <w:rPr>
          <w:rFonts w:hint="eastAsia" w:ascii="宋体" w:hAnsi="宋体" w:cs="宋体"/>
          <w:sz w:val="21"/>
          <w:szCs w:val="21"/>
          <w:highlight w:val="none"/>
        </w:rPr>
      </w:pPr>
      <w:r>
        <w:rPr>
          <w:rFonts w:hint="eastAsia" w:ascii="宋体" w:hAnsi="宋体" w:cs="宋体"/>
          <w:sz w:val="21"/>
          <w:szCs w:val="21"/>
          <w:highlight w:val="none"/>
        </w:rPr>
        <w:t>采购过程中符合要求的供应商（社会资本）只有1家的，采购人（项目实施机构）或者采购代理机构应当终止竞争性磋商采购活动，发布项目终止公告并说明原因，重新开展采购活动。</w:t>
      </w:r>
    </w:p>
    <w:p w14:paraId="6CC55349">
      <w:pPr>
        <w:spacing w:line="360" w:lineRule="auto"/>
        <w:ind w:firstLine="422" w:firstLineChars="200"/>
        <w:rPr>
          <w:rFonts w:hint="eastAsia" w:ascii="宋体" w:hAnsi="宋体" w:cs="宋体"/>
          <w:sz w:val="21"/>
          <w:szCs w:val="21"/>
          <w:highlight w:val="none"/>
        </w:rPr>
      </w:pPr>
      <w:r>
        <w:rPr>
          <w:rFonts w:hint="eastAsia" w:ascii="宋体" w:hAnsi="宋体" w:cs="宋体"/>
          <w:b/>
          <w:bCs/>
          <w:sz w:val="21"/>
          <w:szCs w:val="21"/>
          <w:highlight w:val="none"/>
        </w:rPr>
        <w:t>4.最后报价</w:t>
      </w:r>
    </w:p>
    <w:p w14:paraId="6918FDDF">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4.1磋商文件能够详细列明技术、服务要求的，磋商结束后，由磋商小组要求所有继续参加磋商的供应商在规定时间内以电子文件形式提交最后报价，</w:t>
      </w:r>
      <w:r>
        <w:rPr>
          <w:rFonts w:hint="eastAsia" w:ascii="宋体" w:hAnsi="宋体" w:cs="宋体"/>
          <w:b/>
          <w:sz w:val="21"/>
          <w:szCs w:val="21"/>
          <w:highlight w:val="none"/>
        </w:rPr>
        <w:t>除本章第2.7、3.7、4.3条外，提交最后报价的供应商不得少于3家，否则必须重新采购。</w:t>
      </w:r>
    </w:p>
    <w:p w14:paraId="7ED032A5">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4.2磋商文件不能详细列明技术、服务要求，需经磋商由供应商提供最后设计方案或者解决方案的，磋商结束后，由磋商小组按照少数服从多数的原则投票推荐3家以上供应商的设计方案或者解决方案，并要求其在规定时间内以电子文件形式提交最后报价。</w:t>
      </w:r>
    </w:p>
    <w:p w14:paraId="1433CD98">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4.3最后报价是供应商响应文件的有效组成部分。</w:t>
      </w:r>
      <w:r>
        <w:rPr>
          <w:rFonts w:hint="eastAsia" w:ascii="宋体" w:hAnsi="宋体" w:cs="宋体"/>
          <w:b/>
          <w:sz w:val="21"/>
          <w:szCs w:val="21"/>
          <w:highlight w:val="none"/>
        </w:rPr>
        <w:t>符合《政府采购竞争性磋商采购方式管理暂行办法》（财库〔2014〕214号）第三条第四项“市场竞争不充分的科研项目，以及需要扶持的科技成果转化项目”和本章第3.7条情形的，提交最后报价的供应商可以为2家。</w:t>
      </w:r>
    </w:p>
    <w:p w14:paraId="2262F831">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4.4已经提交响应文件的供应商，在提交最后报价之前，可以根据磋商情况退出磋商，退出磋商的供应商的响应文件按无效响应处理。采购人、采购代理机构将退还退出磋商的供应商的保证金。</w:t>
      </w:r>
    </w:p>
    <w:p w14:paraId="49D83D93">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4.5供应商未在规定时间内提交最后报价的，视同退出磋商。</w:t>
      </w:r>
    </w:p>
    <w:p w14:paraId="07BF1F13">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4.6磋商小组收齐某一分标最后报价后或达到规定时间后统一开启，磋商小组对最后报价进行有效性、完整性和响应程度的审查。</w:t>
      </w:r>
    </w:p>
    <w:p w14:paraId="4A17DA3E">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 xml:space="preserve">4.7响应文件最后报价出现前后不一致的，按照本章第2.4条的规定修正。 </w:t>
      </w:r>
    </w:p>
    <w:p w14:paraId="101C5B29">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4.8经供应商确认修正后的最后报价作为评审及签订合同的依据。</w:t>
      </w:r>
    </w:p>
    <w:p w14:paraId="2AE1F72F">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4.9供应商出现最后报价按无效响应处理或者响应文件按无效响应处理时，磋商小组应当告知有关供应商。</w:t>
      </w:r>
    </w:p>
    <w:p w14:paraId="39D47DE6">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4.10最后报价结束后，磋商小组不得再与供应商进行任何形式的商谈。</w:t>
      </w:r>
    </w:p>
    <w:p w14:paraId="27EEA065">
      <w:pPr>
        <w:spacing w:line="360" w:lineRule="auto"/>
        <w:ind w:firstLine="422" w:firstLineChars="200"/>
        <w:rPr>
          <w:rFonts w:hint="eastAsia" w:ascii="宋体" w:hAnsi="宋体" w:cs="宋体"/>
          <w:b/>
          <w:bCs/>
          <w:sz w:val="21"/>
          <w:szCs w:val="21"/>
          <w:highlight w:val="none"/>
        </w:rPr>
      </w:pPr>
      <w:r>
        <w:rPr>
          <w:rFonts w:hint="eastAsia" w:ascii="宋体" w:hAnsi="宋体" w:cs="宋体"/>
          <w:b/>
          <w:bCs/>
          <w:sz w:val="21"/>
          <w:szCs w:val="21"/>
          <w:highlight w:val="none"/>
        </w:rPr>
        <w:t>5.比较与评价</w:t>
      </w:r>
    </w:p>
    <w:p w14:paraId="088C133E">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5.1评审方法：综合评分法。</w:t>
      </w:r>
    </w:p>
    <w:p w14:paraId="00CAEF1E">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5.2经磋商确定最终采购需求和提交最后报价的供应商后，由磋商小组采用综合评分法对提交最后报价的供应商的响应文件和最后报价进行综合评分。</w:t>
      </w:r>
    </w:p>
    <w:p w14:paraId="04441138">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5.3评审时，磋商小组各成员应当独立对每个有效响应的文件进行评价、打分，然后汇总每个供应商每项评分因素的得分。</w:t>
      </w:r>
    </w:p>
    <w:p w14:paraId="774ACB1A">
      <w:pPr>
        <w:snapToGrid w:val="0"/>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（1）政府采购评审中出现下列情形之一的，磋商小组应当启动异常低价投标（响应）审查程序：</w:t>
      </w:r>
    </w:p>
    <w:p w14:paraId="0B5E8E2C">
      <w:pPr>
        <w:snapToGrid w:val="0"/>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1）投标（响应）报价低于全部通过符合性审查供应商投标（响应）报价平均值</w:t>
      </w:r>
      <w:r>
        <w:rPr>
          <w:rFonts w:hint="eastAsia" w:ascii="宋体" w:hAnsi="宋体" w:cs="宋体"/>
          <w:sz w:val="21"/>
          <w:szCs w:val="21"/>
          <w:highlight w:val="none"/>
          <w:lang w:val="en-US" w:eastAsia="zh-CN"/>
        </w:rPr>
        <w:t>50</w:t>
      </w:r>
      <w:r>
        <w:rPr>
          <w:rFonts w:hint="eastAsia" w:ascii="宋体" w:hAnsi="宋体" w:cs="宋体"/>
          <w:sz w:val="21"/>
          <w:szCs w:val="21"/>
          <w:highlight w:val="none"/>
        </w:rPr>
        <w:t>%的，即投标（响应）报价&lt;全部通过符合性审查供应商投标（响应）报价平均值×</w:t>
      </w:r>
      <w:r>
        <w:rPr>
          <w:rFonts w:hint="eastAsia" w:ascii="宋体" w:hAnsi="宋体" w:cs="宋体"/>
          <w:sz w:val="21"/>
          <w:szCs w:val="21"/>
          <w:highlight w:val="none"/>
          <w:lang w:val="en-US" w:eastAsia="zh-CN"/>
        </w:rPr>
        <w:t>50</w:t>
      </w:r>
      <w:r>
        <w:rPr>
          <w:rFonts w:hint="eastAsia" w:ascii="宋体" w:hAnsi="宋体" w:cs="宋体"/>
          <w:sz w:val="21"/>
          <w:szCs w:val="21"/>
          <w:highlight w:val="none"/>
        </w:rPr>
        <w:t>%；</w:t>
      </w:r>
    </w:p>
    <w:p w14:paraId="4580ECD9">
      <w:pPr>
        <w:snapToGrid w:val="0"/>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2）投标（响应）报价低于通过符合性审查的次低报价供应商投标（响应）报价</w:t>
      </w:r>
      <w:r>
        <w:rPr>
          <w:rFonts w:hint="eastAsia" w:ascii="宋体" w:hAnsi="宋体" w:cs="宋体"/>
          <w:sz w:val="21"/>
          <w:szCs w:val="21"/>
          <w:highlight w:val="none"/>
          <w:lang w:val="en-US" w:eastAsia="zh-CN"/>
        </w:rPr>
        <w:t>50</w:t>
      </w:r>
      <w:r>
        <w:rPr>
          <w:rFonts w:hint="eastAsia" w:ascii="宋体" w:hAnsi="宋体" w:cs="宋体"/>
          <w:sz w:val="21"/>
          <w:szCs w:val="21"/>
          <w:highlight w:val="none"/>
        </w:rPr>
        <w:t>%的，即投标（响应）报价&lt;通过符合性审查的次低报价供应商投标（响应）报价×</w:t>
      </w:r>
      <w:r>
        <w:rPr>
          <w:rFonts w:hint="eastAsia" w:ascii="宋体" w:hAnsi="宋体" w:cs="宋体"/>
          <w:sz w:val="21"/>
          <w:szCs w:val="21"/>
          <w:highlight w:val="none"/>
          <w:lang w:val="en-US" w:eastAsia="zh-CN"/>
        </w:rPr>
        <w:t>50</w:t>
      </w:r>
      <w:r>
        <w:rPr>
          <w:rFonts w:hint="eastAsia" w:ascii="宋体" w:hAnsi="宋体" w:cs="宋体"/>
          <w:sz w:val="21"/>
          <w:szCs w:val="21"/>
          <w:highlight w:val="none"/>
        </w:rPr>
        <w:t>%；</w:t>
      </w:r>
    </w:p>
    <w:p w14:paraId="7E0B29E1">
      <w:pPr>
        <w:snapToGrid w:val="0"/>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3）投标（响应）报价低于采购项目最高限</w:t>
      </w:r>
      <w:r>
        <w:rPr>
          <w:rFonts w:hint="eastAsia" w:ascii="宋体" w:hAnsi="宋体" w:cs="宋体"/>
          <w:sz w:val="21"/>
          <w:szCs w:val="21"/>
          <w:highlight w:val="none"/>
          <w:lang w:val="en-US" w:eastAsia="zh-CN"/>
        </w:rPr>
        <w:t>45</w:t>
      </w:r>
      <w:r>
        <w:rPr>
          <w:rFonts w:hint="eastAsia" w:ascii="宋体" w:hAnsi="宋体" w:cs="宋体"/>
          <w:sz w:val="21"/>
          <w:szCs w:val="21"/>
          <w:highlight w:val="none"/>
        </w:rPr>
        <w:t>%的，即投标（响应）报价&lt;采购项目最高限价×</w:t>
      </w:r>
      <w:r>
        <w:rPr>
          <w:rFonts w:hint="eastAsia" w:ascii="宋体" w:hAnsi="宋体" w:cs="宋体"/>
          <w:sz w:val="21"/>
          <w:szCs w:val="21"/>
          <w:highlight w:val="none"/>
          <w:lang w:val="en-US" w:eastAsia="zh-CN"/>
        </w:rPr>
        <w:t>45</w:t>
      </w:r>
      <w:r>
        <w:rPr>
          <w:rFonts w:hint="eastAsia" w:ascii="宋体" w:hAnsi="宋体" w:cs="宋体"/>
          <w:sz w:val="21"/>
          <w:szCs w:val="21"/>
          <w:highlight w:val="none"/>
        </w:rPr>
        <w:t>%；</w:t>
      </w:r>
    </w:p>
    <w:p w14:paraId="0D528FE8">
      <w:pPr>
        <w:snapToGrid w:val="0"/>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4）磋商小组基于专业判断，认为供应商报价过低，有可能影响产品质量或者不能诚信履约的其他情形。</w:t>
      </w:r>
    </w:p>
    <w:p w14:paraId="336771CD">
      <w:pPr>
        <w:snapToGrid w:val="0"/>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磋商小组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228599FE">
      <w:pPr>
        <w:snapToGrid w:val="0"/>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磋商小组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磋商小组应当将其作为无效投标（响应）处理。</w:t>
      </w:r>
    </w:p>
    <w:p w14:paraId="7A717AEA">
      <w:pPr>
        <w:snapToGrid w:val="0"/>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采购人、采购代理机构应当为评审委员会在评审现场及时获取同类项目中标（成交）价格、类似产品市场价格水平、行业人工费用标准、国家有关部门指导行业协会发布的行业平均成本等相关信息资料提供便利。磋商小组借助互联网等渠道查询相关信息的，应当严格遵守评审工作纪律，不得实施影响评审公正的行为。</w:t>
      </w:r>
    </w:p>
    <w:p w14:paraId="52CDE372">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异常低价投标（响应）审查的启动原因、审查意见和审查结果应当在评审报告中记录，并随供应商提供的相关书面说明及证明材料，以及磋商小组有关互联网浏览、查询历史一并归档。</w:t>
      </w:r>
    </w:p>
    <w:p w14:paraId="4255311D">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（2）磋商小组按照磋商文件中规定的评审标准计算各供应商的报价得分。项目评审过程中，不得去掉最后报价中的最高报价和最低报价。</w:t>
      </w:r>
    </w:p>
    <w:p w14:paraId="594A0B78">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（3）各供应商的得分为磋商小组所有成员的有效评分的算术平均数。</w:t>
      </w:r>
    </w:p>
    <w:p w14:paraId="08A6E4B2">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5.4评标价为供应商的最后报价进行政策性扣除后的价格，评标价只是作为评审时使用。最终成交供应商的成交金额等于最后报价（如有修正，以确认修正后的最后报价为准）。</w:t>
      </w:r>
    </w:p>
    <w:p w14:paraId="05A03BF0">
      <w:pPr>
        <w:spacing w:line="360" w:lineRule="auto"/>
        <w:ind w:firstLine="420" w:firstLineChars="200"/>
        <w:rPr>
          <w:rFonts w:hint="eastAsia" w:ascii="宋体" w:hAnsi="宋体" w:cs="宋体"/>
          <w:kern w:val="0"/>
          <w:sz w:val="21"/>
          <w:szCs w:val="21"/>
          <w:highlight w:val="none"/>
        </w:rPr>
      </w:pPr>
      <w:r>
        <w:rPr>
          <w:rFonts w:hint="eastAsia" w:ascii="宋体" w:hAnsi="宋体" w:cs="宋体"/>
          <w:sz w:val="21"/>
          <w:szCs w:val="21"/>
          <w:highlight w:val="none"/>
        </w:rPr>
        <w:t>5.5由磋商小组根据综合评分情况，按照评审得分由高到低顺序推荐3名以上成交候选供应商，并编写评</w:t>
      </w:r>
      <w:r>
        <w:rPr>
          <w:rFonts w:hint="eastAsia" w:ascii="宋体" w:hAnsi="宋体" w:cs="宋体"/>
          <w:kern w:val="0"/>
          <w:sz w:val="21"/>
          <w:szCs w:val="21"/>
          <w:highlight w:val="none"/>
        </w:rPr>
        <w:t>审报告。</w:t>
      </w:r>
      <w:r>
        <w:rPr>
          <w:rFonts w:hint="eastAsia" w:ascii="宋体" w:hAnsi="宋体" w:cs="宋体"/>
          <w:b/>
          <w:kern w:val="0"/>
          <w:sz w:val="21"/>
          <w:szCs w:val="21"/>
          <w:highlight w:val="none"/>
        </w:rPr>
        <w:t>符合本章第</w:t>
      </w:r>
      <w:r>
        <w:rPr>
          <w:rFonts w:hint="eastAsia" w:ascii="宋体" w:hAnsi="宋体" w:cs="宋体"/>
          <w:b/>
          <w:sz w:val="21"/>
          <w:szCs w:val="21"/>
          <w:highlight w:val="none"/>
        </w:rPr>
        <w:t>2.7、3.7、4.3</w:t>
      </w:r>
      <w:r>
        <w:rPr>
          <w:rFonts w:hint="eastAsia" w:ascii="宋体" w:hAnsi="宋体" w:cs="宋体"/>
          <w:b/>
          <w:kern w:val="0"/>
          <w:sz w:val="21"/>
          <w:szCs w:val="21"/>
          <w:highlight w:val="none"/>
        </w:rPr>
        <w:t>条情形的，可以推荐2家成交候选供应商。</w:t>
      </w:r>
      <w:r>
        <w:rPr>
          <w:rFonts w:hint="eastAsia" w:ascii="宋体" w:hAnsi="宋体" w:cs="宋体"/>
          <w:kern w:val="0"/>
          <w:sz w:val="21"/>
          <w:szCs w:val="21"/>
          <w:highlight w:val="none"/>
        </w:rPr>
        <w:t>评审得分相同的，按照最后报价由低到高的顺序推荐。评审得分且最后报价相同的，</w:t>
      </w:r>
      <w:r>
        <w:rPr>
          <w:rFonts w:hint="eastAsia" w:ascii="宋体" w:hAnsi="宋体" w:cs="宋体"/>
          <w:sz w:val="21"/>
          <w:szCs w:val="21"/>
          <w:highlight w:val="none"/>
        </w:rPr>
        <w:t>依次按服务评分高的优先、商务评分高的优先的顺序确定成交候选供应商。</w:t>
      </w:r>
    </w:p>
    <w:p w14:paraId="6F280D4C">
      <w:pPr>
        <w:spacing w:line="360" w:lineRule="auto"/>
        <w:ind w:firstLine="420" w:firstLineChars="200"/>
        <w:rPr>
          <w:rFonts w:hint="eastAsia" w:ascii="宋体" w:hAnsi="宋体" w:cs="宋体"/>
          <w:sz w:val="21"/>
          <w:szCs w:val="21"/>
          <w:highlight w:val="none"/>
        </w:rPr>
      </w:pPr>
      <w:r>
        <w:rPr>
          <w:rFonts w:hint="eastAsia" w:ascii="宋体" w:hAnsi="宋体" w:cs="宋体"/>
          <w:kern w:val="0"/>
          <w:sz w:val="21"/>
          <w:szCs w:val="21"/>
          <w:highlight w:val="none"/>
        </w:rPr>
        <w:t>5.6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6E9315C4">
      <w:pPr>
        <w:spacing w:line="360" w:lineRule="auto"/>
        <w:jc w:val="center"/>
        <w:rPr>
          <w:rFonts w:ascii="宋体" w:hAnsi="宋体" w:cs="宋体"/>
          <w:b/>
          <w:sz w:val="32"/>
          <w:szCs w:val="32"/>
          <w:highlight w:val="none"/>
        </w:rPr>
      </w:pPr>
      <w:r>
        <w:rPr>
          <w:rFonts w:hint="eastAsia" w:ascii="宋体" w:hAnsi="宋体" w:cs="宋体"/>
          <w:b/>
          <w:sz w:val="24"/>
          <w:highlight w:val="none"/>
        </w:rPr>
        <w:br w:type="page"/>
      </w:r>
      <w:r>
        <w:rPr>
          <w:rFonts w:hint="eastAsia" w:ascii="宋体" w:hAnsi="宋体" w:cs="宋体"/>
          <w:b/>
          <w:sz w:val="32"/>
          <w:szCs w:val="32"/>
          <w:highlight w:val="none"/>
        </w:rPr>
        <w:t>二、评审标准</w:t>
      </w:r>
    </w:p>
    <w:p w14:paraId="1BB6F578">
      <w:pPr>
        <w:spacing w:line="360" w:lineRule="auto"/>
        <w:ind w:firstLine="420" w:firstLineChars="200"/>
        <w:rPr>
          <w:rFonts w:ascii="宋体" w:hAnsi="宋体" w:cs="宋体"/>
          <w:bCs/>
          <w:sz w:val="21"/>
          <w:szCs w:val="21"/>
          <w:highlight w:val="none"/>
        </w:rPr>
      </w:pPr>
      <w:r>
        <w:rPr>
          <w:rFonts w:ascii="宋体" w:hAnsi="宋体" w:cs="宋体"/>
          <w:bCs/>
          <w:sz w:val="21"/>
          <w:szCs w:val="21"/>
          <w:highlight w:val="none"/>
        </w:rPr>
        <w:t>评审依据：磋商小组将以磋商响应文件为评审依据，对供应商的报价、商务</w:t>
      </w:r>
      <w:r>
        <w:rPr>
          <w:rFonts w:hint="eastAsia" w:ascii="宋体" w:hAnsi="宋体" w:cs="宋体"/>
          <w:bCs/>
          <w:sz w:val="21"/>
          <w:szCs w:val="21"/>
          <w:highlight w:val="none"/>
        </w:rPr>
        <w:t>、服务要求</w:t>
      </w:r>
      <w:r>
        <w:rPr>
          <w:rFonts w:ascii="宋体" w:hAnsi="宋体" w:cs="宋体"/>
          <w:bCs/>
          <w:sz w:val="21"/>
          <w:szCs w:val="21"/>
          <w:highlight w:val="none"/>
        </w:rPr>
        <w:t>等方面内容按百分制打分。（计分方法按四舍五入取至百分位）</w:t>
      </w:r>
    </w:p>
    <w:tbl>
      <w:tblPr>
        <w:tblStyle w:val="32"/>
        <w:tblW w:w="9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418"/>
        <w:gridCol w:w="1722"/>
        <w:gridCol w:w="5876"/>
      </w:tblGrid>
      <w:tr w14:paraId="6F973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20" w:type="dxa"/>
            <w:gridSpan w:val="4"/>
            <w:tcBorders>
              <w:top w:val="single" w:color="auto" w:sz="4" w:space="0"/>
              <w:left w:val="single" w:color="auto" w:sz="4" w:space="0"/>
              <w:bottom w:val="single" w:color="auto" w:sz="4" w:space="0"/>
              <w:right w:val="single" w:color="auto" w:sz="4" w:space="0"/>
            </w:tcBorders>
            <w:vAlign w:val="center"/>
          </w:tcPr>
          <w:p w14:paraId="557037D3">
            <w:pPr>
              <w:adjustRightInd w:val="0"/>
              <w:spacing w:line="360" w:lineRule="auto"/>
              <w:jc w:val="center"/>
              <w:textAlignment w:val="baseline"/>
              <w:rPr>
                <w:rFonts w:hAnsi="宋体" w:cs="宋体"/>
                <w:b/>
                <w:bCs/>
                <w:color w:val="auto"/>
                <w:kern w:val="2"/>
                <w:sz w:val="21"/>
                <w:szCs w:val="21"/>
                <w:highlight w:val="none"/>
              </w:rPr>
            </w:pPr>
            <w:r>
              <w:rPr>
                <w:rFonts w:hint="eastAsia" w:ascii="宋体" w:hAnsi="宋体" w:cs="宋体"/>
                <w:b/>
                <w:bCs/>
                <w:color w:val="auto"/>
                <w:sz w:val="21"/>
                <w:szCs w:val="21"/>
                <w:highlight w:val="none"/>
                <w:lang w:val="en-US" w:eastAsia="zh-CN"/>
              </w:rPr>
              <w:t>标项一、评审标准</w:t>
            </w:r>
          </w:p>
        </w:tc>
      </w:tr>
      <w:tr w14:paraId="0FE5C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32DF5BE4">
            <w:pPr>
              <w:adjustRightInd w:val="0"/>
              <w:spacing w:line="360" w:lineRule="auto"/>
              <w:jc w:val="center"/>
              <w:textAlignment w:val="baseline"/>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序号</w:t>
            </w:r>
          </w:p>
        </w:tc>
        <w:tc>
          <w:tcPr>
            <w:tcW w:w="1418" w:type="dxa"/>
            <w:tcBorders>
              <w:top w:val="single" w:color="auto" w:sz="4" w:space="0"/>
              <w:left w:val="single" w:color="auto" w:sz="4" w:space="0"/>
              <w:bottom w:val="single" w:color="auto" w:sz="4" w:space="0"/>
              <w:right w:val="single" w:color="auto" w:sz="4" w:space="0"/>
            </w:tcBorders>
            <w:vAlign w:val="center"/>
          </w:tcPr>
          <w:p w14:paraId="666B18EB">
            <w:pPr>
              <w:adjustRightInd w:val="0"/>
              <w:spacing w:line="360" w:lineRule="auto"/>
              <w:jc w:val="center"/>
              <w:textAlignment w:val="baseline"/>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评审因素</w:t>
            </w:r>
          </w:p>
        </w:tc>
        <w:tc>
          <w:tcPr>
            <w:tcW w:w="1722" w:type="dxa"/>
            <w:tcBorders>
              <w:top w:val="single" w:color="auto" w:sz="4" w:space="0"/>
              <w:left w:val="single" w:color="auto" w:sz="4" w:space="0"/>
              <w:bottom w:val="single" w:color="auto" w:sz="4" w:space="0"/>
              <w:right w:val="single" w:color="auto" w:sz="4" w:space="0"/>
            </w:tcBorders>
            <w:vAlign w:val="center"/>
          </w:tcPr>
          <w:p w14:paraId="00BE29E1">
            <w:pPr>
              <w:adjustRightInd w:val="0"/>
              <w:spacing w:line="360" w:lineRule="auto"/>
              <w:jc w:val="center"/>
              <w:textAlignment w:val="baseline"/>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分值</w:t>
            </w:r>
          </w:p>
        </w:tc>
        <w:tc>
          <w:tcPr>
            <w:tcW w:w="5876" w:type="dxa"/>
            <w:tcBorders>
              <w:top w:val="single" w:color="auto" w:sz="4" w:space="0"/>
              <w:left w:val="single" w:color="auto" w:sz="4" w:space="0"/>
              <w:bottom w:val="single" w:color="auto" w:sz="4" w:space="0"/>
              <w:right w:val="single" w:color="auto" w:sz="4" w:space="0"/>
            </w:tcBorders>
            <w:vAlign w:val="center"/>
          </w:tcPr>
          <w:p w14:paraId="0ACE9B2D">
            <w:pPr>
              <w:pStyle w:val="17"/>
              <w:spacing w:line="360" w:lineRule="auto"/>
              <w:jc w:val="center"/>
              <w:rPr>
                <w:rFonts w:hint="eastAsia" w:hAnsi="宋体" w:cs="宋体"/>
                <w:b/>
                <w:bCs/>
                <w:color w:val="auto"/>
                <w:kern w:val="2"/>
                <w:sz w:val="21"/>
                <w:szCs w:val="21"/>
                <w:highlight w:val="none"/>
              </w:rPr>
            </w:pPr>
            <w:r>
              <w:rPr>
                <w:rFonts w:hint="eastAsia" w:hAnsi="宋体" w:cs="宋体"/>
                <w:b/>
                <w:bCs/>
                <w:color w:val="auto"/>
                <w:kern w:val="2"/>
                <w:sz w:val="21"/>
                <w:szCs w:val="21"/>
                <w:highlight w:val="none"/>
              </w:rPr>
              <w:t>评分标准</w:t>
            </w:r>
          </w:p>
        </w:tc>
      </w:tr>
      <w:tr w14:paraId="32889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55126450">
            <w:pPr>
              <w:adjustRightInd w:val="0"/>
              <w:spacing w:line="360" w:lineRule="auto"/>
              <w:jc w:val="center"/>
              <w:textAlignment w:val="baseline"/>
              <w:rPr>
                <w:rFonts w:ascii="宋体" w:hAnsi="宋体" w:cs="宋体"/>
                <w:bCs/>
                <w:color w:val="auto"/>
                <w:sz w:val="21"/>
                <w:szCs w:val="21"/>
                <w:highlight w:val="none"/>
              </w:rPr>
            </w:pPr>
            <w:r>
              <w:rPr>
                <w:rFonts w:hint="eastAsia" w:ascii="宋体" w:hAnsi="宋体" w:cs="宋体"/>
                <w:bCs/>
                <w:color w:val="auto"/>
                <w:sz w:val="21"/>
                <w:szCs w:val="21"/>
                <w:highlight w:val="none"/>
              </w:rPr>
              <w:t>1</w:t>
            </w:r>
          </w:p>
        </w:tc>
        <w:tc>
          <w:tcPr>
            <w:tcW w:w="1418" w:type="dxa"/>
            <w:tcBorders>
              <w:top w:val="single" w:color="auto" w:sz="4" w:space="0"/>
              <w:left w:val="single" w:color="auto" w:sz="4" w:space="0"/>
              <w:bottom w:val="single" w:color="auto" w:sz="4" w:space="0"/>
              <w:right w:val="single" w:color="auto" w:sz="4" w:space="0"/>
            </w:tcBorders>
            <w:vAlign w:val="center"/>
          </w:tcPr>
          <w:p w14:paraId="0F56DFA3">
            <w:pPr>
              <w:adjustRightInd w:val="0"/>
              <w:spacing w:line="360" w:lineRule="auto"/>
              <w:jc w:val="center"/>
              <w:textAlignment w:val="baseline"/>
              <w:rPr>
                <w:rFonts w:ascii="宋体" w:hAnsi="宋体"/>
                <w:b/>
                <w:bCs/>
                <w:color w:val="auto"/>
                <w:sz w:val="21"/>
                <w:szCs w:val="21"/>
                <w:highlight w:val="none"/>
              </w:rPr>
            </w:pPr>
            <w:r>
              <w:rPr>
                <w:rFonts w:hint="eastAsia" w:ascii="宋体" w:hAnsi="宋体"/>
                <w:b/>
                <w:bCs/>
                <w:color w:val="auto"/>
                <w:sz w:val="21"/>
                <w:szCs w:val="21"/>
                <w:highlight w:val="none"/>
              </w:rPr>
              <w:t>价格分</w:t>
            </w:r>
          </w:p>
          <w:p w14:paraId="12CE2B69">
            <w:pPr>
              <w:adjustRightInd w:val="0"/>
              <w:spacing w:line="360" w:lineRule="auto"/>
              <w:jc w:val="center"/>
              <w:textAlignment w:val="baseline"/>
              <w:rPr>
                <w:rFonts w:ascii="宋体" w:hAnsi="宋体"/>
                <w:b/>
                <w:bCs/>
                <w:color w:val="auto"/>
                <w:sz w:val="21"/>
                <w:szCs w:val="21"/>
                <w:highlight w:val="none"/>
              </w:rPr>
            </w:pPr>
            <w:r>
              <w:rPr>
                <w:rFonts w:hint="eastAsia" w:ascii="宋体" w:hAnsi="宋体"/>
                <w:b/>
                <w:bCs/>
                <w:color w:val="auto"/>
                <w:sz w:val="21"/>
                <w:szCs w:val="21"/>
                <w:highlight w:val="none"/>
              </w:rPr>
              <w:t>（满分</w:t>
            </w:r>
            <w:r>
              <w:rPr>
                <w:rFonts w:hint="eastAsia" w:ascii="宋体" w:hAnsi="宋体"/>
                <w:b/>
                <w:bCs/>
                <w:color w:val="auto"/>
                <w:sz w:val="21"/>
                <w:szCs w:val="21"/>
                <w:highlight w:val="none"/>
                <w:u w:val="single"/>
                <w:lang w:val="en-US" w:eastAsia="zh-CN"/>
              </w:rPr>
              <w:t>10</w:t>
            </w:r>
            <w:r>
              <w:rPr>
                <w:rFonts w:hint="eastAsia" w:ascii="宋体" w:hAnsi="宋体"/>
                <w:b/>
                <w:bCs/>
                <w:color w:val="auto"/>
                <w:sz w:val="21"/>
                <w:szCs w:val="21"/>
                <w:highlight w:val="none"/>
              </w:rPr>
              <w:t>分）</w:t>
            </w:r>
          </w:p>
          <w:p w14:paraId="66B66445">
            <w:pPr>
              <w:adjustRightInd w:val="0"/>
              <w:spacing w:line="360" w:lineRule="auto"/>
              <w:jc w:val="center"/>
              <w:textAlignment w:val="baseline"/>
              <w:rPr>
                <w:rFonts w:ascii="宋体" w:hAnsi="宋体" w:cs="宋体"/>
                <w:bCs/>
                <w:color w:val="auto"/>
                <w:sz w:val="21"/>
                <w:szCs w:val="21"/>
                <w:highlight w:val="none"/>
              </w:rPr>
            </w:pPr>
          </w:p>
        </w:tc>
        <w:tc>
          <w:tcPr>
            <w:tcW w:w="1722" w:type="dxa"/>
            <w:tcBorders>
              <w:top w:val="single" w:color="auto" w:sz="4" w:space="0"/>
              <w:left w:val="single" w:color="auto" w:sz="4" w:space="0"/>
              <w:bottom w:val="single" w:color="auto" w:sz="4" w:space="0"/>
              <w:right w:val="single" w:color="auto" w:sz="4" w:space="0"/>
            </w:tcBorders>
            <w:vAlign w:val="center"/>
          </w:tcPr>
          <w:p w14:paraId="7E318FD7">
            <w:pPr>
              <w:adjustRightInd w:val="0"/>
              <w:spacing w:line="360" w:lineRule="auto"/>
              <w:jc w:val="center"/>
              <w:textAlignment w:val="baseline"/>
              <w:rPr>
                <w:rFonts w:ascii="宋体" w:hAnsi="宋体" w:cs="宋体"/>
                <w:bCs/>
                <w:color w:val="auto"/>
                <w:sz w:val="21"/>
                <w:szCs w:val="21"/>
                <w:highlight w:val="none"/>
              </w:rPr>
            </w:pPr>
            <w:r>
              <w:rPr>
                <w:rFonts w:hint="eastAsia" w:ascii="宋体" w:hAnsi="宋体"/>
                <w:b/>
                <w:bCs/>
                <w:color w:val="auto"/>
                <w:sz w:val="21"/>
                <w:szCs w:val="21"/>
                <w:highlight w:val="none"/>
              </w:rPr>
              <w:t>报价（满分</w:t>
            </w:r>
            <w:r>
              <w:rPr>
                <w:rFonts w:hint="eastAsia" w:ascii="宋体" w:hAnsi="宋体"/>
                <w:b/>
                <w:bCs/>
                <w:color w:val="auto"/>
                <w:sz w:val="21"/>
                <w:szCs w:val="21"/>
                <w:highlight w:val="none"/>
                <w:lang w:eastAsia="zh-CN"/>
              </w:rPr>
              <w:t>1</w:t>
            </w:r>
            <w:r>
              <w:rPr>
                <w:rFonts w:hint="eastAsia" w:ascii="宋体" w:hAnsi="宋体"/>
                <w:b/>
                <w:bCs/>
                <w:color w:val="auto"/>
                <w:sz w:val="21"/>
                <w:szCs w:val="21"/>
                <w:highlight w:val="none"/>
                <w:lang w:val="en-US" w:eastAsia="zh-CN"/>
              </w:rPr>
              <w:t>0</w:t>
            </w:r>
            <w:r>
              <w:rPr>
                <w:rFonts w:hint="eastAsia" w:ascii="宋体" w:hAnsi="宋体"/>
                <w:b/>
                <w:bCs/>
                <w:color w:val="auto"/>
                <w:sz w:val="21"/>
                <w:szCs w:val="21"/>
                <w:highlight w:val="none"/>
              </w:rPr>
              <w:t>分）</w:t>
            </w:r>
          </w:p>
        </w:tc>
        <w:tc>
          <w:tcPr>
            <w:tcW w:w="5876" w:type="dxa"/>
            <w:tcBorders>
              <w:top w:val="single" w:color="auto" w:sz="4" w:space="0"/>
              <w:left w:val="single" w:color="auto" w:sz="4" w:space="0"/>
              <w:bottom w:val="single" w:color="auto" w:sz="4" w:space="0"/>
              <w:right w:val="single" w:color="auto" w:sz="4" w:space="0"/>
            </w:tcBorders>
            <w:vAlign w:val="center"/>
          </w:tcPr>
          <w:p w14:paraId="4E683712">
            <w:pPr>
              <w:pStyle w:val="17"/>
              <w:spacing w:line="360" w:lineRule="auto"/>
              <w:rPr>
                <w:rFonts w:hAnsi="宋体" w:cs="宋体"/>
                <w:bCs/>
                <w:color w:val="auto"/>
                <w:kern w:val="2"/>
                <w:sz w:val="21"/>
                <w:szCs w:val="21"/>
                <w:highlight w:val="none"/>
              </w:rPr>
            </w:pPr>
            <w:r>
              <w:rPr>
                <w:rFonts w:hint="eastAsia" w:hAnsi="宋体" w:cs="宋体"/>
                <w:bCs/>
                <w:color w:val="auto"/>
                <w:kern w:val="2"/>
                <w:sz w:val="21"/>
                <w:szCs w:val="21"/>
                <w:highlight w:val="none"/>
              </w:rPr>
              <w:t>1</w:t>
            </w:r>
            <w:r>
              <w:rPr>
                <w:rFonts w:hAnsi="宋体" w:cs="宋体"/>
                <w:bCs/>
                <w:color w:val="auto"/>
                <w:kern w:val="2"/>
                <w:sz w:val="21"/>
                <w:szCs w:val="21"/>
                <w:highlight w:val="none"/>
              </w:rPr>
              <w:t>.</w:t>
            </w:r>
            <w:r>
              <w:rPr>
                <w:rFonts w:hint="eastAsia" w:hAnsi="宋体" w:cs="宋体"/>
                <w:bCs/>
                <w:color w:val="auto"/>
                <w:kern w:val="2"/>
                <w:sz w:val="21"/>
                <w:szCs w:val="21"/>
                <w:highlight w:val="none"/>
              </w:rPr>
              <w:t>评审价为供应商的最后报价进行政策性扣除后的价格，评审价只是作为评审时使用。最终成交供应商的成交金额等于最后报价。</w:t>
            </w:r>
          </w:p>
          <w:p w14:paraId="0F159312">
            <w:pPr>
              <w:pStyle w:val="17"/>
              <w:spacing w:line="360" w:lineRule="auto"/>
              <w:rPr>
                <w:rFonts w:hAnsi="宋体" w:cs="宋体"/>
                <w:bCs/>
                <w:color w:val="auto"/>
                <w:kern w:val="2"/>
                <w:sz w:val="21"/>
                <w:szCs w:val="21"/>
                <w:highlight w:val="none"/>
              </w:rPr>
            </w:pPr>
            <w:r>
              <w:rPr>
                <w:rFonts w:hint="eastAsia" w:hAnsi="宋体" w:cs="宋体"/>
                <w:bCs/>
                <w:color w:val="auto"/>
                <w:kern w:val="2"/>
                <w:sz w:val="21"/>
                <w:szCs w:val="21"/>
                <w:highlight w:val="none"/>
              </w:rPr>
              <w:t>2</w:t>
            </w:r>
            <w:r>
              <w:rPr>
                <w:rFonts w:hAnsi="宋体" w:cs="宋体"/>
                <w:bCs/>
                <w:color w:val="auto"/>
                <w:kern w:val="2"/>
                <w:sz w:val="21"/>
                <w:szCs w:val="21"/>
                <w:highlight w:val="none"/>
              </w:rPr>
              <w:t>.</w:t>
            </w:r>
            <w:r>
              <w:rPr>
                <w:rFonts w:hint="eastAsia" w:hAnsi="宋体" w:cs="宋体"/>
                <w:bCs/>
                <w:color w:val="auto"/>
                <w:kern w:val="2"/>
                <w:sz w:val="21"/>
                <w:szCs w:val="21"/>
                <w:highlight w:val="none"/>
              </w:rPr>
              <w:t>政府采购政策性扣除计算方法</w:t>
            </w:r>
          </w:p>
          <w:p w14:paraId="49B7D1BC">
            <w:pPr>
              <w:pStyle w:val="17"/>
              <w:spacing w:line="360" w:lineRule="auto"/>
              <w:rPr>
                <w:rFonts w:hAnsi="宋体" w:cs="宋体"/>
                <w:bCs/>
                <w:color w:val="auto"/>
                <w:kern w:val="2"/>
                <w:sz w:val="21"/>
                <w:szCs w:val="21"/>
                <w:highlight w:val="none"/>
              </w:rPr>
            </w:pPr>
            <w:r>
              <w:rPr>
                <w:rFonts w:hint="eastAsia" w:hAnsi="宋体" w:cs="宋体"/>
                <w:bCs/>
                <w:color w:val="auto"/>
                <w:kern w:val="2"/>
                <w:sz w:val="21"/>
                <w:szCs w:val="21"/>
                <w:highlight w:val="none"/>
              </w:rPr>
              <w:t>根据《政府采购促进中小企业发展管理办法》（财库〔2020〕46号）及《广西壮族自治区财政厅关于持续优化政府采购营商环境推动高质量发展的通知》（桂财采〔2024〕55号）的规定，供应商</w:t>
            </w:r>
            <w:r>
              <w:rPr>
                <w:rFonts w:hint="eastAsia" w:hAnsi="宋体" w:cs="宋体"/>
                <w:bCs/>
                <w:color w:val="auto"/>
                <w:sz w:val="21"/>
                <w:highlight w:val="none"/>
              </w:rPr>
              <w:t>人属于《政府采购促进中小企业发展管理办法》规定的小微企业的，</w:t>
            </w:r>
            <w:r>
              <w:rPr>
                <w:rFonts w:hint="eastAsia" w:hAnsi="宋体" w:cs="宋体"/>
                <w:bCs/>
                <w:color w:val="auto"/>
                <w:kern w:val="2"/>
                <w:sz w:val="21"/>
                <w:szCs w:val="21"/>
                <w:highlight w:val="none"/>
              </w:rPr>
              <w:t>在其响应文件中提供《中小企业声明函》，且服务全部由小微企业承接，对供应商的</w:t>
            </w:r>
            <w:r>
              <w:rPr>
                <w:rFonts w:hint="eastAsia" w:hAnsi="宋体" w:cs="宋体"/>
                <w:color w:val="auto"/>
                <w:sz w:val="21"/>
                <w:highlight w:val="none"/>
              </w:rPr>
              <w:t>竞争性磋商</w:t>
            </w:r>
            <w:r>
              <w:rPr>
                <w:rFonts w:hint="eastAsia" w:hAnsi="宋体" w:cs="宋体"/>
                <w:bCs/>
                <w:color w:val="auto"/>
                <w:kern w:val="2"/>
                <w:sz w:val="21"/>
                <w:szCs w:val="21"/>
                <w:highlight w:val="none"/>
              </w:rPr>
              <w:t>报价给予</w:t>
            </w:r>
            <w:r>
              <w:rPr>
                <w:rFonts w:hint="eastAsia" w:hAnsi="宋体" w:cs="宋体"/>
                <w:bCs/>
                <w:color w:val="auto"/>
                <w:kern w:val="2"/>
                <w:sz w:val="21"/>
                <w:szCs w:val="21"/>
                <w:highlight w:val="none"/>
                <w:lang w:val="en-US" w:eastAsia="zh-CN"/>
              </w:rPr>
              <w:t>1</w:t>
            </w:r>
            <w:r>
              <w:rPr>
                <w:rFonts w:hint="eastAsia" w:hAnsi="宋体" w:cs="宋体"/>
                <w:bCs/>
                <w:color w:val="auto"/>
                <w:kern w:val="2"/>
                <w:sz w:val="21"/>
                <w:szCs w:val="21"/>
                <w:highlight w:val="none"/>
              </w:rPr>
              <w:t>0%的扣除，扣除后的价格为评审价，即评审价=</w:t>
            </w:r>
            <w:r>
              <w:rPr>
                <w:rFonts w:hint="eastAsia" w:hAnsi="宋体" w:cs="宋体"/>
                <w:color w:val="auto"/>
                <w:sz w:val="21"/>
                <w:highlight w:val="none"/>
              </w:rPr>
              <w:t>竞争性磋商</w:t>
            </w:r>
            <w:r>
              <w:rPr>
                <w:rFonts w:hint="eastAsia" w:hAnsi="宋体" w:cs="宋体"/>
                <w:bCs/>
                <w:color w:val="auto"/>
                <w:kern w:val="2"/>
                <w:sz w:val="21"/>
                <w:szCs w:val="21"/>
                <w:highlight w:val="none"/>
              </w:rPr>
              <w:t>报价×（1-</w:t>
            </w:r>
            <w:r>
              <w:rPr>
                <w:rFonts w:hint="eastAsia" w:hAnsi="宋体" w:cs="宋体"/>
                <w:bCs/>
                <w:color w:val="auto"/>
                <w:kern w:val="2"/>
                <w:sz w:val="21"/>
                <w:szCs w:val="21"/>
                <w:highlight w:val="none"/>
                <w:lang w:val="en-US" w:eastAsia="zh-CN"/>
              </w:rPr>
              <w:t>1</w:t>
            </w:r>
            <w:r>
              <w:rPr>
                <w:rFonts w:hint="eastAsia" w:hAnsi="宋体" w:cs="宋体"/>
                <w:bCs/>
                <w:color w:val="auto"/>
                <w:kern w:val="2"/>
                <w:sz w:val="21"/>
                <w:szCs w:val="21"/>
                <w:highlight w:val="none"/>
              </w:rPr>
              <w:t>0%）。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 6 %的扣除，用扣除后的价格参加评审，扣除后的价格为评审价，即评审价=</w:t>
            </w:r>
            <w:r>
              <w:rPr>
                <w:rFonts w:hint="eastAsia" w:hAnsi="宋体" w:cs="宋体"/>
                <w:color w:val="auto"/>
                <w:sz w:val="21"/>
                <w:highlight w:val="none"/>
              </w:rPr>
              <w:t>竞争性磋商</w:t>
            </w:r>
            <w:r>
              <w:rPr>
                <w:rFonts w:hint="eastAsia" w:hAnsi="宋体" w:cs="宋体"/>
                <w:bCs/>
                <w:color w:val="auto"/>
                <w:kern w:val="2"/>
                <w:sz w:val="21"/>
                <w:szCs w:val="21"/>
                <w:highlight w:val="none"/>
              </w:rPr>
              <w:t>报价×（1- 6 %）。除上述情况外，评审价=</w:t>
            </w:r>
            <w:r>
              <w:rPr>
                <w:rFonts w:hint="eastAsia" w:hAnsi="宋体" w:cs="宋体"/>
                <w:color w:val="auto"/>
                <w:sz w:val="21"/>
                <w:highlight w:val="none"/>
              </w:rPr>
              <w:t>竞争性磋商</w:t>
            </w:r>
            <w:r>
              <w:rPr>
                <w:rFonts w:hint="eastAsia" w:hAnsi="宋体" w:cs="宋体"/>
                <w:bCs/>
                <w:color w:val="auto"/>
                <w:kern w:val="2"/>
                <w:sz w:val="21"/>
                <w:szCs w:val="21"/>
                <w:highlight w:val="none"/>
              </w:rPr>
              <w:t>报价。</w:t>
            </w:r>
          </w:p>
          <w:p w14:paraId="2BF5FBFB">
            <w:pPr>
              <w:pStyle w:val="17"/>
              <w:spacing w:line="360" w:lineRule="auto"/>
              <w:rPr>
                <w:rFonts w:hAnsi="宋体" w:cs="宋体"/>
                <w:bCs/>
                <w:color w:val="auto"/>
                <w:kern w:val="2"/>
                <w:sz w:val="21"/>
                <w:szCs w:val="21"/>
                <w:highlight w:val="none"/>
              </w:rPr>
            </w:pPr>
            <w:r>
              <w:rPr>
                <w:rFonts w:hint="eastAsia" w:hAnsi="宋体" w:cs="宋体"/>
                <w:bCs/>
                <w:color w:val="auto"/>
                <w:kern w:val="2"/>
                <w:sz w:val="21"/>
                <w:szCs w:val="21"/>
                <w:highlight w:val="none"/>
              </w:rPr>
              <w:t>3</w:t>
            </w:r>
            <w:r>
              <w:rPr>
                <w:rFonts w:hAnsi="宋体" w:cs="宋体"/>
                <w:bCs/>
                <w:color w:val="auto"/>
                <w:kern w:val="2"/>
                <w:sz w:val="21"/>
                <w:szCs w:val="21"/>
                <w:highlight w:val="none"/>
              </w:rPr>
              <w:t>.</w:t>
            </w:r>
            <w:r>
              <w:rPr>
                <w:rFonts w:hint="eastAsia" w:hAnsi="宋体" w:cs="宋体"/>
                <w:bCs/>
                <w:color w:val="auto"/>
                <w:kern w:val="2"/>
                <w:sz w:val="21"/>
                <w:szCs w:val="21"/>
                <w:highlight w:val="none"/>
              </w:rPr>
              <w:t>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监狱企业属于小型、微型企业的，不重复享受政策。</w:t>
            </w:r>
          </w:p>
          <w:p w14:paraId="16D08821">
            <w:pPr>
              <w:pStyle w:val="17"/>
              <w:spacing w:line="360" w:lineRule="auto"/>
              <w:rPr>
                <w:rFonts w:hAnsi="宋体" w:cs="宋体"/>
                <w:bCs/>
                <w:color w:val="auto"/>
                <w:kern w:val="2"/>
                <w:sz w:val="21"/>
                <w:szCs w:val="21"/>
                <w:highlight w:val="none"/>
              </w:rPr>
            </w:pPr>
            <w:r>
              <w:rPr>
                <w:rFonts w:hint="eastAsia" w:hAnsi="宋体" w:cs="宋体"/>
                <w:bCs/>
                <w:color w:val="auto"/>
                <w:kern w:val="2"/>
                <w:sz w:val="21"/>
                <w:szCs w:val="21"/>
                <w:highlight w:val="none"/>
              </w:rPr>
              <w:t>4</w:t>
            </w:r>
            <w:r>
              <w:rPr>
                <w:rFonts w:hAnsi="宋体" w:cs="宋体"/>
                <w:bCs/>
                <w:color w:val="auto"/>
                <w:kern w:val="2"/>
                <w:sz w:val="21"/>
                <w:szCs w:val="21"/>
                <w:highlight w:val="none"/>
              </w:rPr>
              <w:t>.</w:t>
            </w:r>
            <w:r>
              <w:rPr>
                <w:rFonts w:hint="eastAsia" w:hAnsi="宋体" w:cs="宋体"/>
                <w:bCs/>
                <w:color w:val="auto"/>
                <w:kern w:val="2"/>
                <w:sz w:val="21"/>
                <w:szCs w:val="21"/>
                <w:highlight w:val="none"/>
              </w:rPr>
              <w:t>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59031974">
            <w:pPr>
              <w:pStyle w:val="17"/>
              <w:spacing w:line="360" w:lineRule="auto"/>
              <w:rPr>
                <w:rFonts w:hAnsi="宋体" w:cs="宋体"/>
                <w:bCs/>
                <w:color w:val="auto"/>
                <w:kern w:val="2"/>
                <w:sz w:val="21"/>
                <w:szCs w:val="21"/>
                <w:highlight w:val="none"/>
              </w:rPr>
            </w:pPr>
            <w:r>
              <w:rPr>
                <w:rFonts w:hint="eastAsia" w:hAnsi="宋体" w:cs="宋体"/>
                <w:bCs/>
                <w:color w:val="auto"/>
                <w:kern w:val="2"/>
                <w:sz w:val="21"/>
                <w:szCs w:val="21"/>
                <w:highlight w:val="none"/>
              </w:rPr>
              <w:t>5</w:t>
            </w:r>
            <w:r>
              <w:rPr>
                <w:rFonts w:hAnsi="宋体" w:cs="宋体"/>
                <w:bCs/>
                <w:color w:val="auto"/>
                <w:kern w:val="2"/>
                <w:sz w:val="21"/>
                <w:szCs w:val="21"/>
                <w:highlight w:val="none"/>
              </w:rPr>
              <w:t>.</w:t>
            </w:r>
            <w:r>
              <w:rPr>
                <w:rFonts w:hint="eastAsia" w:hAnsi="宋体"/>
                <w:bCs/>
                <w:color w:val="auto"/>
                <w:sz w:val="21"/>
                <w:highlight w:val="none"/>
              </w:rPr>
              <w:t>报价分采用低价优先法计算，满足磋商文件要求且评审价最低的有效供应商的评审价为基准价，其价格分为满分。</w:t>
            </w:r>
          </w:p>
          <w:p w14:paraId="22419FE4">
            <w:pPr>
              <w:pStyle w:val="17"/>
              <w:spacing w:line="360" w:lineRule="auto"/>
              <w:rPr>
                <w:rFonts w:hAnsi="宋体"/>
                <w:bCs/>
                <w:color w:val="auto"/>
                <w:sz w:val="21"/>
                <w:highlight w:val="none"/>
              </w:rPr>
            </w:pPr>
            <w:r>
              <w:rPr>
                <w:rFonts w:hint="eastAsia" w:hAnsi="宋体" w:cs="宋体"/>
                <w:bCs/>
                <w:color w:val="auto"/>
                <w:kern w:val="2"/>
                <w:sz w:val="21"/>
                <w:szCs w:val="21"/>
                <w:highlight w:val="none"/>
              </w:rPr>
              <w:t>6</w:t>
            </w:r>
            <w:r>
              <w:rPr>
                <w:rFonts w:hAnsi="宋体" w:cs="宋体"/>
                <w:bCs/>
                <w:color w:val="auto"/>
                <w:kern w:val="2"/>
                <w:sz w:val="21"/>
                <w:szCs w:val="21"/>
                <w:highlight w:val="none"/>
              </w:rPr>
              <w:t>.</w:t>
            </w:r>
            <w:r>
              <w:rPr>
                <w:rFonts w:hint="eastAsia" w:hAnsi="宋体"/>
                <w:bCs/>
                <w:color w:val="auto"/>
                <w:sz w:val="21"/>
                <w:highlight w:val="none"/>
              </w:rPr>
              <w:t>其他供应商的价格分统一按照下列公式计算：</w:t>
            </w:r>
          </w:p>
          <w:p w14:paraId="44F628D0">
            <w:pPr>
              <w:spacing w:line="360" w:lineRule="auto"/>
              <w:rPr>
                <w:rFonts w:ascii="宋体" w:hAnsi="宋体" w:cs="宋体"/>
                <w:bCs/>
                <w:color w:val="auto"/>
                <w:sz w:val="21"/>
                <w:szCs w:val="21"/>
                <w:highlight w:val="none"/>
              </w:rPr>
            </w:pPr>
            <w:r>
              <w:rPr>
                <w:rFonts w:hint="eastAsia" w:ascii="宋体" w:hAnsi="宋体"/>
                <w:bCs/>
                <w:color w:val="auto"/>
                <w:sz w:val="21"/>
                <w:szCs w:val="21"/>
                <w:highlight w:val="none"/>
              </w:rPr>
              <w:t>某供应商的价格分=（评标基准价／某供应商评审价）×</w:t>
            </w:r>
            <w:r>
              <w:rPr>
                <w:rFonts w:hint="eastAsia" w:ascii="宋体" w:hAnsi="宋体"/>
                <w:bCs/>
                <w:color w:val="auto"/>
                <w:sz w:val="21"/>
                <w:szCs w:val="21"/>
                <w:highlight w:val="none"/>
                <w:lang w:val="en-US" w:eastAsia="zh-CN"/>
              </w:rPr>
              <w:t>10</w:t>
            </w:r>
            <w:r>
              <w:rPr>
                <w:rFonts w:hint="eastAsia" w:ascii="宋体" w:hAnsi="宋体"/>
                <w:bCs/>
                <w:color w:val="auto"/>
                <w:sz w:val="21"/>
                <w:szCs w:val="21"/>
                <w:highlight w:val="none"/>
              </w:rPr>
              <w:t>分</w:t>
            </w:r>
          </w:p>
        </w:tc>
      </w:tr>
      <w:tr w14:paraId="52473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4" w:type="dxa"/>
            <w:vMerge w:val="restart"/>
            <w:tcBorders>
              <w:top w:val="single" w:color="auto" w:sz="4" w:space="0"/>
              <w:left w:val="single" w:color="auto" w:sz="4" w:space="0"/>
              <w:right w:val="single" w:color="auto" w:sz="4" w:space="0"/>
            </w:tcBorders>
            <w:vAlign w:val="center"/>
          </w:tcPr>
          <w:p w14:paraId="0AAFF686">
            <w:pPr>
              <w:adjustRightInd w:val="0"/>
              <w:spacing w:line="360" w:lineRule="auto"/>
              <w:jc w:val="center"/>
              <w:textAlignment w:val="baseline"/>
              <w:rPr>
                <w:rFonts w:ascii="宋体" w:hAnsi="宋体" w:cs="宋体"/>
                <w:bCs/>
                <w:color w:val="auto"/>
                <w:sz w:val="24"/>
                <w:highlight w:val="none"/>
              </w:rPr>
            </w:pPr>
            <w:r>
              <w:rPr>
                <w:rFonts w:hint="eastAsia" w:ascii="宋体" w:hAnsi="宋体" w:cs="宋体"/>
                <w:bCs/>
                <w:color w:val="auto"/>
                <w:sz w:val="24"/>
                <w:highlight w:val="none"/>
              </w:rPr>
              <w:t>2</w:t>
            </w:r>
          </w:p>
        </w:tc>
        <w:tc>
          <w:tcPr>
            <w:tcW w:w="1418" w:type="dxa"/>
            <w:vMerge w:val="restart"/>
            <w:tcBorders>
              <w:top w:val="single" w:color="auto" w:sz="4" w:space="0"/>
              <w:left w:val="single" w:color="auto" w:sz="4" w:space="0"/>
              <w:right w:val="single" w:color="auto" w:sz="4" w:space="0"/>
            </w:tcBorders>
            <w:vAlign w:val="center"/>
          </w:tcPr>
          <w:p w14:paraId="1B911EBD">
            <w:pPr>
              <w:adjustRightInd w:val="0"/>
              <w:spacing w:line="360" w:lineRule="auto"/>
              <w:jc w:val="center"/>
              <w:textAlignment w:val="baseline"/>
              <w:rPr>
                <w:rFonts w:hint="default" w:ascii="宋体" w:hAnsi="宋体" w:eastAsia="宋体" w:cs="宋体"/>
                <w:bCs/>
                <w:color w:val="auto"/>
                <w:sz w:val="21"/>
                <w:szCs w:val="21"/>
                <w:highlight w:val="none"/>
                <w:lang w:val="en-US" w:eastAsia="zh-CN"/>
              </w:rPr>
            </w:pPr>
            <w:r>
              <w:rPr>
                <w:rFonts w:hint="eastAsia" w:hAnsi="宋体"/>
                <w:b/>
                <w:bCs/>
                <w:color w:val="auto"/>
                <w:sz w:val="21"/>
                <w:szCs w:val="21"/>
                <w:highlight w:val="none"/>
                <w:lang w:val="en-US" w:eastAsia="zh-CN"/>
              </w:rPr>
              <w:t>技术分</w:t>
            </w:r>
          </w:p>
        </w:tc>
        <w:tc>
          <w:tcPr>
            <w:tcW w:w="1722" w:type="dxa"/>
            <w:tcBorders>
              <w:top w:val="single" w:color="auto" w:sz="4" w:space="0"/>
              <w:left w:val="single" w:color="auto" w:sz="4" w:space="0"/>
              <w:bottom w:val="single" w:color="auto" w:sz="4" w:space="0"/>
              <w:right w:val="single" w:color="auto" w:sz="4" w:space="0"/>
            </w:tcBorders>
            <w:vAlign w:val="center"/>
          </w:tcPr>
          <w:p w14:paraId="29550B02">
            <w:pPr>
              <w:adjustRightInd w:val="0"/>
              <w:spacing w:line="360" w:lineRule="auto"/>
              <w:jc w:val="center"/>
              <w:textAlignment w:val="baseline"/>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1</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技术性能分（满分27分）</w:t>
            </w:r>
          </w:p>
        </w:tc>
        <w:tc>
          <w:tcPr>
            <w:tcW w:w="5876" w:type="dxa"/>
            <w:tcBorders>
              <w:top w:val="single" w:color="auto" w:sz="4" w:space="0"/>
              <w:left w:val="single" w:color="auto" w:sz="4" w:space="0"/>
              <w:bottom w:val="single" w:color="auto" w:sz="4" w:space="0"/>
              <w:right w:val="single" w:color="auto" w:sz="4" w:space="0"/>
            </w:tcBorders>
            <w:vAlign w:val="center"/>
          </w:tcPr>
          <w:p w14:paraId="5E573D0F">
            <w:pPr>
              <w:spacing w:line="360" w:lineRule="auto"/>
              <w:ind w:firstLine="420" w:firstLineChars="200"/>
              <w:jc w:val="left"/>
              <w:rPr>
                <w:rFonts w:hint="eastAsia" w:ascii="宋体" w:hAnsi="宋体" w:eastAsia="宋体" w:cs="Times New Roman"/>
                <w:bCs/>
                <w:color w:val="auto"/>
                <w:kern w:val="0"/>
                <w:sz w:val="21"/>
                <w:szCs w:val="21"/>
                <w:highlight w:val="none"/>
                <w:lang w:val="en-US" w:eastAsia="zh-CN" w:bidi="ar-SA"/>
              </w:rPr>
            </w:pPr>
            <w:r>
              <w:rPr>
                <w:rFonts w:hint="eastAsia" w:ascii="宋体" w:hAnsi="宋体" w:eastAsia="宋体" w:cs="Times New Roman"/>
                <w:bCs/>
                <w:color w:val="auto"/>
                <w:kern w:val="0"/>
                <w:sz w:val="21"/>
                <w:szCs w:val="21"/>
                <w:highlight w:val="none"/>
                <w:lang w:val="en-US" w:eastAsia="zh-CN" w:bidi="ar-SA"/>
              </w:rPr>
              <w:t>采购需求中标注“■”号的条款系指与项目实际紧密相关的功能条款、技术指标，作为服务性能评审依据，由评委根据供应商提供的证明材料并加盖供应商公章（或电子签章）进行打分。</w:t>
            </w:r>
          </w:p>
          <w:p w14:paraId="068F94F5">
            <w:pPr>
              <w:pStyle w:val="12"/>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Ansi="宋体" w:cs="宋体"/>
                <w:bCs/>
                <w:color w:val="auto"/>
                <w:kern w:val="2"/>
                <w:sz w:val="21"/>
                <w:szCs w:val="21"/>
                <w:highlight w:val="none"/>
              </w:rPr>
            </w:pPr>
            <w:r>
              <w:rPr>
                <w:rFonts w:hint="eastAsia"/>
                <w:b/>
                <w:bCs/>
                <w:color w:val="auto"/>
                <w:szCs w:val="21"/>
                <w:highlight w:val="none"/>
                <w:lang w:val="en-US" w:eastAsia="zh-CN"/>
              </w:rPr>
              <w:t>响应文件中</w:t>
            </w:r>
            <w:r>
              <w:rPr>
                <w:rFonts w:hint="eastAsia"/>
                <w:b/>
                <w:bCs/>
                <w:color w:val="auto"/>
                <w:szCs w:val="21"/>
                <w:highlight w:val="none"/>
                <w:lang w:eastAsia="zh-CN"/>
              </w:rPr>
              <w:t>需提供国家认可的第三方检测机构出具</w:t>
            </w:r>
            <w:r>
              <w:rPr>
                <w:rFonts w:hint="eastAsia" w:ascii="宋体" w:hAnsi="宋体" w:cs="宋体"/>
                <w:b/>
                <w:bCs/>
                <w:color w:val="auto"/>
                <w:szCs w:val="21"/>
                <w:highlight w:val="none"/>
                <w:lang w:val="en-US" w:eastAsia="zh-CN"/>
              </w:rPr>
              <w:t>的有效的检测报告，</w:t>
            </w:r>
            <w:r>
              <w:rPr>
                <w:b/>
                <w:bCs/>
                <w:color w:val="auto"/>
                <w:szCs w:val="21"/>
                <w:highlight w:val="none"/>
              </w:rPr>
              <w:t>并加盖</w:t>
            </w:r>
            <w:r>
              <w:rPr>
                <w:rFonts w:hint="eastAsia"/>
                <w:b/>
                <w:bCs/>
                <w:color w:val="auto"/>
                <w:szCs w:val="21"/>
                <w:highlight w:val="none"/>
                <w:lang w:eastAsia="zh-CN"/>
              </w:rPr>
              <w:t>供应商公章（或电子签章），</w:t>
            </w:r>
            <w:r>
              <w:rPr>
                <w:rFonts w:hint="eastAsia" w:ascii="宋体" w:hAnsi="宋体" w:eastAsia="宋体" w:cs="Times New Roman"/>
                <w:b/>
                <w:bCs/>
                <w:color w:val="auto"/>
                <w:kern w:val="0"/>
                <w:sz w:val="21"/>
                <w:szCs w:val="21"/>
                <w:highlight w:val="none"/>
                <w:lang w:val="en-US" w:eastAsia="zh-CN" w:bidi="ar-SA"/>
              </w:rPr>
              <w:t>每有一项得3分；满分27分；如果未提供相应关证明材料的，不得分</w:t>
            </w:r>
            <w:r>
              <w:rPr>
                <w:rFonts w:hint="eastAsia" w:ascii="宋体" w:hAnsi="宋体" w:cs="Times New Roman"/>
                <w:b/>
                <w:bCs/>
                <w:color w:val="auto"/>
                <w:kern w:val="0"/>
                <w:sz w:val="21"/>
                <w:szCs w:val="21"/>
                <w:highlight w:val="none"/>
                <w:lang w:val="en-US" w:eastAsia="zh-CN" w:bidi="ar-SA"/>
              </w:rPr>
              <w:t>。</w:t>
            </w:r>
          </w:p>
        </w:tc>
      </w:tr>
      <w:tr w14:paraId="1A345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4" w:type="dxa"/>
            <w:vMerge w:val="continue"/>
            <w:tcBorders>
              <w:left w:val="single" w:color="auto" w:sz="4" w:space="0"/>
              <w:right w:val="single" w:color="auto" w:sz="4" w:space="0"/>
            </w:tcBorders>
            <w:vAlign w:val="center"/>
          </w:tcPr>
          <w:p w14:paraId="3E95F99A">
            <w:pPr>
              <w:adjustRightInd w:val="0"/>
              <w:spacing w:line="360" w:lineRule="auto"/>
              <w:jc w:val="center"/>
              <w:textAlignment w:val="baseline"/>
              <w:rPr>
                <w:rFonts w:ascii="宋体" w:hAnsi="宋体" w:cs="宋体"/>
                <w:bCs/>
                <w:color w:val="auto"/>
                <w:sz w:val="24"/>
                <w:highlight w:val="none"/>
              </w:rPr>
            </w:pPr>
          </w:p>
        </w:tc>
        <w:tc>
          <w:tcPr>
            <w:tcW w:w="1418" w:type="dxa"/>
            <w:vMerge w:val="continue"/>
            <w:tcBorders>
              <w:left w:val="single" w:color="auto" w:sz="4" w:space="0"/>
              <w:right w:val="single" w:color="auto" w:sz="4" w:space="0"/>
            </w:tcBorders>
            <w:vAlign w:val="center"/>
          </w:tcPr>
          <w:p w14:paraId="1A95584C">
            <w:pPr>
              <w:adjustRightInd w:val="0"/>
              <w:snapToGrid w:val="0"/>
              <w:spacing w:line="360" w:lineRule="auto"/>
              <w:ind w:left="-105" w:leftChars="-50" w:right="-105" w:rightChars="-50"/>
              <w:jc w:val="center"/>
              <w:textAlignment w:val="baseline"/>
              <w:rPr>
                <w:rFonts w:ascii="宋体" w:hAnsi="宋体"/>
                <w:bCs/>
                <w:color w:val="auto"/>
                <w:sz w:val="24"/>
                <w:highlight w:val="none"/>
              </w:rPr>
            </w:pPr>
          </w:p>
        </w:tc>
        <w:tc>
          <w:tcPr>
            <w:tcW w:w="1722" w:type="dxa"/>
            <w:tcBorders>
              <w:top w:val="single" w:color="auto" w:sz="4" w:space="0"/>
              <w:left w:val="single" w:color="auto" w:sz="4" w:space="0"/>
              <w:right w:val="single" w:color="auto" w:sz="4" w:space="0"/>
            </w:tcBorders>
            <w:vAlign w:val="center"/>
          </w:tcPr>
          <w:p w14:paraId="6E691CCB">
            <w:pPr>
              <w:adjustRightInd w:val="0"/>
              <w:spacing w:line="360" w:lineRule="auto"/>
              <w:jc w:val="center"/>
              <w:textAlignment w:val="baseline"/>
              <w:rPr>
                <w:rFonts w:hint="eastAsia" w:ascii="宋体" w:hAnsi="宋体" w:eastAsia="宋体" w:cs="宋体"/>
                <w:bCs/>
                <w:color w:val="auto"/>
                <w:sz w:val="24"/>
                <w:highlight w:val="none"/>
                <w:lang w:eastAsia="zh-CN"/>
              </w:rPr>
            </w:pP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lang w:eastAsia="zh-CN"/>
              </w:rPr>
              <w:t>）项目实施方案分（满分</w:t>
            </w:r>
            <w:r>
              <w:rPr>
                <w:rFonts w:hint="eastAsia" w:ascii="宋体" w:hAnsi="宋体" w:cs="宋体"/>
                <w:bCs/>
                <w:color w:val="auto"/>
                <w:sz w:val="21"/>
                <w:szCs w:val="21"/>
                <w:highlight w:val="none"/>
                <w:lang w:val="en-US" w:eastAsia="zh-CN"/>
              </w:rPr>
              <w:t>20</w:t>
            </w:r>
            <w:r>
              <w:rPr>
                <w:rFonts w:hint="eastAsia" w:ascii="宋体" w:hAnsi="宋体" w:eastAsia="宋体" w:cs="宋体"/>
                <w:bCs/>
                <w:color w:val="auto"/>
                <w:sz w:val="21"/>
                <w:szCs w:val="21"/>
                <w:highlight w:val="none"/>
                <w:lang w:eastAsia="zh-CN"/>
              </w:rPr>
              <w:t>分）</w:t>
            </w:r>
          </w:p>
        </w:tc>
        <w:tc>
          <w:tcPr>
            <w:tcW w:w="5876" w:type="dxa"/>
            <w:tcBorders>
              <w:top w:val="single" w:color="auto" w:sz="4" w:space="0"/>
              <w:left w:val="single" w:color="auto" w:sz="4" w:space="0"/>
              <w:bottom w:val="single" w:color="auto" w:sz="4" w:space="0"/>
              <w:right w:val="single" w:color="auto" w:sz="4" w:space="0"/>
            </w:tcBorders>
            <w:vAlign w:val="center"/>
          </w:tcPr>
          <w:p w14:paraId="518298FF">
            <w:pPr>
              <w:pStyle w:val="17"/>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val="0"/>
                <w:color w:val="auto"/>
                <w:sz w:val="21"/>
                <w:szCs w:val="21"/>
                <w:highlight w:val="none"/>
                <w:lang w:eastAsia="zh-CN"/>
              </w:rPr>
            </w:pPr>
            <w:r>
              <w:rPr>
                <w:rFonts w:hint="eastAsia" w:ascii="宋体" w:hAnsi="宋体" w:eastAsia="宋体" w:cs="宋体"/>
                <w:b/>
                <w:bCs w:val="0"/>
                <w:color w:val="auto"/>
                <w:sz w:val="21"/>
                <w:szCs w:val="21"/>
                <w:highlight w:val="none"/>
              </w:rPr>
              <w:t>由</w:t>
            </w:r>
            <w:r>
              <w:rPr>
                <w:rFonts w:hint="eastAsia" w:ascii="宋体" w:hAnsi="宋体" w:eastAsia="宋体" w:cs="宋体"/>
                <w:b/>
                <w:bCs w:val="0"/>
                <w:color w:val="auto"/>
                <w:sz w:val="21"/>
                <w:szCs w:val="21"/>
                <w:highlight w:val="none"/>
                <w:lang w:eastAsia="zh-CN"/>
              </w:rPr>
              <w:t>磋商小组</w:t>
            </w:r>
            <w:r>
              <w:rPr>
                <w:rFonts w:hint="eastAsia" w:ascii="宋体" w:hAnsi="宋体" w:eastAsia="宋体" w:cs="宋体"/>
                <w:b/>
                <w:bCs w:val="0"/>
                <w:color w:val="auto"/>
                <w:sz w:val="21"/>
                <w:szCs w:val="21"/>
                <w:highlight w:val="none"/>
              </w:rPr>
              <w:t>在打分前根据</w:t>
            </w:r>
            <w:r>
              <w:rPr>
                <w:rFonts w:hint="eastAsia" w:ascii="宋体" w:hAnsi="宋体" w:eastAsia="宋体" w:cs="宋体"/>
                <w:b/>
                <w:bCs w:val="0"/>
                <w:color w:val="auto"/>
                <w:sz w:val="21"/>
                <w:szCs w:val="21"/>
                <w:highlight w:val="none"/>
                <w:lang w:val="en-US" w:eastAsia="zh-CN"/>
              </w:rPr>
              <w:t>供应商</w:t>
            </w:r>
            <w:r>
              <w:rPr>
                <w:rFonts w:hint="eastAsia" w:ascii="宋体" w:hAnsi="宋体" w:eastAsia="宋体" w:cs="宋体"/>
                <w:b/>
                <w:bCs w:val="0"/>
                <w:color w:val="auto"/>
                <w:sz w:val="21"/>
                <w:szCs w:val="21"/>
                <w:highlight w:val="none"/>
              </w:rPr>
              <w:t>提供的项目实施方案独立打分</w:t>
            </w:r>
            <w:r>
              <w:rPr>
                <w:rFonts w:hint="eastAsia" w:ascii="宋体" w:hAnsi="宋体" w:eastAsia="宋体" w:cs="宋体"/>
                <w:b/>
                <w:bCs w:val="0"/>
                <w:color w:val="auto"/>
                <w:sz w:val="21"/>
                <w:szCs w:val="21"/>
                <w:highlight w:val="none"/>
                <w:lang w:eastAsia="zh-CN"/>
              </w:rPr>
              <w:t>。</w:t>
            </w:r>
          </w:p>
          <w:p w14:paraId="2B51D40A">
            <w:pPr>
              <w:tabs>
                <w:tab w:val="left" w:pos="1470"/>
              </w:tabs>
              <w:spacing w:line="360" w:lineRule="auto"/>
              <w:ind w:firstLine="420"/>
              <w:rPr>
                <w:rFonts w:hint="eastAsia" w:ascii="宋体" w:hAnsi="宋体" w:eastAsia="宋体" w:cs="宋体"/>
                <w:color w:val="auto"/>
                <w:sz w:val="21"/>
                <w:szCs w:val="21"/>
                <w:highlight w:val="none"/>
                <w:lang w:val="zh-TW" w:eastAsia="zh-CN"/>
              </w:rPr>
            </w:pPr>
            <w:r>
              <w:rPr>
                <w:rFonts w:hint="eastAsia" w:ascii="宋体" w:hAnsi="宋体" w:eastAsia="宋体" w:cs="宋体"/>
                <w:color w:val="auto"/>
                <w:sz w:val="21"/>
                <w:szCs w:val="21"/>
                <w:highlight w:val="none"/>
                <w:lang w:val="zh-TW" w:eastAsia="zh-TW"/>
              </w:rPr>
              <w:t>一档（</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lang w:val="zh-TW" w:eastAsia="zh-TW"/>
              </w:rPr>
              <w:t>分）</w:t>
            </w:r>
            <w:r>
              <w:rPr>
                <w:rFonts w:hint="eastAsia" w:ascii="宋体" w:hAnsi="宋体" w:eastAsia="宋体" w:cs="宋体"/>
                <w:color w:val="auto"/>
                <w:sz w:val="21"/>
                <w:szCs w:val="21"/>
                <w:highlight w:val="none"/>
                <w:lang w:val="zh-TW" w:eastAsia="zh-CN"/>
              </w:rPr>
              <w:t>：</w:t>
            </w:r>
            <w:r>
              <w:rPr>
                <w:rFonts w:hint="eastAsia" w:ascii="宋体" w:hAnsi="宋体" w:eastAsia="宋体" w:cs="宋体"/>
                <w:color w:val="auto"/>
                <w:sz w:val="21"/>
                <w:szCs w:val="21"/>
                <w:highlight w:val="none"/>
                <w:lang w:val="zh-TW" w:eastAsia="zh-TW"/>
              </w:rPr>
              <w:t>方案内容简略，仅基础框架，勉强贴合项目基本实施要求，无细化部署与配套保障内容</w:t>
            </w:r>
            <w:r>
              <w:rPr>
                <w:rFonts w:hint="eastAsia" w:ascii="宋体" w:hAnsi="宋体" w:eastAsia="宋体" w:cs="宋体"/>
                <w:color w:val="auto"/>
                <w:sz w:val="21"/>
                <w:szCs w:val="21"/>
                <w:highlight w:val="none"/>
                <w:lang w:val="zh-TW" w:eastAsia="zh-CN"/>
              </w:rPr>
              <w:t>。</w:t>
            </w:r>
          </w:p>
          <w:p w14:paraId="7252C3D2">
            <w:pPr>
              <w:tabs>
                <w:tab w:val="left" w:pos="1470"/>
              </w:tabs>
              <w:spacing w:line="360" w:lineRule="auto"/>
              <w:ind w:firstLine="42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二档（10分）：</w:t>
            </w:r>
            <w:r>
              <w:rPr>
                <w:rFonts w:hint="eastAsia" w:ascii="宋体" w:hAnsi="宋体" w:eastAsia="宋体" w:cs="宋体"/>
                <w:color w:val="auto"/>
                <w:sz w:val="21"/>
                <w:szCs w:val="21"/>
                <w:highlight w:val="none"/>
                <w:lang w:val="zh-TW" w:eastAsia="zh-TW"/>
              </w:rPr>
              <w:t>方案内容相对完整，贴合网络租赁基础业务需求；项目人员配置齐全，岗位分工基本清晰，可平稳完成线路开通与常规运维。关键技术、线路适配性描述较为常规，具备基础安全防护思路，未细化风险管控、施工规范及验收流程，无完整项目管理体系文件</w:t>
            </w:r>
          </w:p>
          <w:p w14:paraId="080E4208">
            <w:pPr>
              <w:tabs>
                <w:tab w:val="left" w:pos="1470"/>
              </w:tabs>
              <w:spacing w:line="360" w:lineRule="auto"/>
              <w:ind w:firstLine="420"/>
              <w:rPr>
                <w:rFonts w:hint="eastAsia" w:ascii="宋体" w:hAnsi="宋体" w:eastAsia="宋体" w:cs="宋体"/>
                <w:color w:val="auto"/>
                <w:sz w:val="21"/>
                <w:szCs w:val="21"/>
                <w:highlight w:val="none"/>
                <w:lang w:val="zh-TW" w:eastAsia="zh-TW"/>
              </w:rPr>
            </w:pPr>
            <w:r>
              <w:rPr>
                <w:rFonts w:hint="eastAsia" w:ascii="宋体" w:hAnsi="宋体" w:eastAsia="宋体" w:cs="宋体"/>
                <w:color w:val="auto"/>
                <w:sz w:val="21"/>
                <w:szCs w:val="21"/>
                <w:highlight w:val="none"/>
                <w:lang w:val="en-US" w:eastAsia="zh-CN"/>
              </w:rPr>
              <w:t>三</w:t>
            </w:r>
            <w:r>
              <w:rPr>
                <w:rFonts w:hint="eastAsia" w:ascii="宋体" w:hAnsi="宋体" w:eastAsia="宋体" w:cs="宋体"/>
                <w:color w:val="auto"/>
                <w:sz w:val="21"/>
                <w:szCs w:val="21"/>
                <w:highlight w:val="none"/>
                <w:lang w:val="zh-TW" w:eastAsia="zh-TW"/>
              </w:rPr>
              <w:t>档（</w:t>
            </w:r>
            <w:r>
              <w:rPr>
                <w:rFonts w:hint="eastAsia" w:ascii="宋体" w:hAnsi="宋体" w:eastAsia="宋体" w:cs="宋体"/>
                <w:color w:val="auto"/>
                <w:sz w:val="21"/>
                <w:szCs w:val="21"/>
                <w:highlight w:val="none"/>
                <w:lang w:val="en-US" w:eastAsia="zh-CN"/>
              </w:rPr>
              <w:t>15</w:t>
            </w:r>
            <w:r>
              <w:rPr>
                <w:rFonts w:hint="eastAsia" w:ascii="宋体" w:hAnsi="宋体" w:eastAsia="宋体" w:cs="宋体"/>
                <w:color w:val="auto"/>
                <w:sz w:val="21"/>
                <w:szCs w:val="21"/>
                <w:highlight w:val="none"/>
                <w:lang w:val="zh-TW" w:eastAsia="zh-TW"/>
              </w:rPr>
              <w:t>分）：</w:t>
            </w:r>
            <w:r>
              <w:rPr>
                <w:rFonts w:hint="eastAsia" w:ascii="宋体" w:hAnsi="宋体" w:eastAsia="宋体" w:cs="宋体"/>
                <w:color w:val="auto"/>
                <w:sz w:val="21"/>
                <w:szCs w:val="21"/>
                <w:highlight w:val="none"/>
              </w:rPr>
              <w:t>方案编制详实规范，精准匹配本次网络租赁业务场景；线路带宽、链路架构、组网方式等核心技术要点表述清晰，线路传输稳定、网络安全防护体系完善，可有效保障日常业务平稳运行。具备完整项目组织架构图，各实施阶段工期、工作流程规划明确；配齐人员排班、现场施工、工程质量、风险防控、文明施工基础保障措施，拥有初步系统联调、竣工验收流程方案；项目团队配备2名高级工程师牵头负责实施工作。</w:t>
            </w:r>
          </w:p>
          <w:p w14:paraId="34A75032">
            <w:pPr>
              <w:tabs>
                <w:tab w:val="left" w:pos="1470"/>
              </w:tabs>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档（</w:t>
            </w:r>
            <w:r>
              <w:rPr>
                <w:rFonts w:hint="eastAsia" w:ascii="宋体" w:hAnsi="宋体" w:eastAsia="宋体" w:cs="宋体"/>
                <w:color w:val="auto"/>
                <w:sz w:val="21"/>
                <w:szCs w:val="21"/>
                <w:highlight w:val="none"/>
                <w:lang w:val="en-US" w:eastAsia="zh-CN"/>
              </w:rPr>
              <w:t>20</w:t>
            </w:r>
            <w:r>
              <w:rPr>
                <w:rFonts w:hint="eastAsia" w:ascii="宋体" w:hAnsi="宋体" w:eastAsia="宋体" w:cs="宋体"/>
                <w:color w:val="auto"/>
                <w:sz w:val="21"/>
                <w:szCs w:val="21"/>
                <w:highlight w:val="none"/>
              </w:rPr>
              <w:t>分）：综合评定优秀，方案详细，</w:t>
            </w:r>
            <w:r>
              <w:rPr>
                <w:rFonts w:hint="eastAsia" w:ascii="宋体" w:hAnsi="宋体" w:eastAsia="宋体" w:cs="宋体"/>
                <w:color w:val="auto"/>
                <w:sz w:val="21"/>
                <w:szCs w:val="21"/>
                <w:highlight w:val="none"/>
                <w:lang w:val="zh-TW" w:eastAsia="zh-TW"/>
              </w:rPr>
              <w:t>对关键技术点描述清晰、到位，完全满足线路租赁需求，具有很高的稳定性和安全性，能保障业务系统完全不受影响。</w:t>
            </w:r>
            <w:r>
              <w:rPr>
                <w:rFonts w:hint="eastAsia" w:ascii="宋体" w:hAnsi="宋体" w:eastAsia="宋体" w:cs="宋体"/>
                <w:color w:val="auto"/>
                <w:sz w:val="21"/>
                <w:szCs w:val="21"/>
                <w:highlight w:val="none"/>
                <w:lang w:val="en-US" w:eastAsia="zh-CN"/>
              </w:rPr>
              <w:t>维护</w:t>
            </w:r>
            <w:r>
              <w:rPr>
                <w:rFonts w:hint="eastAsia" w:ascii="宋体" w:hAnsi="宋体" w:eastAsia="宋体" w:cs="宋体"/>
                <w:color w:val="auto"/>
                <w:sz w:val="21"/>
                <w:szCs w:val="21"/>
                <w:highlight w:val="none"/>
              </w:rPr>
              <w:t>方案形成项目管理文档计划，有项目管理组织机构图，详细说明各个阶段工作安排，能说明人员安排，有工程实施安全保障措施、工程质量保证措施、项目风险管理措施、文明施工管理措施，能提供系统联调及验收方案。拟投入3个及以上高级工程师的团队参与项目实施。</w:t>
            </w:r>
          </w:p>
          <w:p w14:paraId="60C1CDA2">
            <w:pPr>
              <w:tabs>
                <w:tab w:val="left" w:pos="1470"/>
              </w:tabs>
              <w:spacing w:line="360" w:lineRule="auto"/>
              <w:ind w:firstLine="42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w:t>
            </w:r>
          </w:p>
          <w:p w14:paraId="5030BD6B">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项目实施方案中拟投入</w:t>
            </w:r>
            <w:r>
              <w:rPr>
                <w:rFonts w:hint="eastAsia" w:ascii="宋体" w:hAnsi="宋体" w:cs="宋体"/>
                <w:color w:val="auto"/>
                <w:sz w:val="21"/>
                <w:szCs w:val="21"/>
                <w:highlight w:val="none"/>
                <w:lang w:val="en-US" w:eastAsia="zh-CN"/>
              </w:rPr>
              <w:t>人员</w:t>
            </w:r>
            <w:r>
              <w:rPr>
                <w:rFonts w:hint="eastAsia" w:ascii="宋体" w:hAnsi="宋体" w:eastAsia="宋体" w:cs="宋体"/>
                <w:color w:val="auto"/>
                <w:sz w:val="21"/>
                <w:szCs w:val="21"/>
                <w:highlight w:val="none"/>
              </w:rPr>
              <w:t>，与服务方案中配置的</w:t>
            </w:r>
            <w:r>
              <w:rPr>
                <w:rFonts w:hint="eastAsia" w:ascii="宋体" w:hAnsi="宋体" w:cs="宋体"/>
                <w:color w:val="auto"/>
                <w:sz w:val="21"/>
                <w:szCs w:val="21"/>
                <w:highlight w:val="none"/>
                <w:lang w:val="en-US" w:eastAsia="zh-CN"/>
              </w:rPr>
              <w:t>人员</w:t>
            </w:r>
            <w:r>
              <w:rPr>
                <w:rFonts w:hint="eastAsia" w:ascii="宋体" w:hAnsi="宋体" w:eastAsia="宋体" w:cs="宋体"/>
                <w:color w:val="auto"/>
                <w:sz w:val="21"/>
                <w:szCs w:val="21"/>
                <w:highlight w:val="none"/>
              </w:rPr>
              <w:t>不得为同一人员，人员存在重复兼任情况的，本项内容不予计分</w:t>
            </w:r>
          </w:p>
          <w:p w14:paraId="620136A3">
            <w:pPr>
              <w:spacing w:line="360" w:lineRule="auto"/>
              <w:ind w:firstLine="420" w:firstLineChars="200"/>
              <w:rPr>
                <w:rFonts w:hint="eastAsia"/>
                <w:color w:val="auto"/>
                <w:highlight w:val="none"/>
                <w:lang w:eastAsia="zh-CN"/>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需</w:t>
            </w:r>
            <w:r>
              <w:rPr>
                <w:rFonts w:hint="eastAsia" w:ascii="宋体" w:hAnsi="宋体" w:eastAsia="宋体" w:cs="宋体"/>
                <w:color w:val="auto"/>
                <w:sz w:val="21"/>
                <w:szCs w:val="21"/>
                <w:highlight w:val="none"/>
              </w:rPr>
              <w:t>提供相关实施人员证书复印件并加盖</w:t>
            </w:r>
            <w:r>
              <w:rPr>
                <w:rFonts w:hint="eastAsia" w:ascii="宋体" w:hAnsi="宋体" w:eastAsia="宋体" w:cs="宋体"/>
                <w:color w:val="auto"/>
                <w:sz w:val="21"/>
                <w:szCs w:val="21"/>
                <w:highlight w:val="none"/>
                <w:lang w:val="en-US" w:eastAsia="zh-CN"/>
              </w:rPr>
              <w:t>供应商公章（或电子签章）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否则</w:t>
            </w:r>
            <w:r>
              <w:rPr>
                <w:rFonts w:hint="eastAsia" w:ascii="宋体" w:hAnsi="宋体" w:eastAsia="宋体" w:cs="宋体"/>
                <w:color w:val="auto"/>
                <w:sz w:val="21"/>
                <w:szCs w:val="21"/>
                <w:highlight w:val="none"/>
              </w:rPr>
              <w:t>不得分。</w:t>
            </w:r>
          </w:p>
        </w:tc>
      </w:tr>
      <w:tr w14:paraId="58049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4" w:type="dxa"/>
            <w:vMerge w:val="restart"/>
            <w:tcBorders>
              <w:left w:val="single" w:color="auto" w:sz="4" w:space="0"/>
              <w:right w:val="single" w:color="auto" w:sz="4" w:space="0"/>
            </w:tcBorders>
            <w:vAlign w:val="center"/>
          </w:tcPr>
          <w:p w14:paraId="12FE0826">
            <w:pPr>
              <w:adjustRightInd w:val="0"/>
              <w:spacing w:line="360" w:lineRule="auto"/>
              <w:jc w:val="center"/>
              <w:textAlignment w:val="baseline"/>
              <w:rPr>
                <w:rFonts w:hint="default" w:ascii="宋体" w:hAnsi="宋体" w:eastAsia="宋体" w:cs="宋体"/>
                <w:bCs/>
                <w:color w:val="auto"/>
                <w:sz w:val="24"/>
                <w:highlight w:val="none"/>
                <w:lang w:val="en-US" w:eastAsia="zh-CN"/>
              </w:rPr>
            </w:pPr>
            <w:r>
              <w:rPr>
                <w:rFonts w:hint="eastAsia" w:ascii="宋体" w:hAnsi="宋体" w:cs="宋体"/>
                <w:bCs/>
                <w:color w:val="auto"/>
                <w:sz w:val="24"/>
                <w:highlight w:val="none"/>
                <w:lang w:val="en-US" w:eastAsia="zh-CN"/>
              </w:rPr>
              <w:t>3.</w:t>
            </w:r>
          </w:p>
        </w:tc>
        <w:tc>
          <w:tcPr>
            <w:tcW w:w="1418" w:type="dxa"/>
            <w:vMerge w:val="restart"/>
            <w:tcBorders>
              <w:left w:val="single" w:color="auto" w:sz="4" w:space="0"/>
              <w:right w:val="single" w:color="auto" w:sz="4" w:space="0"/>
            </w:tcBorders>
            <w:vAlign w:val="center"/>
          </w:tcPr>
          <w:p w14:paraId="110212F0">
            <w:pPr>
              <w:adjustRightInd w:val="0"/>
              <w:spacing w:line="360" w:lineRule="auto"/>
              <w:jc w:val="center"/>
              <w:textAlignment w:val="baseline"/>
              <w:rPr>
                <w:rFonts w:hint="eastAsia" w:ascii="宋体" w:hAnsi="宋体"/>
                <w:bCs/>
                <w:color w:val="auto"/>
                <w:sz w:val="21"/>
                <w:szCs w:val="21"/>
                <w:highlight w:val="none"/>
              </w:rPr>
            </w:pPr>
            <w:r>
              <w:rPr>
                <w:rFonts w:hint="eastAsia" w:ascii="宋体" w:hAnsi="宋体"/>
                <w:bCs/>
                <w:color w:val="auto"/>
                <w:sz w:val="21"/>
                <w:szCs w:val="21"/>
                <w:highlight w:val="none"/>
              </w:rPr>
              <w:t>商务分</w:t>
            </w:r>
          </w:p>
          <w:p w14:paraId="289B2F78">
            <w:pPr>
              <w:adjustRightInd w:val="0"/>
              <w:snapToGrid w:val="0"/>
              <w:spacing w:line="360" w:lineRule="auto"/>
              <w:ind w:left="-105" w:leftChars="-50" w:right="-105" w:rightChars="-50"/>
              <w:jc w:val="center"/>
              <w:textAlignment w:val="baseline"/>
              <w:rPr>
                <w:rFonts w:ascii="宋体" w:hAnsi="宋体"/>
                <w:bCs/>
                <w:color w:val="auto"/>
                <w:sz w:val="21"/>
                <w:szCs w:val="21"/>
                <w:highlight w:val="none"/>
              </w:rPr>
            </w:pPr>
            <w:r>
              <w:rPr>
                <w:rFonts w:hint="eastAsia" w:ascii="宋体" w:hAnsi="宋体"/>
                <w:bCs/>
                <w:color w:val="auto"/>
                <w:sz w:val="21"/>
                <w:szCs w:val="21"/>
                <w:highlight w:val="none"/>
              </w:rPr>
              <w:t>（</w:t>
            </w:r>
            <w:r>
              <w:rPr>
                <w:rFonts w:hint="eastAsia" w:ascii="宋体" w:hAnsi="宋体" w:cs="宋体"/>
                <w:bCs/>
                <w:color w:val="auto"/>
                <w:sz w:val="21"/>
                <w:szCs w:val="21"/>
                <w:highlight w:val="none"/>
              </w:rPr>
              <w:t>满分</w:t>
            </w:r>
            <w:r>
              <w:rPr>
                <w:rFonts w:hint="eastAsia" w:ascii="宋体" w:hAnsi="宋体" w:cs="宋体"/>
                <w:bCs/>
                <w:color w:val="auto"/>
                <w:sz w:val="21"/>
                <w:szCs w:val="21"/>
                <w:highlight w:val="none"/>
                <w:lang w:val="en-US" w:eastAsia="zh-CN"/>
              </w:rPr>
              <w:t>43</w:t>
            </w:r>
            <w:r>
              <w:rPr>
                <w:rFonts w:hint="eastAsia" w:ascii="宋体" w:hAnsi="宋体"/>
                <w:bCs/>
                <w:color w:val="auto"/>
                <w:sz w:val="21"/>
                <w:szCs w:val="21"/>
                <w:highlight w:val="none"/>
              </w:rPr>
              <w:t>分）</w:t>
            </w:r>
          </w:p>
        </w:tc>
        <w:tc>
          <w:tcPr>
            <w:tcW w:w="1722" w:type="dxa"/>
            <w:tcBorders>
              <w:top w:val="single" w:color="auto" w:sz="4" w:space="0"/>
              <w:left w:val="single" w:color="auto" w:sz="4" w:space="0"/>
              <w:bottom w:val="single" w:color="auto" w:sz="4" w:space="0"/>
              <w:right w:val="single" w:color="auto" w:sz="4" w:space="0"/>
            </w:tcBorders>
            <w:vAlign w:val="center"/>
          </w:tcPr>
          <w:p w14:paraId="176AB705">
            <w:pPr>
              <w:adjustRightInd w:val="0"/>
              <w:spacing w:line="360" w:lineRule="auto"/>
              <w:jc w:val="center"/>
              <w:textAlignment w:val="baseline"/>
              <w:rPr>
                <w:rFonts w:ascii="宋体" w:hAnsi="宋体" w:cs="宋体"/>
                <w:bCs/>
                <w:color w:val="auto"/>
                <w:sz w:val="21"/>
                <w:szCs w:val="21"/>
                <w:highlight w:val="none"/>
              </w:rPr>
            </w:pP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1</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服务方案（满分20分）</w:t>
            </w:r>
          </w:p>
        </w:tc>
        <w:tc>
          <w:tcPr>
            <w:tcW w:w="5876" w:type="dxa"/>
            <w:tcBorders>
              <w:top w:val="single" w:color="auto" w:sz="4" w:space="0"/>
              <w:left w:val="single" w:color="auto" w:sz="4" w:space="0"/>
              <w:bottom w:val="single" w:color="auto" w:sz="4" w:space="0"/>
              <w:right w:val="single" w:color="auto" w:sz="4" w:space="0"/>
            </w:tcBorders>
            <w:vAlign w:val="center"/>
          </w:tcPr>
          <w:p w14:paraId="7A5CC7D6">
            <w:pPr>
              <w:widowControl/>
              <w:tabs>
                <w:tab w:val="left" w:pos="1440"/>
              </w:tabs>
              <w:snapToGrid w:val="0"/>
              <w:spacing w:line="360" w:lineRule="auto"/>
              <w:ind w:firstLine="420"/>
              <w:jc w:val="left"/>
              <w:rPr>
                <w:rFonts w:hint="eastAsia"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（1）</w:t>
            </w:r>
            <w:r>
              <w:rPr>
                <w:rFonts w:hint="eastAsia" w:ascii="宋体" w:hAnsi="宋体" w:eastAsia="宋体" w:cs="宋体"/>
                <w:b/>
                <w:color w:val="auto"/>
                <w:sz w:val="21"/>
                <w:szCs w:val="21"/>
                <w:highlight w:val="none"/>
              </w:rPr>
              <w:t>服务方案分：评委根据各</w:t>
            </w:r>
            <w:r>
              <w:rPr>
                <w:rFonts w:hint="eastAsia" w:ascii="宋体" w:hAnsi="宋体" w:eastAsia="宋体" w:cs="宋体"/>
                <w:b/>
                <w:color w:val="auto"/>
                <w:sz w:val="21"/>
                <w:szCs w:val="21"/>
                <w:highlight w:val="none"/>
                <w:lang w:eastAsia="zh-CN"/>
              </w:rPr>
              <w:t>供应商响应文件</w:t>
            </w:r>
            <w:r>
              <w:rPr>
                <w:rFonts w:hint="eastAsia" w:ascii="宋体" w:hAnsi="宋体" w:eastAsia="宋体" w:cs="宋体"/>
                <w:b/>
                <w:color w:val="auto"/>
                <w:sz w:val="21"/>
                <w:szCs w:val="21"/>
                <w:highlight w:val="none"/>
              </w:rPr>
              <w:t>中服务方案内容的完整性、可行性、</w:t>
            </w:r>
            <w:r>
              <w:rPr>
                <w:rFonts w:hint="eastAsia" w:ascii="宋体" w:hAnsi="宋体" w:eastAsia="宋体" w:cs="宋体"/>
                <w:b/>
                <w:color w:val="auto"/>
                <w:sz w:val="21"/>
                <w:szCs w:val="21"/>
                <w:highlight w:val="none"/>
                <w:lang w:val="en-US" w:eastAsia="zh-CN"/>
              </w:rPr>
              <w:t>到</w:t>
            </w:r>
            <w:r>
              <w:rPr>
                <w:rFonts w:hint="eastAsia" w:ascii="宋体" w:hAnsi="宋体" w:eastAsia="宋体" w:cs="宋体"/>
                <w:b/>
                <w:color w:val="auto"/>
                <w:sz w:val="21"/>
                <w:szCs w:val="21"/>
                <w:highlight w:val="none"/>
              </w:rPr>
              <w:t>达故障现场时间、故障出现解决方案、定期维护（注明时间）、免费技术培训方案、免费维护期外维护方案、其他优惠措施等内容独立打分。</w:t>
            </w:r>
          </w:p>
          <w:p w14:paraId="44524703">
            <w:pPr>
              <w:pStyle w:val="17"/>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一档（</w:t>
            </w:r>
            <w:r>
              <w:rPr>
                <w:rFonts w:hint="eastAsia"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提供了服务方案的，满足采购需求的；</w:t>
            </w:r>
          </w:p>
          <w:p w14:paraId="54B8CECF">
            <w:pPr>
              <w:pStyle w:val="17"/>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二档（10分）</w:t>
            </w:r>
            <w:r>
              <w:rPr>
                <w:rFonts w:hint="eastAsia"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提供的方案在满足一档的情况下，人员配备</w:t>
            </w:r>
            <w:r>
              <w:rPr>
                <w:rFonts w:hint="eastAsia" w:ascii="宋体" w:hAnsi="宋体" w:eastAsia="宋体" w:cs="宋体"/>
                <w:color w:val="auto"/>
                <w:sz w:val="21"/>
                <w:szCs w:val="21"/>
                <w:highlight w:val="none"/>
                <w:lang w:val="en-US" w:eastAsia="zh-CN"/>
              </w:rPr>
              <w:t>齐全</w:t>
            </w:r>
            <w:r>
              <w:rPr>
                <w:rFonts w:hint="eastAsia" w:ascii="宋体" w:hAnsi="宋体" w:eastAsia="宋体" w:cs="宋体"/>
                <w:color w:val="auto"/>
                <w:sz w:val="21"/>
                <w:szCs w:val="21"/>
                <w:highlight w:val="none"/>
              </w:rPr>
              <w:t>，服务技术设备产品保修期限</w:t>
            </w:r>
            <w:r>
              <w:rPr>
                <w:rFonts w:hint="eastAsia" w:hAnsi="宋体" w:eastAsia="宋体" w:cs="宋体"/>
                <w:color w:val="auto"/>
                <w:sz w:val="21"/>
                <w:szCs w:val="21"/>
                <w:highlight w:val="none"/>
                <w:lang w:val="en-US" w:eastAsia="zh-CN"/>
              </w:rPr>
              <w:t>达到</w:t>
            </w:r>
            <w:r>
              <w:rPr>
                <w:rFonts w:hint="eastAsia" w:ascii="宋体" w:hAnsi="宋体" w:eastAsia="宋体" w:cs="宋体"/>
                <w:color w:val="auto"/>
                <w:sz w:val="21"/>
                <w:szCs w:val="21"/>
                <w:highlight w:val="none"/>
              </w:rPr>
              <w:t>项目</w:t>
            </w:r>
            <w:r>
              <w:rPr>
                <w:rFonts w:hint="eastAsia" w:hAnsi="宋体" w:eastAsia="宋体" w:cs="宋体"/>
                <w:color w:val="auto"/>
                <w:sz w:val="21"/>
                <w:szCs w:val="21"/>
                <w:highlight w:val="none"/>
                <w:lang w:val="en-US" w:eastAsia="zh-CN"/>
              </w:rPr>
              <w:t>基本</w:t>
            </w:r>
            <w:r>
              <w:rPr>
                <w:rFonts w:hint="eastAsia" w:ascii="宋体" w:hAnsi="宋体" w:eastAsia="宋体" w:cs="宋体"/>
                <w:color w:val="auto"/>
                <w:sz w:val="21"/>
                <w:szCs w:val="21"/>
                <w:highlight w:val="none"/>
              </w:rPr>
              <w:t>需求</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服务团队不少于</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人。其中</w:t>
            </w:r>
            <w:r>
              <w:rPr>
                <w:rFonts w:hint="eastAsia" w:ascii="宋体" w:hAnsi="宋体" w:eastAsia="宋体" w:cs="宋体"/>
                <w:color w:val="auto"/>
                <w:sz w:val="21"/>
                <w:szCs w:val="21"/>
                <w:highlight w:val="none"/>
                <w:lang w:val="en-US" w:eastAsia="zh-CN"/>
              </w:rPr>
              <w:t>售后服务团队负责人</w:t>
            </w:r>
            <w:r>
              <w:rPr>
                <w:rFonts w:hint="eastAsia" w:ascii="宋体" w:hAnsi="宋体" w:eastAsia="宋体" w:cs="宋体"/>
                <w:color w:val="auto"/>
                <w:sz w:val="21"/>
                <w:szCs w:val="21"/>
                <w:highlight w:val="none"/>
              </w:rPr>
              <w:t>1人，运维工程师不少于</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人(其中1人具备信息系统项目管理师证书)；服务工程师不少于</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人</w:t>
            </w:r>
            <w:r>
              <w:rPr>
                <w:rFonts w:hint="eastAsia" w:ascii="宋体" w:hAnsi="宋体" w:eastAsia="宋体" w:cs="宋体"/>
                <w:b/>
                <w:bCs/>
                <w:color w:val="auto"/>
                <w:sz w:val="21"/>
                <w:szCs w:val="21"/>
                <w:highlight w:val="none"/>
              </w:rPr>
              <w:t>（供应商于响应文件中提供相应人员的有效证明材料复印件并加盖供应商电子签章</w:t>
            </w:r>
            <w:r>
              <w:rPr>
                <w:rFonts w:hint="eastAsia" w:hAnsi="宋体" w:cs="宋体"/>
                <w:b/>
                <w:bCs/>
                <w:color w:val="auto"/>
                <w:sz w:val="21"/>
                <w:szCs w:val="21"/>
                <w:highlight w:val="none"/>
                <w:lang w:eastAsia="zh-CN"/>
              </w:rPr>
              <w:t>，</w:t>
            </w:r>
            <w:r>
              <w:rPr>
                <w:rFonts w:hint="eastAsia" w:hAnsi="宋体" w:cs="宋体"/>
                <w:b/>
                <w:bCs/>
                <w:color w:val="auto"/>
                <w:sz w:val="21"/>
                <w:szCs w:val="21"/>
                <w:highlight w:val="none"/>
                <w:lang w:val="en-US" w:eastAsia="zh-CN"/>
              </w:rPr>
              <w:t>否则不予计分</w:t>
            </w:r>
            <w:r>
              <w:rPr>
                <w:rFonts w:hint="eastAsia" w:ascii="宋体" w:hAnsi="宋体" w:eastAsia="宋体" w:cs="宋体"/>
                <w:b/>
                <w:bCs/>
                <w:color w:val="auto"/>
                <w:sz w:val="21"/>
                <w:szCs w:val="21"/>
                <w:highlight w:val="none"/>
              </w:rPr>
              <w:t>）；</w:t>
            </w:r>
          </w:p>
          <w:p w14:paraId="1D40519E">
            <w:pPr>
              <w:pStyle w:val="17"/>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hAnsi="宋体" w:eastAsia="宋体" w:cs="宋体"/>
                <w:color w:val="auto"/>
                <w:sz w:val="21"/>
                <w:szCs w:val="21"/>
                <w:highlight w:val="none"/>
                <w:lang w:val="en-US" w:eastAsia="zh-CN"/>
              </w:rPr>
              <w:t>三</w:t>
            </w:r>
            <w:r>
              <w:rPr>
                <w:rFonts w:hint="eastAsia" w:ascii="宋体" w:hAnsi="宋体" w:eastAsia="宋体" w:cs="宋体"/>
                <w:color w:val="auto"/>
                <w:sz w:val="21"/>
                <w:szCs w:val="21"/>
                <w:highlight w:val="none"/>
              </w:rPr>
              <w:t>档（</w:t>
            </w:r>
            <w:r>
              <w:rPr>
                <w:rFonts w:hint="eastAsia" w:ascii="宋体" w:hAnsi="宋体" w:eastAsia="宋体" w:cs="宋体"/>
                <w:color w:val="auto"/>
                <w:sz w:val="21"/>
                <w:szCs w:val="21"/>
                <w:highlight w:val="none"/>
                <w:lang w:val="en-US" w:eastAsia="zh-CN"/>
              </w:rPr>
              <w:t>1</w:t>
            </w:r>
            <w:r>
              <w:rPr>
                <w:rFonts w:hint="eastAsia"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提供的方案在满足</w:t>
            </w:r>
            <w:r>
              <w:rPr>
                <w:rFonts w:hint="eastAsia" w:hAnsi="宋体" w:eastAsia="宋体" w:cs="宋体"/>
                <w:color w:val="auto"/>
                <w:sz w:val="21"/>
                <w:szCs w:val="21"/>
                <w:highlight w:val="none"/>
                <w:lang w:val="en-US" w:eastAsia="zh-CN"/>
              </w:rPr>
              <w:t>二</w:t>
            </w:r>
            <w:r>
              <w:rPr>
                <w:rFonts w:hint="eastAsia" w:ascii="宋体" w:hAnsi="宋体" w:eastAsia="宋体" w:cs="宋体"/>
                <w:color w:val="auto"/>
                <w:sz w:val="21"/>
                <w:szCs w:val="21"/>
                <w:highlight w:val="none"/>
              </w:rPr>
              <w:t>档的情况下，人员配备全面，服务流程合理，服务技术设备产品保修期限满足项目需求，提供的故障出现解决方案、定期维护（注明时间）、免费保修外维护方案详细可行，且提供有具体的培训计划</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服务团队不少于12人。其中</w:t>
            </w:r>
            <w:r>
              <w:rPr>
                <w:rFonts w:hint="eastAsia" w:ascii="宋体" w:hAnsi="宋体" w:eastAsia="宋体" w:cs="宋体"/>
                <w:color w:val="auto"/>
                <w:sz w:val="21"/>
                <w:szCs w:val="21"/>
                <w:highlight w:val="none"/>
                <w:lang w:val="en-US" w:eastAsia="zh-CN"/>
              </w:rPr>
              <w:t>售后服务团队负责人</w:t>
            </w:r>
            <w:r>
              <w:rPr>
                <w:rFonts w:hint="eastAsia" w:ascii="宋体" w:hAnsi="宋体" w:eastAsia="宋体" w:cs="宋体"/>
                <w:color w:val="auto"/>
                <w:sz w:val="21"/>
                <w:szCs w:val="21"/>
                <w:highlight w:val="none"/>
              </w:rPr>
              <w:t>1人，运维工程师不少于4人(其中1人具备信息系统项目管理师及CISO证书)；服务工程师不少于6人</w:t>
            </w:r>
            <w:r>
              <w:rPr>
                <w:rFonts w:hint="eastAsia" w:ascii="宋体" w:hAnsi="宋体" w:eastAsia="宋体" w:cs="宋体"/>
                <w:b/>
                <w:bCs/>
                <w:color w:val="auto"/>
                <w:sz w:val="21"/>
                <w:szCs w:val="21"/>
                <w:highlight w:val="none"/>
              </w:rPr>
              <w:t>（供应商于响应文件中提供相应人员的有效证明材料复印件并加盖供应商电子签章</w:t>
            </w:r>
            <w:r>
              <w:rPr>
                <w:rFonts w:hint="eastAsia" w:hAnsi="宋体" w:cs="宋体"/>
                <w:b/>
                <w:bCs/>
                <w:color w:val="auto"/>
                <w:sz w:val="21"/>
                <w:szCs w:val="21"/>
                <w:highlight w:val="none"/>
                <w:lang w:eastAsia="zh-CN"/>
              </w:rPr>
              <w:t>，</w:t>
            </w:r>
            <w:r>
              <w:rPr>
                <w:rFonts w:hint="eastAsia" w:hAnsi="宋体" w:cs="宋体"/>
                <w:b/>
                <w:bCs/>
                <w:color w:val="auto"/>
                <w:sz w:val="21"/>
                <w:szCs w:val="21"/>
                <w:highlight w:val="none"/>
                <w:lang w:val="en-US" w:eastAsia="zh-CN"/>
              </w:rPr>
              <w:t>否则不予计分</w:t>
            </w:r>
            <w:r>
              <w:rPr>
                <w:rFonts w:hint="eastAsia" w:ascii="宋体" w:hAnsi="宋体" w:eastAsia="宋体" w:cs="宋体"/>
                <w:b/>
                <w:bCs/>
                <w:color w:val="auto"/>
                <w:sz w:val="21"/>
                <w:szCs w:val="21"/>
                <w:highlight w:val="none"/>
              </w:rPr>
              <w:t>）；</w:t>
            </w:r>
            <w:r>
              <w:rPr>
                <w:rFonts w:hint="eastAsia" w:ascii="宋体" w:hAnsi="宋体" w:eastAsia="宋体" w:cs="宋体"/>
                <w:color w:val="auto"/>
                <w:sz w:val="21"/>
                <w:szCs w:val="21"/>
                <w:highlight w:val="none"/>
              </w:rPr>
              <w:t xml:space="preserve"> </w:t>
            </w:r>
          </w:p>
          <w:p w14:paraId="36C7079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Ansi="宋体" w:cs="宋体"/>
                <w:bCs/>
                <w:color w:val="auto"/>
                <w:kern w:val="2"/>
                <w:sz w:val="21"/>
                <w:szCs w:val="21"/>
                <w:highlight w:val="none"/>
              </w:rPr>
            </w:pP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kern w:val="0"/>
                <w:sz w:val="21"/>
                <w:szCs w:val="21"/>
                <w:highlight w:val="none"/>
                <w:lang w:val="en-US" w:eastAsia="zh-CN" w:bidi="ar-SA"/>
              </w:rPr>
              <w:t>档（20分）：供应商提供的方案在满足三档的情况下，人员配备全面并具有针对性，提供有明确完善的用户回访、保密承诺及针对性的故障解决内容，方案表述清晰详细，可操作性强；供应商培训计划内容详实，安排合理服务团队不少于20人，拟投入售后服务团队负责人具有计算机类高级工程师和CDA数据分析师证书，运维工程师不少于6人(其中1人具备信息安全工程师证书、</w:t>
            </w:r>
            <w:r>
              <w:rPr>
                <w:rFonts w:hint="eastAsia" w:ascii="宋体" w:hAnsi="宋体" w:eastAsia="宋体" w:cs="宋体"/>
                <w:bCs/>
                <w:color w:val="auto"/>
                <w:sz w:val="21"/>
                <w:szCs w:val="21"/>
                <w:highlight w:val="none"/>
                <w:lang w:val="en-US" w:eastAsia="zh-CN"/>
              </w:rPr>
              <w:t>1人具备信</w:t>
            </w:r>
            <w:r>
              <w:rPr>
                <w:rFonts w:hint="eastAsia" w:ascii="宋体" w:hAnsi="宋体" w:eastAsia="宋体" w:cs="宋体"/>
                <w:b/>
                <w:bCs w:val="0"/>
                <w:color w:val="auto"/>
                <w:sz w:val="21"/>
                <w:szCs w:val="21"/>
                <w:highlight w:val="none"/>
                <w:lang w:val="en-US" w:eastAsia="zh-CN"/>
              </w:rPr>
              <w:t>息系统项目管理师及CISO证书</w:t>
            </w:r>
            <w:r>
              <w:rPr>
                <w:rFonts w:hint="eastAsia" w:hAnsi="宋体" w:cs="宋体"/>
                <w:b/>
                <w:bCs w:val="0"/>
                <w:color w:val="auto"/>
                <w:sz w:val="21"/>
                <w:szCs w:val="21"/>
                <w:highlight w:val="none"/>
                <w:lang w:val="en-US" w:eastAsia="zh-CN"/>
              </w:rPr>
              <w:t>，</w:t>
            </w:r>
            <w:r>
              <w:rPr>
                <w:rFonts w:hint="eastAsia" w:ascii="宋体" w:hAnsi="宋体" w:eastAsia="宋体" w:cs="宋体"/>
                <w:bCs/>
                <w:color w:val="auto"/>
                <w:sz w:val="21"/>
                <w:szCs w:val="21"/>
                <w:highlight w:val="none"/>
                <w:lang w:val="en-US" w:eastAsia="zh-CN"/>
              </w:rPr>
              <w:t>2</w:t>
            </w:r>
            <w:r>
              <w:rPr>
                <w:rFonts w:hint="eastAsia" w:ascii="宋体" w:hAnsi="宋体" w:eastAsia="宋体" w:cs="宋体"/>
                <w:color w:val="auto"/>
                <w:kern w:val="0"/>
                <w:sz w:val="21"/>
                <w:szCs w:val="21"/>
                <w:highlight w:val="none"/>
                <w:lang w:val="en-US" w:eastAsia="zh-CN" w:bidi="ar-SA"/>
              </w:rPr>
              <w:t>人具备信息系统项目管理师证书)；服务工程师不少于12人</w:t>
            </w:r>
            <w:r>
              <w:rPr>
                <w:rFonts w:hint="eastAsia" w:ascii="宋体" w:hAnsi="宋体" w:eastAsia="宋体" w:cs="宋体"/>
                <w:b/>
                <w:bCs w:val="0"/>
                <w:color w:val="auto"/>
                <w:sz w:val="21"/>
                <w:szCs w:val="21"/>
                <w:highlight w:val="none"/>
                <w:lang w:val="en-US" w:eastAsia="zh-CN"/>
              </w:rPr>
              <w:t>（供应商于响应文件中提供相应人员的有效证明材料复印件并加盖供应商电子签章</w:t>
            </w:r>
            <w:r>
              <w:rPr>
                <w:rFonts w:hint="eastAsia" w:hAnsi="宋体" w:cs="宋体"/>
                <w:b/>
                <w:bCs/>
                <w:color w:val="auto"/>
                <w:sz w:val="21"/>
                <w:szCs w:val="21"/>
                <w:highlight w:val="none"/>
                <w:lang w:eastAsia="zh-CN"/>
              </w:rPr>
              <w:t>，</w:t>
            </w:r>
            <w:r>
              <w:rPr>
                <w:rFonts w:hint="eastAsia" w:hAnsi="宋体" w:cs="宋体"/>
                <w:b/>
                <w:bCs/>
                <w:color w:val="auto"/>
                <w:sz w:val="21"/>
                <w:szCs w:val="21"/>
                <w:highlight w:val="none"/>
                <w:lang w:val="en-US" w:eastAsia="zh-CN"/>
              </w:rPr>
              <w:t>否则不予计分</w:t>
            </w:r>
            <w:r>
              <w:rPr>
                <w:rFonts w:hint="eastAsia" w:ascii="宋体" w:hAnsi="宋体" w:eastAsia="宋体" w:cs="宋体"/>
                <w:b/>
                <w:bCs w:val="0"/>
                <w:color w:val="auto"/>
                <w:sz w:val="21"/>
                <w:szCs w:val="21"/>
                <w:highlight w:val="none"/>
                <w:lang w:val="en-US" w:eastAsia="zh-CN"/>
              </w:rPr>
              <w:t>）。</w:t>
            </w:r>
          </w:p>
        </w:tc>
      </w:tr>
      <w:tr w14:paraId="14A35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4" w:type="dxa"/>
            <w:vMerge w:val="continue"/>
            <w:tcBorders>
              <w:left w:val="single" w:color="auto" w:sz="4" w:space="0"/>
              <w:right w:val="single" w:color="auto" w:sz="4" w:space="0"/>
            </w:tcBorders>
            <w:vAlign w:val="center"/>
          </w:tcPr>
          <w:p w14:paraId="7163A060">
            <w:pPr>
              <w:adjustRightInd w:val="0"/>
              <w:spacing w:line="360" w:lineRule="auto"/>
              <w:jc w:val="center"/>
              <w:textAlignment w:val="baseline"/>
              <w:rPr>
                <w:rFonts w:hint="eastAsia" w:ascii="宋体" w:hAnsi="宋体" w:cs="宋体"/>
                <w:bCs/>
                <w:color w:val="auto"/>
                <w:sz w:val="24"/>
                <w:highlight w:val="none"/>
                <w:lang w:val="en-US" w:eastAsia="zh-CN"/>
              </w:rPr>
            </w:pPr>
          </w:p>
        </w:tc>
        <w:tc>
          <w:tcPr>
            <w:tcW w:w="1418" w:type="dxa"/>
            <w:vMerge w:val="continue"/>
            <w:tcBorders>
              <w:left w:val="single" w:color="auto" w:sz="4" w:space="0"/>
              <w:right w:val="single" w:color="auto" w:sz="4" w:space="0"/>
            </w:tcBorders>
            <w:vAlign w:val="center"/>
          </w:tcPr>
          <w:p w14:paraId="168196B7">
            <w:pPr>
              <w:adjustRightInd w:val="0"/>
              <w:snapToGrid w:val="0"/>
              <w:spacing w:line="360" w:lineRule="auto"/>
              <w:ind w:left="-105" w:leftChars="-50" w:right="-105" w:rightChars="-50"/>
              <w:jc w:val="center"/>
              <w:textAlignment w:val="baseline"/>
              <w:rPr>
                <w:rFonts w:hint="eastAsia" w:ascii="宋体" w:hAnsi="宋体"/>
                <w:bCs/>
                <w:color w:val="auto"/>
                <w:sz w:val="21"/>
                <w:szCs w:val="21"/>
                <w:highlight w:val="none"/>
              </w:rPr>
            </w:pPr>
          </w:p>
        </w:tc>
        <w:tc>
          <w:tcPr>
            <w:tcW w:w="1722" w:type="dxa"/>
            <w:tcBorders>
              <w:top w:val="single" w:color="auto" w:sz="4" w:space="0"/>
              <w:left w:val="single" w:color="auto" w:sz="4" w:space="0"/>
              <w:bottom w:val="single" w:color="auto" w:sz="4" w:space="0"/>
              <w:right w:val="single" w:color="auto" w:sz="4" w:space="0"/>
            </w:tcBorders>
            <w:vAlign w:val="center"/>
          </w:tcPr>
          <w:p w14:paraId="7F5D7C1F">
            <w:pPr>
              <w:adjustRightInd w:val="0"/>
              <w:spacing w:line="360" w:lineRule="auto"/>
              <w:jc w:val="center"/>
              <w:textAlignment w:val="baseline"/>
              <w:rPr>
                <w:rFonts w:hint="eastAsia" w:ascii="宋体" w:hAnsi="宋体" w:cs="宋体"/>
                <w:bCs/>
                <w:color w:val="auto"/>
                <w:sz w:val="21"/>
                <w:szCs w:val="21"/>
                <w:highlight w:val="none"/>
                <w:lang w:eastAsia="zh-CN"/>
              </w:rPr>
            </w:pP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2</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售后服务能力保障分。（满分9分）</w:t>
            </w:r>
          </w:p>
        </w:tc>
        <w:tc>
          <w:tcPr>
            <w:tcW w:w="5876" w:type="dxa"/>
            <w:tcBorders>
              <w:top w:val="single" w:color="auto" w:sz="4" w:space="0"/>
              <w:left w:val="single" w:color="auto" w:sz="4" w:space="0"/>
              <w:bottom w:val="single" w:color="auto" w:sz="4" w:space="0"/>
              <w:right w:val="single" w:color="auto" w:sz="4" w:space="0"/>
            </w:tcBorders>
            <w:vAlign w:val="center"/>
          </w:tcPr>
          <w:p w14:paraId="01AAABC9">
            <w:pPr>
              <w:pStyle w:val="17"/>
              <w:spacing w:line="360" w:lineRule="auto"/>
              <w:ind w:firstLine="420" w:firstLineChars="200"/>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①供应商提供的运维保障方案中承诺服务期内提供有针对户外监控维护作业的高空作业维护车辆（车辆类型：中型专项作业车或以上档次），在用车辆可以是供应商的固定资产或租赁车辆，如是供应商固定资产，则以供应商提供的车辆行驶证复印件并加盖供应商单位CA签章；如是供应商的租赁车辆，则需提供租赁公司营业执照复印件（或租赁人身份证复印件）、租赁合同复印件及车辆行驶证复印件证明材料并加盖供应商单位CA签章的（租赁时间必须大于项目合同履行期限），得5分，满分5分。</w:t>
            </w:r>
          </w:p>
          <w:p w14:paraId="16EB2548">
            <w:pPr>
              <w:pStyle w:val="17"/>
              <w:spacing w:line="360" w:lineRule="auto"/>
              <w:ind w:firstLine="420" w:firstLineChars="200"/>
              <w:rPr>
                <w:rFonts w:hAnsi="宋体" w:cs="宋体"/>
                <w:bCs/>
                <w:color w:val="auto"/>
                <w:kern w:val="2"/>
                <w:sz w:val="21"/>
                <w:szCs w:val="21"/>
                <w:highlight w:val="none"/>
              </w:rPr>
            </w:pPr>
            <w:r>
              <w:rPr>
                <w:rFonts w:hint="eastAsia" w:ascii="宋体" w:hAnsi="宋体" w:eastAsia="宋体" w:cs="宋体"/>
                <w:bCs/>
                <w:color w:val="auto"/>
                <w:sz w:val="21"/>
                <w:szCs w:val="21"/>
                <w:highlight w:val="none"/>
                <w:lang w:val="en-US" w:eastAsia="zh-CN"/>
              </w:rPr>
              <w:t>②供应商提供的运维保障方案中承诺服务期内</w:t>
            </w:r>
            <w:r>
              <w:rPr>
                <w:rFonts w:hint="eastAsia" w:hAnsi="宋体" w:cs="宋体"/>
                <w:bCs/>
                <w:color w:val="auto"/>
                <w:sz w:val="21"/>
                <w:szCs w:val="21"/>
                <w:highlight w:val="none"/>
                <w:lang w:val="en-US" w:eastAsia="zh-CN"/>
              </w:rPr>
              <w:t>的</w:t>
            </w:r>
            <w:r>
              <w:rPr>
                <w:rFonts w:hint="eastAsia" w:ascii="宋体" w:hAnsi="宋体" w:eastAsia="宋体" w:cs="宋体"/>
                <w:bCs/>
                <w:color w:val="auto"/>
                <w:sz w:val="21"/>
                <w:szCs w:val="21"/>
                <w:highlight w:val="none"/>
                <w:lang w:val="en-US" w:eastAsia="zh-CN"/>
              </w:rPr>
              <w:t>服务人员同时具备中华人民共和国特种作业操作证（高处作业和电工作业），每提供1人得2分（需提供特种作业操作证复印件），满分4分。</w:t>
            </w:r>
          </w:p>
        </w:tc>
      </w:tr>
      <w:tr w14:paraId="00839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4" w:type="dxa"/>
            <w:vMerge w:val="continue"/>
            <w:tcBorders>
              <w:left w:val="single" w:color="auto" w:sz="4" w:space="0"/>
              <w:bottom w:val="single" w:color="auto" w:sz="4" w:space="0"/>
              <w:right w:val="single" w:color="auto" w:sz="4" w:space="0"/>
            </w:tcBorders>
            <w:vAlign w:val="center"/>
          </w:tcPr>
          <w:p w14:paraId="10388105">
            <w:pPr>
              <w:adjustRightInd w:val="0"/>
              <w:spacing w:line="360" w:lineRule="auto"/>
              <w:jc w:val="center"/>
              <w:textAlignment w:val="baseline"/>
              <w:rPr>
                <w:rFonts w:hint="eastAsia" w:ascii="宋体" w:hAnsi="宋体" w:cs="宋体"/>
                <w:bCs/>
                <w:color w:val="auto"/>
                <w:sz w:val="24"/>
                <w:highlight w:val="none"/>
                <w:lang w:val="en-US" w:eastAsia="zh-CN"/>
              </w:rPr>
            </w:pPr>
          </w:p>
        </w:tc>
        <w:tc>
          <w:tcPr>
            <w:tcW w:w="1418" w:type="dxa"/>
            <w:vMerge w:val="continue"/>
            <w:tcBorders>
              <w:left w:val="single" w:color="auto" w:sz="4" w:space="0"/>
              <w:bottom w:val="single" w:color="auto" w:sz="4" w:space="0"/>
              <w:right w:val="single" w:color="auto" w:sz="4" w:space="0"/>
            </w:tcBorders>
            <w:vAlign w:val="center"/>
          </w:tcPr>
          <w:p w14:paraId="7A0FF4FB">
            <w:pPr>
              <w:adjustRightInd w:val="0"/>
              <w:snapToGrid w:val="0"/>
              <w:spacing w:line="360" w:lineRule="auto"/>
              <w:ind w:left="-105" w:leftChars="-50" w:right="-105" w:rightChars="-50"/>
              <w:jc w:val="center"/>
              <w:textAlignment w:val="baseline"/>
              <w:rPr>
                <w:rFonts w:hint="eastAsia" w:ascii="宋体" w:hAnsi="宋体"/>
                <w:bCs/>
                <w:color w:val="auto"/>
                <w:szCs w:val="21"/>
                <w:highlight w:val="none"/>
              </w:rPr>
            </w:pPr>
          </w:p>
        </w:tc>
        <w:tc>
          <w:tcPr>
            <w:tcW w:w="1722" w:type="dxa"/>
            <w:tcBorders>
              <w:top w:val="single" w:color="auto" w:sz="4" w:space="0"/>
              <w:left w:val="single" w:color="auto" w:sz="4" w:space="0"/>
              <w:bottom w:val="single" w:color="auto" w:sz="4" w:space="0"/>
              <w:right w:val="single" w:color="auto" w:sz="4" w:space="0"/>
            </w:tcBorders>
            <w:vAlign w:val="center"/>
          </w:tcPr>
          <w:p w14:paraId="7BFB25E1">
            <w:pPr>
              <w:adjustRightInd w:val="0"/>
              <w:spacing w:line="360" w:lineRule="auto"/>
              <w:jc w:val="center"/>
              <w:textAlignment w:val="baseline"/>
              <w:rPr>
                <w:rFonts w:hint="eastAsia" w:ascii="宋体" w:hAnsi="宋体" w:cs="宋体"/>
                <w:bCs/>
                <w:color w:val="auto"/>
                <w:sz w:val="21"/>
                <w:szCs w:val="21"/>
                <w:highlight w:val="none"/>
                <w:lang w:eastAsia="zh-CN"/>
              </w:rPr>
            </w:pP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3</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履约能力分（满分</w:t>
            </w:r>
            <w:r>
              <w:rPr>
                <w:rFonts w:hint="eastAsia" w:ascii="宋体" w:hAnsi="宋体" w:cs="宋体"/>
                <w:bCs/>
                <w:color w:val="auto"/>
                <w:sz w:val="21"/>
                <w:szCs w:val="21"/>
                <w:highlight w:val="none"/>
                <w:lang w:val="en-US" w:eastAsia="zh-CN"/>
              </w:rPr>
              <w:t>14</w:t>
            </w:r>
            <w:r>
              <w:rPr>
                <w:rFonts w:hint="eastAsia" w:ascii="宋体" w:hAnsi="宋体" w:eastAsia="宋体" w:cs="宋体"/>
                <w:bCs/>
                <w:color w:val="auto"/>
                <w:sz w:val="21"/>
                <w:szCs w:val="21"/>
                <w:highlight w:val="none"/>
                <w:lang w:val="en-US" w:eastAsia="zh-CN"/>
              </w:rPr>
              <w:t>分）</w:t>
            </w:r>
          </w:p>
        </w:tc>
        <w:tc>
          <w:tcPr>
            <w:tcW w:w="5876" w:type="dxa"/>
            <w:tcBorders>
              <w:top w:val="single" w:color="auto" w:sz="4" w:space="0"/>
              <w:left w:val="single" w:color="auto" w:sz="4" w:space="0"/>
              <w:bottom w:val="single" w:color="auto" w:sz="4" w:space="0"/>
              <w:right w:val="single" w:color="auto" w:sz="4" w:space="0"/>
            </w:tcBorders>
            <w:vAlign w:val="center"/>
          </w:tcPr>
          <w:p w14:paraId="3FE719D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lang w:val="en-US" w:eastAsia="zh-CN"/>
              </w:rPr>
            </w:pPr>
            <w:r>
              <w:rPr>
                <w:rFonts w:hint="eastAsia" w:hAnsi="宋体" w:cs="宋体"/>
                <w:bCs/>
                <w:color w:val="auto"/>
                <w:kern w:val="2"/>
                <w:sz w:val="21"/>
                <w:szCs w:val="21"/>
                <w:highlight w:val="none"/>
              </w:rPr>
              <w:t>（1）</w:t>
            </w:r>
            <w:r>
              <w:rPr>
                <w:rFonts w:hint="eastAsia" w:hAnsi="宋体" w:cs="宋体"/>
                <w:bCs/>
                <w:color w:val="auto"/>
                <w:kern w:val="2"/>
                <w:sz w:val="21"/>
                <w:szCs w:val="21"/>
                <w:highlight w:val="none"/>
                <w:lang w:val="en-US" w:eastAsia="zh-CN"/>
              </w:rPr>
              <w:t>供应商</w:t>
            </w:r>
            <w:r>
              <w:rPr>
                <w:rFonts w:hint="eastAsia"/>
                <w:color w:val="auto"/>
                <w:highlight w:val="none"/>
                <w:lang w:val="en-US" w:eastAsia="zh-CN"/>
              </w:rPr>
              <w:t>（或</w:t>
            </w:r>
            <w:r>
              <w:rPr>
                <w:rFonts w:hint="eastAsia" w:hAnsi="宋体" w:cs="宋体"/>
                <w:bCs/>
                <w:color w:val="auto"/>
                <w:kern w:val="2"/>
                <w:sz w:val="21"/>
                <w:szCs w:val="21"/>
                <w:highlight w:val="none"/>
              </w:rPr>
              <w:t>供应商上级单位</w:t>
            </w:r>
            <w:r>
              <w:rPr>
                <w:rFonts w:hint="eastAsia"/>
                <w:color w:val="auto"/>
                <w:highlight w:val="none"/>
                <w:lang w:val="en-US" w:eastAsia="zh-CN"/>
              </w:rPr>
              <w:t>）通过ISO9001质量管理体系认证、ISO/IEC20000信息技术服务管理体系认证、ISO/IEC27001信息安全管理体系认证且有效的（投标人于</w:t>
            </w:r>
            <w:r>
              <w:rPr>
                <w:rFonts w:hint="eastAsia" w:ascii="Times New Roman" w:hAnsi="Times New Roman" w:eastAsia="宋体" w:cs="Times New Roman"/>
                <w:color w:val="auto"/>
                <w:highlight w:val="none"/>
                <w:lang w:val="en-US" w:eastAsia="zh-CN"/>
              </w:rPr>
              <w:t>投标文件</w:t>
            </w:r>
            <w:r>
              <w:rPr>
                <w:rFonts w:hint="eastAsia"/>
                <w:color w:val="auto"/>
                <w:highlight w:val="none"/>
                <w:lang w:val="en-US" w:eastAsia="zh-CN"/>
              </w:rPr>
              <w:t>中提供相关有效证书扫描件，并加盖投标人电子签章，否则不予以计分），每提供1项认证得1分，最多得3分。</w:t>
            </w:r>
          </w:p>
          <w:p w14:paraId="2B26A7B2">
            <w:pPr>
              <w:pStyle w:val="17"/>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Ansi="宋体" w:cs="宋体"/>
                <w:bCs/>
                <w:color w:val="auto"/>
                <w:kern w:val="2"/>
                <w:sz w:val="21"/>
                <w:szCs w:val="21"/>
                <w:highlight w:val="none"/>
              </w:rPr>
            </w:pPr>
            <w:r>
              <w:rPr>
                <w:rFonts w:hint="eastAsia" w:hAnsi="宋体" w:cs="宋体"/>
                <w:bCs/>
                <w:color w:val="auto"/>
                <w:kern w:val="2"/>
                <w:sz w:val="21"/>
                <w:szCs w:val="21"/>
                <w:highlight w:val="none"/>
              </w:rPr>
              <w:t>（2）供应商或供应商上级单位（直接管理关系或法人关系）获得有效的服务质量评价认证证书（GB/T36733）（认证范围涵盖网络与信息安全管理、通信及信息业务相关的建设及运维）得</w:t>
            </w:r>
            <w:r>
              <w:rPr>
                <w:rFonts w:hint="eastAsia" w:hAnsi="宋体" w:cs="宋体"/>
                <w:bCs/>
                <w:color w:val="auto"/>
                <w:kern w:val="2"/>
                <w:sz w:val="21"/>
                <w:szCs w:val="21"/>
                <w:highlight w:val="none"/>
                <w:lang w:val="en-US" w:eastAsia="zh-CN"/>
              </w:rPr>
              <w:t>1</w:t>
            </w:r>
            <w:r>
              <w:rPr>
                <w:rFonts w:hint="eastAsia" w:hAnsi="宋体" w:cs="宋体"/>
                <w:bCs/>
                <w:color w:val="auto"/>
                <w:kern w:val="2"/>
                <w:sz w:val="21"/>
                <w:szCs w:val="21"/>
                <w:highlight w:val="none"/>
              </w:rPr>
              <w:t>分，需提供在有效期内的证书复印件及提供国家市场监督管理总局全国认证认可信息公共服务平台网站查询截图，否则不计分。</w:t>
            </w:r>
          </w:p>
          <w:p w14:paraId="48F557FB">
            <w:pPr>
              <w:pStyle w:val="17"/>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Ansi="宋体" w:cs="宋体"/>
                <w:bCs/>
                <w:color w:val="auto"/>
                <w:kern w:val="2"/>
                <w:sz w:val="21"/>
                <w:szCs w:val="21"/>
                <w:highlight w:val="none"/>
              </w:rPr>
            </w:pPr>
            <w:r>
              <w:rPr>
                <w:rFonts w:hint="eastAsia" w:hAnsi="宋体" w:cs="宋体"/>
                <w:bCs/>
                <w:color w:val="auto"/>
                <w:kern w:val="2"/>
                <w:sz w:val="21"/>
                <w:szCs w:val="21"/>
                <w:highlight w:val="none"/>
              </w:rPr>
              <w:t>（3）供应商或供应商上级单位（直接管理关系或法人关系）获得有效的顾客满意度管理体系认证证书（GB/T19014-2019/ISO 10004:2018）（认证范围涵盖基础电信业务和增值电信业务(许可范围内)；云服务；网络与信息安全管理；计算机应用软件开发；信息系统集成；通信及信息业务相关的建设及运维相关的顾客满意度管理活动）得</w:t>
            </w:r>
            <w:r>
              <w:rPr>
                <w:rFonts w:hint="eastAsia" w:hAnsi="宋体" w:cs="宋体"/>
                <w:bCs/>
                <w:color w:val="auto"/>
                <w:kern w:val="2"/>
                <w:sz w:val="21"/>
                <w:szCs w:val="21"/>
                <w:highlight w:val="none"/>
                <w:lang w:val="en-US" w:eastAsia="zh-CN"/>
              </w:rPr>
              <w:t>2</w:t>
            </w:r>
            <w:r>
              <w:rPr>
                <w:rFonts w:hint="eastAsia" w:hAnsi="宋体" w:cs="宋体"/>
                <w:bCs/>
                <w:color w:val="auto"/>
                <w:kern w:val="2"/>
                <w:sz w:val="21"/>
                <w:szCs w:val="21"/>
                <w:highlight w:val="none"/>
              </w:rPr>
              <w:t>分，需提供在有效期内的证书复印件及提供国家市场监督管理总局全国认证认可信息公共服务平台网站查询截图，否则不计分。</w:t>
            </w:r>
          </w:p>
          <w:p w14:paraId="212F486C">
            <w:pPr>
              <w:pStyle w:val="17"/>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Ansi="宋体" w:cs="宋体"/>
                <w:bCs/>
                <w:color w:val="auto"/>
                <w:kern w:val="2"/>
                <w:sz w:val="21"/>
                <w:szCs w:val="21"/>
                <w:highlight w:val="none"/>
              </w:rPr>
            </w:pPr>
            <w:r>
              <w:rPr>
                <w:rFonts w:hint="eastAsia" w:hAnsi="宋体" w:cs="宋体"/>
                <w:bCs/>
                <w:color w:val="auto"/>
                <w:kern w:val="2"/>
                <w:sz w:val="21"/>
                <w:szCs w:val="21"/>
                <w:highlight w:val="none"/>
              </w:rPr>
              <w:t>（4）供应商或供应商上级单位（直接管理关系或法人关系）获得有效的供应链安全管理体系认证证书（IS028000:2022）（认证范围涵盖基础电信业务和增值电信业务（许可范围内），信息系统集成及运维相关的供应链安全管理活动）得</w:t>
            </w:r>
            <w:r>
              <w:rPr>
                <w:rFonts w:hint="eastAsia" w:hAnsi="宋体" w:cs="宋体"/>
                <w:bCs/>
                <w:color w:val="auto"/>
                <w:kern w:val="2"/>
                <w:sz w:val="21"/>
                <w:szCs w:val="21"/>
                <w:highlight w:val="none"/>
                <w:lang w:val="en-US" w:eastAsia="zh-CN"/>
              </w:rPr>
              <w:t>2</w:t>
            </w:r>
            <w:r>
              <w:rPr>
                <w:rFonts w:hint="eastAsia" w:hAnsi="宋体" w:cs="宋体"/>
                <w:bCs/>
                <w:color w:val="auto"/>
                <w:kern w:val="2"/>
                <w:sz w:val="21"/>
                <w:szCs w:val="21"/>
                <w:highlight w:val="none"/>
              </w:rPr>
              <w:t>分，需提供在有效期内的证书复印件及提供国家市场监督管理总局全国认证认可信息公共服务平台网站查询截图，否则不计分。</w:t>
            </w:r>
          </w:p>
          <w:p w14:paraId="7C2FBE65">
            <w:pPr>
              <w:pStyle w:val="17"/>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Ansi="宋体" w:cs="宋体"/>
                <w:bCs/>
                <w:color w:val="auto"/>
                <w:kern w:val="2"/>
                <w:sz w:val="21"/>
                <w:szCs w:val="21"/>
                <w:highlight w:val="none"/>
              </w:rPr>
            </w:pPr>
            <w:r>
              <w:rPr>
                <w:rFonts w:hint="eastAsia" w:hAnsi="宋体" w:cs="宋体"/>
                <w:bCs/>
                <w:color w:val="auto"/>
                <w:kern w:val="2"/>
                <w:sz w:val="21"/>
                <w:szCs w:val="21"/>
                <w:highlight w:val="none"/>
              </w:rPr>
              <w:t>（5）供应商自2024年1月1日（以合同签订时间为准）至今已完成或正在实施的与本项目内容相类似的成功案例或业绩，以中标（成交）通知书或采购合同复印件为准（能清晰反映所销售的服务项目名称、种类、金额)，每提供一项得2分，满分6分。</w:t>
            </w:r>
          </w:p>
        </w:tc>
      </w:tr>
      <w:tr w14:paraId="768CF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20" w:type="dxa"/>
            <w:gridSpan w:val="4"/>
            <w:tcBorders>
              <w:top w:val="single" w:color="auto" w:sz="4" w:space="0"/>
              <w:left w:val="single" w:color="auto" w:sz="4" w:space="0"/>
              <w:bottom w:val="single" w:color="auto" w:sz="4" w:space="0"/>
              <w:right w:val="single" w:color="auto" w:sz="4" w:space="0"/>
            </w:tcBorders>
            <w:vAlign w:val="center"/>
          </w:tcPr>
          <w:p w14:paraId="0200DF8E">
            <w:pPr>
              <w:snapToGrid w:val="0"/>
              <w:spacing w:line="360" w:lineRule="auto"/>
              <w:jc w:val="both"/>
              <w:rPr>
                <w:rFonts w:hint="default" w:ascii="宋体" w:hAnsi="宋体" w:eastAsia="宋体" w:cs="宋体"/>
                <w:bCs/>
                <w:color w:val="auto"/>
                <w:sz w:val="24"/>
                <w:highlight w:val="none"/>
                <w:lang w:val="en-US" w:eastAsia="zh-CN"/>
              </w:rPr>
            </w:pPr>
            <w:r>
              <w:rPr>
                <w:rFonts w:hint="eastAsia" w:ascii="宋体" w:hAnsi="宋体" w:cs="宋体"/>
                <w:b/>
                <w:color w:val="auto"/>
                <w:sz w:val="24"/>
                <w:highlight w:val="none"/>
              </w:rPr>
              <w:t>总得分=1+2+3</w:t>
            </w:r>
          </w:p>
        </w:tc>
      </w:tr>
    </w:tbl>
    <w:p w14:paraId="43D413EB">
      <w:pPr>
        <w:rPr>
          <w:rFonts w:hint="eastAsia" w:ascii="宋体" w:hAnsi="宋体" w:cs="宋体"/>
          <w:bCs/>
          <w:sz w:val="21"/>
          <w:szCs w:val="21"/>
          <w:highlight w:val="none"/>
        </w:rPr>
      </w:pPr>
      <w:r>
        <w:rPr>
          <w:rFonts w:hint="eastAsia" w:ascii="宋体" w:hAnsi="宋体" w:cs="宋体"/>
          <w:bCs/>
          <w:sz w:val="21"/>
          <w:szCs w:val="21"/>
          <w:highlight w:val="none"/>
        </w:rPr>
        <w:br w:type="page"/>
      </w:r>
    </w:p>
    <w:tbl>
      <w:tblPr>
        <w:tblStyle w:val="32"/>
        <w:tblW w:w="9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418"/>
        <w:gridCol w:w="1722"/>
        <w:gridCol w:w="5876"/>
      </w:tblGrid>
      <w:tr w14:paraId="1C366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20" w:type="dxa"/>
            <w:gridSpan w:val="4"/>
            <w:tcBorders>
              <w:top w:val="single" w:color="auto" w:sz="4" w:space="0"/>
              <w:left w:val="single" w:color="auto" w:sz="4" w:space="0"/>
              <w:bottom w:val="single" w:color="auto" w:sz="4" w:space="0"/>
              <w:right w:val="single" w:color="auto" w:sz="4" w:space="0"/>
            </w:tcBorders>
            <w:vAlign w:val="center"/>
          </w:tcPr>
          <w:p w14:paraId="534E274D">
            <w:pPr>
              <w:adjustRightInd w:val="0"/>
              <w:spacing w:line="360" w:lineRule="auto"/>
              <w:jc w:val="center"/>
              <w:textAlignment w:val="baseline"/>
              <w:rPr>
                <w:rFonts w:hAnsi="宋体" w:cs="宋体"/>
                <w:b/>
                <w:bCs/>
                <w:color w:val="auto"/>
                <w:kern w:val="2"/>
                <w:sz w:val="21"/>
                <w:szCs w:val="21"/>
                <w:highlight w:val="none"/>
              </w:rPr>
            </w:pPr>
            <w:r>
              <w:rPr>
                <w:rFonts w:hint="eastAsia" w:ascii="宋体" w:hAnsi="宋体" w:cs="宋体"/>
                <w:b/>
                <w:bCs/>
                <w:color w:val="auto"/>
                <w:sz w:val="21"/>
                <w:szCs w:val="21"/>
                <w:highlight w:val="none"/>
                <w:lang w:val="en-US" w:eastAsia="zh-CN"/>
              </w:rPr>
              <w:t>标项二、评审标准</w:t>
            </w:r>
          </w:p>
        </w:tc>
      </w:tr>
      <w:tr w14:paraId="07E79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4C2FDE86">
            <w:pPr>
              <w:adjustRightInd w:val="0"/>
              <w:spacing w:line="360" w:lineRule="auto"/>
              <w:jc w:val="center"/>
              <w:textAlignment w:val="baseline"/>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序号</w:t>
            </w:r>
          </w:p>
        </w:tc>
        <w:tc>
          <w:tcPr>
            <w:tcW w:w="1418" w:type="dxa"/>
            <w:tcBorders>
              <w:top w:val="single" w:color="auto" w:sz="4" w:space="0"/>
              <w:left w:val="single" w:color="auto" w:sz="4" w:space="0"/>
              <w:bottom w:val="single" w:color="auto" w:sz="4" w:space="0"/>
              <w:right w:val="single" w:color="auto" w:sz="4" w:space="0"/>
            </w:tcBorders>
            <w:vAlign w:val="center"/>
          </w:tcPr>
          <w:p w14:paraId="13BA1797">
            <w:pPr>
              <w:adjustRightInd w:val="0"/>
              <w:spacing w:line="360" w:lineRule="auto"/>
              <w:jc w:val="center"/>
              <w:textAlignment w:val="baseline"/>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评审因素</w:t>
            </w:r>
          </w:p>
        </w:tc>
        <w:tc>
          <w:tcPr>
            <w:tcW w:w="1722" w:type="dxa"/>
            <w:tcBorders>
              <w:top w:val="single" w:color="auto" w:sz="4" w:space="0"/>
              <w:left w:val="single" w:color="auto" w:sz="4" w:space="0"/>
              <w:bottom w:val="single" w:color="auto" w:sz="4" w:space="0"/>
              <w:right w:val="single" w:color="auto" w:sz="4" w:space="0"/>
            </w:tcBorders>
            <w:vAlign w:val="center"/>
          </w:tcPr>
          <w:p w14:paraId="174FC82C">
            <w:pPr>
              <w:adjustRightInd w:val="0"/>
              <w:spacing w:line="360" w:lineRule="auto"/>
              <w:jc w:val="center"/>
              <w:textAlignment w:val="baseline"/>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分值</w:t>
            </w:r>
          </w:p>
        </w:tc>
        <w:tc>
          <w:tcPr>
            <w:tcW w:w="5876" w:type="dxa"/>
            <w:tcBorders>
              <w:top w:val="single" w:color="auto" w:sz="4" w:space="0"/>
              <w:left w:val="single" w:color="auto" w:sz="4" w:space="0"/>
              <w:bottom w:val="single" w:color="auto" w:sz="4" w:space="0"/>
              <w:right w:val="single" w:color="auto" w:sz="4" w:space="0"/>
            </w:tcBorders>
            <w:vAlign w:val="center"/>
          </w:tcPr>
          <w:p w14:paraId="22491F5B">
            <w:pPr>
              <w:pStyle w:val="17"/>
              <w:spacing w:line="360" w:lineRule="auto"/>
              <w:jc w:val="center"/>
              <w:rPr>
                <w:rFonts w:hint="eastAsia" w:hAnsi="宋体" w:cs="宋体"/>
                <w:b/>
                <w:bCs/>
                <w:color w:val="auto"/>
                <w:kern w:val="2"/>
                <w:sz w:val="21"/>
                <w:szCs w:val="21"/>
                <w:highlight w:val="none"/>
              </w:rPr>
            </w:pPr>
            <w:r>
              <w:rPr>
                <w:rFonts w:hint="eastAsia" w:hAnsi="宋体" w:cs="宋体"/>
                <w:b/>
                <w:bCs/>
                <w:color w:val="auto"/>
                <w:kern w:val="2"/>
                <w:sz w:val="21"/>
                <w:szCs w:val="21"/>
                <w:highlight w:val="none"/>
              </w:rPr>
              <w:t>评分标准</w:t>
            </w:r>
          </w:p>
        </w:tc>
      </w:tr>
      <w:tr w14:paraId="4FD00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1E2FA498">
            <w:pPr>
              <w:adjustRightInd w:val="0"/>
              <w:spacing w:line="360" w:lineRule="auto"/>
              <w:jc w:val="center"/>
              <w:textAlignment w:val="baseline"/>
              <w:rPr>
                <w:rFonts w:ascii="宋体" w:hAnsi="宋体" w:cs="宋体"/>
                <w:bCs/>
                <w:color w:val="auto"/>
                <w:sz w:val="21"/>
                <w:szCs w:val="21"/>
                <w:highlight w:val="none"/>
              </w:rPr>
            </w:pPr>
            <w:r>
              <w:rPr>
                <w:rFonts w:hint="eastAsia" w:ascii="宋体" w:hAnsi="宋体" w:cs="宋体"/>
                <w:bCs/>
                <w:color w:val="auto"/>
                <w:sz w:val="21"/>
                <w:szCs w:val="21"/>
                <w:highlight w:val="none"/>
              </w:rPr>
              <w:t>1</w:t>
            </w:r>
          </w:p>
        </w:tc>
        <w:tc>
          <w:tcPr>
            <w:tcW w:w="1418" w:type="dxa"/>
            <w:tcBorders>
              <w:top w:val="single" w:color="auto" w:sz="4" w:space="0"/>
              <w:left w:val="single" w:color="auto" w:sz="4" w:space="0"/>
              <w:bottom w:val="single" w:color="auto" w:sz="4" w:space="0"/>
              <w:right w:val="single" w:color="auto" w:sz="4" w:space="0"/>
            </w:tcBorders>
            <w:vAlign w:val="center"/>
          </w:tcPr>
          <w:p w14:paraId="42FB5412">
            <w:pPr>
              <w:adjustRightInd w:val="0"/>
              <w:spacing w:line="360" w:lineRule="auto"/>
              <w:jc w:val="center"/>
              <w:textAlignment w:val="baseline"/>
              <w:rPr>
                <w:rFonts w:ascii="宋体" w:hAnsi="宋体"/>
                <w:b/>
                <w:bCs/>
                <w:color w:val="auto"/>
                <w:sz w:val="21"/>
                <w:szCs w:val="21"/>
                <w:highlight w:val="none"/>
              </w:rPr>
            </w:pPr>
            <w:r>
              <w:rPr>
                <w:rFonts w:hint="eastAsia" w:ascii="宋体" w:hAnsi="宋体"/>
                <w:b/>
                <w:bCs/>
                <w:color w:val="auto"/>
                <w:sz w:val="21"/>
                <w:szCs w:val="21"/>
                <w:highlight w:val="none"/>
              </w:rPr>
              <w:t>价格分</w:t>
            </w:r>
          </w:p>
          <w:p w14:paraId="433A5665">
            <w:pPr>
              <w:adjustRightInd w:val="0"/>
              <w:spacing w:line="360" w:lineRule="auto"/>
              <w:jc w:val="center"/>
              <w:textAlignment w:val="baseline"/>
              <w:rPr>
                <w:rFonts w:ascii="宋体" w:hAnsi="宋体"/>
                <w:b/>
                <w:bCs/>
                <w:color w:val="auto"/>
                <w:sz w:val="21"/>
                <w:szCs w:val="21"/>
                <w:highlight w:val="none"/>
              </w:rPr>
            </w:pPr>
            <w:r>
              <w:rPr>
                <w:rFonts w:hint="eastAsia" w:ascii="宋体" w:hAnsi="宋体"/>
                <w:b/>
                <w:bCs/>
                <w:color w:val="auto"/>
                <w:sz w:val="21"/>
                <w:szCs w:val="21"/>
                <w:highlight w:val="none"/>
              </w:rPr>
              <w:t>（满分</w:t>
            </w:r>
            <w:r>
              <w:rPr>
                <w:rFonts w:hint="eastAsia" w:ascii="宋体" w:hAnsi="宋体"/>
                <w:b/>
                <w:bCs/>
                <w:color w:val="auto"/>
                <w:sz w:val="21"/>
                <w:szCs w:val="21"/>
                <w:highlight w:val="none"/>
                <w:u w:val="single"/>
                <w:lang w:val="en-US" w:eastAsia="zh-CN"/>
              </w:rPr>
              <w:t>10</w:t>
            </w:r>
            <w:r>
              <w:rPr>
                <w:rFonts w:hint="eastAsia" w:ascii="宋体" w:hAnsi="宋体"/>
                <w:b/>
                <w:bCs/>
                <w:color w:val="auto"/>
                <w:sz w:val="21"/>
                <w:szCs w:val="21"/>
                <w:highlight w:val="none"/>
              </w:rPr>
              <w:t>分）</w:t>
            </w:r>
          </w:p>
          <w:p w14:paraId="4736432E">
            <w:pPr>
              <w:adjustRightInd w:val="0"/>
              <w:spacing w:line="360" w:lineRule="auto"/>
              <w:jc w:val="center"/>
              <w:textAlignment w:val="baseline"/>
              <w:rPr>
                <w:rFonts w:ascii="宋体" w:hAnsi="宋体" w:cs="宋体"/>
                <w:bCs/>
                <w:color w:val="auto"/>
                <w:sz w:val="21"/>
                <w:szCs w:val="21"/>
                <w:highlight w:val="none"/>
              </w:rPr>
            </w:pPr>
          </w:p>
        </w:tc>
        <w:tc>
          <w:tcPr>
            <w:tcW w:w="1722" w:type="dxa"/>
            <w:tcBorders>
              <w:top w:val="single" w:color="auto" w:sz="4" w:space="0"/>
              <w:left w:val="single" w:color="auto" w:sz="4" w:space="0"/>
              <w:bottom w:val="single" w:color="auto" w:sz="4" w:space="0"/>
              <w:right w:val="single" w:color="auto" w:sz="4" w:space="0"/>
            </w:tcBorders>
            <w:vAlign w:val="center"/>
          </w:tcPr>
          <w:p w14:paraId="1864EF05">
            <w:pPr>
              <w:adjustRightInd w:val="0"/>
              <w:spacing w:line="360" w:lineRule="auto"/>
              <w:jc w:val="center"/>
              <w:textAlignment w:val="baseline"/>
              <w:rPr>
                <w:rFonts w:ascii="宋体" w:hAnsi="宋体" w:cs="宋体"/>
                <w:bCs/>
                <w:color w:val="auto"/>
                <w:sz w:val="21"/>
                <w:szCs w:val="21"/>
                <w:highlight w:val="none"/>
              </w:rPr>
            </w:pPr>
            <w:r>
              <w:rPr>
                <w:rFonts w:hint="eastAsia" w:ascii="宋体" w:hAnsi="宋体"/>
                <w:b/>
                <w:bCs/>
                <w:color w:val="auto"/>
                <w:sz w:val="21"/>
                <w:szCs w:val="21"/>
                <w:highlight w:val="none"/>
              </w:rPr>
              <w:t>报价（满分</w:t>
            </w:r>
            <w:r>
              <w:rPr>
                <w:rFonts w:hint="eastAsia" w:ascii="宋体" w:hAnsi="宋体"/>
                <w:b/>
                <w:bCs/>
                <w:color w:val="auto"/>
                <w:sz w:val="21"/>
                <w:szCs w:val="21"/>
                <w:highlight w:val="none"/>
                <w:lang w:eastAsia="zh-CN"/>
              </w:rPr>
              <w:t>1</w:t>
            </w:r>
            <w:r>
              <w:rPr>
                <w:rFonts w:hint="eastAsia" w:ascii="宋体" w:hAnsi="宋体"/>
                <w:b/>
                <w:bCs/>
                <w:color w:val="auto"/>
                <w:sz w:val="21"/>
                <w:szCs w:val="21"/>
                <w:highlight w:val="none"/>
                <w:lang w:val="en-US" w:eastAsia="zh-CN"/>
              </w:rPr>
              <w:t>0</w:t>
            </w:r>
            <w:r>
              <w:rPr>
                <w:rFonts w:hint="eastAsia" w:ascii="宋体" w:hAnsi="宋体"/>
                <w:b/>
                <w:bCs/>
                <w:color w:val="auto"/>
                <w:sz w:val="21"/>
                <w:szCs w:val="21"/>
                <w:highlight w:val="none"/>
              </w:rPr>
              <w:t>分）</w:t>
            </w:r>
          </w:p>
        </w:tc>
        <w:tc>
          <w:tcPr>
            <w:tcW w:w="5876" w:type="dxa"/>
            <w:tcBorders>
              <w:top w:val="single" w:color="auto" w:sz="4" w:space="0"/>
              <w:left w:val="single" w:color="auto" w:sz="4" w:space="0"/>
              <w:bottom w:val="single" w:color="auto" w:sz="4" w:space="0"/>
              <w:right w:val="single" w:color="auto" w:sz="4" w:space="0"/>
            </w:tcBorders>
            <w:vAlign w:val="center"/>
          </w:tcPr>
          <w:p w14:paraId="4CD2BB0C">
            <w:pPr>
              <w:pStyle w:val="17"/>
              <w:spacing w:line="360" w:lineRule="auto"/>
              <w:rPr>
                <w:rFonts w:hAnsi="宋体" w:cs="宋体"/>
                <w:bCs/>
                <w:color w:val="auto"/>
                <w:kern w:val="2"/>
                <w:sz w:val="21"/>
                <w:szCs w:val="21"/>
                <w:highlight w:val="none"/>
              </w:rPr>
            </w:pPr>
            <w:r>
              <w:rPr>
                <w:rFonts w:hint="eastAsia" w:hAnsi="宋体" w:cs="宋体"/>
                <w:bCs/>
                <w:color w:val="auto"/>
                <w:kern w:val="2"/>
                <w:sz w:val="21"/>
                <w:szCs w:val="21"/>
                <w:highlight w:val="none"/>
              </w:rPr>
              <w:t>1</w:t>
            </w:r>
            <w:r>
              <w:rPr>
                <w:rFonts w:hAnsi="宋体" w:cs="宋体"/>
                <w:bCs/>
                <w:color w:val="auto"/>
                <w:kern w:val="2"/>
                <w:sz w:val="21"/>
                <w:szCs w:val="21"/>
                <w:highlight w:val="none"/>
              </w:rPr>
              <w:t>.</w:t>
            </w:r>
            <w:r>
              <w:rPr>
                <w:rFonts w:hint="eastAsia" w:hAnsi="宋体" w:cs="宋体"/>
                <w:bCs/>
                <w:color w:val="auto"/>
                <w:kern w:val="2"/>
                <w:sz w:val="21"/>
                <w:szCs w:val="21"/>
                <w:highlight w:val="none"/>
              </w:rPr>
              <w:t>评审价为供应商的最后报价进行政策性扣除后的价格，评审价只是作为评审时使用。最终成交供应商的成交金额等于最后报价。</w:t>
            </w:r>
          </w:p>
          <w:p w14:paraId="0CA7AD69">
            <w:pPr>
              <w:pStyle w:val="17"/>
              <w:spacing w:line="360" w:lineRule="auto"/>
              <w:rPr>
                <w:rFonts w:hAnsi="宋体" w:cs="宋体"/>
                <w:bCs/>
                <w:color w:val="auto"/>
                <w:kern w:val="2"/>
                <w:sz w:val="21"/>
                <w:szCs w:val="21"/>
                <w:highlight w:val="none"/>
              </w:rPr>
            </w:pPr>
            <w:r>
              <w:rPr>
                <w:rFonts w:hint="eastAsia" w:hAnsi="宋体" w:cs="宋体"/>
                <w:bCs/>
                <w:color w:val="auto"/>
                <w:kern w:val="2"/>
                <w:sz w:val="21"/>
                <w:szCs w:val="21"/>
                <w:highlight w:val="none"/>
              </w:rPr>
              <w:t>2</w:t>
            </w:r>
            <w:r>
              <w:rPr>
                <w:rFonts w:hAnsi="宋体" w:cs="宋体"/>
                <w:bCs/>
                <w:color w:val="auto"/>
                <w:kern w:val="2"/>
                <w:sz w:val="21"/>
                <w:szCs w:val="21"/>
                <w:highlight w:val="none"/>
              </w:rPr>
              <w:t>.</w:t>
            </w:r>
            <w:r>
              <w:rPr>
                <w:rFonts w:hint="eastAsia" w:hAnsi="宋体" w:cs="宋体"/>
                <w:bCs/>
                <w:color w:val="auto"/>
                <w:kern w:val="2"/>
                <w:sz w:val="21"/>
                <w:szCs w:val="21"/>
                <w:highlight w:val="none"/>
              </w:rPr>
              <w:t>政府采购政策性扣除计算方法</w:t>
            </w:r>
          </w:p>
          <w:p w14:paraId="229651F4">
            <w:pPr>
              <w:pStyle w:val="17"/>
              <w:spacing w:line="360" w:lineRule="auto"/>
              <w:rPr>
                <w:rFonts w:hAnsi="宋体" w:cs="宋体"/>
                <w:bCs/>
                <w:color w:val="auto"/>
                <w:kern w:val="2"/>
                <w:sz w:val="21"/>
                <w:szCs w:val="21"/>
                <w:highlight w:val="none"/>
              </w:rPr>
            </w:pPr>
            <w:r>
              <w:rPr>
                <w:rFonts w:hint="eastAsia" w:hAnsi="宋体" w:cs="宋体"/>
                <w:bCs/>
                <w:color w:val="auto"/>
                <w:kern w:val="2"/>
                <w:sz w:val="21"/>
                <w:szCs w:val="21"/>
                <w:highlight w:val="none"/>
              </w:rPr>
              <w:t>根据《政府采购促进中小企业发展管理办法》（财库〔2020〕46号）及《广西壮族自治区财政厅关于持续优化政府采购营商环境推动高质量发展的通知》（桂财采〔2024〕55号）的规定，供应商</w:t>
            </w:r>
            <w:r>
              <w:rPr>
                <w:rFonts w:hint="eastAsia" w:hAnsi="宋体" w:cs="宋体"/>
                <w:bCs/>
                <w:color w:val="auto"/>
                <w:sz w:val="21"/>
                <w:highlight w:val="none"/>
              </w:rPr>
              <w:t>人属于《政府采购促进中小企业发展管理办法》规定的小微企业的，</w:t>
            </w:r>
            <w:r>
              <w:rPr>
                <w:rFonts w:hint="eastAsia" w:hAnsi="宋体" w:cs="宋体"/>
                <w:bCs/>
                <w:color w:val="auto"/>
                <w:kern w:val="2"/>
                <w:sz w:val="21"/>
                <w:szCs w:val="21"/>
                <w:highlight w:val="none"/>
              </w:rPr>
              <w:t>在其响应文件中提供《中小企业声明函》，且服务全部由小微企业承接，对供应商的</w:t>
            </w:r>
            <w:r>
              <w:rPr>
                <w:rFonts w:hint="eastAsia" w:hAnsi="宋体" w:cs="宋体"/>
                <w:color w:val="auto"/>
                <w:sz w:val="21"/>
                <w:highlight w:val="none"/>
              </w:rPr>
              <w:t>竞争性磋商</w:t>
            </w:r>
            <w:r>
              <w:rPr>
                <w:rFonts w:hint="eastAsia" w:hAnsi="宋体" w:cs="宋体"/>
                <w:bCs/>
                <w:color w:val="auto"/>
                <w:kern w:val="2"/>
                <w:sz w:val="21"/>
                <w:szCs w:val="21"/>
                <w:highlight w:val="none"/>
              </w:rPr>
              <w:t>报价给予</w:t>
            </w:r>
            <w:r>
              <w:rPr>
                <w:rFonts w:hint="eastAsia" w:hAnsi="宋体" w:cs="宋体"/>
                <w:bCs/>
                <w:color w:val="auto"/>
                <w:kern w:val="2"/>
                <w:sz w:val="21"/>
                <w:szCs w:val="21"/>
                <w:highlight w:val="none"/>
                <w:lang w:val="en-US" w:eastAsia="zh-CN"/>
              </w:rPr>
              <w:t>1</w:t>
            </w:r>
            <w:r>
              <w:rPr>
                <w:rFonts w:hint="eastAsia" w:hAnsi="宋体" w:cs="宋体"/>
                <w:bCs/>
                <w:color w:val="auto"/>
                <w:kern w:val="2"/>
                <w:sz w:val="21"/>
                <w:szCs w:val="21"/>
                <w:highlight w:val="none"/>
              </w:rPr>
              <w:t>0%的扣除，扣除后的价格为评审价，即评审价=</w:t>
            </w:r>
            <w:r>
              <w:rPr>
                <w:rFonts w:hint="eastAsia" w:hAnsi="宋体" w:cs="宋体"/>
                <w:color w:val="auto"/>
                <w:sz w:val="21"/>
                <w:highlight w:val="none"/>
              </w:rPr>
              <w:t>竞争性磋商</w:t>
            </w:r>
            <w:r>
              <w:rPr>
                <w:rFonts w:hint="eastAsia" w:hAnsi="宋体" w:cs="宋体"/>
                <w:bCs/>
                <w:color w:val="auto"/>
                <w:kern w:val="2"/>
                <w:sz w:val="21"/>
                <w:szCs w:val="21"/>
                <w:highlight w:val="none"/>
              </w:rPr>
              <w:t>报价×（1-</w:t>
            </w:r>
            <w:r>
              <w:rPr>
                <w:rFonts w:hint="eastAsia" w:hAnsi="宋体" w:cs="宋体"/>
                <w:bCs/>
                <w:color w:val="auto"/>
                <w:kern w:val="2"/>
                <w:sz w:val="21"/>
                <w:szCs w:val="21"/>
                <w:highlight w:val="none"/>
                <w:lang w:val="en-US" w:eastAsia="zh-CN"/>
              </w:rPr>
              <w:t>1</w:t>
            </w:r>
            <w:r>
              <w:rPr>
                <w:rFonts w:hint="eastAsia" w:hAnsi="宋体" w:cs="宋体"/>
                <w:bCs/>
                <w:color w:val="auto"/>
                <w:kern w:val="2"/>
                <w:sz w:val="21"/>
                <w:szCs w:val="21"/>
                <w:highlight w:val="none"/>
              </w:rPr>
              <w:t>0%）。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 6 %的扣除，用扣除后的价格参加评审，扣除后的价格为评审价，即评审价=</w:t>
            </w:r>
            <w:r>
              <w:rPr>
                <w:rFonts w:hint="eastAsia" w:hAnsi="宋体" w:cs="宋体"/>
                <w:color w:val="auto"/>
                <w:sz w:val="21"/>
                <w:highlight w:val="none"/>
              </w:rPr>
              <w:t>竞争性磋商</w:t>
            </w:r>
            <w:r>
              <w:rPr>
                <w:rFonts w:hint="eastAsia" w:hAnsi="宋体" w:cs="宋体"/>
                <w:bCs/>
                <w:color w:val="auto"/>
                <w:kern w:val="2"/>
                <w:sz w:val="21"/>
                <w:szCs w:val="21"/>
                <w:highlight w:val="none"/>
              </w:rPr>
              <w:t>报价×（1- 6 %）。除上述情况外，评审价=</w:t>
            </w:r>
            <w:r>
              <w:rPr>
                <w:rFonts w:hint="eastAsia" w:hAnsi="宋体" w:cs="宋体"/>
                <w:color w:val="auto"/>
                <w:sz w:val="21"/>
                <w:highlight w:val="none"/>
              </w:rPr>
              <w:t>竞争性磋商</w:t>
            </w:r>
            <w:r>
              <w:rPr>
                <w:rFonts w:hint="eastAsia" w:hAnsi="宋体" w:cs="宋体"/>
                <w:bCs/>
                <w:color w:val="auto"/>
                <w:kern w:val="2"/>
                <w:sz w:val="21"/>
                <w:szCs w:val="21"/>
                <w:highlight w:val="none"/>
              </w:rPr>
              <w:t>报价。</w:t>
            </w:r>
          </w:p>
          <w:p w14:paraId="572E66FA">
            <w:pPr>
              <w:pStyle w:val="17"/>
              <w:spacing w:line="360" w:lineRule="auto"/>
              <w:rPr>
                <w:rFonts w:hAnsi="宋体" w:cs="宋体"/>
                <w:bCs/>
                <w:color w:val="auto"/>
                <w:kern w:val="2"/>
                <w:sz w:val="21"/>
                <w:szCs w:val="21"/>
                <w:highlight w:val="none"/>
              </w:rPr>
            </w:pPr>
            <w:r>
              <w:rPr>
                <w:rFonts w:hint="eastAsia" w:hAnsi="宋体" w:cs="宋体"/>
                <w:bCs/>
                <w:color w:val="auto"/>
                <w:kern w:val="2"/>
                <w:sz w:val="21"/>
                <w:szCs w:val="21"/>
                <w:highlight w:val="none"/>
              </w:rPr>
              <w:t>3</w:t>
            </w:r>
            <w:r>
              <w:rPr>
                <w:rFonts w:hAnsi="宋体" w:cs="宋体"/>
                <w:bCs/>
                <w:color w:val="auto"/>
                <w:kern w:val="2"/>
                <w:sz w:val="21"/>
                <w:szCs w:val="21"/>
                <w:highlight w:val="none"/>
              </w:rPr>
              <w:t>.</w:t>
            </w:r>
            <w:r>
              <w:rPr>
                <w:rFonts w:hint="eastAsia" w:hAnsi="宋体" w:cs="宋体"/>
                <w:bCs/>
                <w:color w:val="auto"/>
                <w:kern w:val="2"/>
                <w:sz w:val="21"/>
                <w:szCs w:val="21"/>
                <w:highlight w:val="none"/>
              </w:rPr>
              <w:t>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监狱企业属于小型、微型企业的，不重复享受政策。</w:t>
            </w:r>
          </w:p>
          <w:p w14:paraId="1749FA28">
            <w:pPr>
              <w:pStyle w:val="17"/>
              <w:spacing w:line="360" w:lineRule="auto"/>
              <w:rPr>
                <w:rFonts w:hAnsi="宋体" w:cs="宋体"/>
                <w:bCs/>
                <w:color w:val="auto"/>
                <w:kern w:val="2"/>
                <w:sz w:val="21"/>
                <w:szCs w:val="21"/>
                <w:highlight w:val="none"/>
              </w:rPr>
            </w:pPr>
            <w:r>
              <w:rPr>
                <w:rFonts w:hint="eastAsia" w:hAnsi="宋体" w:cs="宋体"/>
                <w:bCs/>
                <w:color w:val="auto"/>
                <w:kern w:val="2"/>
                <w:sz w:val="21"/>
                <w:szCs w:val="21"/>
                <w:highlight w:val="none"/>
              </w:rPr>
              <w:t>4</w:t>
            </w:r>
            <w:r>
              <w:rPr>
                <w:rFonts w:hAnsi="宋体" w:cs="宋体"/>
                <w:bCs/>
                <w:color w:val="auto"/>
                <w:kern w:val="2"/>
                <w:sz w:val="21"/>
                <w:szCs w:val="21"/>
                <w:highlight w:val="none"/>
              </w:rPr>
              <w:t>.</w:t>
            </w:r>
            <w:r>
              <w:rPr>
                <w:rFonts w:hint="eastAsia" w:hAnsi="宋体" w:cs="宋体"/>
                <w:bCs/>
                <w:color w:val="auto"/>
                <w:kern w:val="2"/>
                <w:sz w:val="21"/>
                <w:szCs w:val="21"/>
                <w:highlight w:val="none"/>
              </w:rPr>
              <w:t>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526E7F11">
            <w:pPr>
              <w:pStyle w:val="17"/>
              <w:spacing w:line="360" w:lineRule="auto"/>
              <w:rPr>
                <w:rFonts w:hAnsi="宋体" w:cs="宋体"/>
                <w:bCs/>
                <w:color w:val="auto"/>
                <w:kern w:val="2"/>
                <w:sz w:val="21"/>
                <w:szCs w:val="21"/>
                <w:highlight w:val="none"/>
              </w:rPr>
            </w:pPr>
            <w:r>
              <w:rPr>
                <w:rFonts w:hint="eastAsia" w:hAnsi="宋体" w:cs="宋体"/>
                <w:bCs/>
                <w:color w:val="auto"/>
                <w:kern w:val="2"/>
                <w:sz w:val="21"/>
                <w:szCs w:val="21"/>
                <w:highlight w:val="none"/>
              </w:rPr>
              <w:t>5</w:t>
            </w:r>
            <w:r>
              <w:rPr>
                <w:rFonts w:hAnsi="宋体" w:cs="宋体"/>
                <w:bCs/>
                <w:color w:val="auto"/>
                <w:kern w:val="2"/>
                <w:sz w:val="21"/>
                <w:szCs w:val="21"/>
                <w:highlight w:val="none"/>
              </w:rPr>
              <w:t>.</w:t>
            </w:r>
            <w:r>
              <w:rPr>
                <w:rFonts w:hint="eastAsia" w:hAnsi="宋体"/>
                <w:bCs/>
                <w:color w:val="auto"/>
                <w:sz w:val="21"/>
                <w:highlight w:val="none"/>
              </w:rPr>
              <w:t>报价分采用低价优先法计算，满足磋商文件要求且评审价最低的有效供应商的评审价为基准价，其价格分为满分。</w:t>
            </w:r>
          </w:p>
          <w:p w14:paraId="1A38488D">
            <w:pPr>
              <w:pStyle w:val="17"/>
              <w:spacing w:line="360" w:lineRule="auto"/>
              <w:rPr>
                <w:rFonts w:hAnsi="宋体"/>
                <w:bCs/>
                <w:color w:val="auto"/>
                <w:sz w:val="21"/>
                <w:highlight w:val="none"/>
              </w:rPr>
            </w:pPr>
            <w:r>
              <w:rPr>
                <w:rFonts w:hint="eastAsia" w:hAnsi="宋体" w:cs="宋体"/>
                <w:bCs/>
                <w:color w:val="auto"/>
                <w:kern w:val="2"/>
                <w:sz w:val="21"/>
                <w:szCs w:val="21"/>
                <w:highlight w:val="none"/>
              </w:rPr>
              <w:t>6</w:t>
            </w:r>
            <w:r>
              <w:rPr>
                <w:rFonts w:hAnsi="宋体" w:cs="宋体"/>
                <w:bCs/>
                <w:color w:val="auto"/>
                <w:kern w:val="2"/>
                <w:sz w:val="21"/>
                <w:szCs w:val="21"/>
                <w:highlight w:val="none"/>
              </w:rPr>
              <w:t>.</w:t>
            </w:r>
            <w:r>
              <w:rPr>
                <w:rFonts w:hint="eastAsia" w:hAnsi="宋体"/>
                <w:bCs/>
                <w:color w:val="auto"/>
                <w:sz w:val="21"/>
                <w:highlight w:val="none"/>
              </w:rPr>
              <w:t>其他供应商的价格分统一按照下列公式计算：</w:t>
            </w:r>
          </w:p>
          <w:p w14:paraId="5D5077BD">
            <w:pPr>
              <w:spacing w:line="360" w:lineRule="auto"/>
              <w:rPr>
                <w:rFonts w:ascii="宋体" w:hAnsi="宋体" w:cs="宋体"/>
                <w:bCs/>
                <w:color w:val="auto"/>
                <w:sz w:val="21"/>
                <w:szCs w:val="21"/>
                <w:highlight w:val="none"/>
              </w:rPr>
            </w:pPr>
            <w:r>
              <w:rPr>
                <w:rFonts w:hint="eastAsia" w:ascii="宋体" w:hAnsi="宋体"/>
                <w:bCs/>
                <w:color w:val="auto"/>
                <w:sz w:val="21"/>
                <w:szCs w:val="21"/>
                <w:highlight w:val="none"/>
              </w:rPr>
              <w:t>某供应商的价格分=（评标基准价／某供应商评审价）×</w:t>
            </w:r>
            <w:r>
              <w:rPr>
                <w:rFonts w:hint="eastAsia" w:ascii="宋体" w:hAnsi="宋体"/>
                <w:bCs/>
                <w:color w:val="auto"/>
                <w:sz w:val="21"/>
                <w:szCs w:val="21"/>
                <w:highlight w:val="none"/>
                <w:lang w:val="en-US" w:eastAsia="zh-CN"/>
              </w:rPr>
              <w:t>10</w:t>
            </w:r>
            <w:r>
              <w:rPr>
                <w:rFonts w:hint="eastAsia" w:ascii="宋体" w:hAnsi="宋体"/>
                <w:bCs/>
                <w:color w:val="auto"/>
                <w:sz w:val="21"/>
                <w:szCs w:val="21"/>
                <w:highlight w:val="none"/>
              </w:rPr>
              <w:t>分</w:t>
            </w:r>
          </w:p>
        </w:tc>
      </w:tr>
      <w:tr w14:paraId="27D5F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4" w:type="dxa"/>
            <w:vMerge w:val="restart"/>
            <w:tcBorders>
              <w:top w:val="single" w:color="auto" w:sz="4" w:space="0"/>
              <w:left w:val="single" w:color="auto" w:sz="4" w:space="0"/>
              <w:right w:val="single" w:color="auto" w:sz="4" w:space="0"/>
            </w:tcBorders>
            <w:vAlign w:val="center"/>
          </w:tcPr>
          <w:p w14:paraId="46F8A006">
            <w:pPr>
              <w:adjustRightInd w:val="0"/>
              <w:spacing w:line="360" w:lineRule="auto"/>
              <w:jc w:val="center"/>
              <w:textAlignment w:val="baseline"/>
              <w:rPr>
                <w:rFonts w:ascii="宋体" w:hAnsi="宋体" w:cs="宋体"/>
                <w:bCs/>
                <w:color w:val="auto"/>
                <w:sz w:val="24"/>
                <w:highlight w:val="none"/>
              </w:rPr>
            </w:pPr>
            <w:r>
              <w:rPr>
                <w:rFonts w:hint="eastAsia" w:ascii="宋体" w:hAnsi="宋体" w:cs="宋体"/>
                <w:bCs/>
                <w:color w:val="auto"/>
                <w:sz w:val="24"/>
                <w:highlight w:val="none"/>
              </w:rPr>
              <w:t>2</w:t>
            </w:r>
          </w:p>
        </w:tc>
        <w:tc>
          <w:tcPr>
            <w:tcW w:w="1418" w:type="dxa"/>
            <w:vMerge w:val="restart"/>
            <w:tcBorders>
              <w:top w:val="single" w:color="auto" w:sz="4" w:space="0"/>
              <w:left w:val="single" w:color="auto" w:sz="4" w:space="0"/>
              <w:right w:val="single" w:color="auto" w:sz="4" w:space="0"/>
            </w:tcBorders>
            <w:vAlign w:val="center"/>
          </w:tcPr>
          <w:p w14:paraId="686A8CBC">
            <w:pPr>
              <w:adjustRightInd w:val="0"/>
              <w:spacing w:line="360" w:lineRule="auto"/>
              <w:jc w:val="center"/>
              <w:textAlignment w:val="baseline"/>
              <w:rPr>
                <w:rFonts w:hint="default" w:ascii="宋体" w:hAnsi="宋体" w:eastAsia="宋体" w:cs="宋体"/>
                <w:bCs/>
                <w:color w:val="auto"/>
                <w:sz w:val="21"/>
                <w:szCs w:val="21"/>
                <w:highlight w:val="none"/>
                <w:lang w:val="en-US" w:eastAsia="zh-CN"/>
              </w:rPr>
            </w:pPr>
            <w:r>
              <w:rPr>
                <w:rFonts w:hint="eastAsia" w:hAnsi="宋体"/>
                <w:b/>
                <w:bCs/>
                <w:color w:val="auto"/>
                <w:sz w:val="21"/>
                <w:szCs w:val="21"/>
                <w:highlight w:val="none"/>
                <w:lang w:val="en-US" w:eastAsia="zh-CN"/>
              </w:rPr>
              <w:t>技术分（满分47分）</w:t>
            </w:r>
          </w:p>
        </w:tc>
        <w:tc>
          <w:tcPr>
            <w:tcW w:w="1722" w:type="dxa"/>
            <w:tcBorders>
              <w:top w:val="single" w:color="auto" w:sz="4" w:space="0"/>
              <w:left w:val="single" w:color="auto" w:sz="4" w:space="0"/>
              <w:bottom w:val="single" w:color="auto" w:sz="4" w:space="0"/>
              <w:right w:val="single" w:color="auto" w:sz="4" w:space="0"/>
            </w:tcBorders>
            <w:vAlign w:val="center"/>
          </w:tcPr>
          <w:p w14:paraId="23EF9D73">
            <w:pPr>
              <w:adjustRightInd w:val="0"/>
              <w:spacing w:line="360" w:lineRule="auto"/>
              <w:jc w:val="center"/>
              <w:textAlignment w:val="baseline"/>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1</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技术性能分（满分27分）</w:t>
            </w:r>
          </w:p>
        </w:tc>
        <w:tc>
          <w:tcPr>
            <w:tcW w:w="5876" w:type="dxa"/>
            <w:tcBorders>
              <w:top w:val="single" w:color="auto" w:sz="4" w:space="0"/>
              <w:left w:val="single" w:color="auto" w:sz="4" w:space="0"/>
              <w:bottom w:val="single" w:color="auto" w:sz="4" w:space="0"/>
              <w:right w:val="single" w:color="auto" w:sz="4" w:space="0"/>
            </w:tcBorders>
            <w:vAlign w:val="center"/>
          </w:tcPr>
          <w:p w14:paraId="09C42D9E">
            <w:pPr>
              <w:spacing w:line="360" w:lineRule="auto"/>
              <w:ind w:firstLine="420" w:firstLineChars="200"/>
              <w:jc w:val="left"/>
              <w:rPr>
                <w:rFonts w:hint="eastAsia" w:ascii="宋体" w:hAnsi="宋体" w:eastAsia="宋体" w:cs="Times New Roman"/>
                <w:bCs/>
                <w:color w:val="auto"/>
                <w:kern w:val="0"/>
                <w:sz w:val="21"/>
                <w:szCs w:val="21"/>
                <w:highlight w:val="none"/>
                <w:lang w:val="en-US" w:eastAsia="zh-CN" w:bidi="ar-SA"/>
              </w:rPr>
            </w:pPr>
            <w:r>
              <w:rPr>
                <w:rFonts w:hint="eastAsia" w:ascii="宋体" w:hAnsi="宋体" w:eastAsia="宋体" w:cs="Times New Roman"/>
                <w:bCs/>
                <w:color w:val="auto"/>
                <w:kern w:val="0"/>
                <w:sz w:val="21"/>
                <w:szCs w:val="21"/>
                <w:highlight w:val="none"/>
                <w:lang w:val="en-US" w:eastAsia="zh-CN" w:bidi="ar-SA"/>
              </w:rPr>
              <w:t>采购需求中标注“■”号的条款系指与项目实际紧密相关的功能条款、技术指标，作为服务性能评审依据，由评委根据供应商提供的证明材料并加盖供应商公章（或电子签章）进行打分。</w:t>
            </w:r>
          </w:p>
          <w:p w14:paraId="3B443CFE">
            <w:pPr>
              <w:pStyle w:val="14"/>
              <w:spacing w:line="360" w:lineRule="auto"/>
              <w:ind w:firstLine="422" w:firstLineChars="200"/>
              <w:rPr>
                <w:rFonts w:hAnsi="宋体" w:cs="宋体"/>
                <w:bCs/>
                <w:color w:val="auto"/>
                <w:kern w:val="2"/>
                <w:sz w:val="21"/>
                <w:szCs w:val="21"/>
                <w:highlight w:val="none"/>
              </w:rPr>
            </w:pPr>
            <w:r>
              <w:rPr>
                <w:rFonts w:hint="eastAsia"/>
                <w:b/>
                <w:bCs/>
                <w:color w:val="auto"/>
                <w:szCs w:val="21"/>
                <w:highlight w:val="none"/>
                <w:lang w:val="en-US" w:eastAsia="zh-CN"/>
              </w:rPr>
              <w:t>响应文件中</w:t>
            </w:r>
            <w:r>
              <w:rPr>
                <w:rFonts w:hint="eastAsia"/>
                <w:b/>
                <w:bCs/>
                <w:color w:val="auto"/>
                <w:szCs w:val="21"/>
                <w:highlight w:val="none"/>
                <w:lang w:eastAsia="zh-CN"/>
              </w:rPr>
              <w:t>需提供国家认可的第三方检测机构出具</w:t>
            </w:r>
            <w:r>
              <w:rPr>
                <w:rFonts w:hint="eastAsia" w:ascii="宋体" w:hAnsi="宋体" w:cs="宋体"/>
                <w:b/>
                <w:bCs/>
                <w:color w:val="auto"/>
                <w:szCs w:val="21"/>
                <w:highlight w:val="none"/>
                <w:lang w:val="en-US" w:eastAsia="zh-CN"/>
              </w:rPr>
              <w:t>的有效的检测报告，</w:t>
            </w:r>
            <w:r>
              <w:rPr>
                <w:b/>
                <w:bCs/>
                <w:color w:val="auto"/>
                <w:szCs w:val="21"/>
                <w:highlight w:val="none"/>
              </w:rPr>
              <w:t>并加盖</w:t>
            </w:r>
            <w:r>
              <w:rPr>
                <w:rFonts w:hint="eastAsia"/>
                <w:b/>
                <w:bCs/>
                <w:color w:val="auto"/>
                <w:szCs w:val="21"/>
                <w:highlight w:val="none"/>
                <w:lang w:eastAsia="zh-CN"/>
              </w:rPr>
              <w:t>供应商公章（或电子签章），</w:t>
            </w:r>
            <w:r>
              <w:rPr>
                <w:rFonts w:hint="eastAsia" w:ascii="宋体" w:hAnsi="宋体" w:eastAsia="宋体" w:cs="Times New Roman"/>
                <w:b/>
                <w:bCs/>
                <w:color w:val="auto"/>
                <w:kern w:val="0"/>
                <w:sz w:val="21"/>
                <w:szCs w:val="21"/>
                <w:highlight w:val="none"/>
                <w:lang w:val="en-US" w:eastAsia="zh-CN" w:bidi="ar-SA"/>
              </w:rPr>
              <w:t>每有一项得3分；满分27分；如果未提供相应关证明材料的，不得分</w:t>
            </w:r>
            <w:r>
              <w:rPr>
                <w:rFonts w:hint="eastAsia" w:ascii="宋体" w:hAnsi="宋体" w:cs="Times New Roman"/>
                <w:b/>
                <w:bCs/>
                <w:color w:val="auto"/>
                <w:kern w:val="0"/>
                <w:sz w:val="21"/>
                <w:szCs w:val="21"/>
                <w:highlight w:val="none"/>
                <w:lang w:val="en-US" w:eastAsia="zh-CN" w:bidi="ar-SA"/>
              </w:rPr>
              <w:t>。</w:t>
            </w:r>
          </w:p>
        </w:tc>
      </w:tr>
      <w:tr w14:paraId="451A9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4" w:type="dxa"/>
            <w:vMerge w:val="continue"/>
            <w:tcBorders>
              <w:left w:val="single" w:color="auto" w:sz="4" w:space="0"/>
              <w:right w:val="single" w:color="auto" w:sz="4" w:space="0"/>
            </w:tcBorders>
            <w:vAlign w:val="center"/>
          </w:tcPr>
          <w:p w14:paraId="4CE5F5D0">
            <w:pPr>
              <w:adjustRightInd w:val="0"/>
              <w:spacing w:line="360" w:lineRule="auto"/>
              <w:jc w:val="center"/>
              <w:textAlignment w:val="baseline"/>
              <w:rPr>
                <w:rFonts w:ascii="宋体" w:hAnsi="宋体" w:cs="宋体"/>
                <w:bCs/>
                <w:color w:val="auto"/>
                <w:sz w:val="24"/>
                <w:highlight w:val="none"/>
              </w:rPr>
            </w:pPr>
          </w:p>
        </w:tc>
        <w:tc>
          <w:tcPr>
            <w:tcW w:w="1418" w:type="dxa"/>
            <w:vMerge w:val="continue"/>
            <w:tcBorders>
              <w:left w:val="single" w:color="auto" w:sz="4" w:space="0"/>
              <w:right w:val="single" w:color="auto" w:sz="4" w:space="0"/>
            </w:tcBorders>
            <w:vAlign w:val="center"/>
          </w:tcPr>
          <w:p w14:paraId="6C4577B6">
            <w:pPr>
              <w:adjustRightInd w:val="0"/>
              <w:snapToGrid w:val="0"/>
              <w:spacing w:line="360" w:lineRule="auto"/>
              <w:ind w:left="-105" w:leftChars="-50" w:right="-105" w:rightChars="-50"/>
              <w:jc w:val="center"/>
              <w:textAlignment w:val="baseline"/>
              <w:rPr>
                <w:rFonts w:ascii="宋体" w:hAnsi="宋体"/>
                <w:bCs/>
                <w:color w:val="auto"/>
                <w:sz w:val="24"/>
                <w:highlight w:val="none"/>
              </w:rPr>
            </w:pPr>
          </w:p>
        </w:tc>
        <w:tc>
          <w:tcPr>
            <w:tcW w:w="1722" w:type="dxa"/>
            <w:tcBorders>
              <w:top w:val="single" w:color="auto" w:sz="4" w:space="0"/>
              <w:left w:val="single" w:color="auto" w:sz="4" w:space="0"/>
              <w:right w:val="single" w:color="auto" w:sz="4" w:space="0"/>
            </w:tcBorders>
            <w:vAlign w:val="center"/>
          </w:tcPr>
          <w:p w14:paraId="702054CF">
            <w:pPr>
              <w:adjustRightInd w:val="0"/>
              <w:spacing w:line="360" w:lineRule="auto"/>
              <w:jc w:val="center"/>
              <w:textAlignment w:val="baseline"/>
              <w:rPr>
                <w:rFonts w:hint="eastAsia" w:ascii="宋体" w:hAnsi="宋体" w:eastAsia="宋体" w:cs="宋体"/>
                <w:bCs/>
                <w:color w:val="auto"/>
                <w:sz w:val="24"/>
                <w:highlight w:val="none"/>
                <w:lang w:eastAsia="zh-CN"/>
              </w:rPr>
            </w:pP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lang w:eastAsia="zh-CN"/>
              </w:rPr>
              <w:t>）项目实施方案分（满分</w:t>
            </w:r>
            <w:r>
              <w:rPr>
                <w:rFonts w:hint="eastAsia" w:ascii="宋体" w:hAnsi="宋体" w:cs="宋体"/>
                <w:bCs/>
                <w:color w:val="auto"/>
                <w:sz w:val="21"/>
                <w:szCs w:val="21"/>
                <w:highlight w:val="none"/>
                <w:lang w:val="en-US" w:eastAsia="zh-CN"/>
              </w:rPr>
              <w:t>20</w:t>
            </w:r>
            <w:r>
              <w:rPr>
                <w:rFonts w:hint="eastAsia" w:ascii="宋体" w:hAnsi="宋体" w:eastAsia="宋体" w:cs="宋体"/>
                <w:bCs/>
                <w:color w:val="auto"/>
                <w:sz w:val="21"/>
                <w:szCs w:val="21"/>
                <w:highlight w:val="none"/>
                <w:lang w:eastAsia="zh-CN"/>
              </w:rPr>
              <w:t>分）</w:t>
            </w:r>
          </w:p>
        </w:tc>
        <w:tc>
          <w:tcPr>
            <w:tcW w:w="5876" w:type="dxa"/>
            <w:tcBorders>
              <w:top w:val="single" w:color="auto" w:sz="4" w:space="0"/>
              <w:left w:val="single" w:color="auto" w:sz="4" w:space="0"/>
              <w:bottom w:val="single" w:color="auto" w:sz="4" w:space="0"/>
              <w:right w:val="single" w:color="auto" w:sz="4" w:space="0"/>
            </w:tcBorders>
            <w:vAlign w:val="center"/>
          </w:tcPr>
          <w:p w14:paraId="61641E9C">
            <w:pPr>
              <w:pStyle w:val="17"/>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宋体" w:hAnsi="宋体" w:eastAsia="宋体" w:cs="宋体"/>
                <w:b/>
                <w:bCs w:val="0"/>
                <w:color w:val="auto"/>
                <w:sz w:val="21"/>
                <w:szCs w:val="21"/>
                <w:highlight w:val="none"/>
                <w:lang w:val="en-US" w:eastAsia="zh-CN"/>
              </w:rPr>
            </w:pPr>
            <w:r>
              <w:rPr>
                <w:rFonts w:hint="eastAsia" w:ascii="宋体" w:hAnsi="宋体" w:eastAsia="宋体" w:cs="宋体"/>
                <w:b/>
                <w:bCs w:val="0"/>
                <w:color w:val="auto"/>
                <w:sz w:val="21"/>
                <w:szCs w:val="21"/>
                <w:highlight w:val="none"/>
              </w:rPr>
              <w:t>由</w:t>
            </w:r>
            <w:r>
              <w:rPr>
                <w:rFonts w:hint="eastAsia" w:ascii="宋体" w:hAnsi="宋体" w:eastAsia="宋体" w:cs="宋体"/>
                <w:b/>
                <w:bCs w:val="0"/>
                <w:color w:val="auto"/>
                <w:sz w:val="21"/>
                <w:szCs w:val="21"/>
                <w:highlight w:val="none"/>
                <w:lang w:eastAsia="zh-CN"/>
              </w:rPr>
              <w:t>磋商小组</w:t>
            </w:r>
            <w:r>
              <w:rPr>
                <w:rFonts w:hint="eastAsia" w:ascii="宋体" w:hAnsi="宋体" w:eastAsia="宋体" w:cs="宋体"/>
                <w:b/>
                <w:bCs w:val="0"/>
                <w:color w:val="auto"/>
                <w:sz w:val="21"/>
                <w:szCs w:val="21"/>
                <w:highlight w:val="none"/>
              </w:rPr>
              <w:t>在打分前根据</w:t>
            </w:r>
            <w:r>
              <w:rPr>
                <w:rFonts w:hint="eastAsia" w:ascii="宋体" w:hAnsi="宋体" w:eastAsia="宋体" w:cs="宋体"/>
                <w:b/>
                <w:bCs w:val="0"/>
                <w:color w:val="auto"/>
                <w:sz w:val="21"/>
                <w:szCs w:val="21"/>
                <w:highlight w:val="none"/>
                <w:lang w:val="en-US" w:eastAsia="zh-CN"/>
              </w:rPr>
              <w:t>供应商</w:t>
            </w:r>
            <w:r>
              <w:rPr>
                <w:rFonts w:hint="eastAsia" w:ascii="宋体" w:hAnsi="宋体" w:eastAsia="宋体" w:cs="宋体"/>
                <w:b/>
                <w:bCs w:val="0"/>
                <w:color w:val="auto"/>
                <w:sz w:val="21"/>
                <w:szCs w:val="21"/>
                <w:highlight w:val="none"/>
              </w:rPr>
              <w:t>提供的项目实施方案独立打分</w:t>
            </w:r>
            <w:r>
              <w:rPr>
                <w:rFonts w:hint="eastAsia" w:ascii="宋体" w:hAnsi="宋体" w:eastAsia="宋体" w:cs="宋体"/>
                <w:b/>
                <w:bCs w:val="0"/>
                <w:color w:val="auto"/>
                <w:sz w:val="21"/>
                <w:szCs w:val="21"/>
                <w:highlight w:val="none"/>
                <w:lang w:eastAsia="zh-CN"/>
              </w:rPr>
              <w:t>。</w:t>
            </w:r>
            <w:r>
              <w:rPr>
                <w:rFonts w:hint="eastAsia" w:ascii="宋体" w:hAnsi="宋体" w:eastAsia="宋体" w:cs="宋体"/>
                <w:b/>
                <w:bCs w:val="0"/>
                <w:color w:val="auto"/>
                <w:sz w:val="21"/>
                <w:szCs w:val="21"/>
                <w:highlight w:val="none"/>
                <w:lang w:val="en-US" w:eastAsia="zh-CN"/>
              </w:rPr>
              <w:t>不提供不得分</w:t>
            </w:r>
          </w:p>
          <w:p w14:paraId="3D584BE6">
            <w:pPr>
              <w:tabs>
                <w:tab w:val="left" w:pos="1470"/>
              </w:tabs>
              <w:spacing w:line="360" w:lineRule="auto"/>
              <w:ind w:firstLine="420"/>
              <w:rPr>
                <w:rFonts w:hint="eastAsia" w:ascii="宋体" w:hAnsi="宋体" w:eastAsia="宋体" w:cs="宋体"/>
                <w:color w:val="auto"/>
                <w:sz w:val="21"/>
                <w:szCs w:val="21"/>
                <w:highlight w:val="none"/>
                <w:lang w:val="zh-TW" w:eastAsia="zh-CN"/>
              </w:rPr>
            </w:pPr>
            <w:r>
              <w:rPr>
                <w:rFonts w:hint="eastAsia" w:ascii="宋体" w:hAnsi="宋体" w:eastAsia="宋体" w:cs="宋体"/>
                <w:color w:val="auto"/>
                <w:sz w:val="21"/>
                <w:szCs w:val="21"/>
                <w:highlight w:val="none"/>
                <w:lang w:val="zh-TW" w:eastAsia="zh-TW"/>
              </w:rPr>
              <w:t>一档（</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lang w:val="zh-TW" w:eastAsia="zh-TW"/>
              </w:rPr>
              <w:t>分）</w:t>
            </w:r>
            <w:r>
              <w:rPr>
                <w:rFonts w:hint="eastAsia" w:ascii="宋体" w:hAnsi="宋体" w:eastAsia="宋体" w:cs="宋体"/>
                <w:color w:val="auto"/>
                <w:sz w:val="21"/>
                <w:szCs w:val="21"/>
                <w:highlight w:val="none"/>
                <w:lang w:val="zh-TW" w:eastAsia="zh-CN"/>
              </w:rPr>
              <w:t>：</w:t>
            </w:r>
            <w:r>
              <w:rPr>
                <w:rFonts w:hint="eastAsia" w:ascii="宋体" w:hAnsi="宋体" w:eastAsia="宋体" w:cs="宋体"/>
                <w:color w:val="auto"/>
                <w:sz w:val="21"/>
                <w:szCs w:val="21"/>
                <w:highlight w:val="none"/>
                <w:lang w:val="zh-TW" w:eastAsia="zh-TW"/>
              </w:rPr>
              <w:t>方案内容简略，仅基础框架，勉强贴合项目基本实施要求，无细化部署与配套保障内容</w:t>
            </w:r>
            <w:r>
              <w:rPr>
                <w:rFonts w:hint="eastAsia" w:ascii="宋体" w:hAnsi="宋体" w:eastAsia="宋体" w:cs="宋体"/>
                <w:color w:val="auto"/>
                <w:sz w:val="21"/>
                <w:szCs w:val="21"/>
                <w:highlight w:val="none"/>
                <w:lang w:val="zh-TW" w:eastAsia="zh-CN"/>
              </w:rPr>
              <w:t>。</w:t>
            </w:r>
          </w:p>
          <w:p w14:paraId="211F331C">
            <w:pPr>
              <w:tabs>
                <w:tab w:val="left" w:pos="1470"/>
              </w:tabs>
              <w:spacing w:line="360" w:lineRule="auto"/>
              <w:ind w:firstLine="42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二档（10分）：</w:t>
            </w:r>
            <w:r>
              <w:rPr>
                <w:rFonts w:hint="eastAsia" w:ascii="宋体" w:hAnsi="宋体" w:eastAsia="宋体" w:cs="宋体"/>
                <w:color w:val="auto"/>
                <w:sz w:val="21"/>
                <w:szCs w:val="21"/>
                <w:highlight w:val="none"/>
                <w:lang w:val="zh-TW" w:eastAsia="zh-TW"/>
              </w:rPr>
              <w:t>方案内容相对完整，贴合网络租赁基础业务需求；项目人员配置齐全，岗位分工基本清晰，可平稳完成线路开通与常规运维。关键技术、线路适配性描述较为常规，具备基础安全防护思路，未细化风险管控、施工规范及验收流程，无完整项目管理体系文件</w:t>
            </w:r>
          </w:p>
          <w:p w14:paraId="446FF714">
            <w:pPr>
              <w:tabs>
                <w:tab w:val="left" w:pos="1470"/>
              </w:tabs>
              <w:spacing w:line="360" w:lineRule="auto"/>
              <w:ind w:firstLine="420"/>
              <w:rPr>
                <w:rFonts w:hint="eastAsia" w:ascii="宋体" w:hAnsi="宋体" w:eastAsia="宋体" w:cs="宋体"/>
                <w:color w:val="auto"/>
                <w:sz w:val="21"/>
                <w:szCs w:val="21"/>
                <w:highlight w:val="none"/>
                <w:lang w:val="zh-TW" w:eastAsia="zh-TW"/>
              </w:rPr>
            </w:pPr>
            <w:r>
              <w:rPr>
                <w:rFonts w:hint="eastAsia" w:ascii="宋体" w:hAnsi="宋体" w:eastAsia="宋体" w:cs="宋体"/>
                <w:color w:val="auto"/>
                <w:sz w:val="21"/>
                <w:szCs w:val="21"/>
                <w:highlight w:val="none"/>
                <w:lang w:val="en-US" w:eastAsia="zh-CN"/>
              </w:rPr>
              <w:t>三</w:t>
            </w:r>
            <w:r>
              <w:rPr>
                <w:rFonts w:hint="eastAsia" w:ascii="宋体" w:hAnsi="宋体" w:eastAsia="宋体" w:cs="宋体"/>
                <w:color w:val="auto"/>
                <w:sz w:val="21"/>
                <w:szCs w:val="21"/>
                <w:highlight w:val="none"/>
                <w:lang w:val="zh-TW" w:eastAsia="zh-TW"/>
              </w:rPr>
              <w:t>档（</w:t>
            </w:r>
            <w:r>
              <w:rPr>
                <w:rFonts w:hint="eastAsia" w:ascii="宋体" w:hAnsi="宋体" w:eastAsia="宋体" w:cs="宋体"/>
                <w:color w:val="auto"/>
                <w:sz w:val="21"/>
                <w:szCs w:val="21"/>
                <w:highlight w:val="none"/>
                <w:lang w:val="en-US" w:eastAsia="zh-CN"/>
              </w:rPr>
              <w:t>15</w:t>
            </w:r>
            <w:r>
              <w:rPr>
                <w:rFonts w:hint="eastAsia" w:ascii="宋体" w:hAnsi="宋体" w:eastAsia="宋体" w:cs="宋体"/>
                <w:color w:val="auto"/>
                <w:sz w:val="21"/>
                <w:szCs w:val="21"/>
                <w:highlight w:val="none"/>
                <w:lang w:val="zh-TW" w:eastAsia="zh-TW"/>
              </w:rPr>
              <w:t>分）：</w:t>
            </w:r>
            <w:r>
              <w:rPr>
                <w:rFonts w:hint="eastAsia" w:ascii="宋体" w:hAnsi="宋体" w:eastAsia="宋体" w:cs="宋体"/>
                <w:color w:val="auto"/>
                <w:sz w:val="21"/>
                <w:szCs w:val="21"/>
                <w:highlight w:val="none"/>
              </w:rPr>
              <w:t>方案编制详实规范，精准匹配本次网络租赁业务场景；线路带宽、链路架构、组网方式等核心技术要点表述清晰，线路传输稳定、网络安全防护体系完善，可有效保障日常业务平稳运行。具备完整项目组织架构图，各实施阶段工期、工作流程规划明确；配齐人员排班、现场施工、工程质量、风险防控、文明施工基础保障措施，拥有初步系统联调、竣工验收流程方案；项目团队配备2名高级工程师牵头负责实施工作。</w:t>
            </w:r>
          </w:p>
          <w:p w14:paraId="05226BA8">
            <w:pPr>
              <w:tabs>
                <w:tab w:val="left" w:pos="1470"/>
              </w:tabs>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档（</w:t>
            </w:r>
            <w:r>
              <w:rPr>
                <w:rFonts w:hint="eastAsia" w:ascii="宋体" w:hAnsi="宋体" w:eastAsia="宋体" w:cs="宋体"/>
                <w:color w:val="auto"/>
                <w:sz w:val="21"/>
                <w:szCs w:val="21"/>
                <w:highlight w:val="none"/>
                <w:lang w:val="en-US" w:eastAsia="zh-CN"/>
              </w:rPr>
              <w:t>20</w:t>
            </w:r>
            <w:r>
              <w:rPr>
                <w:rFonts w:hint="eastAsia" w:ascii="宋体" w:hAnsi="宋体" w:eastAsia="宋体" w:cs="宋体"/>
                <w:color w:val="auto"/>
                <w:sz w:val="21"/>
                <w:szCs w:val="21"/>
                <w:highlight w:val="none"/>
              </w:rPr>
              <w:t>分）：综合评定优秀，方案详细，</w:t>
            </w:r>
            <w:r>
              <w:rPr>
                <w:rFonts w:hint="eastAsia" w:ascii="宋体" w:hAnsi="宋体" w:eastAsia="宋体" w:cs="宋体"/>
                <w:color w:val="auto"/>
                <w:sz w:val="21"/>
                <w:szCs w:val="21"/>
                <w:highlight w:val="none"/>
                <w:lang w:val="zh-TW" w:eastAsia="zh-TW"/>
              </w:rPr>
              <w:t>对关键技术点描述清晰、到位，完全满足线路租赁需求，具有很高的稳定性和安全性，能保障业务系统完全不受影响。</w:t>
            </w:r>
            <w:r>
              <w:rPr>
                <w:rFonts w:hint="eastAsia" w:ascii="宋体" w:hAnsi="宋体" w:eastAsia="宋体" w:cs="宋体"/>
                <w:color w:val="auto"/>
                <w:sz w:val="21"/>
                <w:szCs w:val="21"/>
                <w:highlight w:val="none"/>
                <w:lang w:val="en-US" w:eastAsia="zh-CN"/>
              </w:rPr>
              <w:t>维护</w:t>
            </w:r>
            <w:r>
              <w:rPr>
                <w:rFonts w:hint="eastAsia" w:ascii="宋体" w:hAnsi="宋体" w:eastAsia="宋体" w:cs="宋体"/>
                <w:color w:val="auto"/>
                <w:sz w:val="21"/>
                <w:szCs w:val="21"/>
                <w:highlight w:val="none"/>
              </w:rPr>
              <w:t>方案形成项目管理文档计划，有项目管理组织机构图，详细说明各个阶段工作安排，能说明人员安排，有工程实施安全保障措施、工程质量保证措施、项目风险管理措施、文明施工管理措施，能提供系统联调及验收方案。拟投入3个及以上高级工程师的团队参与项目实施。</w:t>
            </w:r>
          </w:p>
          <w:p w14:paraId="5CBFD945">
            <w:pPr>
              <w:tabs>
                <w:tab w:val="left" w:pos="1470"/>
              </w:tabs>
              <w:spacing w:line="360" w:lineRule="auto"/>
              <w:ind w:firstLine="42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w:t>
            </w:r>
          </w:p>
          <w:p w14:paraId="79AE0B77">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项目实施方案中拟投入</w:t>
            </w:r>
            <w:r>
              <w:rPr>
                <w:rFonts w:hint="eastAsia" w:ascii="宋体" w:hAnsi="宋体" w:cs="宋体"/>
                <w:color w:val="auto"/>
                <w:sz w:val="21"/>
                <w:szCs w:val="21"/>
                <w:highlight w:val="none"/>
                <w:lang w:val="en-US" w:eastAsia="zh-CN"/>
              </w:rPr>
              <w:t>人员</w:t>
            </w:r>
            <w:r>
              <w:rPr>
                <w:rFonts w:hint="eastAsia" w:ascii="宋体" w:hAnsi="宋体" w:eastAsia="宋体" w:cs="宋体"/>
                <w:color w:val="auto"/>
                <w:sz w:val="21"/>
                <w:szCs w:val="21"/>
                <w:highlight w:val="none"/>
              </w:rPr>
              <w:t>，与服务方案中配置的</w:t>
            </w:r>
            <w:r>
              <w:rPr>
                <w:rFonts w:hint="eastAsia" w:ascii="宋体" w:hAnsi="宋体" w:cs="宋体"/>
                <w:color w:val="auto"/>
                <w:sz w:val="21"/>
                <w:szCs w:val="21"/>
                <w:highlight w:val="none"/>
                <w:lang w:val="en-US" w:eastAsia="zh-CN"/>
              </w:rPr>
              <w:t>人员</w:t>
            </w:r>
            <w:r>
              <w:rPr>
                <w:rFonts w:hint="eastAsia" w:ascii="宋体" w:hAnsi="宋体" w:eastAsia="宋体" w:cs="宋体"/>
                <w:color w:val="auto"/>
                <w:sz w:val="21"/>
                <w:szCs w:val="21"/>
                <w:highlight w:val="none"/>
              </w:rPr>
              <w:t>不得为同一人员，人员存在重复兼任情况的，本项内容不予计分</w:t>
            </w:r>
          </w:p>
          <w:p w14:paraId="27C20BB4">
            <w:pPr>
              <w:tabs>
                <w:tab w:val="left" w:pos="1470"/>
              </w:tabs>
              <w:spacing w:line="360" w:lineRule="auto"/>
              <w:ind w:firstLine="420"/>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需</w:t>
            </w:r>
            <w:r>
              <w:rPr>
                <w:rFonts w:hint="eastAsia" w:ascii="宋体" w:hAnsi="宋体" w:eastAsia="宋体" w:cs="宋体"/>
                <w:color w:val="auto"/>
                <w:sz w:val="21"/>
                <w:szCs w:val="21"/>
                <w:highlight w:val="none"/>
              </w:rPr>
              <w:t>提供相关实施人员证书复印件并加盖</w:t>
            </w:r>
            <w:r>
              <w:rPr>
                <w:rFonts w:hint="eastAsia" w:ascii="宋体" w:hAnsi="宋体" w:eastAsia="宋体" w:cs="宋体"/>
                <w:color w:val="auto"/>
                <w:sz w:val="21"/>
                <w:szCs w:val="21"/>
                <w:highlight w:val="none"/>
                <w:lang w:val="en-US" w:eastAsia="zh-CN"/>
              </w:rPr>
              <w:t>供应商公章（或电子签章）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否则</w:t>
            </w:r>
            <w:r>
              <w:rPr>
                <w:rFonts w:hint="eastAsia" w:ascii="宋体" w:hAnsi="宋体" w:eastAsia="宋体" w:cs="宋体"/>
                <w:color w:val="auto"/>
                <w:sz w:val="21"/>
                <w:szCs w:val="21"/>
                <w:highlight w:val="none"/>
              </w:rPr>
              <w:t>不得分。</w:t>
            </w:r>
          </w:p>
        </w:tc>
      </w:tr>
      <w:tr w14:paraId="1BB75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4" w:type="dxa"/>
            <w:vMerge w:val="restart"/>
            <w:tcBorders>
              <w:left w:val="single" w:color="auto" w:sz="4" w:space="0"/>
              <w:right w:val="single" w:color="auto" w:sz="4" w:space="0"/>
            </w:tcBorders>
            <w:vAlign w:val="center"/>
          </w:tcPr>
          <w:p w14:paraId="6D815410">
            <w:pPr>
              <w:adjustRightInd w:val="0"/>
              <w:spacing w:line="360" w:lineRule="auto"/>
              <w:jc w:val="center"/>
              <w:textAlignment w:val="baseline"/>
              <w:rPr>
                <w:rFonts w:hint="default" w:ascii="宋体" w:hAnsi="宋体" w:eastAsia="宋体" w:cs="宋体"/>
                <w:bCs/>
                <w:color w:val="auto"/>
                <w:sz w:val="24"/>
                <w:highlight w:val="none"/>
                <w:lang w:val="en-US" w:eastAsia="zh-CN"/>
              </w:rPr>
            </w:pPr>
            <w:r>
              <w:rPr>
                <w:rFonts w:hint="eastAsia" w:ascii="宋体" w:hAnsi="宋体" w:cs="宋体"/>
                <w:bCs/>
                <w:color w:val="auto"/>
                <w:sz w:val="24"/>
                <w:highlight w:val="none"/>
                <w:lang w:val="en-US" w:eastAsia="zh-CN"/>
              </w:rPr>
              <w:t>3.</w:t>
            </w:r>
          </w:p>
        </w:tc>
        <w:tc>
          <w:tcPr>
            <w:tcW w:w="1418" w:type="dxa"/>
            <w:vMerge w:val="restart"/>
            <w:tcBorders>
              <w:left w:val="single" w:color="auto" w:sz="4" w:space="0"/>
              <w:right w:val="single" w:color="auto" w:sz="4" w:space="0"/>
            </w:tcBorders>
            <w:vAlign w:val="center"/>
          </w:tcPr>
          <w:p w14:paraId="2E8BABB8">
            <w:pPr>
              <w:adjustRightInd w:val="0"/>
              <w:spacing w:line="360" w:lineRule="auto"/>
              <w:jc w:val="center"/>
              <w:textAlignment w:val="baseline"/>
              <w:rPr>
                <w:rFonts w:hint="eastAsia" w:ascii="宋体" w:hAnsi="宋体" w:eastAsia="宋体"/>
                <w:bCs/>
                <w:color w:val="auto"/>
                <w:szCs w:val="21"/>
                <w:highlight w:val="none"/>
                <w:lang w:eastAsia="zh-CN"/>
              </w:rPr>
            </w:pPr>
            <w:r>
              <w:rPr>
                <w:rFonts w:hint="eastAsia" w:ascii="宋体" w:hAnsi="宋体"/>
                <w:bCs/>
                <w:color w:val="auto"/>
                <w:szCs w:val="21"/>
                <w:highlight w:val="none"/>
              </w:rPr>
              <w:t>商务分</w:t>
            </w:r>
            <w:r>
              <w:rPr>
                <w:rFonts w:hint="eastAsia" w:ascii="宋体" w:hAnsi="宋体"/>
                <w:bCs/>
                <w:color w:val="auto"/>
                <w:szCs w:val="21"/>
                <w:highlight w:val="none"/>
                <w:lang w:eastAsia="zh-CN"/>
              </w:rPr>
              <w:t>（</w:t>
            </w:r>
            <w:r>
              <w:rPr>
                <w:rFonts w:hint="eastAsia" w:ascii="宋体" w:hAnsi="宋体"/>
                <w:bCs/>
                <w:color w:val="auto"/>
                <w:szCs w:val="21"/>
                <w:highlight w:val="none"/>
                <w:lang w:val="en-US" w:eastAsia="zh-CN"/>
              </w:rPr>
              <w:t>满分43分</w:t>
            </w:r>
            <w:r>
              <w:rPr>
                <w:rFonts w:hint="eastAsia" w:ascii="宋体" w:hAnsi="宋体"/>
                <w:bCs/>
                <w:color w:val="auto"/>
                <w:szCs w:val="21"/>
                <w:highlight w:val="none"/>
                <w:lang w:eastAsia="zh-CN"/>
              </w:rPr>
              <w:t>）</w:t>
            </w:r>
          </w:p>
          <w:p w14:paraId="126A7A0F">
            <w:pPr>
              <w:adjustRightInd w:val="0"/>
              <w:snapToGrid w:val="0"/>
              <w:spacing w:line="360" w:lineRule="auto"/>
              <w:ind w:left="-105" w:leftChars="-50" w:right="-105" w:rightChars="-50"/>
              <w:jc w:val="center"/>
              <w:textAlignment w:val="baseline"/>
              <w:rPr>
                <w:rFonts w:ascii="宋体" w:hAnsi="宋体"/>
                <w:bCs/>
                <w:color w:val="auto"/>
                <w:sz w:val="24"/>
                <w:highlight w:val="none"/>
              </w:rPr>
            </w:pPr>
          </w:p>
        </w:tc>
        <w:tc>
          <w:tcPr>
            <w:tcW w:w="1722" w:type="dxa"/>
            <w:tcBorders>
              <w:top w:val="single" w:color="auto" w:sz="4" w:space="0"/>
              <w:left w:val="single" w:color="auto" w:sz="4" w:space="0"/>
              <w:bottom w:val="single" w:color="auto" w:sz="4" w:space="0"/>
              <w:right w:val="single" w:color="auto" w:sz="4" w:space="0"/>
            </w:tcBorders>
            <w:vAlign w:val="center"/>
          </w:tcPr>
          <w:p w14:paraId="6EE7D361">
            <w:pPr>
              <w:adjustRightInd w:val="0"/>
              <w:spacing w:line="360" w:lineRule="auto"/>
              <w:jc w:val="center"/>
              <w:textAlignment w:val="baseline"/>
              <w:rPr>
                <w:rFonts w:ascii="宋体" w:hAnsi="宋体" w:cs="宋体"/>
                <w:bCs/>
                <w:color w:val="auto"/>
                <w:sz w:val="21"/>
                <w:szCs w:val="21"/>
                <w:highlight w:val="none"/>
              </w:rPr>
            </w:pPr>
            <w:r>
              <w:rPr>
                <w:rFonts w:hint="eastAsia" w:ascii="宋体" w:hAnsi="宋体" w:eastAsia="宋体" w:cs="宋体"/>
                <w:bCs/>
                <w:color w:val="auto"/>
                <w:sz w:val="21"/>
                <w:szCs w:val="21"/>
                <w:highlight w:val="none"/>
                <w:lang w:val="en-US" w:eastAsia="zh-CN"/>
              </w:rPr>
              <w:t>服务方案（满分</w:t>
            </w:r>
            <w:r>
              <w:rPr>
                <w:rFonts w:hint="eastAsia" w:ascii="宋体" w:hAnsi="宋体" w:cs="宋体"/>
                <w:bCs/>
                <w:color w:val="auto"/>
                <w:sz w:val="21"/>
                <w:szCs w:val="21"/>
                <w:highlight w:val="none"/>
                <w:lang w:val="en-US" w:eastAsia="zh-CN"/>
              </w:rPr>
              <w:t>24</w:t>
            </w:r>
            <w:r>
              <w:rPr>
                <w:rFonts w:hint="eastAsia" w:ascii="宋体" w:hAnsi="宋体" w:eastAsia="宋体" w:cs="宋体"/>
                <w:bCs/>
                <w:color w:val="auto"/>
                <w:sz w:val="21"/>
                <w:szCs w:val="21"/>
                <w:highlight w:val="none"/>
                <w:lang w:val="en-US" w:eastAsia="zh-CN"/>
              </w:rPr>
              <w:t>分）</w:t>
            </w:r>
          </w:p>
        </w:tc>
        <w:tc>
          <w:tcPr>
            <w:tcW w:w="5876" w:type="dxa"/>
            <w:tcBorders>
              <w:top w:val="single" w:color="auto" w:sz="4" w:space="0"/>
              <w:left w:val="single" w:color="auto" w:sz="4" w:space="0"/>
              <w:bottom w:val="single" w:color="auto" w:sz="4" w:space="0"/>
              <w:right w:val="single" w:color="auto" w:sz="4" w:space="0"/>
            </w:tcBorders>
            <w:vAlign w:val="center"/>
          </w:tcPr>
          <w:p w14:paraId="0627C59C">
            <w:pPr>
              <w:tabs>
                <w:tab w:val="left" w:pos="4214"/>
              </w:tabs>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Cs w:val="21"/>
                <w:highlight w:val="none"/>
              </w:rPr>
              <w:t>一档（</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分）：</w:t>
            </w:r>
            <w:r>
              <w:rPr>
                <w:rFonts w:ascii="宋体" w:hAnsi="宋体" w:eastAsia="宋体" w:cs="宋体"/>
                <w:color w:val="auto"/>
                <w:sz w:val="21"/>
                <w:szCs w:val="21"/>
                <w:highlight w:val="none"/>
              </w:rPr>
              <w:t>服务方案内容简略，仅简单提及响应时效、人员配置、培训、备品备件基础内容；承诺故障1小时内抵达现场处置，仅可满足基础售后兜底需求，无应急、故障处置、保密相关专项规划。</w:t>
            </w:r>
          </w:p>
          <w:p w14:paraId="57EC5A61">
            <w:pPr>
              <w:tabs>
                <w:tab w:val="left" w:pos="4214"/>
              </w:tabs>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二档（</w:t>
            </w:r>
            <w:r>
              <w:rPr>
                <w:rFonts w:hint="eastAsia" w:ascii="宋体" w:hAnsi="宋体" w:cs="宋体"/>
                <w:color w:val="auto"/>
                <w:szCs w:val="21"/>
                <w:highlight w:val="none"/>
                <w:lang w:val="en-US" w:eastAsia="zh-CN"/>
              </w:rPr>
              <w:t>12</w:t>
            </w:r>
            <w:r>
              <w:rPr>
                <w:rFonts w:hint="eastAsia" w:ascii="宋体" w:hAnsi="宋体" w:cs="宋体"/>
                <w:color w:val="auto"/>
                <w:szCs w:val="21"/>
                <w:highlight w:val="none"/>
              </w:rPr>
              <w:t>分）：</w:t>
            </w:r>
            <w:r>
              <w:rPr>
                <w:rFonts w:ascii="宋体" w:hAnsi="宋体" w:eastAsia="宋体" w:cs="宋体"/>
                <w:color w:val="auto"/>
                <w:sz w:val="21"/>
                <w:szCs w:val="21"/>
                <w:highlight w:val="none"/>
              </w:rPr>
              <w:t>服务方案内容完整具备可行性，涵盖响应时效、团队配置、培训、备品备件、应急预案、保密承诺、故障处置方案；保障措施体系较为完善，承诺故障1小时到场，整体售后能力可契合招标基本要求</w:t>
            </w:r>
            <w:r>
              <w:rPr>
                <w:rFonts w:hint="eastAsia" w:ascii="宋体" w:hAnsi="宋体" w:eastAsia="宋体" w:cs="宋体"/>
                <w:color w:val="auto"/>
                <w:sz w:val="24"/>
                <w:szCs w:val="24"/>
                <w:highlight w:val="none"/>
                <w:lang w:eastAsia="zh-CN"/>
              </w:rPr>
              <w:t>。</w:t>
            </w:r>
          </w:p>
          <w:p w14:paraId="26E3A732">
            <w:pPr>
              <w:tabs>
                <w:tab w:val="left" w:pos="4214"/>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三档（</w:t>
            </w:r>
            <w:r>
              <w:rPr>
                <w:rFonts w:hint="eastAsia" w:ascii="宋体" w:hAnsi="宋体" w:cs="宋体"/>
                <w:color w:val="auto"/>
                <w:szCs w:val="21"/>
                <w:highlight w:val="none"/>
                <w:lang w:val="en-US" w:eastAsia="zh-CN"/>
              </w:rPr>
              <w:t>18</w:t>
            </w:r>
            <w:r>
              <w:rPr>
                <w:rFonts w:hint="eastAsia" w:ascii="宋体" w:hAnsi="宋体" w:cs="宋体"/>
                <w:color w:val="auto"/>
                <w:szCs w:val="21"/>
                <w:highlight w:val="none"/>
              </w:rPr>
              <w:t>分）：</w:t>
            </w:r>
            <w:r>
              <w:rPr>
                <w:rFonts w:hint="eastAsia" w:ascii="宋体" w:hAnsi="宋体" w:cs="宋体"/>
                <w:color w:val="auto"/>
                <w:szCs w:val="21"/>
                <w:highlight w:val="none"/>
                <w:lang w:val="en-US" w:eastAsia="zh-CN"/>
              </w:rPr>
              <w:t>供应商售后服务方案内容全面、条理清晰，完整覆盖服务响应时效、专属服务团队配备、常态化培训计划、备品备件储备、突发故障应急预案、信息保密承诺、各类网络故障专项解决方案等全部核心内容。服务流程规范合理，各项服务保障措施齐全完善，明确承诺故障发生后1小时内抵达现场开展处置工作。可提供3种及以上故障申告途径和服务绿色通道，包含7×24小时自有专线专业呼叫中心受理渠道，支持用户简易报修。项目拟投入配套服务团队，配置3名高级工程师、5名中级工程师，人员配置达标，售后服务方案完全满足招标文件全部基础要求，服务体系规范、可落地、可保障。</w:t>
            </w:r>
          </w:p>
          <w:p w14:paraId="0AA81910">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cs="宋体"/>
                <w:color w:val="auto"/>
                <w:szCs w:val="21"/>
                <w:highlight w:val="none"/>
                <w:lang w:val="en-US" w:eastAsia="zh-CN"/>
              </w:rPr>
              <w:t>四档（24分）：供应商的服务方案全面详细，对响应时间、服务团队配备、培训计划、备品备件、应急预案、保密承诺、故障解决方案等有所描述，有合理的服务流程，服务保障措施全面，能够确保故障发生后1小时内到达现场。提供至少3种故障申告途径及绿色通道，其中至少1种7×24小时自有专线故障专业呼叫中心受理渠道【用户报故障仅需提供线路两端的接入地址（单位名称）即可成功受理】。拟投入服务人员中有3名高级工程师，5个中级工程师，主要负责人需同时具备高级工程师、高级信息系统项目管理师；售后服务方案服务体系完善、专业度高，完全满足且优于招标文件各项售后服务要求，可全方位保障项目长期稳定运行。</w:t>
            </w:r>
          </w:p>
        </w:tc>
      </w:tr>
      <w:tr w14:paraId="1C1F1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4" w:type="dxa"/>
            <w:vMerge w:val="continue"/>
            <w:tcBorders>
              <w:left w:val="single" w:color="auto" w:sz="4" w:space="0"/>
              <w:bottom w:val="single" w:color="auto" w:sz="4" w:space="0"/>
              <w:right w:val="single" w:color="auto" w:sz="4" w:space="0"/>
            </w:tcBorders>
            <w:vAlign w:val="center"/>
          </w:tcPr>
          <w:p w14:paraId="7436657D">
            <w:pPr>
              <w:adjustRightInd w:val="0"/>
              <w:spacing w:line="360" w:lineRule="auto"/>
              <w:jc w:val="center"/>
              <w:textAlignment w:val="baseline"/>
              <w:rPr>
                <w:rFonts w:hint="eastAsia" w:ascii="宋体" w:hAnsi="宋体" w:cs="宋体"/>
                <w:bCs/>
                <w:color w:val="auto"/>
                <w:sz w:val="24"/>
                <w:highlight w:val="none"/>
                <w:lang w:val="en-US" w:eastAsia="zh-CN"/>
              </w:rPr>
            </w:pPr>
          </w:p>
        </w:tc>
        <w:tc>
          <w:tcPr>
            <w:tcW w:w="1418" w:type="dxa"/>
            <w:vMerge w:val="continue"/>
            <w:tcBorders>
              <w:left w:val="single" w:color="auto" w:sz="4" w:space="0"/>
              <w:bottom w:val="single" w:color="auto" w:sz="4" w:space="0"/>
              <w:right w:val="single" w:color="auto" w:sz="4" w:space="0"/>
            </w:tcBorders>
            <w:vAlign w:val="center"/>
          </w:tcPr>
          <w:p w14:paraId="134DA72C">
            <w:pPr>
              <w:adjustRightInd w:val="0"/>
              <w:snapToGrid w:val="0"/>
              <w:spacing w:line="360" w:lineRule="auto"/>
              <w:ind w:left="-105" w:leftChars="-50" w:right="-105" w:rightChars="-50"/>
              <w:jc w:val="center"/>
              <w:textAlignment w:val="baseline"/>
              <w:rPr>
                <w:rFonts w:hint="eastAsia" w:ascii="宋体" w:hAnsi="宋体"/>
                <w:bCs/>
                <w:color w:val="auto"/>
                <w:szCs w:val="21"/>
                <w:highlight w:val="none"/>
              </w:rPr>
            </w:pPr>
          </w:p>
        </w:tc>
        <w:tc>
          <w:tcPr>
            <w:tcW w:w="1722" w:type="dxa"/>
            <w:tcBorders>
              <w:top w:val="single" w:color="auto" w:sz="4" w:space="0"/>
              <w:left w:val="single" w:color="auto" w:sz="4" w:space="0"/>
              <w:bottom w:val="single" w:color="auto" w:sz="4" w:space="0"/>
              <w:right w:val="single" w:color="auto" w:sz="4" w:space="0"/>
            </w:tcBorders>
            <w:vAlign w:val="center"/>
          </w:tcPr>
          <w:p w14:paraId="0D859514">
            <w:pPr>
              <w:adjustRightInd w:val="0"/>
              <w:spacing w:line="360" w:lineRule="auto"/>
              <w:jc w:val="center"/>
              <w:textAlignment w:val="baseline"/>
              <w:rPr>
                <w:rFonts w:hint="eastAsia" w:ascii="宋体" w:hAnsi="宋体" w:cs="宋体"/>
                <w:bCs/>
                <w:color w:val="auto"/>
                <w:sz w:val="21"/>
                <w:szCs w:val="21"/>
                <w:highlight w:val="none"/>
                <w:lang w:eastAsia="zh-CN"/>
              </w:rPr>
            </w:pPr>
            <w:r>
              <w:rPr>
                <w:rFonts w:hint="eastAsia" w:ascii="宋体" w:hAnsi="宋体" w:eastAsia="宋体" w:cs="宋体"/>
                <w:bCs/>
                <w:color w:val="auto"/>
                <w:sz w:val="21"/>
                <w:szCs w:val="21"/>
                <w:highlight w:val="none"/>
                <w:lang w:val="en-US" w:eastAsia="zh-CN"/>
              </w:rPr>
              <w:t>履约能力分（满分</w:t>
            </w:r>
            <w:r>
              <w:rPr>
                <w:rFonts w:hint="eastAsia" w:ascii="宋体" w:hAnsi="宋体" w:cs="宋体"/>
                <w:bCs/>
                <w:color w:val="auto"/>
                <w:sz w:val="21"/>
                <w:szCs w:val="21"/>
                <w:highlight w:val="none"/>
                <w:lang w:val="en-US" w:eastAsia="zh-CN"/>
              </w:rPr>
              <w:t>19</w:t>
            </w:r>
            <w:r>
              <w:rPr>
                <w:rFonts w:hint="eastAsia" w:ascii="宋体" w:hAnsi="宋体" w:eastAsia="宋体" w:cs="宋体"/>
                <w:bCs/>
                <w:color w:val="auto"/>
                <w:sz w:val="21"/>
                <w:szCs w:val="21"/>
                <w:highlight w:val="none"/>
                <w:lang w:val="en-US" w:eastAsia="zh-CN"/>
              </w:rPr>
              <w:t>分）</w:t>
            </w:r>
          </w:p>
        </w:tc>
        <w:tc>
          <w:tcPr>
            <w:tcW w:w="5876" w:type="dxa"/>
            <w:tcBorders>
              <w:top w:val="single" w:color="auto" w:sz="4" w:space="0"/>
              <w:left w:val="single" w:color="auto" w:sz="4" w:space="0"/>
              <w:bottom w:val="single" w:color="auto" w:sz="4" w:space="0"/>
              <w:right w:val="single" w:color="auto" w:sz="4" w:space="0"/>
            </w:tcBorders>
            <w:vAlign w:val="center"/>
          </w:tcPr>
          <w:p w14:paraId="685F67DF">
            <w:pPr>
              <w:spacing w:line="360" w:lineRule="auto"/>
              <w:ind w:firstLine="420"/>
              <w:rPr>
                <w:rFonts w:ascii="宋体" w:hAnsi="宋体" w:cs="宋体"/>
                <w:color w:val="auto"/>
                <w:sz w:val="21"/>
                <w:szCs w:val="21"/>
                <w:highlight w:val="none"/>
              </w:rPr>
            </w:pPr>
            <w:r>
              <w:rPr>
                <w:rFonts w:hint="eastAsia" w:ascii="宋体" w:hAnsi="宋体" w:cs="宋体"/>
                <w:color w:val="auto"/>
                <w:sz w:val="21"/>
                <w:szCs w:val="21"/>
                <w:highlight w:val="none"/>
                <w:lang w:bidi="ar"/>
              </w:rPr>
              <w:t>（1）</w:t>
            </w:r>
            <w:r>
              <w:rPr>
                <w:rFonts w:hint="eastAsia" w:ascii="宋体" w:hAnsi="宋体" w:cs="宋体"/>
                <w:color w:val="auto"/>
                <w:sz w:val="21"/>
                <w:szCs w:val="21"/>
                <w:highlight w:val="none"/>
                <w:lang w:eastAsia="zh-CN" w:bidi="ar"/>
              </w:rPr>
              <w:t>供应商</w:t>
            </w:r>
            <w:r>
              <w:rPr>
                <w:rFonts w:hint="eastAsia" w:ascii="宋体" w:hAnsi="宋体" w:cs="宋体"/>
                <w:color w:val="auto"/>
                <w:sz w:val="21"/>
                <w:szCs w:val="21"/>
                <w:highlight w:val="none"/>
                <w:lang w:bidi="ar"/>
              </w:rPr>
              <w:t>具有</w:t>
            </w:r>
            <w:r>
              <w:rPr>
                <w:rFonts w:hint="eastAsia" w:ascii="宋体" w:hAnsi="宋体" w:cs="宋体"/>
                <w:color w:val="auto"/>
                <w:sz w:val="21"/>
                <w:szCs w:val="21"/>
                <w:highlight w:val="none"/>
              </w:rPr>
              <w:t>ISO900</w:t>
            </w:r>
            <w:r>
              <w:rPr>
                <w:rFonts w:hint="eastAsia" w:hAnsi="宋体" w:cs="宋体"/>
                <w:color w:val="auto"/>
                <w:sz w:val="21"/>
                <w:szCs w:val="21"/>
                <w:highlight w:val="none"/>
              </w:rPr>
              <w:t>1</w:t>
            </w:r>
            <w:r>
              <w:rPr>
                <w:rFonts w:hint="eastAsia" w:ascii="宋体" w:hAnsi="宋体" w:cs="宋体"/>
                <w:color w:val="auto"/>
                <w:sz w:val="21"/>
                <w:szCs w:val="21"/>
                <w:highlight w:val="none"/>
              </w:rPr>
              <w:t>质量管理体系（提供有效认证证书复印并加盖</w:t>
            </w:r>
            <w:r>
              <w:rPr>
                <w:rFonts w:hint="eastAsia" w:ascii="宋体" w:hAnsi="宋体" w:cs="宋体"/>
                <w:color w:val="auto"/>
                <w:sz w:val="21"/>
                <w:szCs w:val="21"/>
                <w:highlight w:val="none"/>
                <w:lang w:eastAsia="zh-CN"/>
              </w:rPr>
              <w:t>供应商</w:t>
            </w:r>
            <w:r>
              <w:rPr>
                <w:rFonts w:hint="eastAsia" w:ascii="宋体" w:hAnsi="宋体" w:cs="宋体"/>
                <w:color w:val="auto"/>
                <w:sz w:val="21"/>
                <w:szCs w:val="21"/>
                <w:highlight w:val="none"/>
              </w:rPr>
              <w:t>公CA签章，不提供不得分)，得</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分。</w:t>
            </w:r>
          </w:p>
          <w:p w14:paraId="3D485F7C">
            <w:pPr>
              <w:spacing w:line="360" w:lineRule="auto"/>
              <w:ind w:firstLine="420"/>
              <w:rPr>
                <w:rFonts w:ascii="宋体" w:hAnsi="宋体" w:cs="宋体"/>
                <w:color w:val="auto"/>
                <w:sz w:val="21"/>
                <w:szCs w:val="21"/>
                <w:highlight w:val="none"/>
              </w:rPr>
            </w:pPr>
            <w:r>
              <w:rPr>
                <w:rFonts w:hint="eastAsia" w:ascii="宋体" w:hAnsi="宋体" w:cs="宋体"/>
                <w:color w:val="auto"/>
                <w:sz w:val="21"/>
                <w:szCs w:val="21"/>
                <w:highlight w:val="none"/>
              </w:rPr>
              <w:t>（2）</w:t>
            </w:r>
            <w:r>
              <w:rPr>
                <w:rFonts w:hint="eastAsia" w:ascii="宋体" w:hAnsi="宋体" w:cs="宋体"/>
                <w:color w:val="auto"/>
                <w:sz w:val="21"/>
                <w:szCs w:val="21"/>
                <w:highlight w:val="none"/>
                <w:lang w:eastAsia="zh-CN" w:bidi="ar"/>
              </w:rPr>
              <w:t>供应商</w:t>
            </w:r>
            <w:r>
              <w:rPr>
                <w:rFonts w:hint="eastAsia" w:ascii="宋体" w:hAnsi="宋体" w:cs="宋体"/>
                <w:color w:val="auto"/>
                <w:sz w:val="21"/>
                <w:szCs w:val="21"/>
                <w:highlight w:val="none"/>
                <w:lang w:bidi="ar"/>
              </w:rPr>
              <w:t>具有</w:t>
            </w:r>
            <w:r>
              <w:rPr>
                <w:rFonts w:hint="eastAsia" w:ascii="宋体" w:hAnsi="宋体" w:cs="宋体"/>
                <w:color w:val="auto"/>
                <w:sz w:val="21"/>
                <w:szCs w:val="21"/>
                <w:highlight w:val="none"/>
              </w:rPr>
              <w:t>ISO14001环境管理体系（提供有效认证证书复印并加盖</w:t>
            </w:r>
            <w:r>
              <w:rPr>
                <w:rFonts w:hint="eastAsia" w:ascii="宋体" w:hAnsi="宋体" w:cs="宋体"/>
                <w:color w:val="auto"/>
                <w:sz w:val="21"/>
                <w:szCs w:val="21"/>
                <w:highlight w:val="none"/>
                <w:lang w:eastAsia="zh-CN"/>
              </w:rPr>
              <w:t>供应商</w:t>
            </w:r>
            <w:r>
              <w:rPr>
                <w:rFonts w:hint="eastAsia" w:ascii="宋体" w:hAnsi="宋体" w:cs="宋体"/>
                <w:color w:val="auto"/>
                <w:sz w:val="21"/>
                <w:szCs w:val="21"/>
                <w:highlight w:val="none"/>
              </w:rPr>
              <w:t>CA签章，不提供不得分)，得</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分。</w:t>
            </w:r>
          </w:p>
          <w:p w14:paraId="7B2DAD5F">
            <w:pPr>
              <w:spacing w:line="360" w:lineRule="auto"/>
              <w:ind w:firstLine="420"/>
              <w:rPr>
                <w:rFonts w:ascii="宋体" w:hAnsi="宋体" w:cs="宋体"/>
                <w:color w:val="auto"/>
                <w:sz w:val="21"/>
                <w:szCs w:val="21"/>
                <w:highlight w:val="none"/>
              </w:rPr>
            </w:pPr>
            <w:r>
              <w:rPr>
                <w:rFonts w:hint="eastAsia" w:ascii="宋体" w:hAnsi="宋体" w:cs="宋体"/>
                <w:color w:val="auto"/>
                <w:sz w:val="21"/>
                <w:szCs w:val="21"/>
                <w:highlight w:val="none"/>
              </w:rPr>
              <w:t>（3）</w:t>
            </w:r>
            <w:r>
              <w:rPr>
                <w:rFonts w:hint="eastAsia" w:ascii="宋体" w:hAnsi="宋体" w:cs="宋体"/>
                <w:color w:val="auto"/>
                <w:sz w:val="21"/>
                <w:szCs w:val="21"/>
                <w:highlight w:val="none"/>
                <w:lang w:eastAsia="zh-CN" w:bidi="ar"/>
              </w:rPr>
              <w:t>供应商</w:t>
            </w:r>
            <w:r>
              <w:rPr>
                <w:rFonts w:hint="eastAsia" w:ascii="宋体" w:hAnsi="宋体" w:cs="宋体"/>
                <w:color w:val="auto"/>
                <w:sz w:val="21"/>
                <w:szCs w:val="21"/>
                <w:highlight w:val="none"/>
                <w:lang w:bidi="ar"/>
              </w:rPr>
              <w:t>具有</w:t>
            </w:r>
            <w:r>
              <w:rPr>
                <w:rFonts w:hint="eastAsia" w:ascii="宋体" w:hAnsi="宋体" w:cs="宋体"/>
                <w:color w:val="auto"/>
                <w:sz w:val="21"/>
                <w:szCs w:val="21"/>
                <w:highlight w:val="none"/>
                <w:lang w:eastAsia="zh-CN" w:bidi="ar"/>
              </w:rPr>
              <w:t>网络安全服务企业资质</w:t>
            </w:r>
            <w:r>
              <w:rPr>
                <w:rFonts w:hint="eastAsia" w:ascii="宋体" w:hAnsi="宋体" w:cs="宋体"/>
                <w:color w:val="auto"/>
                <w:sz w:val="21"/>
                <w:szCs w:val="21"/>
                <w:highlight w:val="none"/>
              </w:rPr>
              <w:t>（提供有效认证证书复印并加盖</w:t>
            </w:r>
            <w:r>
              <w:rPr>
                <w:rFonts w:hint="eastAsia" w:ascii="宋体" w:hAnsi="宋体" w:cs="宋体"/>
                <w:color w:val="auto"/>
                <w:sz w:val="21"/>
                <w:szCs w:val="21"/>
                <w:highlight w:val="none"/>
                <w:lang w:eastAsia="zh-CN"/>
              </w:rPr>
              <w:t>供应商</w:t>
            </w:r>
            <w:r>
              <w:rPr>
                <w:rFonts w:hint="eastAsia" w:ascii="宋体" w:hAnsi="宋体" w:cs="宋体"/>
                <w:color w:val="auto"/>
                <w:sz w:val="21"/>
                <w:szCs w:val="21"/>
                <w:highlight w:val="none"/>
              </w:rPr>
              <w:t>或CA签章，不提供不得分)，得</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rPr>
              <w:t>分。</w:t>
            </w:r>
          </w:p>
          <w:p w14:paraId="559A37C8">
            <w:pPr>
              <w:spacing w:line="360" w:lineRule="auto"/>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lang w:bidi="ar"/>
              </w:rPr>
              <w:t>（</w:t>
            </w:r>
            <w:r>
              <w:rPr>
                <w:rFonts w:hint="eastAsia" w:ascii="宋体" w:hAnsi="宋体" w:cs="宋体"/>
                <w:color w:val="auto"/>
                <w:sz w:val="21"/>
                <w:szCs w:val="21"/>
                <w:highlight w:val="none"/>
                <w:lang w:val="en-US" w:eastAsia="zh-CN" w:bidi="ar"/>
              </w:rPr>
              <w:t>4</w:t>
            </w:r>
            <w:r>
              <w:rPr>
                <w:rFonts w:hint="eastAsia" w:ascii="宋体" w:hAnsi="宋体" w:cs="宋体"/>
                <w:color w:val="auto"/>
                <w:sz w:val="21"/>
                <w:szCs w:val="21"/>
                <w:highlight w:val="none"/>
                <w:lang w:bidi="ar"/>
              </w:rPr>
              <w:t>）</w:t>
            </w:r>
            <w:r>
              <w:rPr>
                <w:rFonts w:hint="eastAsia" w:ascii="宋体" w:hAnsi="宋体" w:cs="宋体"/>
                <w:color w:val="auto"/>
                <w:sz w:val="21"/>
                <w:szCs w:val="21"/>
                <w:highlight w:val="none"/>
                <w:lang w:eastAsia="zh-CN" w:bidi="ar"/>
              </w:rPr>
              <w:t>供应商</w:t>
            </w:r>
            <w:r>
              <w:rPr>
                <w:rFonts w:hint="eastAsia" w:ascii="宋体" w:hAnsi="宋体" w:cs="宋体"/>
                <w:color w:val="auto"/>
                <w:sz w:val="21"/>
                <w:szCs w:val="21"/>
                <w:highlight w:val="none"/>
                <w:lang w:bidi="ar"/>
              </w:rPr>
              <w:t>具有</w:t>
            </w:r>
            <w:r>
              <w:rPr>
                <w:rFonts w:hint="eastAsia" w:ascii="宋体" w:hAnsi="宋体" w:cs="宋体"/>
                <w:color w:val="auto"/>
                <w:sz w:val="21"/>
                <w:szCs w:val="21"/>
                <w:highlight w:val="none"/>
                <w:lang w:eastAsia="zh-CN" w:bidi="ar"/>
              </w:rPr>
              <w:t>电信网络维护企业服务能力证书</w:t>
            </w:r>
            <w:r>
              <w:rPr>
                <w:rFonts w:hint="eastAsia" w:ascii="宋体" w:hAnsi="宋体" w:cs="宋体"/>
                <w:color w:val="auto"/>
                <w:sz w:val="21"/>
                <w:szCs w:val="21"/>
                <w:highlight w:val="none"/>
              </w:rPr>
              <w:t>（提供有效认证证书复印并加盖</w:t>
            </w:r>
            <w:r>
              <w:rPr>
                <w:rFonts w:hint="eastAsia" w:ascii="宋体" w:hAnsi="宋体" w:cs="宋体"/>
                <w:color w:val="auto"/>
                <w:sz w:val="21"/>
                <w:szCs w:val="21"/>
                <w:highlight w:val="none"/>
                <w:lang w:eastAsia="zh-CN"/>
              </w:rPr>
              <w:t>供应商</w:t>
            </w:r>
            <w:r>
              <w:rPr>
                <w:rFonts w:hint="eastAsia" w:ascii="宋体" w:hAnsi="宋体" w:cs="宋体"/>
                <w:color w:val="auto"/>
                <w:sz w:val="21"/>
                <w:szCs w:val="21"/>
                <w:highlight w:val="none"/>
              </w:rPr>
              <w:t>CA签章，不提供不得分)，得</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rPr>
              <w:t>分。</w:t>
            </w:r>
          </w:p>
          <w:p w14:paraId="3063AB03">
            <w:pPr>
              <w:spacing w:line="360" w:lineRule="auto"/>
              <w:ind w:firstLine="420" w:firstLineChars="200"/>
              <w:jc w:val="left"/>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t>（</w:t>
            </w:r>
            <w:r>
              <w:rPr>
                <w:rFonts w:hint="eastAsia" w:ascii="宋体" w:hAnsi="宋体" w:cs="宋体"/>
                <w:color w:val="auto"/>
                <w:sz w:val="21"/>
                <w:szCs w:val="21"/>
                <w:highlight w:val="none"/>
                <w:lang w:val="en-US" w:eastAsia="zh-CN" w:bidi="ar"/>
              </w:rPr>
              <w:t>5</w:t>
            </w:r>
            <w:r>
              <w:rPr>
                <w:rFonts w:hint="eastAsia" w:ascii="宋体" w:hAnsi="宋体" w:cs="宋体"/>
                <w:color w:val="auto"/>
                <w:sz w:val="21"/>
                <w:szCs w:val="21"/>
                <w:highlight w:val="none"/>
                <w:lang w:bidi="ar"/>
              </w:rPr>
              <w:t>）</w:t>
            </w:r>
            <w:r>
              <w:rPr>
                <w:rFonts w:hint="eastAsia" w:ascii="宋体" w:hAnsi="宋体" w:cs="宋体"/>
                <w:color w:val="auto"/>
                <w:sz w:val="21"/>
                <w:szCs w:val="21"/>
                <w:highlight w:val="none"/>
              </w:rPr>
              <w:t>针对本项目</w:t>
            </w:r>
            <w:r>
              <w:rPr>
                <w:rFonts w:hint="eastAsia" w:ascii="宋体" w:hAnsi="宋体" w:cs="宋体"/>
                <w:color w:val="auto"/>
                <w:sz w:val="21"/>
                <w:szCs w:val="21"/>
                <w:highlight w:val="none"/>
                <w:lang w:eastAsia="zh-CN"/>
              </w:rPr>
              <w:t>每</w:t>
            </w:r>
            <w:r>
              <w:rPr>
                <w:rFonts w:hint="eastAsia" w:ascii="宋体" w:hAnsi="宋体" w:cs="宋体"/>
                <w:color w:val="auto"/>
                <w:sz w:val="21"/>
                <w:szCs w:val="21"/>
                <w:highlight w:val="none"/>
              </w:rPr>
              <w:t>配备</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rPr>
              <w:t>辆机动车辆</w:t>
            </w:r>
            <w:r>
              <w:rPr>
                <w:rFonts w:hint="eastAsia" w:ascii="宋体" w:hAnsi="宋体" w:cs="宋体"/>
                <w:color w:val="auto"/>
                <w:sz w:val="21"/>
                <w:szCs w:val="21"/>
                <w:highlight w:val="none"/>
                <w:lang w:val="en-US" w:eastAsia="zh-CN"/>
              </w:rPr>
              <w:t>的得1分，</w:t>
            </w:r>
            <w:r>
              <w:rPr>
                <w:rFonts w:hint="eastAsia" w:ascii="宋体" w:hAnsi="宋体" w:cs="宋体"/>
                <w:bCs/>
                <w:color w:val="auto"/>
                <w:sz w:val="21"/>
                <w:szCs w:val="21"/>
                <w:highlight w:val="none"/>
              </w:rPr>
              <w:t>满分</w:t>
            </w:r>
            <w:r>
              <w:rPr>
                <w:rFonts w:hint="eastAsia" w:ascii="宋体" w:hAnsi="宋体" w:cs="宋体"/>
                <w:color w:val="auto"/>
                <w:sz w:val="21"/>
                <w:szCs w:val="21"/>
                <w:highlight w:val="none"/>
                <w:lang w:val="en-US" w:eastAsia="zh-CN"/>
              </w:rPr>
              <w:t>共7分</w:t>
            </w:r>
            <w:r>
              <w:rPr>
                <w:rFonts w:hint="eastAsia" w:ascii="宋体" w:hAnsi="宋体" w:cs="宋体"/>
                <w:color w:val="auto"/>
                <w:sz w:val="21"/>
                <w:szCs w:val="21"/>
                <w:highlight w:val="none"/>
                <w:lang w:eastAsia="zh-CN"/>
              </w:rPr>
              <w:t>【</w:t>
            </w:r>
            <w:r>
              <w:rPr>
                <w:rFonts w:hint="eastAsia" w:ascii="宋体" w:hAnsi="宋体" w:cs="宋体"/>
                <w:bCs/>
                <w:color w:val="auto"/>
                <w:sz w:val="21"/>
                <w:szCs w:val="21"/>
                <w:highlight w:val="none"/>
              </w:rPr>
              <w:t>如是</w:t>
            </w:r>
            <w:r>
              <w:rPr>
                <w:rFonts w:hint="eastAsia" w:ascii="宋体" w:hAnsi="宋体" w:cs="宋体"/>
                <w:bCs/>
                <w:color w:val="auto"/>
                <w:sz w:val="21"/>
                <w:szCs w:val="21"/>
                <w:highlight w:val="none"/>
                <w:lang w:eastAsia="zh-CN"/>
              </w:rPr>
              <w:t>供应商</w:t>
            </w:r>
            <w:r>
              <w:rPr>
                <w:rFonts w:hint="eastAsia" w:ascii="宋体" w:hAnsi="宋体" w:cs="宋体"/>
                <w:bCs/>
                <w:color w:val="auto"/>
                <w:sz w:val="21"/>
                <w:szCs w:val="21"/>
                <w:highlight w:val="none"/>
              </w:rPr>
              <w:t>固定资产，则以</w:t>
            </w:r>
            <w:r>
              <w:rPr>
                <w:rFonts w:hint="eastAsia" w:ascii="宋体" w:hAnsi="宋体" w:cs="宋体"/>
                <w:bCs/>
                <w:color w:val="auto"/>
                <w:sz w:val="21"/>
                <w:szCs w:val="21"/>
                <w:highlight w:val="none"/>
                <w:lang w:eastAsia="zh-CN"/>
              </w:rPr>
              <w:t>供应商</w:t>
            </w:r>
            <w:r>
              <w:rPr>
                <w:rFonts w:hint="eastAsia" w:ascii="宋体" w:hAnsi="宋体" w:cs="宋体"/>
                <w:bCs/>
                <w:color w:val="auto"/>
                <w:sz w:val="21"/>
                <w:szCs w:val="21"/>
                <w:highlight w:val="none"/>
              </w:rPr>
              <w:t>提供的车辆行驶证复印件并加盖</w:t>
            </w:r>
            <w:r>
              <w:rPr>
                <w:rFonts w:hint="eastAsia" w:ascii="宋体" w:hAnsi="宋体" w:cs="宋体"/>
                <w:bCs/>
                <w:color w:val="auto"/>
                <w:sz w:val="21"/>
                <w:szCs w:val="21"/>
                <w:highlight w:val="none"/>
                <w:lang w:eastAsia="zh-CN"/>
              </w:rPr>
              <w:t>供应商</w:t>
            </w:r>
            <w:r>
              <w:rPr>
                <w:rFonts w:hint="eastAsia" w:ascii="宋体" w:hAnsi="宋体" w:cs="宋体"/>
                <w:bCs/>
                <w:color w:val="auto"/>
                <w:sz w:val="21"/>
                <w:szCs w:val="21"/>
                <w:highlight w:val="none"/>
              </w:rPr>
              <w:t>单位CA签章；</w:t>
            </w:r>
            <w:r>
              <w:rPr>
                <w:rFonts w:hint="eastAsia" w:ascii="Tahoma" w:hAnsi="Tahoma"/>
                <w:color w:val="auto"/>
                <w:sz w:val="21"/>
                <w:szCs w:val="21"/>
                <w:highlight w:val="none"/>
              </w:rPr>
              <w:t>如是</w:t>
            </w:r>
            <w:r>
              <w:rPr>
                <w:rFonts w:hint="eastAsia" w:ascii="Tahoma" w:hAnsi="Tahoma"/>
                <w:color w:val="auto"/>
                <w:sz w:val="21"/>
                <w:szCs w:val="21"/>
                <w:highlight w:val="none"/>
                <w:lang w:eastAsia="zh-CN"/>
              </w:rPr>
              <w:t>供应商</w:t>
            </w:r>
            <w:r>
              <w:rPr>
                <w:rFonts w:hint="eastAsia" w:ascii="Tahoma" w:hAnsi="Tahoma"/>
                <w:color w:val="auto"/>
                <w:sz w:val="21"/>
                <w:szCs w:val="21"/>
                <w:highlight w:val="none"/>
              </w:rPr>
              <w:t>的租赁车辆，则需提供租赁公司营业执照复印件（或租赁人身份证复印件）、租赁合同复印件及车辆行驶证复印件证明材料并加盖</w:t>
            </w:r>
            <w:r>
              <w:rPr>
                <w:rFonts w:hint="eastAsia" w:ascii="宋体" w:hAnsi="宋体" w:cs="宋体"/>
                <w:bCs/>
                <w:color w:val="auto"/>
                <w:sz w:val="21"/>
                <w:szCs w:val="21"/>
                <w:highlight w:val="none"/>
                <w:lang w:eastAsia="zh-CN"/>
              </w:rPr>
              <w:t>供应商</w:t>
            </w:r>
            <w:r>
              <w:rPr>
                <w:rFonts w:hint="eastAsia" w:ascii="宋体" w:hAnsi="宋体" w:cs="宋体"/>
                <w:bCs/>
                <w:color w:val="auto"/>
                <w:sz w:val="21"/>
                <w:szCs w:val="21"/>
                <w:highlight w:val="none"/>
              </w:rPr>
              <w:t>单位CA签章的</w:t>
            </w:r>
            <w:r>
              <w:rPr>
                <w:rFonts w:hint="eastAsia" w:ascii="Tahoma" w:hAnsi="Tahoma"/>
                <w:color w:val="auto"/>
                <w:sz w:val="21"/>
                <w:szCs w:val="21"/>
                <w:highlight w:val="none"/>
              </w:rPr>
              <w:t>（租赁时间必须大于项目</w:t>
            </w:r>
            <w:r>
              <w:rPr>
                <w:rFonts w:hint="eastAsia" w:ascii="宋体" w:hAnsi="Courier New"/>
                <w:color w:val="auto"/>
                <w:sz w:val="21"/>
                <w:szCs w:val="21"/>
                <w:highlight w:val="none"/>
              </w:rPr>
              <w:t>合同履行期限</w:t>
            </w:r>
            <w:r>
              <w:rPr>
                <w:rFonts w:hint="eastAsia" w:ascii="Tahoma" w:hAnsi="Tahoma"/>
                <w:color w:val="auto"/>
                <w:sz w:val="21"/>
                <w:szCs w:val="21"/>
                <w:highlight w:val="none"/>
              </w:rPr>
              <w:t>）</w:t>
            </w:r>
            <w:r>
              <w:rPr>
                <w:rFonts w:hint="eastAsia" w:ascii="宋体" w:hAnsi="宋体" w:cs="宋体"/>
                <w:color w:val="auto"/>
                <w:sz w:val="21"/>
                <w:szCs w:val="21"/>
                <w:highlight w:val="none"/>
                <w:lang w:eastAsia="zh-CN"/>
              </w:rPr>
              <w:t>】。</w:t>
            </w:r>
          </w:p>
          <w:p w14:paraId="3BA69FFC">
            <w:pPr>
              <w:spacing w:line="360" w:lineRule="auto"/>
              <w:ind w:firstLine="420" w:firstLineChars="200"/>
              <w:jc w:val="left"/>
              <w:rPr>
                <w:rFonts w:hAnsi="宋体" w:cs="宋体"/>
                <w:bCs/>
                <w:color w:val="auto"/>
                <w:kern w:val="2"/>
                <w:sz w:val="21"/>
                <w:szCs w:val="21"/>
                <w:highlight w:val="none"/>
              </w:rPr>
            </w:pPr>
            <w:r>
              <w:rPr>
                <w:rFonts w:hint="eastAsia" w:ascii="宋体" w:hAnsi="宋体" w:cs="宋体"/>
                <w:color w:val="auto"/>
                <w:sz w:val="21"/>
                <w:szCs w:val="21"/>
                <w:highlight w:val="none"/>
                <w:lang w:eastAsia="zh-CN" w:bidi="ar"/>
              </w:rPr>
              <w:t>（</w:t>
            </w:r>
            <w:r>
              <w:rPr>
                <w:rFonts w:hint="eastAsia" w:ascii="宋体" w:hAnsi="宋体" w:cs="宋体"/>
                <w:color w:val="auto"/>
                <w:sz w:val="21"/>
                <w:szCs w:val="21"/>
                <w:highlight w:val="none"/>
                <w:lang w:val="en-US" w:eastAsia="zh-CN" w:bidi="ar"/>
              </w:rPr>
              <w:t>6）</w:t>
            </w:r>
            <w:r>
              <w:rPr>
                <w:rFonts w:hint="eastAsia" w:hAnsi="宋体" w:cs="宋体"/>
                <w:bCs/>
                <w:color w:val="auto"/>
                <w:kern w:val="2"/>
                <w:sz w:val="21"/>
                <w:szCs w:val="21"/>
                <w:highlight w:val="none"/>
              </w:rPr>
              <w:t>供应商自202</w:t>
            </w:r>
            <w:r>
              <w:rPr>
                <w:rFonts w:hint="eastAsia" w:hAnsi="宋体" w:cs="宋体"/>
                <w:bCs/>
                <w:color w:val="auto"/>
                <w:kern w:val="2"/>
                <w:sz w:val="21"/>
                <w:szCs w:val="21"/>
                <w:highlight w:val="none"/>
                <w:lang w:val="en-US" w:eastAsia="zh-CN"/>
              </w:rPr>
              <w:t>3</w:t>
            </w:r>
            <w:r>
              <w:rPr>
                <w:rFonts w:hint="eastAsia" w:hAnsi="宋体" w:cs="宋体"/>
                <w:bCs/>
                <w:color w:val="auto"/>
                <w:kern w:val="2"/>
                <w:sz w:val="21"/>
                <w:szCs w:val="21"/>
                <w:highlight w:val="none"/>
              </w:rPr>
              <w:t>年1月1日（以合同签订时间为准）至今已完成或正在实施的与本项目内容相类似的成功案例或业绩，以中标（成交）通知书或采购合同复印件为准（能清晰反映所销售的服务项目名称、种类、金额)，每提供一项得</w:t>
            </w:r>
            <w:r>
              <w:rPr>
                <w:rFonts w:hint="eastAsia" w:hAnsi="宋体" w:cs="宋体"/>
                <w:bCs/>
                <w:color w:val="auto"/>
                <w:kern w:val="2"/>
                <w:sz w:val="21"/>
                <w:szCs w:val="21"/>
                <w:highlight w:val="none"/>
                <w:lang w:val="en-US" w:eastAsia="zh-CN"/>
              </w:rPr>
              <w:t>3</w:t>
            </w:r>
            <w:r>
              <w:rPr>
                <w:rFonts w:hint="eastAsia" w:hAnsi="宋体" w:cs="宋体"/>
                <w:bCs/>
                <w:color w:val="auto"/>
                <w:kern w:val="2"/>
                <w:sz w:val="21"/>
                <w:szCs w:val="21"/>
                <w:highlight w:val="none"/>
              </w:rPr>
              <w:t>分，满分6分。</w:t>
            </w:r>
          </w:p>
        </w:tc>
      </w:tr>
      <w:tr w14:paraId="4662C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20" w:type="dxa"/>
            <w:gridSpan w:val="4"/>
            <w:tcBorders>
              <w:top w:val="single" w:color="auto" w:sz="4" w:space="0"/>
              <w:left w:val="single" w:color="auto" w:sz="4" w:space="0"/>
              <w:bottom w:val="single" w:color="auto" w:sz="4" w:space="0"/>
              <w:right w:val="single" w:color="auto" w:sz="4" w:space="0"/>
            </w:tcBorders>
            <w:vAlign w:val="center"/>
          </w:tcPr>
          <w:p w14:paraId="477D2236">
            <w:pPr>
              <w:snapToGrid w:val="0"/>
              <w:spacing w:line="360" w:lineRule="auto"/>
              <w:jc w:val="both"/>
              <w:rPr>
                <w:rFonts w:hint="default" w:ascii="宋体" w:hAnsi="宋体" w:eastAsia="宋体" w:cs="宋体"/>
                <w:bCs/>
                <w:color w:val="auto"/>
                <w:sz w:val="24"/>
                <w:highlight w:val="none"/>
                <w:lang w:val="en-US" w:eastAsia="zh-CN"/>
              </w:rPr>
            </w:pPr>
            <w:r>
              <w:rPr>
                <w:rFonts w:hint="eastAsia" w:ascii="宋体" w:hAnsi="宋体" w:cs="宋体"/>
                <w:b/>
                <w:color w:val="auto"/>
                <w:sz w:val="24"/>
                <w:highlight w:val="none"/>
              </w:rPr>
              <w:t>总得分=1+2+3</w:t>
            </w:r>
          </w:p>
        </w:tc>
      </w:tr>
    </w:tbl>
    <w:p w14:paraId="1AB7FFC1">
      <w:pPr>
        <w:spacing w:line="360" w:lineRule="auto"/>
        <w:ind w:firstLine="422" w:firstLineChars="200"/>
        <w:rPr>
          <w:rFonts w:hint="eastAsia" w:ascii="宋体" w:hAnsi="宋体" w:cs="宋体"/>
          <w:b/>
          <w:bCs/>
          <w:sz w:val="21"/>
          <w:szCs w:val="21"/>
          <w:highlight w:val="none"/>
          <w:lang w:eastAsia="zh-CN"/>
        </w:rPr>
      </w:pPr>
      <w:r>
        <w:rPr>
          <w:rFonts w:hint="eastAsia" w:hAnsi="宋体"/>
          <w:b/>
          <w:bCs/>
          <w:szCs w:val="21"/>
          <w:highlight w:val="none"/>
          <w:lang w:val="en-US" w:eastAsia="zh-CN"/>
        </w:rPr>
        <w:t>成交</w:t>
      </w:r>
      <w:r>
        <w:rPr>
          <w:rFonts w:hint="eastAsia" w:hAnsi="宋体"/>
          <w:b/>
          <w:bCs/>
          <w:szCs w:val="21"/>
          <w:highlight w:val="none"/>
        </w:rPr>
        <w:t>候选人推荐原则</w:t>
      </w:r>
    </w:p>
    <w:p w14:paraId="3CD4FC83">
      <w:pPr>
        <w:spacing w:line="360" w:lineRule="auto"/>
        <w:ind w:firstLine="420" w:firstLineChars="200"/>
        <w:rPr>
          <w:rFonts w:ascii="宋体" w:hAnsi="宋体" w:cs="宋体"/>
          <w:snapToGrid w:val="0"/>
          <w:kern w:val="0"/>
          <w:sz w:val="21"/>
          <w:szCs w:val="21"/>
          <w:highlight w:val="none"/>
        </w:rPr>
      </w:pPr>
      <w:r>
        <w:rPr>
          <w:rFonts w:hint="eastAsia" w:ascii="宋体" w:hAnsi="宋体" w:cs="宋体"/>
          <w:bCs/>
          <w:sz w:val="21"/>
          <w:szCs w:val="21"/>
          <w:highlight w:val="none"/>
          <w:lang w:eastAsia="zh-CN"/>
        </w:rPr>
        <w:t>（</w:t>
      </w:r>
      <w:r>
        <w:rPr>
          <w:rFonts w:hint="eastAsia" w:ascii="宋体" w:hAnsi="宋体" w:cs="宋体"/>
          <w:bCs/>
          <w:sz w:val="21"/>
          <w:szCs w:val="21"/>
          <w:highlight w:val="none"/>
          <w:lang w:val="en-US" w:eastAsia="zh-CN"/>
        </w:rPr>
        <w:t>1</w:t>
      </w:r>
      <w:r>
        <w:rPr>
          <w:rFonts w:hint="eastAsia" w:ascii="宋体" w:hAnsi="宋体" w:cs="宋体"/>
          <w:bCs/>
          <w:sz w:val="21"/>
          <w:szCs w:val="21"/>
          <w:highlight w:val="none"/>
          <w:lang w:eastAsia="zh-CN"/>
        </w:rPr>
        <w:t>）</w:t>
      </w:r>
      <w:r>
        <w:rPr>
          <w:rFonts w:hint="eastAsia" w:ascii="宋体" w:hAnsi="宋体" w:cs="宋体"/>
          <w:bCs/>
          <w:sz w:val="21"/>
          <w:szCs w:val="21"/>
          <w:highlight w:val="none"/>
        </w:rPr>
        <w:t>由磋商小组根据综合评分情况，按照评审得分由高到低顺序推荐3名以上成交候选供应商，并编写评审报告。</w:t>
      </w:r>
      <w:r>
        <w:rPr>
          <w:rFonts w:hint="eastAsia" w:ascii="宋体" w:hAnsi="宋体" w:cs="宋体"/>
          <w:b/>
          <w:bCs/>
          <w:sz w:val="21"/>
          <w:szCs w:val="21"/>
          <w:highlight w:val="none"/>
        </w:rPr>
        <w:t>符合本章第</w:t>
      </w:r>
      <w:r>
        <w:rPr>
          <w:rFonts w:ascii="宋体" w:hAnsi="宋体" w:cs="宋体"/>
          <w:b/>
          <w:bCs/>
          <w:sz w:val="21"/>
          <w:szCs w:val="21"/>
          <w:highlight w:val="none"/>
        </w:rPr>
        <w:t>2.7、3.7、4.3条情形的，可以推荐2家成交候选供应商。</w:t>
      </w:r>
      <w:r>
        <w:rPr>
          <w:rFonts w:hint="eastAsia" w:ascii="宋体" w:hAnsi="宋体" w:cs="宋体"/>
          <w:bCs/>
          <w:sz w:val="21"/>
          <w:szCs w:val="21"/>
          <w:highlight w:val="none"/>
        </w:rPr>
        <w:t>评审得分相同的，按照最后报价（不计算价格折扣）由低到高的顺序推荐。评审得分且最后报价（不计算价格折扣）相同的服务，依次按评分高的优先、商务评分高的优先的顺序确定成交候选供应商。</w:t>
      </w:r>
    </w:p>
    <w:p w14:paraId="5E0A354B">
      <w:pPr>
        <w:spacing w:line="360" w:lineRule="auto"/>
        <w:ind w:firstLine="420" w:firstLineChars="200"/>
        <w:rPr>
          <w:rFonts w:hint="eastAsia" w:ascii="宋体" w:hAnsi="宋体" w:eastAsia="宋体" w:cs="宋体"/>
          <w:bCs/>
          <w:sz w:val="21"/>
          <w:szCs w:val="21"/>
          <w:highlight w:val="none"/>
        </w:rPr>
      </w:pPr>
      <w:r>
        <w:rPr>
          <w:rFonts w:hint="eastAsia" w:ascii="宋体" w:hAnsi="宋体" w:eastAsia="宋体" w:cs="宋体"/>
          <w:bCs/>
          <w:sz w:val="21"/>
          <w:szCs w:val="21"/>
          <w:highlight w:val="none"/>
        </w:rPr>
        <w:t>（2）</w:t>
      </w:r>
      <w:r>
        <w:rPr>
          <w:rFonts w:hint="eastAsia" w:ascii="宋体" w:hAnsi="宋体" w:eastAsia="宋体" w:cs="宋体"/>
          <w:bCs/>
          <w:sz w:val="21"/>
          <w:szCs w:val="21"/>
          <w:highlight w:val="none"/>
          <w:lang w:val="en-US" w:eastAsia="zh-CN"/>
        </w:rPr>
        <w:t>供应商可自主选择参与本项目标项一、标项二中的一个或多个标项进行竞争性磋商，但同一供应商仅可中选分标号靠前的一个标项。评标工作将按照标项一、标项二的先后顺序依次开展评审，各标项由磋商小组依据本竞争性磋商文件中“成交候选人推荐原则”，对参与该标项磋商的各供应商综合得分进行排序。若某一供应商在两个标项的综合评分均为最高，在各标项评审结果均保持有效的前提下，磋商小组将按照标项一至标项二的评审顺序，推荐该供应商为对应靠前分标号标项的成交候选人，该供应商不再参与后续分标号标项的成交候选人推荐。</w:t>
      </w:r>
    </w:p>
    <w:p w14:paraId="59DE8776">
      <w:pPr>
        <w:rPr>
          <w:rFonts w:hint="eastAsia" w:hAnsi="宋体"/>
          <w:szCs w:val="21"/>
          <w:highlight w:val="none"/>
        </w:rPr>
      </w:pPr>
      <w:r>
        <w:rPr>
          <w:rFonts w:hint="eastAsia" w:hAnsi="宋体"/>
          <w:szCs w:val="21"/>
          <w:highlight w:val="none"/>
        </w:rPr>
        <w:br w:type="page"/>
      </w:r>
    </w:p>
    <w:p w14:paraId="7868C326">
      <w:pPr>
        <w:pStyle w:val="10"/>
        <w:rPr>
          <w:rFonts w:hint="eastAsia"/>
          <w:highlight w:val="none"/>
        </w:rPr>
      </w:pPr>
    </w:p>
    <w:p w14:paraId="3B6AA694">
      <w:pPr>
        <w:pStyle w:val="2"/>
        <w:jc w:val="center"/>
        <w:rPr>
          <w:rFonts w:ascii="宋体" w:hAnsi="宋体" w:cs="宋体"/>
          <w:highlight w:val="none"/>
        </w:rPr>
      </w:pPr>
      <w:bookmarkStart w:id="33" w:name="_Toc11741"/>
      <w:r>
        <w:rPr>
          <w:rFonts w:hint="eastAsia" w:ascii="宋体" w:hAnsi="宋体" w:cs="宋体"/>
          <w:highlight w:val="none"/>
        </w:rPr>
        <w:t>第五章 响应文件格式</w:t>
      </w:r>
      <w:bookmarkEnd w:id="33"/>
    </w:p>
    <w:p w14:paraId="05855AC7">
      <w:pPr>
        <w:spacing w:line="240" w:lineRule="atLeast"/>
        <w:rPr>
          <w:rFonts w:ascii="宋体" w:hAnsi="宋体" w:cs="宋体"/>
          <w:b/>
          <w:sz w:val="32"/>
          <w:szCs w:val="32"/>
          <w:highlight w:val="none"/>
        </w:rPr>
      </w:pPr>
    </w:p>
    <w:p w14:paraId="3A57BD08">
      <w:pPr>
        <w:pStyle w:val="3"/>
        <w:bidi w:val="0"/>
        <w:rPr>
          <w:highlight w:val="none"/>
        </w:rPr>
      </w:pPr>
      <w:bookmarkStart w:id="34" w:name="_Toc44229899"/>
      <w:bookmarkStart w:id="35" w:name="_Toc31728084"/>
      <w:bookmarkStart w:id="36" w:name="_Toc35611516"/>
      <w:bookmarkStart w:id="37" w:name="_Toc71365925"/>
      <w:bookmarkStart w:id="38" w:name="_Toc35611438"/>
      <w:bookmarkStart w:id="39" w:name="_Toc31723070"/>
      <w:r>
        <w:rPr>
          <w:rFonts w:hint="eastAsia"/>
          <w:highlight w:val="none"/>
        </w:rPr>
        <w:t>一、资格证明文件格式</w:t>
      </w:r>
      <w:bookmarkEnd w:id="34"/>
      <w:bookmarkEnd w:id="35"/>
      <w:bookmarkEnd w:id="36"/>
      <w:bookmarkEnd w:id="37"/>
      <w:bookmarkEnd w:id="38"/>
      <w:bookmarkEnd w:id="39"/>
    </w:p>
    <w:p w14:paraId="52FB9D9E">
      <w:pPr>
        <w:snapToGrid w:val="0"/>
        <w:spacing w:before="156" w:beforeLines="50" w:after="50" w:line="360" w:lineRule="auto"/>
        <w:jc w:val="center"/>
        <w:rPr>
          <w:rFonts w:ascii="宋体" w:hAnsi="宋体" w:cs="宋体"/>
          <w:b/>
          <w:sz w:val="24"/>
          <w:highlight w:val="none"/>
        </w:rPr>
      </w:pPr>
      <w:r>
        <w:rPr>
          <w:rFonts w:hint="eastAsia" w:ascii="宋体" w:hAnsi="宋体" w:cs="宋体"/>
          <w:b/>
          <w:sz w:val="32"/>
          <w:szCs w:val="32"/>
          <w:highlight w:val="none"/>
        </w:rPr>
        <w:t>资格证明文件封面格式：</w:t>
      </w:r>
    </w:p>
    <w:p w14:paraId="19DA9BB4">
      <w:pPr>
        <w:snapToGrid w:val="0"/>
        <w:spacing w:before="156" w:beforeLines="50" w:after="50"/>
        <w:rPr>
          <w:rFonts w:ascii="宋体" w:hAnsi="宋体" w:cs="宋体"/>
          <w:bCs/>
          <w:sz w:val="32"/>
          <w:szCs w:val="20"/>
          <w:highlight w:val="none"/>
        </w:rPr>
      </w:pPr>
      <w:r>
        <w:rPr>
          <w:rFonts w:hint="eastAsia" w:ascii="宋体" w:hAnsi="宋体" w:cs="宋体"/>
          <w:sz w:val="24"/>
          <w:highlight w:val="none"/>
        </w:rPr>
        <w:t xml:space="preserve">                                                    </w:t>
      </w:r>
    </w:p>
    <w:p w14:paraId="7294120B">
      <w:pPr>
        <w:snapToGrid w:val="0"/>
        <w:spacing w:before="156" w:beforeLines="50" w:after="50"/>
        <w:rPr>
          <w:rFonts w:ascii="宋体" w:hAnsi="宋体" w:cs="宋体"/>
          <w:sz w:val="24"/>
          <w:szCs w:val="20"/>
          <w:highlight w:val="none"/>
        </w:rPr>
      </w:pPr>
    </w:p>
    <w:p w14:paraId="35851F0A">
      <w:pPr>
        <w:snapToGrid w:val="0"/>
        <w:spacing w:before="156" w:beforeLines="50" w:after="50"/>
        <w:jc w:val="center"/>
        <w:rPr>
          <w:rFonts w:ascii="宋体" w:hAnsi="宋体" w:cs="宋体"/>
          <w:bCs/>
          <w:sz w:val="84"/>
          <w:szCs w:val="84"/>
          <w:highlight w:val="none"/>
        </w:rPr>
      </w:pPr>
      <w:r>
        <w:rPr>
          <w:rFonts w:hint="eastAsia" w:ascii="宋体" w:hAnsi="宋体" w:cs="宋体"/>
          <w:bCs/>
          <w:sz w:val="84"/>
          <w:szCs w:val="84"/>
          <w:highlight w:val="none"/>
        </w:rPr>
        <w:t>响应文件</w:t>
      </w:r>
    </w:p>
    <w:p w14:paraId="4F04A3F7">
      <w:pPr>
        <w:snapToGrid w:val="0"/>
        <w:spacing w:before="156" w:beforeLines="50" w:after="50"/>
        <w:jc w:val="center"/>
        <w:rPr>
          <w:rFonts w:ascii="宋体" w:hAnsi="宋体" w:cs="宋体"/>
          <w:bCs/>
          <w:sz w:val="44"/>
          <w:szCs w:val="44"/>
          <w:highlight w:val="none"/>
        </w:rPr>
      </w:pPr>
    </w:p>
    <w:p w14:paraId="001312B3">
      <w:pPr>
        <w:snapToGrid w:val="0"/>
        <w:spacing w:before="156" w:beforeLines="50" w:after="50"/>
        <w:jc w:val="center"/>
        <w:rPr>
          <w:rFonts w:ascii="宋体" w:hAnsi="宋体" w:cs="宋体"/>
          <w:bCs/>
          <w:sz w:val="40"/>
          <w:szCs w:val="40"/>
          <w:highlight w:val="none"/>
        </w:rPr>
      </w:pPr>
      <w:r>
        <w:rPr>
          <w:rFonts w:hint="eastAsia" w:ascii="宋体" w:hAnsi="宋体" w:cs="宋体"/>
          <w:bCs/>
          <w:sz w:val="40"/>
          <w:szCs w:val="40"/>
          <w:highlight w:val="none"/>
        </w:rPr>
        <w:t>资格证明文件</w:t>
      </w:r>
    </w:p>
    <w:p w14:paraId="76C119F1">
      <w:pPr>
        <w:snapToGrid w:val="0"/>
        <w:spacing w:before="156" w:beforeLines="50" w:after="50"/>
        <w:rPr>
          <w:rFonts w:ascii="宋体" w:hAnsi="宋体" w:cs="宋体"/>
          <w:bCs/>
          <w:sz w:val="24"/>
          <w:szCs w:val="20"/>
          <w:highlight w:val="none"/>
        </w:rPr>
      </w:pPr>
    </w:p>
    <w:p w14:paraId="690D263D">
      <w:pPr>
        <w:snapToGrid w:val="0"/>
        <w:spacing w:before="156" w:beforeLines="50" w:after="50"/>
        <w:rPr>
          <w:rFonts w:ascii="宋体" w:hAnsi="宋体" w:cs="宋体"/>
          <w:bCs/>
          <w:sz w:val="22"/>
          <w:szCs w:val="18"/>
          <w:highlight w:val="none"/>
        </w:rPr>
      </w:pPr>
    </w:p>
    <w:p w14:paraId="3880EB2C">
      <w:pPr>
        <w:snapToGrid w:val="0"/>
        <w:spacing w:before="156" w:beforeLines="50" w:after="50"/>
        <w:rPr>
          <w:rFonts w:ascii="宋体" w:hAnsi="宋体" w:cs="宋体"/>
          <w:bCs/>
          <w:sz w:val="22"/>
          <w:szCs w:val="18"/>
          <w:highlight w:val="none"/>
        </w:rPr>
      </w:pPr>
    </w:p>
    <w:p w14:paraId="44CAB7DF">
      <w:pPr>
        <w:snapToGrid w:val="0"/>
        <w:spacing w:before="156" w:beforeLines="50" w:after="50"/>
        <w:ind w:firstLine="2054" w:firstLineChars="856"/>
        <w:rPr>
          <w:rFonts w:ascii="宋体" w:hAnsi="宋体" w:cs="宋体"/>
          <w:bCs/>
          <w:sz w:val="24"/>
          <w:szCs w:val="24"/>
          <w:highlight w:val="none"/>
        </w:rPr>
      </w:pPr>
      <w:r>
        <w:rPr>
          <w:rFonts w:hint="eastAsia" w:ascii="宋体" w:hAnsi="宋体" w:cs="宋体"/>
          <w:bCs/>
          <w:sz w:val="24"/>
          <w:szCs w:val="24"/>
          <w:highlight w:val="none"/>
        </w:rPr>
        <w:t>项目名称：</w:t>
      </w:r>
    </w:p>
    <w:p w14:paraId="670014F9">
      <w:pPr>
        <w:snapToGrid w:val="0"/>
        <w:spacing w:before="156" w:beforeLines="50" w:after="50"/>
        <w:ind w:firstLine="2054" w:firstLineChars="856"/>
        <w:rPr>
          <w:rFonts w:hint="eastAsia" w:ascii="宋体" w:hAnsi="宋体" w:cs="宋体"/>
          <w:bCs/>
          <w:sz w:val="24"/>
          <w:szCs w:val="24"/>
          <w:highlight w:val="none"/>
        </w:rPr>
      </w:pPr>
    </w:p>
    <w:p w14:paraId="2FFCCB64">
      <w:pPr>
        <w:snapToGrid w:val="0"/>
        <w:spacing w:before="156" w:beforeLines="50" w:after="50"/>
        <w:ind w:firstLine="2054" w:firstLineChars="856"/>
        <w:rPr>
          <w:rFonts w:ascii="宋体" w:hAnsi="宋体" w:cs="宋体"/>
          <w:bCs/>
          <w:sz w:val="24"/>
          <w:szCs w:val="24"/>
          <w:highlight w:val="none"/>
        </w:rPr>
      </w:pPr>
      <w:r>
        <w:rPr>
          <w:rFonts w:hint="eastAsia" w:ascii="宋体" w:hAnsi="宋体" w:cs="宋体"/>
          <w:bCs/>
          <w:sz w:val="24"/>
          <w:szCs w:val="24"/>
          <w:highlight w:val="none"/>
        </w:rPr>
        <w:t>项目编号：</w:t>
      </w:r>
    </w:p>
    <w:p w14:paraId="1D08620A">
      <w:pPr>
        <w:snapToGrid w:val="0"/>
        <w:spacing w:before="156" w:beforeLines="50" w:after="50"/>
        <w:ind w:firstLine="2054" w:firstLineChars="856"/>
        <w:rPr>
          <w:rFonts w:hint="eastAsia" w:ascii="宋体" w:hAnsi="宋体" w:eastAsia="宋体" w:cs="宋体"/>
          <w:bCs/>
          <w:sz w:val="24"/>
          <w:szCs w:val="24"/>
          <w:highlight w:val="none"/>
        </w:rPr>
      </w:pPr>
    </w:p>
    <w:p w14:paraId="10138BF4">
      <w:pPr>
        <w:snapToGrid w:val="0"/>
        <w:spacing w:before="156" w:beforeLines="50" w:after="50"/>
        <w:ind w:firstLine="2054" w:firstLineChars="856"/>
        <w:rPr>
          <w:rFonts w:hint="eastAsia" w:ascii="宋体" w:hAnsi="宋体" w:eastAsia="宋体" w:cs="宋体"/>
          <w:bCs/>
          <w:sz w:val="24"/>
          <w:szCs w:val="24"/>
          <w:highlight w:val="none"/>
        </w:rPr>
      </w:pPr>
      <w:r>
        <w:rPr>
          <w:rFonts w:hint="eastAsia" w:ascii="宋体" w:hAnsi="宋体" w:eastAsia="宋体" w:cs="宋体"/>
          <w:bCs/>
          <w:sz w:val="24"/>
          <w:szCs w:val="24"/>
          <w:highlight w:val="none"/>
        </w:rPr>
        <w:t>所竞分标（如有）：</w:t>
      </w:r>
    </w:p>
    <w:p w14:paraId="711F8349">
      <w:pPr>
        <w:snapToGrid w:val="0"/>
        <w:spacing w:before="156" w:beforeLines="50" w:after="50"/>
        <w:ind w:firstLine="2054" w:firstLineChars="856"/>
        <w:rPr>
          <w:rFonts w:hint="eastAsia" w:ascii="宋体" w:hAnsi="宋体" w:eastAsia="宋体" w:cs="宋体"/>
          <w:bCs/>
          <w:sz w:val="24"/>
          <w:szCs w:val="24"/>
          <w:highlight w:val="none"/>
        </w:rPr>
      </w:pPr>
    </w:p>
    <w:p w14:paraId="58ECD433">
      <w:pPr>
        <w:snapToGrid w:val="0"/>
        <w:spacing w:before="156" w:beforeLines="50" w:after="50"/>
        <w:ind w:firstLine="2054" w:firstLineChars="856"/>
        <w:rPr>
          <w:rFonts w:hint="eastAsia" w:ascii="宋体" w:hAnsi="宋体" w:eastAsia="宋体" w:cs="宋体"/>
          <w:bCs/>
          <w:sz w:val="24"/>
          <w:szCs w:val="24"/>
          <w:highlight w:val="none"/>
        </w:rPr>
      </w:pPr>
      <w:r>
        <w:rPr>
          <w:rFonts w:hint="eastAsia" w:ascii="宋体" w:hAnsi="宋体" w:eastAsia="宋体" w:cs="宋体"/>
          <w:bCs/>
          <w:sz w:val="24"/>
          <w:szCs w:val="24"/>
          <w:highlight w:val="none"/>
        </w:rPr>
        <w:t>供应商名称：</w:t>
      </w:r>
    </w:p>
    <w:p w14:paraId="10958A16">
      <w:pPr>
        <w:pStyle w:val="6"/>
        <w:snapToGrid w:val="0"/>
        <w:spacing w:before="50" w:after="50"/>
        <w:ind w:firstLine="630" w:firstLineChars="225"/>
        <w:rPr>
          <w:rFonts w:ascii="宋体" w:hAnsi="宋体" w:cs="宋体"/>
          <w:bCs/>
          <w:sz w:val="28"/>
          <w:szCs w:val="28"/>
          <w:highlight w:val="none"/>
        </w:rPr>
      </w:pPr>
    </w:p>
    <w:p w14:paraId="53DF3480">
      <w:pPr>
        <w:pStyle w:val="6"/>
        <w:snapToGrid w:val="0"/>
        <w:spacing w:before="50" w:after="50"/>
        <w:ind w:firstLine="630" w:firstLineChars="225"/>
        <w:rPr>
          <w:rFonts w:ascii="宋体" w:hAnsi="宋体" w:cs="宋体"/>
          <w:bCs/>
          <w:sz w:val="28"/>
          <w:szCs w:val="28"/>
          <w:highlight w:val="none"/>
        </w:rPr>
      </w:pPr>
    </w:p>
    <w:p w14:paraId="26207C53">
      <w:pPr>
        <w:snapToGrid w:val="0"/>
        <w:spacing w:before="156" w:beforeLines="50" w:after="50"/>
        <w:jc w:val="center"/>
        <w:rPr>
          <w:rFonts w:ascii="宋体" w:hAnsi="宋体" w:cs="宋体"/>
          <w:sz w:val="24"/>
          <w:szCs w:val="24"/>
          <w:highlight w:val="none"/>
        </w:rPr>
      </w:pPr>
      <w:r>
        <w:rPr>
          <w:rFonts w:hint="eastAsia" w:ascii="宋体" w:hAnsi="宋体" w:cs="宋体"/>
          <w:sz w:val="24"/>
          <w:szCs w:val="24"/>
          <w:highlight w:val="none"/>
        </w:rPr>
        <w:t>年    月    日</w:t>
      </w:r>
    </w:p>
    <w:p w14:paraId="474E3672">
      <w:pPr>
        <w:snapToGrid w:val="0"/>
        <w:spacing w:before="156" w:beforeLines="50" w:after="50"/>
        <w:ind w:left="142"/>
        <w:jc w:val="left"/>
        <w:rPr>
          <w:rFonts w:ascii="宋体" w:hAnsi="宋体" w:cs="宋体"/>
          <w:b/>
          <w:bCs/>
          <w:sz w:val="21"/>
          <w:szCs w:val="21"/>
          <w:highlight w:val="none"/>
        </w:rPr>
      </w:pPr>
      <w:r>
        <w:rPr>
          <w:rFonts w:hint="eastAsia" w:ascii="宋体" w:hAnsi="宋体" w:cs="宋体"/>
          <w:sz w:val="22"/>
          <w:szCs w:val="22"/>
          <w:highlight w:val="none"/>
        </w:rPr>
        <w:br w:type="page"/>
      </w:r>
      <w:r>
        <w:rPr>
          <w:rFonts w:hint="eastAsia" w:ascii="宋体" w:hAnsi="宋体" w:cs="宋体"/>
          <w:b/>
          <w:bCs/>
          <w:sz w:val="21"/>
          <w:szCs w:val="21"/>
          <w:highlight w:val="none"/>
        </w:rPr>
        <w:t>资格证明文件目录</w:t>
      </w:r>
    </w:p>
    <w:p w14:paraId="1E8B9965">
      <w:pPr>
        <w:snapToGrid w:val="0"/>
        <w:spacing w:before="156" w:beforeLines="50" w:after="50" w:line="360" w:lineRule="auto"/>
        <w:ind w:firstLine="645"/>
        <w:rPr>
          <w:rFonts w:ascii="宋体" w:hAnsi="宋体" w:cs="宋体"/>
          <w:sz w:val="21"/>
          <w:szCs w:val="21"/>
          <w:highlight w:val="none"/>
        </w:rPr>
      </w:pPr>
      <w:r>
        <w:rPr>
          <w:rFonts w:hint="eastAsia" w:ascii="宋体" w:hAnsi="宋体" w:cs="宋体"/>
          <w:sz w:val="21"/>
          <w:szCs w:val="21"/>
          <w:highlight w:val="none"/>
        </w:rPr>
        <w:t>根据磋商文件规定及供应商提供的材料自行编写目录（部分格式后附）。</w:t>
      </w:r>
    </w:p>
    <w:p w14:paraId="6C887355">
      <w:pPr>
        <w:snapToGrid w:val="0"/>
        <w:spacing w:before="156" w:beforeLines="50" w:after="50"/>
        <w:rPr>
          <w:rFonts w:ascii="宋体" w:hAnsi="宋体" w:cs="宋体"/>
          <w:szCs w:val="21"/>
          <w:highlight w:val="none"/>
        </w:rPr>
      </w:pPr>
      <w:r>
        <w:rPr>
          <w:rFonts w:hint="eastAsia" w:ascii="宋体" w:hAnsi="宋体" w:cs="宋体"/>
          <w:sz w:val="22"/>
          <w:szCs w:val="18"/>
          <w:highlight w:val="none"/>
        </w:rPr>
        <w:t xml:space="preserve"> </w:t>
      </w:r>
    </w:p>
    <w:p w14:paraId="49BD7432">
      <w:pPr>
        <w:spacing w:line="300" w:lineRule="auto"/>
        <w:rPr>
          <w:rFonts w:ascii="宋体" w:hAnsi="宋体" w:cs="宋体"/>
          <w:szCs w:val="21"/>
          <w:highlight w:val="none"/>
        </w:rPr>
      </w:pPr>
    </w:p>
    <w:p w14:paraId="041F86CC">
      <w:pPr>
        <w:spacing w:line="300" w:lineRule="auto"/>
        <w:rPr>
          <w:rFonts w:ascii="宋体" w:hAnsi="宋体" w:cs="宋体"/>
          <w:szCs w:val="21"/>
          <w:highlight w:val="none"/>
        </w:rPr>
      </w:pPr>
    </w:p>
    <w:p w14:paraId="4882F169">
      <w:pPr>
        <w:spacing w:line="300" w:lineRule="auto"/>
        <w:rPr>
          <w:rFonts w:ascii="宋体" w:hAnsi="宋体" w:cs="宋体"/>
          <w:szCs w:val="21"/>
          <w:highlight w:val="none"/>
        </w:rPr>
      </w:pPr>
    </w:p>
    <w:p w14:paraId="627436EA">
      <w:pPr>
        <w:spacing w:line="300" w:lineRule="auto"/>
        <w:rPr>
          <w:rFonts w:ascii="宋体" w:hAnsi="宋体" w:cs="宋体"/>
          <w:szCs w:val="21"/>
          <w:highlight w:val="none"/>
        </w:rPr>
      </w:pPr>
    </w:p>
    <w:p w14:paraId="1F6B8CD2">
      <w:pPr>
        <w:spacing w:line="300" w:lineRule="auto"/>
        <w:rPr>
          <w:rFonts w:ascii="宋体" w:hAnsi="宋体" w:cs="宋体"/>
          <w:szCs w:val="21"/>
          <w:highlight w:val="none"/>
        </w:rPr>
      </w:pPr>
    </w:p>
    <w:p w14:paraId="7C0617A5">
      <w:pPr>
        <w:spacing w:line="300" w:lineRule="auto"/>
        <w:rPr>
          <w:rFonts w:ascii="宋体" w:hAnsi="宋体" w:cs="宋体"/>
          <w:szCs w:val="21"/>
          <w:highlight w:val="none"/>
        </w:rPr>
      </w:pPr>
    </w:p>
    <w:p w14:paraId="059370A0">
      <w:pPr>
        <w:rPr>
          <w:rFonts w:hint="eastAsia" w:ascii="宋体" w:hAnsi="宋体" w:cs="宋体"/>
          <w:szCs w:val="21"/>
          <w:highlight w:val="none"/>
        </w:rPr>
      </w:pPr>
      <w:r>
        <w:rPr>
          <w:rFonts w:hint="eastAsia" w:ascii="宋体" w:hAnsi="宋体" w:cs="宋体"/>
          <w:szCs w:val="21"/>
          <w:highlight w:val="none"/>
        </w:rPr>
        <w:br w:type="page"/>
      </w:r>
    </w:p>
    <w:p w14:paraId="22F57186">
      <w:pPr>
        <w:pStyle w:val="3"/>
        <w:bidi w:val="0"/>
        <w:rPr>
          <w:rFonts w:hint="eastAsia"/>
          <w:highlight w:val="none"/>
        </w:rPr>
      </w:pPr>
      <w:r>
        <w:rPr>
          <w:rFonts w:hint="eastAsia"/>
          <w:highlight w:val="none"/>
        </w:rPr>
        <w:t>1.供应商为法人或者其他组织的，证明文件为其营业执照</w:t>
      </w:r>
    </w:p>
    <w:p w14:paraId="692FE37A">
      <w:pPr>
        <w:pStyle w:val="3"/>
        <w:bidi w:val="0"/>
        <w:rPr>
          <w:rFonts w:hint="eastAsia"/>
          <w:highlight w:val="none"/>
        </w:rPr>
      </w:pPr>
      <w:r>
        <w:rPr>
          <w:rFonts w:hint="eastAsia"/>
          <w:highlight w:val="none"/>
        </w:rPr>
        <w:t>2.供应商</w:t>
      </w:r>
      <w:r>
        <w:rPr>
          <w:rFonts w:hint="eastAsia" w:ascii="宋体" w:hAnsi="宋体" w:cs="宋体"/>
          <w:color w:val="auto"/>
          <w:szCs w:val="21"/>
          <w:highlight w:val="none"/>
          <w:lang w:eastAsia="zh-CN"/>
        </w:rPr>
        <w:t>（</w:t>
      </w:r>
      <w:r>
        <w:rPr>
          <w:rFonts w:hint="eastAsia" w:eastAsia="宋体" w:cs="Times New Roman"/>
          <w:highlight w:val="none"/>
          <w:lang w:val="en-US" w:eastAsia="zh-CN"/>
        </w:rPr>
        <w:t>或</w:t>
      </w:r>
      <w:r>
        <w:rPr>
          <w:rFonts w:hint="eastAsia" w:eastAsia="宋体" w:cs="Times New Roman"/>
          <w:highlight w:val="none"/>
        </w:rPr>
        <w:t>供应商</w:t>
      </w:r>
      <w:r>
        <w:rPr>
          <w:rFonts w:hint="eastAsia" w:eastAsia="宋体" w:cs="Times New Roman"/>
          <w:highlight w:val="none"/>
          <w:lang w:val="en-US" w:eastAsia="zh-CN"/>
        </w:rPr>
        <w:t>上</w:t>
      </w:r>
      <w:r>
        <w:rPr>
          <w:rFonts w:hint="eastAsia" w:ascii="宋体" w:hAnsi="宋体" w:cs="宋体"/>
          <w:color w:val="auto"/>
          <w:szCs w:val="21"/>
          <w:highlight w:val="none"/>
          <w:lang w:val="en-US" w:eastAsia="zh-CN"/>
        </w:rPr>
        <w:t>级单位</w:t>
      </w:r>
      <w:r>
        <w:rPr>
          <w:rFonts w:hint="eastAsia" w:ascii="宋体" w:hAnsi="宋体" w:cs="宋体"/>
          <w:color w:val="auto"/>
          <w:szCs w:val="21"/>
          <w:highlight w:val="none"/>
          <w:lang w:eastAsia="zh-CN"/>
        </w:rPr>
        <w:t>）</w:t>
      </w:r>
      <w:r>
        <w:rPr>
          <w:rFonts w:hint="eastAsia"/>
          <w:highlight w:val="none"/>
        </w:rPr>
        <w:t>依法缴纳税收的相关材料</w:t>
      </w:r>
    </w:p>
    <w:p w14:paraId="30E7826D">
      <w:pPr>
        <w:pStyle w:val="3"/>
        <w:bidi w:val="0"/>
        <w:rPr>
          <w:rFonts w:hint="eastAsia"/>
          <w:highlight w:val="none"/>
        </w:rPr>
      </w:pPr>
      <w:r>
        <w:rPr>
          <w:rFonts w:hint="eastAsia"/>
          <w:highlight w:val="none"/>
        </w:rPr>
        <w:t>3.供应商</w:t>
      </w:r>
      <w:r>
        <w:rPr>
          <w:rFonts w:hint="eastAsia" w:ascii="宋体" w:hAnsi="宋体" w:cs="宋体"/>
          <w:color w:val="auto"/>
          <w:szCs w:val="21"/>
          <w:highlight w:val="none"/>
          <w:lang w:eastAsia="zh-CN"/>
        </w:rPr>
        <w:t>（</w:t>
      </w:r>
      <w:r>
        <w:rPr>
          <w:rFonts w:hint="eastAsia" w:eastAsia="宋体" w:cs="Times New Roman"/>
          <w:highlight w:val="none"/>
          <w:lang w:val="en-US" w:eastAsia="zh-CN"/>
        </w:rPr>
        <w:t>或</w:t>
      </w:r>
      <w:r>
        <w:rPr>
          <w:rFonts w:hint="eastAsia" w:eastAsia="宋体" w:cs="Times New Roman"/>
          <w:highlight w:val="none"/>
        </w:rPr>
        <w:t>供应商</w:t>
      </w:r>
      <w:r>
        <w:rPr>
          <w:rFonts w:hint="eastAsia" w:eastAsia="宋体" w:cs="Times New Roman"/>
          <w:highlight w:val="none"/>
          <w:lang w:val="en-US" w:eastAsia="zh-CN"/>
        </w:rPr>
        <w:t>上级</w:t>
      </w:r>
      <w:r>
        <w:rPr>
          <w:rFonts w:hint="eastAsia" w:ascii="宋体" w:hAnsi="宋体" w:cs="宋体"/>
          <w:color w:val="auto"/>
          <w:szCs w:val="21"/>
          <w:highlight w:val="none"/>
          <w:lang w:val="en-US" w:eastAsia="zh-CN"/>
        </w:rPr>
        <w:t>单位</w:t>
      </w:r>
      <w:r>
        <w:rPr>
          <w:rFonts w:hint="eastAsia" w:ascii="宋体" w:hAnsi="宋体" w:cs="宋体"/>
          <w:color w:val="auto"/>
          <w:szCs w:val="21"/>
          <w:highlight w:val="none"/>
          <w:lang w:eastAsia="zh-CN"/>
        </w:rPr>
        <w:t>）</w:t>
      </w:r>
      <w:r>
        <w:rPr>
          <w:rFonts w:hint="eastAsia"/>
          <w:highlight w:val="none"/>
        </w:rPr>
        <w:t>依法缴纳社会保障资金的相关材料</w:t>
      </w:r>
    </w:p>
    <w:p w14:paraId="6DA893A3">
      <w:pPr>
        <w:pStyle w:val="3"/>
        <w:bidi w:val="0"/>
        <w:rPr>
          <w:rFonts w:hint="eastAsia"/>
          <w:highlight w:val="none"/>
        </w:rPr>
      </w:pPr>
      <w:r>
        <w:rPr>
          <w:rFonts w:hint="eastAsia"/>
          <w:highlight w:val="none"/>
        </w:rPr>
        <w:t>4.供应商</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或</w:t>
      </w:r>
      <w:r>
        <w:rPr>
          <w:rFonts w:hint="eastAsia" w:eastAsia="宋体" w:cs="Times New Roman"/>
          <w:highlight w:val="none"/>
        </w:rPr>
        <w:t>供应商</w:t>
      </w:r>
      <w:r>
        <w:rPr>
          <w:rFonts w:hint="eastAsia" w:eastAsia="宋体" w:cs="Times New Roman"/>
          <w:highlight w:val="none"/>
          <w:lang w:val="en-US" w:eastAsia="zh-CN"/>
        </w:rPr>
        <w:t>上级</w:t>
      </w:r>
      <w:r>
        <w:rPr>
          <w:rFonts w:hint="eastAsia" w:ascii="宋体" w:hAnsi="宋体" w:cs="宋体"/>
          <w:color w:val="auto"/>
          <w:szCs w:val="21"/>
          <w:highlight w:val="none"/>
          <w:lang w:val="en-US" w:eastAsia="zh-CN"/>
        </w:rPr>
        <w:t>单位</w:t>
      </w:r>
      <w:r>
        <w:rPr>
          <w:rFonts w:hint="eastAsia" w:ascii="宋体" w:hAnsi="宋体" w:cs="宋体"/>
          <w:color w:val="auto"/>
          <w:szCs w:val="21"/>
          <w:highlight w:val="none"/>
          <w:lang w:eastAsia="zh-CN"/>
        </w:rPr>
        <w:t>）</w:t>
      </w:r>
      <w:r>
        <w:rPr>
          <w:rFonts w:hint="eastAsia"/>
          <w:highlight w:val="none"/>
        </w:rPr>
        <w:t>财务状况报告</w:t>
      </w:r>
    </w:p>
    <w:p w14:paraId="27E4CD28">
      <w:pPr>
        <w:rPr>
          <w:rFonts w:hint="eastAsia"/>
          <w:highlight w:val="none"/>
        </w:rPr>
      </w:pPr>
      <w:r>
        <w:rPr>
          <w:rFonts w:hint="eastAsia"/>
          <w:highlight w:val="none"/>
        </w:rPr>
        <w:br w:type="page"/>
      </w:r>
    </w:p>
    <w:p w14:paraId="69694F62">
      <w:pPr>
        <w:rPr>
          <w:rFonts w:hint="eastAsia"/>
          <w:highlight w:val="none"/>
        </w:rPr>
      </w:pPr>
    </w:p>
    <w:p w14:paraId="726963E7">
      <w:pPr>
        <w:pStyle w:val="3"/>
        <w:bidi w:val="0"/>
        <w:rPr>
          <w:rFonts w:hint="eastAsia"/>
          <w:highlight w:val="none"/>
        </w:rPr>
      </w:pPr>
      <w:r>
        <w:rPr>
          <w:rFonts w:hint="eastAsia"/>
          <w:highlight w:val="none"/>
        </w:rPr>
        <w:t>5.供应商直接控股、管理关系信息表（格式后附）；</w:t>
      </w:r>
    </w:p>
    <w:p w14:paraId="6C4067B1">
      <w:pPr>
        <w:spacing w:line="360" w:lineRule="auto"/>
        <w:jc w:val="center"/>
        <w:rPr>
          <w:rFonts w:ascii="宋体" w:hAnsi="宋体" w:cs="宋体"/>
          <w:b/>
          <w:sz w:val="28"/>
          <w:szCs w:val="28"/>
          <w:highlight w:val="none"/>
        </w:rPr>
      </w:pPr>
      <w:r>
        <w:rPr>
          <w:rFonts w:hint="eastAsia" w:ascii="宋体" w:hAnsi="宋体" w:cs="宋体"/>
          <w:b/>
          <w:sz w:val="28"/>
          <w:szCs w:val="28"/>
          <w:highlight w:val="none"/>
        </w:rPr>
        <w:t>供应商直接控股、管理关系信息表</w:t>
      </w:r>
    </w:p>
    <w:p w14:paraId="0AC8C9CA">
      <w:pPr>
        <w:spacing w:line="360" w:lineRule="auto"/>
        <w:jc w:val="center"/>
        <w:rPr>
          <w:rFonts w:ascii="宋体" w:hAnsi="宋体" w:cs="宋体"/>
          <w:b/>
          <w:sz w:val="28"/>
          <w:szCs w:val="28"/>
          <w:highlight w:val="none"/>
        </w:rPr>
      </w:pPr>
      <w:r>
        <w:rPr>
          <w:rFonts w:hint="eastAsia" w:ascii="宋体" w:hAnsi="宋体" w:cs="宋体"/>
          <w:b/>
          <w:sz w:val="28"/>
          <w:szCs w:val="28"/>
          <w:highlight w:val="none"/>
        </w:rPr>
        <w:t>（一）供应商</w:t>
      </w:r>
      <w:r>
        <w:rPr>
          <w:rFonts w:hint="eastAsia" w:ascii="宋体" w:hAnsi="宋体" w:cs="宋体"/>
          <w:b/>
          <w:kern w:val="0"/>
          <w:sz w:val="28"/>
          <w:szCs w:val="28"/>
          <w:highlight w:val="none"/>
        </w:rPr>
        <w:t>直接控股股东信息表</w:t>
      </w:r>
    </w:p>
    <w:p w14:paraId="53A298E6">
      <w:pPr>
        <w:snapToGrid w:val="0"/>
        <w:spacing w:before="156" w:beforeLines="50" w:after="50"/>
        <w:jc w:val="center"/>
        <w:rPr>
          <w:rFonts w:ascii="宋体" w:hAnsi="宋体" w:cs="宋体"/>
          <w:b/>
          <w:sz w:val="24"/>
          <w:highlight w:val="none"/>
        </w:rPr>
      </w:pPr>
    </w:p>
    <w:p w14:paraId="0BE2103F">
      <w:pPr>
        <w:spacing w:line="360" w:lineRule="auto"/>
        <w:contextualSpacing/>
        <w:jc w:val="center"/>
        <w:rPr>
          <w:rFonts w:ascii="宋体" w:hAnsi="宋体" w:cs="宋体"/>
          <w:b/>
          <w:sz w:val="24"/>
          <w:highlight w:val="none"/>
        </w:rPr>
      </w:pPr>
    </w:p>
    <w:tbl>
      <w:tblPr>
        <w:tblStyle w:val="32"/>
        <w:tblW w:w="9557" w:type="dxa"/>
        <w:jc w:val="center"/>
        <w:shd w:val="clear" w:color="auto" w:fill="FBFBFB"/>
        <w:tblLayout w:type="fixed"/>
        <w:tblCellMar>
          <w:top w:w="0" w:type="dxa"/>
          <w:left w:w="0" w:type="dxa"/>
          <w:bottom w:w="0" w:type="dxa"/>
          <w:right w:w="0" w:type="dxa"/>
        </w:tblCellMar>
      </w:tblPr>
      <w:tblGrid>
        <w:gridCol w:w="828"/>
        <w:gridCol w:w="2500"/>
        <w:gridCol w:w="1371"/>
        <w:gridCol w:w="4039"/>
        <w:gridCol w:w="819"/>
      </w:tblGrid>
      <w:tr w14:paraId="7B85216B">
        <w:tblPrEx>
          <w:shd w:val="clear" w:color="auto" w:fill="FBFBFB"/>
          <w:tblCellMar>
            <w:top w:w="0" w:type="dxa"/>
            <w:left w:w="0" w:type="dxa"/>
            <w:bottom w:w="0" w:type="dxa"/>
            <w:right w:w="0" w:type="dxa"/>
          </w:tblCellMar>
        </w:tblPrEx>
        <w:trPr>
          <w:trHeight w:val="532" w:hRule="atLeast"/>
          <w:tblHeader/>
          <w:jc w:val="center"/>
        </w:trPr>
        <w:tc>
          <w:tcPr>
            <w:tcW w:w="82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869E879">
            <w:pPr>
              <w:widowControl/>
              <w:spacing w:line="360" w:lineRule="auto"/>
              <w:contextualSpacing/>
              <w:jc w:val="center"/>
              <w:rPr>
                <w:rFonts w:hint="eastAsia" w:ascii="宋体" w:hAnsi="宋体" w:cs="宋体"/>
                <w:b/>
                <w:bCs/>
                <w:kern w:val="0"/>
                <w:sz w:val="21"/>
                <w:szCs w:val="21"/>
                <w:highlight w:val="none"/>
              </w:rPr>
            </w:pPr>
            <w:r>
              <w:rPr>
                <w:rFonts w:hint="eastAsia" w:ascii="宋体" w:hAnsi="宋体" w:cs="宋体"/>
                <w:b/>
                <w:bCs/>
                <w:kern w:val="0"/>
                <w:sz w:val="21"/>
                <w:szCs w:val="21"/>
                <w:highlight w:val="none"/>
              </w:rPr>
              <w:t>序号</w:t>
            </w:r>
          </w:p>
        </w:tc>
        <w:tc>
          <w:tcPr>
            <w:tcW w:w="25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6058815">
            <w:pPr>
              <w:widowControl/>
              <w:spacing w:line="360" w:lineRule="auto"/>
              <w:contextualSpacing/>
              <w:jc w:val="center"/>
              <w:rPr>
                <w:rFonts w:hint="eastAsia" w:ascii="宋体" w:hAnsi="宋体" w:cs="宋体"/>
                <w:b/>
                <w:bCs/>
                <w:kern w:val="0"/>
                <w:sz w:val="21"/>
                <w:szCs w:val="21"/>
                <w:highlight w:val="none"/>
              </w:rPr>
            </w:pPr>
            <w:r>
              <w:rPr>
                <w:rFonts w:hint="eastAsia" w:ascii="宋体" w:hAnsi="宋体" w:cs="宋体"/>
                <w:b/>
                <w:bCs/>
                <w:kern w:val="0"/>
                <w:sz w:val="21"/>
                <w:szCs w:val="21"/>
                <w:highlight w:val="none"/>
              </w:rPr>
              <w:t>直接控股股东名称</w:t>
            </w:r>
          </w:p>
        </w:tc>
        <w:tc>
          <w:tcPr>
            <w:tcW w:w="1371"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62400D5">
            <w:pPr>
              <w:widowControl/>
              <w:spacing w:line="360" w:lineRule="auto"/>
              <w:contextualSpacing/>
              <w:jc w:val="center"/>
              <w:rPr>
                <w:rFonts w:hint="eastAsia" w:ascii="宋体" w:hAnsi="宋体" w:cs="宋体"/>
                <w:b/>
                <w:bCs/>
                <w:kern w:val="0"/>
                <w:sz w:val="21"/>
                <w:szCs w:val="21"/>
                <w:highlight w:val="none"/>
              </w:rPr>
            </w:pPr>
            <w:r>
              <w:rPr>
                <w:rFonts w:hint="eastAsia" w:ascii="宋体" w:hAnsi="宋体" w:cs="宋体"/>
                <w:b/>
                <w:bCs/>
                <w:kern w:val="0"/>
                <w:sz w:val="21"/>
                <w:szCs w:val="21"/>
                <w:highlight w:val="none"/>
              </w:rPr>
              <w:t>出资比例</w:t>
            </w:r>
          </w:p>
        </w:tc>
        <w:tc>
          <w:tcPr>
            <w:tcW w:w="403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69D37B9">
            <w:pPr>
              <w:widowControl/>
              <w:spacing w:line="360" w:lineRule="auto"/>
              <w:contextualSpacing/>
              <w:jc w:val="center"/>
              <w:rPr>
                <w:rFonts w:hint="eastAsia" w:ascii="宋体" w:hAnsi="宋体" w:cs="宋体"/>
                <w:b/>
                <w:bCs/>
                <w:kern w:val="0"/>
                <w:sz w:val="21"/>
                <w:szCs w:val="21"/>
                <w:highlight w:val="none"/>
              </w:rPr>
            </w:pPr>
            <w:r>
              <w:rPr>
                <w:rFonts w:hint="eastAsia" w:ascii="宋体" w:hAnsi="宋体" w:cs="宋体"/>
                <w:b/>
                <w:bCs/>
                <w:kern w:val="0"/>
                <w:sz w:val="21"/>
                <w:szCs w:val="21"/>
                <w:highlight w:val="none"/>
              </w:rPr>
              <w:t>身份证号码或者统一社会信用代码</w:t>
            </w:r>
          </w:p>
        </w:tc>
        <w:tc>
          <w:tcPr>
            <w:tcW w:w="81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DBD02DF">
            <w:pPr>
              <w:widowControl/>
              <w:spacing w:line="360" w:lineRule="auto"/>
              <w:contextualSpacing/>
              <w:jc w:val="center"/>
              <w:rPr>
                <w:rFonts w:hint="eastAsia" w:ascii="宋体" w:hAnsi="宋体" w:cs="宋体"/>
                <w:b/>
                <w:bCs/>
                <w:kern w:val="0"/>
                <w:sz w:val="21"/>
                <w:szCs w:val="21"/>
                <w:highlight w:val="none"/>
              </w:rPr>
            </w:pPr>
            <w:r>
              <w:rPr>
                <w:rFonts w:hint="eastAsia" w:ascii="宋体" w:hAnsi="宋体" w:cs="宋体"/>
                <w:b/>
                <w:bCs/>
                <w:kern w:val="0"/>
                <w:sz w:val="21"/>
                <w:szCs w:val="21"/>
                <w:highlight w:val="none"/>
              </w:rPr>
              <w:t>备注</w:t>
            </w:r>
          </w:p>
        </w:tc>
      </w:tr>
      <w:tr w14:paraId="6D6690AF">
        <w:tblPrEx>
          <w:shd w:val="clear" w:color="auto" w:fill="FBFBFB"/>
          <w:tblCellMar>
            <w:top w:w="0" w:type="dxa"/>
            <w:left w:w="0" w:type="dxa"/>
            <w:bottom w:w="0" w:type="dxa"/>
            <w:right w:w="0" w:type="dxa"/>
          </w:tblCellMar>
        </w:tblPrEx>
        <w:trPr>
          <w:trHeight w:val="532" w:hRule="atLeast"/>
          <w:jc w:val="center"/>
        </w:trPr>
        <w:tc>
          <w:tcPr>
            <w:tcW w:w="82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2B95C03">
            <w:pPr>
              <w:widowControl/>
              <w:spacing w:line="360" w:lineRule="auto"/>
              <w:contextualSpacing/>
              <w:jc w:val="center"/>
              <w:rPr>
                <w:rFonts w:hint="eastAsia" w:ascii="宋体" w:hAnsi="宋体" w:cs="宋体"/>
                <w:kern w:val="0"/>
                <w:sz w:val="21"/>
                <w:szCs w:val="21"/>
                <w:highlight w:val="none"/>
              </w:rPr>
            </w:pPr>
            <w:r>
              <w:rPr>
                <w:rFonts w:hint="eastAsia" w:ascii="宋体" w:hAnsi="宋体" w:cs="宋体"/>
                <w:kern w:val="0"/>
                <w:sz w:val="21"/>
                <w:szCs w:val="21"/>
                <w:highlight w:val="none"/>
              </w:rPr>
              <w:t>1</w:t>
            </w:r>
          </w:p>
        </w:tc>
        <w:tc>
          <w:tcPr>
            <w:tcW w:w="25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BAA6ABF">
            <w:pPr>
              <w:widowControl/>
              <w:spacing w:line="360" w:lineRule="auto"/>
              <w:contextualSpacing/>
              <w:jc w:val="center"/>
              <w:rPr>
                <w:rFonts w:hint="eastAsia" w:ascii="宋体" w:hAnsi="宋体" w:cs="宋体"/>
                <w:kern w:val="0"/>
                <w:sz w:val="21"/>
                <w:szCs w:val="21"/>
                <w:highlight w:val="none"/>
              </w:rPr>
            </w:pPr>
          </w:p>
        </w:tc>
        <w:tc>
          <w:tcPr>
            <w:tcW w:w="1371"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110FDB0">
            <w:pPr>
              <w:widowControl/>
              <w:spacing w:line="360" w:lineRule="auto"/>
              <w:contextualSpacing/>
              <w:jc w:val="center"/>
              <w:rPr>
                <w:rFonts w:hint="eastAsia" w:ascii="宋体" w:hAnsi="宋体" w:cs="宋体"/>
                <w:kern w:val="0"/>
                <w:sz w:val="21"/>
                <w:szCs w:val="21"/>
                <w:highlight w:val="none"/>
              </w:rPr>
            </w:pPr>
          </w:p>
        </w:tc>
        <w:tc>
          <w:tcPr>
            <w:tcW w:w="403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93F7DAB">
            <w:pPr>
              <w:widowControl/>
              <w:spacing w:line="360" w:lineRule="auto"/>
              <w:contextualSpacing/>
              <w:jc w:val="center"/>
              <w:rPr>
                <w:rFonts w:hint="eastAsia" w:ascii="宋体" w:hAnsi="宋体" w:cs="宋体"/>
                <w:kern w:val="0"/>
                <w:sz w:val="21"/>
                <w:szCs w:val="21"/>
                <w:highlight w:val="none"/>
              </w:rPr>
            </w:pPr>
          </w:p>
        </w:tc>
        <w:tc>
          <w:tcPr>
            <w:tcW w:w="81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3209E49">
            <w:pPr>
              <w:widowControl/>
              <w:spacing w:line="360" w:lineRule="auto"/>
              <w:contextualSpacing/>
              <w:jc w:val="center"/>
              <w:rPr>
                <w:rFonts w:hint="eastAsia" w:ascii="宋体" w:hAnsi="宋体" w:cs="宋体"/>
                <w:kern w:val="0"/>
                <w:sz w:val="21"/>
                <w:szCs w:val="21"/>
                <w:highlight w:val="none"/>
              </w:rPr>
            </w:pPr>
          </w:p>
        </w:tc>
      </w:tr>
      <w:tr w14:paraId="6A5BB006">
        <w:tblPrEx>
          <w:shd w:val="clear" w:color="auto" w:fill="FBFBFB"/>
          <w:tblCellMar>
            <w:top w:w="0" w:type="dxa"/>
            <w:left w:w="0" w:type="dxa"/>
            <w:bottom w:w="0" w:type="dxa"/>
            <w:right w:w="0" w:type="dxa"/>
          </w:tblCellMar>
        </w:tblPrEx>
        <w:trPr>
          <w:trHeight w:val="532" w:hRule="atLeast"/>
          <w:jc w:val="center"/>
        </w:trPr>
        <w:tc>
          <w:tcPr>
            <w:tcW w:w="82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93F6574">
            <w:pPr>
              <w:widowControl/>
              <w:spacing w:line="360" w:lineRule="auto"/>
              <w:contextualSpacing/>
              <w:jc w:val="center"/>
              <w:rPr>
                <w:rFonts w:hint="eastAsia" w:ascii="宋体" w:hAnsi="宋体" w:cs="宋体"/>
                <w:kern w:val="0"/>
                <w:sz w:val="21"/>
                <w:szCs w:val="21"/>
                <w:highlight w:val="none"/>
              </w:rPr>
            </w:pPr>
            <w:r>
              <w:rPr>
                <w:rFonts w:hint="eastAsia" w:ascii="宋体" w:hAnsi="宋体" w:cs="宋体"/>
                <w:kern w:val="0"/>
                <w:sz w:val="21"/>
                <w:szCs w:val="21"/>
                <w:highlight w:val="none"/>
              </w:rPr>
              <w:t>2</w:t>
            </w:r>
          </w:p>
        </w:tc>
        <w:tc>
          <w:tcPr>
            <w:tcW w:w="25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7759161">
            <w:pPr>
              <w:widowControl/>
              <w:spacing w:line="360" w:lineRule="auto"/>
              <w:contextualSpacing/>
              <w:jc w:val="center"/>
              <w:rPr>
                <w:rFonts w:hint="eastAsia" w:ascii="宋体" w:hAnsi="宋体" w:cs="宋体"/>
                <w:kern w:val="0"/>
                <w:sz w:val="21"/>
                <w:szCs w:val="21"/>
                <w:highlight w:val="none"/>
              </w:rPr>
            </w:pPr>
          </w:p>
        </w:tc>
        <w:tc>
          <w:tcPr>
            <w:tcW w:w="1371"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580CE12C">
            <w:pPr>
              <w:widowControl/>
              <w:spacing w:line="360" w:lineRule="auto"/>
              <w:contextualSpacing/>
              <w:jc w:val="center"/>
              <w:rPr>
                <w:rFonts w:hint="eastAsia" w:ascii="宋体" w:hAnsi="宋体" w:cs="宋体"/>
                <w:kern w:val="0"/>
                <w:sz w:val="21"/>
                <w:szCs w:val="21"/>
                <w:highlight w:val="none"/>
              </w:rPr>
            </w:pPr>
          </w:p>
        </w:tc>
        <w:tc>
          <w:tcPr>
            <w:tcW w:w="403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247DBD3">
            <w:pPr>
              <w:widowControl/>
              <w:spacing w:line="360" w:lineRule="auto"/>
              <w:contextualSpacing/>
              <w:jc w:val="center"/>
              <w:rPr>
                <w:rFonts w:hint="eastAsia" w:ascii="宋体" w:hAnsi="宋体" w:cs="宋体"/>
                <w:kern w:val="0"/>
                <w:sz w:val="21"/>
                <w:szCs w:val="21"/>
                <w:highlight w:val="none"/>
              </w:rPr>
            </w:pPr>
          </w:p>
        </w:tc>
        <w:tc>
          <w:tcPr>
            <w:tcW w:w="81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6F93CDC2">
            <w:pPr>
              <w:widowControl/>
              <w:spacing w:line="360" w:lineRule="auto"/>
              <w:contextualSpacing/>
              <w:jc w:val="center"/>
              <w:rPr>
                <w:rFonts w:hint="eastAsia" w:ascii="宋体" w:hAnsi="宋体" w:cs="宋体"/>
                <w:kern w:val="0"/>
                <w:sz w:val="21"/>
                <w:szCs w:val="21"/>
                <w:highlight w:val="none"/>
              </w:rPr>
            </w:pPr>
          </w:p>
        </w:tc>
      </w:tr>
      <w:tr w14:paraId="5812F50E">
        <w:tblPrEx>
          <w:shd w:val="clear" w:color="auto" w:fill="FBFBFB"/>
          <w:tblCellMar>
            <w:top w:w="0" w:type="dxa"/>
            <w:left w:w="0" w:type="dxa"/>
            <w:bottom w:w="0" w:type="dxa"/>
            <w:right w:w="0" w:type="dxa"/>
          </w:tblCellMar>
        </w:tblPrEx>
        <w:trPr>
          <w:trHeight w:val="544" w:hRule="atLeast"/>
          <w:jc w:val="center"/>
        </w:trPr>
        <w:tc>
          <w:tcPr>
            <w:tcW w:w="82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BA8C576">
            <w:pPr>
              <w:widowControl/>
              <w:spacing w:line="360" w:lineRule="auto"/>
              <w:contextualSpacing/>
              <w:jc w:val="center"/>
              <w:rPr>
                <w:rFonts w:hint="eastAsia" w:ascii="宋体" w:hAnsi="宋体" w:cs="宋体"/>
                <w:kern w:val="0"/>
                <w:sz w:val="21"/>
                <w:szCs w:val="21"/>
                <w:highlight w:val="none"/>
              </w:rPr>
            </w:pPr>
            <w:r>
              <w:rPr>
                <w:rFonts w:hint="eastAsia" w:ascii="宋体" w:hAnsi="宋体" w:cs="宋体"/>
                <w:kern w:val="0"/>
                <w:sz w:val="21"/>
                <w:szCs w:val="21"/>
                <w:highlight w:val="none"/>
              </w:rPr>
              <w:t>……</w:t>
            </w:r>
          </w:p>
        </w:tc>
        <w:tc>
          <w:tcPr>
            <w:tcW w:w="25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6BB44AA8">
            <w:pPr>
              <w:widowControl/>
              <w:spacing w:line="360" w:lineRule="auto"/>
              <w:contextualSpacing/>
              <w:jc w:val="center"/>
              <w:rPr>
                <w:rFonts w:hint="eastAsia" w:ascii="宋体" w:hAnsi="宋体" w:cs="宋体"/>
                <w:kern w:val="0"/>
                <w:sz w:val="21"/>
                <w:szCs w:val="21"/>
                <w:highlight w:val="none"/>
              </w:rPr>
            </w:pPr>
          </w:p>
        </w:tc>
        <w:tc>
          <w:tcPr>
            <w:tcW w:w="1371"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6E468CBD">
            <w:pPr>
              <w:widowControl/>
              <w:spacing w:line="360" w:lineRule="auto"/>
              <w:contextualSpacing/>
              <w:jc w:val="center"/>
              <w:rPr>
                <w:rFonts w:hint="eastAsia" w:ascii="宋体" w:hAnsi="宋体" w:cs="宋体"/>
                <w:kern w:val="0"/>
                <w:sz w:val="21"/>
                <w:szCs w:val="21"/>
                <w:highlight w:val="none"/>
              </w:rPr>
            </w:pPr>
          </w:p>
        </w:tc>
        <w:tc>
          <w:tcPr>
            <w:tcW w:w="403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546D226C">
            <w:pPr>
              <w:widowControl/>
              <w:spacing w:line="360" w:lineRule="auto"/>
              <w:contextualSpacing/>
              <w:jc w:val="center"/>
              <w:rPr>
                <w:rFonts w:hint="eastAsia" w:ascii="宋体" w:hAnsi="宋体" w:cs="宋体"/>
                <w:kern w:val="0"/>
                <w:sz w:val="21"/>
                <w:szCs w:val="21"/>
                <w:highlight w:val="none"/>
              </w:rPr>
            </w:pPr>
          </w:p>
        </w:tc>
        <w:tc>
          <w:tcPr>
            <w:tcW w:w="81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6C40431">
            <w:pPr>
              <w:widowControl/>
              <w:spacing w:line="360" w:lineRule="auto"/>
              <w:contextualSpacing/>
              <w:jc w:val="center"/>
              <w:rPr>
                <w:rFonts w:hint="eastAsia" w:ascii="宋体" w:hAnsi="宋体" w:cs="宋体"/>
                <w:kern w:val="0"/>
                <w:sz w:val="21"/>
                <w:szCs w:val="21"/>
                <w:highlight w:val="none"/>
              </w:rPr>
            </w:pPr>
          </w:p>
        </w:tc>
      </w:tr>
    </w:tbl>
    <w:p w14:paraId="5C173A7D">
      <w:pPr>
        <w:spacing w:line="360" w:lineRule="auto"/>
        <w:contextualSpacing/>
        <w:jc w:val="left"/>
        <w:rPr>
          <w:rFonts w:hint="eastAsia" w:ascii="宋体" w:hAnsi="宋体" w:eastAsia="宋体" w:cs="宋体"/>
          <w:b/>
          <w:sz w:val="21"/>
          <w:szCs w:val="21"/>
          <w:highlight w:val="none"/>
        </w:rPr>
      </w:pPr>
      <w:r>
        <w:rPr>
          <w:rFonts w:hint="eastAsia" w:ascii="宋体" w:hAnsi="宋体" w:eastAsia="宋体" w:cs="宋体"/>
          <w:b/>
          <w:sz w:val="21"/>
          <w:szCs w:val="21"/>
          <w:highlight w:val="none"/>
        </w:rPr>
        <w:t>注：</w:t>
      </w:r>
    </w:p>
    <w:p w14:paraId="2384E3D1">
      <w:pPr>
        <w:spacing w:line="360" w:lineRule="auto"/>
        <w:ind w:firstLine="420" w:firstLineChars="200"/>
        <w:contextualSpacing/>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6AE68D76">
      <w:pPr>
        <w:spacing w:line="360" w:lineRule="auto"/>
        <w:ind w:firstLine="420" w:firstLineChars="200"/>
        <w:contextualSpacing/>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2.本表所指的控股关系仅限于直接控股关系，不包括间接的控股关系。公司实际控制人与公司之间的关系不属于本表所指的直接控股关系。</w:t>
      </w:r>
    </w:p>
    <w:p w14:paraId="6DC383C8">
      <w:pPr>
        <w:spacing w:line="360" w:lineRule="auto"/>
        <w:ind w:firstLine="420" w:firstLineChars="200"/>
        <w:contextualSpacing/>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3.供应商不存在直接控股股东的，则填“无”。</w:t>
      </w:r>
    </w:p>
    <w:p w14:paraId="1B127CED">
      <w:pPr>
        <w:snapToGrid w:val="0"/>
        <w:spacing w:line="360" w:lineRule="auto"/>
        <w:jc w:val="left"/>
        <w:rPr>
          <w:rFonts w:hint="eastAsia" w:ascii="宋体" w:hAnsi="宋体" w:cs="宋体"/>
          <w:sz w:val="21"/>
          <w:szCs w:val="21"/>
          <w:highlight w:val="none"/>
        </w:rPr>
      </w:pPr>
    </w:p>
    <w:p w14:paraId="29460750">
      <w:pPr>
        <w:snapToGrid w:val="0"/>
        <w:spacing w:line="360" w:lineRule="auto"/>
        <w:jc w:val="left"/>
        <w:rPr>
          <w:rFonts w:hint="eastAsia" w:ascii="宋体" w:hAnsi="宋体" w:cs="宋体"/>
          <w:sz w:val="21"/>
          <w:szCs w:val="21"/>
          <w:highlight w:val="none"/>
        </w:rPr>
      </w:pPr>
    </w:p>
    <w:p w14:paraId="01E4B9FB">
      <w:pPr>
        <w:snapToGrid w:val="0"/>
        <w:spacing w:line="360" w:lineRule="auto"/>
        <w:jc w:val="left"/>
        <w:rPr>
          <w:rFonts w:hint="eastAsia" w:ascii="宋体" w:hAnsi="宋体" w:cs="宋体"/>
          <w:sz w:val="21"/>
          <w:szCs w:val="21"/>
          <w:highlight w:val="none"/>
        </w:rPr>
      </w:pPr>
    </w:p>
    <w:p w14:paraId="72EBE51D">
      <w:pPr>
        <w:snapToGrid w:val="0"/>
        <w:spacing w:before="156" w:beforeLines="50" w:line="360" w:lineRule="auto"/>
        <w:ind w:right="480" w:firstLine="3045" w:firstLineChars="1450"/>
        <w:rPr>
          <w:rFonts w:hint="eastAsia" w:ascii="宋体" w:hAnsi="宋体" w:cs="宋体"/>
          <w:sz w:val="21"/>
          <w:szCs w:val="21"/>
          <w:highlight w:val="none"/>
          <w:u w:val="single"/>
        </w:rPr>
      </w:pPr>
      <w:r>
        <w:rPr>
          <w:rFonts w:hint="eastAsia" w:ascii="宋体" w:hAnsi="宋体" w:cs="宋体"/>
          <w:sz w:val="21"/>
          <w:szCs w:val="21"/>
          <w:highlight w:val="none"/>
        </w:rPr>
        <w:t>法定代表人或者委托代理人（</w:t>
      </w:r>
      <w:r>
        <w:rPr>
          <w:rFonts w:hint="eastAsia" w:ascii="宋体" w:hAnsi="宋体" w:cs="宋体"/>
          <w:sz w:val="21"/>
          <w:szCs w:val="21"/>
          <w:highlight w:val="none"/>
          <w:lang w:eastAsia="zh-CN"/>
        </w:rPr>
        <w:t>签字或</w:t>
      </w:r>
      <w:r>
        <w:rPr>
          <w:rFonts w:hint="eastAsia" w:ascii="宋体" w:hAnsi="宋体" w:eastAsia="宋体" w:cs="宋体"/>
          <w:color w:val="auto"/>
          <w:sz w:val="21"/>
          <w:szCs w:val="21"/>
          <w:highlight w:val="none"/>
          <w:lang w:eastAsia="zh-CN"/>
        </w:rPr>
        <w:t>CA</w:t>
      </w:r>
      <w:r>
        <w:rPr>
          <w:rFonts w:hint="eastAsia" w:ascii="宋体" w:hAnsi="宋体" w:cs="宋体"/>
          <w:sz w:val="21"/>
          <w:szCs w:val="21"/>
          <w:highlight w:val="none"/>
          <w:lang w:eastAsia="zh-CN"/>
        </w:rPr>
        <w:t>签章</w:t>
      </w:r>
      <w:r>
        <w:rPr>
          <w:rFonts w:hint="eastAsia" w:ascii="宋体" w:hAnsi="宋体" w:cs="宋体"/>
          <w:sz w:val="21"/>
          <w:szCs w:val="21"/>
          <w:highlight w:val="none"/>
        </w:rPr>
        <w:t>）：</w:t>
      </w:r>
      <w:r>
        <w:rPr>
          <w:rFonts w:hint="eastAsia" w:ascii="宋体" w:hAnsi="宋体" w:cs="宋体"/>
          <w:sz w:val="21"/>
          <w:szCs w:val="21"/>
          <w:highlight w:val="none"/>
          <w:u w:val="single"/>
        </w:rPr>
        <w:t xml:space="preserve">                </w:t>
      </w:r>
    </w:p>
    <w:p w14:paraId="7BB3FF9C">
      <w:pPr>
        <w:snapToGrid w:val="0"/>
        <w:spacing w:before="156" w:beforeLines="50" w:after="50" w:line="360" w:lineRule="auto"/>
        <w:ind w:right="480" w:firstLine="3045" w:firstLineChars="1450"/>
        <w:rPr>
          <w:rFonts w:hint="eastAsia" w:ascii="宋体" w:hAnsi="宋体" w:cs="宋体"/>
          <w:sz w:val="21"/>
          <w:szCs w:val="21"/>
          <w:highlight w:val="none"/>
          <w:u w:val="single"/>
        </w:rPr>
      </w:pPr>
      <w:r>
        <w:rPr>
          <w:rFonts w:hint="eastAsia" w:ascii="宋体" w:hAnsi="宋体" w:cs="宋体"/>
          <w:sz w:val="21"/>
          <w:szCs w:val="21"/>
          <w:highlight w:val="none"/>
        </w:rPr>
        <w:t>供应商（公章</w:t>
      </w:r>
      <w:r>
        <w:rPr>
          <w:rFonts w:hint="eastAsia" w:ascii="宋体" w:hAnsi="宋体" w:eastAsia="宋体" w:cs="宋体"/>
          <w:color w:val="auto"/>
          <w:sz w:val="21"/>
          <w:szCs w:val="21"/>
          <w:highlight w:val="none"/>
          <w:lang w:eastAsia="zh-CN"/>
        </w:rPr>
        <w:t>（CA签章）</w:t>
      </w:r>
      <w:r>
        <w:rPr>
          <w:rFonts w:hint="eastAsia" w:ascii="宋体" w:hAnsi="宋体" w:cs="宋体"/>
          <w:sz w:val="21"/>
          <w:szCs w:val="21"/>
          <w:highlight w:val="none"/>
        </w:rPr>
        <w:t>）：</w:t>
      </w:r>
      <w:r>
        <w:rPr>
          <w:rFonts w:hint="eastAsia" w:ascii="宋体" w:hAnsi="宋体" w:cs="宋体"/>
          <w:sz w:val="21"/>
          <w:szCs w:val="21"/>
          <w:highlight w:val="none"/>
          <w:u w:val="single"/>
        </w:rPr>
        <w:t xml:space="preserve">                           </w:t>
      </w:r>
    </w:p>
    <w:p w14:paraId="5CEE08C2">
      <w:pPr>
        <w:snapToGrid w:val="0"/>
        <w:spacing w:before="156" w:beforeLines="50" w:after="50" w:line="360" w:lineRule="auto"/>
        <w:ind w:right="480" w:firstLine="3150" w:firstLineChars="1500"/>
        <w:rPr>
          <w:rFonts w:hint="eastAsia" w:ascii="宋体" w:hAnsi="宋体" w:cs="宋体"/>
          <w:sz w:val="21"/>
          <w:szCs w:val="21"/>
          <w:highlight w:val="none"/>
        </w:rPr>
      </w:pPr>
      <w:r>
        <w:rPr>
          <w:rFonts w:hint="eastAsia" w:ascii="宋体" w:hAnsi="宋体" w:cs="宋体"/>
          <w:sz w:val="21"/>
          <w:szCs w:val="21"/>
          <w:highlight w:val="none"/>
        </w:rPr>
        <w:t>日期：</w:t>
      </w:r>
      <w:r>
        <w:rPr>
          <w:rFonts w:hint="eastAsia" w:ascii="宋体" w:hAnsi="宋体" w:cs="宋体"/>
          <w:sz w:val="21"/>
          <w:szCs w:val="21"/>
          <w:highlight w:val="none"/>
          <w:u w:val="single"/>
        </w:rPr>
        <w:t xml:space="preserve">       </w:t>
      </w:r>
      <w:r>
        <w:rPr>
          <w:rFonts w:hint="eastAsia" w:ascii="宋体" w:hAnsi="宋体" w:cs="宋体"/>
          <w:sz w:val="21"/>
          <w:szCs w:val="21"/>
          <w:highlight w:val="none"/>
        </w:rPr>
        <w:t>年</w:t>
      </w:r>
      <w:r>
        <w:rPr>
          <w:rFonts w:hint="eastAsia" w:ascii="宋体" w:hAnsi="宋体" w:cs="宋体"/>
          <w:sz w:val="21"/>
          <w:szCs w:val="21"/>
          <w:highlight w:val="none"/>
          <w:u w:val="single"/>
        </w:rPr>
        <w:t xml:space="preserve">    </w:t>
      </w:r>
      <w:r>
        <w:rPr>
          <w:rFonts w:hint="eastAsia" w:ascii="宋体" w:hAnsi="宋体" w:cs="宋体"/>
          <w:sz w:val="21"/>
          <w:szCs w:val="21"/>
          <w:highlight w:val="none"/>
        </w:rPr>
        <w:t>月</w:t>
      </w:r>
      <w:r>
        <w:rPr>
          <w:rFonts w:hint="eastAsia" w:ascii="宋体" w:hAnsi="宋体" w:cs="宋体"/>
          <w:sz w:val="21"/>
          <w:szCs w:val="21"/>
          <w:highlight w:val="none"/>
          <w:u w:val="single"/>
        </w:rPr>
        <w:t xml:space="preserve">    </w:t>
      </w:r>
      <w:r>
        <w:rPr>
          <w:rFonts w:hint="eastAsia" w:ascii="宋体" w:hAnsi="宋体" w:cs="宋体"/>
          <w:sz w:val="21"/>
          <w:szCs w:val="21"/>
          <w:highlight w:val="none"/>
        </w:rPr>
        <w:t>日</w:t>
      </w:r>
    </w:p>
    <w:p w14:paraId="6ED07502">
      <w:pPr>
        <w:snapToGrid w:val="0"/>
        <w:jc w:val="center"/>
        <w:rPr>
          <w:rFonts w:ascii="宋体" w:hAnsi="宋体" w:cs="宋体"/>
          <w:b/>
          <w:sz w:val="28"/>
          <w:szCs w:val="28"/>
          <w:highlight w:val="none"/>
        </w:rPr>
      </w:pPr>
      <w:r>
        <w:rPr>
          <w:rFonts w:hint="eastAsia" w:ascii="宋体" w:hAnsi="宋体" w:cs="宋体"/>
          <w:b/>
          <w:sz w:val="21"/>
          <w:szCs w:val="21"/>
          <w:highlight w:val="none"/>
        </w:rPr>
        <w:br w:type="page"/>
      </w:r>
    </w:p>
    <w:p w14:paraId="22DE1457">
      <w:pPr>
        <w:jc w:val="center"/>
        <w:rPr>
          <w:rFonts w:ascii="宋体" w:hAnsi="宋体" w:cs="宋体"/>
          <w:b/>
          <w:sz w:val="28"/>
          <w:szCs w:val="28"/>
          <w:highlight w:val="none"/>
        </w:rPr>
      </w:pPr>
      <w:r>
        <w:rPr>
          <w:rFonts w:hint="eastAsia" w:ascii="宋体" w:hAnsi="宋体" w:cs="宋体"/>
          <w:b/>
          <w:sz w:val="28"/>
          <w:szCs w:val="28"/>
          <w:highlight w:val="none"/>
        </w:rPr>
        <w:t>（二）供应商直接管理关系信息表</w:t>
      </w:r>
    </w:p>
    <w:p w14:paraId="72D60D50">
      <w:pPr>
        <w:snapToGrid w:val="0"/>
        <w:spacing w:line="360" w:lineRule="auto"/>
        <w:jc w:val="center"/>
        <w:rPr>
          <w:rFonts w:ascii="宋体" w:hAnsi="宋体" w:cs="宋体"/>
          <w:b/>
          <w:sz w:val="24"/>
          <w:highlight w:val="none"/>
        </w:rPr>
      </w:pPr>
    </w:p>
    <w:tbl>
      <w:tblPr>
        <w:tblStyle w:val="32"/>
        <w:tblW w:w="0" w:type="auto"/>
        <w:jc w:val="center"/>
        <w:shd w:val="clear" w:color="auto" w:fill="FBFBFB"/>
        <w:tblLayout w:type="fixed"/>
        <w:tblCellMar>
          <w:top w:w="0" w:type="dxa"/>
          <w:left w:w="0" w:type="dxa"/>
          <w:bottom w:w="0" w:type="dxa"/>
          <w:right w:w="0" w:type="dxa"/>
        </w:tblCellMar>
      </w:tblPr>
      <w:tblGrid>
        <w:gridCol w:w="808"/>
        <w:gridCol w:w="3600"/>
        <w:gridCol w:w="3555"/>
        <w:gridCol w:w="1689"/>
      </w:tblGrid>
      <w:tr w14:paraId="6CB37D36">
        <w:tblPrEx>
          <w:shd w:val="clear" w:color="auto" w:fill="FBFBFB"/>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40E49CC">
            <w:pPr>
              <w:widowControl/>
              <w:spacing w:line="360" w:lineRule="auto"/>
              <w:contextualSpacing/>
              <w:jc w:val="center"/>
              <w:rPr>
                <w:rFonts w:hint="eastAsia" w:ascii="宋体" w:hAnsi="宋体" w:cs="宋体"/>
                <w:b/>
                <w:bCs/>
                <w:kern w:val="0"/>
                <w:sz w:val="21"/>
                <w:szCs w:val="21"/>
                <w:highlight w:val="none"/>
              </w:rPr>
            </w:pPr>
            <w:r>
              <w:rPr>
                <w:rFonts w:hint="eastAsia" w:ascii="宋体" w:hAnsi="宋体" w:cs="宋体"/>
                <w:b/>
                <w:bCs/>
                <w:kern w:val="0"/>
                <w:sz w:val="21"/>
                <w:szCs w:val="21"/>
                <w:highlight w:val="none"/>
              </w:rPr>
              <w:t>序号</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45A1D69">
            <w:pPr>
              <w:widowControl/>
              <w:spacing w:line="360" w:lineRule="auto"/>
              <w:contextualSpacing/>
              <w:jc w:val="center"/>
              <w:rPr>
                <w:rFonts w:hint="eastAsia" w:ascii="宋体" w:hAnsi="宋体" w:cs="宋体"/>
                <w:b/>
                <w:bCs/>
                <w:kern w:val="0"/>
                <w:sz w:val="21"/>
                <w:szCs w:val="21"/>
                <w:highlight w:val="none"/>
              </w:rPr>
            </w:pPr>
            <w:r>
              <w:rPr>
                <w:rFonts w:hint="eastAsia" w:ascii="宋体" w:hAnsi="宋体" w:cs="宋体"/>
                <w:b/>
                <w:bCs/>
                <w:kern w:val="0"/>
                <w:sz w:val="21"/>
                <w:szCs w:val="21"/>
                <w:highlight w:val="none"/>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628B6CD9">
            <w:pPr>
              <w:widowControl/>
              <w:spacing w:line="360" w:lineRule="auto"/>
              <w:contextualSpacing/>
              <w:jc w:val="center"/>
              <w:rPr>
                <w:rFonts w:hint="eastAsia" w:ascii="宋体" w:hAnsi="宋体" w:cs="宋体"/>
                <w:b/>
                <w:bCs/>
                <w:kern w:val="0"/>
                <w:sz w:val="21"/>
                <w:szCs w:val="21"/>
                <w:highlight w:val="none"/>
              </w:rPr>
            </w:pPr>
            <w:r>
              <w:rPr>
                <w:rFonts w:hint="eastAsia" w:ascii="宋体" w:hAnsi="宋体" w:cs="宋体"/>
                <w:b/>
                <w:bCs/>
                <w:kern w:val="0"/>
                <w:sz w:val="21"/>
                <w:szCs w:val="21"/>
                <w:highlight w:val="none"/>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6AEB0F5F">
            <w:pPr>
              <w:widowControl/>
              <w:spacing w:line="360" w:lineRule="auto"/>
              <w:contextualSpacing/>
              <w:jc w:val="center"/>
              <w:rPr>
                <w:rFonts w:hint="eastAsia" w:ascii="宋体" w:hAnsi="宋体" w:cs="宋体"/>
                <w:b/>
                <w:bCs/>
                <w:kern w:val="0"/>
                <w:sz w:val="21"/>
                <w:szCs w:val="21"/>
                <w:highlight w:val="none"/>
              </w:rPr>
            </w:pPr>
            <w:r>
              <w:rPr>
                <w:rFonts w:hint="eastAsia" w:ascii="宋体" w:hAnsi="宋体" w:cs="宋体"/>
                <w:b/>
                <w:bCs/>
                <w:kern w:val="0"/>
                <w:sz w:val="21"/>
                <w:szCs w:val="21"/>
                <w:highlight w:val="none"/>
              </w:rPr>
              <w:t>备注</w:t>
            </w:r>
          </w:p>
        </w:tc>
      </w:tr>
      <w:tr w14:paraId="4A78A7DD">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618198C">
            <w:pPr>
              <w:widowControl/>
              <w:spacing w:line="360" w:lineRule="auto"/>
              <w:contextualSpacing/>
              <w:jc w:val="center"/>
              <w:rPr>
                <w:rFonts w:hint="eastAsia" w:ascii="宋体" w:hAnsi="宋体" w:cs="宋体"/>
                <w:kern w:val="0"/>
                <w:sz w:val="21"/>
                <w:szCs w:val="21"/>
                <w:highlight w:val="none"/>
              </w:rPr>
            </w:pPr>
            <w:r>
              <w:rPr>
                <w:rFonts w:hint="eastAsia" w:ascii="宋体" w:hAnsi="宋体" w:cs="宋体"/>
                <w:kern w:val="0"/>
                <w:sz w:val="21"/>
                <w:szCs w:val="21"/>
                <w:highlight w:val="none"/>
              </w:rPr>
              <w:t>1</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B5F7334">
            <w:pPr>
              <w:widowControl/>
              <w:spacing w:line="360" w:lineRule="auto"/>
              <w:contextualSpacing/>
              <w:jc w:val="center"/>
              <w:rPr>
                <w:rFonts w:hint="eastAsia" w:ascii="宋体" w:hAnsi="宋体" w:cs="宋体"/>
                <w:kern w:val="0"/>
                <w:sz w:val="21"/>
                <w:szCs w:val="21"/>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6EFC77C9">
            <w:pPr>
              <w:widowControl/>
              <w:spacing w:line="360" w:lineRule="auto"/>
              <w:contextualSpacing/>
              <w:jc w:val="center"/>
              <w:rPr>
                <w:rFonts w:hint="eastAsia" w:ascii="宋体" w:hAnsi="宋体" w:cs="宋体"/>
                <w:kern w:val="0"/>
                <w:sz w:val="21"/>
                <w:szCs w:val="21"/>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69EB950B">
            <w:pPr>
              <w:widowControl/>
              <w:spacing w:line="360" w:lineRule="auto"/>
              <w:contextualSpacing/>
              <w:jc w:val="center"/>
              <w:rPr>
                <w:rFonts w:hint="eastAsia" w:ascii="宋体" w:hAnsi="宋体" w:cs="宋体"/>
                <w:kern w:val="0"/>
                <w:sz w:val="21"/>
                <w:szCs w:val="21"/>
                <w:highlight w:val="none"/>
              </w:rPr>
            </w:pPr>
          </w:p>
        </w:tc>
      </w:tr>
      <w:tr w14:paraId="4D1E2E16">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50C4D48">
            <w:pPr>
              <w:widowControl/>
              <w:spacing w:line="360" w:lineRule="auto"/>
              <w:contextualSpacing/>
              <w:jc w:val="center"/>
              <w:rPr>
                <w:rFonts w:hint="eastAsia" w:ascii="宋体" w:hAnsi="宋体" w:cs="宋体"/>
                <w:kern w:val="0"/>
                <w:sz w:val="21"/>
                <w:szCs w:val="21"/>
                <w:highlight w:val="none"/>
              </w:rPr>
            </w:pPr>
            <w:r>
              <w:rPr>
                <w:rFonts w:hint="eastAsia" w:ascii="宋体" w:hAnsi="宋体" w:cs="宋体"/>
                <w:kern w:val="0"/>
                <w:sz w:val="21"/>
                <w:szCs w:val="21"/>
                <w:highlight w:val="none"/>
              </w:rPr>
              <w:t>2</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8D2CB9D">
            <w:pPr>
              <w:widowControl/>
              <w:spacing w:line="360" w:lineRule="auto"/>
              <w:contextualSpacing/>
              <w:jc w:val="center"/>
              <w:rPr>
                <w:rFonts w:hint="eastAsia" w:ascii="宋体" w:hAnsi="宋体" w:cs="宋体"/>
                <w:kern w:val="0"/>
                <w:sz w:val="21"/>
                <w:szCs w:val="21"/>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6FC4FDF5">
            <w:pPr>
              <w:widowControl/>
              <w:spacing w:line="360" w:lineRule="auto"/>
              <w:contextualSpacing/>
              <w:jc w:val="center"/>
              <w:rPr>
                <w:rFonts w:hint="eastAsia" w:ascii="宋体" w:hAnsi="宋体" w:cs="宋体"/>
                <w:kern w:val="0"/>
                <w:sz w:val="21"/>
                <w:szCs w:val="21"/>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F372742">
            <w:pPr>
              <w:widowControl/>
              <w:spacing w:line="360" w:lineRule="auto"/>
              <w:contextualSpacing/>
              <w:jc w:val="center"/>
              <w:rPr>
                <w:rFonts w:hint="eastAsia" w:ascii="宋体" w:hAnsi="宋体" w:cs="宋体"/>
                <w:kern w:val="0"/>
                <w:sz w:val="21"/>
                <w:szCs w:val="21"/>
                <w:highlight w:val="none"/>
              </w:rPr>
            </w:pPr>
          </w:p>
        </w:tc>
      </w:tr>
      <w:tr w14:paraId="53024638">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4D75590">
            <w:pPr>
              <w:widowControl/>
              <w:spacing w:line="360" w:lineRule="auto"/>
              <w:contextualSpacing/>
              <w:jc w:val="center"/>
              <w:rPr>
                <w:rFonts w:hint="eastAsia" w:ascii="宋体" w:hAnsi="宋体" w:cs="宋体"/>
                <w:kern w:val="0"/>
                <w:sz w:val="21"/>
                <w:szCs w:val="21"/>
                <w:highlight w:val="none"/>
              </w:rPr>
            </w:pPr>
            <w:r>
              <w:rPr>
                <w:rFonts w:hint="eastAsia" w:ascii="宋体" w:hAnsi="宋体" w:cs="宋体"/>
                <w:kern w:val="0"/>
                <w:sz w:val="21"/>
                <w:szCs w:val="21"/>
                <w:highlight w:val="none"/>
              </w:rPr>
              <w:t>3</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2803267">
            <w:pPr>
              <w:widowControl/>
              <w:spacing w:line="360" w:lineRule="auto"/>
              <w:contextualSpacing/>
              <w:jc w:val="center"/>
              <w:rPr>
                <w:rFonts w:hint="eastAsia" w:ascii="宋体" w:hAnsi="宋体" w:cs="宋体"/>
                <w:kern w:val="0"/>
                <w:sz w:val="21"/>
                <w:szCs w:val="21"/>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52BF0AB">
            <w:pPr>
              <w:widowControl/>
              <w:spacing w:line="360" w:lineRule="auto"/>
              <w:contextualSpacing/>
              <w:jc w:val="center"/>
              <w:rPr>
                <w:rFonts w:hint="eastAsia" w:ascii="宋体" w:hAnsi="宋体" w:cs="宋体"/>
                <w:kern w:val="0"/>
                <w:sz w:val="21"/>
                <w:szCs w:val="21"/>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A35DEC2">
            <w:pPr>
              <w:widowControl/>
              <w:spacing w:line="360" w:lineRule="auto"/>
              <w:contextualSpacing/>
              <w:jc w:val="center"/>
              <w:rPr>
                <w:rFonts w:hint="eastAsia" w:ascii="宋体" w:hAnsi="宋体" w:cs="宋体"/>
                <w:kern w:val="0"/>
                <w:sz w:val="21"/>
                <w:szCs w:val="21"/>
                <w:highlight w:val="none"/>
              </w:rPr>
            </w:pPr>
          </w:p>
        </w:tc>
      </w:tr>
      <w:tr w14:paraId="15BD3992">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6E06B383">
            <w:pPr>
              <w:widowControl/>
              <w:spacing w:line="360" w:lineRule="auto"/>
              <w:contextualSpacing/>
              <w:jc w:val="center"/>
              <w:rPr>
                <w:rFonts w:hint="eastAsia" w:ascii="宋体" w:hAnsi="宋体" w:cs="宋体"/>
                <w:kern w:val="0"/>
                <w:sz w:val="21"/>
                <w:szCs w:val="21"/>
                <w:highlight w:val="none"/>
              </w:rPr>
            </w:pPr>
            <w:r>
              <w:rPr>
                <w:rFonts w:hint="eastAsia" w:ascii="宋体" w:hAnsi="宋体" w:cs="宋体"/>
                <w:kern w:val="0"/>
                <w:sz w:val="21"/>
                <w:szCs w:val="21"/>
                <w:highlight w:val="none"/>
              </w:rPr>
              <w:t>……</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3F20854">
            <w:pPr>
              <w:widowControl/>
              <w:spacing w:line="360" w:lineRule="auto"/>
              <w:contextualSpacing/>
              <w:jc w:val="center"/>
              <w:rPr>
                <w:rFonts w:hint="eastAsia" w:ascii="宋体" w:hAnsi="宋体" w:cs="宋体"/>
                <w:kern w:val="0"/>
                <w:sz w:val="21"/>
                <w:szCs w:val="21"/>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799A592">
            <w:pPr>
              <w:widowControl/>
              <w:spacing w:line="360" w:lineRule="auto"/>
              <w:contextualSpacing/>
              <w:jc w:val="center"/>
              <w:rPr>
                <w:rFonts w:hint="eastAsia" w:ascii="宋体" w:hAnsi="宋体" w:cs="宋体"/>
                <w:kern w:val="0"/>
                <w:sz w:val="21"/>
                <w:szCs w:val="21"/>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71A0B38">
            <w:pPr>
              <w:widowControl/>
              <w:spacing w:line="360" w:lineRule="auto"/>
              <w:contextualSpacing/>
              <w:jc w:val="center"/>
              <w:rPr>
                <w:rFonts w:hint="eastAsia" w:ascii="宋体" w:hAnsi="宋体" w:cs="宋体"/>
                <w:kern w:val="0"/>
                <w:sz w:val="21"/>
                <w:szCs w:val="21"/>
                <w:highlight w:val="none"/>
              </w:rPr>
            </w:pPr>
          </w:p>
        </w:tc>
      </w:tr>
    </w:tbl>
    <w:p w14:paraId="418D8696">
      <w:pPr>
        <w:spacing w:line="360" w:lineRule="auto"/>
        <w:contextualSpacing/>
        <w:jc w:val="left"/>
        <w:rPr>
          <w:rFonts w:hint="eastAsia" w:ascii="宋体" w:hAnsi="宋体" w:eastAsia="宋体" w:cs="宋体"/>
          <w:b/>
          <w:sz w:val="21"/>
          <w:szCs w:val="21"/>
          <w:highlight w:val="none"/>
        </w:rPr>
      </w:pPr>
      <w:r>
        <w:rPr>
          <w:rFonts w:hint="eastAsia" w:ascii="宋体" w:hAnsi="宋体" w:eastAsia="宋体" w:cs="宋体"/>
          <w:b/>
          <w:sz w:val="21"/>
          <w:szCs w:val="21"/>
          <w:highlight w:val="none"/>
        </w:rPr>
        <w:t>注：</w:t>
      </w:r>
    </w:p>
    <w:p w14:paraId="4C65D3D1">
      <w:pPr>
        <w:spacing w:line="360" w:lineRule="auto"/>
        <w:ind w:firstLine="420" w:firstLineChars="200"/>
        <w:contextualSpacing/>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1.管理关系：是指不具有出资持股关系的其他单位之间存在的管理与被管理关系，如一些上下级关系的事业单位和团体组织。</w:t>
      </w:r>
    </w:p>
    <w:p w14:paraId="37A5D057">
      <w:pPr>
        <w:spacing w:line="360" w:lineRule="auto"/>
        <w:ind w:firstLine="420" w:firstLineChars="200"/>
        <w:contextualSpacing/>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pacing w:val="-6"/>
          <w:sz w:val="21"/>
          <w:szCs w:val="21"/>
          <w:highlight w:val="none"/>
        </w:rPr>
        <w:t>本表所指的管理关系仅限于直接管理关系，不包括间接的管理关系。</w:t>
      </w:r>
    </w:p>
    <w:p w14:paraId="4203F252">
      <w:pPr>
        <w:spacing w:line="360" w:lineRule="auto"/>
        <w:ind w:firstLine="420" w:firstLineChars="200"/>
        <w:contextualSpacing/>
        <w:jc w:val="left"/>
        <w:rPr>
          <w:rFonts w:ascii="楷体" w:hAnsi="楷体" w:eastAsia="楷体" w:cs="宋体"/>
          <w:sz w:val="24"/>
          <w:highlight w:val="none"/>
        </w:rPr>
      </w:pPr>
      <w:r>
        <w:rPr>
          <w:rFonts w:hint="eastAsia" w:ascii="宋体" w:hAnsi="宋体" w:eastAsia="宋体" w:cs="宋体"/>
          <w:sz w:val="21"/>
          <w:szCs w:val="21"/>
          <w:highlight w:val="none"/>
        </w:rPr>
        <w:t>3.供应商不存在直接管理关系的，则填“无”。</w:t>
      </w:r>
    </w:p>
    <w:p w14:paraId="4D1210BD">
      <w:pPr>
        <w:spacing w:line="360" w:lineRule="auto"/>
        <w:contextualSpacing/>
        <w:jc w:val="left"/>
        <w:rPr>
          <w:rFonts w:ascii="宋体" w:hAnsi="宋体" w:cs="宋体"/>
          <w:sz w:val="24"/>
          <w:highlight w:val="none"/>
        </w:rPr>
      </w:pPr>
    </w:p>
    <w:p w14:paraId="535DC25B">
      <w:pPr>
        <w:spacing w:line="360" w:lineRule="auto"/>
        <w:contextualSpacing/>
        <w:jc w:val="left"/>
        <w:rPr>
          <w:rFonts w:ascii="宋体" w:hAnsi="宋体" w:cs="宋体"/>
          <w:sz w:val="24"/>
          <w:highlight w:val="none"/>
        </w:rPr>
      </w:pPr>
    </w:p>
    <w:p w14:paraId="3ACC0AE5">
      <w:pPr>
        <w:spacing w:line="360" w:lineRule="auto"/>
        <w:contextualSpacing/>
        <w:jc w:val="left"/>
        <w:rPr>
          <w:rFonts w:ascii="宋体" w:hAnsi="宋体" w:cs="宋体"/>
          <w:sz w:val="24"/>
          <w:highlight w:val="none"/>
        </w:rPr>
      </w:pPr>
    </w:p>
    <w:p w14:paraId="1B306019">
      <w:pPr>
        <w:spacing w:line="360" w:lineRule="auto"/>
        <w:contextualSpacing/>
        <w:jc w:val="left"/>
        <w:rPr>
          <w:rFonts w:ascii="宋体" w:hAnsi="宋体" w:cs="宋体"/>
          <w:sz w:val="21"/>
          <w:szCs w:val="21"/>
          <w:highlight w:val="none"/>
        </w:rPr>
      </w:pPr>
    </w:p>
    <w:p w14:paraId="74274C4B">
      <w:pPr>
        <w:spacing w:line="360" w:lineRule="auto"/>
        <w:contextualSpacing/>
        <w:jc w:val="left"/>
        <w:rPr>
          <w:rFonts w:ascii="宋体" w:hAnsi="宋体" w:cs="宋体"/>
          <w:sz w:val="21"/>
          <w:szCs w:val="21"/>
          <w:highlight w:val="none"/>
        </w:rPr>
      </w:pPr>
    </w:p>
    <w:p w14:paraId="2579F1A8">
      <w:pPr>
        <w:spacing w:line="360" w:lineRule="auto"/>
        <w:contextualSpacing/>
        <w:jc w:val="left"/>
        <w:rPr>
          <w:rFonts w:ascii="宋体" w:hAnsi="宋体" w:cs="宋体"/>
          <w:sz w:val="21"/>
          <w:szCs w:val="21"/>
          <w:highlight w:val="none"/>
        </w:rPr>
      </w:pPr>
    </w:p>
    <w:p w14:paraId="7804FBC5">
      <w:pPr>
        <w:spacing w:line="360" w:lineRule="auto"/>
        <w:ind w:right="480" w:firstLine="2940" w:firstLineChars="1400"/>
        <w:contextualSpacing/>
        <w:rPr>
          <w:rFonts w:ascii="宋体" w:hAnsi="宋体" w:cs="宋体"/>
          <w:sz w:val="21"/>
          <w:szCs w:val="21"/>
          <w:highlight w:val="none"/>
          <w:u w:val="single"/>
        </w:rPr>
      </w:pPr>
      <w:r>
        <w:rPr>
          <w:rFonts w:hint="eastAsia" w:ascii="宋体" w:hAnsi="宋体" w:cs="宋体"/>
          <w:sz w:val="21"/>
          <w:szCs w:val="21"/>
          <w:highlight w:val="none"/>
        </w:rPr>
        <w:t>法定代表人或者委托代理人（</w:t>
      </w:r>
      <w:r>
        <w:rPr>
          <w:rFonts w:hint="eastAsia" w:ascii="宋体" w:hAnsi="宋体" w:cs="宋体"/>
          <w:sz w:val="21"/>
          <w:szCs w:val="21"/>
          <w:highlight w:val="none"/>
          <w:lang w:eastAsia="zh-CN"/>
        </w:rPr>
        <w:t>签字或</w:t>
      </w:r>
      <w:r>
        <w:rPr>
          <w:rFonts w:hint="eastAsia" w:ascii="宋体" w:hAnsi="宋体" w:eastAsia="宋体" w:cs="宋体"/>
          <w:color w:val="auto"/>
          <w:sz w:val="21"/>
          <w:szCs w:val="21"/>
          <w:highlight w:val="none"/>
          <w:lang w:eastAsia="zh-CN"/>
        </w:rPr>
        <w:t>CA</w:t>
      </w:r>
      <w:r>
        <w:rPr>
          <w:rFonts w:hint="eastAsia" w:ascii="宋体" w:hAnsi="宋体" w:cs="宋体"/>
          <w:sz w:val="21"/>
          <w:szCs w:val="21"/>
          <w:highlight w:val="none"/>
          <w:lang w:eastAsia="zh-CN"/>
        </w:rPr>
        <w:t>签章</w:t>
      </w:r>
      <w:r>
        <w:rPr>
          <w:rFonts w:hint="eastAsia" w:ascii="宋体" w:hAnsi="宋体" w:cs="宋体"/>
          <w:sz w:val="21"/>
          <w:szCs w:val="21"/>
          <w:highlight w:val="none"/>
        </w:rPr>
        <w:t>）：</w:t>
      </w:r>
      <w:r>
        <w:rPr>
          <w:rFonts w:hint="eastAsia" w:ascii="宋体" w:hAnsi="宋体" w:cs="宋体"/>
          <w:sz w:val="21"/>
          <w:szCs w:val="21"/>
          <w:highlight w:val="none"/>
          <w:u w:val="single"/>
        </w:rPr>
        <w:t xml:space="preserve">               </w:t>
      </w:r>
    </w:p>
    <w:p w14:paraId="7A850C68">
      <w:pPr>
        <w:spacing w:line="360" w:lineRule="auto"/>
        <w:ind w:right="480" w:firstLine="2940" w:firstLineChars="1400"/>
        <w:contextualSpacing/>
        <w:rPr>
          <w:rFonts w:ascii="宋体" w:hAnsi="宋体" w:cs="宋体"/>
          <w:sz w:val="21"/>
          <w:szCs w:val="21"/>
          <w:highlight w:val="none"/>
        </w:rPr>
      </w:pPr>
      <w:r>
        <w:rPr>
          <w:rFonts w:hint="eastAsia" w:ascii="宋体" w:hAnsi="宋体" w:cs="宋体"/>
          <w:sz w:val="21"/>
          <w:szCs w:val="21"/>
          <w:highlight w:val="none"/>
        </w:rPr>
        <w:t>供应商（公章</w:t>
      </w:r>
      <w:r>
        <w:rPr>
          <w:rFonts w:hint="eastAsia" w:ascii="宋体" w:hAnsi="宋体" w:eastAsia="宋体" w:cs="宋体"/>
          <w:color w:val="auto"/>
          <w:sz w:val="21"/>
          <w:szCs w:val="21"/>
          <w:highlight w:val="none"/>
          <w:lang w:eastAsia="zh-CN"/>
        </w:rPr>
        <w:t>（CA签章）</w:t>
      </w:r>
      <w:r>
        <w:rPr>
          <w:rFonts w:hint="eastAsia" w:ascii="宋体" w:hAnsi="宋体" w:cs="宋体"/>
          <w:sz w:val="21"/>
          <w:szCs w:val="21"/>
          <w:highlight w:val="none"/>
        </w:rPr>
        <w:t>）：</w:t>
      </w:r>
      <w:r>
        <w:rPr>
          <w:rFonts w:hint="eastAsia" w:ascii="宋体" w:hAnsi="宋体" w:cs="宋体"/>
          <w:sz w:val="21"/>
          <w:szCs w:val="21"/>
          <w:highlight w:val="none"/>
          <w:u w:val="single"/>
        </w:rPr>
        <w:t xml:space="preserve">                </w:t>
      </w:r>
    </w:p>
    <w:p w14:paraId="0C4F5D9E">
      <w:pPr>
        <w:spacing w:line="360" w:lineRule="auto"/>
        <w:ind w:right="480" w:firstLine="210" w:firstLineChars="100"/>
        <w:contextualSpacing/>
        <w:jc w:val="center"/>
        <w:rPr>
          <w:rFonts w:ascii="宋体" w:hAnsi="宋体" w:cs="宋体"/>
          <w:sz w:val="21"/>
          <w:szCs w:val="21"/>
          <w:highlight w:val="none"/>
        </w:rPr>
      </w:pPr>
      <w:r>
        <w:rPr>
          <w:rFonts w:hint="eastAsia" w:ascii="宋体" w:hAnsi="宋体" w:cs="宋体"/>
          <w:sz w:val="21"/>
          <w:szCs w:val="21"/>
          <w:highlight w:val="none"/>
        </w:rPr>
        <w:t xml:space="preserve"> </w:t>
      </w:r>
      <w:r>
        <w:rPr>
          <w:rFonts w:ascii="宋体" w:hAnsi="宋体" w:cs="宋体"/>
          <w:sz w:val="21"/>
          <w:szCs w:val="21"/>
          <w:highlight w:val="none"/>
        </w:rPr>
        <w:t xml:space="preserve">         </w:t>
      </w:r>
      <w:r>
        <w:rPr>
          <w:rFonts w:hint="eastAsia" w:hAnsi="宋体" w:cs="宋体"/>
          <w:sz w:val="21"/>
          <w:szCs w:val="21"/>
          <w:highlight w:val="none"/>
        </w:rPr>
        <w:t>日期：</w:t>
      </w:r>
      <w:r>
        <w:rPr>
          <w:rFonts w:ascii="宋体" w:hAnsi="宋体" w:cs="宋体"/>
          <w:sz w:val="21"/>
          <w:szCs w:val="21"/>
          <w:highlight w:val="none"/>
          <w:u w:val="single"/>
        </w:rPr>
        <w:t xml:space="preserve">       </w:t>
      </w:r>
      <w:r>
        <w:rPr>
          <w:rFonts w:hint="eastAsia" w:ascii="宋体" w:hAnsi="宋体" w:cs="宋体"/>
          <w:sz w:val="21"/>
          <w:szCs w:val="21"/>
          <w:highlight w:val="none"/>
        </w:rPr>
        <w:t>年</w:t>
      </w:r>
      <w:r>
        <w:rPr>
          <w:rFonts w:hint="eastAsia" w:ascii="宋体" w:hAnsi="宋体" w:cs="宋体"/>
          <w:sz w:val="21"/>
          <w:szCs w:val="21"/>
          <w:highlight w:val="none"/>
          <w:u w:val="single"/>
        </w:rPr>
        <w:t xml:space="preserve">    </w:t>
      </w:r>
      <w:r>
        <w:rPr>
          <w:rFonts w:hint="eastAsia" w:ascii="宋体" w:hAnsi="宋体" w:cs="宋体"/>
          <w:sz w:val="21"/>
          <w:szCs w:val="21"/>
          <w:highlight w:val="none"/>
        </w:rPr>
        <w:t>月</w:t>
      </w:r>
      <w:r>
        <w:rPr>
          <w:rFonts w:hint="eastAsia" w:ascii="宋体" w:hAnsi="宋体" w:cs="宋体"/>
          <w:sz w:val="21"/>
          <w:szCs w:val="21"/>
          <w:highlight w:val="none"/>
          <w:u w:val="single"/>
        </w:rPr>
        <w:t xml:space="preserve">    </w:t>
      </w:r>
      <w:r>
        <w:rPr>
          <w:rFonts w:hint="eastAsia" w:ascii="宋体" w:hAnsi="宋体" w:cs="宋体"/>
          <w:sz w:val="21"/>
          <w:szCs w:val="21"/>
          <w:highlight w:val="none"/>
        </w:rPr>
        <w:t>日</w:t>
      </w:r>
    </w:p>
    <w:p w14:paraId="7D113C5A">
      <w:pPr>
        <w:rPr>
          <w:rFonts w:hint="eastAsia"/>
          <w:highlight w:val="none"/>
        </w:rPr>
      </w:pPr>
      <w:r>
        <w:rPr>
          <w:rFonts w:hint="eastAsia"/>
          <w:highlight w:val="none"/>
        </w:rPr>
        <w:br w:type="page"/>
      </w:r>
    </w:p>
    <w:p w14:paraId="38AB56E5">
      <w:pPr>
        <w:pStyle w:val="6"/>
        <w:rPr>
          <w:rFonts w:hint="eastAsia"/>
          <w:highlight w:val="none"/>
        </w:rPr>
      </w:pPr>
    </w:p>
    <w:p w14:paraId="4E35136E">
      <w:pPr>
        <w:pStyle w:val="3"/>
        <w:numPr>
          <w:ilvl w:val="0"/>
          <w:numId w:val="0"/>
        </w:numPr>
        <w:bidi w:val="0"/>
        <w:ind w:leftChars="0"/>
        <w:rPr>
          <w:rFonts w:hint="eastAsia"/>
          <w:highlight w:val="none"/>
        </w:rPr>
      </w:pPr>
      <w:r>
        <w:rPr>
          <w:rFonts w:hint="eastAsia"/>
          <w:highlight w:val="none"/>
          <w:lang w:val="en-US" w:eastAsia="zh-CN"/>
        </w:rPr>
        <w:t>6.</w:t>
      </w:r>
      <w:r>
        <w:rPr>
          <w:rFonts w:hint="eastAsia"/>
          <w:highlight w:val="none"/>
        </w:rPr>
        <w:t>参与竞争性磋商声明（格式后附）；</w:t>
      </w:r>
    </w:p>
    <w:p w14:paraId="1A9CDA62">
      <w:pPr>
        <w:jc w:val="center"/>
        <w:rPr>
          <w:rFonts w:ascii="宋体" w:hAnsi="宋体" w:cs="宋体"/>
          <w:b/>
          <w:sz w:val="28"/>
          <w:szCs w:val="28"/>
          <w:highlight w:val="none"/>
        </w:rPr>
      </w:pPr>
      <w:r>
        <w:rPr>
          <w:rFonts w:hint="eastAsia" w:ascii="宋体" w:hAnsi="宋体" w:cs="宋体"/>
          <w:b/>
          <w:sz w:val="28"/>
          <w:szCs w:val="28"/>
          <w:highlight w:val="none"/>
        </w:rPr>
        <w:t>参与竞争性磋商声明</w:t>
      </w:r>
    </w:p>
    <w:p w14:paraId="0EBF178C">
      <w:pPr>
        <w:spacing w:line="320" w:lineRule="exact"/>
        <w:jc w:val="center"/>
        <w:rPr>
          <w:rFonts w:ascii="宋体" w:hAnsi="宋体" w:cs="宋体"/>
          <w:sz w:val="24"/>
          <w:szCs w:val="20"/>
          <w:highlight w:val="none"/>
        </w:rPr>
      </w:pPr>
    </w:p>
    <w:p w14:paraId="67391BAB">
      <w:pPr>
        <w:spacing w:line="360" w:lineRule="auto"/>
        <w:contextualSpacing/>
        <w:rPr>
          <w:rFonts w:ascii="宋体" w:hAnsi="宋体" w:cs="宋体"/>
          <w:sz w:val="21"/>
          <w:szCs w:val="21"/>
          <w:highlight w:val="none"/>
        </w:rPr>
      </w:pPr>
      <w:r>
        <w:rPr>
          <w:rFonts w:hint="eastAsia" w:ascii="宋体" w:hAnsi="宋体" w:cs="宋体"/>
          <w:sz w:val="21"/>
          <w:szCs w:val="21"/>
          <w:highlight w:val="none"/>
        </w:rPr>
        <w:t>致</w:t>
      </w:r>
      <w:r>
        <w:rPr>
          <w:rFonts w:hint="eastAsia" w:ascii="宋体" w:hAnsi="宋体" w:cs="宋体"/>
          <w:sz w:val="21"/>
          <w:szCs w:val="21"/>
          <w:highlight w:val="none"/>
          <w:u w:val="single"/>
        </w:rPr>
        <w:t>（采购人名称）</w:t>
      </w:r>
      <w:r>
        <w:rPr>
          <w:rFonts w:hint="eastAsia" w:ascii="宋体" w:hAnsi="宋体" w:cs="宋体"/>
          <w:sz w:val="21"/>
          <w:szCs w:val="21"/>
          <w:highlight w:val="none"/>
        </w:rPr>
        <w:t>：</w:t>
      </w:r>
    </w:p>
    <w:p w14:paraId="0E40A44A">
      <w:pPr>
        <w:spacing w:line="360" w:lineRule="auto"/>
        <w:ind w:firstLine="420" w:firstLineChars="200"/>
        <w:contextualSpacing/>
        <w:rPr>
          <w:rFonts w:ascii="宋体" w:hAnsi="宋体" w:cs="宋体"/>
          <w:sz w:val="21"/>
          <w:szCs w:val="21"/>
          <w:highlight w:val="none"/>
        </w:rPr>
      </w:pPr>
      <w:r>
        <w:rPr>
          <w:rFonts w:hint="eastAsia" w:ascii="宋体" w:hAnsi="宋体" w:cs="宋体"/>
          <w:sz w:val="21"/>
          <w:szCs w:val="21"/>
          <w:highlight w:val="none"/>
          <w:u w:val="single"/>
        </w:rPr>
        <w:t>（供应商名称）</w:t>
      </w:r>
      <w:r>
        <w:rPr>
          <w:rFonts w:hint="eastAsia" w:ascii="宋体" w:hAnsi="宋体" w:cs="宋体"/>
          <w:sz w:val="21"/>
          <w:szCs w:val="21"/>
          <w:highlight w:val="none"/>
        </w:rPr>
        <w:t>系中华人民共和国合法供应商，经营地址</w:t>
      </w:r>
      <w:r>
        <w:rPr>
          <w:rFonts w:hint="eastAsia" w:ascii="宋体" w:hAnsi="宋体" w:cs="宋体"/>
          <w:sz w:val="21"/>
          <w:szCs w:val="21"/>
          <w:highlight w:val="none"/>
          <w:u w:val="single"/>
        </w:rPr>
        <w:t xml:space="preserve">                  </w:t>
      </w:r>
      <w:r>
        <w:rPr>
          <w:rFonts w:hint="eastAsia" w:ascii="宋体" w:hAnsi="宋体" w:cs="宋体"/>
          <w:sz w:val="21"/>
          <w:szCs w:val="21"/>
          <w:highlight w:val="none"/>
        </w:rPr>
        <w:t>。</w:t>
      </w:r>
    </w:p>
    <w:p w14:paraId="71D4AE60">
      <w:pPr>
        <w:spacing w:line="360" w:lineRule="auto"/>
        <w:ind w:firstLine="420" w:firstLineChars="200"/>
        <w:contextualSpacing/>
        <w:rPr>
          <w:rFonts w:ascii="宋体" w:hAnsi="宋体" w:cs="宋体"/>
          <w:sz w:val="21"/>
          <w:szCs w:val="21"/>
          <w:highlight w:val="none"/>
        </w:rPr>
      </w:pPr>
      <w:r>
        <w:rPr>
          <w:rFonts w:hint="eastAsia" w:ascii="宋体" w:hAnsi="宋体" w:cs="宋体"/>
          <w:sz w:val="21"/>
          <w:szCs w:val="21"/>
          <w:highlight w:val="none"/>
        </w:rPr>
        <w:t>我方愿意参加贵方组织的</w:t>
      </w:r>
      <w:r>
        <w:rPr>
          <w:rFonts w:hint="eastAsia" w:ascii="宋体" w:hAnsi="宋体" w:cs="宋体"/>
          <w:sz w:val="21"/>
          <w:szCs w:val="21"/>
          <w:highlight w:val="none"/>
          <w:u w:val="single"/>
        </w:rPr>
        <w:t>（项目名称）</w:t>
      </w:r>
      <w:r>
        <w:rPr>
          <w:rFonts w:hint="eastAsia" w:ascii="宋体" w:hAnsi="宋体" w:cs="宋体"/>
          <w:sz w:val="21"/>
          <w:szCs w:val="21"/>
          <w:highlight w:val="none"/>
        </w:rPr>
        <w:t>项目的竞争性磋商，为便于贵方公正、择优地确定成交供应商及其参与竞争性磋商提供的产品和服务，我方就本次参与竞争性磋商有关事项郑重声明如下：</w:t>
      </w:r>
    </w:p>
    <w:p w14:paraId="589253CB">
      <w:pPr>
        <w:spacing w:line="360" w:lineRule="auto"/>
        <w:ind w:firstLine="420" w:firstLineChars="200"/>
        <w:contextualSpacing/>
        <w:rPr>
          <w:rFonts w:ascii="宋体" w:hAnsi="宋体" w:cs="宋体"/>
          <w:sz w:val="21"/>
          <w:szCs w:val="21"/>
          <w:highlight w:val="none"/>
        </w:rPr>
      </w:pPr>
      <w:r>
        <w:rPr>
          <w:rFonts w:hint="eastAsia" w:ascii="宋体" w:hAnsi="宋体" w:cs="宋体"/>
          <w:sz w:val="21"/>
          <w:szCs w:val="21"/>
          <w:highlight w:val="none"/>
        </w:rPr>
        <w:t>1.我方向贵方提交的所有响应文件、资料都是准确的和真实的。</w:t>
      </w:r>
    </w:p>
    <w:p w14:paraId="78D6A6EB">
      <w:pPr>
        <w:spacing w:line="360" w:lineRule="auto"/>
        <w:ind w:firstLine="420" w:firstLineChars="200"/>
        <w:contextualSpacing/>
        <w:rPr>
          <w:rFonts w:ascii="宋体" w:hAnsi="宋体" w:cs="宋体"/>
          <w:sz w:val="21"/>
          <w:szCs w:val="21"/>
          <w:highlight w:val="none"/>
        </w:rPr>
      </w:pPr>
      <w:r>
        <w:rPr>
          <w:rFonts w:hint="eastAsia" w:ascii="宋体" w:hAnsi="宋体" w:cs="宋体"/>
          <w:sz w:val="21"/>
          <w:szCs w:val="21"/>
          <w:highlight w:val="none"/>
        </w:rPr>
        <w:t>2.我方不是为本次采购项目提供整体设计、规范编制或者项目管理、监理、检测等服务的供应商。</w:t>
      </w:r>
    </w:p>
    <w:p w14:paraId="683D78AF">
      <w:pPr>
        <w:spacing w:line="360" w:lineRule="auto"/>
        <w:ind w:firstLine="420" w:firstLineChars="200"/>
        <w:contextualSpacing/>
        <w:rPr>
          <w:rFonts w:ascii="宋体" w:hAnsi="宋体" w:cs="宋体"/>
          <w:sz w:val="21"/>
          <w:szCs w:val="21"/>
          <w:highlight w:val="none"/>
        </w:rPr>
      </w:pPr>
      <w:r>
        <w:rPr>
          <w:rFonts w:hint="eastAsia" w:ascii="宋体" w:hAnsi="宋体" w:cs="宋体"/>
          <w:sz w:val="21"/>
          <w:szCs w:val="21"/>
          <w:highlight w:val="none"/>
        </w:rPr>
        <w:t>3.在此，我方宣布同意如下：</w:t>
      </w:r>
    </w:p>
    <w:p w14:paraId="373FD750">
      <w:pPr>
        <w:spacing w:line="360" w:lineRule="auto"/>
        <w:ind w:firstLine="420" w:firstLineChars="200"/>
        <w:contextualSpacing/>
        <w:rPr>
          <w:rFonts w:ascii="宋体" w:hAnsi="宋体" w:cs="宋体"/>
          <w:sz w:val="21"/>
          <w:szCs w:val="21"/>
          <w:highlight w:val="none"/>
        </w:rPr>
      </w:pPr>
      <w:r>
        <w:rPr>
          <w:rFonts w:hint="eastAsia" w:ascii="宋体" w:hAnsi="宋体" w:cs="宋体"/>
          <w:sz w:val="21"/>
          <w:szCs w:val="21"/>
          <w:highlight w:val="none"/>
        </w:rPr>
        <w:t>（1）将按磋商文件的约定履行合同责任和义务；</w:t>
      </w:r>
    </w:p>
    <w:p w14:paraId="493B012C">
      <w:pPr>
        <w:spacing w:line="360" w:lineRule="auto"/>
        <w:ind w:firstLine="420" w:firstLineChars="200"/>
        <w:contextualSpacing/>
        <w:rPr>
          <w:rFonts w:ascii="宋体" w:hAnsi="宋体" w:cs="宋体"/>
          <w:sz w:val="21"/>
          <w:szCs w:val="21"/>
          <w:highlight w:val="none"/>
        </w:rPr>
      </w:pPr>
      <w:r>
        <w:rPr>
          <w:rFonts w:hint="eastAsia" w:ascii="宋体" w:hAnsi="宋体" w:cs="宋体"/>
          <w:sz w:val="21"/>
          <w:szCs w:val="21"/>
          <w:highlight w:val="none"/>
        </w:rPr>
        <w:t>（2）已详细审查全部磋商文件，包括澄清或者更正公告（如有）；</w:t>
      </w:r>
    </w:p>
    <w:p w14:paraId="5B9FD0C1">
      <w:pPr>
        <w:spacing w:line="360" w:lineRule="auto"/>
        <w:ind w:firstLine="420" w:firstLineChars="200"/>
        <w:contextualSpacing/>
        <w:rPr>
          <w:rFonts w:ascii="宋体" w:hAnsi="宋体" w:cs="宋体"/>
          <w:sz w:val="21"/>
          <w:szCs w:val="21"/>
          <w:highlight w:val="none"/>
        </w:rPr>
      </w:pPr>
      <w:r>
        <w:rPr>
          <w:rFonts w:hint="eastAsia" w:ascii="宋体" w:hAnsi="宋体" w:cs="宋体"/>
          <w:sz w:val="21"/>
          <w:szCs w:val="21"/>
          <w:highlight w:val="none"/>
        </w:rPr>
        <w:t>（3）同意提供按照贵方可能要求的与磋商有关的一切数据或者资料；</w:t>
      </w:r>
    </w:p>
    <w:p w14:paraId="70F4276A">
      <w:pPr>
        <w:spacing w:line="360" w:lineRule="auto"/>
        <w:ind w:firstLine="420" w:firstLineChars="200"/>
        <w:contextualSpacing/>
        <w:rPr>
          <w:rFonts w:ascii="宋体" w:hAnsi="宋体" w:cs="宋体"/>
          <w:sz w:val="21"/>
          <w:szCs w:val="21"/>
          <w:highlight w:val="none"/>
        </w:rPr>
      </w:pPr>
      <w:r>
        <w:rPr>
          <w:rFonts w:hint="eastAsia" w:ascii="宋体" w:hAnsi="宋体" w:cs="宋体"/>
          <w:sz w:val="21"/>
          <w:szCs w:val="21"/>
          <w:highlight w:val="none"/>
        </w:rPr>
        <w:t>（4）响应磋商文件规定的竞争性磋商有效期。</w:t>
      </w:r>
    </w:p>
    <w:p w14:paraId="3C07A988">
      <w:pPr>
        <w:spacing w:line="360" w:lineRule="auto"/>
        <w:ind w:firstLine="420" w:firstLineChars="200"/>
        <w:contextualSpacing/>
        <w:rPr>
          <w:rFonts w:ascii="宋体" w:hAnsi="宋体" w:cs="宋体"/>
          <w:sz w:val="21"/>
          <w:szCs w:val="21"/>
          <w:highlight w:val="none"/>
        </w:rPr>
      </w:pPr>
      <w:r>
        <w:rPr>
          <w:rFonts w:hint="eastAsia" w:ascii="宋体" w:hAnsi="宋体" w:cs="宋体"/>
          <w:sz w:val="21"/>
          <w:szCs w:val="21"/>
          <w:highlight w:val="none"/>
        </w:rPr>
        <w:t>4.我方承诺符合《中华人民共和国政府采购法》第二十二条规定：</w:t>
      </w:r>
    </w:p>
    <w:p w14:paraId="28359067">
      <w:pPr>
        <w:spacing w:line="360" w:lineRule="auto"/>
        <w:ind w:firstLine="420" w:firstLineChars="200"/>
        <w:contextualSpacing/>
        <w:rPr>
          <w:rFonts w:ascii="宋体" w:hAnsi="宋体" w:cs="宋体"/>
          <w:sz w:val="21"/>
          <w:szCs w:val="21"/>
          <w:highlight w:val="none"/>
        </w:rPr>
      </w:pPr>
      <w:r>
        <w:rPr>
          <w:rFonts w:hint="eastAsia" w:ascii="宋体" w:hAnsi="宋体" w:cs="宋体"/>
          <w:sz w:val="21"/>
          <w:szCs w:val="21"/>
          <w:highlight w:val="none"/>
        </w:rPr>
        <w:t>（1）具有独立承担民事责任的能力；</w:t>
      </w:r>
    </w:p>
    <w:p w14:paraId="451A3968">
      <w:pPr>
        <w:spacing w:line="360" w:lineRule="auto"/>
        <w:ind w:firstLine="420" w:firstLineChars="200"/>
        <w:contextualSpacing/>
        <w:rPr>
          <w:rFonts w:ascii="宋体" w:hAnsi="宋体" w:cs="宋体"/>
          <w:sz w:val="21"/>
          <w:szCs w:val="21"/>
          <w:highlight w:val="none"/>
        </w:rPr>
      </w:pPr>
      <w:r>
        <w:rPr>
          <w:rFonts w:hint="eastAsia" w:ascii="宋体" w:hAnsi="宋体" w:cs="宋体"/>
          <w:sz w:val="21"/>
          <w:szCs w:val="21"/>
          <w:highlight w:val="none"/>
        </w:rPr>
        <w:t>（2）具有良好的商业信誉和健全的财务会计制度；</w:t>
      </w:r>
    </w:p>
    <w:p w14:paraId="0C654718">
      <w:pPr>
        <w:spacing w:line="360" w:lineRule="auto"/>
        <w:ind w:firstLine="420" w:firstLineChars="200"/>
        <w:contextualSpacing/>
        <w:rPr>
          <w:rFonts w:ascii="宋体" w:hAnsi="宋体" w:cs="宋体"/>
          <w:sz w:val="21"/>
          <w:szCs w:val="21"/>
          <w:highlight w:val="none"/>
        </w:rPr>
      </w:pPr>
      <w:r>
        <w:rPr>
          <w:rFonts w:hint="eastAsia" w:ascii="宋体" w:hAnsi="宋体" w:cs="宋体"/>
          <w:sz w:val="21"/>
          <w:szCs w:val="21"/>
          <w:highlight w:val="none"/>
        </w:rPr>
        <w:t>（3）具有履行合同所必需的设备和专业技术能力；</w:t>
      </w:r>
    </w:p>
    <w:p w14:paraId="58C22982">
      <w:pPr>
        <w:spacing w:line="360" w:lineRule="auto"/>
        <w:ind w:firstLine="420" w:firstLineChars="200"/>
        <w:contextualSpacing/>
        <w:rPr>
          <w:rFonts w:ascii="宋体" w:hAnsi="宋体" w:cs="宋体"/>
          <w:sz w:val="21"/>
          <w:szCs w:val="21"/>
          <w:highlight w:val="none"/>
        </w:rPr>
      </w:pPr>
      <w:r>
        <w:rPr>
          <w:rFonts w:hint="eastAsia" w:ascii="宋体" w:hAnsi="宋体" w:cs="宋体"/>
          <w:sz w:val="21"/>
          <w:szCs w:val="21"/>
          <w:highlight w:val="none"/>
        </w:rPr>
        <w:t>（4）有依法缴纳税收和社会保障资金的良好记录；</w:t>
      </w:r>
    </w:p>
    <w:p w14:paraId="63A6F278">
      <w:pPr>
        <w:spacing w:line="360" w:lineRule="auto"/>
        <w:ind w:firstLine="420" w:firstLineChars="200"/>
        <w:contextualSpacing/>
        <w:rPr>
          <w:rFonts w:ascii="宋体" w:hAnsi="宋体" w:cs="宋体"/>
          <w:sz w:val="21"/>
          <w:szCs w:val="21"/>
          <w:highlight w:val="none"/>
        </w:rPr>
      </w:pPr>
      <w:r>
        <w:rPr>
          <w:rFonts w:hint="eastAsia" w:ascii="宋体" w:hAnsi="宋体" w:cs="宋体"/>
          <w:sz w:val="21"/>
          <w:szCs w:val="21"/>
          <w:highlight w:val="none"/>
        </w:rPr>
        <w:t>（5）参加政府采购活动前三年内，在经营活动中没有重大违法记录；</w:t>
      </w:r>
    </w:p>
    <w:p w14:paraId="698365B5">
      <w:pPr>
        <w:spacing w:line="360" w:lineRule="auto"/>
        <w:ind w:firstLine="420" w:firstLineChars="200"/>
        <w:contextualSpacing/>
        <w:rPr>
          <w:rFonts w:ascii="宋体" w:hAnsi="宋体" w:cs="宋体"/>
          <w:sz w:val="21"/>
          <w:szCs w:val="21"/>
          <w:highlight w:val="none"/>
        </w:rPr>
      </w:pPr>
      <w:r>
        <w:rPr>
          <w:rFonts w:hint="eastAsia" w:ascii="宋体" w:hAnsi="宋体" w:cs="宋体"/>
          <w:sz w:val="21"/>
          <w:szCs w:val="21"/>
          <w:highlight w:val="none"/>
        </w:rPr>
        <w:t>（6）法律、行政法规规定的其他条件。</w:t>
      </w:r>
    </w:p>
    <w:p w14:paraId="5C4B8A8E">
      <w:pPr>
        <w:spacing w:line="360" w:lineRule="auto"/>
        <w:ind w:firstLine="420" w:firstLineChars="200"/>
        <w:contextualSpacing/>
        <w:rPr>
          <w:rFonts w:ascii="宋体" w:hAnsi="宋体" w:cs="宋体"/>
          <w:sz w:val="21"/>
          <w:szCs w:val="21"/>
          <w:highlight w:val="none"/>
        </w:rPr>
      </w:pPr>
      <w:r>
        <w:rPr>
          <w:rFonts w:hint="eastAsia" w:ascii="宋体" w:hAnsi="宋体" w:cs="宋体"/>
          <w:sz w:val="21"/>
          <w:szCs w:val="21"/>
          <w:highlight w:val="none"/>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18F04293">
      <w:pPr>
        <w:spacing w:line="360" w:lineRule="auto"/>
        <w:ind w:firstLine="420" w:firstLineChars="200"/>
        <w:contextualSpacing/>
        <w:rPr>
          <w:rFonts w:ascii="宋体" w:hAnsi="宋体" w:cs="宋体"/>
          <w:sz w:val="21"/>
          <w:szCs w:val="21"/>
          <w:highlight w:val="none"/>
        </w:rPr>
      </w:pPr>
      <w:r>
        <w:rPr>
          <w:rFonts w:hint="eastAsia" w:ascii="宋体" w:hAnsi="宋体" w:cs="宋体"/>
          <w:sz w:val="21"/>
          <w:szCs w:val="21"/>
          <w:highlight w:val="none"/>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6E999BD9">
      <w:pPr>
        <w:spacing w:line="360" w:lineRule="auto"/>
        <w:ind w:firstLine="420" w:firstLineChars="200"/>
        <w:contextualSpacing/>
        <w:rPr>
          <w:rFonts w:ascii="宋体" w:hAnsi="宋体" w:cs="宋体"/>
          <w:sz w:val="21"/>
          <w:szCs w:val="21"/>
          <w:highlight w:val="none"/>
        </w:rPr>
      </w:pPr>
      <w:r>
        <w:rPr>
          <w:rFonts w:hint="eastAsia" w:ascii="宋体" w:hAnsi="宋体" w:cs="宋体"/>
          <w:sz w:val="21"/>
          <w:szCs w:val="21"/>
          <w:highlight w:val="none"/>
        </w:rPr>
        <w:t>□我方本次响应文件</w:t>
      </w:r>
      <w:r>
        <w:rPr>
          <w:rFonts w:hint="eastAsia" w:ascii="宋体" w:hAnsi="宋体" w:cs="宋体"/>
          <w:kern w:val="0"/>
          <w:sz w:val="21"/>
          <w:szCs w:val="21"/>
          <w:highlight w:val="none"/>
        </w:rPr>
        <w:t>内容中</w:t>
      </w:r>
      <w:r>
        <w:rPr>
          <w:rFonts w:hint="eastAsia" w:ascii="宋体" w:hAnsi="宋体" w:cs="宋体"/>
          <w:sz w:val="21"/>
          <w:szCs w:val="21"/>
          <w:highlight w:val="none"/>
        </w:rPr>
        <w:t>未</w:t>
      </w:r>
      <w:r>
        <w:rPr>
          <w:rFonts w:hint="eastAsia" w:ascii="宋体" w:hAnsi="宋体" w:cs="宋体"/>
          <w:kern w:val="0"/>
          <w:sz w:val="21"/>
          <w:szCs w:val="21"/>
          <w:highlight w:val="none"/>
        </w:rPr>
        <w:t>涉及商业秘密；</w:t>
      </w:r>
    </w:p>
    <w:p w14:paraId="6F3D1346">
      <w:pPr>
        <w:spacing w:line="360" w:lineRule="auto"/>
        <w:ind w:firstLine="420" w:firstLineChars="200"/>
        <w:contextualSpacing/>
        <w:rPr>
          <w:rFonts w:ascii="宋体" w:hAnsi="宋体" w:cs="宋体"/>
          <w:sz w:val="21"/>
          <w:szCs w:val="21"/>
          <w:highlight w:val="none"/>
        </w:rPr>
      </w:pPr>
      <w:r>
        <w:rPr>
          <w:rFonts w:hint="eastAsia" w:ascii="宋体" w:hAnsi="宋体" w:cs="宋体"/>
          <w:sz w:val="21"/>
          <w:szCs w:val="21"/>
          <w:highlight w:val="none"/>
        </w:rPr>
        <w:t>□我方本次响应文件</w:t>
      </w:r>
      <w:r>
        <w:rPr>
          <w:rFonts w:hint="eastAsia" w:ascii="宋体" w:hAnsi="宋体" w:cs="宋体"/>
          <w:kern w:val="0"/>
          <w:sz w:val="21"/>
          <w:szCs w:val="21"/>
          <w:highlight w:val="none"/>
        </w:rPr>
        <w:t>涉及商业秘密的内容有：</w:t>
      </w:r>
      <w:r>
        <w:rPr>
          <w:rFonts w:hint="eastAsia" w:ascii="宋体" w:hAnsi="宋体" w:cs="宋体"/>
          <w:kern w:val="0"/>
          <w:sz w:val="21"/>
          <w:szCs w:val="21"/>
          <w:highlight w:val="none"/>
          <w:u w:val="single"/>
        </w:rPr>
        <w:t xml:space="preserve">                         </w:t>
      </w:r>
      <w:r>
        <w:rPr>
          <w:rFonts w:hint="eastAsia" w:ascii="宋体" w:hAnsi="宋体" w:cs="宋体"/>
          <w:kern w:val="0"/>
          <w:sz w:val="21"/>
          <w:szCs w:val="21"/>
          <w:highlight w:val="none"/>
        </w:rPr>
        <w:t>；</w:t>
      </w:r>
    </w:p>
    <w:p w14:paraId="30A99032">
      <w:pPr>
        <w:pStyle w:val="17"/>
        <w:spacing w:line="360" w:lineRule="auto"/>
        <w:ind w:firstLine="420" w:firstLineChars="200"/>
        <w:contextualSpacing/>
        <w:rPr>
          <w:rFonts w:hAnsi="宋体" w:cs="宋体"/>
          <w:sz w:val="21"/>
          <w:szCs w:val="21"/>
          <w:highlight w:val="none"/>
          <w:u w:val="single"/>
        </w:rPr>
      </w:pPr>
      <w:r>
        <w:rPr>
          <w:rFonts w:hint="eastAsia" w:hAnsi="宋体" w:cs="宋体"/>
          <w:sz w:val="21"/>
          <w:szCs w:val="21"/>
          <w:highlight w:val="none"/>
        </w:rPr>
        <w:t>7.与本磋商有关的一切正式往来信函请寄：</w:t>
      </w:r>
      <w:r>
        <w:rPr>
          <w:rFonts w:hint="eastAsia" w:hAnsi="宋体" w:cs="宋体"/>
          <w:sz w:val="21"/>
          <w:szCs w:val="21"/>
          <w:highlight w:val="none"/>
          <w:u w:val="single"/>
        </w:rPr>
        <w:t xml:space="preserve">                  </w:t>
      </w:r>
      <w:r>
        <w:rPr>
          <w:rFonts w:hint="eastAsia" w:hAnsi="宋体" w:cs="宋体"/>
          <w:sz w:val="21"/>
          <w:szCs w:val="21"/>
          <w:highlight w:val="none"/>
        </w:rPr>
        <w:t>邮政编码：</w:t>
      </w:r>
      <w:r>
        <w:rPr>
          <w:rFonts w:hint="eastAsia" w:hAnsi="宋体" w:cs="宋体"/>
          <w:sz w:val="21"/>
          <w:szCs w:val="21"/>
          <w:highlight w:val="none"/>
          <w:u w:val="single"/>
        </w:rPr>
        <w:t xml:space="preserve">        </w:t>
      </w:r>
    </w:p>
    <w:p w14:paraId="712E4BDC">
      <w:pPr>
        <w:pStyle w:val="17"/>
        <w:spacing w:line="360" w:lineRule="auto"/>
        <w:ind w:firstLine="420" w:firstLineChars="200"/>
        <w:contextualSpacing/>
        <w:rPr>
          <w:rFonts w:hAnsi="宋体" w:cs="宋体"/>
          <w:sz w:val="21"/>
          <w:szCs w:val="21"/>
          <w:highlight w:val="none"/>
        </w:rPr>
      </w:pPr>
      <w:r>
        <w:rPr>
          <w:rFonts w:hint="eastAsia" w:hAnsi="宋体" w:cs="宋体"/>
          <w:sz w:val="21"/>
          <w:szCs w:val="21"/>
          <w:highlight w:val="none"/>
        </w:rPr>
        <w:t>电话/传真：</w:t>
      </w:r>
      <w:r>
        <w:rPr>
          <w:rFonts w:hint="eastAsia" w:hAnsi="宋体" w:cs="宋体"/>
          <w:sz w:val="21"/>
          <w:szCs w:val="21"/>
          <w:highlight w:val="none"/>
          <w:u w:val="single"/>
        </w:rPr>
        <w:t xml:space="preserve">                        </w:t>
      </w:r>
      <w:r>
        <w:rPr>
          <w:rFonts w:hint="eastAsia" w:hAnsi="宋体" w:cs="宋体"/>
          <w:sz w:val="21"/>
          <w:szCs w:val="21"/>
          <w:highlight w:val="none"/>
        </w:rPr>
        <w:t xml:space="preserve"> 电子函件：</w:t>
      </w:r>
      <w:r>
        <w:rPr>
          <w:rFonts w:hint="eastAsia" w:hAnsi="宋体" w:cs="宋体"/>
          <w:sz w:val="21"/>
          <w:szCs w:val="21"/>
          <w:highlight w:val="none"/>
          <w:u w:val="single"/>
        </w:rPr>
        <w:t xml:space="preserve">                            </w:t>
      </w:r>
      <w:r>
        <w:rPr>
          <w:rFonts w:hint="eastAsia" w:hAnsi="宋体" w:cs="宋体"/>
          <w:sz w:val="21"/>
          <w:szCs w:val="21"/>
          <w:highlight w:val="none"/>
        </w:rPr>
        <w:t xml:space="preserve">    </w:t>
      </w:r>
    </w:p>
    <w:p w14:paraId="55F4F9EA">
      <w:pPr>
        <w:pStyle w:val="16"/>
        <w:tabs>
          <w:tab w:val="left" w:pos="939"/>
        </w:tabs>
        <w:spacing w:line="360" w:lineRule="auto"/>
        <w:ind w:left="0" w:leftChars="0" w:firstLine="315" w:firstLineChars="150"/>
        <w:rPr>
          <w:rFonts w:ascii="宋体" w:hAnsi="宋体" w:cs="宋体"/>
          <w:sz w:val="21"/>
          <w:szCs w:val="21"/>
          <w:highlight w:val="none"/>
        </w:rPr>
      </w:pPr>
      <w:r>
        <w:rPr>
          <w:rFonts w:hint="eastAsia" w:ascii="宋体" w:hAnsi="宋体" w:cs="宋体"/>
          <w:sz w:val="21"/>
          <w:szCs w:val="21"/>
          <w:highlight w:val="none"/>
        </w:rPr>
        <w:t>开户银行：</w:t>
      </w:r>
      <w:r>
        <w:rPr>
          <w:rFonts w:hint="eastAsia" w:ascii="宋体" w:hAnsi="宋体" w:cs="宋体"/>
          <w:sz w:val="21"/>
          <w:szCs w:val="21"/>
          <w:highlight w:val="none"/>
          <w:u w:val="single"/>
        </w:rPr>
        <w:t xml:space="preserve">                         </w:t>
      </w:r>
      <w:r>
        <w:rPr>
          <w:rFonts w:hint="eastAsia" w:ascii="宋体" w:hAnsi="宋体" w:cs="宋体"/>
          <w:sz w:val="21"/>
          <w:szCs w:val="21"/>
          <w:highlight w:val="none"/>
        </w:rPr>
        <w:t xml:space="preserve">  </w:t>
      </w:r>
      <w:r>
        <w:rPr>
          <w:rFonts w:hint="eastAsia" w:ascii="宋体" w:hAnsi="宋体" w:cs="宋体"/>
          <w:sz w:val="21"/>
          <w:szCs w:val="21"/>
          <w:highlight w:val="none"/>
          <w:lang w:eastAsia="zh-CN"/>
        </w:rPr>
        <w:t>账号</w:t>
      </w:r>
      <w:r>
        <w:rPr>
          <w:rFonts w:hint="eastAsia" w:ascii="宋体" w:hAnsi="宋体" w:cs="宋体"/>
          <w:sz w:val="21"/>
          <w:szCs w:val="21"/>
          <w:highlight w:val="none"/>
        </w:rPr>
        <w:t>：</w:t>
      </w:r>
      <w:r>
        <w:rPr>
          <w:rFonts w:hint="eastAsia" w:ascii="宋体" w:hAnsi="宋体" w:cs="宋体"/>
          <w:sz w:val="21"/>
          <w:szCs w:val="21"/>
          <w:highlight w:val="none"/>
          <w:u w:val="single"/>
        </w:rPr>
        <w:t xml:space="preserve">                               </w:t>
      </w:r>
    </w:p>
    <w:p w14:paraId="5D557AB5">
      <w:pPr>
        <w:pStyle w:val="16"/>
        <w:tabs>
          <w:tab w:val="left" w:pos="939"/>
        </w:tabs>
        <w:spacing w:line="360" w:lineRule="auto"/>
        <w:ind w:left="0" w:leftChars="0" w:firstLine="420" w:firstLineChars="200"/>
        <w:rPr>
          <w:rFonts w:ascii="宋体" w:hAnsi="宋体" w:cs="宋体"/>
          <w:sz w:val="21"/>
          <w:szCs w:val="21"/>
          <w:highlight w:val="none"/>
        </w:rPr>
      </w:pPr>
      <w:r>
        <w:rPr>
          <w:rFonts w:hint="eastAsia" w:ascii="宋体" w:hAnsi="宋体" w:cs="宋体"/>
          <w:sz w:val="21"/>
          <w:szCs w:val="21"/>
          <w:highlight w:val="none"/>
        </w:rPr>
        <w:t>8.以上事项如有虚假或者隐瞒，我方愿意承担一切后果，并不再寻求任何旨在减轻或者免除法律责任的辩解。</w:t>
      </w:r>
    </w:p>
    <w:p w14:paraId="7FD32EE2">
      <w:pPr>
        <w:pStyle w:val="16"/>
        <w:tabs>
          <w:tab w:val="left" w:pos="939"/>
        </w:tabs>
        <w:spacing w:line="360" w:lineRule="auto"/>
        <w:ind w:left="0" w:leftChars="0" w:firstLine="420" w:firstLineChars="200"/>
        <w:rPr>
          <w:rFonts w:ascii="宋体" w:hAnsi="宋体" w:cs="宋体"/>
          <w:sz w:val="21"/>
          <w:szCs w:val="21"/>
          <w:highlight w:val="none"/>
        </w:rPr>
      </w:pPr>
      <w:r>
        <w:rPr>
          <w:rFonts w:hint="eastAsia" w:ascii="宋体" w:hAnsi="宋体" w:cs="宋体"/>
          <w:sz w:val="21"/>
          <w:szCs w:val="21"/>
          <w:highlight w:val="none"/>
        </w:rPr>
        <w:t>9</w:t>
      </w:r>
      <w:r>
        <w:rPr>
          <w:rFonts w:ascii="宋体" w:hAnsi="宋体" w:cs="宋体"/>
          <w:sz w:val="21"/>
          <w:szCs w:val="21"/>
          <w:highlight w:val="none"/>
        </w:rPr>
        <w:t>.</w:t>
      </w:r>
      <w:r>
        <w:rPr>
          <w:rFonts w:hint="eastAsia" w:ascii="宋体" w:hAnsi="宋体" w:cs="宋体"/>
          <w:sz w:val="21"/>
          <w:szCs w:val="21"/>
          <w:highlight w:val="none"/>
        </w:rPr>
        <w:t>我方若参与竞争性磋商成功，除非发生不可抗力，承诺与采购人及时签订《合同书》。如果放弃，自愿按照本磋商文件之《供应商须知正文》条款第2</w:t>
      </w:r>
      <w:r>
        <w:rPr>
          <w:rFonts w:ascii="宋体" w:hAnsi="宋体" w:cs="宋体"/>
          <w:sz w:val="21"/>
          <w:szCs w:val="21"/>
          <w:highlight w:val="none"/>
        </w:rPr>
        <w:t>7.3</w:t>
      </w:r>
      <w:r>
        <w:rPr>
          <w:rFonts w:hint="eastAsia" w:ascii="宋体" w:hAnsi="宋体" w:cs="宋体"/>
          <w:sz w:val="21"/>
          <w:szCs w:val="21"/>
          <w:highlight w:val="none"/>
        </w:rPr>
        <w:t>条的要求承担法律责任和失信惩戒。</w:t>
      </w:r>
    </w:p>
    <w:p w14:paraId="3D6997F9">
      <w:pPr>
        <w:pStyle w:val="16"/>
        <w:tabs>
          <w:tab w:val="left" w:pos="939"/>
        </w:tabs>
        <w:spacing w:line="360" w:lineRule="auto"/>
        <w:ind w:left="0" w:leftChars="0" w:firstLine="315" w:firstLineChars="150"/>
        <w:rPr>
          <w:rFonts w:ascii="宋体" w:hAnsi="宋体" w:cs="宋体"/>
          <w:sz w:val="21"/>
          <w:szCs w:val="21"/>
          <w:highlight w:val="none"/>
        </w:rPr>
      </w:pPr>
      <w:r>
        <w:rPr>
          <w:rFonts w:hint="eastAsia" w:ascii="宋体" w:hAnsi="宋体" w:cs="宋体"/>
          <w:sz w:val="21"/>
          <w:szCs w:val="21"/>
          <w:highlight w:val="none"/>
        </w:rPr>
        <w:t>特此承诺。</w:t>
      </w:r>
    </w:p>
    <w:p w14:paraId="4C1CCFB4">
      <w:pPr>
        <w:pStyle w:val="16"/>
        <w:tabs>
          <w:tab w:val="left" w:pos="939"/>
        </w:tabs>
        <w:spacing w:line="360" w:lineRule="auto"/>
        <w:ind w:left="0" w:leftChars="0" w:firstLine="422" w:firstLineChars="200"/>
        <w:rPr>
          <w:rFonts w:ascii="楷体" w:hAnsi="楷体" w:eastAsia="楷体" w:cs="宋体"/>
          <w:b/>
          <w:sz w:val="21"/>
          <w:szCs w:val="21"/>
          <w:highlight w:val="none"/>
        </w:rPr>
      </w:pPr>
      <w:r>
        <w:rPr>
          <w:rFonts w:hint="eastAsia" w:ascii="楷体" w:hAnsi="楷体" w:eastAsia="楷体" w:cs="宋体"/>
          <w:b/>
          <w:sz w:val="21"/>
          <w:szCs w:val="21"/>
          <w:highlight w:val="none"/>
        </w:rPr>
        <w:t>注：如为联合体参与竞争性磋商，盖章处须加盖联合体各方公章并由联合体各方法定代表人签署，否则其响应文件按无效响应处理。</w:t>
      </w:r>
    </w:p>
    <w:p w14:paraId="68891036">
      <w:pPr>
        <w:pStyle w:val="16"/>
        <w:tabs>
          <w:tab w:val="left" w:pos="939"/>
        </w:tabs>
        <w:spacing w:line="360" w:lineRule="auto"/>
        <w:ind w:left="0" w:leftChars="0" w:firstLine="420" w:firstLineChars="200"/>
        <w:rPr>
          <w:rFonts w:ascii="宋体" w:hAnsi="宋体" w:cs="宋体"/>
          <w:sz w:val="21"/>
          <w:szCs w:val="21"/>
          <w:highlight w:val="none"/>
        </w:rPr>
      </w:pPr>
    </w:p>
    <w:p w14:paraId="6D346197">
      <w:pPr>
        <w:spacing w:line="360" w:lineRule="auto"/>
        <w:ind w:firstLine="3780" w:firstLineChars="1800"/>
        <w:contextualSpacing/>
        <w:rPr>
          <w:rFonts w:ascii="宋体" w:hAnsi="宋体" w:cs="宋体"/>
          <w:sz w:val="21"/>
          <w:szCs w:val="21"/>
          <w:highlight w:val="none"/>
          <w:u w:val="single"/>
        </w:rPr>
      </w:pPr>
      <w:r>
        <w:rPr>
          <w:rFonts w:hint="eastAsia" w:ascii="宋体" w:hAnsi="宋体" w:cs="宋体"/>
          <w:sz w:val="21"/>
          <w:szCs w:val="21"/>
          <w:highlight w:val="none"/>
        </w:rPr>
        <w:t>法定代表人（</w:t>
      </w:r>
      <w:r>
        <w:rPr>
          <w:rFonts w:hint="eastAsia" w:ascii="宋体" w:hAnsi="宋体" w:cs="宋体"/>
          <w:sz w:val="21"/>
          <w:szCs w:val="21"/>
          <w:highlight w:val="none"/>
          <w:lang w:eastAsia="zh-CN"/>
        </w:rPr>
        <w:t>签字或CA签章</w:t>
      </w:r>
      <w:r>
        <w:rPr>
          <w:rFonts w:hint="eastAsia" w:ascii="宋体" w:hAnsi="宋体" w:cs="宋体"/>
          <w:sz w:val="21"/>
          <w:szCs w:val="21"/>
          <w:highlight w:val="none"/>
        </w:rPr>
        <w:t>）：</w:t>
      </w:r>
      <w:r>
        <w:rPr>
          <w:rFonts w:hint="eastAsia" w:ascii="宋体" w:hAnsi="宋体" w:cs="宋体"/>
          <w:sz w:val="21"/>
          <w:szCs w:val="21"/>
          <w:highlight w:val="none"/>
          <w:u w:val="single"/>
        </w:rPr>
        <w:t xml:space="preserve">                </w:t>
      </w:r>
    </w:p>
    <w:p w14:paraId="3223A150">
      <w:pPr>
        <w:spacing w:line="360" w:lineRule="auto"/>
        <w:ind w:firstLine="210" w:firstLineChars="100"/>
        <w:contextualSpacing/>
        <w:jc w:val="center"/>
        <w:rPr>
          <w:rFonts w:ascii="宋体" w:hAnsi="宋体" w:cs="宋体"/>
          <w:sz w:val="21"/>
          <w:szCs w:val="21"/>
          <w:highlight w:val="none"/>
          <w:u w:val="single"/>
        </w:rPr>
      </w:pPr>
      <w:r>
        <w:rPr>
          <w:rFonts w:hint="eastAsia" w:ascii="宋体" w:hAnsi="宋体" w:cs="宋体"/>
          <w:sz w:val="21"/>
          <w:szCs w:val="21"/>
          <w:highlight w:val="none"/>
        </w:rPr>
        <w:t xml:space="preserve">      </w:t>
      </w:r>
      <w:r>
        <w:rPr>
          <w:rFonts w:ascii="宋体" w:hAnsi="宋体" w:cs="宋体"/>
          <w:sz w:val="21"/>
          <w:szCs w:val="21"/>
          <w:highlight w:val="none"/>
        </w:rPr>
        <w:t xml:space="preserve">   </w:t>
      </w:r>
      <w:r>
        <w:rPr>
          <w:rFonts w:hint="eastAsia" w:ascii="宋体" w:hAnsi="宋体" w:cs="宋体"/>
          <w:sz w:val="21"/>
          <w:szCs w:val="21"/>
          <w:highlight w:val="none"/>
        </w:rPr>
        <w:t>供应商（公章</w:t>
      </w:r>
      <w:r>
        <w:rPr>
          <w:rFonts w:hint="eastAsia" w:ascii="宋体" w:hAnsi="宋体" w:eastAsia="宋体" w:cs="宋体"/>
          <w:color w:val="auto"/>
          <w:sz w:val="21"/>
          <w:szCs w:val="21"/>
          <w:highlight w:val="none"/>
          <w:lang w:eastAsia="zh-CN"/>
        </w:rPr>
        <w:t>（CA签章）</w:t>
      </w:r>
      <w:r>
        <w:rPr>
          <w:rFonts w:hint="eastAsia" w:ascii="宋体" w:hAnsi="宋体" w:cs="宋体"/>
          <w:sz w:val="21"/>
          <w:szCs w:val="21"/>
          <w:highlight w:val="none"/>
        </w:rPr>
        <w:t>）：</w:t>
      </w:r>
      <w:r>
        <w:rPr>
          <w:rFonts w:hint="eastAsia" w:ascii="宋体" w:hAnsi="宋体" w:cs="宋体"/>
          <w:sz w:val="21"/>
          <w:szCs w:val="21"/>
          <w:highlight w:val="none"/>
          <w:u w:val="single"/>
        </w:rPr>
        <w:t xml:space="preserve">                           </w:t>
      </w:r>
    </w:p>
    <w:p w14:paraId="53E092AE">
      <w:pPr>
        <w:spacing w:line="360" w:lineRule="auto"/>
        <w:ind w:firstLine="210" w:firstLineChars="100"/>
        <w:contextualSpacing/>
        <w:jc w:val="center"/>
        <w:rPr>
          <w:rFonts w:hint="eastAsia" w:ascii="宋体" w:hAnsi="宋体" w:cs="宋体"/>
          <w:sz w:val="21"/>
          <w:szCs w:val="21"/>
          <w:highlight w:val="none"/>
        </w:rPr>
      </w:pPr>
      <w:r>
        <w:rPr>
          <w:rFonts w:hint="eastAsia" w:ascii="宋体" w:hAnsi="宋体" w:cs="宋体"/>
          <w:sz w:val="21"/>
          <w:szCs w:val="21"/>
          <w:highlight w:val="none"/>
        </w:rPr>
        <w:t xml:space="preserve">                </w:t>
      </w:r>
      <w:r>
        <w:rPr>
          <w:rFonts w:ascii="宋体" w:hAnsi="宋体" w:cs="宋体"/>
          <w:sz w:val="21"/>
          <w:szCs w:val="21"/>
          <w:highlight w:val="none"/>
        </w:rPr>
        <w:t xml:space="preserve">   </w:t>
      </w:r>
      <w:r>
        <w:rPr>
          <w:rFonts w:hint="eastAsia" w:ascii="宋体" w:hAnsi="宋体" w:cs="宋体"/>
          <w:sz w:val="21"/>
          <w:szCs w:val="21"/>
          <w:highlight w:val="none"/>
        </w:rPr>
        <w:t xml:space="preserve"> </w:t>
      </w:r>
      <w:r>
        <w:rPr>
          <w:rFonts w:ascii="宋体" w:hAnsi="宋体" w:cs="宋体"/>
          <w:sz w:val="21"/>
          <w:szCs w:val="21"/>
          <w:highlight w:val="none"/>
        </w:rPr>
        <w:t xml:space="preserve">   </w:t>
      </w:r>
      <w:r>
        <w:rPr>
          <w:rFonts w:hint="eastAsia" w:hAnsi="宋体" w:cs="宋体"/>
          <w:sz w:val="21"/>
          <w:szCs w:val="21"/>
          <w:highlight w:val="none"/>
        </w:rPr>
        <w:t>日期：</w:t>
      </w:r>
      <w:r>
        <w:rPr>
          <w:rFonts w:hint="eastAsia" w:ascii="宋体" w:hAnsi="宋体" w:cs="宋体"/>
          <w:sz w:val="21"/>
          <w:szCs w:val="21"/>
          <w:highlight w:val="none"/>
          <w:u w:val="single"/>
        </w:rPr>
        <w:t xml:space="preserve">         </w:t>
      </w:r>
      <w:r>
        <w:rPr>
          <w:rFonts w:hint="eastAsia" w:ascii="宋体" w:hAnsi="宋体" w:cs="宋体"/>
          <w:sz w:val="21"/>
          <w:szCs w:val="21"/>
          <w:highlight w:val="none"/>
        </w:rPr>
        <w:t>年</w:t>
      </w:r>
      <w:r>
        <w:rPr>
          <w:rFonts w:hint="eastAsia" w:ascii="宋体" w:hAnsi="宋体" w:cs="宋体"/>
          <w:sz w:val="21"/>
          <w:szCs w:val="21"/>
          <w:highlight w:val="none"/>
          <w:u w:val="single"/>
        </w:rPr>
        <w:t xml:space="preserve">    </w:t>
      </w:r>
      <w:r>
        <w:rPr>
          <w:rFonts w:hint="eastAsia" w:ascii="宋体" w:hAnsi="宋体" w:cs="宋体"/>
          <w:sz w:val="21"/>
          <w:szCs w:val="21"/>
          <w:highlight w:val="none"/>
        </w:rPr>
        <w:t>月</w:t>
      </w:r>
      <w:r>
        <w:rPr>
          <w:rFonts w:hint="eastAsia" w:ascii="宋体" w:hAnsi="宋体" w:cs="宋体"/>
          <w:sz w:val="21"/>
          <w:szCs w:val="21"/>
          <w:highlight w:val="none"/>
          <w:u w:val="single"/>
        </w:rPr>
        <w:t xml:space="preserve">    </w:t>
      </w:r>
      <w:r>
        <w:rPr>
          <w:rFonts w:hint="eastAsia" w:ascii="宋体" w:hAnsi="宋体" w:cs="宋体"/>
          <w:sz w:val="21"/>
          <w:szCs w:val="21"/>
          <w:highlight w:val="none"/>
        </w:rPr>
        <w:t>日</w:t>
      </w:r>
    </w:p>
    <w:p w14:paraId="1D6C3459">
      <w:pPr>
        <w:rPr>
          <w:rFonts w:hint="eastAsia" w:ascii="宋体" w:hAnsi="宋体" w:cs="宋体"/>
          <w:sz w:val="21"/>
          <w:szCs w:val="21"/>
          <w:highlight w:val="none"/>
        </w:rPr>
      </w:pPr>
      <w:r>
        <w:rPr>
          <w:rFonts w:hint="eastAsia" w:ascii="宋体" w:hAnsi="宋体" w:cs="宋体"/>
          <w:sz w:val="21"/>
          <w:szCs w:val="21"/>
          <w:highlight w:val="none"/>
        </w:rPr>
        <w:br w:type="page"/>
      </w:r>
    </w:p>
    <w:p w14:paraId="50185438">
      <w:pPr>
        <w:pStyle w:val="6"/>
        <w:rPr>
          <w:highlight w:val="none"/>
        </w:rPr>
      </w:pPr>
    </w:p>
    <w:p w14:paraId="629047C1">
      <w:pPr>
        <w:pStyle w:val="3"/>
        <w:bidi w:val="0"/>
        <w:rPr>
          <w:rFonts w:hint="eastAsia"/>
          <w:highlight w:val="none"/>
        </w:rPr>
      </w:pPr>
      <w:r>
        <w:rPr>
          <w:rFonts w:hint="eastAsia"/>
          <w:highlight w:val="none"/>
          <w:lang w:val="en-US" w:eastAsia="zh-CN"/>
        </w:rPr>
        <w:t>7</w:t>
      </w:r>
      <w:r>
        <w:rPr>
          <w:rFonts w:hint="eastAsia"/>
          <w:highlight w:val="none"/>
        </w:rPr>
        <w:t>.竞争性磋商公告对应的特定资格要求的资格证明材料；</w:t>
      </w:r>
    </w:p>
    <w:p w14:paraId="78247890">
      <w:pPr>
        <w:pStyle w:val="6"/>
        <w:rPr>
          <w:rFonts w:hint="eastAsia"/>
          <w:highlight w:val="none"/>
        </w:rPr>
      </w:pPr>
      <w:r>
        <w:rPr>
          <w:rFonts w:hint="eastAsia" w:ascii="宋体" w:hAnsi="宋体" w:cs="宋体"/>
          <w:sz w:val="24"/>
          <w:highlight w:val="none"/>
        </w:rPr>
        <w:br w:type="page"/>
      </w:r>
    </w:p>
    <w:p w14:paraId="7AFE31A9">
      <w:pPr>
        <w:pStyle w:val="3"/>
        <w:numPr>
          <w:ilvl w:val="0"/>
          <w:numId w:val="0"/>
        </w:numPr>
        <w:bidi w:val="0"/>
        <w:rPr>
          <w:rFonts w:hint="eastAsia"/>
          <w:highlight w:val="none"/>
        </w:rPr>
      </w:pPr>
      <w:r>
        <w:rPr>
          <w:rFonts w:hint="eastAsia"/>
          <w:highlight w:val="none"/>
          <w:lang w:val="en-US" w:eastAsia="zh-CN"/>
        </w:rPr>
        <w:t>8.</w:t>
      </w:r>
      <w:r>
        <w:rPr>
          <w:rFonts w:hint="eastAsia"/>
          <w:highlight w:val="none"/>
        </w:rPr>
        <w:t>联合体参与竞争性磋商协议书（格式后附）；</w:t>
      </w:r>
    </w:p>
    <w:p w14:paraId="465FC999">
      <w:pPr>
        <w:rPr>
          <w:rFonts w:hint="eastAsia"/>
          <w:highlight w:val="none"/>
        </w:rPr>
      </w:pPr>
    </w:p>
    <w:p w14:paraId="6592C6BD">
      <w:pPr>
        <w:pStyle w:val="6"/>
        <w:overflowPunct w:val="0"/>
        <w:spacing w:line="360" w:lineRule="auto"/>
        <w:ind w:firstLine="0"/>
        <w:jc w:val="center"/>
        <w:rPr>
          <w:rFonts w:ascii="宋体" w:hAnsi="宋体" w:cs="宋体"/>
          <w:sz w:val="32"/>
          <w:szCs w:val="32"/>
          <w:highlight w:val="none"/>
        </w:rPr>
      </w:pPr>
      <w:r>
        <w:rPr>
          <w:rFonts w:hint="eastAsia" w:ascii="宋体" w:hAnsi="宋体" w:cs="宋体"/>
          <w:sz w:val="32"/>
          <w:szCs w:val="32"/>
          <w:highlight w:val="none"/>
        </w:rPr>
        <w:t>联合体参与竞争性磋商协议书</w:t>
      </w:r>
    </w:p>
    <w:p w14:paraId="744AE458">
      <w:pPr>
        <w:pStyle w:val="6"/>
        <w:overflowPunct w:val="0"/>
        <w:spacing w:line="360" w:lineRule="auto"/>
        <w:ind w:firstLine="420" w:firstLineChars="200"/>
        <w:contextualSpacing/>
        <w:rPr>
          <w:rFonts w:ascii="宋体" w:hAnsi="宋体" w:cs="宋体"/>
          <w:sz w:val="21"/>
          <w:szCs w:val="21"/>
          <w:highlight w:val="none"/>
        </w:rPr>
      </w:pPr>
      <w:r>
        <w:rPr>
          <w:rFonts w:hint="eastAsia" w:ascii="宋体" w:hAnsi="宋体" w:cs="宋体"/>
          <w:sz w:val="21"/>
          <w:szCs w:val="21"/>
          <w:highlight w:val="none"/>
          <w:u w:val="single"/>
        </w:rPr>
        <w:t xml:space="preserve">      </w:t>
      </w:r>
      <w:r>
        <w:rPr>
          <w:rFonts w:hint="eastAsia" w:ascii="宋体" w:hAnsi="宋体" w:cs="宋体"/>
          <w:sz w:val="21"/>
          <w:szCs w:val="21"/>
          <w:highlight w:val="none"/>
        </w:rPr>
        <w:t>（所有成员单位名称）自愿组成</w:t>
      </w:r>
      <w:r>
        <w:rPr>
          <w:rFonts w:hint="eastAsia" w:ascii="宋体" w:hAnsi="宋体" w:cs="宋体"/>
          <w:sz w:val="21"/>
          <w:szCs w:val="21"/>
          <w:highlight w:val="none"/>
          <w:u w:val="single"/>
        </w:rPr>
        <w:t xml:space="preserve">      </w:t>
      </w:r>
      <w:r>
        <w:rPr>
          <w:rFonts w:hint="eastAsia" w:ascii="宋体" w:hAnsi="宋体" w:cs="宋体"/>
          <w:sz w:val="21"/>
          <w:szCs w:val="21"/>
          <w:highlight w:val="none"/>
        </w:rPr>
        <w:t>（联合体名称）联合体，共同参加</w:t>
      </w:r>
      <w:r>
        <w:rPr>
          <w:rFonts w:hint="eastAsia" w:ascii="宋体" w:hAnsi="宋体" w:cs="宋体"/>
          <w:sz w:val="21"/>
          <w:szCs w:val="21"/>
          <w:highlight w:val="none"/>
          <w:u w:val="single"/>
        </w:rPr>
        <w:t xml:space="preserve">      </w:t>
      </w:r>
      <w:r>
        <w:rPr>
          <w:rFonts w:hint="eastAsia" w:ascii="宋体" w:hAnsi="宋体" w:cs="宋体"/>
          <w:sz w:val="21"/>
          <w:szCs w:val="21"/>
          <w:highlight w:val="none"/>
        </w:rPr>
        <w:t>（项目名称）采购项目竞争性磋商。现就联合体参与竞争性磋商事宜订立如下协议。</w:t>
      </w:r>
    </w:p>
    <w:p w14:paraId="24713E5B">
      <w:pPr>
        <w:pStyle w:val="6"/>
        <w:overflowPunct w:val="0"/>
        <w:spacing w:line="360" w:lineRule="auto"/>
        <w:ind w:firstLine="420" w:firstLineChars="200"/>
        <w:contextualSpacing/>
        <w:rPr>
          <w:rFonts w:ascii="宋体" w:hAnsi="宋体" w:cs="宋体"/>
          <w:sz w:val="21"/>
          <w:szCs w:val="21"/>
          <w:highlight w:val="none"/>
        </w:rPr>
      </w:pPr>
      <w:r>
        <w:rPr>
          <w:rFonts w:hint="eastAsia" w:ascii="宋体" w:hAnsi="宋体" w:cs="宋体"/>
          <w:sz w:val="21"/>
          <w:szCs w:val="21"/>
          <w:highlight w:val="none"/>
        </w:rPr>
        <w:t>1.</w:t>
      </w:r>
      <w:r>
        <w:rPr>
          <w:rFonts w:hint="eastAsia" w:ascii="宋体" w:hAnsi="宋体" w:cs="宋体"/>
          <w:sz w:val="21"/>
          <w:szCs w:val="21"/>
          <w:highlight w:val="none"/>
          <w:u w:val="single"/>
        </w:rPr>
        <w:t xml:space="preserve"> </w:t>
      </w:r>
      <w:r>
        <w:rPr>
          <w:rFonts w:hint="eastAsia" w:ascii="宋体" w:hAnsi="宋体" w:cs="宋体"/>
          <w:sz w:val="21"/>
          <w:szCs w:val="21"/>
          <w:highlight w:val="none"/>
          <w:u w:val="single"/>
        </w:rPr>
        <w:tab/>
      </w:r>
      <w:r>
        <w:rPr>
          <w:rFonts w:hint="eastAsia" w:ascii="宋体" w:hAnsi="宋体" w:cs="宋体"/>
          <w:sz w:val="21"/>
          <w:szCs w:val="21"/>
          <w:highlight w:val="none"/>
          <w:u w:val="single"/>
        </w:rPr>
        <w:t xml:space="preserve">   </w:t>
      </w:r>
      <w:r>
        <w:rPr>
          <w:rFonts w:hint="eastAsia" w:ascii="宋体" w:hAnsi="宋体" w:cs="宋体"/>
          <w:sz w:val="21"/>
          <w:szCs w:val="21"/>
          <w:highlight w:val="none"/>
        </w:rPr>
        <w:t>（某成员单位名称）为</w:t>
      </w:r>
      <w:r>
        <w:rPr>
          <w:rFonts w:hint="eastAsia" w:ascii="宋体" w:hAnsi="宋体" w:cs="宋体"/>
          <w:sz w:val="21"/>
          <w:szCs w:val="21"/>
          <w:highlight w:val="none"/>
          <w:u w:val="single"/>
        </w:rPr>
        <w:t xml:space="preserve">     </w:t>
      </w:r>
      <w:r>
        <w:rPr>
          <w:rFonts w:hint="eastAsia" w:ascii="宋体" w:hAnsi="宋体" w:cs="宋体"/>
          <w:sz w:val="21"/>
          <w:szCs w:val="21"/>
          <w:highlight w:val="none"/>
        </w:rPr>
        <w:t>（联合体名称）牵头人。</w:t>
      </w:r>
    </w:p>
    <w:p w14:paraId="5FC3FAFE">
      <w:pPr>
        <w:pStyle w:val="6"/>
        <w:overflowPunct w:val="0"/>
        <w:spacing w:line="360" w:lineRule="auto"/>
        <w:ind w:firstLine="420" w:firstLineChars="200"/>
        <w:contextualSpacing/>
        <w:rPr>
          <w:rFonts w:ascii="宋体" w:hAnsi="宋体" w:cs="宋体"/>
          <w:sz w:val="21"/>
          <w:szCs w:val="21"/>
          <w:highlight w:val="none"/>
        </w:rPr>
      </w:pPr>
      <w:r>
        <w:rPr>
          <w:rFonts w:hint="eastAsia" w:ascii="宋体" w:hAnsi="宋体" w:cs="宋体"/>
          <w:sz w:val="21"/>
          <w:szCs w:val="21"/>
          <w:highlight w:val="none"/>
        </w:rPr>
        <w:t>2.联合体各成员授权牵头人代表联合体参加竞标活动，签署文件及对文件的盖章，提交和接收相关的资料、信息及指示，进行合同磋商活动，负责合同实施阶段的组织和协调工作，以及处理与本竞争性磋商项目有关的一切事宜。</w:t>
      </w:r>
    </w:p>
    <w:p w14:paraId="2B0E2B4A">
      <w:pPr>
        <w:pStyle w:val="6"/>
        <w:overflowPunct w:val="0"/>
        <w:spacing w:line="360" w:lineRule="auto"/>
        <w:ind w:firstLine="420" w:firstLineChars="200"/>
        <w:contextualSpacing/>
        <w:rPr>
          <w:rFonts w:ascii="宋体" w:hAnsi="宋体" w:cs="宋体"/>
          <w:sz w:val="21"/>
          <w:szCs w:val="21"/>
          <w:highlight w:val="none"/>
        </w:rPr>
      </w:pPr>
      <w:r>
        <w:rPr>
          <w:rFonts w:hint="eastAsia" w:ascii="宋体" w:hAnsi="宋体" w:cs="宋体"/>
          <w:sz w:val="21"/>
          <w:szCs w:val="21"/>
          <w:highlight w:val="none"/>
        </w:rPr>
        <w:t>3.联合体牵头人在本项目中签署和盖章的一切文件和处理的一切事宜，联合体各成员均予以承认。联合体各成员将严格按照磋商文件、响应文件和合同的要求全面履行义务，并向采购人承担连带责任。</w:t>
      </w:r>
    </w:p>
    <w:p w14:paraId="0B43800F">
      <w:pPr>
        <w:pStyle w:val="6"/>
        <w:overflowPunct w:val="0"/>
        <w:spacing w:line="360" w:lineRule="auto"/>
        <w:ind w:firstLine="420" w:firstLineChars="200"/>
        <w:contextualSpacing/>
        <w:rPr>
          <w:rFonts w:ascii="宋体" w:hAnsi="宋体" w:cs="宋体"/>
          <w:sz w:val="21"/>
          <w:szCs w:val="21"/>
          <w:highlight w:val="none"/>
        </w:rPr>
      </w:pPr>
      <w:r>
        <w:rPr>
          <w:rFonts w:hint="eastAsia" w:ascii="宋体" w:hAnsi="宋体" w:cs="宋体"/>
          <w:sz w:val="21"/>
          <w:szCs w:val="21"/>
          <w:highlight w:val="none"/>
        </w:rPr>
        <w:t>4.联合体各成员单位内部的职责分工如下：</w:t>
      </w:r>
      <w:r>
        <w:rPr>
          <w:rFonts w:hint="eastAsia" w:ascii="宋体" w:hAnsi="宋体" w:cs="宋体"/>
          <w:sz w:val="21"/>
          <w:szCs w:val="21"/>
          <w:highlight w:val="none"/>
          <w:u w:val="single"/>
        </w:rPr>
        <w:t xml:space="preserve">       </w:t>
      </w:r>
      <w:r>
        <w:rPr>
          <w:rFonts w:hint="eastAsia" w:ascii="宋体" w:hAnsi="宋体" w:cs="宋体"/>
          <w:sz w:val="21"/>
          <w:szCs w:val="21"/>
          <w:highlight w:val="none"/>
        </w:rPr>
        <w:t>。</w:t>
      </w:r>
    </w:p>
    <w:p w14:paraId="7C283A76">
      <w:pPr>
        <w:pStyle w:val="6"/>
        <w:overflowPunct w:val="0"/>
        <w:spacing w:line="360" w:lineRule="auto"/>
        <w:ind w:firstLine="420" w:firstLineChars="200"/>
        <w:contextualSpacing/>
        <w:rPr>
          <w:rFonts w:ascii="宋体" w:hAnsi="宋体" w:cs="宋体"/>
          <w:sz w:val="21"/>
          <w:szCs w:val="21"/>
          <w:highlight w:val="none"/>
        </w:rPr>
      </w:pPr>
      <w:r>
        <w:rPr>
          <w:rFonts w:hint="eastAsia" w:ascii="宋体" w:hAnsi="宋体" w:cs="宋体"/>
          <w:sz w:val="21"/>
          <w:szCs w:val="21"/>
          <w:highlight w:val="none"/>
        </w:rPr>
        <w:t>5.本</w:t>
      </w:r>
      <w:r>
        <w:rPr>
          <w:rFonts w:hint="eastAsia" w:ascii="宋体" w:hAnsi="宋体" w:cs="宋体"/>
          <w:spacing w:val="-6"/>
          <w:sz w:val="21"/>
          <w:szCs w:val="21"/>
          <w:highlight w:val="none"/>
        </w:rPr>
        <w:t>协议书自所有成员单位法定代表人（单位负责人）或者其委托代理人签字或者盖单位章之日起生效，合同履行完毕后自动失效。</w:t>
      </w:r>
    </w:p>
    <w:p w14:paraId="64E48534">
      <w:pPr>
        <w:pStyle w:val="6"/>
        <w:overflowPunct w:val="0"/>
        <w:spacing w:line="360" w:lineRule="auto"/>
        <w:ind w:firstLine="420" w:firstLineChars="200"/>
        <w:contextualSpacing/>
        <w:rPr>
          <w:rFonts w:ascii="宋体" w:hAnsi="宋体" w:cs="宋体"/>
          <w:sz w:val="21"/>
          <w:szCs w:val="21"/>
          <w:highlight w:val="none"/>
        </w:rPr>
      </w:pPr>
      <w:r>
        <w:rPr>
          <w:rFonts w:hint="eastAsia" w:ascii="宋体" w:hAnsi="宋体" w:cs="宋体"/>
          <w:sz w:val="21"/>
          <w:szCs w:val="21"/>
          <w:highlight w:val="none"/>
        </w:rPr>
        <w:t>6.本协议书一式</w:t>
      </w:r>
      <w:r>
        <w:rPr>
          <w:rFonts w:hint="eastAsia" w:ascii="宋体" w:hAnsi="宋体" w:cs="宋体"/>
          <w:sz w:val="21"/>
          <w:szCs w:val="21"/>
          <w:highlight w:val="none"/>
          <w:u w:val="single"/>
        </w:rPr>
        <w:t xml:space="preserve"> </w:t>
      </w:r>
      <w:r>
        <w:rPr>
          <w:rFonts w:hint="eastAsia" w:ascii="宋体" w:hAnsi="宋体" w:cs="宋体"/>
          <w:sz w:val="21"/>
          <w:szCs w:val="21"/>
          <w:highlight w:val="none"/>
          <w:u w:val="single"/>
        </w:rPr>
        <w:tab/>
      </w:r>
      <w:r>
        <w:rPr>
          <w:rFonts w:hint="eastAsia" w:ascii="宋体" w:hAnsi="宋体" w:cs="宋体"/>
          <w:sz w:val="21"/>
          <w:szCs w:val="21"/>
          <w:highlight w:val="none"/>
        </w:rPr>
        <w:t>份，联合体成员和采购人各执壹份。</w:t>
      </w:r>
    </w:p>
    <w:p w14:paraId="33AFBB1F">
      <w:pPr>
        <w:pStyle w:val="6"/>
        <w:overflowPunct w:val="0"/>
        <w:spacing w:line="360" w:lineRule="auto"/>
        <w:ind w:firstLine="422" w:firstLineChars="200"/>
        <w:contextualSpacing/>
        <w:rPr>
          <w:rFonts w:ascii="楷体" w:hAnsi="楷体" w:eastAsia="楷体" w:cs="宋体"/>
          <w:sz w:val="21"/>
          <w:szCs w:val="21"/>
          <w:highlight w:val="none"/>
        </w:rPr>
      </w:pPr>
      <w:r>
        <w:rPr>
          <w:rFonts w:hint="eastAsia" w:ascii="楷体" w:hAnsi="楷体" w:eastAsia="楷体" w:cs="宋体"/>
          <w:b/>
          <w:sz w:val="21"/>
          <w:szCs w:val="21"/>
          <w:highlight w:val="none"/>
        </w:rPr>
        <w:t>注：</w:t>
      </w:r>
      <w:r>
        <w:rPr>
          <w:rFonts w:hint="eastAsia" w:ascii="楷体" w:hAnsi="楷体" w:eastAsia="楷体" w:cs="宋体"/>
          <w:sz w:val="21"/>
          <w:szCs w:val="21"/>
          <w:highlight w:val="none"/>
        </w:rPr>
        <w:t>本协议书由法定代表人（单位负责人）签字的，应附法定代表人（单位负责人）身份证明书；由委托代理人签字的，应附联合体协议签订授权委托书（格式自拟）。</w:t>
      </w:r>
    </w:p>
    <w:p w14:paraId="024674CC">
      <w:pPr>
        <w:pStyle w:val="6"/>
        <w:overflowPunct w:val="0"/>
        <w:spacing w:line="360" w:lineRule="auto"/>
        <w:ind w:firstLineChars="175"/>
        <w:contextualSpacing/>
        <w:rPr>
          <w:rFonts w:ascii="宋体" w:hAnsi="宋体" w:cs="宋体"/>
          <w:sz w:val="21"/>
          <w:szCs w:val="21"/>
          <w:highlight w:val="none"/>
        </w:rPr>
      </w:pPr>
    </w:p>
    <w:p w14:paraId="0F892F1E">
      <w:pPr>
        <w:pStyle w:val="6"/>
        <w:overflowPunct w:val="0"/>
        <w:spacing w:line="360" w:lineRule="auto"/>
        <w:ind w:firstLineChars="175"/>
        <w:contextualSpacing/>
        <w:rPr>
          <w:rFonts w:ascii="宋体" w:hAnsi="宋体" w:cs="宋体"/>
          <w:sz w:val="21"/>
          <w:szCs w:val="21"/>
          <w:highlight w:val="none"/>
          <w:u w:val="single"/>
        </w:rPr>
      </w:pPr>
      <w:r>
        <w:rPr>
          <w:rFonts w:hint="eastAsia" w:ascii="宋体" w:hAnsi="宋体" w:cs="宋体"/>
          <w:sz w:val="21"/>
          <w:szCs w:val="21"/>
          <w:highlight w:val="none"/>
        </w:rPr>
        <w:t>联合体牵头人名称（盖公章）：</w:t>
      </w:r>
      <w:r>
        <w:rPr>
          <w:rFonts w:hint="eastAsia" w:ascii="宋体" w:hAnsi="宋体" w:cs="宋体"/>
          <w:sz w:val="21"/>
          <w:szCs w:val="21"/>
          <w:highlight w:val="none"/>
          <w:u w:val="single"/>
        </w:rPr>
        <w:t xml:space="preserve"> </w:t>
      </w:r>
      <w:r>
        <w:rPr>
          <w:rFonts w:ascii="宋体" w:hAnsi="宋体" w:cs="宋体"/>
          <w:sz w:val="21"/>
          <w:szCs w:val="21"/>
          <w:highlight w:val="none"/>
          <w:u w:val="single"/>
        </w:rPr>
        <w:t xml:space="preserve">              </w:t>
      </w:r>
    </w:p>
    <w:p w14:paraId="0D5884F3">
      <w:pPr>
        <w:pStyle w:val="6"/>
        <w:overflowPunct w:val="0"/>
        <w:spacing w:line="360" w:lineRule="auto"/>
        <w:ind w:firstLineChars="175"/>
        <w:contextualSpacing/>
        <w:rPr>
          <w:rFonts w:ascii="宋体" w:hAnsi="宋体" w:cs="宋体"/>
          <w:sz w:val="21"/>
          <w:szCs w:val="21"/>
          <w:highlight w:val="none"/>
          <w:u w:val="single"/>
        </w:rPr>
      </w:pPr>
      <w:r>
        <w:rPr>
          <w:rFonts w:hint="eastAsia" w:ascii="宋体" w:hAnsi="宋体" w:cs="宋体"/>
          <w:sz w:val="21"/>
          <w:szCs w:val="21"/>
          <w:highlight w:val="none"/>
        </w:rPr>
        <w:t>法定代表人（单位负责人）或者其委托代理人（</w:t>
      </w:r>
      <w:r>
        <w:rPr>
          <w:rFonts w:hint="eastAsia" w:ascii="宋体" w:hAnsi="宋体" w:eastAsia="宋体" w:cs="宋体"/>
          <w:color w:val="auto"/>
          <w:sz w:val="21"/>
          <w:szCs w:val="21"/>
          <w:highlight w:val="none"/>
          <w:lang w:eastAsia="zh-CN"/>
        </w:rPr>
        <w:t>签字或签章</w:t>
      </w:r>
      <w:r>
        <w:rPr>
          <w:rFonts w:hint="eastAsia" w:ascii="宋体" w:hAnsi="宋体" w:cs="宋体"/>
          <w:sz w:val="21"/>
          <w:szCs w:val="21"/>
          <w:highlight w:val="none"/>
        </w:rPr>
        <w:t>）：</w:t>
      </w:r>
      <w:r>
        <w:rPr>
          <w:rFonts w:hint="eastAsia" w:ascii="宋体" w:hAnsi="宋体" w:cs="宋体"/>
          <w:sz w:val="21"/>
          <w:szCs w:val="21"/>
          <w:highlight w:val="none"/>
          <w:u w:val="single"/>
        </w:rPr>
        <w:t xml:space="preserve"> </w:t>
      </w:r>
      <w:r>
        <w:rPr>
          <w:rFonts w:ascii="宋体" w:hAnsi="宋体" w:cs="宋体"/>
          <w:sz w:val="21"/>
          <w:szCs w:val="21"/>
          <w:highlight w:val="none"/>
          <w:u w:val="single"/>
        </w:rPr>
        <w:t xml:space="preserve">              </w:t>
      </w:r>
    </w:p>
    <w:p w14:paraId="2D4B354C">
      <w:pPr>
        <w:pStyle w:val="6"/>
        <w:overflowPunct w:val="0"/>
        <w:spacing w:line="360" w:lineRule="auto"/>
        <w:ind w:firstLineChars="175"/>
        <w:contextualSpacing/>
        <w:rPr>
          <w:rFonts w:ascii="宋体" w:hAnsi="宋体" w:cs="宋体"/>
          <w:sz w:val="21"/>
          <w:szCs w:val="21"/>
          <w:highlight w:val="none"/>
        </w:rPr>
      </w:pPr>
    </w:p>
    <w:p w14:paraId="21582BB9">
      <w:pPr>
        <w:pStyle w:val="6"/>
        <w:overflowPunct w:val="0"/>
        <w:spacing w:line="360" w:lineRule="auto"/>
        <w:ind w:firstLineChars="175"/>
        <w:contextualSpacing/>
        <w:rPr>
          <w:rFonts w:ascii="宋体" w:hAnsi="宋体" w:cs="宋体"/>
          <w:sz w:val="21"/>
          <w:szCs w:val="21"/>
          <w:highlight w:val="none"/>
          <w:u w:val="single"/>
        </w:rPr>
      </w:pPr>
      <w:r>
        <w:rPr>
          <w:rFonts w:hint="eastAsia" w:ascii="宋体" w:hAnsi="宋体" w:cs="宋体"/>
          <w:sz w:val="21"/>
          <w:szCs w:val="21"/>
          <w:highlight w:val="none"/>
        </w:rPr>
        <w:t>联合体成员名称（盖公章）：</w:t>
      </w:r>
      <w:r>
        <w:rPr>
          <w:rFonts w:hint="eastAsia" w:ascii="宋体" w:hAnsi="宋体" w:cs="宋体"/>
          <w:sz w:val="21"/>
          <w:szCs w:val="21"/>
          <w:highlight w:val="none"/>
          <w:u w:val="single"/>
        </w:rPr>
        <w:t xml:space="preserve"> </w:t>
      </w:r>
      <w:r>
        <w:rPr>
          <w:rFonts w:ascii="宋体" w:hAnsi="宋体" w:cs="宋体"/>
          <w:sz w:val="21"/>
          <w:szCs w:val="21"/>
          <w:highlight w:val="none"/>
          <w:u w:val="single"/>
        </w:rPr>
        <w:t xml:space="preserve">               </w:t>
      </w:r>
    </w:p>
    <w:p w14:paraId="5DF02B76">
      <w:pPr>
        <w:pStyle w:val="6"/>
        <w:overflowPunct w:val="0"/>
        <w:spacing w:line="360" w:lineRule="auto"/>
        <w:ind w:firstLineChars="175"/>
        <w:contextualSpacing/>
        <w:rPr>
          <w:rFonts w:ascii="宋体" w:hAnsi="宋体" w:cs="宋体"/>
          <w:sz w:val="21"/>
          <w:szCs w:val="21"/>
          <w:highlight w:val="none"/>
          <w:u w:val="single"/>
        </w:rPr>
      </w:pPr>
      <w:r>
        <w:rPr>
          <w:rFonts w:hint="eastAsia" w:ascii="宋体" w:hAnsi="宋体" w:cs="宋体"/>
          <w:sz w:val="21"/>
          <w:szCs w:val="21"/>
          <w:highlight w:val="none"/>
        </w:rPr>
        <w:t>法定代表人（单位负责人）或者其委托代理人（</w:t>
      </w:r>
      <w:r>
        <w:rPr>
          <w:rFonts w:hint="eastAsia" w:ascii="宋体" w:hAnsi="宋体" w:eastAsia="宋体" w:cs="宋体"/>
          <w:color w:val="auto"/>
          <w:sz w:val="21"/>
          <w:szCs w:val="21"/>
          <w:highlight w:val="none"/>
          <w:lang w:eastAsia="zh-CN"/>
        </w:rPr>
        <w:t>签字或签章</w:t>
      </w:r>
      <w:r>
        <w:rPr>
          <w:rFonts w:hint="eastAsia" w:ascii="宋体" w:hAnsi="宋体" w:cs="宋体"/>
          <w:sz w:val="21"/>
          <w:szCs w:val="21"/>
          <w:highlight w:val="none"/>
        </w:rPr>
        <w:t>）：</w:t>
      </w:r>
      <w:r>
        <w:rPr>
          <w:rFonts w:hint="eastAsia" w:ascii="宋体" w:hAnsi="宋体" w:cs="宋体"/>
          <w:sz w:val="21"/>
          <w:szCs w:val="21"/>
          <w:highlight w:val="none"/>
          <w:u w:val="single"/>
        </w:rPr>
        <w:t xml:space="preserve"> </w:t>
      </w:r>
      <w:r>
        <w:rPr>
          <w:rFonts w:ascii="宋体" w:hAnsi="宋体" w:cs="宋体"/>
          <w:sz w:val="21"/>
          <w:szCs w:val="21"/>
          <w:highlight w:val="none"/>
          <w:u w:val="single"/>
        </w:rPr>
        <w:t xml:space="preserve">           </w:t>
      </w:r>
    </w:p>
    <w:p w14:paraId="025A5678">
      <w:pPr>
        <w:pStyle w:val="6"/>
        <w:overflowPunct w:val="0"/>
        <w:spacing w:line="360" w:lineRule="auto"/>
        <w:ind w:firstLineChars="175"/>
        <w:contextualSpacing/>
        <w:rPr>
          <w:rFonts w:ascii="宋体" w:hAnsi="宋体" w:cs="宋体"/>
          <w:sz w:val="21"/>
          <w:szCs w:val="21"/>
          <w:highlight w:val="none"/>
          <w:u w:val="single"/>
        </w:rPr>
      </w:pPr>
      <w:r>
        <w:rPr>
          <w:rFonts w:hint="eastAsia" w:ascii="宋体" w:hAnsi="宋体" w:cs="宋体"/>
          <w:sz w:val="21"/>
          <w:szCs w:val="21"/>
          <w:highlight w:val="none"/>
        </w:rPr>
        <w:t>联合体成员名称（盖公章）：</w:t>
      </w:r>
      <w:r>
        <w:rPr>
          <w:rFonts w:hint="eastAsia" w:ascii="宋体" w:hAnsi="宋体" w:cs="宋体"/>
          <w:sz w:val="21"/>
          <w:szCs w:val="21"/>
          <w:highlight w:val="none"/>
          <w:u w:val="single"/>
        </w:rPr>
        <w:t xml:space="preserve"> </w:t>
      </w:r>
      <w:r>
        <w:rPr>
          <w:rFonts w:ascii="宋体" w:hAnsi="宋体" w:cs="宋体"/>
          <w:sz w:val="21"/>
          <w:szCs w:val="21"/>
          <w:highlight w:val="none"/>
          <w:u w:val="single"/>
        </w:rPr>
        <w:t xml:space="preserve">               </w:t>
      </w:r>
    </w:p>
    <w:p w14:paraId="339AF923">
      <w:pPr>
        <w:pStyle w:val="6"/>
        <w:overflowPunct w:val="0"/>
        <w:spacing w:line="360" w:lineRule="auto"/>
        <w:ind w:firstLineChars="175"/>
        <w:contextualSpacing/>
        <w:rPr>
          <w:rFonts w:ascii="宋体" w:hAnsi="宋体" w:cs="宋体"/>
          <w:sz w:val="21"/>
          <w:szCs w:val="21"/>
          <w:highlight w:val="none"/>
          <w:u w:val="single"/>
        </w:rPr>
      </w:pPr>
      <w:r>
        <w:rPr>
          <w:rFonts w:hint="eastAsia" w:ascii="宋体" w:hAnsi="宋体" w:cs="宋体"/>
          <w:sz w:val="21"/>
          <w:szCs w:val="21"/>
          <w:highlight w:val="none"/>
        </w:rPr>
        <w:t>法定代表人（单位负责人）或者其委托代理人（</w:t>
      </w:r>
      <w:r>
        <w:rPr>
          <w:rFonts w:hint="eastAsia" w:ascii="宋体" w:hAnsi="宋体" w:eastAsia="宋体" w:cs="宋体"/>
          <w:color w:val="auto"/>
          <w:sz w:val="21"/>
          <w:szCs w:val="21"/>
          <w:highlight w:val="none"/>
          <w:lang w:eastAsia="zh-CN"/>
        </w:rPr>
        <w:t>签字或签章</w:t>
      </w:r>
      <w:r>
        <w:rPr>
          <w:rFonts w:hint="eastAsia" w:ascii="宋体" w:hAnsi="宋体" w:cs="宋体"/>
          <w:sz w:val="21"/>
          <w:szCs w:val="21"/>
          <w:highlight w:val="none"/>
        </w:rPr>
        <w:t>）：</w:t>
      </w:r>
      <w:r>
        <w:rPr>
          <w:rFonts w:hint="eastAsia" w:ascii="宋体" w:hAnsi="宋体" w:cs="宋体"/>
          <w:sz w:val="21"/>
          <w:szCs w:val="21"/>
          <w:highlight w:val="none"/>
          <w:u w:val="single"/>
        </w:rPr>
        <w:t xml:space="preserve"> </w:t>
      </w:r>
      <w:r>
        <w:rPr>
          <w:rFonts w:ascii="宋体" w:hAnsi="宋体" w:cs="宋体"/>
          <w:sz w:val="21"/>
          <w:szCs w:val="21"/>
          <w:highlight w:val="none"/>
          <w:u w:val="single"/>
        </w:rPr>
        <w:t xml:space="preserve">                  </w:t>
      </w:r>
    </w:p>
    <w:p w14:paraId="199B1C08">
      <w:pPr>
        <w:pStyle w:val="6"/>
        <w:overflowPunct w:val="0"/>
        <w:spacing w:line="360" w:lineRule="auto"/>
        <w:ind w:firstLineChars="175"/>
        <w:contextualSpacing/>
        <w:rPr>
          <w:rFonts w:ascii="宋体" w:hAnsi="宋体" w:cs="宋体"/>
          <w:sz w:val="21"/>
          <w:szCs w:val="21"/>
          <w:highlight w:val="none"/>
        </w:rPr>
      </w:pPr>
      <w:r>
        <w:rPr>
          <w:rFonts w:hint="eastAsia" w:ascii="宋体" w:hAnsi="宋体" w:cs="宋体"/>
          <w:sz w:val="21"/>
          <w:szCs w:val="21"/>
          <w:highlight w:val="none"/>
        </w:rPr>
        <w:t>……</w:t>
      </w:r>
    </w:p>
    <w:p w14:paraId="2DF0062F">
      <w:pPr>
        <w:spacing w:line="360" w:lineRule="auto"/>
        <w:ind w:right="480" w:firstLine="210" w:firstLineChars="100"/>
        <w:contextualSpacing/>
        <w:jc w:val="center"/>
        <w:rPr>
          <w:rFonts w:ascii="宋体" w:hAnsi="宋体" w:cs="宋体"/>
          <w:b/>
          <w:bCs/>
          <w:sz w:val="21"/>
          <w:szCs w:val="21"/>
          <w:highlight w:val="none"/>
        </w:rPr>
      </w:pPr>
      <w:r>
        <w:rPr>
          <w:rFonts w:hint="eastAsia" w:ascii="宋体" w:hAnsi="宋体" w:cs="宋体"/>
          <w:sz w:val="21"/>
          <w:szCs w:val="21"/>
          <w:highlight w:val="none"/>
        </w:rPr>
        <w:t xml:space="preserve">                                      </w:t>
      </w:r>
      <w:r>
        <w:rPr>
          <w:rFonts w:hint="eastAsia" w:hAnsi="宋体" w:cs="宋体"/>
          <w:sz w:val="21"/>
          <w:szCs w:val="21"/>
          <w:highlight w:val="none"/>
        </w:rPr>
        <w:t>日期：</w:t>
      </w:r>
      <w:r>
        <w:rPr>
          <w:rFonts w:hint="eastAsia" w:ascii="宋体" w:hAnsi="宋体" w:cs="宋体"/>
          <w:sz w:val="21"/>
          <w:szCs w:val="21"/>
          <w:highlight w:val="none"/>
          <w:u w:val="single"/>
        </w:rPr>
        <w:t xml:space="preserve">      </w:t>
      </w:r>
      <w:r>
        <w:rPr>
          <w:rFonts w:hint="eastAsia" w:ascii="宋体" w:hAnsi="宋体" w:cs="宋体"/>
          <w:sz w:val="21"/>
          <w:szCs w:val="21"/>
          <w:highlight w:val="none"/>
        </w:rPr>
        <w:t>年</w:t>
      </w:r>
      <w:r>
        <w:rPr>
          <w:rFonts w:hint="eastAsia" w:ascii="宋体" w:hAnsi="宋体" w:cs="宋体"/>
          <w:sz w:val="21"/>
          <w:szCs w:val="21"/>
          <w:highlight w:val="none"/>
          <w:u w:val="single"/>
        </w:rPr>
        <w:t xml:space="preserve">  </w:t>
      </w:r>
      <w:r>
        <w:rPr>
          <w:rFonts w:hint="eastAsia" w:ascii="宋体" w:hAnsi="宋体" w:cs="宋体"/>
          <w:sz w:val="21"/>
          <w:szCs w:val="21"/>
          <w:highlight w:val="none"/>
          <w:u w:val="single"/>
        </w:rPr>
        <w:tab/>
      </w:r>
      <w:r>
        <w:rPr>
          <w:rFonts w:hint="eastAsia" w:ascii="宋体" w:hAnsi="宋体" w:cs="宋体"/>
          <w:sz w:val="21"/>
          <w:szCs w:val="21"/>
          <w:highlight w:val="none"/>
        </w:rPr>
        <w:t>月</w:t>
      </w:r>
      <w:r>
        <w:rPr>
          <w:rFonts w:hint="eastAsia" w:ascii="宋体" w:hAnsi="宋体" w:cs="宋体"/>
          <w:sz w:val="21"/>
          <w:szCs w:val="21"/>
          <w:highlight w:val="none"/>
          <w:u w:val="single"/>
        </w:rPr>
        <w:t xml:space="preserve">  </w:t>
      </w:r>
      <w:r>
        <w:rPr>
          <w:rFonts w:hint="eastAsia" w:ascii="宋体" w:hAnsi="宋体" w:cs="宋体"/>
          <w:sz w:val="21"/>
          <w:szCs w:val="21"/>
          <w:highlight w:val="none"/>
          <w:u w:val="single"/>
        </w:rPr>
        <w:tab/>
      </w:r>
      <w:r>
        <w:rPr>
          <w:rFonts w:hint="eastAsia" w:ascii="宋体" w:hAnsi="宋体" w:cs="宋体"/>
          <w:sz w:val="21"/>
          <w:szCs w:val="21"/>
          <w:highlight w:val="none"/>
        </w:rPr>
        <w:t>日</w:t>
      </w:r>
    </w:p>
    <w:p w14:paraId="7C6FD3F4">
      <w:pPr>
        <w:pStyle w:val="6"/>
        <w:rPr>
          <w:rFonts w:hint="eastAsia"/>
          <w:highlight w:val="none"/>
        </w:rPr>
      </w:pPr>
    </w:p>
    <w:p w14:paraId="71DEFD43">
      <w:pPr>
        <w:pStyle w:val="7"/>
        <w:rPr>
          <w:rFonts w:hint="eastAsia"/>
          <w:highlight w:val="none"/>
        </w:rPr>
      </w:pPr>
    </w:p>
    <w:p w14:paraId="0314C6DA">
      <w:pPr>
        <w:pStyle w:val="3"/>
        <w:bidi w:val="0"/>
        <w:rPr>
          <w:rFonts w:hint="eastAsia"/>
          <w:highlight w:val="none"/>
        </w:rPr>
      </w:pPr>
      <w:r>
        <w:rPr>
          <w:rFonts w:hint="eastAsia"/>
          <w:highlight w:val="none"/>
        </w:rPr>
        <w:t>9.除磋商文件规定必须提供以外，供应商认为需要提供的其他证明材料；</w:t>
      </w:r>
    </w:p>
    <w:p w14:paraId="6C02B121">
      <w:pPr>
        <w:rPr>
          <w:rFonts w:hint="eastAsia" w:ascii="宋体" w:hAnsi="宋体" w:cs="宋体"/>
          <w:szCs w:val="21"/>
          <w:highlight w:val="none"/>
        </w:rPr>
      </w:pPr>
      <w:r>
        <w:rPr>
          <w:rFonts w:hint="eastAsia" w:ascii="宋体" w:hAnsi="宋体" w:cs="宋体"/>
          <w:szCs w:val="21"/>
          <w:highlight w:val="none"/>
        </w:rPr>
        <w:br w:type="page"/>
      </w:r>
    </w:p>
    <w:p w14:paraId="1EF1A593">
      <w:pPr>
        <w:pStyle w:val="6"/>
        <w:rPr>
          <w:rFonts w:hint="eastAsia"/>
          <w:highlight w:val="none"/>
        </w:rPr>
      </w:pPr>
    </w:p>
    <w:p w14:paraId="30D539AD">
      <w:pPr>
        <w:pStyle w:val="3"/>
        <w:bidi w:val="0"/>
        <w:rPr>
          <w:highlight w:val="none"/>
        </w:rPr>
      </w:pPr>
      <w:r>
        <w:rPr>
          <w:rFonts w:hint="eastAsia"/>
          <w:highlight w:val="none"/>
        </w:rPr>
        <w:t>二、报价商务技术文件格式</w:t>
      </w:r>
    </w:p>
    <w:p w14:paraId="7F1267FA">
      <w:pPr>
        <w:snapToGrid w:val="0"/>
        <w:spacing w:before="156" w:beforeLines="50" w:after="50" w:line="360" w:lineRule="auto"/>
        <w:jc w:val="left"/>
        <w:rPr>
          <w:rFonts w:ascii="宋体" w:hAnsi="宋体" w:cs="宋体"/>
          <w:b/>
          <w:sz w:val="32"/>
          <w:szCs w:val="32"/>
          <w:highlight w:val="none"/>
        </w:rPr>
      </w:pPr>
      <w:r>
        <w:rPr>
          <w:rFonts w:hint="eastAsia" w:ascii="宋体" w:hAnsi="宋体" w:cs="宋体"/>
          <w:b/>
          <w:sz w:val="32"/>
          <w:szCs w:val="32"/>
          <w:highlight w:val="none"/>
        </w:rPr>
        <w:t>报价商务技术文件封面格式</w:t>
      </w:r>
    </w:p>
    <w:p w14:paraId="002BE2A0">
      <w:pPr>
        <w:snapToGrid w:val="0"/>
        <w:spacing w:before="156" w:beforeLines="50" w:after="50"/>
        <w:rPr>
          <w:rFonts w:ascii="宋体" w:hAnsi="宋体" w:cs="宋体"/>
          <w:bCs/>
          <w:sz w:val="32"/>
          <w:szCs w:val="20"/>
          <w:highlight w:val="none"/>
        </w:rPr>
      </w:pPr>
      <w:r>
        <w:rPr>
          <w:rFonts w:hint="eastAsia" w:ascii="宋体" w:hAnsi="宋体" w:cs="宋体"/>
          <w:sz w:val="24"/>
          <w:highlight w:val="none"/>
        </w:rPr>
        <w:t xml:space="preserve">                                                   </w:t>
      </w:r>
    </w:p>
    <w:p w14:paraId="2EA1D0E5">
      <w:pPr>
        <w:snapToGrid w:val="0"/>
        <w:spacing w:before="156" w:beforeLines="50" w:after="50"/>
        <w:rPr>
          <w:rFonts w:ascii="宋体" w:hAnsi="宋体" w:cs="宋体"/>
          <w:sz w:val="24"/>
          <w:szCs w:val="20"/>
          <w:highlight w:val="none"/>
        </w:rPr>
      </w:pPr>
    </w:p>
    <w:p w14:paraId="10D7A096">
      <w:pPr>
        <w:snapToGrid w:val="0"/>
        <w:spacing w:before="156" w:beforeLines="50" w:after="50"/>
        <w:jc w:val="center"/>
        <w:rPr>
          <w:rFonts w:ascii="宋体" w:hAnsi="宋体" w:cs="宋体"/>
          <w:bCs/>
          <w:sz w:val="72"/>
          <w:szCs w:val="72"/>
          <w:highlight w:val="none"/>
        </w:rPr>
      </w:pPr>
      <w:r>
        <w:rPr>
          <w:rFonts w:hint="eastAsia" w:ascii="宋体" w:hAnsi="宋体" w:cs="宋体"/>
          <w:bCs/>
          <w:sz w:val="72"/>
          <w:szCs w:val="72"/>
          <w:highlight w:val="none"/>
        </w:rPr>
        <w:t>响应文件</w:t>
      </w:r>
    </w:p>
    <w:p w14:paraId="176D14B6">
      <w:pPr>
        <w:snapToGrid w:val="0"/>
        <w:spacing w:before="156" w:beforeLines="50" w:after="50"/>
        <w:jc w:val="center"/>
        <w:rPr>
          <w:rFonts w:hint="eastAsia" w:ascii="宋体" w:hAnsi="宋体" w:cs="宋体"/>
          <w:bCs/>
          <w:sz w:val="32"/>
          <w:szCs w:val="32"/>
          <w:highlight w:val="none"/>
        </w:rPr>
      </w:pPr>
    </w:p>
    <w:p w14:paraId="3B384F9E">
      <w:pPr>
        <w:snapToGrid w:val="0"/>
        <w:spacing w:before="156" w:beforeLines="50" w:after="50"/>
        <w:jc w:val="center"/>
        <w:rPr>
          <w:rFonts w:ascii="宋体" w:hAnsi="宋体" w:cs="宋体"/>
          <w:bCs/>
          <w:sz w:val="32"/>
          <w:szCs w:val="32"/>
          <w:highlight w:val="none"/>
        </w:rPr>
      </w:pPr>
      <w:r>
        <w:rPr>
          <w:rFonts w:hint="eastAsia" w:ascii="宋体" w:hAnsi="宋体" w:cs="宋体"/>
          <w:bCs/>
          <w:sz w:val="32"/>
          <w:szCs w:val="32"/>
          <w:highlight w:val="none"/>
        </w:rPr>
        <w:t>报价商务技术文件</w:t>
      </w:r>
    </w:p>
    <w:p w14:paraId="7A5331EB">
      <w:pPr>
        <w:snapToGrid w:val="0"/>
        <w:spacing w:before="156" w:beforeLines="50" w:after="50"/>
        <w:rPr>
          <w:rFonts w:ascii="宋体" w:hAnsi="宋体" w:cs="宋体"/>
          <w:bCs/>
          <w:sz w:val="24"/>
          <w:szCs w:val="20"/>
          <w:highlight w:val="none"/>
        </w:rPr>
      </w:pPr>
    </w:p>
    <w:p w14:paraId="64AEF62F">
      <w:pPr>
        <w:snapToGrid w:val="0"/>
        <w:spacing w:before="156" w:beforeLines="50" w:after="50"/>
        <w:rPr>
          <w:rFonts w:ascii="宋体" w:hAnsi="宋体" w:cs="宋体"/>
          <w:bCs/>
          <w:sz w:val="24"/>
          <w:szCs w:val="20"/>
          <w:highlight w:val="none"/>
        </w:rPr>
      </w:pPr>
    </w:p>
    <w:p w14:paraId="275E6D6F">
      <w:pPr>
        <w:snapToGrid w:val="0"/>
        <w:spacing w:before="156" w:beforeLines="50" w:after="50"/>
        <w:ind w:firstLine="2100" w:firstLineChars="875"/>
        <w:rPr>
          <w:rFonts w:ascii="宋体" w:hAnsi="宋体" w:cs="宋体"/>
          <w:bCs/>
          <w:sz w:val="24"/>
          <w:szCs w:val="20"/>
          <w:highlight w:val="none"/>
        </w:rPr>
      </w:pPr>
    </w:p>
    <w:p w14:paraId="6C98F910">
      <w:pPr>
        <w:snapToGrid w:val="0"/>
        <w:spacing w:before="156" w:beforeLines="50" w:after="50"/>
        <w:ind w:firstLine="2100" w:firstLineChars="875"/>
        <w:rPr>
          <w:rFonts w:ascii="宋体" w:hAnsi="宋体" w:cs="宋体"/>
          <w:bCs/>
          <w:sz w:val="24"/>
          <w:szCs w:val="24"/>
          <w:highlight w:val="none"/>
        </w:rPr>
      </w:pPr>
      <w:r>
        <w:rPr>
          <w:rFonts w:hint="eastAsia" w:ascii="宋体" w:hAnsi="宋体" w:cs="宋体"/>
          <w:bCs/>
          <w:sz w:val="24"/>
          <w:szCs w:val="24"/>
          <w:highlight w:val="none"/>
        </w:rPr>
        <w:t>项目名称：</w:t>
      </w:r>
    </w:p>
    <w:p w14:paraId="4397CE6D">
      <w:pPr>
        <w:snapToGrid w:val="0"/>
        <w:spacing w:before="156" w:beforeLines="50" w:after="50"/>
        <w:ind w:firstLine="2100" w:firstLineChars="875"/>
        <w:rPr>
          <w:rFonts w:ascii="宋体" w:hAnsi="宋体" w:cs="宋体"/>
          <w:bCs/>
          <w:sz w:val="24"/>
          <w:szCs w:val="24"/>
          <w:highlight w:val="none"/>
        </w:rPr>
      </w:pPr>
    </w:p>
    <w:p w14:paraId="31D70FEE">
      <w:pPr>
        <w:snapToGrid w:val="0"/>
        <w:spacing w:before="156" w:beforeLines="50" w:after="50"/>
        <w:ind w:firstLine="2100" w:firstLineChars="875"/>
        <w:rPr>
          <w:rFonts w:ascii="宋体" w:hAnsi="宋体" w:cs="宋体"/>
          <w:bCs/>
          <w:sz w:val="24"/>
          <w:szCs w:val="24"/>
          <w:highlight w:val="none"/>
        </w:rPr>
      </w:pPr>
      <w:r>
        <w:rPr>
          <w:rFonts w:hint="eastAsia" w:ascii="宋体" w:hAnsi="宋体" w:cs="宋体"/>
          <w:bCs/>
          <w:sz w:val="24"/>
          <w:szCs w:val="24"/>
          <w:highlight w:val="none"/>
        </w:rPr>
        <w:t>项目编号：</w:t>
      </w:r>
    </w:p>
    <w:p w14:paraId="228AD941">
      <w:pPr>
        <w:snapToGrid w:val="0"/>
        <w:spacing w:before="156" w:beforeLines="50" w:after="50"/>
        <w:ind w:firstLine="2100" w:firstLineChars="875"/>
        <w:rPr>
          <w:rFonts w:ascii="宋体" w:hAnsi="宋体" w:cs="宋体"/>
          <w:bCs/>
          <w:sz w:val="24"/>
          <w:szCs w:val="24"/>
          <w:highlight w:val="none"/>
        </w:rPr>
      </w:pPr>
      <w:r>
        <w:rPr>
          <w:rFonts w:hint="eastAsia" w:ascii="宋体" w:hAnsi="宋体" w:cs="宋体"/>
          <w:bCs/>
          <w:sz w:val="24"/>
          <w:szCs w:val="24"/>
          <w:highlight w:val="none"/>
        </w:rPr>
        <w:t xml:space="preserve"> </w:t>
      </w:r>
    </w:p>
    <w:p w14:paraId="43BD6A81">
      <w:pPr>
        <w:snapToGrid w:val="0"/>
        <w:spacing w:before="156" w:beforeLines="50" w:after="50"/>
        <w:ind w:firstLine="2100" w:firstLineChars="875"/>
        <w:rPr>
          <w:rFonts w:ascii="宋体" w:hAnsi="宋体" w:cs="宋体"/>
          <w:bCs/>
          <w:sz w:val="24"/>
          <w:szCs w:val="24"/>
          <w:highlight w:val="none"/>
        </w:rPr>
      </w:pPr>
      <w:r>
        <w:rPr>
          <w:rFonts w:hint="eastAsia" w:ascii="宋体" w:hAnsi="宋体" w:cs="宋体"/>
          <w:bCs/>
          <w:sz w:val="24"/>
          <w:szCs w:val="24"/>
          <w:highlight w:val="none"/>
        </w:rPr>
        <w:t>所竞分标（如有）：</w:t>
      </w:r>
    </w:p>
    <w:p w14:paraId="54ABB32D">
      <w:pPr>
        <w:snapToGrid w:val="0"/>
        <w:spacing w:before="156" w:beforeLines="50" w:after="50"/>
        <w:ind w:firstLine="2100" w:firstLineChars="875"/>
        <w:rPr>
          <w:rFonts w:ascii="宋体" w:hAnsi="宋体" w:cs="宋体"/>
          <w:bCs/>
          <w:sz w:val="24"/>
          <w:szCs w:val="24"/>
          <w:highlight w:val="none"/>
        </w:rPr>
      </w:pPr>
    </w:p>
    <w:p w14:paraId="5A0596CB">
      <w:pPr>
        <w:pStyle w:val="6"/>
        <w:snapToGrid w:val="0"/>
        <w:spacing w:before="50" w:after="50"/>
        <w:ind w:firstLine="2100" w:firstLineChars="875"/>
        <w:rPr>
          <w:rFonts w:ascii="宋体" w:hAnsi="宋体" w:cs="宋体"/>
          <w:bCs/>
          <w:sz w:val="24"/>
          <w:szCs w:val="24"/>
          <w:highlight w:val="none"/>
        </w:rPr>
      </w:pPr>
      <w:r>
        <w:rPr>
          <w:rFonts w:hint="eastAsia" w:ascii="宋体" w:hAnsi="宋体" w:cs="宋体"/>
          <w:bCs/>
          <w:sz w:val="24"/>
          <w:szCs w:val="24"/>
          <w:highlight w:val="none"/>
        </w:rPr>
        <w:t>供应商名称：</w:t>
      </w:r>
    </w:p>
    <w:p w14:paraId="2376D499">
      <w:pPr>
        <w:pStyle w:val="6"/>
        <w:snapToGrid w:val="0"/>
        <w:spacing w:before="50" w:after="50"/>
        <w:ind w:firstLine="2100" w:firstLineChars="875"/>
        <w:rPr>
          <w:rFonts w:ascii="宋体" w:hAnsi="宋体" w:cs="宋体"/>
          <w:bCs/>
          <w:sz w:val="24"/>
          <w:szCs w:val="24"/>
          <w:highlight w:val="none"/>
        </w:rPr>
      </w:pPr>
    </w:p>
    <w:p w14:paraId="20C6A5CF">
      <w:pPr>
        <w:pStyle w:val="6"/>
        <w:snapToGrid w:val="0"/>
        <w:spacing w:before="50" w:after="50"/>
        <w:ind w:firstLine="540" w:firstLineChars="225"/>
        <w:rPr>
          <w:rFonts w:ascii="宋体" w:hAnsi="宋体" w:cs="宋体"/>
          <w:bCs/>
          <w:sz w:val="24"/>
          <w:szCs w:val="24"/>
          <w:highlight w:val="none"/>
        </w:rPr>
      </w:pPr>
    </w:p>
    <w:p w14:paraId="7FD3C0D3">
      <w:pPr>
        <w:pStyle w:val="6"/>
        <w:snapToGrid w:val="0"/>
        <w:spacing w:before="50" w:after="50"/>
        <w:ind w:firstLine="1280" w:firstLineChars="400"/>
        <w:rPr>
          <w:rFonts w:ascii="宋体" w:hAnsi="宋体" w:cs="宋体"/>
          <w:bCs/>
          <w:sz w:val="32"/>
          <w:szCs w:val="32"/>
          <w:highlight w:val="none"/>
        </w:rPr>
      </w:pPr>
    </w:p>
    <w:p w14:paraId="79995B8E">
      <w:pPr>
        <w:snapToGrid w:val="0"/>
        <w:spacing w:before="156" w:beforeLines="50" w:after="50"/>
        <w:jc w:val="center"/>
        <w:rPr>
          <w:rFonts w:ascii="宋体" w:hAnsi="宋体" w:cs="宋体"/>
          <w:sz w:val="24"/>
          <w:szCs w:val="24"/>
          <w:highlight w:val="none"/>
        </w:rPr>
      </w:pPr>
      <w:r>
        <w:rPr>
          <w:rFonts w:hint="eastAsia" w:ascii="宋体" w:hAnsi="宋体" w:cs="宋体"/>
          <w:sz w:val="24"/>
          <w:szCs w:val="24"/>
          <w:highlight w:val="none"/>
        </w:rPr>
        <w:t>年    月    日</w:t>
      </w:r>
    </w:p>
    <w:p w14:paraId="0B5A4F00">
      <w:pPr>
        <w:snapToGrid w:val="0"/>
        <w:spacing w:before="156" w:beforeLines="50" w:after="50" w:line="360" w:lineRule="auto"/>
        <w:ind w:left="142"/>
        <w:jc w:val="left"/>
        <w:rPr>
          <w:rFonts w:ascii="宋体" w:hAnsi="宋体" w:cs="宋体"/>
          <w:b/>
          <w:bCs/>
          <w:sz w:val="21"/>
          <w:szCs w:val="21"/>
          <w:highlight w:val="none"/>
        </w:rPr>
      </w:pPr>
      <w:r>
        <w:rPr>
          <w:rFonts w:hint="eastAsia" w:ascii="宋体" w:hAnsi="宋体" w:cs="宋体"/>
          <w:sz w:val="24"/>
          <w:highlight w:val="none"/>
        </w:rPr>
        <w:br w:type="page"/>
      </w:r>
      <w:r>
        <w:rPr>
          <w:rFonts w:hint="eastAsia" w:ascii="宋体" w:hAnsi="宋体" w:cs="宋体"/>
          <w:b/>
          <w:bCs/>
          <w:sz w:val="21"/>
          <w:szCs w:val="21"/>
          <w:highlight w:val="none"/>
        </w:rPr>
        <w:t>报价商务技术文件目录</w:t>
      </w:r>
    </w:p>
    <w:p w14:paraId="22956295">
      <w:pPr>
        <w:snapToGrid w:val="0"/>
        <w:spacing w:before="156" w:beforeLines="50" w:after="50"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根据磋商文件规定及供应商提供的材料自行编写目录（部分格式后附）。</w:t>
      </w:r>
    </w:p>
    <w:p w14:paraId="57F3AEB7">
      <w:pPr>
        <w:spacing w:line="400" w:lineRule="exact"/>
        <w:rPr>
          <w:rFonts w:ascii="宋体" w:hAnsi="宋体" w:cs="宋体"/>
          <w:sz w:val="32"/>
          <w:szCs w:val="32"/>
          <w:highlight w:val="none"/>
        </w:rPr>
      </w:pPr>
    </w:p>
    <w:p w14:paraId="2EBDA7DF">
      <w:pPr>
        <w:jc w:val="center"/>
        <w:rPr>
          <w:rFonts w:hint="eastAsia" w:ascii="宋体" w:hAnsi="宋体" w:cs="宋体"/>
          <w:sz w:val="44"/>
          <w:szCs w:val="44"/>
          <w:highlight w:val="none"/>
        </w:rPr>
      </w:pPr>
      <w:r>
        <w:rPr>
          <w:rFonts w:hint="eastAsia" w:ascii="宋体" w:hAnsi="宋体" w:cs="宋体"/>
          <w:sz w:val="44"/>
          <w:szCs w:val="44"/>
          <w:highlight w:val="none"/>
        </w:rPr>
        <w:br w:type="page"/>
      </w:r>
    </w:p>
    <w:p w14:paraId="22874050">
      <w:pPr>
        <w:pStyle w:val="3"/>
        <w:bidi w:val="0"/>
        <w:rPr>
          <w:rFonts w:hint="default" w:eastAsia="宋体"/>
          <w:highlight w:val="none"/>
          <w:lang w:val="en-US" w:eastAsia="zh-CN"/>
        </w:rPr>
      </w:pPr>
      <w:r>
        <w:rPr>
          <w:rFonts w:hint="eastAsia"/>
          <w:highlight w:val="none"/>
          <w:lang w:val="en-US" w:eastAsia="zh-CN"/>
        </w:rPr>
        <w:t>一）、报价文件</w:t>
      </w:r>
    </w:p>
    <w:p w14:paraId="48E2D316">
      <w:pPr>
        <w:pStyle w:val="3"/>
        <w:bidi w:val="0"/>
        <w:rPr>
          <w:rFonts w:hint="eastAsia"/>
          <w:highlight w:val="none"/>
        </w:rPr>
      </w:pPr>
      <w:r>
        <w:rPr>
          <w:rFonts w:hint="eastAsia"/>
          <w:highlight w:val="none"/>
        </w:rPr>
        <w:t>1.无串通参与竞争性磋商行为的承诺函（格式后附）；</w:t>
      </w:r>
    </w:p>
    <w:p w14:paraId="6D540FAB">
      <w:pPr>
        <w:bidi w:val="0"/>
        <w:jc w:val="center"/>
        <w:rPr>
          <w:highlight w:val="none"/>
        </w:rPr>
      </w:pPr>
      <w:r>
        <w:rPr>
          <w:rFonts w:hint="eastAsia"/>
          <w:highlight w:val="none"/>
        </w:rPr>
        <w:t>无串通参与竞争性磋商行为的承诺函</w:t>
      </w:r>
    </w:p>
    <w:p w14:paraId="15FD559B">
      <w:pPr>
        <w:spacing w:line="360" w:lineRule="auto"/>
        <w:ind w:firstLine="640" w:firstLineChars="200"/>
        <w:contextualSpacing/>
        <w:rPr>
          <w:rFonts w:ascii="宋体" w:hAnsi="宋体" w:cs="宋体"/>
          <w:sz w:val="32"/>
          <w:szCs w:val="32"/>
          <w:highlight w:val="none"/>
        </w:rPr>
      </w:pPr>
    </w:p>
    <w:p w14:paraId="6B5BACA6">
      <w:pPr>
        <w:spacing w:line="360" w:lineRule="auto"/>
        <w:ind w:firstLine="422" w:firstLineChars="200"/>
        <w:contextualSpacing/>
        <w:rPr>
          <w:rFonts w:ascii="宋体" w:hAnsi="宋体" w:cs="宋体"/>
          <w:b/>
          <w:bCs/>
          <w:sz w:val="21"/>
          <w:szCs w:val="21"/>
          <w:highlight w:val="none"/>
        </w:rPr>
      </w:pPr>
      <w:r>
        <w:rPr>
          <w:rFonts w:hint="eastAsia" w:ascii="宋体" w:hAnsi="宋体" w:cs="宋体"/>
          <w:b/>
          <w:bCs/>
          <w:sz w:val="21"/>
          <w:szCs w:val="21"/>
          <w:highlight w:val="none"/>
        </w:rPr>
        <w:t>一、我方承诺无下列相互串通参与</w:t>
      </w:r>
      <w:r>
        <w:rPr>
          <w:rFonts w:hint="eastAsia" w:ascii="宋体" w:hAnsi="宋体" w:cs="宋体"/>
          <w:sz w:val="21"/>
          <w:szCs w:val="21"/>
          <w:highlight w:val="none"/>
        </w:rPr>
        <w:t>竞争性磋商</w:t>
      </w:r>
      <w:r>
        <w:rPr>
          <w:rFonts w:hint="eastAsia" w:ascii="宋体" w:hAnsi="宋体" w:cs="宋体"/>
          <w:b/>
          <w:bCs/>
          <w:sz w:val="21"/>
          <w:szCs w:val="21"/>
          <w:highlight w:val="none"/>
        </w:rPr>
        <w:t>的情形：</w:t>
      </w:r>
    </w:p>
    <w:p w14:paraId="40551EB2">
      <w:pPr>
        <w:spacing w:line="360" w:lineRule="auto"/>
        <w:ind w:firstLine="420" w:firstLineChars="200"/>
        <w:contextualSpacing/>
        <w:rPr>
          <w:rFonts w:hint="eastAsia" w:ascii="宋体" w:hAnsi="宋体" w:cs="宋体"/>
          <w:b w:val="0"/>
          <w:bCs w:val="0"/>
          <w:sz w:val="21"/>
          <w:szCs w:val="21"/>
          <w:highlight w:val="none"/>
          <w:lang w:val="en-US" w:eastAsia="zh-CN"/>
        </w:rPr>
      </w:pPr>
      <w:r>
        <w:rPr>
          <w:rFonts w:hint="eastAsia" w:ascii="宋体" w:hAnsi="宋体" w:cs="宋体"/>
          <w:b w:val="0"/>
          <w:bCs w:val="0"/>
          <w:sz w:val="21"/>
          <w:szCs w:val="21"/>
          <w:highlight w:val="none"/>
          <w:lang w:eastAsia="zh-CN"/>
        </w:rPr>
        <w:t>1</w:t>
      </w:r>
      <w:r>
        <w:rPr>
          <w:rFonts w:hint="eastAsia" w:ascii="宋体" w:hAnsi="宋体" w:cs="宋体"/>
          <w:b w:val="0"/>
          <w:bCs w:val="0"/>
          <w:sz w:val="21"/>
          <w:szCs w:val="21"/>
          <w:highlight w:val="none"/>
          <w:lang w:val="en-US" w:eastAsia="zh-CN"/>
        </w:rPr>
        <w:t>.</w:t>
      </w:r>
      <w:r>
        <w:rPr>
          <w:rFonts w:hint="eastAsia" w:ascii="宋体" w:hAnsi="宋体" w:cs="宋体"/>
          <w:b w:val="0"/>
          <w:bCs w:val="0"/>
          <w:sz w:val="21"/>
          <w:szCs w:val="21"/>
          <w:highlight w:val="none"/>
        </w:rPr>
        <w:t>不同供应商的响应文件由同一单位或者个人编制；或不同供应商报名的IP地址一致的</w:t>
      </w:r>
      <w:r>
        <w:rPr>
          <w:rFonts w:hint="eastAsia" w:ascii="宋体" w:hAnsi="宋体" w:cs="宋体"/>
          <w:b w:val="0"/>
          <w:bCs w:val="0"/>
          <w:sz w:val="21"/>
          <w:szCs w:val="21"/>
          <w:highlight w:val="none"/>
          <w:lang w:eastAsia="zh-CN"/>
        </w:rPr>
        <w:t>；或者编制响应文件硬件设备CPU编号、硬盘编号、网卡地址一致的情况；</w:t>
      </w:r>
    </w:p>
    <w:p w14:paraId="3FE9CD76">
      <w:pPr>
        <w:spacing w:line="360" w:lineRule="auto"/>
        <w:ind w:firstLine="420" w:firstLineChars="200"/>
        <w:contextualSpacing/>
        <w:rPr>
          <w:rFonts w:hint="eastAsia" w:ascii="宋体" w:hAnsi="宋体" w:cs="宋体"/>
          <w:b w:val="0"/>
          <w:bCs w:val="0"/>
          <w:sz w:val="21"/>
          <w:szCs w:val="21"/>
          <w:highlight w:val="none"/>
        </w:rPr>
      </w:pPr>
      <w:r>
        <w:rPr>
          <w:rFonts w:hint="eastAsia" w:ascii="宋体" w:hAnsi="宋体" w:cs="宋体"/>
          <w:b w:val="0"/>
          <w:bCs w:val="0"/>
          <w:sz w:val="21"/>
          <w:szCs w:val="21"/>
          <w:highlight w:val="none"/>
          <w:lang w:eastAsia="zh-CN"/>
        </w:rPr>
        <w:t>2</w:t>
      </w:r>
      <w:r>
        <w:rPr>
          <w:rFonts w:hint="eastAsia" w:ascii="宋体" w:hAnsi="宋体" w:cs="宋体"/>
          <w:b w:val="0"/>
          <w:bCs w:val="0"/>
          <w:sz w:val="21"/>
          <w:szCs w:val="21"/>
          <w:highlight w:val="none"/>
          <w:lang w:val="en-US" w:eastAsia="zh-CN"/>
        </w:rPr>
        <w:t>.</w:t>
      </w:r>
      <w:r>
        <w:rPr>
          <w:rFonts w:hint="eastAsia" w:ascii="宋体" w:hAnsi="宋体" w:cs="宋体"/>
          <w:b w:val="0"/>
          <w:bCs w:val="0"/>
          <w:sz w:val="21"/>
          <w:szCs w:val="21"/>
          <w:highlight w:val="none"/>
        </w:rPr>
        <w:t>不同供应商委托同一单位或者个人办理竞争性磋商事宜；</w:t>
      </w:r>
    </w:p>
    <w:p w14:paraId="3B1CF2CE">
      <w:pPr>
        <w:spacing w:line="360" w:lineRule="auto"/>
        <w:ind w:firstLine="420" w:firstLineChars="200"/>
        <w:contextualSpacing/>
        <w:rPr>
          <w:rFonts w:hint="eastAsia" w:ascii="宋体" w:hAnsi="宋体" w:cs="宋体"/>
          <w:b w:val="0"/>
          <w:bCs w:val="0"/>
          <w:sz w:val="21"/>
          <w:szCs w:val="21"/>
          <w:highlight w:val="none"/>
        </w:rPr>
      </w:pPr>
      <w:r>
        <w:rPr>
          <w:rFonts w:hint="eastAsia" w:ascii="宋体" w:hAnsi="宋体" w:cs="宋体"/>
          <w:b w:val="0"/>
          <w:bCs w:val="0"/>
          <w:sz w:val="21"/>
          <w:szCs w:val="21"/>
          <w:highlight w:val="none"/>
          <w:lang w:eastAsia="zh-CN"/>
        </w:rPr>
        <w:t>3</w:t>
      </w:r>
      <w:r>
        <w:rPr>
          <w:rFonts w:hint="eastAsia" w:ascii="宋体" w:hAnsi="宋体" w:cs="宋体"/>
          <w:b w:val="0"/>
          <w:bCs w:val="0"/>
          <w:sz w:val="21"/>
          <w:szCs w:val="21"/>
          <w:highlight w:val="none"/>
          <w:lang w:val="en-US" w:eastAsia="zh-CN"/>
        </w:rPr>
        <w:t>.</w:t>
      </w:r>
      <w:r>
        <w:rPr>
          <w:rFonts w:hint="eastAsia" w:ascii="宋体" w:hAnsi="宋体" w:cs="宋体"/>
          <w:b w:val="0"/>
          <w:bCs w:val="0"/>
          <w:sz w:val="21"/>
          <w:szCs w:val="21"/>
          <w:highlight w:val="none"/>
        </w:rPr>
        <w:t>不同的供应商的响应文件载明的项目管理员为同一个人；</w:t>
      </w:r>
    </w:p>
    <w:p w14:paraId="194F9972">
      <w:pPr>
        <w:spacing w:line="360" w:lineRule="auto"/>
        <w:ind w:firstLine="420" w:firstLineChars="200"/>
        <w:contextualSpacing/>
        <w:rPr>
          <w:rFonts w:hint="eastAsia" w:ascii="宋体" w:hAnsi="宋体" w:cs="宋体"/>
          <w:b w:val="0"/>
          <w:bCs w:val="0"/>
          <w:sz w:val="21"/>
          <w:szCs w:val="21"/>
          <w:highlight w:val="none"/>
        </w:rPr>
      </w:pPr>
      <w:r>
        <w:rPr>
          <w:rFonts w:hint="eastAsia" w:ascii="宋体" w:hAnsi="宋体" w:cs="宋体"/>
          <w:b w:val="0"/>
          <w:bCs w:val="0"/>
          <w:sz w:val="21"/>
          <w:szCs w:val="21"/>
          <w:highlight w:val="none"/>
          <w:lang w:eastAsia="zh-CN"/>
        </w:rPr>
        <w:t>4</w:t>
      </w:r>
      <w:r>
        <w:rPr>
          <w:rFonts w:hint="eastAsia" w:ascii="宋体" w:hAnsi="宋体" w:cs="宋体"/>
          <w:b w:val="0"/>
          <w:bCs w:val="0"/>
          <w:sz w:val="21"/>
          <w:szCs w:val="21"/>
          <w:highlight w:val="none"/>
          <w:lang w:val="en-US" w:eastAsia="zh-CN"/>
        </w:rPr>
        <w:t>.</w:t>
      </w:r>
      <w:r>
        <w:rPr>
          <w:rFonts w:hint="eastAsia" w:ascii="宋体" w:hAnsi="宋体" w:cs="宋体"/>
          <w:b w:val="0"/>
          <w:bCs w:val="0"/>
          <w:sz w:val="21"/>
          <w:szCs w:val="21"/>
          <w:highlight w:val="none"/>
        </w:rPr>
        <w:t>不同供应商的响应文件异常一致或者报价呈规律性差异；</w:t>
      </w:r>
    </w:p>
    <w:p w14:paraId="120FDB69">
      <w:pPr>
        <w:spacing w:line="360" w:lineRule="auto"/>
        <w:ind w:firstLine="420" w:firstLineChars="200"/>
        <w:contextualSpacing/>
        <w:rPr>
          <w:rFonts w:hint="eastAsia" w:ascii="宋体" w:hAnsi="宋体" w:cs="宋体"/>
          <w:b w:val="0"/>
          <w:bCs w:val="0"/>
          <w:sz w:val="21"/>
          <w:szCs w:val="21"/>
          <w:highlight w:val="none"/>
        </w:rPr>
      </w:pPr>
      <w:r>
        <w:rPr>
          <w:rFonts w:hint="eastAsia" w:ascii="宋体" w:hAnsi="宋体" w:cs="宋体"/>
          <w:b w:val="0"/>
          <w:bCs w:val="0"/>
          <w:sz w:val="21"/>
          <w:szCs w:val="21"/>
          <w:highlight w:val="none"/>
          <w:lang w:eastAsia="zh-CN"/>
        </w:rPr>
        <w:t>5</w:t>
      </w:r>
      <w:r>
        <w:rPr>
          <w:rFonts w:hint="eastAsia" w:ascii="宋体" w:hAnsi="宋体" w:cs="宋体"/>
          <w:b w:val="0"/>
          <w:bCs w:val="0"/>
          <w:sz w:val="21"/>
          <w:szCs w:val="21"/>
          <w:highlight w:val="none"/>
          <w:lang w:val="en-US" w:eastAsia="zh-CN"/>
        </w:rPr>
        <w:t>.</w:t>
      </w:r>
      <w:r>
        <w:rPr>
          <w:rFonts w:hint="eastAsia" w:ascii="宋体" w:hAnsi="宋体" w:cs="宋体"/>
          <w:b w:val="0"/>
          <w:bCs w:val="0"/>
          <w:sz w:val="21"/>
          <w:szCs w:val="21"/>
          <w:highlight w:val="none"/>
        </w:rPr>
        <w:t>不同供应商的响应文件相互混装；</w:t>
      </w:r>
    </w:p>
    <w:p w14:paraId="6344B8A8">
      <w:pPr>
        <w:spacing w:line="360" w:lineRule="auto"/>
        <w:ind w:firstLine="420" w:firstLineChars="200"/>
        <w:contextualSpacing/>
        <w:rPr>
          <w:rFonts w:hint="eastAsia" w:ascii="宋体" w:hAnsi="宋体" w:cs="宋体"/>
          <w:b w:val="0"/>
          <w:bCs w:val="0"/>
          <w:sz w:val="21"/>
          <w:szCs w:val="21"/>
          <w:highlight w:val="none"/>
        </w:rPr>
      </w:pPr>
      <w:r>
        <w:rPr>
          <w:rFonts w:hint="eastAsia" w:ascii="宋体" w:hAnsi="宋体" w:cs="宋体"/>
          <w:b w:val="0"/>
          <w:bCs w:val="0"/>
          <w:sz w:val="21"/>
          <w:szCs w:val="21"/>
          <w:highlight w:val="none"/>
          <w:lang w:eastAsia="zh-CN"/>
        </w:rPr>
        <w:t>6</w:t>
      </w:r>
      <w:r>
        <w:rPr>
          <w:rFonts w:hint="eastAsia" w:ascii="宋体" w:hAnsi="宋体" w:cs="宋体"/>
          <w:b w:val="0"/>
          <w:bCs w:val="0"/>
          <w:sz w:val="21"/>
          <w:szCs w:val="21"/>
          <w:highlight w:val="none"/>
          <w:lang w:val="en-US" w:eastAsia="zh-CN"/>
        </w:rPr>
        <w:t>.</w:t>
      </w:r>
      <w:r>
        <w:rPr>
          <w:rFonts w:hint="eastAsia" w:ascii="宋体" w:hAnsi="宋体" w:cs="宋体"/>
          <w:b w:val="0"/>
          <w:bCs w:val="0"/>
          <w:sz w:val="21"/>
          <w:szCs w:val="21"/>
          <w:highlight w:val="none"/>
        </w:rPr>
        <w:t>不同供应商的磋商保证金从同一单位或者个人账户转出。</w:t>
      </w:r>
      <w:r>
        <w:rPr>
          <w:rFonts w:hint="eastAsia" w:ascii="宋体" w:hAnsi="宋体" w:cs="宋体"/>
          <w:b w:val="0"/>
          <w:bCs w:val="0"/>
          <w:sz w:val="21"/>
          <w:szCs w:val="21"/>
          <w:highlight w:val="none"/>
        </w:rPr>
        <w:tab/>
      </w:r>
    </w:p>
    <w:p w14:paraId="494D1CA2">
      <w:pPr>
        <w:spacing w:line="360" w:lineRule="auto"/>
        <w:ind w:firstLine="420" w:firstLineChars="200"/>
        <w:contextualSpacing/>
        <w:rPr>
          <w:rFonts w:hint="eastAsia" w:ascii="宋体" w:hAnsi="宋体" w:cs="宋体"/>
          <w:b w:val="0"/>
          <w:bCs w:val="0"/>
          <w:sz w:val="21"/>
          <w:szCs w:val="21"/>
          <w:highlight w:val="none"/>
        </w:rPr>
      </w:pPr>
      <w:r>
        <w:rPr>
          <w:rFonts w:hint="eastAsia" w:ascii="宋体" w:hAnsi="宋体" w:cs="宋体"/>
          <w:b w:val="0"/>
          <w:bCs w:val="0"/>
          <w:sz w:val="21"/>
          <w:szCs w:val="21"/>
          <w:highlight w:val="none"/>
          <w:lang w:eastAsia="zh-CN"/>
        </w:rPr>
        <w:t>7</w:t>
      </w:r>
      <w:r>
        <w:rPr>
          <w:rFonts w:hint="eastAsia" w:ascii="宋体" w:hAnsi="宋体" w:cs="宋体"/>
          <w:b w:val="0"/>
          <w:bCs w:val="0"/>
          <w:sz w:val="21"/>
          <w:szCs w:val="21"/>
          <w:highlight w:val="none"/>
          <w:lang w:val="en-US" w:eastAsia="zh-CN"/>
        </w:rPr>
        <w:t>.</w:t>
      </w:r>
      <w:r>
        <w:rPr>
          <w:rFonts w:hint="eastAsia" w:ascii="宋体" w:hAnsi="宋体" w:cs="宋体"/>
          <w:b w:val="0"/>
          <w:bCs w:val="0"/>
          <w:sz w:val="21"/>
          <w:szCs w:val="21"/>
          <w:highlight w:val="none"/>
        </w:rPr>
        <w:t>供应商之间协商报价等响应文件的实质性内容；</w:t>
      </w:r>
    </w:p>
    <w:p w14:paraId="22DC8829">
      <w:pPr>
        <w:spacing w:line="360" w:lineRule="auto"/>
        <w:ind w:firstLine="420" w:firstLineChars="200"/>
        <w:contextualSpacing/>
        <w:rPr>
          <w:rFonts w:hint="eastAsia" w:ascii="宋体" w:hAnsi="宋体" w:cs="宋体"/>
          <w:b w:val="0"/>
          <w:bCs w:val="0"/>
          <w:sz w:val="21"/>
          <w:szCs w:val="21"/>
          <w:highlight w:val="none"/>
        </w:rPr>
      </w:pPr>
      <w:r>
        <w:rPr>
          <w:rFonts w:hint="eastAsia" w:ascii="宋体" w:hAnsi="宋体" w:cs="宋体"/>
          <w:b w:val="0"/>
          <w:bCs w:val="0"/>
          <w:sz w:val="21"/>
          <w:szCs w:val="21"/>
          <w:highlight w:val="none"/>
          <w:lang w:eastAsia="zh-CN"/>
        </w:rPr>
        <w:t>8</w:t>
      </w:r>
      <w:r>
        <w:rPr>
          <w:rFonts w:hint="eastAsia" w:ascii="宋体" w:hAnsi="宋体" w:cs="宋体"/>
          <w:b w:val="0"/>
          <w:bCs w:val="0"/>
          <w:sz w:val="21"/>
          <w:szCs w:val="21"/>
          <w:highlight w:val="none"/>
          <w:lang w:val="en-US" w:eastAsia="zh-CN"/>
        </w:rPr>
        <w:t>.</w:t>
      </w:r>
      <w:r>
        <w:rPr>
          <w:rFonts w:hint="eastAsia" w:ascii="宋体" w:hAnsi="宋体" w:cs="宋体"/>
          <w:b w:val="0"/>
          <w:bCs w:val="0"/>
          <w:sz w:val="21"/>
          <w:szCs w:val="21"/>
          <w:highlight w:val="none"/>
        </w:rPr>
        <w:t>供应商之间约定成交供应商；</w:t>
      </w:r>
    </w:p>
    <w:p w14:paraId="16A9D17B">
      <w:pPr>
        <w:spacing w:line="360" w:lineRule="auto"/>
        <w:ind w:firstLine="420" w:firstLineChars="200"/>
        <w:contextualSpacing/>
        <w:rPr>
          <w:rFonts w:hint="eastAsia" w:ascii="宋体" w:hAnsi="宋体" w:cs="宋体"/>
          <w:b w:val="0"/>
          <w:bCs w:val="0"/>
          <w:sz w:val="21"/>
          <w:szCs w:val="21"/>
          <w:highlight w:val="none"/>
        </w:rPr>
      </w:pPr>
      <w:r>
        <w:rPr>
          <w:rFonts w:hint="eastAsia" w:ascii="宋体" w:hAnsi="宋体" w:cs="宋体"/>
          <w:b w:val="0"/>
          <w:bCs w:val="0"/>
          <w:sz w:val="21"/>
          <w:szCs w:val="21"/>
          <w:highlight w:val="none"/>
          <w:lang w:eastAsia="zh-CN"/>
        </w:rPr>
        <w:t>9</w:t>
      </w:r>
      <w:r>
        <w:rPr>
          <w:rFonts w:hint="eastAsia" w:ascii="宋体" w:hAnsi="宋体" w:cs="宋体"/>
          <w:b w:val="0"/>
          <w:bCs w:val="0"/>
          <w:sz w:val="21"/>
          <w:szCs w:val="21"/>
          <w:highlight w:val="none"/>
          <w:lang w:val="en-US" w:eastAsia="zh-CN"/>
        </w:rPr>
        <w:t>.</w:t>
      </w:r>
      <w:r>
        <w:rPr>
          <w:rFonts w:hint="eastAsia" w:ascii="宋体" w:hAnsi="宋体" w:cs="宋体"/>
          <w:b w:val="0"/>
          <w:bCs w:val="0"/>
          <w:sz w:val="21"/>
          <w:szCs w:val="21"/>
          <w:highlight w:val="none"/>
        </w:rPr>
        <w:t>供应商之间约定部分供应商放弃参与竞争性磋商或者成交；</w:t>
      </w:r>
    </w:p>
    <w:p w14:paraId="5B0E88BD">
      <w:pPr>
        <w:spacing w:line="360" w:lineRule="auto"/>
        <w:ind w:firstLine="420" w:firstLineChars="200"/>
        <w:contextualSpacing/>
        <w:rPr>
          <w:rFonts w:hint="eastAsia" w:ascii="宋体" w:hAnsi="宋体" w:cs="宋体"/>
          <w:b w:val="0"/>
          <w:bCs w:val="0"/>
          <w:sz w:val="21"/>
          <w:szCs w:val="21"/>
          <w:highlight w:val="none"/>
        </w:rPr>
      </w:pPr>
      <w:r>
        <w:rPr>
          <w:rFonts w:hint="eastAsia" w:ascii="宋体" w:hAnsi="宋体" w:cs="宋体"/>
          <w:b w:val="0"/>
          <w:bCs w:val="0"/>
          <w:sz w:val="21"/>
          <w:szCs w:val="21"/>
          <w:highlight w:val="none"/>
          <w:lang w:eastAsia="zh-CN"/>
        </w:rPr>
        <w:t>1</w:t>
      </w:r>
      <w:r>
        <w:rPr>
          <w:rFonts w:hint="eastAsia" w:ascii="宋体" w:hAnsi="宋体" w:cs="宋体"/>
          <w:b w:val="0"/>
          <w:bCs w:val="0"/>
          <w:sz w:val="21"/>
          <w:szCs w:val="21"/>
          <w:highlight w:val="none"/>
          <w:lang w:val="en-US" w:eastAsia="zh-CN"/>
        </w:rPr>
        <w:t>0.</w:t>
      </w:r>
      <w:r>
        <w:rPr>
          <w:rFonts w:hint="eastAsia" w:ascii="宋体" w:hAnsi="宋体" w:cs="宋体"/>
          <w:b w:val="0"/>
          <w:bCs w:val="0"/>
          <w:sz w:val="21"/>
          <w:szCs w:val="21"/>
          <w:highlight w:val="none"/>
        </w:rPr>
        <w:t>属于同一集团、协会、商会等组织成员的供应商按照该组织要求协同参与竞争性磋商；</w:t>
      </w:r>
    </w:p>
    <w:p w14:paraId="5FB10EA4">
      <w:pPr>
        <w:spacing w:line="360" w:lineRule="auto"/>
        <w:ind w:firstLine="420" w:firstLineChars="200"/>
        <w:contextualSpacing/>
        <w:rPr>
          <w:rFonts w:hint="eastAsia" w:ascii="宋体" w:hAnsi="宋体" w:cs="宋体"/>
          <w:b w:val="0"/>
          <w:bCs w:val="0"/>
          <w:sz w:val="21"/>
          <w:szCs w:val="21"/>
          <w:highlight w:val="none"/>
        </w:rPr>
      </w:pPr>
      <w:r>
        <w:rPr>
          <w:rFonts w:hint="eastAsia" w:ascii="宋体" w:hAnsi="宋体" w:cs="宋体"/>
          <w:b w:val="0"/>
          <w:bCs w:val="0"/>
          <w:sz w:val="21"/>
          <w:szCs w:val="21"/>
          <w:highlight w:val="none"/>
          <w:lang w:eastAsia="zh-CN"/>
        </w:rPr>
        <w:t>1</w:t>
      </w:r>
      <w:r>
        <w:rPr>
          <w:rFonts w:hint="eastAsia" w:ascii="宋体" w:hAnsi="宋体" w:cs="宋体"/>
          <w:b w:val="0"/>
          <w:bCs w:val="0"/>
          <w:sz w:val="21"/>
          <w:szCs w:val="21"/>
          <w:highlight w:val="none"/>
          <w:lang w:val="en-US" w:eastAsia="zh-CN"/>
        </w:rPr>
        <w:t>1.</w:t>
      </w:r>
      <w:r>
        <w:rPr>
          <w:rFonts w:hint="eastAsia" w:ascii="宋体" w:hAnsi="宋体" w:cs="宋体"/>
          <w:b w:val="0"/>
          <w:bCs w:val="0"/>
          <w:sz w:val="21"/>
          <w:szCs w:val="21"/>
          <w:highlight w:val="none"/>
        </w:rPr>
        <w:t>供应商之间为谋取成交或者排斥特定供应商而采取的其他联合行动。</w:t>
      </w:r>
    </w:p>
    <w:p w14:paraId="27C18EF8">
      <w:pPr>
        <w:spacing w:line="360" w:lineRule="auto"/>
        <w:ind w:firstLine="422" w:firstLineChars="200"/>
        <w:contextualSpacing/>
        <w:rPr>
          <w:rFonts w:ascii="宋体" w:hAnsi="宋体" w:cs="宋体"/>
          <w:b/>
          <w:bCs/>
          <w:sz w:val="21"/>
          <w:szCs w:val="21"/>
          <w:highlight w:val="none"/>
        </w:rPr>
      </w:pPr>
      <w:r>
        <w:rPr>
          <w:rFonts w:hint="eastAsia" w:ascii="宋体" w:hAnsi="宋体" w:cs="宋体"/>
          <w:b/>
          <w:bCs/>
          <w:sz w:val="21"/>
          <w:szCs w:val="21"/>
          <w:highlight w:val="none"/>
        </w:rPr>
        <w:t>二、我方承诺无下列恶意串通的情形：</w:t>
      </w:r>
    </w:p>
    <w:p w14:paraId="724A56EE">
      <w:pPr>
        <w:spacing w:line="360" w:lineRule="auto"/>
        <w:ind w:firstLine="420" w:firstLineChars="200"/>
        <w:contextualSpacing/>
        <w:rPr>
          <w:rFonts w:ascii="宋体" w:hAnsi="宋体" w:cs="宋体"/>
          <w:sz w:val="21"/>
          <w:szCs w:val="21"/>
          <w:highlight w:val="none"/>
        </w:rPr>
      </w:pPr>
      <w:r>
        <w:rPr>
          <w:rFonts w:hint="eastAsia" w:ascii="宋体" w:hAnsi="宋体" w:cs="宋体"/>
          <w:sz w:val="21"/>
          <w:szCs w:val="21"/>
          <w:highlight w:val="none"/>
        </w:rPr>
        <w:t>1.供应商直接或者间接从采购人或者采购代理机构处获得其他供应商的相关信息并修改其响应文件；</w:t>
      </w:r>
    </w:p>
    <w:p w14:paraId="6DE03773">
      <w:pPr>
        <w:spacing w:line="360" w:lineRule="auto"/>
        <w:ind w:firstLine="420" w:firstLineChars="200"/>
        <w:contextualSpacing/>
        <w:rPr>
          <w:rFonts w:ascii="宋体" w:hAnsi="宋体" w:cs="宋体"/>
          <w:sz w:val="21"/>
          <w:szCs w:val="21"/>
          <w:highlight w:val="none"/>
        </w:rPr>
      </w:pPr>
      <w:r>
        <w:rPr>
          <w:rFonts w:hint="eastAsia" w:ascii="宋体" w:hAnsi="宋体" w:cs="宋体"/>
          <w:sz w:val="21"/>
          <w:szCs w:val="21"/>
          <w:highlight w:val="none"/>
        </w:rPr>
        <w:t>2.供应商按照采购人或者采购代理机构的授意撤换、修改响应文件；</w:t>
      </w:r>
    </w:p>
    <w:p w14:paraId="789E18B2">
      <w:pPr>
        <w:spacing w:line="360" w:lineRule="auto"/>
        <w:ind w:firstLine="420" w:firstLineChars="200"/>
        <w:contextualSpacing/>
        <w:rPr>
          <w:rFonts w:ascii="宋体" w:hAnsi="宋体" w:cs="宋体"/>
          <w:sz w:val="21"/>
          <w:szCs w:val="21"/>
          <w:highlight w:val="none"/>
        </w:rPr>
      </w:pPr>
      <w:r>
        <w:rPr>
          <w:rFonts w:hint="eastAsia" w:ascii="宋体" w:hAnsi="宋体" w:cs="宋体"/>
          <w:sz w:val="21"/>
          <w:szCs w:val="21"/>
          <w:highlight w:val="none"/>
        </w:rPr>
        <w:t>3.供</w:t>
      </w:r>
      <w:r>
        <w:rPr>
          <w:rFonts w:hint="eastAsia" w:ascii="宋体" w:hAnsi="宋体" w:cs="宋体"/>
          <w:spacing w:val="-6"/>
          <w:sz w:val="21"/>
          <w:szCs w:val="21"/>
          <w:highlight w:val="none"/>
        </w:rPr>
        <w:t>应商之间协商报价、技术方案等响应文件的实质性内容；</w:t>
      </w:r>
    </w:p>
    <w:p w14:paraId="4256F417">
      <w:pPr>
        <w:spacing w:line="360" w:lineRule="auto"/>
        <w:ind w:firstLine="420" w:firstLineChars="200"/>
        <w:contextualSpacing/>
        <w:rPr>
          <w:rFonts w:ascii="宋体" w:hAnsi="宋体" w:cs="宋体"/>
          <w:sz w:val="21"/>
          <w:szCs w:val="21"/>
          <w:highlight w:val="none"/>
        </w:rPr>
      </w:pPr>
      <w:r>
        <w:rPr>
          <w:rFonts w:hint="eastAsia" w:ascii="宋体" w:hAnsi="宋体" w:cs="宋体"/>
          <w:sz w:val="21"/>
          <w:szCs w:val="21"/>
          <w:highlight w:val="none"/>
        </w:rPr>
        <w:t>4.属于同一集团、协会、商会等组织成员的供应商按照该组织要求协同参加政府采购活动；</w:t>
      </w:r>
    </w:p>
    <w:p w14:paraId="5DA5CF75">
      <w:pPr>
        <w:spacing w:line="360" w:lineRule="auto"/>
        <w:ind w:firstLine="420" w:firstLineChars="200"/>
        <w:contextualSpacing/>
        <w:rPr>
          <w:rFonts w:ascii="宋体" w:hAnsi="宋体" w:cs="宋体"/>
          <w:sz w:val="21"/>
          <w:szCs w:val="21"/>
          <w:highlight w:val="none"/>
        </w:rPr>
      </w:pPr>
      <w:r>
        <w:rPr>
          <w:rFonts w:hint="eastAsia" w:ascii="宋体" w:hAnsi="宋体" w:cs="宋体"/>
          <w:sz w:val="21"/>
          <w:szCs w:val="21"/>
          <w:highlight w:val="none"/>
        </w:rPr>
        <w:t>5.供应商之间事先约定一致抬高或者压低竞争性磋商报价，或者在竞争性磋商项目中事先约定轮流以高价位或者低价位成交，或者事先约定由某一特定供应商成交，然后再参加竞争性磋商；</w:t>
      </w:r>
    </w:p>
    <w:p w14:paraId="2A427023">
      <w:pPr>
        <w:spacing w:line="360" w:lineRule="auto"/>
        <w:ind w:firstLine="420" w:firstLineChars="200"/>
        <w:contextualSpacing/>
        <w:rPr>
          <w:rFonts w:ascii="宋体" w:hAnsi="宋体" w:cs="宋体"/>
          <w:sz w:val="21"/>
          <w:szCs w:val="21"/>
          <w:highlight w:val="none"/>
        </w:rPr>
      </w:pPr>
      <w:r>
        <w:rPr>
          <w:rFonts w:hint="eastAsia" w:ascii="宋体" w:hAnsi="宋体" w:cs="宋体"/>
          <w:sz w:val="21"/>
          <w:szCs w:val="21"/>
          <w:highlight w:val="none"/>
        </w:rPr>
        <w:t>6.供应商之间商定部分供应商放弃参加政府采购活动或者放弃成交；</w:t>
      </w:r>
    </w:p>
    <w:p w14:paraId="55CB641B">
      <w:pPr>
        <w:spacing w:line="360" w:lineRule="auto"/>
        <w:ind w:firstLine="420" w:firstLineChars="200"/>
        <w:contextualSpacing/>
        <w:rPr>
          <w:rFonts w:ascii="宋体" w:hAnsi="宋体" w:cs="宋体"/>
          <w:sz w:val="21"/>
          <w:szCs w:val="21"/>
          <w:highlight w:val="none"/>
        </w:rPr>
      </w:pPr>
      <w:r>
        <w:rPr>
          <w:rFonts w:hint="eastAsia" w:ascii="宋体" w:hAnsi="宋体" w:cs="宋体"/>
          <w:sz w:val="21"/>
          <w:szCs w:val="21"/>
          <w:highlight w:val="none"/>
        </w:rPr>
        <w:t>7.供应商与采购人或者采购代理机构之间、供应商相互之间，为</w:t>
      </w:r>
      <w:r>
        <w:rPr>
          <w:rFonts w:hint="eastAsia" w:ascii="宋体" w:hAnsi="宋体" w:cs="宋体"/>
          <w:spacing w:val="-6"/>
          <w:sz w:val="21"/>
          <w:szCs w:val="21"/>
          <w:highlight w:val="none"/>
        </w:rPr>
        <w:t>谋求特定供应商成交或者排斥其他供应商的其他串通行为。</w:t>
      </w:r>
    </w:p>
    <w:p w14:paraId="6BCD06EF">
      <w:pPr>
        <w:spacing w:line="360" w:lineRule="auto"/>
        <w:ind w:firstLine="420" w:firstLineChars="200"/>
        <w:contextualSpacing/>
        <w:rPr>
          <w:rFonts w:ascii="宋体" w:hAnsi="宋体" w:cs="宋体"/>
          <w:sz w:val="21"/>
          <w:szCs w:val="21"/>
          <w:highlight w:val="none"/>
        </w:rPr>
      </w:pPr>
    </w:p>
    <w:p w14:paraId="4DEBC5A8">
      <w:pPr>
        <w:spacing w:line="360" w:lineRule="auto"/>
        <w:ind w:firstLine="422" w:firstLineChars="200"/>
        <w:contextualSpacing/>
        <w:rPr>
          <w:rFonts w:ascii="宋体" w:hAnsi="宋体" w:cs="宋体"/>
          <w:b/>
          <w:bCs/>
          <w:sz w:val="21"/>
          <w:szCs w:val="21"/>
          <w:highlight w:val="none"/>
        </w:rPr>
      </w:pPr>
      <w:r>
        <w:rPr>
          <w:rFonts w:hint="eastAsia" w:ascii="宋体" w:hAnsi="宋体" w:cs="宋体"/>
          <w:b/>
          <w:bCs/>
          <w:sz w:val="21"/>
          <w:szCs w:val="21"/>
          <w:highlight w:val="none"/>
        </w:rPr>
        <w:t>以上情形一经核查属实，我方愿意承担一切后果，并不再寻求任何旨在减轻或者免除法律责任的辩解。</w:t>
      </w:r>
    </w:p>
    <w:p w14:paraId="6333EFAE">
      <w:pPr>
        <w:spacing w:line="360" w:lineRule="auto"/>
        <w:ind w:firstLine="4410" w:firstLineChars="2100"/>
        <w:contextualSpacing/>
        <w:rPr>
          <w:rFonts w:ascii="宋体" w:hAnsi="宋体" w:cs="宋体"/>
          <w:sz w:val="21"/>
          <w:szCs w:val="21"/>
          <w:highlight w:val="none"/>
          <w:u w:val="single"/>
        </w:rPr>
      </w:pPr>
      <w:r>
        <w:rPr>
          <w:rFonts w:hint="eastAsia" w:ascii="宋体" w:hAnsi="宋体" w:cs="宋体"/>
          <w:sz w:val="21"/>
          <w:szCs w:val="21"/>
          <w:highlight w:val="none"/>
        </w:rPr>
        <w:t>供应商（公章</w:t>
      </w:r>
      <w:r>
        <w:rPr>
          <w:rFonts w:hint="eastAsia" w:ascii="宋体" w:hAnsi="宋体" w:eastAsia="宋体" w:cs="宋体"/>
          <w:color w:val="auto"/>
          <w:sz w:val="21"/>
          <w:szCs w:val="21"/>
          <w:highlight w:val="none"/>
          <w:lang w:eastAsia="zh-CN"/>
        </w:rPr>
        <w:t>（CA签章）</w:t>
      </w:r>
      <w:r>
        <w:rPr>
          <w:rFonts w:hint="eastAsia" w:ascii="宋体" w:hAnsi="宋体" w:cs="宋体"/>
          <w:sz w:val="21"/>
          <w:szCs w:val="21"/>
          <w:highlight w:val="none"/>
        </w:rPr>
        <w:t>）：</w:t>
      </w:r>
      <w:r>
        <w:rPr>
          <w:rFonts w:hint="eastAsia" w:ascii="宋体" w:hAnsi="宋体" w:cs="宋体"/>
          <w:sz w:val="21"/>
          <w:szCs w:val="21"/>
          <w:highlight w:val="none"/>
          <w:u w:val="single"/>
        </w:rPr>
        <w:t xml:space="preserve"> </w:t>
      </w:r>
      <w:r>
        <w:rPr>
          <w:rFonts w:ascii="宋体" w:hAnsi="宋体" w:cs="宋体"/>
          <w:sz w:val="21"/>
          <w:szCs w:val="21"/>
          <w:highlight w:val="none"/>
          <w:u w:val="single"/>
        </w:rPr>
        <w:t xml:space="preserve">              </w:t>
      </w:r>
    </w:p>
    <w:p w14:paraId="2F73AA85">
      <w:pPr>
        <w:spacing w:line="360" w:lineRule="auto"/>
        <w:ind w:firstLine="420" w:firstLineChars="200"/>
        <w:contextualSpacing/>
        <w:jc w:val="center"/>
        <w:rPr>
          <w:rFonts w:ascii="宋体" w:hAnsi="宋体" w:cs="宋体"/>
          <w:sz w:val="21"/>
          <w:szCs w:val="21"/>
          <w:highlight w:val="none"/>
        </w:rPr>
      </w:pPr>
      <w:r>
        <w:rPr>
          <w:rFonts w:hint="eastAsia" w:ascii="宋体" w:hAnsi="宋体" w:cs="宋体"/>
          <w:sz w:val="21"/>
          <w:szCs w:val="21"/>
          <w:highlight w:val="none"/>
        </w:rPr>
        <w:t xml:space="preserve">                           </w:t>
      </w:r>
      <w:r>
        <w:rPr>
          <w:rFonts w:hint="eastAsia" w:hAnsi="宋体" w:cs="宋体"/>
          <w:sz w:val="21"/>
          <w:szCs w:val="21"/>
          <w:highlight w:val="none"/>
        </w:rPr>
        <w:t>日期：</w:t>
      </w:r>
      <w:r>
        <w:rPr>
          <w:rFonts w:hint="eastAsia" w:ascii="宋体" w:hAnsi="宋体" w:cs="宋体"/>
          <w:sz w:val="21"/>
          <w:szCs w:val="21"/>
          <w:highlight w:val="none"/>
          <w:u w:val="single"/>
        </w:rPr>
        <w:t xml:space="preserve">    </w:t>
      </w:r>
      <w:r>
        <w:rPr>
          <w:rFonts w:hint="eastAsia" w:ascii="宋体" w:hAnsi="宋体" w:cs="宋体"/>
          <w:sz w:val="21"/>
          <w:szCs w:val="21"/>
          <w:highlight w:val="none"/>
        </w:rPr>
        <w:t>年</w:t>
      </w:r>
      <w:r>
        <w:rPr>
          <w:rFonts w:hint="eastAsia" w:ascii="宋体" w:hAnsi="宋体" w:cs="宋体"/>
          <w:sz w:val="21"/>
          <w:szCs w:val="21"/>
          <w:highlight w:val="none"/>
          <w:u w:val="single"/>
        </w:rPr>
        <w:t xml:space="preserve">   </w:t>
      </w:r>
      <w:r>
        <w:rPr>
          <w:rFonts w:hint="eastAsia" w:ascii="宋体" w:hAnsi="宋体" w:cs="宋体"/>
          <w:sz w:val="21"/>
          <w:szCs w:val="21"/>
          <w:highlight w:val="none"/>
        </w:rPr>
        <w:t>月</w:t>
      </w:r>
      <w:r>
        <w:rPr>
          <w:rFonts w:hint="eastAsia" w:ascii="宋体" w:hAnsi="宋体" w:cs="宋体"/>
          <w:sz w:val="21"/>
          <w:szCs w:val="21"/>
          <w:highlight w:val="none"/>
          <w:u w:val="single"/>
        </w:rPr>
        <w:t xml:space="preserve">   </w:t>
      </w:r>
      <w:r>
        <w:rPr>
          <w:rFonts w:hint="eastAsia" w:ascii="宋体" w:hAnsi="宋体" w:cs="宋体"/>
          <w:sz w:val="21"/>
          <w:szCs w:val="21"/>
          <w:highlight w:val="none"/>
        </w:rPr>
        <w:t>日</w:t>
      </w:r>
    </w:p>
    <w:p w14:paraId="7E34E954">
      <w:pPr>
        <w:spacing w:line="360" w:lineRule="auto"/>
        <w:rPr>
          <w:rFonts w:hint="eastAsia" w:ascii="宋体" w:hAnsi="宋体" w:cs="宋体"/>
          <w:sz w:val="21"/>
          <w:szCs w:val="21"/>
          <w:highlight w:val="none"/>
        </w:rPr>
      </w:pPr>
    </w:p>
    <w:p w14:paraId="19B434CD">
      <w:pPr>
        <w:spacing w:line="360" w:lineRule="auto"/>
        <w:rPr>
          <w:rFonts w:hint="eastAsia" w:ascii="宋体" w:hAnsi="宋体" w:cs="宋体"/>
          <w:sz w:val="21"/>
          <w:szCs w:val="21"/>
          <w:highlight w:val="none"/>
        </w:rPr>
      </w:pPr>
      <w:r>
        <w:rPr>
          <w:rFonts w:hint="eastAsia" w:ascii="宋体" w:hAnsi="宋体" w:cs="宋体"/>
          <w:bCs/>
          <w:sz w:val="44"/>
          <w:szCs w:val="44"/>
          <w:highlight w:val="none"/>
        </w:rPr>
        <w:br w:type="page"/>
      </w:r>
    </w:p>
    <w:p w14:paraId="5DD070BA">
      <w:pPr>
        <w:pStyle w:val="3"/>
        <w:bidi w:val="0"/>
        <w:rPr>
          <w:highlight w:val="none"/>
        </w:rPr>
      </w:pPr>
      <w:r>
        <w:rPr>
          <w:rFonts w:hint="eastAsia"/>
          <w:highlight w:val="none"/>
          <w:lang w:val="en-US" w:eastAsia="zh-CN"/>
        </w:rPr>
        <w:t>2.</w:t>
      </w:r>
      <w:r>
        <w:rPr>
          <w:rFonts w:hint="eastAsia"/>
          <w:highlight w:val="none"/>
        </w:rPr>
        <w:t>竞争性磋商报价表</w:t>
      </w:r>
    </w:p>
    <w:p w14:paraId="20817F97">
      <w:pPr>
        <w:spacing w:line="440" w:lineRule="exact"/>
        <w:jc w:val="center"/>
        <w:rPr>
          <w:rFonts w:ascii="宋体" w:hAnsi="宋体" w:cs="宋体"/>
          <w:bCs/>
          <w:sz w:val="32"/>
          <w:szCs w:val="32"/>
          <w:highlight w:val="none"/>
        </w:rPr>
      </w:pPr>
    </w:p>
    <w:p w14:paraId="23088C8A">
      <w:pPr>
        <w:spacing w:line="360" w:lineRule="auto"/>
        <w:contextualSpacing/>
        <w:rPr>
          <w:rFonts w:ascii="宋体" w:hAnsi="宋体" w:cs="宋体"/>
          <w:sz w:val="21"/>
          <w:szCs w:val="21"/>
          <w:highlight w:val="none"/>
        </w:rPr>
      </w:pPr>
      <w:r>
        <w:rPr>
          <w:rFonts w:hint="eastAsia" w:ascii="宋体" w:hAnsi="宋体" w:cs="宋体"/>
          <w:sz w:val="21"/>
          <w:szCs w:val="21"/>
          <w:highlight w:val="none"/>
        </w:rPr>
        <w:t>项目名称：</w:t>
      </w:r>
      <w:r>
        <w:rPr>
          <w:rFonts w:hint="eastAsia" w:ascii="宋体" w:hAnsi="宋体" w:cs="宋体"/>
          <w:sz w:val="21"/>
          <w:szCs w:val="21"/>
          <w:highlight w:val="none"/>
          <w:u w:val="single"/>
        </w:rPr>
        <w:t xml:space="preserve">                </w:t>
      </w:r>
      <w:r>
        <w:rPr>
          <w:rFonts w:hint="eastAsia" w:ascii="宋体" w:hAnsi="宋体" w:cs="宋体"/>
          <w:sz w:val="21"/>
          <w:szCs w:val="21"/>
          <w:highlight w:val="none"/>
        </w:rPr>
        <w:t>项目编号：</w:t>
      </w:r>
      <w:r>
        <w:rPr>
          <w:rFonts w:hint="eastAsia" w:ascii="宋体" w:hAnsi="宋体" w:cs="宋体"/>
          <w:sz w:val="21"/>
          <w:szCs w:val="21"/>
          <w:highlight w:val="none"/>
          <w:u w:val="single"/>
        </w:rPr>
        <w:t xml:space="preserve">                   </w:t>
      </w:r>
      <w:r>
        <w:rPr>
          <w:rFonts w:hint="eastAsia" w:ascii="宋体" w:hAnsi="宋体" w:cs="宋体"/>
          <w:sz w:val="21"/>
          <w:szCs w:val="21"/>
          <w:highlight w:val="none"/>
        </w:rPr>
        <w:t xml:space="preserve">     </w:t>
      </w:r>
    </w:p>
    <w:p w14:paraId="1A0444F4">
      <w:pPr>
        <w:spacing w:line="360" w:lineRule="auto"/>
        <w:contextualSpacing/>
        <w:rPr>
          <w:rFonts w:ascii="宋体" w:hAnsi="宋体" w:cs="宋体"/>
          <w:sz w:val="21"/>
          <w:szCs w:val="21"/>
          <w:highlight w:val="none"/>
          <w:u w:val="single"/>
        </w:rPr>
      </w:pPr>
      <w:r>
        <w:rPr>
          <w:rFonts w:hint="eastAsia" w:ascii="宋体" w:hAnsi="宋体" w:cs="宋体"/>
          <w:sz w:val="21"/>
          <w:szCs w:val="21"/>
          <w:highlight w:val="none"/>
        </w:rPr>
        <w:t>分标（如有）：</w:t>
      </w:r>
      <w:r>
        <w:rPr>
          <w:rFonts w:hint="eastAsia" w:ascii="宋体" w:hAnsi="宋体" w:cs="宋体"/>
          <w:sz w:val="21"/>
          <w:szCs w:val="21"/>
          <w:highlight w:val="none"/>
          <w:u w:val="single"/>
        </w:rPr>
        <w:t xml:space="preserve">                                         </w:t>
      </w:r>
    </w:p>
    <w:p w14:paraId="30D60EAC">
      <w:pPr>
        <w:spacing w:line="360" w:lineRule="auto"/>
        <w:contextualSpacing/>
        <w:rPr>
          <w:rFonts w:ascii="宋体" w:hAnsi="宋体" w:cs="宋体"/>
          <w:sz w:val="21"/>
          <w:szCs w:val="21"/>
          <w:highlight w:val="none"/>
        </w:rPr>
      </w:pPr>
      <w:r>
        <w:rPr>
          <w:rFonts w:hint="eastAsia" w:ascii="宋体" w:hAnsi="宋体" w:cs="宋体"/>
          <w:sz w:val="21"/>
          <w:szCs w:val="21"/>
          <w:highlight w:val="none"/>
        </w:rPr>
        <w:t>供应商名称：</w:t>
      </w:r>
      <w:r>
        <w:rPr>
          <w:rFonts w:hint="eastAsia" w:ascii="宋体" w:hAnsi="宋体" w:cs="宋体"/>
          <w:sz w:val="21"/>
          <w:szCs w:val="21"/>
          <w:highlight w:val="none"/>
          <w:u w:val="single"/>
        </w:rPr>
        <w:t xml:space="preserve">                                           </w:t>
      </w:r>
      <w:r>
        <w:rPr>
          <w:rFonts w:hint="eastAsia" w:ascii="宋体" w:hAnsi="宋体" w:cs="宋体"/>
          <w:sz w:val="21"/>
          <w:szCs w:val="21"/>
          <w:highlight w:val="none"/>
        </w:rPr>
        <w:t xml:space="preserve">   </w:t>
      </w:r>
    </w:p>
    <w:p w14:paraId="1EFDA1A5">
      <w:pPr>
        <w:spacing w:line="360" w:lineRule="auto"/>
        <w:contextualSpacing/>
        <w:rPr>
          <w:rFonts w:ascii="宋体" w:hAnsi="宋体" w:cs="宋体"/>
          <w:sz w:val="21"/>
          <w:szCs w:val="21"/>
          <w:highlight w:val="none"/>
        </w:rPr>
      </w:pPr>
      <w:r>
        <w:rPr>
          <w:rFonts w:hint="eastAsia" w:ascii="宋体" w:hAnsi="宋体" w:cs="宋体"/>
          <w:sz w:val="21"/>
          <w:szCs w:val="21"/>
          <w:highlight w:val="none"/>
        </w:rPr>
        <w:t xml:space="preserve">                                                    货币单位：人民币元</w:t>
      </w:r>
    </w:p>
    <w:tbl>
      <w:tblPr>
        <w:tblStyle w:val="32"/>
        <w:tblW w:w="9777" w:type="dxa"/>
        <w:tblInd w:w="-2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7"/>
        <w:gridCol w:w="1213"/>
        <w:gridCol w:w="2400"/>
        <w:gridCol w:w="1320"/>
        <w:gridCol w:w="1200"/>
        <w:gridCol w:w="1300"/>
        <w:gridCol w:w="1207"/>
      </w:tblGrid>
      <w:tr w14:paraId="163EF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trPr>
        <w:tc>
          <w:tcPr>
            <w:tcW w:w="1137" w:type="dxa"/>
            <w:tcBorders>
              <w:top w:val="single" w:color="auto" w:sz="4" w:space="0"/>
              <w:left w:val="single" w:color="auto" w:sz="4" w:space="0"/>
              <w:bottom w:val="single" w:color="auto" w:sz="4" w:space="0"/>
              <w:right w:val="single" w:color="auto" w:sz="4" w:space="0"/>
            </w:tcBorders>
            <w:vAlign w:val="center"/>
          </w:tcPr>
          <w:p w14:paraId="001C9B17">
            <w:pPr>
              <w:jc w:val="center"/>
              <w:rPr>
                <w:rFonts w:ascii="宋体" w:hAnsi="宋体" w:cs="宋体"/>
                <w:sz w:val="21"/>
                <w:szCs w:val="21"/>
                <w:highlight w:val="none"/>
              </w:rPr>
            </w:pPr>
            <w:r>
              <w:rPr>
                <w:rFonts w:hint="eastAsia" w:ascii="宋体" w:hAnsi="宋体" w:cs="宋体"/>
                <w:sz w:val="21"/>
                <w:szCs w:val="21"/>
                <w:highlight w:val="none"/>
              </w:rPr>
              <w:t>序号</w:t>
            </w:r>
          </w:p>
        </w:tc>
        <w:tc>
          <w:tcPr>
            <w:tcW w:w="1213" w:type="dxa"/>
            <w:tcBorders>
              <w:top w:val="single" w:color="auto" w:sz="4" w:space="0"/>
              <w:left w:val="single" w:color="auto" w:sz="4" w:space="0"/>
              <w:bottom w:val="single" w:color="auto" w:sz="4" w:space="0"/>
              <w:right w:val="single" w:color="auto" w:sz="4" w:space="0"/>
            </w:tcBorders>
            <w:vAlign w:val="center"/>
          </w:tcPr>
          <w:p w14:paraId="647677D4">
            <w:pPr>
              <w:jc w:val="center"/>
              <w:rPr>
                <w:rFonts w:ascii="宋体" w:hAnsi="宋体" w:cs="宋体"/>
                <w:sz w:val="21"/>
                <w:szCs w:val="21"/>
                <w:highlight w:val="none"/>
              </w:rPr>
            </w:pPr>
            <w:r>
              <w:rPr>
                <w:rFonts w:hint="eastAsia" w:ascii="宋体" w:hAnsi="宋体" w:cs="宋体"/>
                <w:sz w:val="21"/>
                <w:szCs w:val="21"/>
                <w:highlight w:val="none"/>
              </w:rPr>
              <w:t>服务名称</w:t>
            </w:r>
          </w:p>
        </w:tc>
        <w:tc>
          <w:tcPr>
            <w:tcW w:w="2400" w:type="dxa"/>
            <w:tcBorders>
              <w:top w:val="single" w:color="auto" w:sz="4" w:space="0"/>
              <w:left w:val="single" w:color="auto" w:sz="4" w:space="0"/>
              <w:bottom w:val="single" w:color="auto" w:sz="4" w:space="0"/>
              <w:right w:val="single" w:color="auto" w:sz="4" w:space="0"/>
            </w:tcBorders>
            <w:vAlign w:val="center"/>
          </w:tcPr>
          <w:p w14:paraId="2FDFDBE1">
            <w:pPr>
              <w:jc w:val="center"/>
              <w:rPr>
                <w:rFonts w:ascii="宋体" w:hAnsi="宋体" w:cs="宋体"/>
                <w:sz w:val="21"/>
                <w:szCs w:val="21"/>
                <w:highlight w:val="none"/>
              </w:rPr>
            </w:pPr>
            <w:r>
              <w:rPr>
                <w:rFonts w:hint="eastAsia" w:ascii="宋体" w:hAnsi="宋体" w:cs="宋体"/>
                <w:sz w:val="21"/>
                <w:szCs w:val="21"/>
                <w:highlight w:val="none"/>
              </w:rPr>
              <w:t>服务要求</w:t>
            </w:r>
          </w:p>
        </w:tc>
        <w:tc>
          <w:tcPr>
            <w:tcW w:w="1320" w:type="dxa"/>
            <w:tcBorders>
              <w:top w:val="single" w:color="auto" w:sz="4" w:space="0"/>
              <w:left w:val="single" w:color="auto" w:sz="4" w:space="0"/>
              <w:bottom w:val="single" w:color="auto" w:sz="4" w:space="0"/>
              <w:right w:val="single" w:color="auto" w:sz="4" w:space="0"/>
            </w:tcBorders>
            <w:vAlign w:val="center"/>
          </w:tcPr>
          <w:p w14:paraId="3A032320">
            <w:pPr>
              <w:jc w:val="center"/>
              <w:rPr>
                <w:rFonts w:ascii="宋体" w:hAnsi="宋体" w:cs="宋体"/>
                <w:sz w:val="21"/>
                <w:szCs w:val="21"/>
                <w:highlight w:val="none"/>
              </w:rPr>
            </w:pPr>
            <w:r>
              <w:rPr>
                <w:rFonts w:hint="eastAsia" w:ascii="宋体" w:hAnsi="宋体" w:cs="宋体"/>
                <w:sz w:val="21"/>
                <w:szCs w:val="21"/>
                <w:highlight w:val="none"/>
              </w:rPr>
              <w:t>数  量</w:t>
            </w:r>
          </w:p>
        </w:tc>
        <w:tc>
          <w:tcPr>
            <w:tcW w:w="1200" w:type="dxa"/>
            <w:tcBorders>
              <w:top w:val="single" w:color="auto" w:sz="4" w:space="0"/>
              <w:left w:val="single" w:color="auto" w:sz="4" w:space="0"/>
              <w:bottom w:val="single" w:color="auto" w:sz="4" w:space="0"/>
              <w:right w:val="single" w:color="auto" w:sz="4" w:space="0"/>
            </w:tcBorders>
            <w:vAlign w:val="center"/>
          </w:tcPr>
          <w:p w14:paraId="25675B0B">
            <w:pPr>
              <w:jc w:val="center"/>
              <w:rPr>
                <w:rFonts w:ascii="宋体" w:hAnsi="宋体" w:cs="宋体"/>
                <w:sz w:val="21"/>
                <w:szCs w:val="21"/>
                <w:highlight w:val="none"/>
              </w:rPr>
            </w:pPr>
            <w:r>
              <w:rPr>
                <w:rFonts w:hint="eastAsia" w:ascii="宋体" w:hAnsi="宋体" w:cs="宋体"/>
                <w:sz w:val="21"/>
                <w:szCs w:val="21"/>
                <w:highlight w:val="none"/>
              </w:rPr>
              <w:t>单位</w:t>
            </w:r>
          </w:p>
        </w:tc>
        <w:tc>
          <w:tcPr>
            <w:tcW w:w="1300" w:type="dxa"/>
            <w:tcBorders>
              <w:top w:val="single" w:color="auto" w:sz="4" w:space="0"/>
              <w:left w:val="single" w:color="auto" w:sz="4" w:space="0"/>
              <w:bottom w:val="single" w:color="auto" w:sz="4" w:space="0"/>
              <w:right w:val="single" w:color="auto" w:sz="4" w:space="0"/>
            </w:tcBorders>
            <w:vAlign w:val="center"/>
          </w:tcPr>
          <w:p w14:paraId="23CF2563">
            <w:pPr>
              <w:jc w:val="center"/>
              <w:rPr>
                <w:rFonts w:ascii="宋体" w:hAnsi="宋体" w:cs="宋体"/>
                <w:sz w:val="21"/>
                <w:szCs w:val="21"/>
                <w:highlight w:val="none"/>
              </w:rPr>
            </w:pPr>
            <w:r>
              <w:rPr>
                <w:rFonts w:hint="eastAsia" w:ascii="宋体" w:hAnsi="宋体" w:cs="宋体"/>
                <w:sz w:val="21"/>
                <w:szCs w:val="21"/>
                <w:highlight w:val="none"/>
              </w:rPr>
              <w:t>单  价</w:t>
            </w:r>
          </w:p>
        </w:tc>
        <w:tc>
          <w:tcPr>
            <w:tcW w:w="1207" w:type="dxa"/>
            <w:tcBorders>
              <w:top w:val="single" w:color="auto" w:sz="4" w:space="0"/>
              <w:left w:val="single" w:color="auto" w:sz="4" w:space="0"/>
              <w:bottom w:val="single" w:color="auto" w:sz="4" w:space="0"/>
              <w:right w:val="single" w:color="auto" w:sz="4" w:space="0"/>
            </w:tcBorders>
            <w:vAlign w:val="center"/>
          </w:tcPr>
          <w:p w14:paraId="345AB0D7">
            <w:pPr>
              <w:jc w:val="center"/>
              <w:rPr>
                <w:rFonts w:ascii="宋体" w:hAnsi="宋体" w:cs="宋体"/>
                <w:sz w:val="21"/>
                <w:szCs w:val="21"/>
                <w:highlight w:val="none"/>
              </w:rPr>
            </w:pPr>
            <w:r>
              <w:rPr>
                <w:rFonts w:hint="eastAsia" w:ascii="宋体" w:hAnsi="宋体" w:cs="宋体"/>
                <w:sz w:val="21"/>
                <w:szCs w:val="21"/>
                <w:highlight w:val="none"/>
              </w:rPr>
              <w:t>单项合计</w:t>
            </w:r>
          </w:p>
        </w:tc>
      </w:tr>
      <w:tr w14:paraId="4FF63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trPr>
        <w:tc>
          <w:tcPr>
            <w:tcW w:w="1137" w:type="dxa"/>
            <w:tcBorders>
              <w:top w:val="single" w:color="auto" w:sz="4" w:space="0"/>
              <w:left w:val="single" w:color="auto" w:sz="4" w:space="0"/>
              <w:bottom w:val="single" w:color="auto" w:sz="4" w:space="0"/>
              <w:right w:val="single" w:color="auto" w:sz="4" w:space="0"/>
            </w:tcBorders>
            <w:vAlign w:val="center"/>
          </w:tcPr>
          <w:p w14:paraId="09547CF0">
            <w:pPr>
              <w:spacing w:line="360" w:lineRule="auto"/>
              <w:jc w:val="center"/>
              <w:rPr>
                <w:rFonts w:ascii="宋体" w:hAnsi="宋体" w:cs="宋体"/>
                <w:sz w:val="21"/>
                <w:szCs w:val="21"/>
                <w:highlight w:val="none"/>
              </w:rPr>
            </w:pPr>
          </w:p>
        </w:tc>
        <w:tc>
          <w:tcPr>
            <w:tcW w:w="1213" w:type="dxa"/>
            <w:tcBorders>
              <w:top w:val="single" w:color="auto" w:sz="4" w:space="0"/>
              <w:left w:val="single" w:color="auto" w:sz="4" w:space="0"/>
              <w:bottom w:val="single" w:color="auto" w:sz="4" w:space="0"/>
              <w:right w:val="single" w:color="auto" w:sz="4" w:space="0"/>
            </w:tcBorders>
            <w:vAlign w:val="center"/>
          </w:tcPr>
          <w:p w14:paraId="0949A6A2">
            <w:pPr>
              <w:spacing w:line="360" w:lineRule="auto"/>
              <w:jc w:val="center"/>
              <w:rPr>
                <w:rFonts w:ascii="宋体" w:hAnsi="宋体" w:cs="宋体"/>
                <w:sz w:val="21"/>
                <w:szCs w:val="21"/>
                <w:highlight w:val="none"/>
              </w:rPr>
            </w:pPr>
          </w:p>
        </w:tc>
        <w:tc>
          <w:tcPr>
            <w:tcW w:w="2400" w:type="dxa"/>
            <w:tcBorders>
              <w:top w:val="single" w:color="auto" w:sz="4" w:space="0"/>
              <w:left w:val="single" w:color="auto" w:sz="4" w:space="0"/>
              <w:bottom w:val="single" w:color="auto" w:sz="4" w:space="0"/>
              <w:right w:val="single" w:color="auto" w:sz="4" w:space="0"/>
            </w:tcBorders>
            <w:vAlign w:val="center"/>
          </w:tcPr>
          <w:p w14:paraId="698A451A">
            <w:pPr>
              <w:spacing w:line="360" w:lineRule="auto"/>
              <w:jc w:val="center"/>
              <w:rPr>
                <w:rFonts w:ascii="宋体" w:hAnsi="宋体" w:cs="宋体"/>
                <w:sz w:val="21"/>
                <w:szCs w:val="21"/>
                <w:highlight w:val="none"/>
              </w:rPr>
            </w:pPr>
          </w:p>
        </w:tc>
        <w:tc>
          <w:tcPr>
            <w:tcW w:w="1320" w:type="dxa"/>
            <w:tcBorders>
              <w:top w:val="single" w:color="auto" w:sz="4" w:space="0"/>
              <w:left w:val="single" w:color="auto" w:sz="4" w:space="0"/>
              <w:bottom w:val="single" w:color="auto" w:sz="4" w:space="0"/>
              <w:right w:val="single" w:color="auto" w:sz="4" w:space="0"/>
            </w:tcBorders>
            <w:vAlign w:val="center"/>
          </w:tcPr>
          <w:p w14:paraId="7889F5BF">
            <w:pPr>
              <w:spacing w:line="360" w:lineRule="auto"/>
              <w:jc w:val="center"/>
              <w:rPr>
                <w:rFonts w:ascii="宋体" w:hAnsi="宋体" w:cs="宋体"/>
                <w:sz w:val="21"/>
                <w:szCs w:val="21"/>
                <w:highlight w:val="none"/>
              </w:rPr>
            </w:pPr>
          </w:p>
        </w:tc>
        <w:tc>
          <w:tcPr>
            <w:tcW w:w="1200" w:type="dxa"/>
            <w:tcBorders>
              <w:top w:val="single" w:color="auto" w:sz="4" w:space="0"/>
              <w:left w:val="single" w:color="auto" w:sz="4" w:space="0"/>
              <w:bottom w:val="single" w:color="auto" w:sz="4" w:space="0"/>
              <w:right w:val="single" w:color="auto" w:sz="4" w:space="0"/>
            </w:tcBorders>
            <w:vAlign w:val="center"/>
          </w:tcPr>
          <w:p w14:paraId="5FA59187">
            <w:pPr>
              <w:spacing w:line="360" w:lineRule="auto"/>
              <w:jc w:val="center"/>
              <w:rPr>
                <w:rFonts w:ascii="宋体" w:hAnsi="宋体" w:cs="宋体"/>
                <w:sz w:val="21"/>
                <w:szCs w:val="21"/>
                <w:highlight w:val="none"/>
              </w:rPr>
            </w:pPr>
          </w:p>
        </w:tc>
        <w:tc>
          <w:tcPr>
            <w:tcW w:w="1300" w:type="dxa"/>
            <w:tcBorders>
              <w:top w:val="single" w:color="auto" w:sz="4" w:space="0"/>
              <w:left w:val="single" w:color="auto" w:sz="4" w:space="0"/>
              <w:bottom w:val="single" w:color="auto" w:sz="4" w:space="0"/>
              <w:right w:val="single" w:color="auto" w:sz="4" w:space="0"/>
            </w:tcBorders>
            <w:vAlign w:val="center"/>
          </w:tcPr>
          <w:p w14:paraId="6DCCCCAB">
            <w:pPr>
              <w:spacing w:line="360" w:lineRule="auto"/>
              <w:jc w:val="center"/>
              <w:rPr>
                <w:rFonts w:ascii="宋体" w:hAnsi="宋体" w:cs="宋体"/>
                <w:sz w:val="21"/>
                <w:szCs w:val="21"/>
                <w:highlight w:val="none"/>
              </w:rPr>
            </w:pPr>
          </w:p>
        </w:tc>
        <w:tc>
          <w:tcPr>
            <w:tcW w:w="1207" w:type="dxa"/>
            <w:tcBorders>
              <w:top w:val="single" w:color="auto" w:sz="4" w:space="0"/>
              <w:left w:val="single" w:color="auto" w:sz="4" w:space="0"/>
              <w:bottom w:val="single" w:color="auto" w:sz="4" w:space="0"/>
              <w:right w:val="single" w:color="auto" w:sz="4" w:space="0"/>
            </w:tcBorders>
            <w:vAlign w:val="center"/>
          </w:tcPr>
          <w:p w14:paraId="64D4BA26">
            <w:pPr>
              <w:spacing w:line="360" w:lineRule="auto"/>
              <w:jc w:val="center"/>
              <w:rPr>
                <w:rFonts w:ascii="宋体" w:hAnsi="宋体" w:cs="宋体"/>
                <w:sz w:val="21"/>
                <w:szCs w:val="21"/>
                <w:highlight w:val="none"/>
              </w:rPr>
            </w:pPr>
          </w:p>
        </w:tc>
      </w:tr>
      <w:tr w14:paraId="054AF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trPr>
        <w:tc>
          <w:tcPr>
            <w:tcW w:w="1137" w:type="dxa"/>
            <w:tcBorders>
              <w:top w:val="single" w:color="auto" w:sz="4" w:space="0"/>
              <w:left w:val="single" w:color="auto" w:sz="4" w:space="0"/>
              <w:bottom w:val="single" w:color="auto" w:sz="4" w:space="0"/>
              <w:right w:val="single" w:color="auto" w:sz="4" w:space="0"/>
            </w:tcBorders>
            <w:vAlign w:val="center"/>
          </w:tcPr>
          <w:p w14:paraId="085A7552">
            <w:pPr>
              <w:spacing w:line="360" w:lineRule="auto"/>
              <w:jc w:val="center"/>
              <w:rPr>
                <w:rFonts w:hint="eastAsia"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w:t>
            </w:r>
          </w:p>
        </w:tc>
        <w:tc>
          <w:tcPr>
            <w:tcW w:w="1213" w:type="dxa"/>
            <w:tcBorders>
              <w:top w:val="single" w:color="auto" w:sz="4" w:space="0"/>
              <w:left w:val="single" w:color="auto" w:sz="4" w:space="0"/>
              <w:bottom w:val="single" w:color="auto" w:sz="4" w:space="0"/>
              <w:right w:val="single" w:color="auto" w:sz="4" w:space="0"/>
            </w:tcBorders>
            <w:vAlign w:val="center"/>
          </w:tcPr>
          <w:p w14:paraId="76B8FA18">
            <w:pPr>
              <w:spacing w:line="360" w:lineRule="auto"/>
              <w:jc w:val="center"/>
              <w:rPr>
                <w:rFonts w:ascii="宋体" w:hAnsi="宋体" w:cs="宋体"/>
                <w:sz w:val="21"/>
                <w:szCs w:val="21"/>
                <w:highlight w:val="none"/>
              </w:rPr>
            </w:pPr>
          </w:p>
        </w:tc>
        <w:tc>
          <w:tcPr>
            <w:tcW w:w="2400" w:type="dxa"/>
            <w:tcBorders>
              <w:top w:val="single" w:color="auto" w:sz="4" w:space="0"/>
              <w:left w:val="single" w:color="auto" w:sz="4" w:space="0"/>
              <w:bottom w:val="single" w:color="auto" w:sz="4" w:space="0"/>
              <w:right w:val="single" w:color="auto" w:sz="4" w:space="0"/>
            </w:tcBorders>
            <w:vAlign w:val="center"/>
          </w:tcPr>
          <w:p w14:paraId="2EF4C956">
            <w:pPr>
              <w:spacing w:line="360" w:lineRule="auto"/>
              <w:jc w:val="center"/>
              <w:rPr>
                <w:rFonts w:ascii="宋体" w:hAnsi="宋体" w:cs="宋体"/>
                <w:sz w:val="21"/>
                <w:szCs w:val="21"/>
                <w:highlight w:val="none"/>
              </w:rPr>
            </w:pPr>
          </w:p>
        </w:tc>
        <w:tc>
          <w:tcPr>
            <w:tcW w:w="1320" w:type="dxa"/>
            <w:tcBorders>
              <w:top w:val="single" w:color="auto" w:sz="4" w:space="0"/>
              <w:left w:val="single" w:color="auto" w:sz="4" w:space="0"/>
              <w:bottom w:val="single" w:color="auto" w:sz="4" w:space="0"/>
              <w:right w:val="single" w:color="auto" w:sz="4" w:space="0"/>
            </w:tcBorders>
            <w:vAlign w:val="center"/>
          </w:tcPr>
          <w:p w14:paraId="6C869A4D">
            <w:pPr>
              <w:spacing w:line="360" w:lineRule="auto"/>
              <w:jc w:val="center"/>
              <w:rPr>
                <w:rFonts w:ascii="宋体" w:hAnsi="宋体" w:cs="宋体"/>
                <w:sz w:val="21"/>
                <w:szCs w:val="21"/>
                <w:highlight w:val="none"/>
              </w:rPr>
            </w:pPr>
          </w:p>
        </w:tc>
        <w:tc>
          <w:tcPr>
            <w:tcW w:w="1200" w:type="dxa"/>
            <w:tcBorders>
              <w:top w:val="single" w:color="auto" w:sz="4" w:space="0"/>
              <w:left w:val="single" w:color="auto" w:sz="4" w:space="0"/>
              <w:bottom w:val="single" w:color="auto" w:sz="4" w:space="0"/>
              <w:right w:val="single" w:color="auto" w:sz="4" w:space="0"/>
            </w:tcBorders>
            <w:vAlign w:val="center"/>
          </w:tcPr>
          <w:p w14:paraId="45291865">
            <w:pPr>
              <w:spacing w:line="360" w:lineRule="auto"/>
              <w:jc w:val="center"/>
              <w:rPr>
                <w:rFonts w:ascii="宋体" w:hAnsi="宋体" w:cs="宋体"/>
                <w:sz w:val="21"/>
                <w:szCs w:val="21"/>
                <w:highlight w:val="none"/>
              </w:rPr>
            </w:pPr>
          </w:p>
        </w:tc>
        <w:tc>
          <w:tcPr>
            <w:tcW w:w="1300" w:type="dxa"/>
            <w:tcBorders>
              <w:top w:val="single" w:color="auto" w:sz="4" w:space="0"/>
              <w:left w:val="single" w:color="auto" w:sz="4" w:space="0"/>
              <w:bottom w:val="single" w:color="auto" w:sz="4" w:space="0"/>
              <w:right w:val="single" w:color="auto" w:sz="4" w:space="0"/>
            </w:tcBorders>
            <w:vAlign w:val="center"/>
          </w:tcPr>
          <w:p w14:paraId="012C322C">
            <w:pPr>
              <w:spacing w:line="360" w:lineRule="auto"/>
              <w:jc w:val="center"/>
              <w:rPr>
                <w:rFonts w:ascii="宋体" w:hAnsi="宋体" w:cs="宋体"/>
                <w:sz w:val="21"/>
                <w:szCs w:val="21"/>
                <w:highlight w:val="none"/>
              </w:rPr>
            </w:pPr>
          </w:p>
        </w:tc>
        <w:tc>
          <w:tcPr>
            <w:tcW w:w="1207" w:type="dxa"/>
            <w:tcBorders>
              <w:top w:val="single" w:color="auto" w:sz="4" w:space="0"/>
              <w:left w:val="single" w:color="auto" w:sz="4" w:space="0"/>
              <w:bottom w:val="single" w:color="auto" w:sz="4" w:space="0"/>
              <w:right w:val="single" w:color="auto" w:sz="4" w:space="0"/>
            </w:tcBorders>
            <w:vAlign w:val="center"/>
          </w:tcPr>
          <w:p w14:paraId="5102C59A">
            <w:pPr>
              <w:spacing w:line="360" w:lineRule="auto"/>
              <w:jc w:val="center"/>
              <w:rPr>
                <w:rFonts w:ascii="宋体" w:hAnsi="宋体" w:cs="宋体"/>
                <w:sz w:val="21"/>
                <w:szCs w:val="21"/>
                <w:highlight w:val="none"/>
              </w:rPr>
            </w:pPr>
          </w:p>
        </w:tc>
      </w:tr>
      <w:tr w14:paraId="1AC67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3" w:hRule="atLeast"/>
        </w:trPr>
        <w:tc>
          <w:tcPr>
            <w:tcW w:w="9777" w:type="dxa"/>
            <w:gridSpan w:val="7"/>
            <w:tcBorders>
              <w:top w:val="single" w:color="auto" w:sz="4" w:space="0"/>
              <w:left w:val="single" w:color="auto" w:sz="4" w:space="0"/>
              <w:bottom w:val="single" w:color="auto" w:sz="4" w:space="0"/>
              <w:right w:val="single" w:color="auto" w:sz="4" w:space="0"/>
            </w:tcBorders>
            <w:vAlign w:val="center"/>
          </w:tcPr>
          <w:p w14:paraId="32DE71F4">
            <w:pPr>
              <w:spacing w:line="360" w:lineRule="auto"/>
              <w:rPr>
                <w:rFonts w:ascii="宋体" w:hAnsi="宋体" w:cs="宋体"/>
                <w:sz w:val="21"/>
                <w:szCs w:val="21"/>
                <w:highlight w:val="none"/>
              </w:rPr>
            </w:pPr>
            <w:r>
              <w:rPr>
                <w:rFonts w:hint="eastAsia" w:ascii="宋体" w:hAnsi="宋体" w:cs="宋体"/>
                <w:sz w:val="21"/>
                <w:szCs w:val="21"/>
                <w:highlight w:val="none"/>
              </w:rPr>
              <w:t>合计金额（人民币大写）：</w:t>
            </w:r>
            <w:r>
              <w:rPr>
                <w:rFonts w:ascii="宋体" w:hAnsi="宋体" w:cs="宋体"/>
                <w:sz w:val="21"/>
                <w:szCs w:val="21"/>
                <w:highlight w:val="none"/>
                <w:u w:val="single"/>
              </w:rPr>
              <w:t xml:space="preserve">      </w:t>
            </w:r>
            <w:r>
              <w:rPr>
                <w:rFonts w:hint="eastAsia" w:ascii="宋体" w:hAnsi="宋体" w:cs="宋体"/>
                <w:sz w:val="21"/>
                <w:szCs w:val="21"/>
                <w:highlight w:val="none"/>
                <w:u w:val="single"/>
              </w:rPr>
              <w:t xml:space="preserve">                      元整</w:t>
            </w:r>
            <w:r>
              <w:rPr>
                <w:rFonts w:ascii="宋体" w:hAnsi="宋体" w:cs="宋体"/>
                <w:sz w:val="21"/>
                <w:szCs w:val="21"/>
                <w:highlight w:val="none"/>
                <w:u w:val="single"/>
              </w:rPr>
              <w:t xml:space="preserve">  </w:t>
            </w:r>
            <w:r>
              <w:rPr>
                <w:rFonts w:hint="eastAsia" w:ascii="宋体" w:hAnsi="宋体" w:cs="宋体"/>
                <w:sz w:val="21"/>
                <w:szCs w:val="21"/>
                <w:highlight w:val="none"/>
              </w:rPr>
              <w:t>（小写¥</w:t>
            </w:r>
            <w:r>
              <w:rPr>
                <w:rFonts w:ascii="宋体" w:hAnsi="宋体" w:cs="宋体"/>
                <w:sz w:val="21"/>
                <w:szCs w:val="21"/>
                <w:highlight w:val="none"/>
                <w:u w:val="single"/>
              </w:rPr>
              <w:t xml:space="preserve">           </w:t>
            </w:r>
            <w:r>
              <w:rPr>
                <w:rFonts w:hint="eastAsia" w:ascii="宋体" w:hAnsi="宋体" w:cs="宋体"/>
                <w:sz w:val="21"/>
                <w:szCs w:val="21"/>
                <w:highlight w:val="none"/>
              </w:rPr>
              <w:t xml:space="preserve">）              </w:t>
            </w:r>
          </w:p>
        </w:tc>
      </w:tr>
    </w:tbl>
    <w:p w14:paraId="6139DA1A">
      <w:pPr>
        <w:spacing w:line="360" w:lineRule="auto"/>
        <w:contextualSpacing/>
        <w:jc w:val="left"/>
        <w:rPr>
          <w:rFonts w:ascii="宋体" w:hAnsi="宋体" w:cs="宋体"/>
          <w:sz w:val="21"/>
          <w:szCs w:val="21"/>
          <w:highlight w:val="none"/>
        </w:rPr>
      </w:pPr>
    </w:p>
    <w:p w14:paraId="03710D16">
      <w:pPr>
        <w:spacing w:line="360" w:lineRule="auto"/>
        <w:contextualSpacing/>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注: </w:t>
      </w:r>
    </w:p>
    <w:p w14:paraId="230FBF37">
      <w:pPr>
        <w:spacing w:line="360" w:lineRule="auto"/>
        <w:ind w:firstLine="420" w:firstLineChars="200"/>
        <w:contextualSpacing/>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1.供应商的报价表必须加盖供应商公章并由法定代表人或者委托代理人</w:t>
      </w:r>
      <w:r>
        <w:rPr>
          <w:rFonts w:hint="eastAsia" w:ascii="宋体" w:hAnsi="宋体" w:eastAsia="宋体" w:cs="宋体"/>
          <w:sz w:val="21"/>
          <w:szCs w:val="21"/>
          <w:highlight w:val="none"/>
          <w:lang w:eastAsia="zh-CN"/>
        </w:rPr>
        <w:t>签字或</w:t>
      </w:r>
      <w:r>
        <w:rPr>
          <w:rFonts w:hint="eastAsia" w:ascii="宋体" w:hAnsi="宋体" w:eastAsia="宋体" w:cs="宋体"/>
          <w:color w:val="auto"/>
          <w:sz w:val="21"/>
          <w:szCs w:val="21"/>
          <w:highlight w:val="none"/>
          <w:lang w:eastAsia="zh-CN"/>
        </w:rPr>
        <w:t>CA</w:t>
      </w:r>
      <w:r>
        <w:rPr>
          <w:rFonts w:hint="eastAsia" w:ascii="宋体" w:hAnsi="宋体" w:eastAsia="宋体" w:cs="宋体"/>
          <w:sz w:val="21"/>
          <w:szCs w:val="21"/>
          <w:highlight w:val="none"/>
          <w:lang w:eastAsia="zh-CN"/>
        </w:rPr>
        <w:t>签章</w:t>
      </w:r>
      <w:r>
        <w:rPr>
          <w:rFonts w:hint="eastAsia" w:ascii="宋体" w:hAnsi="宋体" w:eastAsia="宋体" w:cs="宋体"/>
          <w:sz w:val="21"/>
          <w:szCs w:val="21"/>
          <w:highlight w:val="none"/>
        </w:rPr>
        <w:t>，</w:t>
      </w:r>
      <w:r>
        <w:rPr>
          <w:rFonts w:hint="eastAsia" w:ascii="宋体" w:hAnsi="宋体" w:eastAsia="宋体" w:cs="宋体"/>
          <w:b/>
          <w:sz w:val="21"/>
          <w:szCs w:val="21"/>
          <w:highlight w:val="none"/>
        </w:rPr>
        <w:t>否则其响应文件按无效响应处理</w:t>
      </w:r>
      <w:r>
        <w:rPr>
          <w:rFonts w:hint="eastAsia" w:ascii="宋体" w:hAnsi="宋体" w:eastAsia="宋体" w:cs="宋体"/>
          <w:sz w:val="21"/>
          <w:szCs w:val="21"/>
          <w:highlight w:val="none"/>
        </w:rPr>
        <w:t>。</w:t>
      </w:r>
    </w:p>
    <w:p w14:paraId="2E2759A1">
      <w:pPr>
        <w:spacing w:line="360" w:lineRule="auto"/>
        <w:ind w:firstLine="420" w:firstLineChars="200"/>
        <w:contextualSpacing/>
        <w:jc w:val="left"/>
        <w:rPr>
          <w:rFonts w:hint="eastAsia" w:ascii="宋体" w:hAnsi="宋体" w:eastAsia="宋体" w:cs="宋体"/>
          <w:b/>
          <w:sz w:val="21"/>
          <w:szCs w:val="21"/>
          <w:highlight w:val="none"/>
        </w:rPr>
      </w:pPr>
      <w:r>
        <w:rPr>
          <w:rFonts w:hint="eastAsia" w:ascii="宋体" w:hAnsi="宋体" w:eastAsia="宋体" w:cs="宋体"/>
          <w:bCs/>
          <w:sz w:val="21"/>
          <w:szCs w:val="21"/>
          <w:highlight w:val="none"/>
        </w:rPr>
        <w:t>2.</w:t>
      </w:r>
      <w:r>
        <w:rPr>
          <w:rFonts w:hint="eastAsia" w:ascii="宋体" w:hAnsi="宋体" w:eastAsia="宋体" w:cs="宋体"/>
          <w:sz w:val="21"/>
          <w:szCs w:val="21"/>
          <w:highlight w:val="none"/>
        </w:rPr>
        <w:t>报价一经涂改，应在涂改处加盖供应商公章或者由法定代表人或者委托代理人签字或者盖章</w:t>
      </w:r>
      <w:r>
        <w:rPr>
          <w:rFonts w:hint="eastAsia" w:ascii="宋体" w:hAnsi="宋体" w:eastAsia="宋体" w:cs="宋体"/>
          <w:b/>
          <w:sz w:val="21"/>
          <w:szCs w:val="21"/>
          <w:highlight w:val="none"/>
        </w:rPr>
        <w:t>，否则其响应文件按无效响应处理。</w:t>
      </w:r>
    </w:p>
    <w:p w14:paraId="36A63541">
      <w:pPr>
        <w:spacing w:line="360" w:lineRule="auto"/>
        <w:ind w:firstLine="420" w:firstLineChars="200"/>
        <w:contextualSpacing/>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3.如为联合体参与竞争性磋商，“供应商名称”处必须列明联合体各方名称，标注联合体牵头人名称，</w:t>
      </w:r>
      <w:r>
        <w:rPr>
          <w:rFonts w:hint="eastAsia" w:ascii="宋体" w:hAnsi="宋体" w:eastAsia="宋体" w:cs="宋体"/>
          <w:b/>
          <w:sz w:val="21"/>
          <w:szCs w:val="21"/>
          <w:highlight w:val="none"/>
        </w:rPr>
        <w:t>否则其响应文件按无效响应处理。（采购人可根据项目情况自行修改是否需要联合体各方签字盖章）。</w:t>
      </w:r>
    </w:p>
    <w:p w14:paraId="2155C832">
      <w:pPr>
        <w:spacing w:line="360" w:lineRule="auto"/>
        <w:ind w:firstLine="420" w:firstLineChars="200"/>
        <w:contextualSpacing/>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4.如为联合体参与竞争性磋商，盖章处须加盖联合体各方公章，</w:t>
      </w:r>
      <w:bookmarkStart w:id="40" w:name="_Hlk65851776"/>
      <w:r>
        <w:rPr>
          <w:rFonts w:hint="eastAsia" w:ascii="宋体" w:hAnsi="宋体" w:eastAsia="宋体" w:cs="宋体"/>
          <w:b/>
          <w:sz w:val="21"/>
          <w:szCs w:val="21"/>
          <w:highlight w:val="none"/>
        </w:rPr>
        <w:t>否则其响应文件按无效响应处理。</w:t>
      </w:r>
      <w:bookmarkEnd w:id="40"/>
      <w:r>
        <w:rPr>
          <w:rFonts w:hint="eastAsia" w:ascii="宋体" w:hAnsi="宋体" w:eastAsia="宋体" w:cs="宋体"/>
          <w:b/>
          <w:sz w:val="21"/>
          <w:szCs w:val="21"/>
          <w:highlight w:val="none"/>
        </w:rPr>
        <w:t>（采购人可根据项目情况自行修改是否需要联合体各方签字盖章）。</w:t>
      </w:r>
    </w:p>
    <w:p w14:paraId="72EDE7E0">
      <w:pPr>
        <w:spacing w:line="360" w:lineRule="auto"/>
        <w:ind w:firstLine="420" w:firstLineChars="200"/>
        <w:contextualSpacing/>
        <w:rPr>
          <w:rFonts w:hint="eastAsia" w:ascii="宋体" w:hAnsi="宋体" w:eastAsia="宋体" w:cs="宋体"/>
          <w:sz w:val="21"/>
          <w:szCs w:val="21"/>
          <w:highlight w:val="none"/>
        </w:rPr>
      </w:pPr>
      <w:r>
        <w:rPr>
          <w:rFonts w:hint="eastAsia" w:ascii="宋体" w:hAnsi="宋体" w:eastAsia="宋体" w:cs="宋体"/>
          <w:sz w:val="21"/>
          <w:szCs w:val="21"/>
          <w:highlight w:val="none"/>
        </w:rPr>
        <w:t>5.</w:t>
      </w:r>
      <w:r>
        <w:rPr>
          <w:rFonts w:hint="eastAsia" w:ascii="宋体" w:hAnsi="宋体" w:eastAsia="宋体" w:cs="宋体"/>
          <w:spacing w:val="-6"/>
          <w:sz w:val="21"/>
          <w:szCs w:val="21"/>
          <w:highlight w:val="none"/>
        </w:rPr>
        <w:t>如有多分标，分别列明各分标的报价表，</w:t>
      </w:r>
      <w:r>
        <w:rPr>
          <w:rFonts w:hint="eastAsia" w:ascii="宋体" w:hAnsi="宋体" w:eastAsia="宋体" w:cs="宋体"/>
          <w:b/>
          <w:spacing w:val="-6"/>
          <w:sz w:val="21"/>
          <w:szCs w:val="21"/>
          <w:highlight w:val="none"/>
        </w:rPr>
        <w:t>否则其响应文件按无效响应处理。</w:t>
      </w:r>
    </w:p>
    <w:p w14:paraId="2BE561AE">
      <w:pPr>
        <w:spacing w:line="360" w:lineRule="auto"/>
        <w:ind w:right="-817" w:rightChars="-389"/>
        <w:contextualSpacing/>
        <w:rPr>
          <w:rFonts w:hint="eastAsia" w:ascii="宋体" w:hAnsi="宋体" w:cs="宋体"/>
          <w:sz w:val="21"/>
          <w:szCs w:val="21"/>
          <w:highlight w:val="none"/>
        </w:rPr>
      </w:pPr>
    </w:p>
    <w:p w14:paraId="19E119DE">
      <w:pPr>
        <w:spacing w:line="360" w:lineRule="auto"/>
        <w:ind w:right="-817" w:rightChars="-389" w:firstLine="2310" w:firstLineChars="1100"/>
        <w:contextualSpacing/>
        <w:rPr>
          <w:rFonts w:hint="eastAsia" w:ascii="宋体" w:hAnsi="宋体" w:cs="宋体"/>
          <w:sz w:val="21"/>
          <w:szCs w:val="21"/>
          <w:highlight w:val="none"/>
        </w:rPr>
      </w:pPr>
      <w:r>
        <w:rPr>
          <w:rFonts w:hint="eastAsia" w:ascii="宋体" w:hAnsi="宋体" w:cs="宋体"/>
          <w:sz w:val="21"/>
          <w:szCs w:val="21"/>
          <w:highlight w:val="none"/>
        </w:rPr>
        <w:t>法定代表人或者委托代理人（</w:t>
      </w:r>
      <w:r>
        <w:rPr>
          <w:rFonts w:hint="eastAsia" w:ascii="宋体" w:hAnsi="宋体" w:cs="宋体"/>
          <w:sz w:val="21"/>
          <w:szCs w:val="21"/>
          <w:highlight w:val="none"/>
          <w:lang w:eastAsia="zh-CN"/>
        </w:rPr>
        <w:t>签字或</w:t>
      </w:r>
      <w:r>
        <w:rPr>
          <w:rFonts w:hint="eastAsia" w:ascii="宋体" w:hAnsi="宋体" w:eastAsia="宋体" w:cs="宋体"/>
          <w:color w:val="auto"/>
          <w:sz w:val="21"/>
          <w:szCs w:val="21"/>
          <w:highlight w:val="none"/>
          <w:lang w:eastAsia="zh-CN"/>
        </w:rPr>
        <w:t>CA</w:t>
      </w:r>
      <w:r>
        <w:rPr>
          <w:rFonts w:hint="eastAsia" w:ascii="宋体" w:hAnsi="宋体" w:cs="宋体"/>
          <w:sz w:val="21"/>
          <w:szCs w:val="21"/>
          <w:highlight w:val="none"/>
          <w:lang w:eastAsia="zh-CN"/>
        </w:rPr>
        <w:t>签章</w:t>
      </w:r>
      <w:r>
        <w:rPr>
          <w:rFonts w:hint="eastAsia" w:ascii="宋体" w:hAnsi="宋体" w:cs="宋体"/>
          <w:sz w:val="21"/>
          <w:szCs w:val="21"/>
          <w:highlight w:val="none"/>
        </w:rPr>
        <w:t>）：</w:t>
      </w:r>
      <w:r>
        <w:rPr>
          <w:rFonts w:hint="eastAsia" w:ascii="宋体" w:hAnsi="宋体" w:cs="宋体"/>
          <w:sz w:val="21"/>
          <w:szCs w:val="21"/>
          <w:highlight w:val="none"/>
          <w:u w:val="single"/>
        </w:rPr>
        <w:t xml:space="preserve">                 </w:t>
      </w:r>
      <w:r>
        <w:rPr>
          <w:rFonts w:hint="eastAsia" w:ascii="宋体" w:hAnsi="宋体" w:cs="宋体"/>
          <w:sz w:val="21"/>
          <w:szCs w:val="21"/>
          <w:highlight w:val="none"/>
        </w:rPr>
        <w:t xml:space="preserve">                    </w:t>
      </w:r>
    </w:p>
    <w:p w14:paraId="6BAA2254">
      <w:pPr>
        <w:spacing w:line="360" w:lineRule="auto"/>
        <w:ind w:right="-817" w:rightChars="-389" w:firstLine="2310" w:firstLineChars="1100"/>
        <w:contextualSpacing/>
        <w:rPr>
          <w:rFonts w:hint="eastAsia" w:ascii="宋体" w:hAnsi="宋体" w:cs="宋体"/>
          <w:sz w:val="21"/>
          <w:szCs w:val="21"/>
          <w:highlight w:val="none"/>
        </w:rPr>
      </w:pPr>
      <w:r>
        <w:rPr>
          <w:rFonts w:hint="eastAsia" w:ascii="宋体" w:hAnsi="宋体" w:cs="宋体"/>
          <w:sz w:val="21"/>
          <w:szCs w:val="21"/>
          <w:highlight w:val="none"/>
        </w:rPr>
        <w:t>供应商（公章</w:t>
      </w:r>
      <w:r>
        <w:rPr>
          <w:rFonts w:hint="eastAsia" w:ascii="宋体" w:hAnsi="宋体" w:eastAsia="宋体" w:cs="宋体"/>
          <w:color w:val="auto"/>
          <w:sz w:val="21"/>
          <w:szCs w:val="21"/>
          <w:highlight w:val="none"/>
          <w:lang w:eastAsia="zh-CN"/>
        </w:rPr>
        <w:t>（CA签章）</w:t>
      </w:r>
      <w:r>
        <w:rPr>
          <w:rFonts w:hint="eastAsia" w:ascii="宋体" w:hAnsi="宋体" w:cs="宋体"/>
          <w:sz w:val="21"/>
          <w:szCs w:val="21"/>
          <w:highlight w:val="none"/>
        </w:rPr>
        <w:t>）：</w:t>
      </w:r>
      <w:r>
        <w:rPr>
          <w:rFonts w:hint="eastAsia" w:ascii="宋体" w:hAnsi="宋体" w:cs="宋体"/>
          <w:sz w:val="21"/>
          <w:szCs w:val="21"/>
          <w:highlight w:val="none"/>
          <w:u w:val="single"/>
        </w:rPr>
        <w:t xml:space="preserve">               </w:t>
      </w:r>
      <w:r>
        <w:rPr>
          <w:rFonts w:hint="eastAsia" w:ascii="宋体" w:hAnsi="宋体" w:cs="宋体"/>
          <w:sz w:val="21"/>
          <w:szCs w:val="21"/>
          <w:highlight w:val="none"/>
        </w:rPr>
        <w:t xml:space="preserve">      </w:t>
      </w:r>
    </w:p>
    <w:p w14:paraId="78F3D1B2">
      <w:pPr>
        <w:spacing w:line="360" w:lineRule="auto"/>
        <w:ind w:right="-817" w:rightChars="-389" w:firstLine="3570" w:firstLineChars="1700"/>
        <w:contextualSpacing/>
        <w:rPr>
          <w:rFonts w:hint="eastAsia" w:ascii="宋体" w:hAnsi="宋体" w:cs="宋体"/>
          <w:b/>
          <w:sz w:val="21"/>
          <w:szCs w:val="21"/>
          <w:highlight w:val="none"/>
        </w:rPr>
      </w:pPr>
      <w:r>
        <w:rPr>
          <w:rFonts w:hint="eastAsia" w:ascii="宋体" w:hAnsi="宋体" w:cs="宋体"/>
          <w:sz w:val="21"/>
          <w:szCs w:val="21"/>
          <w:highlight w:val="none"/>
        </w:rPr>
        <w:t>日期：</w:t>
      </w:r>
      <w:r>
        <w:rPr>
          <w:rFonts w:hint="eastAsia" w:ascii="宋体" w:hAnsi="宋体" w:cs="宋体"/>
          <w:sz w:val="21"/>
          <w:szCs w:val="21"/>
          <w:highlight w:val="none"/>
          <w:u w:val="single"/>
        </w:rPr>
        <w:t xml:space="preserve">   </w:t>
      </w:r>
      <w:r>
        <w:rPr>
          <w:rFonts w:hint="eastAsia" w:ascii="宋体" w:hAnsi="宋体" w:cs="宋体"/>
          <w:sz w:val="21"/>
          <w:szCs w:val="21"/>
          <w:highlight w:val="none"/>
        </w:rPr>
        <w:t>年</w:t>
      </w:r>
      <w:r>
        <w:rPr>
          <w:rFonts w:hint="eastAsia" w:ascii="宋体" w:hAnsi="宋体" w:cs="宋体"/>
          <w:sz w:val="21"/>
          <w:szCs w:val="21"/>
          <w:highlight w:val="none"/>
          <w:u w:val="single"/>
        </w:rPr>
        <w:t xml:space="preserve">   </w:t>
      </w:r>
      <w:r>
        <w:rPr>
          <w:rFonts w:hint="eastAsia" w:ascii="宋体" w:hAnsi="宋体" w:cs="宋体"/>
          <w:sz w:val="21"/>
          <w:szCs w:val="21"/>
          <w:highlight w:val="none"/>
        </w:rPr>
        <w:t>月</w:t>
      </w:r>
      <w:r>
        <w:rPr>
          <w:rFonts w:hint="eastAsia" w:ascii="宋体" w:hAnsi="宋体" w:cs="宋体"/>
          <w:sz w:val="21"/>
          <w:szCs w:val="21"/>
          <w:highlight w:val="none"/>
          <w:u w:val="single"/>
        </w:rPr>
        <w:t xml:space="preserve">   </w:t>
      </w:r>
      <w:r>
        <w:rPr>
          <w:rFonts w:hint="eastAsia" w:ascii="宋体" w:hAnsi="宋体" w:cs="宋体"/>
          <w:sz w:val="21"/>
          <w:szCs w:val="21"/>
          <w:highlight w:val="none"/>
        </w:rPr>
        <w:t>日</w:t>
      </w:r>
    </w:p>
    <w:p w14:paraId="1AB833F2">
      <w:pPr>
        <w:spacing w:line="520" w:lineRule="exact"/>
        <w:jc w:val="center"/>
        <w:rPr>
          <w:rFonts w:hint="eastAsia" w:ascii="宋体" w:hAnsi="宋体" w:cs="宋体"/>
          <w:b/>
          <w:sz w:val="21"/>
          <w:szCs w:val="21"/>
          <w:highlight w:val="none"/>
        </w:rPr>
      </w:pPr>
      <w:r>
        <w:rPr>
          <w:rFonts w:hint="eastAsia" w:ascii="宋体" w:hAnsi="宋体" w:cs="宋体"/>
          <w:b/>
          <w:sz w:val="21"/>
          <w:szCs w:val="21"/>
          <w:highlight w:val="none"/>
        </w:rPr>
        <w:br w:type="page"/>
      </w:r>
      <w:bookmarkStart w:id="41" w:name="_Toc71365926"/>
    </w:p>
    <w:p w14:paraId="0FAE4D71">
      <w:pPr>
        <w:pStyle w:val="3"/>
        <w:bidi w:val="0"/>
        <w:rPr>
          <w:rFonts w:hint="eastAsia"/>
          <w:highlight w:val="none"/>
        </w:rPr>
      </w:pPr>
      <w:r>
        <w:rPr>
          <w:rFonts w:hint="eastAsia"/>
          <w:highlight w:val="none"/>
        </w:rPr>
        <w:t>3.中小企业声明函（格式后附）；</w:t>
      </w:r>
    </w:p>
    <w:p w14:paraId="0B404F2F">
      <w:pPr>
        <w:spacing w:line="520" w:lineRule="exact"/>
        <w:jc w:val="center"/>
        <w:rPr>
          <w:rFonts w:hint="eastAsia" w:ascii="宋体" w:hAnsi="宋体" w:cs="宋体"/>
          <w:b/>
          <w:sz w:val="21"/>
          <w:szCs w:val="21"/>
          <w:highlight w:val="none"/>
        </w:rPr>
      </w:pPr>
    </w:p>
    <w:p w14:paraId="3CC08A22">
      <w:pPr>
        <w:spacing w:line="520" w:lineRule="exact"/>
        <w:jc w:val="center"/>
        <w:rPr>
          <w:rFonts w:ascii="宋体" w:hAnsi="宋体" w:cs="宋体"/>
          <w:b/>
          <w:sz w:val="32"/>
          <w:szCs w:val="32"/>
          <w:highlight w:val="none"/>
        </w:rPr>
      </w:pPr>
      <w:r>
        <w:rPr>
          <w:rFonts w:hint="eastAsia" w:ascii="宋体" w:hAnsi="宋体" w:cs="宋体"/>
          <w:b/>
          <w:sz w:val="32"/>
          <w:szCs w:val="32"/>
          <w:highlight w:val="none"/>
        </w:rPr>
        <w:t>中小企业声明函（服务）</w:t>
      </w:r>
      <w:bookmarkEnd w:id="41"/>
    </w:p>
    <w:p w14:paraId="4180068E">
      <w:pPr>
        <w:spacing w:before="2" w:line="500" w:lineRule="exact"/>
        <w:ind w:firstLine="708" w:firstLineChars="294"/>
        <w:rPr>
          <w:rFonts w:ascii="宋体" w:hAnsi="宋体" w:cs="宋体"/>
          <w:b/>
          <w:bCs/>
          <w:sz w:val="24"/>
          <w:highlight w:val="none"/>
        </w:rPr>
      </w:pPr>
    </w:p>
    <w:p w14:paraId="67884502">
      <w:pPr>
        <w:pStyle w:val="14"/>
        <w:spacing w:line="500" w:lineRule="exact"/>
        <w:ind w:right="142" w:firstLine="617" w:firstLineChars="294"/>
        <w:rPr>
          <w:rFonts w:ascii="宋体" w:hAnsi="宋体" w:cs="宋体"/>
          <w:sz w:val="21"/>
          <w:szCs w:val="21"/>
          <w:highlight w:val="none"/>
        </w:rPr>
      </w:pPr>
      <w:r>
        <w:rPr>
          <w:rFonts w:hint="eastAsia" w:ascii="宋体" w:hAnsi="宋体" w:cs="宋体"/>
          <w:sz w:val="21"/>
          <w:szCs w:val="21"/>
          <w:highlight w:val="none"/>
        </w:rPr>
        <w:t>本公司（联合体）郑重声明，根据《政府采购促进中小企业发展管理办法》（财库﹝2020﹞46号）的规定，本公司（联合体）参加</w:t>
      </w:r>
      <w:r>
        <w:rPr>
          <w:rFonts w:hint="eastAsia" w:ascii="宋体" w:hAnsi="宋体" w:cs="宋体"/>
          <w:sz w:val="21"/>
          <w:szCs w:val="21"/>
          <w:highlight w:val="none"/>
          <w:u w:val="single"/>
        </w:rPr>
        <w:t>（单位名称）</w:t>
      </w:r>
      <w:r>
        <w:rPr>
          <w:rFonts w:hint="eastAsia" w:ascii="宋体" w:hAnsi="宋体" w:cs="宋体"/>
          <w:sz w:val="21"/>
          <w:szCs w:val="21"/>
          <w:highlight w:val="none"/>
        </w:rPr>
        <w:t>的</w:t>
      </w:r>
      <w:r>
        <w:rPr>
          <w:rFonts w:hint="eastAsia" w:ascii="宋体" w:hAnsi="宋体" w:cs="宋体"/>
          <w:sz w:val="21"/>
          <w:szCs w:val="21"/>
          <w:highlight w:val="none"/>
          <w:u w:val="single"/>
        </w:rPr>
        <w:t>（项目名称）</w:t>
      </w:r>
      <w:r>
        <w:rPr>
          <w:rFonts w:hint="eastAsia" w:ascii="宋体" w:hAnsi="宋体" w:cs="宋体"/>
          <w:sz w:val="21"/>
          <w:szCs w:val="21"/>
          <w:highlight w:val="none"/>
        </w:rPr>
        <w:t>采购活动，服务全部由符合政策要求的中小企业承接。相关企业（含联合体中的中小企业、签订分包意向协议的中小企业）的具体情况如下：</w:t>
      </w:r>
    </w:p>
    <w:p w14:paraId="71CC4C3E">
      <w:pPr>
        <w:tabs>
          <w:tab w:val="left" w:pos="1384"/>
          <w:tab w:val="left" w:pos="4562"/>
          <w:tab w:val="left" w:pos="6803"/>
        </w:tabs>
        <w:spacing w:before="13" w:line="500" w:lineRule="exact"/>
        <w:ind w:right="142" w:firstLine="676" w:firstLineChars="322"/>
        <w:rPr>
          <w:rFonts w:ascii="宋体" w:hAnsi="宋体" w:cs="宋体"/>
          <w:sz w:val="21"/>
          <w:szCs w:val="21"/>
          <w:highlight w:val="none"/>
        </w:rPr>
      </w:pPr>
      <w:r>
        <w:rPr>
          <w:rFonts w:hint="eastAsia" w:ascii="宋体" w:hAnsi="宋体" w:cs="宋体"/>
          <w:sz w:val="21"/>
          <w:szCs w:val="21"/>
          <w:highlight w:val="none"/>
        </w:rPr>
        <w:t>1.</w:t>
      </w:r>
      <w:r>
        <w:rPr>
          <w:rFonts w:hint="eastAsia" w:ascii="宋体" w:hAnsi="宋体" w:cs="宋体"/>
          <w:sz w:val="21"/>
          <w:szCs w:val="21"/>
          <w:highlight w:val="none"/>
          <w:u w:val="single"/>
        </w:rPr>
        <w:t>（标的名称）</w:t>
      </w:r>
      <w:r>
        <w:rPr>
          <w:rFonts w:hint="eastAsia" w:ascii="宋体" w:hAnsi="宋体" w:cs="宋体"/>
          <w:sz w:val="21"/>
          <w:szCs w:val="21"/>
          <w:highlight w:val="none"/>
        </w:rPr>
        <w:t>，属于</w:t>
      </w:r>
      <w:r>
        <w:rPr>
          <w:rFonts w:hint="eastAsia" w:ascii="宋体" w:hAnsi="宋体" w:cs="宋体"/>
          <w:sz w:val="21"/>
          <w:szCs w:val="21"/>
          <w:highlight w:val="none"/>
          <w:u w:val="single"/>
        </w:rPr>
        <w:t>（采购文件中明确的所属行业）</w:t>
      </w:r>
      <w:r>
        <w:rPr>
          <w:rFonts w:hint="eastAsia" w:ascii="宋体" w:hAnsi="宋体" w:cs="宋体"/>
          <w:sz w:val="21"/>
          <w:szCs w:val="21"/>
          <w:highlight w:val="none"/>
        </w:rPr>
        <w:t>；承接企业为</w:t>
      </w:r>
      <w:r>
        <w:rPr>
          <w:rFonts w:hint="eastAsia" w:ascii="宋体" w:hAnsi="宋体" w:cs="宋体"/>
          <w:sz w:val="21"/>
          <w:szCs w:val="21"/>
          <w:highlight w:val="none"/>
          <w:u w:val="single"/>
        </w:rPr>
        <w:t>（企业名称）</w:t>
      </w:r>
      <w:r>
        <w:rPr>
          <w:rFonts w:hint="eastAsia" w:ascii="宋体" w:hAnsi="宋体" w:cs="宋体"/>
          <w:sz w:val="21"/>
          <w:szCs w:val="21"/>
          <w:highlight w:val="none"/>
        </w:rPr>
        <w:t>，从业人员</w:t>
      </w:r>
      <w:r>
        <w:rPr>
          <w:rFonts w:hint="eastAsia" w:ascii="宋体" w:hAnsi="宋体" w:cs="宋体"/>
          <w:sz w:val="21"/>
          <w:szCs w:val="21"/>
          <w:highlight w:val="none"/>
          <w:u w:val="single"/>
        </w:rPr>
        <w:t xml:space="preserve">      </w:t>
      </w:r>
      <w:r>
        <w:rPr>
          <w:rFonts w:hint="eastAsia" w:ascii="宋体" w:hAnsi="宋体" w:cs="宋体"/>
          <w:sz w:val="21"/>
          <w:szCs w:val="21"/>
          <w:highlight w:val="none"/>
        </w:rPr>
        <w:t>人，营业收入为</w:t>
      </w:r>
      <w:r>
        <w:rPr>
          <w:rFonts w:hint="eastAsia" w:ascii="宋体" w:hAnsi="宋体" w:cs="宋体"/>
          <w:sz w:val="21"/>
          <w:szCs w:val="21"/>
          <w:highlight w:val="none"/>
          <w:u w:val="single"/>
        </w:rPr>
        <w:t xml:space="preserve">      </w:t>
      </w:r>
      <w:r>
        <w:rPr>
          <w:rFonts w:hint="eastAsia" w:ascii="宋体" w:hAnsi="宋体" w:cs="宋体"/>
          <w:sz w:val="21"/>
          <w:szCs w:val="21"/>
          <w:highlight w:val="none"/>
        </w:rPr>
        <w:t>万元，资产总额为</w:t>
      </w:r>
      <w:r>
        <w:rPr>
          <w:rFonts w:hint="eastAsia" w:ascii="宋体" w:hAnsi="宋体" w:cs="宋体"/>
          <w:sz w:val="21"/>
          <w:szCs w:val="21"/>
          <w:highlight w:val="none"/>
          <w:u w:val="single"/>
        </w:rPr>
        <w:t xml:space="preserve">      </w:t>
      </w:r>
      <w:r>
        <w:rPr>
          <w:rFonts w:hint="eastAsia" w:ascii="宋体" w:hAnsi="宋体" w:cs="宋体"/>
          <w:sz w:val="21"/>
          <w:szCs w:val="21"/>
          <w:highlight w:val="none"/>
        </w:rPr>
        <w:t>万元，属于</w:t>
      </w:r>
      <w:r>
        <w:rPr>
          <w:rFonts w:hint="eastAsia" w:ascii="宋体" w:hAnsi="宋体" w:cs="宋体"/>
          <w:sz w:val="21"/>
          <w:szCs w:val="21"/>
          <w:highlight w:val="none"/>
          <w:u w:val="single"/>
        </w:rPr>
        <w:t>（中型企业、小型企业、微型企业）</w:t>
      </w:r>
      <w:r>
        <w:rPr>
          <w:rFonts w:hint="eastAsia" w:ascii="宋体" w:hAnsi="宋体" w:cs="宋体"/>
          <w:sz w:val="21"/>
          <w:szCs w:val="21"/>
          <w:highlight w:val="none"/>
        </w:rPr>
        <w:t>；</w:t>
      </w:r>
    </w:p>
    <w:p w14:paraId="4595E3A7">
      <w:pPr>
        <w:tabs>
          <w:tab w:val="left" w:pos="1065"/>
          <w:tab w:val="left" w:pos="4262"/>
          <w:tab w:val="left" w:pos="6477"/>
        </w:tabs>
        <w:spacing w:before="20" w:line="500" w:lineRule="exact"/>
        <w:ind w:right="84" w:firstLine="676" w:firstLineChars="322"/>
        <w:rPr>
          <w:rFonts w:ascii="宋体" w:hAnsi="宋体" w:cs="宋体"/>
          <w:sz w:val="21"/>
          <w:szCs w:val="21"/>
          <w:highlight w:val="none"/>
          <w:u w:val="single"/>
        </w:rPr>
      </w:pPr>
      <w:r>
        <w:rPr>
          <w:rFonts w:hint="eastAsia" w:ascii="宋体" w:hAnsi="宋体" w:cs="宋体"/>
          <w:sz w:val="21"/>
          <w:szCs w:val="21"/>
          <w:highlight w:val="none"/>
        </w:rPr>
        <w:t>2.</w:t>
      </w:r>
      <w:r>
        <w:rPr>
          <w:rFonts w:hint="eastAsia" w:ascii="宋体" w:hAnsi="宋体" w:cs="宋体"/>
          <w:sz w:val="21"/>
          <w:szCs w:val="21"/>
          <w:highlight w:val="none"/>
          <w:u w:val="single"/>
        </w:rPr>
        <w:t>（标的名称）</w:t>
      </w:r>
      <w:r>
        <w:rPr>
          <w:rFonts w:hint="eastAsia" w:ascii="宋体" w:hAnsi="宋体" w:cs="宋体"/>
          <w:sz w:val="21"/>
          <w:szCs w:val="21"/>
          <w:highlight w:val="none"/>
        </w:rPr>
        <w:t>，属于</w:t>
      </w:r>
      <w:r>
        <w:rPr>
          <w:rFonts w:hint="eastAsia" w:ascii="宋体" w:hAnsi="宋体" w:cs="宋体"/>
          <w:sz w:val="21"/>
          <w:szCs w:val="21"/>
          <w:highlight w:val="none"/>
          <w:u w:val="single"/>
        </w:rPr>
        <w:t>（采购文件中明确的所属行业）</w:t>
      </w:r>
      <w:r>
        <w:rPr>
          <w:rFonts w:hint="eastAsia" w:ascii="宋体" w:hAnsi="宋体" w:cs="宋体"/>
          <w:sz w:val="21"/>
          <w:szCs w:val="21"/>
          <w:highlight w:val="none"/>
        </w:rPr>
        <w:t>；承接企业为</w:t>
      </w:r>
      <w:r>
        <w:rPr>
          <w:rFonts w:hint="eastAsia" w:ascii="宋体" w:hAnsi="宋体" w:cs="宋体"/>
          <w:sz w:val="21"/>
          <w:szCs w:val="21"/>
          <w:highlight w:val="none"/>
          <w:u w:val="single"/>
        </w:rPr>
        <w:t>（企业名称）</w:t>
      </w:r>
      <w:r>
        <w:rPr>
          <w:rFonts w:hint="eastAsia" w:ascii="宋体" w:hAnsi="宋体" w:cs="宋体"/>
          <w:sz w:val="21"/>
          <w:szCs w:val="21"/>
          <w:highlight w:val="none"/>
        </w:rPr>
        <w:t>，从业人员</w:t>
      </w:r>
      <w:r>
        <w:rPr>
          <w:rFonts w:hint="eastAsia" w:ascii="宋体" w:hAnsi="宋体" w:cs="宋体"/>
          <w:sz w:val="21"/>
          <w:szCs w:val="21"/>
          <w:highlight w:val="none"/>
          <w:u w:val="single"/>
        </w:rPr>
        <w:t xml:space="preserve">      </w:t>
      </w:r>
      <w:r>
        <w:rPr>
          <w:rFonts w:hint="eastAsia" w:ascii="宋体" w:hAnsi="宋体" w:cs="宋体"/>
          <w:sz w:val="21"/>
          <w:szCs w:val="21"/>
          <w:highlight w:val="none"/>
        </w:rPr>
        <w:t>人，营业收入为</w:t>
      </w:r>
      <w:r>
        <w:rPr>
          <w:rFonts w:hint="eastAsia" w:ascii="宋体" w:hAnsi="宋体" w:cs="宋体"/>
          <w:sz w:val="21"/>
          <w:szCs w:val="21"/>
          <w:highlight w:val="none"/>
          <w:u w:val="single"/>
        </w:rPr>
        <w:t xml:space="preserve">      </w:t>
      </w:r>
      <w:r>
        <w:rPr>
          <w:rFonts w:hint="eastAsia" w:ascii="宋体" w:hAnsi="宋体" w:cs="宋体"/>
          <w:sz w:val="21"/>
          <w:szCs w:val="21"/>
          <w:highlight w:val="none"/>
        </w:rPr>
        <w:t>万元，资产总额为</w:t>
      </w:r>
      <w:r>
        <w:rPr>
          <w:rFonts w:hint="eastAsia" w:ascii="宋体" w:hAnsi="宋体" w:cs="宋体"/>
          <w:sz w:val="21"/>
          <w:szCs w:val="21"/>
          <w:highlight w:val="none"/>
          <w:u w:val="single"/>
        </w:rPr>
        <w:t xml:space="preserve">      </w:t>
      </w:r>
      <w:r>
        <w:rPr>
          <w:rFonts w:hint="eastAsia" w:ascii="宋体" w:hAnsi="宋体" w:cs="宋体"/>
          <w:sz w:val="21"/>
          <w:szCs w:val="21"/>
          <w:highlight w:val="none"/>
        </w:rPr>
        <w:t>万元，属于</w:t>
      </w:r>
      <w:r>
        <w:rPr>
          <w:rFonts w:hint="eastAsia" w:ascii="宋体" w:hAnsi="宋体" w:cs="宋体"/>
          <w:sz w:val="21"/>
          <w:szCs w:val="21"/>
          <w:highlight w:val="none"/>
          <w:u w:val="single"/>
        </w:rPr>
        <w:t>（中型企业、小型企业、微型企业）</w:t>
      </w:r>
      <w:r>
        <w:rPr>
          <w:rFonts w:hint="eastAsia" w:ascii="宋体" w:hAnsi="宋体" w:cs="宋体"/>
          <w:sz w:val="21"/>
          <w:szCs w:val="21"/>
          <w:highlight w:val="none"/>
        </w:rPr>
        <w:t>；</w:t>
      </w:r>
    </w:p>
    <w:p w14:paraId="224B64B2">
      <w:pPr>
        <w:pStyle w:val="14"/>
        <w:spacing w:before="34" w:line="500" w:lineRule="exact"/>
        <w:ind w:right="142" w:firstLine="617" w:firstLineChars="294"/>
        <w:rPr>
          <w:rFonts w:ascii="宋体" w:hAnsi="宋体" w:cs="宋体"/>
          <w:sz w:val="21"/>
          <w:szCs w:val="21"/>
          <w:highlight w:val="none"/>
        </w:rPr>
      </w:pPr>
      <w:r>
        <w:rPr>
          <w:rFonts w:hint="eastAsia" w:ascii="宋体" w:hAnsi="宋体" w:cs="宋体"/>
          <w:sz w:val="21"/>
          <w:szCs w:val="21"/>
          <w:highlight w:val="none"/>
        </w:rPr>
        <w:t xml:space="preserve">…… </w:t>
      </w:r>
    </w:p>
    <w:p w14:paraId="4162D123">
      <w:pPr>
        <w:pStyle w:val="14"/>
        <w:spacing w:before="34" w:line="500" w:lineRule="exact"/>
        <w:ind w:right="142" w:firstLine="617" w:firstLineChars="294"/>
        <w:rPr>
          <w:rFonts w:ascii="宋体" w:hAnsi="宋体" w:cs="宋体"/>
          <w:sz w:val="21"/>
          <w:szCs w:val="21"/>
          <w:highlight w:val="none"/>
        </w:rPr>
      </w:pPr>
      <w:r>
        <w:rPr>
          <w:rFonts w:hint="eastAsia" w:ascii="宋体" w:hAnsi="宋体" w:cs="宋体"/>
          <w:sz w:val="21"/>
          <w:szCs w:val="21"/>
          <w:highlight w:val="none"/>
        </w:rPr>
        <w:t>以上企业，不属于大企业的分支机构，不存在控股股东为大企业的情形，也不存在与大企业的负责人为同一人的情形。</w:t>
      </w:r>
    </w:p>
    <w:p w14:paraId="06FE08B4">
      <w:pPr>
        <w:pStyle w:val="14"/>
        <w:spacing w:before="25" w:line="500" w:lineRule="exact"/>
        <w:ind w:right="142" w:firstLine="617" w:firstLineChars="294"/>
        <w:rPr>
          <w:rFonts w:ascii="宋体" w:hAnsi="宋体" w:cs="宋体"/>
          <w:sz w:val="21"/>
          <w:szCs w:val="21"/>
          <w:highlight w:val="none"/>
        </w:rPr>
      </w:pPr>
      <w:r>
        <w:rPr>
          <w:rFonts w:hint="eastAsia" w:ascii="宋体" w:hAnsi="宋体" w:cs="宋体"/>
          <w:sz w:val="21"/>
          <w:szCs w:val="21"/>
          <w:highlight w:val="none"/>
        </w:rPr>
        <w:t>本企业对上述声明内容的真实性负责。如有虚假，将依法承担相应责任。</w:t>
      </w:r>
    </w:p>
    <w:p w14:paraId="5AA0A4D3">
      <w:pPr>
        <w:pStyle w:val="14"/>
        <w:spacing w:before="56" w:line="500" w:lineRule="exact"/>
        <w:ind w:right="1808" w:firstLine="705" w:firstLineChars="294"/>
        <w:rPr>
          <w:rFonts w:ascii="宋体" w:hAnsi="宋体" w:cs="宋体"/>
          <w:sz w:val="24"/>
          <w:highlight w:val="none"/>
        </w:rPr>
      </w:pPr>
    </w:p>
    <w:p w14:paraId="5FE01EC6">
      <w:pPr>
        <w:pStyle w:val="14"/>
        <w:spacing w:before="56" w:line="500" w:lineRule="exact"/>
        <w:ind w:right="650" w:firstLine="2400" w:firstLineChars="1000"/>
        <w:rPr>
          <w:rFonts w:ascii="宋体" w:hAnsi="宋体" w:cs="宋体"/>
          <w:sz w:val="24"/>
          <w:highlight w:val="none"/>
          <w:u w:val="single"/>
        </w:rPr>
      </w:pPr>
      <w:r>
        <w:rPr>
          <w:rFonts w:hint="eastAsia" w:ascii="宋体" w:hAnsi="宋体" w:cs="宋体"/>
          <w:sz w:val="24"/>
          <w:highlight w:val="none"/>
        </w:rPr>
        <w:t>企业名称（公章</w:t>
      </w:r>
      <w:r>
        <w:rPr>
          <w:rFonts w:hint="eastAsia" w:ascii="宋体" w:hAnsi="宋体" w:eastAsia="宋体" w:cs="宋体"/>
          <w:color w:val="auto"/>
          <w:sz w:val="21"/>
          <w:szCs w:val="21"/>
          <w:highlight w:val="none"/>
          <w:lang w:eastAsia="zh-CN"/>
        </w:rPr>
        <w:t>（CA签章）</w:t>
      </w:r>
      <w:r>
        <w:rPr>
          <w:rFonts w:hint="eastAsia" w:ascii="宋体" w:hAnsi="宋体" w:cs="宋体"/>
          <w:sz w:val="24"/>
          <w:highlight w:val="none"/>
        </w:rPr>
        <w:t xml:space="preserve">）： </w:t>
      </w:r>
      <w:r>
        <w:rPr>
          <w:rFonts w:ascii="宋体" w:hAnsi="宋体" w:cs="宋体"/>
          <w:sz w:val="24"/>
          <w:highlight w:val="none"/>
          <w:u w:val="single"/>
        </w:rPr>
        <w:t xml:space="preserve">                    </w:t>
      </w:r>
    </w:p>
    <w:p w14:paraId="34096FE4">
      <w:pPr>
        <w:pStyle w:val="14"/>
        <w:spacing w:before="56" w:line="500" w:lineRule="exact"/>
        <w:ind w:right="1808" w:firstLine="2400" w:firstLineChars="1000"/>
        <w:rPr>
          <w:rFonts w:ascii="宋体" w:hAnsi="宋体" w:cs="宋体"/>
          <w:sz w:val="24"/>
          <w:highlight w:val="none"/>
        </w:rPr>
      </w:pPr>
      <w:r>
        <w:rPr>
          <w:rFonts w:hint="eastAsia" w:ascii="宋体" w:hAnsi="宋体" w:cs="宋体"/>
          <w:sz w:val="24"/>
          <w:highlight w:val="none"/>
        </w:rPr>
        <w:t>日 期：</w:t>
      </w:r>
      <w:r>
        <w:rPr>
          <w:rFonts w:hint="eastAsia" w:ascii="宋体" w:hAnsi="宋体" w:cs="宋体"/>
          <w:sz w:val="24"/>
          <w:highlight w:val="none"/>
          <w:u w:val="single"/>
        </w:rPr>
        <w:t xml:space="preserve"> </w:t>
      </w:r>
      <w:r>
        <w:rPr>
          <w:rFonts w:ascii="宋体" w:hAnsi="宋体" w:cs="宋体"/>
          <w:sz w:val="24"/>
          <w:highlight w:val="none"/>
          <w:u w:val="single"/>
        </w:rPr>
        <w:t xml:space="preserve">   </w:t>
      </w:r>
      <w:r>
        <w:rPr>
          <w:rFonts w:hint="eastAsia" w:ascii="宋体" w:hAnsi="宋体" w:cs="宋体"/>
          <w:sz w:val="24"/>
          <w:highlight w:val="none"/>
        </w:rPr>
        <w:t>年</w:t>
      </w:r>
      <w:r>
        <w:rPr>
          <w:rFonts w:hint="eastAsia" w:ascii="宋体" w:hAnsi="宋体" w:cs="宋体"/>
          <w:sz w:val="24"/>
          <w:highlight w:val="none"/>
          <w:u w:val="single"/>
        </w:rPr>
        <w:t xml:space="preserve"> </w:t>
      </w:r>
      <w:r>
        <w:rPr>
          <w:rFonts w:ascii="宋体" w:hAnsi="宋体" w:cs="宋体"/>
          <w:sz w:val="24"/>
          <w:highlight w:val="none"/>
          <w:u w:val="single"/>
        </w:rPr>
        <w:t xml:space="preserve"> </w:t>
      </w:r>
      <w:r>
        <w:rPr>
          <w:rFonts w:hint="eastAsia" w:ascii="宋体" w:hAnsi="宋体" w:cs="宋体"/>
          <w:sz w:val="24"/>
          <w:highlight w:val="none"/>
        </w:rPr>
        <w:t>月</w:t>
      </w:r>
      <w:r>
        <w:rPr>
          <w:rFonts w:hint="eastAsia" w:ascii="宋体" w:hAnsi="宋体" w:cs="宋体"/>
          <w:sz w:val="24"/>
          <w:highlight w:val="none"/>
          <w:u w:val="single"/>
        </w:rPr>
        <w:t xml:space="preserve"> </w:t>
      </w:r>
      <w:r>
        <w:rPr>
          <w:rFonts w:ascii="宋体" w:hAnsi="宋体" w:cs="宋体"/>
          <w:sz w:val="24"/>
          <w:highlight w:val="none"/>
          <w:u w:val="single"/>
        </w:rPr>
        <w:t xml:space="preserve"> </w:t>
      </w:r>
      <w:r>
        <w:rPr>
          <w:rFonts w:hint="eastAsia" w:ascii="宋体" w:hAnsi="宋体" w:cs="宋体"/>
          <w:sz w:val="24"/>
          <w:highlight w:val="none"/>
        </w:rPr>
        <w:t>日</w:t>
      </w:r>
    </w:p>
    <w:p w14:paraId="69164F20">
      <w:pPr>
        <w:spacing w:line="520" w:lineRule="exact"/>
        <w:jc w:val="left"/>
        <w:rPr>
          <w:rFonts w:hint="eastAsia" w:ascii="宋体" w:hAnsi="宋体" w:eastAsia="宋体" w:cs="宋体"/>
          <w:sz w:val="21"/>
          <w:szCs w:val="21"/>
          <w:highlight w:val="none"/>
        </w:rPr>
      </w:pPr>
      <w:r>
        <w:rPr>
          <w:rFonts w:hint="eastAsia" w:ascii="宋体" w:hAnsi="宋体" w:eastAsia="宋体" w:cs="宋体"/>
          <w:b/>
          <w:sz w:val="21"/>
          <w:szCs w:val="21"/>
          <w:highlight w:val="none"/>
        </w:rPr>
        <w:t>注：</w:t>
      </w:r>
      <w:r>
        <w:rPr>
          <w:rFonts w:hint="eastAsia" w:ascii="宋体" w:hAnsi="宋体" w:eastAsia="宋体" w:cs="宋体"/>
          <w:sz w:val="21"/>
          <w:szCs w:val="21"/>
          <w:highlight w:val="none"/>
        </w:rPr>
        <w:t>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14:paraId="17E65B8A">
      <w:pPr>
        <w:spacing w:line="360" w:lineRule="auto"/>
        <w:rPr>
          <w:rFonts w:ascii="宋体" w:hAnsi="宋体" w:cs="宋体"/>
          <w:szCs w:val="21"/>
          <w:highlight w:val="none"/>
        </w:rPr>
      </w:pPr>
    </w:p>
    <w:p w14:paraId="7B527999">
      <w:pPr>
        <w:spacing w:line="520" w:lineRule="exact"/>
        <w:jc w:val="center"/>
        <w:rPr>
          <w:rFonts w:ascii="宋体" w:hAnsi="宋体" w:cs="宋体"/>
          <w:sz w:val="24"/>
          <w:highlight w:val="none"/>
        </w:rPr>
      </w:pPr>
      <w:r>
        <w:rPr>
          <w:rFonts w:hint="eastAsia" w:ascii="宋体" w:hAnsi="宋体" w:cs="宋体"/>
          <w:sz w:val="24"/>
          <w:highlight w:val="none"/>
        </w:rPr>
        <w:br w:type="page"/>
      </w:r>
      <w:r>
        <w:rPr>
          <w:rFonts w:hint="eastAsia" w:ascii="宋体" w:hAnsi="宋体" w:cs="宋体"/>
          <w:b/>
          <w:sz w:val="32"/>
          <w:szCs w:val="32"/>
          <w:highlight w:val="none"/>
        </w:rPr>
        <w:t>残疾人福利性单位声明函</w:t>
      </w:r>
    </w:p>
    <w:p w14:paraId="260FD2D4">
      <w:pPr>
        <w:spacing w:line="360" w:lineRule="auto"/>
        <w:contextualSpacing/>
        <w:rPr>
          <w:rFonts w:ascii="宋体" w:hAnsi="宋体" w:cs="宋体"/>
          <w:sz w:val="32"/>
          <w:szCs w:val="32"/>
          <w:highlight w:val="none"/>
        </w:rPr>
      </w:pPr>
    </w:p>
    <w:p w14:paraId="4817C663">
      <w:pPr>
        <w:spacing w:line="360" w:lineRule="auto"/>
        <w:ind w:firstLine="420" w:firstLineChars="200"/>
        <w:contextualSpacing/>
        <w:rPr>
          <w:rFonts w:ascii="宋体" w:hAnsi="宋体" w:cs="宋体"/>
          <w:sz w:val="21"/>
          <w:szCs w:val="21"/>
          <w:highlight w:val="none"/>
        </w:rPr>
      </w:pPr>
      <w:r>
        <w:rPr>
          <w:rFonts w:hint="eastAsia" w:ascii="宋体" w:hAnsi="宋体" w:cs="宋体"/>
          <w:sz w:val="21"/>
          <w:szCs w:val="21"/>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cs="宋体"/>
          <w:sz w:val="21"/>
          <w:szCs w:val="21"/>
          <w:highlight w:val="none"/>
          <w:u w:val="single"/>
        </w:rPr>
        <w:t xml:space="preserve">       </w:t>
      </w:r>
      <w:r>
        <w:rPr>
          <w:rFonts w:hint="eastAsia" w:ascii="宋体" w:hAnsi="宋体" w:cs="宋体"/>
          <w:sz w:val="21"/>
          <w:szCs w:val="21"/>
          <w:highlight w:val="none"/>
        </w:rPr>
        <w:t>单位的</w:t>
      </w:r>
      <w:r>
        <w:rPr>
          <w:rFonts w:hint="eastAsia" w:ascii="宋体" w:hAnsi="宋体" w:cs="宋体"/>
          <w:sz w:val="21"/>
          <w:szCs w:val="21"/>
          <w:highlight w:val="none"/>
          <w:u w:val="single"/>
        </w:rPr>
        <w:t xml:space="preserve">        </w:t>
      </w:r>
      <w:r>
        <w:rPr>
          <w:rFonts w:hint="eastAsia" w:ascii="宋体" w:hAnsi="宋体" w:cs="宋体"/>
          <w:sz w:val="21"/>
          <w:szCs w:val="21"/>
          <w:highlight w:val="none"/>
        </w:rPr>
        <w:t>项目采购活动提供本单位制造的货物（由本单位承担工程/提供服务），或者提供其他残疾人福利性单位制造的货物（不包括使用非残疾人福利性单位注册商标的货物）。</w:t>
      </w:r>
    </w:p>
    <w:p w14:paraId="5322A6B8">
      <w:pPr>
        <w:spacing w:line="360" w:lineRule="auto"/>
        <w:ind w:firstLine="420" w:firstLineChars="200"/>
        <w:contextualSpacing/>
        <w:rPr>
          <w:rFonts w:ascii="宋体" w:hAnsi="宋体" w:cs="宋体"/>
          <w:sz w:val="21"/>
          <w:szCs w:val="21"/>
          <w:highlight w:val="none"/>
        </w:rPr>
      </w:pPr>
      <w:r>
        <w:rPr>
          <w:rFonts w:hint="eastAsia" w:ascii="宋体" w:hAnsi="宋体" w:cs="宋体"/>
          <w:sz w:val="21"/>
          <w:szCs w:val="21"/>
          <w:highlight w:val="none"/>
        </w:rPr>
        <w:t>本单位对上述声明的真实性负责。如有虚假，将依法承担相应责任。</w:t>
      </w:r>
    </w:p>
    <w:p w14:paraId="7362CA1D">
      <w:pPr>
        <w:spacing w:line="360" w:lineRule="auto"/>
        <w:contextualSpacing/>
        <w:rPr>
          <w:rFonts w:ascii="宋体" w:hAnsi="宋体" w:cs="宋体"/>
          <w:sz w:val="24"/>
          <w:highlight w:val="none"/>
        </w:rPr>
      </w:pPr>
    </w:p>
    <w:p w14:paraId="2FF0C29B">
      <w:pPr>
        <w:spacing w:line="360" w:lineRule="auto"/>
        <w:contextualSpacing/>
        <w:rPr>
          <w:rFonts w:ascii="宋体" w:hAnsi="宋体" w:cs="宋体"/>
          <w:sz w:val="24"/>
          <w:highlight w:val="none"/>
        </w:rPr>
      </w:pPr>
    </w:p>
    <w:p w14:paraId="426688C1">
      <w:pPr>
        <w:spacing w:line="360" w:lineRule="auto"/>
        <w:contextualSpacing/>
        <w:rPr>
          <w:rFonts w:ascii="宋体" w:hAnsi="宋体" w:cs="宋体"/>
          <w:sz w:val="24"/>
          <w:highlight w:val="none"/>
        </w:rPr>
      </w:pPr>
    </w:p>
    <w:p w14:paraId="729922C9">
      <w:pPr>
        <w:spacing w:line="360" w:lineRule="auto"/>
        <w:ind w:firstLine="2400" w:firstLineChars="1000"/>
        <w:contextualSpacing/>
        <w:rPr>
          <w:rFonts w:ascii="宋体" w:hAnsi="宋体" w:cs="宋体"/>
          <w:sz w:val="24"/>
          <w:highlight w:val="none"/>
          <w:u w:val="single"/>
        </w:rPr>
      </w:pPr>
      <w:r>
        <w:rPr>
          <w:rFonts w:hint="eastAsia" w:ascii="宋体" w:hAnsi="宋体" w:cs="宋体"/>
          <w:sz w:val="24"/>
          <w:highlight w:val="none"/>
        </w:rPr>
        <w:t>单位名称（公章（CA签章））：</w:t>
      </w:r>
      <w:r>
        <w:rPr>
          <w:rFonts w:hint="eastAsia" w:ascii="宋体" w:hAnsi="宋体" w:cs="宋体"/>
          <w:sz w:val="24"/>
          <w:highlight w:val="none"/>
          <w:u w:val="single"/>
        </w:rPr>
        <w:t xml:space="preserve"> </w:t>
      </w:r>
      <w:r>
        <w:rPr>
          <w:rFonts w:ascii="宋体" w:hAnsi="宋体" w:cs="宋体"/>
          <w:sz w:val="24"/>
          <w:highlight w:val="none"/>
          <w:u w:val="single"/>
        </w:rPr>
        <w:t xml:space="preserve">              </w:t>
      </w:r>
    </w:p>
    <w:p w14:paraId="77D86E94">
      <w:pPr>
        <w:spacing w:line="360" w:lineRule="auto"/>
        <w:ind w:firstLine="3600" w:firstLineChars="1500"/>
        <w:contextualSpacing/>
        <w:rPr>
          <w:rFonts w:ascii="宋体" w:hAnsi="宋体" w:cs="宋体"/>
          <w:sz w:val="24"/>
          <w:highlight w:val="none"/>
        </w:rPr>
      </w:pPr>
      <w:r>
        <w:rPr>
          <w:rFonts w:hint="eastAsia" w:ascii="宋体" w:hAnsi="宋体" w:cs="宋体"/>
          <w:sz w:val="24"/>
          <w:highlight w:val="none"/>
        </w:rPr>
        <w:t>日  期：</w:t>
      </w:r>
      <w:r>
        <w:rPr>
          <w:rFonts w:hint="eastAsia" w:ascii="宋体" w:hAnsi="宋体" w:cs="宋体"/>
          <w:sz w:val="24"/>
          <w:highlight w:val="none"/>
          <w:u w:val="single"/>
        </w:rPr>
        <w:t xml:space="preserve"> </w:t>
      </w:r>
      <w:r>
        <w:rPr>
          <w:rFonts w:ascii="宋体" w:hAnsi="宋体" w:cs="宋体"/>
          <w:sz w:val="24"/>
          <w:highlight w:val="none"/>
          <w:u w:val="single"/>
        </w:rPr>
        <w:t xml:space="preserve">   </w:t>
      </w:r>
      <w:r>
        <w:rPr>
          <w:rFonts w:hint="eastAsia" w:ascii="宋体" w:hAnsi="宋体" w:cs="宋体"/>
          <w:sz w:val="24"/>
          <w:highlight w:val="none"/>
        </w:rPr>
        <w:t>年</w:t>
      </w:r>
      <w:r>
        <w:rPr>
          <w:rFonts w:hint="eastAsia" w:ascii="宋体" w:hAnsi="宋体" w:cs="宋体"/>
          <w:sz w:val="24"/>
          <w:highlight w:val="none"/>
          <w:u w:val="single"/>
        </w:rPr>
        <w:t xml:space="preserve"> </w:t>
      </w:r>
      <w:r>
        <w:rPr>
          <w:rFonts w:ascii="宋体" w:hAnsi="宋体" w:cs="宋体"/>
          <w:sz w:val="24"/>
          <w:highlight w:val="none"/>
          <w:u w:val="single"/>
        </w:rPr>
        <w:t xml:space="preserve"> </w:t>
      </w:r>
      <w:r>
        <w:rPr>
          <w:rFonts w:hint="eastAsia" w:ascii="宋体" w:hAnsi="宋体" w:cs="宋体"/>
          <w:sz w:val="24"/>
          <w:highlight w:val="none"/>
        </w:rPr>
        <w:t>月</w:t>
      </w:r>
      <w:r>
        <w:rPr>
          <w:rFonts w:hint="eastAsia" w:ascii="宋体" w:hAnsi="宋体" w:cs="宋体"/>
          <w:sz w:val="24"/>
          <w:highlight w:val="none"/>
          <w:u w:val="single"/>
        </w:rPr>
        <w:t xml:space="preserve"> </w:t>
      </w:r>
      <w:r>
        <w:rPr>
          <w:rFonts w:ascii="宋体" w:hAnsi="宋体" w:cs="宋体"/>
          <w:sz w:val="24"/>
          <w:highlight w:val="none"/>
          <w:u w:val="single"/>
        </w:rPr>
        <w:t xml:space="preserve"> </w:t>
      </w:r>
      <w:r>
        <w:rPr>
          <w:rFonts w:hint="eastAsia" w:ascii="宋体" w:hAnsi="宋体" w:cs="宋体"/>
          <w:sz w:val="24"/>
          <w:highlight w:val="none"/>
        </w:rPr>
        <w:t>日</w:t>
      </w:r>
    </w:p>
    <w:p w14:paraId="451723D1">
      <w:pPr>
        <w:spacing w:line="360" w:lineRule="auto"/>
        <w:contextualSpacing/>
        <w:rPr>
          <w:rFonts w:ascii="宋体" w:hAnsi="宋体" w:cs="宋体"/>
          <w:sz w:val="24"/>
          <w:highlight w:val="none"/>
        </w:rPr>
      </w:pPr>
    </w:p>
    <w:p w14:paraId="23C5F31A">
      <w:pPr>
        <w:spacing w:line="360" w:lineRule="auto"/>
        <w:contextualSpacing/>
        <w:rPr>
          <w:rFonts w:ascii="宋体" w:hAnsi="宋体" w:cs="宋体"/>
          <w:sz w:val="24"/>
          <w:highlight w:val="none"/>
        </w:rPr>
      </w:pPr>
    </w:p>
    <w:p w14:paraId="7C0BEEAE">
      <w:pPr>
        <w:spacing w:line="360" w:lineRule="auto"/>
        <w:contextualSpacing/>
        <w:rPr>
          <w:rFonts w:ascii="宋体" w:hAnsi="宋体" w:cs="宋体"/>
          <w:sz w:val="24"/>
          <w:highlight w:val="none"/>
        </w:rPr>
      </w:pPr>
    </w:p>
    <w:p w14:paraId="70D078ED">
      <w:pPr>
        <w:spacing w:line="360" w:lineRule="auto"/>
        <w:contextualSpacing/>
        <w:rPr>
          <w:rFonts w:hint="eastAsia" w:ascii="宋体" w:hAnsi="宋体" w:eastAsia="宋体" w:cs="宋体"/>
          <w:sz w:val="21"/>
          <w:szCs w:val="21"/>
          <w:highlight w:val="none"/>
        </w:rPr>
      </w:pPr>
      <w:r>
        <w:rPr>
          <w:rFonts w:hint="eastAsia" w:ascii="宋体" w:hAnsi="宋体" w:eastAsia="宋体" w:cs="宋体"/>
          <w:b/>
          <w:sz w:val="21"/>
          <w:szCs w:val="21"/>
          <w:highlight w:val="none"/>
        </w:rPr>
        <w:t>注：</w:t>
      </w:r>
      <w:r>
        <w:rPr>
          <w:rFonts w:hint="eastAsia" w:ascii="宋体" w:hAnsi="宋体" w:eastAsia="宋体" w:cs="宋体"/>
          <w:sz w:val="21"/>
          <w:szCs w:val="21"/>
          <w:highlight w:val="none"/>
        </w:rPr>
        <w:t>请根据自己的真实情况出具《残疾人福利性单位声明函》。依法享受中小企业优惠政策的，采购人或者采购代理机构在公告中标结果时，同时公告其《残疾人福利性单位声明函》，接受社会监督。</w:t>
      </w:r>
    </w:p>
    <w:p w14:paraId="0CB6D21E">
      <w:pPr>
        <w:pStyle w:val="3"/>
        <w:bidi w:val="0"/>
        <w:rPr>
          <w:rFonts w:hint="eastAsia" w:ascii="宋体" w:hAnsi="宋体" w:cs="宋体"/>
          <w:szCs w:val="21"/>
          <w:highlight w:val="none"/>
        </w:rPr>
      </w:pPr>
      <w:r>
        <w:rPr>
          <w:rFonts w:hint="eastAsia" w:ascii="宋体" w:hAnsi="宋体" w:cs="宋体"/>
          <w:highlight w:val="none"/>
        </w:rPr>
        <w:br w:type="page"/>
      </w:r>
      <w:r>
        <w:rPr>
          <w:rFonts w:hint="eastAsia"/>
          <w:highlight w:val="none"/>
          <w:lang w:val="en-US" w:eastAsia="zh-CN"/>
        </w:rPr>
        <w:t>二）、</w:t>
      </w:r>
      <w:r>
        <w:rPr>
          <w:rFonts w:hint="eastAsia"/>
          <w:highlight w:val="none"/>
        </w:rPr>
        <w:t>商务、服务文件</w:t>
      </w:r>
    </w:p>
    <w:p w14:paraId="7B29A7FB">
      <w:pPr>
        <w:rPr>
          <w:rFonts w:hint="eastAsia" w:ascii="宋体" w:hAnsi="宋体" w:cs="宋体"/>
          <w:sz w:val="24"/>
          <w:highlight w:val="none"/>
        </w:rPr>
      </w:pPr>
    </w:p>
    <w:p w14:paraId="08BC15B6">
      <w:pPr>
        <w:pStyle w:val="3"/>
        <w:bidi w:val="0"/>
        <w:rPr>
          <w:highlight w:val="none"/>
        </w:rPr>
      </w:pPr>
      <w:r>
        <w:rPr>
          <w:rFonts w:hint="eastAsia"/>
          <w:highlight w:val="none"/>
          <w:lang w:val="en-US" w:eastAsia="zh-CN"/>
        </w:rPr>
        <w:t>1.</w:t>
      </w:r>
      <w:r>
        <w:rPr>
          <w:rFonts w:hint="eastAsia"/>
          <w:highlight w:val="none"/>
        </w:rPr>
        <w:t>法定代表人身份证明及法定代表人有效身份证正反面（格式后附）</w:t>
      </w:r>
    </w:p>
    <w:p w14:paraId="3299931A">
      <w:pPr>
        <w:spacing w:line="360" w:lineRule="auto"/>
        <w:ind w:left="540"/>
        <w:contextualSpacing/>
        <w:rPr>
          <w:rFonts w:ascii="宋体" w:hAnsi="宋体" w:cs="宋体"/>
          <w:sz w:val="32"/>
          <w:szCs w:val="32"/>
          <w:highlight w:val="none"/>
        </w:rPr>
      </w:pPr>
    </w:p>
    <w:p w14:paraId="48AD17D3">
      <w:pPr>
        <w:spacing w:line="360" w:lineRule="auto"/>
        <w:ind w:left="540"/>
        <w:contextualSpacing/>
        <w:rPr>
          <w:rFonts w:ascii="宋体" w:hAnsi="宋体" w:cs="宋体"/>
          <w:sz w:val="21"/>
          <w:szCs w:val="21"/>
          <w:highlight w:val="none"/>
        </w:rPr>
      </w:pPr>
      <w:r>
        <w:rPr>
          <w:rFonts w:hint="eastAsia" w:ascii="宋体" w:hAnsi="宋体" w:cs="宋体"/>
          <w:sz w:val="21"/>
          <w:szCs w:val="21"/>
          <w:highlight w:val="none"/>
        </w:rPr>
        <w:t>供应商名称：</w:t>
      </w:r>
      <w:r>
        <w:rPr>
          <w:rFonts w:hint="eastAsia" w:ascii="宋体" w:hAnsi="宋体" w:cs="宋体"/>
          <w:sz w:val="21"/>
          <w:szCs w:val="21"/>
          <w:highlight w:val="none"/>
          <w:u w:val="single"/>
        </w:rPr>
        <w:t xml:space="preserve">                                                        </w:t>
      </w:r>
    </w:p>
    <w:p w14:paraId="3377C927">
      <w:pPr>
        <w:spacing w:line="360" w:lineRule="auto"/>
        <w:ind w:left="540"/>
        <w:contextualSpacing/>
        <w:rPr>
          <w:rFonts w:ascii="宋体" w:hAnsi="宋体" w:cs="宋体"/>
          <w:sz w:val="21"/>
          <w:szCs w:val="21"/>
          <w:highlight w:val="none"/>
        </w:rPr>
      </w:pPr>
      <w:r>
        <w:rPr>
          <w:rFonts w:hint="eastAsia" w:ascii="宋体" w:hAnsi="宋体" w:cs="宋体"/>
          <w:sz w:val="21"/>
          <w:szCs w:val="21"/>
          <w:highlight w:val="none"/>
        </w:rPr>
        <w:t>地    址：</w:t>
      </w:r>
      <w:r>
        <w:rPr>
          <w:rFonts w:hint="eastAsia" w:ascii="宋体" w:hAnsi="宋体" w:cs="宋体"/>
          <w:sz w:val="21"/>
          <w:szCs w:val="21"/>
          <w:highlight w:val="none"/>
          <w:u w:val="single"/>
        </w:rPr>
        <w:t xml:space="preserve">                                                        </w:t>
      </w:r>
    </w:p>
    <w:p w14:paraId="156CAC4C">
      <w:pPr>
        <w:spacing w:line="360" w:lineRule="auto"/>
        <w:ind w:left="540"/>
        <w:contextualSpacing/>
        <w:rPr>
          <w:rFonts w:ascii="宋体" w:hAnsi="宋体" w:cs="宋体"/>
          <w:sz w:val="21"/>
          <w:szCs w:val="21"/>
          <w:highlight w:val="none"/>
        </w:rPr>
      </w:pPr>
      <w:r>
        <w:rPr>
          <w:rFonts w:hint="eastAsia" w:ascii="宋体" w:hAnsi="宋体" w:cs="宋体"/>
          <w:sz w:val="21"/>
          <w:szCs w:val="21"/>
          <w:highlight w:val="none"/>
        </w:rPr>
        <w:t>姓    名：</w:t>
      </w:r>
      <w:r>
        <w:rPr>
          <w:rFonts w:hint="eastAsia" w:ascii="宋体" w:hAnsi="宋体" w:cs="宋体"/>
          <w:sz w:val="21"/>
          <w:szCs w:val="21"/>
          <w:highlight w:val="none"/>
          <w:u w:val="single"/>
        </w:rPr>
        <w:t xml:space="preserve">                </w:t>
      </w:r>
      <w:r>
        <w:rPr>
          <w:rFonts w:hint="eastAsia" w:ascii="宋体" w:hAnsi="宋体" w:cs="宋体"/>
          <w:sz w:val="21"/>
          <w:szCs w:val="21"/>
          <w:highlight w:val="none"/>
        </w:rPr>
        <w:t>性     别：</w:t>
      </w:r>
      <w:r>
        <w:rPr>
          <w:rFonts w:hint="eastAsia" w:ascii="宋体" w:hAnsi="宋体" w:cs="宋体"/>
          <w:sz w:val="21"/>
          <w:szCs w:val="21"/>
          <w:highlight w:val="none"/>
          <w:u w:val="single"/>
        </w:rPr>
        <w:t xml:space="preserve">                </w:t>
      </w:r>
    </w:p>
    <w:p w14:paraId="051A8BE5">
      <w:pPr>
        <w:spacing w:line="360" w:lineRule="auto"/>
        <w:ind w:left="540"/>
        <w:contextualSpacing/>
        <w:rPr>
          <w:rFonts w:ascii="宋体" w:hAnsi="宋体" w:cs="宋体"/>
          <w:sz w:val="21"/>
          <w:szCs w:val="21"/>
          <w:highlight w:val="none"/>
          <w:u w:val="single"/>
        </w:rPr>
      </w:pPr>
      <w:r>
        <w:rPr>
          <w:rFonts w:hint="eastAsia" w:ascii="宋体" w:hAnsi="宋体" w:cs="宋体"/>
          <w:sz w:val="21"/>
          <w:szCs w:val="21"/>
          <w:highlight w:val="none"/>
        </w:rPr>
        <w:t>年    龄：</w:t>
      </w:r>
      <w:r>
        <w:rPr>
          <w:rFonts w:hint="eastAsia" w:ascii="宋体" w:hAnsi="宋体" w:cs="宋体"/>
          <w:sz w:val="21"/>
          <w:szCs w:val="21"/>
          <w:highlight w:val="none"/>
          <w:u w:val="single"/>
        </w:rPr>
        <w:t xml:space="preserve">                </w:t>
      </w:r>
      <w:r>
        <w:rPr>
          <w:rFonts w:hint="eastAsia" w:ascii="宋体" w:hAnsi="宋体" w:cs="宋体"/>
          <w:sz w:val="21"/>
          <w:szCs w:val="21"/>
          <w:highlight w:val="none"/>
        </w:rPr>
        <w:t>职     务：</w:t>
      </w:r>
      <w:r>
        <w:rPr>
          <w:rFonts w:hint="eastAsia" w:ascii="宋体" w:hAnsi="宋体" w:cs="宋体"/>
          <w:sz w:val="21"/>
          <w:szCs w:val="21"/>
          <w:highlight w:val="none"/>
          <w:u w:val="single"/>
        </w:rPr>
        <w:t xml:space="preserve">                </w:t>
      </w:r>
    </w:p>
    <w:p w14:paraId="66759114">
      <w:pPr>
        <w:spacing w:line="360" w:lineRule="auto"/>
        <w:ind w:left="540"/>
        <w:contextualSpacing/>
        <w:rPr>
          <w:rFonts w:ascii="宋体" w:hAnsi="宋体" w:cs="宋体"/>
          <w:sz w:val="21"/>
          <w:szCs w:val="21"/>
          <w:highlight w:val="none"/>
        </w:rPr>
      </w:pPr>
      <w:r>
        <w:rPr>
          <w:rFonts w:hint="eastAsia" w:ascii="宋体" w:hAnsi="宋体" w:cs="宋体"/>
          <w:sz w:val="21"/>
          <w:szCs w:val="21"/>
          <w:highlight w:val="none"/>
        </w:rPr>
        <w:t>身份证号码：</w:t>
      </w:r>
      <w:r>
        <w:rPr>
          <w:rFonts w:hint="eastAsia" w:ascii="宋体" w:hAnsi="宋体" w:cs="宋体"/>
          <w:sz w:val="21"/>
          <w:szCs w:val="21"/>
          <w:highlight w:val="none"/>
          <w:u w:val="single"/>
        </w:rPr>
        <w:t xml:space="preserve">                                        </w:t>
      </w:r>
    </w:p>
    <w:p w14:paraId="474B91A5">
      <w:pPr>
        <w:spacing w:line="360" w:lineRule="auto"/>
        <w:ind w:firstLine="420" w:firstLineChars="200"/>
        <w:contextualSpacing/>
        <w:rPr>
          <w:rFonts w:ascii="宋体" w:hAnsi="宋体" w:cs="宋体"/>
          <w:sz w:val="21"/>
          <w:szCs w:val="21"/>
          <w:highlight w:val="none"/>
        </w:rPr>
      </w:pPr>
      <w:r>
        <w:rPr>
          <w:rFonts w:hint="eastAsia" w:ascii="宋体" w:hAnsi="宋体" w:cs="宋体"/>
          <w:sz w:val="21"/>
          <w:szCs w:val="21"/>
          <w:highlight w:val="none"/>
        </w:rPr>
        <w:t>系</w:t>
      </w:r>
      <w:r>
        <w:rPr>
          <w:rFonts w:hint="eastAsia" w:ascii="宋体" w:hAnsi="宋体" w:cs="宋体"/>
          <w:sz w:val="21"/>
          <w:szCs w:val="21"/>
          <w:highlight w:val="none"/>
          <w:u w:val="single"/>
        </w:rPr>
        <w:t>（供应商名称）</w:t>
      </w:r>
      <w:r>
        <w:rPr>
          <w:rFonts w:hint="eastAsia" w:ascii="宋体" w:hAnsi="宋体" w:cs="宋体"/>
          <w:sz w:val="21"/>
          <w:szCs w:val="21"/>
          <w:highlight w:val="none"/>
        </w:rPr>
        <w:t>的法定代表人。</w:t>
      </w:r>
    </w:p>
    <w:p w14:paraId="391F3791">
      <w:pPr>
        <w:spacing w:line="360" w:lineRule="auto"/>
        <w:ind w:left="540"/>
        <w:contextualSpacing/>
        <w:rPr>
          <w:rFonts w:ascii="宋体" w:hAnsi="宋体" w:cs="宋体"/>
          <w:sz w:val="21"/>
          <w:szCs w:val="21"/>
          <w:highlight w:val="none"/>
        </w:rPr>
      </w:pPr>
      <w:r>
        <w:rPr>
          <w:rFonts w:hint="eastAsia" w:ascii="宋体" w:hAnsi="宋体" w:cs="宋体"/>
          <w:sz w:val="21"/>
          <w:szCs w:val="21"/>
          <w:highlight w:val="none"/>
        </w:rPr>
        <w:t>特此证明。</w:t>
      </w:r>
    </w:p>
    <w:p w14:paraId="7DA37A3B">
      <w:pPr>
        <w:spacing w:line="360" w:lineRule="auto"/>
        <w:ind w:left="540"/>
        <w:contextualSpacing/>
        <w:rPr>
          <w:rFonts w:ascii="宋体" w:hAnsi="宋体" w:cs="宋体"/>
          <w:sz w:val="21"/>
          <w:szCs w:val="21"/>
          <w:highlight w:val="none"/>
        </w:rPr>
      </w:pPr>
    </w:p>
    <w:p w14:paraId="0395315C">
      <w:pPr>
        <w:spacing w:line="360" w:lineRule="auto"/>
        <w:ind w:left="540"/>
        <w:contextualSpacing/>
        <w:rPr>
          <w:rFonts w:ascii="宋体" w:hAnsi="宋体" w:cs="宋体"/>
          <w:sz w:val="21"/>
          <w:szCs w:val="21"/>
          <w:highlight w:val="none"/>
        </w:rPr>
      </w:pPr>
    </w:p>
    <w:p w14:paraId="0D9336B8">
      <w:pPr>
        <w:spacing w:line="360" w:lineRule="auto"/>
        <w:ind w:left="540"/>
        <w:contextualSpacing/>
        <w:rPr>
          <w:rFonts w:ascii="宋体" w:hAnsi="宋体" w:cs="宋体"/>
          <w:sz w:val="21"/>
          <w:szCs w:val="21"/>
          <w:highlight w:val="none"/>
        </w:rPr>
      </w:pPr>
    </w:p>
    <w:p w14:paraId="63A6EF55">
      <w:pPr>
        <w:spacing w:line="360" w:lineRule="auto"/>
        <w:ind w:left="540"/>
        <w:contextualSpacing/>
        <w:rPr>
          <w:rFonts w:ascii="宋体" w:hAnsi="宋体" w:cs="宋体"/>
          <w:sz w:val="21"/>
          <w:szCs w:val="21"/>
          <w:highlight w:val="none"/>
        </w:rPr>
      </w:pPr>
      <w:r>
        <w:rPr>
          <w:rFonts w:hint="eastAsia" w:ascii="宋体" w:hAnsi="宋体" w:cs="宋体"/>
          <w:sz w:val="21"/>
          <w:szCs w:val="21"/>
          <w:highlight w:val="none"/>
        </w:rPr>
        <w:t>附件：法定代表人有效身份证正反面复印件</w:t>
      </w:r>
    </w:p>
    <w:p w14:paraId="16387C74">
      <w:pPr>
        <w:spacing w:line="360" w:lineRule="auto"/>
        <w:ind w:left="540"/>
        <w:contextualSpacing/>
        <w:rPr>
          <w:rFonts w:ascii="宋体" w:hAnsi="宋体" w:cs="宋体"/>
          <w:sz w:val="21"/>
          <w:szCs w:val="21"/>
          <w:highlight w:val="none"/>
        </w:rPr>
      </w:pPr>
    </w:p>
    <w:p w14:paraId="100B2930">
      <w:pPr>
        <w:spacing w:line="360" w:lineRule="auto"/>
        <w:ind w:right="960" w:firstLine="3570" w:firstLineChars="1700"/>
        <w:contextualSpacing/>
        <w:rPr>
          <w:rFonts w:ascii="宋体" w:hAnsi="宋体" w:cs="宋体"/>
          <w:sz w:val="21"/>
          <w:szCs w:val="21"/>
          <w:highlight w:val="none"/>
          <w:u w:val="single"/>
        </w:rPr>
      </w:pPr>
      <w:r>
        <w:rPr>
          <w:rFonts w:hint="eastAsia" w:ascii="宋体" w:hAnsi="宋体" w:cs="宋体"/>
          <w:sz w:val="21"/>
          <w:szCs w:val="21"/>
          <w:highlight w:val="none"/>
        </w:rPr>
        <w:t>供应商（公章</w:t>
      </w:r>
      <w:r>
        <w:rPr>
          <w:rFonts w:hint="eastAsia" w:ascii="宋体" w:hAnsi="宋体" w:eastAsia="宋体" w:cs="宋体"/>
          <w:color w:val="auto"/>
          <w:sz w:val="21"/>
          <w:szCs w:val="21"/>
          <w:highlight w:val="none"/>
          <w:lang w:eastAsia="zh-CN"/>
        </w:rPr>
        <w:t>（CA签章）</w:t>
      </w:r>
      <w:r>
        <w:rPr>
          <w:rFonts w:hint="eastAsia" w:ascii="宋体" w:hAnsi="宋体" w:cs="宋体"/>
          <w:sz w:val="21"/>
          <w:szCs w:val="21"/>
          <w:highlight w:val="none"/>
        </w:rPr>
        <w:t>）：</w:t>
      </w:r>
      <w:r>
        <w:rPr>
          <w:rFonts w:hint="eastAsia" w:ascii="宋体" w:hAnsi="宋体" w:cs="宋体"/>
          <w:sz w:val="21"/>
          <w:szCs w:val="21"/>
          <w:highlight w:val="none"/>
          <w:u w:val="single"/>
        </w:rPr>
        <w:t xml:space="preserve"> </w:t>
      </w:r>
      <w:r>
        <w:rPr>
          <w:rFonts w:ascii="宋体" w:hAnsi="宋体" w:cs="宋体"/>
          <w:sz w:val="21"/>
          <w:szCs w:val="21"/>
          <w:highlight w:val="none"/>
          <w:u w:val="single"/>
        </w:rPr>
        <w:t xml:space="preserve">              </w:t>
      </w:r>
    </w:p>
    <w:p w14:paraId="1737CF03">
      <w:pPr>
        <w:pStyle w:val="24"/>
        <w:rPr>
          <w:rFonts w:ascii="宋体" w:hAnsi="宋体" w:cs="宋体"/>
          <w:szCs w:val="21"/>
          <w:highlight w:val="none"/>
        </w:rPr>
      </w:pPr>
    </w:p>
    <w:p w14:paraId="530D5EE2">
      <w:pPr>
        <w:spacing w:line="360" w:lineRule="auto"/>
        <w:ind w:firstLine="3570" w:firstLineChars="1700"/>
        <w:contextualSpacing/>
        <w:rPr>
          <w:rFonts w:ascii="宋体" w:hAnsi="宋体" w:cs="宋体"/>
          <w:sz w:val="21"/>
          <w:szCs w:val="21"/>
          <w:highlight w:val="none"/>
        </w:rPr>
      </w:pPr>
      <w:r>
        <w:rPr>
          <w:rFonts w:hint="eastAsia" w:hAnsi="宋体" w:cs="宋体"/>
          <w:sz w:val="21"/>
          <w:szCs w:val="21"/>
          <w:highlight w:val="none"/>
        </w:rPr>
        <w:t>日期：</w:t>
      </w:r>
      <w:r>
        <w:rPr>
          <w:rFonts w:hint="eastAsia" w:ascii="宋体" w:hAnsi="宋体" w:cs="宋体"/>
          <w:sz w:val="21"/>
          <w:szCs w:val="21"/>
          <w:highlight w:val="none"/>
          <w:u w:val="single"/>
        </w:rPr>
        <w:t xml:space="preserve">     </w:t>
      </w:r>
      <w:r>
        <w:rPr>
          <w:rFonts w:hint="eastAsia" w:ascii="宋体" w:hAnsi="宋体" w:cs="宋体"/>
          <w:sz w:val="21"/>
          <w:szCs w:val="21"/>
          <w:highlight w:val="none"/>
        </w:rPr>
        <w:t>年</w:t>
      </w:r>
      <w:r>
        <w:rPr>
          <w:rFonts w:hint="eastAsia" w:ascii="宋体" w:hAnsi="宋体" w:cs="宋体"/>
          <w:sz w:val="21"/>
          <w:szCs w:val="21"/>
          <w:highlight w:val="none"/>
          <w:u w:val="single"/>
        </w:rPr>
        <w:t xml:space="preserve">     </w:t>
      </w:r>
      <w:r>
        <w:rPr>
          <w:rFonts w:hint="eastAsia" w:ascii="宋体" w:hAnsi="宋体" w:cs="宋体"/>
          <w:sz w:val="21"/>
          <w:szCs w:val="21"/>
          <w:highlight w:val="none"/>
        </w:rPr>
        <w:t>月</w:t>
      </w:r>
      <w:r>
        <w:rPr>
          <w:rFonts w:hint="eastAsia" w:ascii="宋体" w:hAnsi="宋体" w:cs="宋体"/>
          <w:sz w:val="21"/>
          <w:szCs w:val="21"/>
          <w:highlight w:val="none"/>
          <w:u w:val="single"/>
        </w:rPr>
        <w:t xml:space="preserve">     </w:t>
      </w:r>
      <w:r>
        <w:rPr>
          <w:rFonts w:hint="eastAsia" w:ascii="宋体" w:hAnsi="宋体" w:cs="宋体"/>
          <w:sz w:val="21"/>
          <w:szCs w:val="21"/>
          <w:highlight w:val="none"/>
        </w:rPr>
        <w:t>日</w:t>
      </w:r>
    </w:p>
    <w:p w14:paraId="42FDF82A">
      <w:pPr>
        <w:spacing w:line="360" w:lineRule="auto"/>
        <w:contextualSpacing/>
        <w:jc w:val="center"/>
        <w:rPr>
          <w:rFonts w:ascii="宋体" w:hAnsi="宋体" w:cs="宋体"/>
          <w:b/>
          <w:sz w:val="24"/>
          <w:highlight w:val="none"/>
        </w:rPr>
      </w:pPr>
    </w:p>
    <w:p w14:paraId="24264AF6">
      <w:pPr>
        <w:spacing w:line="360" w:lineRule="auto"/>
        <w:contextualSpacing/>
        <w:jc w:val="left"/>
        <w:rPr>
          <w:rFonts w:ascii="宋体" w:hAnsi="宋体" w:cs="宋体"/>
          <w:sz w:val="24"/>
          <w:highlight w:val="none"/>
        </w:rPr>
      </w:pPr>
    </w:p>
    <w:p w14:paraId="6C1681D4">
      <w:pPr>
        <w:spacing w:line="360" w:lineRule="auto"/>
        <w:contextualSpacing/>
        <w:jc w:val="left"/>
        <w:rPr>
          <w:rFonts w:hint="eastAsia" w:ascii="宋体" w:hAnsi="宋体" w:eastAsia="宋体" w:cs="宋体"/>
          <w:sz w:val="21"/>
          <w:szCs w:val="21"/>
          <w:highlight w:val="none"/>
        </w:rPr>
      </w:pPr>
      <w:r>
        <w:rPr>
          <w:rFonts w:hint="eastAsia" w:ascii="宋体" w:hAnsi="宋体" w:eastAsia="宋体" w:cs="宋体"/>
          <w:b/>
          <w:sz w:val="21"/>
          <w:szCs w:val="21"/>
          <w:highlight w:val="none"/>
        </w:rPr>
        <w:t>注：</w:t>
      </w:r>
      <w:r>
        <w:rPr>
          <w:rFonts w:hint="eastAsia" w:ascii="宋体" w:hAnsi="宋体" w:eastAsia="宋体" w:cs="宋体"/>
          <w:sz w:val="21"/>
          <w:szCs w:val="21"/>
          <w:highlight w:val="none"/>
        </w:rPr>
        <w:t>自然人参与竞争性磋商的无需提供，联合体参与竞争性磋商的只需牵头人出具。</w:t>
      </w:r>
    </w:p>
    <w:p w14:paraId="367F8047">
      <w:pPr>
        <w:adjustRightInd w:val="0"/>
        <w:snapToGrid w:val="0"/>
        <w:spacing w:line="300" w:lineRule="auto"/>
        <w:jc w:val="left"/>
        <w:rPr>
          <w:rFonts w:ascii="宋体" w:hAnsi="宋体" w:cs="宋体"/>
          <w:b/>
          <w:szCs w:val="21"/>
          <w:highlight w:val="none"/>
        </w:rPr>
      </w:pPr>
    </w:p>
    <w:p w14:paraId="5802A21D">
      <w:pPr>
        <w:pStyle w:val="3"/>
        <w:bidi w:val="0"/>
        <w:rPr>
          <w:rFonts w:ascii="宋体" w:hAnsi="宋体" w:cs="宋体"/>
          <w:b/>
          <w:szCs w:val="28"/>
          <w:highlight w:val="none"/>
        </w:rPr>
      </w:pPr>
      <w:r>
        <w:rPr>
          <w:rFonts w:hint="eastAsia" w:ascii="宋体" w:hAnsi="宋体" w:cs="宋体"/>
          <w:szCs w:val="44"/>
          <w:highlight w:val="none"/>
        </w:rPr>
        <w:br w:type="page"/>
      </w:r>
      <w:bookmarkStart w:id="42" w:name="_Hlk65853643"/>
      <w:r>
        <w:rPr>
          <w:rFonts w:hint="eastAsia"/>
          <w:highlight w:val="none"/>
        </w:rPr>
        <w:t>2.授权委托书及委托代理人有效身份证正反面（格式后附）</w:t>
      </w:r>
    </w:p>
    <w:p w14:paraId="78120E9E">
      <w:pPr>
        <w:jc w:val="center"/>
        <w:rPr>
          <w:rFonts w:ascii="宋体" w:hAnsi="宋体" w:cs="宋体"/>
          <w:sz w:val="28"/>
          <w:szCs w:val="28"/>
          <w:highlight w:val="none"/>
        </w:rPr>
      </w:pPr>
      <w:r>
        <w:rPr>
          <w:rFonts w:hint="eastAsia" w:ascii="宋体" w:hAnsi="宋体" w:cs="宋体"/>
          <w:sz w:val="28"/>
          <w:szCs w:val="28"/>
          <w:highlight w:val="none"/>
        </w:rPr>
        <w:t>（非联合体参与竞争性磋商格式）</w:t>
      </w:r>
    </w:p>
    <w:p w14:paraId="67C7CCAA">
      <w:pPr>
        <w:jc w:val="center"/>
        <w:rPr>
          <w:rFonts w:ascii="宋体" w:hAnsi="宋体" w:cs="宋体"/>
          <w:sz w:val="28"/>
          <w:szCs w:val="28"/>
          <w:highlight w:val="none"/>
        </w:rPr>
      </w:pPr>
      <w:r>
        <w:rPr>
          <w:rFonts w:hint="eastAsia" w:ascii="宋体" w:hAnsi="宋体" w:cs="宋体"/>
          <w:sz w:val="28"/>
          <w:szCs w:val="28"/>
          <w:highlight w:val="none"/>
        </w:rPr>
        <w:t>（如有委托时）</w:t>
      </w:r>
    </w:p>
    <w:p w14:paraId="77038CF7">
      <w:pPr>
        <w:spacing w:line="520" w:lineRule="exact"/>
        <w:rPr>
          <w:rFonts w:ascii="宋体" w:hAnsi="宋体" w:cs="宋体"/>
          <w:sz w:val="32"/>
          <w:szCs w:val="32"/>
          <w:highlight w:val="none"/>
        </w:rPr>
      </w:pPr>
    </w:p>
    <w:p w14:paraId="5E43DF8E">
      <w:pPr>
        <w:spacing w:line="360" w:lineRule="auto"/>
        <w:rPr>
          <w:rFonts w:ascii="宋体" w:hAnsi="宋体" w:cs="宋体"/>
          <w:sz w:val="21"/>
          <w:szCs w:val="21"/>
          <w:highlight w:val="none"/>
        </w:rPr>
      </w:pPr>
      <w:r>
        <w:rPr>
          <w:rFonts w:hint="eastAsia" w:ascii="宋体" w:hAnsi="宋体" w:cs="宋体"/>
          <w:sz w:val="21"/>
          <w:szCs w:val="21"/>
          <w:highlight w:val="none"/>
        </w:rPr>
        <w:t>致：</w:t>
      </w:r>
      <w:r>
        <w:rPr>
          <w:rFonts w:hint="eastAsia" w:ascii="宋体" w:hAnsi="宋体" w:cs="宋体"/>
          <w:sz w:val="21"/>
          <w:szCs w:val="21"/>
          <w:highlight w:val="none"/>
          <w:u w:val="single"/>
        </w:rPr>
        <w:t>（采购人名称）</w:t>
      </w:r>
      <w:r>
        <w:rPr>
          <w:rFonts w:hint="eastAsia" w:ascii="宋体" w:hAnsi="宋体" w:cs="宋体"/>
          <w:sz w:val="21"/>
          <w:szCs w:val="21"/>
          <w:highlight w:val="none"/>
        </w:rPr>
        <w:t>：</w:t>
      </w:r>
    </w:p>
    <w:p w14:paraId="6CE4464A">
      <w:pPr>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我</w:t>
      </w:r>
      <w:r>
        <w:rPr>
          <w:rFonts w:hint="eastAsia" w:ascii="宋体" w:hAnsi="宋体" w:cs="宋体"/>
          <w:sz w:val="21"/>
          <w:szCs w:val="21"/>
          <w:highlight w:val="none"/>
          <w:u w:val="single"/>
        </w:rPr>
        <w:t xml:space="preserve">  （姓名）  </w:t>
      </w:r>
      <w:r>
        <w:rPr>
          <w:rFonts w:hint="eastAsia" w:ascii="宋体" w:hAnsi="宋体" w:cs="宋体"/>
          <w:sz w:val="21"/>
          <w:szCs w:val="21"/>
          <w:highlight w:val="none"/>
        </w:rPr>
        <w:t>系</w:t>
      </w:r>
      <w:r>
        <w:rPr>
          <w:rFonts w:hint="eastAsia" w:ascii="宋体" w:hAnsi="宋体" w:cs="宋体"/>
          <w:sz w:val="21"/>
          <w:szCs w:val="21"/>
          <w:highlight w:val="none"/>
          <w:u w:val="single"/>
        </w:rPr>
        <w:t xml:space="preserve">  （供应商名称）  </w:t>
      </w:r>
      <w:r>
        <w:rPr>
          <w:rFonts w:hint="eastAsia" w:ascii="宋体" w:hAnsi="宋体" w:cs="宋体"/>
          <w:sz w:val="21"/>
          <w:szCs w:val="21"/>
          <w:highlight w:val="none"/>
        </w:rPr>
        <w:t>的（</w:t>
      </w:r>
      <w:r>
        <w:rPr>
          <w:rFonts w:hint="eastAsia" w:ascii="宋体" w:hAnsi="宋体" w:cs="宋体"/>
          <w:sz w:val="21"/>
          <w:szCs w:val="21"/>
          <w:highlight w:val="none"/>
          <w:u w:val="single"/>
        </w:rPr>
        <w:t>法定代表人/负责人/自然人本人</w:t>
      </w:r>
      <w:r>
        <w:rPr>
          <w:rFonts w:hint="eastAsia" w:ascii="宋体" w:hAnsi="宋体" w:cs="宋体"/>
          <w:sz w:val="21"/>
          <w:szCs w:val="21"/>
          <w:highlight w:val="none"/>
        </w:rPr>
        <w:t>），现授权</w:t>
      </w:r>
      <w:r>
        <w:rPr>
          <w:rFonts w:hint="eastAsia" w:ascii="宋体" w:hAnsi="宋体" w:cs="宋体"/>
          <w:sz w:val="21"/>
          <w:szCs w:val="21"/>
          <w:highlight w:val="none"/>
          <w:u w:val="single"/>
        </w:rPr>
        <w:t xml:space="preserve"> （姓名） </w:t>
      </w:r>
      <w:r>
        <w:rPr>
          <w:rFonts w:hint="eastAsia" w:ascii="宋体" w:hAnsi="宋体" w:cs="宋体"/>
          <w:sz w:val="21"/>
          <w:szCs w:val="21"/>
          <w:highlight w:val="none"/>
        </w:rPr>
        <w:t>以我方的名义参加</w:t>
      </w:r>
      <w:r>
        <w:rPr>
          <w:rFonts w:hint="eastAsia" w:ascii="宋体" w:hAnsi="宋体" w:cs="宋体"/>
          <w:sz w:val="21"/>
          <w:szCs w:val="21"/>
          <w:highlight w:val="none"/>
          <w:u w:val="single"/>
        </w:rPr>
        <w:t xml:space="preserve">              </w:t>
      </w:r>
      <w:r>
        <w:rPr>
          <w:rFonts w:hint="eastAsia" w:ascii="宋体" w:hAnsi="宋体" w:cs="宋体"/>
          <w:sz w:val="21"/>
          <w:szCs w:val="21"/>
          <w:highlight w:val="none"/>
        </w:rPr>
        <w:t>项目的竞争性磋商活动，并代表我方全权办理针对上述项目的所有采购程序和环节的具体事务和签署相关文件。</w:t>
      </w:r>
    </w:p>
    <w:p w14:paraId="0C6980D1">
      <w:pPr>
        <w:spacing w:line="360" w:lineRule="auto"/>
        <w:rPr>
          <w:rFonts w:ascii="宋体" w:hAnsi="宋体" w:cs="宋体"/>
          <w:sz w:val="21"/>
          <w:szCs w:val="21"/>
          <w:highlight w:val="none"/>
        </w:rPr>
      </w:pPr>
      <w:r>
        <w:rPr>
          <w:rFonts w:hint="eastAsia" w:ascii="宋体" w:hAnsi="宋体" w:cs="宋体"/>
          <w:sz w:val="21"/>
          <w:szCs w:val="21"/>
          <w:highlight w:val="none"/>
        </w:rPr>
        <w:t xml:space="preserve">    我方对委托代理人的签字事项负全部责任。</w:t>
      </w:r>
    </w:p>
    <w:p w14:paraId="467F962F">
      <w:pPr>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本授权书自签署之日起生效，在撤销授权的书面通知以前，本授权书一直有效。委托代理人在授权书有效期内签署的所有文件不因授权的撤销而失效。</w:t>
      </w:r>
    </w:p>
    <w:p w14:paraId="27B1751F">
      <w:pPr>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委托代理人无转委托权，特此委托。</w:t>
      </w:r>
    </w:p>
    <w:p w14:paraId="5DE6FD41">
      <w:pPr>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附：委托代理人有效身份证正反面复印件</w:t>
      </w:r>
    </w:p>
    <w:p w14:paraId="018E7C09">
      <w:pPr>
        <w:spacing w:line="360" w:lineRule="auto"/>
        <w:rPr>
          <w:rFonts w:ascii="宋体" w:hAnsi="宋体" w:cs="宋体"/>
          <w:sz w:val="21"/>
          <w:szCs w:val="21"/>
          <w:highlight w:val="none"/>
        </w:rPr>
      </w:pPr>
    </w:p>
    <w:p w14:paraId="52391B71">
      <w:pPr>
        <w:spacing w:line="360" w:lineRule="auto"/>
        <w:rPr>
          <w:rFonts w:ascii="宋体" w:hAnsi="宋体" w:cs="宋体"/>
          <w:sz w:val="21"/>
          <w:szCs w:val="21"/>
          <w:highlight w:val="none"/>
        </w:rPr>
      </w:pPr>
      <w:r>
        <w:rPr>
          <w:rFonts w:hint="eastAsia" w:ascii="宋体" w:hAnsi="宋体" w:cs="宋体"/>
          <w:sz w:val="21"/>
          <w:szCs w:val="21"/>
          <w:highlight w:val="none"/>
        </w:rPr>
        <w:t>委托代理人（</w:t>
      </w:r>
      <w:r>
        <w:rPr>
          <w:rFonts w:hint="eastAsia" w:ascii="宋体" w:hAnsi="宋体" w:cs="宋体"/>
          <w:sz w:val="21"/>
          <w:szCs w:val="21"/>
          <w:highlight w:val="none"/>
          <w:lang w:eastAsia="zh-CN"/>
        </w:rPr>
        <w:t>签字或CA签章</w:t>
      </w:r>
      <w:r>
        <w:rPr>
          <w:rFonts w:hint="eastAsia" w:ascii="宋体" w:hAnsi="宋体" w:cs="宋体"/>
          <w:sz w:val="21"/>
          <w:szCs w:val="21"/>
          <w:highlight w:val="none"/>
        </w:rPr>
        <w:t>）：</w:t>
      </w:r>
      <w:r>
        <w:rPr>
          <w:rFonts w:hint="eastAsia" w:ascii="宋体" w:hAnsi="宋体" w:cs="宋体"/>
          <w:sz w:val="21"/>
          <w:szCs w:val="21"/>
          <w:highlight w:val="none"/>
          <w:u w:val="single"/>
        </w:rPr>
        <w:t xml:space="preserve"> </w:t>
      </w:r>
      <w:r>
        <w:rPr>
          <w:rFonts w:ascii="宋体" w:hAnsi="宋体" w:cs="宋体"/>
          <w:sz w:val="21"/>
          <w:szCs w:val="21"/>
          <w:highlight w:val="none"/>
          <w:u w:val="single"/>
        </w:rPr>
        <w:t xml:space="preserve">      </w:t>
      </w:r>
      <w:r>
        <w:rPr>
          <w:rFonts w:hint="eastAsia" w:ascii="宋体" w:hAnsi="宋体" w:cs="宋体"/>
          <w:sz w:val="21"/>
          <w:szCs w:val="21"/>
          <w:highlight w:val="none"/>
        </w:rPr>
        <w:t xml:space="preserve">         法定代表人（</w:t>
      </w:r>
      <w:r>
        <w:rPr>
          <w:rFonts w:hint="eastAsia" w:ascii="宋体" w:hAnsi="宋体" w:cs="宋体"/>
          <w:sz w:val="21"/>
          <w:szCs w:val="21"/>
          <w:highlight w:val="none"/>
          <w:lang w:eastAsia="zh-CN"/>
        </w:rPr>
        <w:t>签字或CA签章</w:t>
      </w:r>
      <w:r>
        <w:rPr>
          <w:rFonts w:hint="eastAsia" w:ascii="宋体" w:hAnsi="宋体" w:cs="宋体"/>
          <w:sz w:val="21"/>
          <w:szCs w:val="21"/>
          <w:highlight w:val="none"/>
        </w:rPr>
        <w:t>）：</w:t>
      </w:r>
      <w:r>
        <w:rPr>
          <w:rFonts w:hint="eastAsia" w:ascii="宋体" w:hAnsi="宋体" w:cs="宋体"/>
          <w:sz w:val="21"/>
          <w:szCs w:val="21"/>
          <w:highlight w:val="none"/>
          <w:u w:val="single"/>
        </w:rPr>
        <w:t xml:space="preserve"> </w:t>
      </w:r>
      <w:r>
        <w:rPr>
          <w:rFonts w:ascii="宋体" w:hAnsi="宋体" w:cs="宋体"/>
          <w:sz w:val="21"/>
          <w:szCs w:val="21"/>
          <w:highlight w:val="none"/>
          <w:u w:val="single"/>
        </w:rPr>
        <w:t xml:space="preserve">      </w:t>
      </w:r>
      <w:r>
        <w:rPr>
          <w:rFonts w:hint="eastAsia" w:ascii="宋体" w:hAnsi="宋体" w:cs="宋体"/>
          <w:sz w:val="21"/>
          <w:szCs w:val="21"/>
          <w:highlight w:val="none"/>
        </w:rPr>
        <w:t xml:space="preserve">                    </w:t>
      </w:r>
    </w:p>
    <w:p w14:paraId="73DEA467">
      <w:pPr>
        <w:spacing w:line="360" w:lineRule="auto"/>
        <w:rPr>
          <w:rFonts w:ascii="宋体" w:hAnsi="宋体" w:cs="宋体"/>
          <w:sz w:val="21"/>
          <w:szCs w:val="21"/>
          <w:highlight w:val="none"/>
        </w:rPr>
      </w:pPr>
      <w:r>
        <w:rPr>
          <w:rFonts w:hint="eastAsia" w:ascii="宋体" w:hAnsi="宋体" w:cs="宋体"/>
          <w:sz w:val="21"/>
          <w:szCs w:val="21"/>
          <w:highlight w:val="none"/>
        </w:rPr>
        <w:t>委托代理人身份证号码：</w:t>
      </w:r>
      <w:r>
        <w:rPr>
          <w:rFonts w:hint="eastAsia" w:ascii="宋体" w:hAnsi="宋体" w:cs="宋体"/>
          <w:sz w:val="21"/>
          <w:szCs w:val="21"/>
          <w:highlight w:val="none"/>
          <w:u w:val="single"/>
        </w:rPr>
        <w:t xml:space="preserve"> </w:t>
      </w:r>
      <w:r>
        <w:rPr>
          <w:rFonts w:ascii="宋体" w:hAnsi="宋体" w:cs="宋体"/>
          <w:sz w:val="21"/>
          <w:szCs w:val="21"/>
          <w:highlight w:val="none"/>
          <w:u w:val="single"/>
        </w:rPr>
        <w:t xml:space="preserve">                    </w:t>
      </w:r>
      <w:r>
        <w:rPr>
          <w:rFonts w:hint="eastAsia" w:ascii="宋体" w:hAnsi="宋体" w:cs="宋体"/>
          <w:sz w:val="21"/>
          <w:szCs w:val="21"/>
          <w:highlight w:val="none"/>
        </w:rPr>
        <w:t xml:space="preserve">                              </w:t>
      </w:r>
    </w:p>
    <w:p w14:paraId="3F55ED5E">
      <w:pPr>
        <w:spacing w:line="360" w:lineRule="auto"/>
        <w:rPr>
          <w:rFonts w:ascii="宋体" w:hAnsi="宋体" w:cs="宋体"/>
          <w:sz w:val="21"/>
          <w:szCs w:val="21"/>
          <w:highlight w:val="none"/>
        </w:rPr>
      </w:pPr>
      <w:r>
        <w:rPr>
          <w:rFonts w:hint="eastAsia" w:ascii="宋体" w:hAnsi="宋体" w:cs="宋体"/>
          <w:sz w:val="21"/>
          <w:szCs w:val="21"/>
          <w:highlight w:val="none"/>
        </w:rPr>
        <w:t xml:space="preserve">                                </w:t>
      </w:r>
    </w:p>
    <w:p w14:paraId="5E8002FE">
      <w:pPr>
        <w:spacing w:line="360" w:lineRule="auto"/>
        <w:rPr>
          <w:rFonts w:ascii="宋体" w:hAnsi="宋体" w:cs="宋体"/>
          <w:sz w:val="21"/>
          <w:szCs w:val="21"/>
          <w:highlight w:val="none"/>
        </w:rPr>
      </w:pPr>
      <w:r>
        <w:rPr>
          <w:rFonts w:hint="eastAsia" w:ascii="宋体" w:hAnsi="宋体" w:cs="宋体"/>
          <w:sz w:val="21"/>
          <w:szCs w:val="21"/>
          <w:highlight w:val="none"/>
        </w:rPr>
        <w:t xml:space="preserve">                         供应商（公章</w:t>
      </w:r>
      <w:r>
        <w:rPr>
          <w:rFonts w:hint="eastAsia" w:ascii="宋体" w:hAnsi="宋体" w:eastAsia="宋体" w:cs="宋体"/>
          <w:color w:val="auto"/>
          <w:sz w:val="21"/>
          <w:szCs w:val="21"/>
          <w:highlight w:val="none"/>
          <w:lang w:eastAsia="zh-CN"/>
        </w:rPr>
        <w:t>（CA签章）</w:t>
      </w:r>
      <w:r>
        <w:rPr>
          <w:rFonts w:hint="eastAsia" w:ascii="宋体" w:hAnsi="宋体" w:cs="宋体"/>
          <w:sz w:val="21"/>
          <w:szCs w:val="21"/>
          <w:highlight w:val="none"/>
        </w:rPr>
        <w:t>）：</w:t>
      </w:r>
      <w:r>
        <w:rPr>
          <w:rFonts w:hint="eastAsia" w:ascii="宋体" w:hAnsi="宋体" w:cs="宋体"/>
          <w:sz w:val="21"/>
          <w:szCs w:val="21"/>
          <w:highlight w:val="none"/>
          <w:u w:val="single"/>
        </w:rPr>
        <w:t xml:space="preserve"> </w:t>
      </w:r>
      <w:r>
        <w:rPr>
          <w:rFonts w:ascii="宋体" w:hAnsi="宋体" w:cs="宋体"/>
          <w:sz w:val="21"/>
          <w:szCs w:val="21"/>
          <w:highlight w:val="none"/>
          <w:u w:val="single"/>
        </w:rPr>
        <w:t xml:space="preserve">               </w:t>
      </w:r>
      <w:r>
        <w:rPr>
          <w:rFonts w:hint="eastAsia" w:ascii="宋体" w:hAnsi="宋体" w:cs="宋体"/>
          <w:sz w:val="21"/>
          <w:szCs w:val="21"/>
          <w:highlight w:val="none"/>
        </w:rPr>
        <w:t xml:space="preserve">                      </w:t>
      </w:r>
    </w:p>
    <w:p w14:paraId="6FFFADED">
      <w:pPr>
        <w:spacing w:line="360" w:lineRule="auto"/>
        <w:rPr>
          <w:rFonts w:ascii="宋体" w:hAnsi="宋体" w:cs="宋体"/>
          <w:sz w:val="21"/>
          <w:szCs w:val="21"/>
          <w:highlight w:val="none"/>
        </w:rPr>
      </w:pPr>
      <w:r>
        <w:rPr>
          <w:rFonts w:hint="eastAsia" w:ascii="宋体" w:hAnsi="宋体" w:cs="宋体"/>
          <w:sz w:val="21"/>
          <w:szCs w:val="21"/>
          <w:highlight w:val="none"/>
        </w:rPr>
        <w:t xml:space="preserve">                                  </w:t>
      </w:r>
      <w:r>
        <w:rPr>
          <w:rFonts w:hint="eastAsia" w:ascii="宋体" w:hAnsi="宋体" w:cs="宋体"/>
          <w:sz w:val="21"/>
          <w:szCs w:val="21"/>
          <w:highlight w:val="none"/>
          <w:u w:val="single"/>
        </w:rPr>
        <w:t xml:space="preserve">       </w:t>
      </w:r>
      <w:r>
        <w:rPr>
          <w:rFonts w:hint="eastAsia" w:ascii="宋体" w:hAnsi="宋体" w:cs="宋体"/>
          <w:sz w:val="21"/>
          <w:szCs w:val="21"/>
          <w:highlight w:val="none"/>
        </w:rPr>
        <w:t>年</w:t>
      </w:r>
      <w:r>
        <w:rPr>
          <w:rFonts w:hint="eastAsia" w:ascii="宋体" w:hAnsi="宋体" w:cs="宋体"/>
          <w:sz w:val="21"/>
          <w:szCs w:val="21"/>
          <w:highlight w:val="none"/>
          <w:u w:val="single"/>
        </w:rPr>
        <w:t xml:space="preserve">    </w:t>
      </w:r>
      <w:r>
        <w:rPr>
          <w:rFonts w:hint="eastAsia" w:ascii="宋体" w:hAnsi="宋体" w:cs="宋体"/>
          <w:sz w:val="21"/>
          <w:szCs w:val="21"/>
          <w:highlight w:val="none"/>
        </w:rPr>
        <w:t>月</w:t>
      </w:r>
      <w:r>
        <w:rPr>
          <w:rFonts w:hint="eastAsia" w:ascii="宋体" w:hAnsi="宋体" w:cs="宋体"/>
          <w:sz w:val="21"/>
          <w:szCs w:val="21"/>
          <w:highlight w:val="none"/>
          <w:u w:val="single"/>
        </w:rPr>
        <w:t xml:space="preserve">    </w:t>
      </w:r>
      <w:r>
        <w:rPr>
          <w:rFonts w:hint="eastAsia" w:ascii="宋体" w:hAnsi="宋体" w:cs="宋体"/>
          <w:sz w:val="21"/>
          <w:szCs w:val="21"/>
          <w:highlight w:val="none"/>
        </w:rPr>
        <w:t>日</w:t>
      </w:r>
    </w:p>
    <w:p w14:paraId="3EC04D44">
      <w:pPr>
        <w:spacing w:line="360" w:lineRule="auto"/>
        <w:rPr>
          <w:rFonts w:ascii="宋体" w:hAnsi="宋体" w:cs="宋体"/>
          <w:sz w:val="24"/>
          <w:highlight w:val="none"/>
        </w:rPr>
      </w:pPr>
    </w:p>
    <w:p w14:paraId="72610064">
      <w:pPr>
        <w:spacing w:line="360" w:lineRule="auto"/>
        <w:rPr>
          <w:rFonts w:hint="eastAsia" w:ascii="宋体" w:hAnsi="宋体" w:eastAsia="宋体" w:cs="宋体"/>
          <w:sz w:val="21"/>
          <w:szCs w:val="21"/>
          <w:highlight w:val="none"/>
        </w:rPr>
      </w:pPr>
      <w:r>
        <w:rPr>
          <w:rFonts w:hint="eastAsia" w:ascii="宋体" w:hAnsi="宋体" w:eastAsia="宋体" w:cs="宋体"/>
          <w:b/>
          <w:sz w:val="21"/>
          <w:szCs w:val="21"/>
          <w:highlight w:val="none"/>
        </w:rPr>
        <w:t>注：</w:t>
      </w:r>
      <w:r>
        <w:rPr>
          <w:rFonts w:hint="eastAsia" w:ascii="宋体" w:hAnsi="宋体" w:eastAsia="宋体" w:cs="宋体"/>
          <w:sz w:val="21"/>
          <w:szCs w:val="21"/>
          <w:highlight w:val="none"/>
        </w:rPr>
        <w:t>1.法定代表人必须在授权委托书上签字或签章，委托代理人必须在授权委托书上签字或签章，</w:t>
      </w:r>
      <w:r>
        <w:rPr>
          <w:rFonts w:hint="eastAsia" w:ascii="宋体" w:hAnsi="宋体" w:eastAsia="宋体" w:cs="宋体"/>
          <w:b/>
          <w:sz w:val="21"/>
          <w:szCs w:val="21"/>
          <w:highlight w:val="none"/>
        </w:rPr>
        <w:t>否则其响应文件按无效响应处理。</w:t>
      </w:r>
    </w:p>
    <w:p w14:paraId="0E59029A">
      <w:pPr>
        <w:spacing w:line="360" w:lineRule="auto"/>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2.</w:t>
      </w:r>
      <w:bookmarkStart w:id="43" w:name="_Hlk65853109"/>
      <w:bookmarkStart w:id="44" w:name="_Hlk65853542"/>
      <w:r>
        <w:rPr>
          <w:rFonts w:hint="eastAsia" w:ascii="宋体" w:hAnsi="宋体" w:eastAsia="宋体" w:cs="宋体"/>
          <w:sz w:val="21"/>
          <w:szCs w:val="21"/>
          <w:highlight w:val="none"/>
        </w:rPr>
        <w:t>法人、其他组织参与竞争性磋商时“我方”是指“我单位”，自然人参与竞争性磋商时“我方”是指“本人”。</w:t>
      </w:r>
      <w:bookmarkEnd w:id="43"/>
    </w:p>
    <w:bookmarkEnd w:id="44"/>
    <w:p w14:paraId="07C5949B">
      <w:pPr>
        <w:spacing w:line="360" w:lineRule="auto"/>
        <w:ind w:firstLine="420" w:firstLineChars="200"/>
        <w:jc w:val="left"/>
        <w:rPr>
          <w:rFonts w:ascii="宋体" w:hAnsi="宋体" w:cs="宋体"/>
          <w:szCs w:val="21"/>
          <w:highlight w:val="none"/>
        </w:rPr>
      </w:pPr>
    </w:p>
    <w:p w14:paraId="41E2BCCD">
      <w:pPr>
        <w:jc w:val="center"/>
        <w:rPr>
          <w:rFonts w:ascii="宋体" w:hAnsi="宋体" w:cs="宋体"/>
          <w:b/>
          <w:sz w:val="44"/>
          <w:szCs w:val="44"/>
          <w:highlight w:val="none"/>
        </w:rPr>
      </w:pPr>
      <w:r>
        <w:rPr>
          <w:rFonts w:hint="eastAsia" w:ascii="宋体" w:hAnsi="宋体" w:cs="宋体"/>
          <w:szCs w:val="21"/>
          <w:highlight w:val="none"/>
        </w:rPr>
        <w:br w:type="page"/>
      </w:r>
      <w:r>
        <w:rPr>
          <w:rFonts w:hint="eastAsia" w:ascii="宋体" w:hAnsi="宋体" w:cs="宋体"/>
          <w:b/>
          <w:sz w:val="44"/>
          <w:szCs w:val="44"/>
          <w:highlight w:val="none"/>
        </w:rPr>
        <w:t>授权委托书</w:t>
      </w:r>
    </w:p>
    <w:p w14:paraId="3271CAAE">
      <w:pPr>
        <w:jc w:val="center"/>
        <w:rPr>
          <w:rFonts w:ascii="宋体" w:hAnsi="宋体" w:cs="宋体"/>
          <w:sz w:val="32"/>
          <w:szCs w:val="32"/>
          <w:highlight w:val="none"/>
        </w:rPr>
      </w:pPr>
      <w:r>
        <w:rPr>
          <w:rFonts w:hint="eastAsia" w:ascii="宋体" w:hAnsi="宋体" w:cs="宋体"/>
          <w:sz w:val="32"/>
          <w:szCs w:val="32"/>
          <w:highlight w:val="none"/>
        </w:rPr>
        <w:t>（联合体参与竞争性磋商格式）</w:t>
      </w:r>
    </w:p>
    <w:p w14:paraId="5279569E">
      <w:pPr>
        <w:jc w:val="center"/>
        <w:rPr>
          <w:rFonts w:ascii="宋体" w:hAnsi="宋体" w:cs="宋体"/>
          <w:sz w:val="44"/>
          <w:szCs w:val="44"/>
          <w:highlight w:val="none"/>
        </w:rPr>
      </w:pPr>
      <w:r>
        <w:rPr>
          <w:rFonts w:hint="eastAsia" w:ascii="宋体" w:hAnsi="宋体" w:cs="宋体"/>
          <w:sz w:val="32"/>
          <w:szCs w:val="32"/>
          <w:highlight w:val="none"/>
        </w:rPr>
        <w:t>（如有委托时）</w:t>
      </w:r>
    </w:p>
    <w:p w14:paraId="13FCCA56">
      <w:pPr>
        <w:spacing w:line="500" w:lineRule="exact"/>
        <w:jc w:val="center"/>
        <w:rPr>
          <w:rFonts w:ascii="宋体" w:hAnsi="宋体" w:cs="宋体"/>
          <w:sz w:val="44"/>
          <w:szCs w:val="44"/>
          <w:highlight w:val="none"/>
        </w:rPr>
      </w:pPr>
    </w:p>
    <w:p w14:paraId="63EAFE09">
      <w:pPr>
        <w:spacing w:line="500" w:lineRule="exact"/>
        <w:jc w:val="center"/>
        <w:rPr>
          <w:rFonts w:ascii="宋体" w:hAnsi="宋体" w:cs="宋体"/>
          <w:sz w:val="32"/>
          <w:szCs w:val="32"/>
          <w:highlight w:val="none"/>
        </w:rPr>
      </w:pPr>
    </w:p>
    <w:p w14:paraId="49209355">
      <w:pPr>
        <w:spacing w:line="360" w:lineRule="auto"/>
        <w:ind w:firstLine="420" w:firstLineChars="200"/>
        <w:jc w:val="left"/>
        <w:rPr>
          <w:rFonts w:hint="eastAsia" w:ascii="宋体" w:hAnsi="宋体" w:cs="宋体"/>
          <w:sz w:val="21"/>
          <w:szCs w:val="21"/>
          <w:highlight w:val="none"/>
        </w:rPr>
      </w:pPr>
      <w:r>
        <w:rPr>
          <w:rFonts w:hint="eastAsia" w:ascii="宋体" w:hAnsi="宋体" w:cs="宋体"/>
          <w:sz w:val="21"/>
          <w:szCs w:val="21"/>
          <w:highlight w:val="none"/>
        </w:rPr>
        <w:t>本授权委托书声明：根据</w:t>
      </w:r>
      <w:r>
        <w:rPr>
          <w:rFonts w:hint="eastAsia" w:ascii="宋体" w:hAnsi="宋体" w:cs="宋体"/>
          <w:sz w:val="21"/>
          <w:szCs w:val="21"/>
          <w:highlight w:val="none"/>
          <w:u w:val="single"/>
        </w:rPr>
        <w:t xml:space="preserve">                </w:t>
      </w:r>
      <w:r>
        <w:rPr>
          <w:rFonts w:hint="eastAsia" w:ascii="宋体" w:hAnsi="宋体" w:cs="宋体"/>
          <w:sz w:val="21"/>
          <w:szCs w:val="21"/>
          <w:highlight w:val="none"/>
        </w:rPr>
        <w:t>（牵头人名称）与</w:t>
      </w:r>
      <w:r>
        <w:rPr>
          <w:rFonts w:hint="eastAsia" w:ascii="宋体" w:hAnsi="宋体" w:cs="宋体"/>
          <w:sz w:val="21"/>
          <w:szCs w:val="21"/>
          <w:highlight w:val="none"/>
          <w:u w:val="single"/>
        </w:rPr>
        <w:t xml:space="preserve">              </w:t>
      </w:r>
      <w:r>
        <w:rPr>
          <w:rFonts w:hint="eastAsia" w:ascii="宋体" w:hAnsi="宋体" w:cs="宋体"/>
          <w:sz w:val="21"/>
          <w:szCs w:val="21"/>
          <w:highlight w:val="none"/>
        </w:rPr>
        <w:t>（联合体其他成员名称）签订的《联合体参与竞争性磋商协议书》的内容，</w:t>
      </w:r>
      <w:r>
        <w:rPr>
          <w:rFonts w:hint="eastAsia" w:ascii="宋体" w:hAnsi="宋体" w:cs="宋体"/>
          <w:sz w:val="21"/>
          <w:szCs w:val="21"/>
          <w:highlight w:val="none"/>
          <w:u w:val="single"/>
        </w:rPr>
        <w:t xml:space="preserve">                       </w:t>
      </w:r>
      <w:r>
        <w:rPr>
          <w:rFonts w:hint="eastAsia" w:ascii="宋体" w:hAnsi="宋体" w:cs="宋体"/>
          <w:sz w:val="21"/>
          <w:szCs w:val="21"/>
          <w:highlight w:val="none"/>
        </w:rPr>
        <w:t>（牵头人名称）的法定代表人</w:t>
      </w:r>
      <w:r>
        <w:rPr>
          <w:rFonts w:hint="eastAsia" w:ascii="宋体" w:hAnsi="宋体" w:cs="宋体"/>
          <w:sz w:val="21"/>
          <w:szCs w:val="21"/>
          <w:highlight w:val="none"/>
          <w:u w:val="single"/>
        </w:rPr>
        <w:t xml:space="preserve">      </w:t>
      </w:r>
      <w:r>
        <w:rPr>
          <w:rFonts w:hint="eastAsia" w:ascii="宋体" w:hAnsi="宋体" w:cs="宋体"/>
          <w:sz w:val="21"/>
          <w:szCs w:val="21"/>
          <w:highlight w:val="none"/>
        </w:rPr>
        <w:t>（姓名）现授权</w:t>
      </w:r>
      <w:r>
        <w:rPr>
          <w:rFonts w:hint="eastAsia" w:ascii="宋体" w:hAnsi="宋体" w:cs="宋体"/>
          <w:sz w:val="21"/>
          <w:szCs w:val="21"/>
          <w:highlight w:val="none"/>
          <w:u w:val="single"/>
        </w:rPr>
        <w:t xml:space="preserve">      </w:t>
      </w:r>
      <w:r>
        <w:rPr>
          <w:rFonts w:hint="eastAsia" w:ascii="宋体" w:hAnsi="宋体" w:cs="宋体"/>
          <w:sz w:val="21"/>
          <w:szCs w:val="21"/>
          <w:highlight w:val="none"/>
        </w:rPr>
        <w:t>（姓名）为联合委托代理人，并代表我方全权办理针对上述项目的所有采购程序和环节的具体事务和签署相关文件。</w:t>
      </w:r>
    </w:p>
    <w:p w14:paraId="01C10B95">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我方对委托代理人的签字事项负全部责任。</w:t>
      </w:r>
    </w:p>
    <w:p w14:paraId="65E61597">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本授权书自签署之日起生效，在撤销授权的书面通知以前，本授权书一直有效。委托代理人在授权书有效期内签署的所有文件不因授权的撤销而失效。</w:t>
      </w:r>
    </w:p>
    <w:p w14:paraId="46D7201E">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委托代理人无转委托权，特此委托。</w:t>
      </w:r>
    </w:p>
    <w:p w14:paraId="45F7FCB5">
      <w:pPr>
        <w:spacing w:line="360" w:lineRule="auto"/>
        <w:rPr>
          <w:rFonts w:hint="eastAsia" w:ascii="宋体" w:hAnsi="宋体" w:cs="宋体"/>
          <w:sz w:val="21"/>
          <w:szCs w:val="21"/>
          <w:highlight w:val="none"/>
        </w:rPr>
      </w:pPr>
      <w:r>
        <w:rPr>
          <w:rFonts w:hint="eastAsia" w:ascii="宋体" w:hAnsi="宋体" w:cs="宋体"/>
          <w:sz w:val="21"/>
          <w:szCs w:val="21"/>
          <w:highlight w:val="none"/>
        </w:rPr>
        <w:t xml:space="preserve">    附：法定代表人身份证明及委托代理人有效身份证正反面复印件</w:t>
      </w:r>
    </w:p>
    <w:p w14:paraId="55A6957A">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牵头人法定代表人（签字或者盖章）：</w:t>
      </w:r>
    </w:p>
    <w:p w14:paraId="72C14E79">
      <w:pPr>
        <w:spacing w:line="360" w:lineRule="auto"/>
        <w:ind w:firstLine="2730" w:firstLineChars="1300"/>
        <w:rPr>
          <w:rFonts w:hint="eastAsia" w:ascii="宋体" w:hAnsi="宋体" w:cs="宋体"/>
          <w:sz w:val="21"/>
          <w:szCs w:val="21"/>
          <w:highlight w:val="none"/>
          <w:u w:val="single"/>
        </w:rPr>
      </w:pPr>
      <w:r>
        <w:rPr>
          <w:rFonts w:hint="eastAsia" w:ascii="宋体" w:hAnsi="宋体" w:cs="宋体"/>
          <w:sz w:val="21"/>
          <w:szCs w:val="21"/>
          <w:highlight w:val="none"/>
        </w:rPr>
        <w:t>牵头人（公章</w:t>
      </w:r>
      <w:r>
        <w:rPr>
          <w:rFonts w:hint="eastAsia" w:ascii="宋体" w:hAnsi="宋体" w:eastAsia="宋体" w:cs="宋体"/>
          <w:color w:val="auto"/>
          <w:sz w:val="21"/>
          <w:szCs w:val="21"/>
          <w:highlight w:val="none"/>
          <w:lang w:eastAsia="zh-CN"/>
        </w:rPr>
        <w:t>（CA签章）</w:t>
      </w:r>
      <w:r>
        <w:rPr>
          <w:rFonts w:hint="eastAsia" w:ascii="宋体" w:hAnsi="宋体" w:cs="宋体"/>
          <w:sz w:val="21"/>
          <w:szCs w:val="21"/>
          <w:highlight w:val="none"/>
        </w:rPr>
        <w:t>）：</w:t>
      </w:r>
      <w:r>
        <w:rPr>
          <w:rFonts w:hint="eastAsia" w:ascii="宋体" w:hAnsi="宋体" w:cs="宋体"/>
          <w:sz w:val="21"/>
          <w:szCs w:val="21"/>
          <w:highlight w:val="none"/>
          <w:u w:val="single"/>
        </w:rPr>
        <w:t xml:space="preserve">                </w:t>
      </w:r>
    </w:p>
    <w:p w14:paraId="7CEC5A09">
      <w:pPr>
        <w:spacing w:line="360" w:lineRule="auto"/>
        <w:ind w:firstLine="3360" w:firstLineChars="1600"/>
        <w:rPr>
          <w:rFonts w:hint="eastAsia" w:ascii="宋体" w:hAnsi="宋体" w:cs="宋体"/>
          <w:sz w:val="21"/>
          <w:szCs w:val="21"/>
          <w:highlight w:val="none"/>
        </w:rPr>
      </w:pPr>
      <w:r>
        <w:rPr>
          <w:rFonts w:hint="eastAsia" w:ascii="宋体" w:hAnsi="宋体" w:cs="宋体"/>
          <w:sz w:val="21"/>
          <w:szCs w:val="21"/>
          <w:highlight w:val="none"/>
        </w:rPr>
        <w:t>日期：</w:t>
      </w:r>
      <w:r>
        <w:rPr>
          <w:rFonts w:hint="eastAsia" w:ascii="宋体" w:hAnsi="宋体" w:cs="宋体"/>
          <w:sz w:val="21"/>
          <w:szCs w:val="21"/>
          <w:highlight w:val="none"/>
          <w:u w:val="single"/>
        </w:rPr>
        <w:t xml:space="preserve">    </w:t>
      </w:r>
      <w:r>
        <w:rPr>
          <w:rFonts w:hint="eastAsia" w:ascii="宋体" w:hAnsi="宋体" w:cs="宋体"/>
          <w:sz w:val="21"/>
          <w:szCs w:val="21"/>
          <w:highlight w:val="none"/>
        </w:rPr>
        <w:t>年</w:t>
      </w:r>
      <w:r>
        <w:rPr>
          <w:rFonts w:hint="eastAsia" w:ascii="宋体" w:hAnsi="宋体" w:cs="宋体"/>
          <w:sz w:val="21"/>
          <w:szCs w:val="21"/>
          <w:highlight w:val="none"/>
          <w:u w:val="single"/>
        </w:rPr>
        <w:t xml:space="preserve">   </w:t>
      </w:r>
      <w:r>
        <w:rPr>
          <w:rFonts w:hint="eastAsia" w:ascii="宋体" w:hAnsi="宋体" w:cs="宋体"/>
          <w:sz w:val="21"/>
          <w:szCs w:val="21"/>
          <w:highlight w:val="none"/>
        </w:rPr>
        <w:t>月</w:t>
      </w:r>
      <w:r>
        <w:rPr>
          <w:rFonts w:hint="eastAsia" w:ascii="宋体" w:hAnsi="宋体" w:cs="宋体"/>
          <w:sz w:val="21"/>
          <w:szCs w:val="21"/>
          <w:highlight w:val="none"/>
          <w:u w:val="single"/>
        </w:rPr>
        <w:t xml:space="preserve">   </w:t>
      </w:r>
      <w:r>
        <w:rPr>
          <w:rFonts w:hint="eastAsia" w:ascii="宋体" w:hAnsi="宋体" w:cs="宋体"/>
          <w:sz w:val="21"/>
          <w:szCs w:val="21"/>
          <w:highlight w:val="none"/>
        </w:rPr>
        <w:t>日</w:t>
      </w:r>
    </w:p>
    <w:p w14:paraId="124702A2">
      <w:pPr>
        <w:spacing w:line="360" w:lineRule="auto"/>
        <w:rPr>
          <w:rFonts w:hint="eastAsia" w:ascii="宋体" w:hAnsi="宋体" w:cs="宋体"/>
          <w:sz w:val="21"/>
          <w:szCs w:val="21"/>
          <w:highlight w:val="none"/>
        </w:rPr>
      </w:pPr>
    </w:p>
    <w:p w14:paraId="493CC1F7">
      <w:pPr>
        <w:spacing w:line="360" w:lineRule="auto"/>
        <w:ind w:firstLine="2730" w:firstLineChars="1300"/>
        <w:rPr>
          <w:rFonts w:hint="eastAsia" w:ascii="宋体" w:hAnsi="宋体" w:cs="宋体"/>
          <w:sz w:val="21"/>
          <w:szCs w:val="21"/>
          <w:highlight w:val="none"/>
          <w:u w:val="single"/>
        </w:rPr>
      </w:pPr>
      <w:r>
        <w:rPr>
          <w:rFonts w:hint="eastAsia" w:ascii="宋体" w:hAnsi="宋体" w:cs="宋体"/>
          <w:sz w:val="21"/>
          <w:szCs w:val="21"/>
          <w:highlight w:val="none"/>
        </w:rPr>
        <w:t>被授权人（</w:t>
      </w:r>
      <w:r>
        <w:rPr>
          <w:rFonts w:hint="eastAsia" w:ascii="宋体" w:hAnsi="宋体" w:cs="宋体"/>
          <w:sz w:val="21"/>
          <w:szCs w:val="21"/>
          <w:highlight w:val="none"/>
          <w:lang w:eastAsia="zh-CN"/>
        </w:rPr>
        <w:t>签字或签章</w:t>
      </w:r>
      <w:r>
        <w:rPr>
          <w:rFonts w:hint="eastAsia" w:ascii="宋体" w:hAnsi="宋体" w:eastAsia="宋体" w:cs="宋体"/>
          <w:color w:val="auto"/>
          <w:sz w:val="21"/>
          <w:szCs w:val="21"/>
          <w:highlight w:val="none"/>
          <w:lang w:eastAsia="zh-CN"/>
        </w:rPr>
        <w:t>（CA签章）</w:t>
      </w:r>
      <w:r>
        <w:rPr>
          <w:rFonts w:hint="eastAsia" w:ascii="宋体" w:hAnsi="宋体" w:cs="宋体"/>
          <w:sz w:val="21"/>
          <w:szCs w:val="21"/>
          <w:highlight w:val="none"/>
        </w:rPr>
        <w:t>）：</w:t>
      </w:r>
      <w:r>
        <w:rPr>
          <w:rFonts w:hint="eastAsia" w:ascii="宋体" w:hAnsi="宋体" w:cs="宋体"/>
          <w:sz w:val="21"/>
          <w:szCs w:val="21"/>
          <w:highlight w:val="none"/>
          <w:u w:val="single"/>
        </w:rPr>
        <w:t xml:space="preserve">                   </w:t>
      </w:r>
    </w:p>
    <w:p w14:paraId="3AE9F4A7">
      <w:pPr>
        <w:spacing w:line="360" w:lineRule="auto"/>
        <w:ind w:firstLine="3360" w:firstLineChars="1600"/>
        <w:rPr>
          <w:rFonts w:hint="eastAsia" w:ascii="宋体" w:hAnsi="宋体" w:cs="宋体"/>
          <w:sz w:val="21"/>
          <w:szCs w:val="21"/>
          <w:highlight w:val="none"/>
        </w:rPr>
      </w:pPr>
      <w:r>
        <w:rPr>
          <w:rFonts w:hint="eastAsia" w:ascii="宋体" w:hAnsi="宋体" w:cs="宋体"/>
          <w:sz w:val="21"/>
          <w:szCs w:val="21"/>
          <w:highlight w:val="none"/>
        </w:rPr>
        <w:t>日期：</w:t>
      </w:r>
      <w:r>
        <w:rPr>
          <w:rFonts w:hint="eastAsia" w:ascii="宋体" w:hAnsi="宋体" w:cs="宋体"/>
          <w:sz w:val="21"/>
          <w:szCs w:val="21"/>
          <w:highlight w:val="none"/>
          <w:u w:val="single"/>
        </w:rPr>
        <w:t xml:space="preserve">    </w:t>
      </w:r>
      <w:r>
        <w:rPr>
          <w:rFonts w:hint="eastAsia" w:ascii="宋体" w:hAnsi="宋体" w:cs="宋体"/>
          <w:sz w:val="21"/>
          <w:szCs w:val="21"/>
          <w:highlight w:val="none"/>
        </w:rPr>
        <w:t>年</w:t>
      </w:r>
      <w:r>
        <w:rPr>
          <w:rFonts w:hint="eastAsia" w:ascii="宋体" w:hAnsi="宋体" w:cs="宋体"/>
          <w:sz w:val="21"/>
          <w:szCs w:val="21"/>
          <w:highlight w:val="none"/>
          <w:u w:val="single"/>
        </w:rPr>
        <w:t xml:space="preserve">   </w:t>
      </w:r>
      <w:r>
        <w:rPr>
          <w:rFonts w:hint="eastAsia" w:ascii="宋体" w:hAnsi="宋体" w:cs="宋体"/>
          <w:sz w:val="21"/>
          <w:szCs w:val="21"/>
          <w:highlight w:val="none"/>
        </w:rPr>
        <w:t>月</w:t>
      </w:r>
      <w:r>
        <w:rPr>
          <w:rFonts w:hint="eastAsia" w:ascii="宋体" w:hAnsi="宋体" w:cs="宋体"/>
          <w:sz w:val="21"/>
          <w:szCs w:val="21"/>
          <w:highlight w:val="none"/>
          <w:u w:val="single"/>
        </w:rPr>
        <w:t xml:space="preserve">   </w:t>
      </w:r>
      <w:r>
        <w:rPr>
          <w:rFonts w:hint="eastAsia" w:ascii="宋体" w:hAnsi="宋体" w:cs="宋体"/>
          <w:sz w:val="21"/>
          <w:szCs w:val="21"/>
          <w:highlight w:val="none"/>
        </w:rPr>
        <w:t>日</w:t>
      </w:r>
    </w:p>
    <w:p w14:paraId="3C5B6EEE">
      <w:pPr>
        <w:spacing w:line="360" w:lineRule="auto"/>
        <w:rPr>
          <w:rFonts w:hint="eastAsia" w:ascii="宋体" w:hAnsi="宋体" w:cs="宋体"/>
          <w:sz w:val="21"/>
          <w:szCs w:val="21"/>
          <w:highlight w:val="none"/>
        </w:rPr>
      </w:pPr>
    </w:p>
    <w:p w14:paraId="1ABB6626">
      <w:pPr>
        <w:spacing w:line="360" w:lineRule="auto"/>
        <w:ind w:firstLine="422" w:firstLineChars="200"/>
        <w:rPr>
          <w:rFonts w:hint="eastAsia" w:ascii="宋体" w:hAnsi="宋体" w:eastAsia="宋体" w:cs="宋体"/>
          <w:sz w:val="21"/>
          <w:szCs w:val="21"/>
          <w:highlight w:val="none"/>
        </w:rPr>
      </w:pPr>
      <w:r>
        <w:rPr>
          <w:rFonts w:hint="eastAsia" w:ascii="宋体" w:hAnsi="宋体" w:eastAsia="宋体" w:cs="宋体"/>
          <w:b/>
          <w:sz w:val="21"/>
          <w:szCs w:val="21"/>
          <w:highlight w:val="none"/>
        </w:rPr>
        <w:t>注：</w:t>
      </w:r>
      <w:r>
        <w:rPr>
          <w:rFonts w:hint="eastAsia" w:ascii="宋体" w:hAnsi="宋体" w:eastAsia="宋体" w:cs="宋体"/>
          <w:sz w:val="21"/>
          <w:szCs w:val="21"/>
          <w:highlight w:val="none"/>
        </w:rPr>
        <w:t>1.法定代表人必须在授权委托书上签字或</w:t>
      </w:r>
      <w:r>
        <w:rPr>
          <w:rFonts w:hint="eastAsia" w:ascii="宋体" w:hAnsi="宋体" w:eastAsia="宋体" w:cs="宋体"/>
          <w:color w:val="auto"/>
          <w:sz w:val="21"/>
          <w:szCs w:val="21"/>
          <w:highlight w:val="none"/>
          <w:lang w:eastAsia="zh-CN"/>
        </w:rPr>
        <w:t>CA</w:t>
      </w:r>
      <w:r>
        <w:rPr>
          <w:rFonts w:hint="eastAsia" w:ascii="宋体" w:hAnsi="宋体" w:eastAsia="宋体" w:cs="宋体"/>
          <w:sz w:val="21"/>
          <w:szCs w:val="21"/>
          <w:highlight w:val="none"/>
        </w:rPr>
        <w:t>签章，委托代理人必须在授权委托书上签字或</w:t>
      </w:r>
      <w:r>
        <w:rPr>
          <w:rFonts w:hint="eastAsia" w:ascii="宋体" w:hAnsi="宋体" w:eastAsia="宋体" w:cs="宋体"/>
          <w:color w:val="auto"/>
          <w:sz w:val="21"/>
          <w:szCs w:val="21"/>
          <w:highlight w:val="none"/>
          <w:lang w:eastAsia="zh-CN"/>
        </w:rPr>
        <w:t>CA</w:t>
      </w:r>
      <w:r>
        <w:rPr>
          <w:rFonts w:hint="eastAsia" w:ascii="宋体" w:hAnsi="宋体" w:eastAsia="宋体" w:cs="宋体"/>
          <w:sz w:val="21"/>
          <w:szCs w:val="21"/>
          <w:highlight w:val="none"/>
        </w:rPr>
        <w:t>签章，</w:t>
      </w:r>
      <w:r>
        <w:rPr>
          <w:rFonts w:hint="eastAsia" w:ascii="宋体" w:hAnsi="宋体" w:eastAsia="宋体" w:cs="宋体"/>
          <w:b/>
          <w:sz w:val="21"/>
          <w:szCs w:val="21"/>
          <w:highlight w:val="none"/>
        </w:rPr>
        <w:t>否则其响应文件按无效响应处理。</w:t>
      </w:r>
    </w:p>
    <w:p w14:paraId="224A706F">
      <w:pPr>
        <w:spacing w:line="360" w:lineRule="auto"/>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2.本授权委托书应由联合体牵头人的法定代表人按上述规定签署。</w:t>
      </w:r>
    </w:p>
    <w:p w14:paraId="1CC827BF">
      <w:pPr>
        <w:spacing w:line="360" w:lineRule="auto"/>
        <w:ind w:firstLine="420" w:firstLineChars="200"/>
        <w:jc w:val="left"/>
        <w:rPr>
          <w:rFonts w:hint="eastAsia" w:ascii="宋体" w:hAnsi="宋体" w:eastAsia="宋体" w:cs="宋体"/>
          <w:spacing w:val="-11"/>
          <w:sz w:val="21"/>
          <w:szCs w:val="21"/>
          <w:highlight w:val="none"/>
        </w:rPr>
      </w:pPr>
      <w:r>
        <w:rPr>
          <w:rFonts w:hint="eastAsia" w:ascii="宋体" w:hAnsi="宋体" w:eastAsia="宋体" w:cs="宋体"/>
          <w:sz w:val="21"/>
          <w:szCs w:val="21"/>
          <w:highlight w:val="none"/>
        </w:rPr>
        <w:t>3.</w:t>
      </w:r>
      <w:r>
        <w:rPr>
          <w:rFonts w:hint="eastAsia" w:ascii="宋体" w:hAnsi="宋体" w:eastAsia="宋体" w:cs="宋体"/>
          <w:spacing w:val="-11"/>
          <w:sz w:val="21"/>
          <w:szCs w:val="21"/>
          <w:highlight w:val="none"/>
        </w:rPr>
        <w:t>法人、其他组织</w:t>
      </w:r>
      <w:r>
        <w:rPr>
          <w:rFonts w:hint="eastAsia" w:ascii="宋体" w:hAnsi="宋体" w:eastAsia="宋体" w:cs="宋体"/>
          <w:sz w:val="21"/>
          <w:szCs w:val="21"/>
          <w:highlight w:val="none"/>
        </w:rPr>
        <w:t>参与竞争性磋商</w:t>
      </w:r>
      <w:r>
        <w:rPr>
          <w:rFonts w:hint="eastAsia" w:ascii="宋体" w:hAnsi="宋体" w:eastAsia="宋体" w:cs="宋体"/>
          <w:spacing w:val="-11"/>
          <w:sz w:val="21"/>
          <w:szCs w:val="21"/>
          <w:highlight w:val="none"/>
        </w:rPr>
        <w:t>时“我方”是指“我单位”，自然人</w:t>
      </w:r>
      <w:r>
        <w:rPr>
          <w:rFonts w:hint="eastAsia" w:ascii="宋体" w:hAnsi="宋体" w:eastAsia="宋体" w:cs="宋体"/>
          <w:sz w:val="21"/>
          <w:szCs w:val="21"/>
          <w:highlight w:val="none"/>
        </w:rPr>
        <w:t>参与竞争性磋商</w:t>
      </w:r>
      <w:r>
        <w:rPr>
          <w:rFonts w:hint="eastAsia" w:ascii="宋体" w:hAnsi="宋体" w:eastAsia="宋体" w:cs="宋体"/>
          <w:spacing w:val="-11"/>
          <w:sz w:val="21"/>
          <w:szCs w:val="21"/>
          <w:highlight w:val="none"/>
        </w:rPr>
        <w:t>时“我方”是指“本人”。</w:t>
      </w:r>
    </w:p>
    <w:bookmarkEnd w:id="42"/>
    <w:p w14:paraId="22BD9E4E">
      <w:pPr>
        <w:jc w:val="center"/>
        <w:rPr>
          <w:rFonts w:hint="eastAsia" w:ascii="宋体" w:hAnsi="宋体" w:cs="宋体"/>
          <w:sz w:val="32"/>
          <w:szCs w:val="32"/>
          <w:highlight w:val="none"/>
        </w:rPr>
      </w:pPr>
      <w:r>
        <w:rPr>
          <w:rFonts w:hint="eastAsia" w:ascii="宋体" w:hAnsi="宋体" w:cs="宋体"/>
          <w:sz w:val="32"/>
          <w:szCs w:val="32"/>
          <w:highlight w:val="none"/>
        </w:rPr>
        <w:br w:type="page"/>
      </w:r>
    </w:p>
    <w:p w14:paraId="2AAE0FFD">
      <w:pPr>
        <w:pStyle w:val="3"/>
        <w:numPr>
          <w:ilvl w:val="0"/>
          <w:numId w:val="3"/>
        </w:numPr>
        <w:bidi w:val="0"/>
        <w:rPr>
          <w:rFonts w:hint="eastAsia"/>
          <w:highlight w:val="none"/>
          <w:lang w:val="en-US" w:eastAsia="zh-CN"/>
        </w:rPr>
      </w:pPr>
      <w:r>
        <w:rPr>
          <w:rFonts w:hint="eastAsia"/>
          <w:highlight w:val="none"/>
          <w:lang w:val="en-US" w:eastAsia="zh-CN"/>
        </w:rPr>
        <w:t>磋商保证金提交凭证；</w:t>
      </w:r>
    </w:p>
    <w:p w14:paraId="354E4D6F">
      <w:pPr>
        <w:numPr>
          <w:ilvl w:val="0"/>
          <w:numId w:val="0"/>
        </w:numPr>
        <w:jc w:val="center"/>
        <w:rPr>
          <w:rFonts w:hint="default"/>
          <w:highlight w:val="none"/>
          <w:lang w:val="en-US" w:eastAsia="zh-CN"/>
        </w:rPr>
      </w:pPr>
      <w:r>
        <w:rPr>
          <w:rFonts w:hint="eastAsia"/>
          <w:highlight w:val="none"/>
          <w:lang w:val="en-US" w:eastAsia="zh-CN"/>
        </w:rPr>
        <w:t>本项目无需提交</w:t>
      </w:r>
    </w:p>
    <w:p w14:paraId="5207EFDE">
      <w:pPr>
        <w:pStyle w:val="3"/>
        <w:bidi w:val="0"/>
        <w:rPr>
          <w:rFonts w:hint="eastAsia"/>
          <w:highlight w:val="none"/>
          <w:lang w:val="en-US" w:eastAsia="zh-CN"/>
        </w:rPr>
      </w:pPr>
      <w:r>
        <w:rPr>
          <w:rFonts w:hint="eastAsia"/>
          <w:highlight w:val="none"/>
          <w:lang w:val="en-US" w:eastAsia="zh-CN"/>
        </w:rPr>
        <w:t>4.商务要求偏离表（格式后附）；</w:t>
      </w:r>
    </w:p>
    <w:p w14:paraId="74A200CD">
      <w:pPr>
        <w:jc w:val="center"/>
        <w:rPr>
          <w:rFonts w:ascii="宋体" w:hAnsi="宋体" w:cs="宋体"/>
          <w:bCs/>
          <w:sz w:val="32"/>
          <w:szCs w:val="32"/>
          <w:highlight w:val="none"/>
        </w:rPr>
      </w:pPr>
      <w:r>
        <w:rPr>
          <w:rFonts w:hint="eastAsia" w:ascii="宋体" w:hAnsi="宋体" w:cs="宋体"/>
          <w:b/>
          <w:bCs/>
          <w:sz w:val="32"/>
          <w:szCs w:val="32"/>
          <w:highlight w:val="none"/>
        </w:rPr>
        <w:t>商务要求偏离表</w:t>
      </w:r>
    </w:p>
    <w:p w14:paraId="2E18F402">
      <w:pPr>
        <w:spacing w:line="360" w:lineRule="auto"/>
        <w:contextualSpacing/>
        <w:jc w:val="left"/>
        <w:rPr>
          <w:rFonts w:ascii="宋体" w:hAnsi="宋体" w:cs="宋体"/>
          <w:sz w:val="24"/>
          <w:highlight w:val="none"/>
        </w:rPr>
      </w:pPr>
    </w:p>
    <w:p w14:paraId="6EA38E89">
      <w:pPr>
        <w:spacing w:line="360" w:lineRule="auto"/>
        <w:contextualSpacing/>
        <w:rPr>
          <w:rFonts w:ascii="宋体" w:hAnsi="宋体" w:cs="宋体"/>
          <w:sz w:val="21"/>
          <w:szCs w:val="21"/>
          <w:highlight w:val="none"/>
          <w:u w:val="single"/>
        </w:rPr>
      </w:pPr>
      <w:r>
        <w:rPr>
          <w:rFonts w:hint="eastAsia" w:ascii="宋体" w:hAnsi="宋体" w:cs="宋体"/>
          <w:sz w:val="21"/>
          <w:szCs w:val="21"/>
          <w:highlight w:val="none"/>
        </w:rPr>
        <w:t>采购项目编号：</w:t>
      </w:r>
      <w:r>
        <w:rPr>
          <w:rFonts w:hint="eastAsia" w:ascii="宋体" w:hAnsi="宋体" w:cs="宋体"/>
          <w:sz w:val="21"/>
          <w:szCs w:val="21"/>
          <w:highlight w:val="none"/>
          <w:u w:val="single"/>
        </w:rPr>
        <w:t xml:space="preserve">                 </w:t>
      </w:r>
    </w:p>
    <w:p w14:paraId="02AB636D">
      <w:pPr>
        <w:spacing w:line="360" w:lineRule="auto"/>
        <w:contextualSpacing/>
        <w:rPr>
          <w:rFonts w:ascii="宋体" w:hAnsi="宋体" w:cs="宋体"/>
          <w:sz w:val="21"/>
          <w:szCs w:val="21"/>
          <w:highlight w:val="none"/>
        </w:rPr>
      </w:pPr>
      <w:r>
        <w:rPr>
          <w:rFonts w:hint="eastAsia" w:ascii="宋体" w:hAnsi="宋体" w:cs="宋体"/>
          <w:sz w:val="21"/>
          <w:szCs w:val="21"/>
          <w:highlight w:val="none"/>
        </w:rPr>
        <w:t>采购项目名称：</w:t>
      </w:r>
      <w:r>
        <w:rPr>
          <w:rFonts w:hint="eastAsia" w:ascii="宋体" w:hAnsi="宋体" w:cs="宋体"/>
          <w:sz w:val="21"/>
          <w:szCs w:val="21"/>
          <w:highlight w:val="none"/>
          <w:u w:val="single"/>
        </w:rPr>
        <w:t xml:space="preserve">                 </w:t>
      </w:r>
    </w:p>
    <w:p w14:paraId="100608D4">
      <w:pPr>
        <w:spacing w:line="360" w:lineRule="auto"/>
        <w:contextualSpacing/>
        <w:rPr>
          <w:rFonts w:hAnsi="宋体" w:cs="宋体"/>
          <w:sz w:val="21"/>
          <w:szCs w:val="21"/>
          <w:highlight w:val="none"/>
        </w:rPr>
      </w:pPr>
      <w:r>
        <w:rPr>
          <w:rFonts w:hint="eastAsia" w:ascii="宋体" w:hAnsi="宋体" w:cs="宋体"/>
          <w:sz w:val="21"/>
          <w:szCs w:val="21"/>
          <w:highlight w:val="none"/>
        </w:rPr>
        <w:t>分标号：</w:t>
      </w:r>
      <w:r>
        <w:rPr>
          <w:rFonts w:hint="eastAsia" w:ascii="宋体" w:hAnsi="宋体" w:cs="宋体"/>
          <w:sz w:val="21"/>
          <w:szCs w:val="21"/>
          <w:highlight w:val="none"/>
          <w:u w:val="single"/>
        </w:rPr>
        <w:t xml:space="preserve">                       </w:t>
      </w:r>
    </w:p>
    <w:p w14:paraId="3F624605">
      <w:pPr>
        <w:spacing w:line="360" w:lineRule="auto"/>
        <w:contextualSpacing/>
        <w:jc w:val="left"/>
        <w:rPr>
          <w:rFonts w:ascii="宋体" w:hAnsi="宋体" w:cs="宋体"/>
          <w:sz w:val="24"/>
          <w:highlight w:val="none"/>
          <w:u w:val="single"/>
        </w:rPr>
      </w:pPr>
    </w:p>
    <w:tbl>
      <w:tblPr>
        <w:tblStyle w:val="32"/>
        <w:tblpPr w:leftFromText="180" w:rightFromText="180" w:vertAnchor="text" w:horzAnchor="margin" w:tblpY="-9"/>
        <w:tblOverlap w:val="never"/>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178"/>
        <w:gridCol w:w="2668"/>
        <w:gridCol w:w="2350"/>
        <w:gridCol w:w="2112"/>
      </w:tblGrid>
      <w:tr w14:paraId="0715692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2178" w:type="dxa"/>
            <w:tcBorders>
              <w:top w:val="single" w:color="auto" w:sz="4" w:space="0"/>
              <w:left w:val="single" w:color="auto" w:sz="4" w:space="0"/>
              <w:bottom w:val="single" w:color="auto" w:sz="4" w:space="0"/>
              <w:right w:val="single" w:color="auto" w:sz="4" w:space="0"/>
            </w:tcBorders>
            <w:vAlign w:val="center"/>
          </w:tcPr>
          <w:p w14:paraId="7E474CB9">
            <w:pPr>
              <w:spacing w:line="360" w:lineRule="auto"/>
              <w:contextualSpacing/>
              <w:jc w:val="center"/>
              <w:rPr>
                <w:rFonts w:ascii="宋体" w:hAnsi="宋体" w:cs="宋体"/>
                <w:sz w:val="21"/>
                <w:szCs w:val="21"/>
                <w:highlight w:val="none"/>
              </w:rPr>
            </w:pPr>
            <w:r>
              <w:rPr>
                <w:rFonts w:hint="eastAsia" w:ascii="宋体" w:hAnsi="宋体" w:cs="宋体"/>
                <w:sz w:val="21"/>
                <w:szCs w:val="21"/>
                <w:highlight w:val="none"/>
              </w:rPr>
              <w:t>项目</w:t>
            </w:r>
          </w:p>
        </w:tc>
        <w:tc>
          <w:tcPr>
            <w:tcW w:w="2668" w:type="dxa"/>
            <w:tcBorders>
              <w:top w:val="single" w:color="auto" w:sz="4" w:space="0"/>
              <w:left w:val="single" w:color="auto" w:sz="4" w:space="0"/>
              <w:bottom w:val="single" w:color="auto" w:sz="4" w:space="0"/>
              <w:right w:val="single" w:color="auto" w:sz="4" w:space="0"/>
            </w:tcBorders>
            <w:vAlign w:val="center"/>
          </w:tcPr>
          <w:p w14:paraId="30A24CF6">
            <w:pPr>
              <w:spacing w:line="360" w:lineRule="auto"/>
              <w:contextualSpacing/>
              <w:jc w:val="center"/>
              <w:rPr>
                <w:rFonts w:ascii="宋体" w:hAnsi="宋体" w:cs="宋体"/>
                <w:sz w:val="21"/>
                <w:szCs w:val="21"/>
                <w:highlight w:val="none"/>
              </w:rPr>
            </w:pPr>
            <w:r>
              <w:rPr>
                <w:rFonts w:hint="eastAsia" w:ascii="宋体" w:hAnsi="宋体" w:cs="宋体"/>
                <w:sz w:val="21"/>
                <w:szCs w:val="21"/>
                <w:highlight w:val="none"/>
              </w:rPr>
              <w:t>磋商文件商务要求</w:t>
            </w:r>
          </w:p>
        </w:tc>
        <w:tc>
          <w:tcPr>
            <w:tcW w:w="2350" w:type="dxa"/>
            <w:tcBorders>
              <w:top w:val="single" w:color="auto" w:sz="4" w:space="0"/>
              <w:left w:val="single" w:color="auto" w:sz="4" w:space="0"/>
              <w:bottom w:val="single" w:color="auto" w:sz="4" w:space="0"/>
              <w:right w:val="single" w:color="auto" w:sz="4" w:space="0"/>
            </w:tcBorders>
            <w:vAlign w:val="center"/>
          </w:tcPr>
          <w:p w14:paraId="3C7A1A7F">
            <w:pPr>
              <w:spacing w:line="360" w:lineRule="auto"/>
              <w:contextualSpacing/>
              <w:jc w:val="center"/>
              <w:rPr>
                <w:rFonts w:ascii="宋体" w:hAnsi="宋体" w:cs="宋体"/>
                <w:sz w:val="21"/>
                <w:szCs w:val="21"/>
                <w:highlight w:val="none"/>
              </w:rPr>
            </w:pPr>
            <w:r>
              <w:rPr>
                <w:rFonts w:hint="eastAsia" w:ascii="宋体" w:hAnsi="宋体" w:cs="宋体"/>
                <w:sz w:val="21"/>
                <w:szCs w:val="21"/>
                <w:highlight w:val="none"/>
              </w:rPr>
              <w:t>供应商的响应</w:t>
            </w:r>
          </w:p>
        </w:tc>
        <w:tc>
          <w:tcPr>
            <w:tcW w:w="2112" w:type="dxa"/>
            <w:tcBorders>
              <w:top w:val="single" w:color="auto" w:sz="4" w:space="0"/>
              <w:left w:val="single" w:color="auto" w:sz="4" w:space="0"/>
              <w:bottom w:val="single" w:color="auto" w:sz="4" w:space="0"/>
              <w:right w:val="single" w:color="auto" w:sz="4" w:space="0"/>
            </w:tcBorders>
            <w:vAlign w:val="center"/>
          </w:tcPr>
          <w:p w14:paraId="6384B47D">
            <w:pPr>
              <w:spacing w:line="360" w:lineRule="auto"/>
              <w:contextualSpacing/>
              <w:jc w:val="center"/>
              <w:rPr>
                <w:rFonts w:ascii="宋体" w:hAnsi="宋体" w:cs="宋体"/>
                <w:sz w:val="21"/>
                <w:szCs w:val="21"/>
                <w:highlight w:val="none"/>
              </w:rPr>
            </w:pPr>
            <w:r>
              <w:rPr>
                <w:rFonts w:hint="eastAsia" w:ascii="宋体" w:hAnsi="宋体" w:cs="宋体"/>
                <w:sz w:val="21"/>
                <w:szCs w:val="21"/>
                <w:highlight w:val="none"/>
              </w:rPr>
              <w:t>偏离说明</w:t>
            </w:r>
          </w:p>
        </w:tc>
      </w:tr>
      <w:tr w14:paraId="093A37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9" w:hRule="atLeast"/>
        </w:trPr>
        <w:tc>
          <w:tcPr>
            <w:tcW w:w="2178" w:type="dxa"/>
            <w:tcBorders>
              <w:top w:val="single" w:color="auto" w:sz="4" w:space="0"/>
              <w:left w:val="single" w:color="auto" w:sz="4" w:space="0"/>
              <w:bottom w:val="single" w:color="auto" w:sz="4" w:space="0"/>
              <w:right w:val="single" w:color="auto" w:sz="4" w:space="0"/>
            </w:tcBorders>
            <w:vAlign w:val="center"/>
          </w:tcPr>
          <w:p w14:paraId="63F9579C">
            <w:pPr>
              <w:jc w:val="center"/>
              <w:rPr>
                <w:rFonts w:ascii="宋体" w:hAnsi="宋体" w:cs="宋体"/>
                <w:sz w:val="21"/>
                <w:szCs w:val="21"/>
                <w:highlight w:val="none"/>
              </w:rPr>
            </w:pPr>
          </w:p>
        </w:tc>
        <w:tc>
          <w:tcPr>
            <w:tcW w:w="2668" w:type="dxa"/>
            <w:tcBorders>
              <w:top w:val="single" w:color="auto" w:sz="4" w:space="0"/>
              <w:left w:val="single" w:color="auto" w:sz="4" w:space="0"/>
              <w:bottom w:val="single" w:color="auto" w:sz="4" w:space="0"/>
              <w:right w:val="single" w:color="auto" w:sz="4" w:space="0"/>
            </w:tcBorders>
            <w:vAlign w:val="center"/>
          </w:tcPr>
          <w:p w14:paraId="6427E883">
            <w:pPr>
              <w:spacing w:line="360" w:lineRule="auto"/>
              <w:contextualSpacing/>
              <w:jc w:val="center"/>
              <w:rPr>
                <w:rFonts w:ascii="宋体" w:hAnsi="宋体" w:cs="宋体"/>
                <w:sz w:val="21"/>
                <w:szCs w:val="21"/>
                <w:highlight w:val="none"/>
              </w:rPr>
            </w:pPr>
          </w:p>
        </w:tc>
        <w:tc>
          <w:tcPr>
            <w:tcW w:w="2350" w:type="dxa"/>
            <w:tcBorders>
              <w:top w:val="single" w:color="auto" w:sz="4" w:space="0"/>
              <w:left w:val="single" w:color="auto" w:sz="4" w:space="0"/>
              <w:bottom w:val="single" w:color="auto" w:sz="4" w:space="0"/>
              <w:right w:val="single" w:color="auto" w:sz="4" w:space="0"/>
            </w:tcBorders>
            <w:vAlign w:val="center"/>
          </w:tcPr>
          <w:p w14:paraId="43919367">
            <w:pPr>
              <w:spacing w:line="360" w:lineRule="auto"/>
              <w:contextualSpacing/>
              <w:jc w:val="center"/>
              <w:rPr>
                <w:rFonts w:ascii="宋体" w:hAnsi="宋体" w:cs="宋体"/>
                <w:sz w:val="21"/>
                <w:szCs w:val="21"/>
                <w:highlight w:val="none"/>
              </w:rPr>
            </w:pPr>
          </w:p>
        </w:tc>
        <w:tc>
          <w:tcPr>
            <w:tcW w:w="2112" w:type="dxa"/>
            <w:tcBorders>
              <w:top w:val="single" w:color="auto" w:sz="4" w:space="0"/>
              <w:left w:val="single" w:color="auto" w:sz="4" w:space="0"/>
              <w:bottom w:val="single" w:color="auto" w:sz="4" w:space="0"/>
              <w:right w:val="single" w:color="auto" w:sz="4" w:space="0"/>
            </w:tcBorders>
            <w:vAlign w:val="center"/>
          </w:tcPr>
          <w:p w14:paraId="29A6CCC0">
            <w:pPr>
              <w:spacing w:line="360" w:lineRule="auto"/>
              <w:contextualSpacing/>
              <w:jc w:val="center"/>
              <w:rPr>
                <w:rFonts w:ascii="宋体" w:hAnsi="宋体" w:cs="宋体"/>
                <w:sz w:val="21"/>
                <w:szCs w:val="21"/>
                <w:highlight w:val="none"/>
              </w:rPr>
            </w:pPr>
          </w:p>
        </w:tc>
      </w:tr>
      <w:tr w14:paraId="2F1CAC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2178" w:type="dxa"/>
            <w:tcBorders>
              <w:top w:val="single" w:color="auto" w:sz="4" w:space="0"/>
              <w:left w:val="single" w:color="auto" w:sz="4" w:space="0"/>
              <w:bottom w:val="single" w:color="auto" w:sz="4" w:space="0"/>
              <w:right w:val="single" w:color="auto" w:sz="4" w:space="0"/>
            </w:tcBorders>
            <w:vAlign w:val="center"/>
          </w:tcPr>
          <w:p w14:paraId="1992A3F8">
            <w:pPr>
              <w:jc w:val="center"/>
              <w:rPr>
                <w:rFonts w:ascii="宋体" w:hAnsi="宋体" w:cs="宋体"/>
                <w:sz w:val="21"/>
                <w:szCs w:val="21"/>
                <w:highlight w:val="none"/>
              </w:rPr>
            </w:pPr>
          </w:p>
        </w:tc>
        <w:tc>
          <w:tcPr>
            <w:tcW w:w="2668" w:type="dxa"/>
            <w:tcBorders>
              <w:top w:val="single" w:color="auto" w:sz="4" w:space="0"/>
              <w:left w:val="single" w:color="auto" w:sz="4" w:space="0"/>
              <w:bottom w:val="single" w:color="auto" w:sz="4" w:space="0"/>
              <w:right w:val="single" w:color="auto" w:sz="4" w:space="0"/>
            </w:tcBorders>
            <w:vAlign w:val="center"/>
          </w:tcPr>
          <w:p w14:paraId="13977F2D">
            <w:pPr>
              <w:spacing w:line="360" w:lineRule="auto"/>
              <w:contextualSpacing/>
              <w:jc w:val="center"/>
              <w:rPr>
                <w:rFonts w:ascii="宋体" w:hAnsi="宋体" w:cs="宋体"/>
                <w:sz w:val="21"/>
                <w:szCs w:val="21"/>
                <w:highlight w:val="none"/>
              </w:rPr>
            </w:pPr>
          </w:p>
        </w:tc>
        <w:tc>
          <w:tcPr>
            <w:tcW w:w="2350" w:type="dxa"/>
            <w:tcBorders>
              <w:top w:val="single" w:color="auto" w:sz="4" w:space="0"/>
              <w:left w:val="single" w:color="auto" w:sz="4" w:space="0"/>
              <w:bottom w:val="single" w:color="auto" w:sz="4" w:space="0"/>
              <w:right w:val="single" w:color="auto" w:sz="4" w:space="0"/>
            </w:tcBorders>
            <w:vAlign w:val="center"/>
          </w:tcPr>
          <w:p w14:paraId="41672F0A">
            <w:pPr>
              <w:spacing w:line="360" w:lineRule="auto"/>
              <w:ind w:left="43"/>
              <w:contextualSpacing/>
              <w:jc w:val="center"/>
              <w:rPr>
                <w:rFonts w:ascii="宋体" w:hAnsi="宋体" w:cs="宋体"/>
                <w:sz w:val="21"/>
                <w:szCs w:val="21"/>
                <w:highlight w:val="none"/>
              </w:rPr>
            </w:pPr>
          </w:p>
        </w:tc>
        <w:tc>
          <w:tcPr>
            <w:tcW w:w="2112" w:type="dxa"/>
            <w:tcBorders>
              <w:top w:val="single" w:color="auto" w:sz="4" w:space="0"/>
              <w:left w:val="single" w:color="auto" w:sz="4" w:space="0"/>
              <w:bottom w:val="single" w:color="auto" w:sz="4" w:space="0"/>
              <w:right w:val="single" w:color="auto" w:sz="4" w:space="0"/>
            </w:tcBorders>
            <w:vAlign w:val="center"/>
          </w:tcPr>
          <w:p w14:paraId="6E241FC5">
            <w:pPr>
              <w:spacing w:line="360" w:lineRule="auto"/>
              <w:ind w:left="43"/>
              <w:contextualSpacing/>
              <w:jc w:val="center"/>
              <w:rPr>
                <w:rFonts w:ascii="宋体" w:hAnsi="宋体" w:cs="宋体"/>
                <w:sz w:val="21"/>
                <w:szCs w:val="21"/>
                <w:highlight w:val="none"/>
              </w:rPr>
            </w:pPr>
          </w:p>
        </w:tc>
      </w:tr>
      <w:tr w14:paraId="2F652C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78" w:type="dxa"/>
            <w:tcBorders>
              <w:top w:val="single" w:color="auto" w:sz="4" w:space="0"/>
              <w:left w:val="single" w:color="auto" w:sz="4" w:space="0"/>
              <w:bottom w:val="single" w:color="auto" w:sz="4" w:space="0"/>
              <w:right w:val="single" w:color="auto" w:sz="4" w:space="0"/>
            </w:tcBorders>
            <w:vAlign w:val="center"/>
          </w:tcPr>
          <w:p w14:paraId="7D6D6A5A">
            <w:pPr>
              <w:spacing w:line="360" w:lineRule="auto"/>
              <w:contextualSpacing/>
              <w:jc w:val="center"/>
              <w:rPr>
                <w:rFonts w:ascii="宋体" w:hAnsi="宋体" w:cs="宋体"/>
                <w:sz w:val="21"/>
                <w:szCs w:val="21"/>
                <w:highlight w:val="none"/>
              </w:rPr>
            </w:pPr>
            <w:r>
              <w:rPr>
                <w:rFonts w:hint="eastAsia" w:ascii="宋体" w:hAnsi="宋体" w:cs="宋体"/>
                <w:sz w:val="21"/>
                <w:szCs w:val="21"/>
                <w:highlight w:val="none"/>
              </w:rPr>
              <w:t>…</w:t>
            </w:r>
          </w:p>
        </w:tc>
        <w:tc>
          <w:tcPr>
            <w:tcW w:w="2668" w:type="dxa"/>
            <w:tcBorders>
              <w:top w:val="single" w:color="auto" w:sz="4" w:space="0"/>
              <w:left w:val="single" w:color="auto" w:sz="4" w:space="0"/>
              <w:bottom w:val="single" w:color="auto" w:sz="4" w:space="0"/>
              <w:right w:val="single" w:color="auto" w:sz="4" w:space="0"/>
            </w:tcBorders>
            <w:vAlign w:val="center"/>
          </w:tcPr>
          <w:p w14:paraId="4D4D6057">
            <w:pPr>
              <w:spacing w:line="360" w:lineRule="auto"/>
              <w:contextualSpacing/>
              <w:jc w:val="center"/>
              <w:rPr>
                <w:rFonts w:ascii="宋体" w:hAnsi="宋体" w:cs="宋体"/>
                <w:sz w:val="21"/>
                <w:szCs w:val="21"/>
                <w:highlight w:val="none"/>
              </w:rPr>
            </w:pPr>
          </w:p>
        </w:tc>
        <w:tc>
          <w:tcPr>
            <w:tcW w:w="2350" w:type="dxa"/>
            <w:tcBorders>
              <w:top w:val="single" w:color="auto" w:sz="4" w:space="0"/>
              <w:left w:val="single" w:color="auto" w:sz="4" w:space="0"/>
              <w:bottom w:val="single" w:color="auto" w:sz="4" w:space="0"/>
              <w:right w:val="single" w:color="auto" w:sz="4" w:space="0"/>
            </w:tcBorders>
            <w:vAlign w:val="center"/>
          </w:tcPr>
          <w:p w14:paraId="6C787C31">
            <w:pPr>
              <w:spacing w:line="360" w:lineRule="auto"/>
              <w:contextualSpacing/>
              <w:jc w:val="center"/>
              <w:rPr>
                <w:rFonts w:ascii="宋体" w:hAnsi="宋体" w:cs="宋体"/>
                <w:sz w:val="21"/>
                <w:szCs w:val="21"/>
                <w:highlight w:val="none"/>
              </w:rPr>
            </w:pPr>
          </w:p>
        </w:tc>
        <w:tc>
          <w:tcPr>
            <w:tcW w:w="2112" w:type="dxa"/>
            <w:tcBorders>
              <w:top w:val="single" w:color="auto" w:sz="4" w:space="0"/>
              <w:left w:val="single" w:color="auto" w:sz="4" w:space="0"/>
              <w:bottom w:val="single" w:color="auto" w:sz="4" w:space="0"/>
              <w:right w:val="single" w:color="auto" w:sz="4" w:space="0"/>
            </w:tcBorders>
            <w:vAlign w:val="center"/>
          </w:tcPr>
          <w:p w14:paraId="690BA190">
            <w:pPr>
              <w:spacing w:line="360" w:lineRule="auto"/>
              <w:contextualSpacing/>
              <w:jc w:val="center"/>
              <w:rPr>
                <w:rFonts w:ascii="宋体" w:hAnsi="宋体" w:cs="宋体"/>
                <w:sz w:val="21"/>
                <w:szCs w:val="21"/>
                <w:highlight w:val="none"/>
              </w:rPr>
            </w:pPr>
          </w:p>
        </w:tc>
      </w:tr>
    </w:tbl>
    <w:p w14:paraId="2C711610">
      <w:pPr>
        <w:pStyle w:val="13"/>
        <w:spacing w:after="0" w:line="360" w:lineRule="auto"/>
        <w:contextualSpacing/>
        <w:rPr>
          <w:rFonts w:hint="eastAsia" w:ascii="宋体" w:hAnsi="宋体" w:eastAsia="宋体" w:cs="宋体"/>
          <w:b/>
          <w:kern w:val="0"/>
          <w:sz w:val="21"/>
          <w:szCs w:val="21"/>
          <w:highlight w:val="none"/>
        </w:rPr>
      </w:pPr>
      <w:r>
        <w:rPr>
          <w:rFonts w:hint="eastAsia" w:ascii="宋体" w:hAnsi="宋体" w:eastAsia="宋体" w:cs="宋体"/>
          <w:b/>
          <w:kern w:val="0"/>
          <w:sz w:val="21"/>
          <w:szCs w:val="21"/>
          <w:highlight w:val="none"/>
        </w:rPr>
        <w:t>注：</w:t>
      </w:r>
    </w:p>
    <w:p w14:paraId="44D2C607">
      <w:pPr>
        <w:pStyle w:val="13"/>
        <w:spacing w:after="0" w:line="360" w:lineRule="auto"/>
        <w:contextualSpacing/>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1.说明：应对照磋商文件“第三章 采购需求”中的商务要求逐条作出明确响应，并作出偏离说明。</w:t>
      </w:r>
    </w:p>
    <w:p w14:paraId="24F79347">
      <w:pPr>
        <w:spacing w:line="360" w:lineRule="auto"/>
        <w:contextualSpacing/>
        <w:jc w:val="left"/>
        <w:rPr>
          <w:rFonts w:hint="eastAsia" w:ascii="宋体" w:hAnsi="宋体" w:eastAsia="宋体" w:cs="宋体"/>
          <w:sz w:val="21"/>
          <w:szCs w:val="21"/>
          <w:highlight w:val="none"/>
          <w:u w:val="single"/>
        </w:rPr>
      </w:pPr>
      <w:r>
        <w:rPr>
          <w:rFonts w:hint="eastAsia" w:ascii="宋体" w:hAnsi="宋体" w:eastAsia="宋体" w:cs="宋体"/>
          <w:kern w:val="0"/>
          <w:sz w:val="21"/>
          <w:szCs w:val="21"/>
          <w:highlight w:val="none"/>
        </w:rPr>
        <w:t>2.供应商应根据自身的承诺，对照磋商文件要求在“偏离说明”中注明“正偏离”、“负偏离”或者“无偏离”。既不属于“正偏离”也不属于“负偏离”即为“无偏离”。</w:t>
      </w:r>
    </w:p>
    <w:p w14:paraId="00D1D081">
      <w:pPr>
        <w:spacing w:line="360" w:lineRule="auto"/>
        <w:ind w:right="-817" w:rightChars="-389"/>
        <w:contextualSpacing/>
        <w:rPr>
          <w:rFonts w:hint="eastAsia" w:ascii="宋体" w:hAnsi="宋体" w:eastAsia="宋体" w:cs="宋体"/>
          <w:sz w:val="21"/>
          <w:szCs w:val="21"/>
          <w:highlight w:val="none"/>
        </w:rPr>
      </w:pPr>
    </w:p>
    <w:p w14:paraId="6309C031">
      <w:pPr>
        <w:spacing w:line="360" w:lineRule="auto"/>
        <w:ind w:right="-817" w:rightChars="-389" w:firstLine="840" w:firstLineChars="400"/>
        <w:contextualSpacing/>
        <w:rPr>
          <w:rFonts w:hint="eastAsia" w:ascii="宋体" w:hAnsi="宋体" w:cs="宋体"/>
          <w:sz w:val="21"/>
          <w:szCs w:val="21"/>
          <w:highlight w:val="none"/>
        </w:rPr>
      </w:pPr>
      <w:r>
        <w:rPr>
          <w:rFonts w:hint="eastAsia" w:ascii="宋体" w:hAnsi="宋体" w:cs="宋体"/>
          <w:sz w:val="21"/>
          <w:szCs w:val="21"/>
          <w:highlight w:val="none"/>
        </w:rPr>
        <w:t>法定代表人或者委托代理人（</w:t>
      </w:r>
      <w:r>
        <w:rPr>
          <w:rFonts w:hint="eastAsia" w:ascii="宋体" w:hAnsi="宋体" w:cs="宋体"/>
          <w:sz w:val="21"/>
          <w:szCs w:val="21"/>
          <w:highlight w:val="none"/>
          <w:lang w:eastAsia="zh-CN"/>
        </w:rPr>
        <w:t>签字或</w:t>
      </w:r>
      <w:r>
        <w:rPr>
          <w:rFonts w:hint="eastAsia" w:ascii="宋体" w:hAnsi="宋体" w:eastAsia="宋体" w:cs="宋体"/>
          <w:color w:val="auto"/>
          <w:sz w:val="21"/>
          <w:szCs w:val="21"/>
          <w:highlight w:val="none"/>
          <w:lang w:eastAsia="zh-CN"/>
        </w:rPr>
        <w:t>CA</w:t>
      </w:r>
      <w:r>
        <w:rPr>
          <w:rFonts w:hint="eastAsia" w:ascii="宋体" w:hAnsi="宋体" w:cs="宋体"/>
          <w:sz w:val="21"/>
          <w:szCs w:val="21"/>
          <w:highlight w:val="none"/>
          <w:lang w:eastAsia="zh-CN"/>
        </w:rPr>
        <w:t>签章</w:t>
      </w:r>
      <w:r>
        <w:rPr>
          <w:rFonts w:hint="eastAsia" w:ascii="宋体" w:hAnsi="宋体" w:cs="宋体"/>
          <w:sz w:val="21"/>
          <w:szCs w:val="21"/>
          <w:highlight w:val="none"/>
        </w:rPr>
        <w:t>）：</w:t>
      </w:r>
      <w:r>
        <w:rPr>
          <w:rFonts w:hint="eastAsia" w:ascii="宋体" w:hAnsi="宋体" w:cs="宋体"/>
          <w:sz w:val="21"/>
          <w:szCs w:val="21"/>
          <w:highlight w:val="none"/>
          <w:u w:val="single"/>
        </w:rPr>
        <w:t xml:space="preserve">                  </w:t>
      </w:r>
      <w:r>
        <w:rPr>
          <w:rFonts w:hint="eastAsia" w:ascii="宋体" w:hAnsi="宋体" w:cs="宋体"/>
          <w:sz w:val="21"/>
          <w:szCs w:val="21"/>
          <w:highlight w:val="none"/>
        </w:rPr>
        <w:t xml:space="preserve">                    </w:t>
      </w:r>
    </w:p>
    <w:p w14:paraId="06B258C4">
      <w:pPr>
        <w:spacing w:line="360" w:lineRule="auto"/>
        <w:ind w:right="-817" w:rightChars="-389" w:firstLine="2310" w:firstLineChars="1100"/>
        <w:contextualSpacing/>
        <w:rPr>
          <w:rFonts w:hint="eastAsia" w:ascii="宋体" w:hAnsi="宋体" w:cs="宋体"/>
          <w:sz w:val="21"/>
          <w:szCs w:val="21"/>
          <w:highlight w:val="none"/>
        </w:rPr>
      </w:pPr>
      <w:r>
        <w:rPr>
          <w:rFonts w:hint="eastAsia" w:ascii="宋体" w:hAnsi="宋体" w:cs="宋体"/>
          <w:sz w:val="21"/>
          <w:szCs w:val="21"/>
          <w:highlight w:val="none"/>
        </w:rPr>
        <w:t>供应商（公章</w:t>
      </w:r>
      <w:r>
        <w:rPr>
          <w:rFonts w:hint="eastAsia" w:ascii="宋体" w:hAnsi="宋体" w:eastAsia="宋体" w:cs="宋体"/>
          <w:color w:val="auto"/>
          <w:sz w:val="21"/>
          <w:szCs w:val="21"/>
          <w:highlight w:val="none"/>
          <w:lang w:eastAsia="zh-CN"/>
        </w:rPr>
        <w:t>（CA签章）</w:t>
      </w:r>
      <w:r>
        <w:rPr>
          <w:rFonts w:hint="eastAsia" w:ascii="宋体" w:hAnsi="宋体" w:cs="宋体"/>
          <w:sz w:val="21"/>
          <w:szCs w:val="21"/>
          <w:highlight w:val="none"/>
        </w:rPr>
        <w:t>）：</w:t>
      </w:r>
      <w:r>
        <w:rPr>
          <w:rFonts w:hint="eastAsia" w:ascii="宋体" w:hAnsi="宋体" w:cs="宋体"/>
          <w:sz w:val="21"/>
          <w:szCs w:val="21"/>
          <w:highlight w:val="none"/>
          <w:u w:val="single"/>
        </w:rPr>
        <w:t xml:space="preserve">                  </w:t>
      </w:r>
      <w:r>
        <w:rPr>
          <w:rFonts w:hint="eastAsia" w:ascii="宋体" w:hAnsi="宋体" w:cs="宋体"/>
          <w:sz w:val="21"/>
          <w:szCs w:val="21"/>
          <w:highlight w:val="none"/>
        </w:rPr>
        <w:t xml:space="preserve">      </w:t>
      </w:r>
    </w:p>
    <w:p w14:paraId="0B36BF75">
      <w:pPr>
        <w:spacing w:line="360" w:lineRule="auto"/>
        <w:ind w:right="-817" w:rightChars="-389" w:firstLine="3570" w:firstLineChars="1700"/>
        <w:contextualSpacing/>
        <w:rPr>
          <w:rFonts w:hint="eastAsia" w:ascii="宋体" w:hAnsi="宋体" w:cs="宋体"/>
          <w:b/>
          <w:sz w:val="21"/>
          <w:szCs w:val="21"/>
          <w:highlight w:val="none"/>
        </w:rPr>
      </w:pPr>
      <w:r>
        <w:rPr>
          <w:rFonts w:hint="eastAsia" w:ascii="宋体" w:hAnsi="宋体" w:cs="宋体"/>
          <w:sz w:val="21"/>
          <w:szCs w:val="21"/>
          <w:highlight w:val="none"/>
        </w:rPr>
        <w:t>日期：</w:t>
      </w:r>
      <w:r>
        <w:rPr>
          <w:rFonts w:hint="eastAsia" w:ascii="宋体" w:hAnsi="宋体" w:cs="宋体"/>
          <w:sz w:val="21"/>
          <w:szCs w:val="21"/>
          <w:highlight w:val="none"/>
          <w:u w:val="single"/>
        </w:rPr>
        <w:t xml:space="preserve">   </w:t>
      </w:r>
      <w:r>
        <w:rPr>
          <w:rFonts w:hint="eastAsia" w:ascii="宋体" w:hAnsi="宋体" w:cs="宋体"/>
          <w:sz w:val="21"/>
          <w:szCs w:val="21"/>
          <w:highlight w:val="none"/>
        </w:rPr>
        <w:t>年</w:t>
      </w:r>
      <w:r>
        <w:rPr>
          <w:rFonts w:hint="eastAsia" w:ascii="宋体" w:hAnsi="宋体" w:cs="宋体"/>
          <w:sz w:val="21"/>
          <w:szCs w:val="21"/>
          <w:highlight w:val="none"/>
          <w:u w:val="single"/>
        </w:rPr>
        <w:t xml:space="preserve">   </w:t>
      </w:r>
      <w:r>
        <w:rPr>
          <w:rFonts w:hint="eastAsia" w:ascii="宋体" w:hAnsi="宋体" w:cs="宋体"/>
          <w:sz w:val="21"/>
          <w:szCs w:val="21"/>
          <w:highlight w:val="none"/>
        </w:rPr>
        <w:t>月</w:t>
      </w:r>
      <w:r>
        <w:rPr>
          <w:rFonts w:hint="eastAsia" w:ascii="宋体" w:hAnsi="宋体" w:cs="宋体"/>
          <w:sz w:val="21"/>
          <w:szCs w:val="21"/>
          <w:highlight w:val="none"/>
          <w:u w:val="single"/>
        </w:rPr>
        <w:t xml:space="preserve">   </w:t>
      </w:r>
      <w:r>
        <w:rPr>
          <w:rFonts w:hint="eastAsia" w:ascii="宋体" w:hAnsi="宋体" w:cs="宋体"/>
          <w:sz w:val="21"/>
          <w:szCs w:val="21"/>
          <w:highlight w:val="none"/>
        </w:rPr>
        <w:t>日</w:t>
      </w:r>
    </w:p>
    <w:p w14:paraId="0BF62773">
      <w:pPr>
        <w:rPr>
          <w:rFonts w:hint="eastAsia"/>
          <w:highlight w:val="none"/>
          <w:lang w:val="en-US" w:eastAsia="zh-CN"/>
        </w:rPr>
      </w:pPr>
      <w:r>
        <w:rPr>
          <w:rFonts w:hint="eastAsia"/>
          <w:highlight w:val="none"/>
          <w:lang w:val="en-US" w:eastAsia="zh-CN"/>
        </w:rPr>
        <w:br w:type="page"/>
      </w:r>
    </w:p>
    <w:p w14:paraId="6702CF2F">
      <w:pPr>
        <w:rPr>
          <w:rFonts w:hint="eastAsia"/>
          <w:highlight w:val="none"/>
          <w:lang w:val="en-US" w:eastAsia="zh-CN"/>
        </w:rPr>
      </w:pPr>
    </w:p>
    <w:p w14:paraId="198DB22C">
      <w:pPr>
        <w:pStyle w:val="3"/>
        <w:numPr>
          <w:ilvl w:val="0"/>
          <w:numId w:val="0"/>
        </w:numPr>
        <w:bidi w:val="0"/>
        <w:ind w:leftChars="0"/>
        <w:rPr>
          <w:rFonts w:hint="eastAsia"/>
          <w:highlight w:val="none"/>
          <w:lang w:val="en-US" w:eastAsia="zh-CN"/>
        </w:rPr>
      </w:pPr>
      <w:r>
        <w:rPr>
          <w:rFonts w:hint="eastAsia"/>
          <w:highlight w:val="none"/>
          <w:lang w:val="en-US" w:eastAsia="zh-CN"/>
        </w:rPr>
        <w:t>5.服务要求偏离表（格式后附）；</w:t>
      </w:r>
    </w:p>
    <w:p w14:paraId="1216C3DE">
      <w:pPr>
        <w:adjustRightInd w:val="0"/>
        <w:snapToGrid w:val="0"/>
        <w:spacing w:line="360" w:lineRule="auto"/>
        <w:jc w:val="center"/>
        <w:rPr>
          <w:rFonts w:ascii="宋体" w:hAnsi="宋体" w:cs="宋体"/>
          <w:bCs/>
          <w:sz w:val="32"/>
          <w:szCs w:val="32"/>
          <w:highlight w:val="none"/>
        </w:rPr>
      </w:pPr>
      <w:r>
        <w:rPr>
          <w:rFonts w:hint="eastAsia" w:ascii="宋体" w:hAnsi="宋体" w:cs="宋体"/>
          <w:b/>
          <w:bCs/>
          <w:sz w:val="32"/>
          <w:szCs w:val="32"/>
          <w:highlight w:val="none"/>
        </w:rPr>
        <w:t>服务要求偏离表</w:t>
      </w:r>
      <w:r>
        <w:rPr>
          <w:rFonts w:hint="eastAsia" w:ascii="宋体" w:hAnsi="宋体" w:cs="宋体"/>
          <w:bCs/>
          <w:sz w:val="32"/>
          <w:szCs w:val="32"/>
          <w:highlight w:val="none"/>
        </w:rPr>
        <w:t>（格式）</w:t>
      </w:r>
    </w:p>
    <w:p w14:paraId="7B30AFEF">
      <w:pPr>
        <w:spacing w:line="360" w:lineRule="auto"/>
        <w:contextualSpacing/>
        <w:rPr>
          <w:rFonts w:ascii="宋体" w:hAnsi="宋体" w:cs="宋体"/>
          <w:sz w:val="21"/>
          <w:szCs w:val="21"/>
          <w:highlight w:val="none"/>
        </w:rPr>
      </w:pPr>
      <w:r>
        <w:rPr>
          <w:rFonts w:hint="eastAsia" w:ascii="宋体" w:hAnsi="宋体" w:cs="宋体"/>
          <w:sz w:val="21"/>
          <w:szCs w:val="21"/>
          <w:highlight w:val="none"/>
        </w:rPr>
        <w:t>采购项目名称：</w:t>
      </w:r>
      <w:r>
        <w:rPr>
          <w:rFonts w:hint="eastAsia" w:ascii="宋体" w:hAnsi="宋体" w:cs="宋体"/>
          <w:sz w:val="21"/>
          <w:szCs w:val="21"/>
          <w:highlight w:val="none"/>
          <w:u w:val="single"/>
        </w:rPr>
        <w:t xml:space="preserve">                 </w:t>
      </w:r>
    </w:p>
    <w:p w14:paraId="795BD4F1">
      <w:pPr>
        <w:spacing w:line="360" w:lineRule="auto"/>
        <w:contextualSpacing/>
        <w:rPr>
          <w:rFonts w:ascii="宋体" w:hAnsi="宋体" w:cs="宋体"/>
          <w:sz w:val="21"/>
          <w:szCs w:val="21"/>
          <w:highlight w:val="none"/>
          <w:u w:val="single"/>
        </w:rPr>
      </w:pPr>
      <w:r>
        <w:rPr>
          <w:rFonts w:hint="eastAsia" w:ascii="宋体" w:hAnsi="宋体" w:cs="宋体"/>
          <w:sz w:val="21"/>
          <w:szCs w:val="21"/>
          <w:highlight w:val="none"/>
        </w:rPr>
        <w:t>采购项目编号：</w:t>
      </w:r>
      <w:r>
        <w:rPr>
          <w:rFonts w:hint="eastAsia" w:ascii="宋体" w:hAnsi="宋体" w:cs="宋体"/>
          <w:sz w:val="21"/>
          <w:szCs w:val="21"/>
          <w:highlight w:val="none"/>
          <w:u w:val="single"/>
        </w:rPr>
        <w:t xml:space="preserve">                 </w:t>
      </w:r>
    </w:p>
    <w:p w14:paraId="5E4813DF">
      <w:pPr>
        <w:spacing w:line="360" w:lineRule="auto"/>
        <w:contextualSpacing/>
        <w:rPr>
          <w:rFonts w:ascii="宋体" w:hAnsi="宋体" w:cs="宋体"/>
          <w:sz w:val="21"/>
          <w:szCs w:val="21"/>
          <w:highlight w:val="none"/>
          <w:u w:val="single"/>
        </w:rPr>
      </w:pPr>
      <w:r>
        <w:rPr>
          <w:rFonts w:hint="eastAsia" w:ascii="宋体" w:hAnsi="宋体" w:cs="宋体"/>
          <w:sz w:val="21"/>
          <w:szCs w:val="21"/>
          <w:highlight w:val="none"/>
        </w:rPr>
        <w:t>分标号：</w:t>
      </w:r>
      <w:r>
        <w:rPr>
          <w:rFonts w:hint="eastAsia" w:ascii="宋体" w:hAnsi="宋体" w:cs="宋体"/>
          <w:sz w:val="21"/>
          <w:szCs w:val="21"/>
          <w:highlight w:val="none"/>
          <w:u w:val="single"/>
        </w:rPr>
        <w:t xml:space="preserve">                       </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91"/>
        <w:gridCol w:w="992"/>
        <w:gridCol w:w="3292"/>
        <w:gridCol w:w="2963"/>
        <w:gridCol w:w="1616"/>
      </w:tblGrid>
      <w:tr w14:paraId="10208DE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91" w:type="dxa"/>
            <w:vAlign w:val="center"/>
          </w:tcPr>
          <w:p w14:paraId="1254F8E4">
            <w:pPr>
              <w:pStyle w:val="15"/>
              <w:spacing w:line="360" w:lineRule="auto"/>
              <w:ind w:firstLine="0" w:firstLineChars="0"/>
              <w:contextualSpacing/>
              <w:jc w:val="center"/>
              <w:rPr>
                <w:rFonts w:ascii="宋体" w:hAnsi="宋体" w:eastAsia="宋体" w:cs="宋体"/>
                <w:kern w:val="2"/>
                <w:sz w:val="21"/>
                <w:szCs w:val="21"/>
                <w:highlight w:val="none"/>
              </w:rPr>
            </w:pPr>
            <w:r>
              <w:rPr>
                <w:rFonts w:hint="eastAsia" w:ascii="宋体" w:hAnsi="宋体" w:eastAsia="宋体" w:cs="宋体"/>
                <w:kern w:val="2"/>
                <w:sz w:val="21"/>
                <w:szCs w:val="21"/>
                <w:highlight w:val="none"/>
              </w:rPr>
              <w:t>序号</w:t>
            </w:r>
          </w:p>
        </w:tc>
        <w:tc>
          <w:tcPr>
            <w:tcW w:w="992" w:type="dxa"/>
            <w:tcBorders>
              <w:right w:val="single" w:color="auto" w:sz="4" w:space="0"/>
            </w:tcBorders>
            <w:vAlign w:val="center"/>
          </w:tcPr>
          <w:p w14:paraId="4B15F9E9">
            <w:pPr>
              <w:pStyle w:val="15"/>
              <w:spacing w:line="360" w:lineRule="auto"/>
              <w:ind w:firstLine="0" w:firstLineChars="0"/>
              <w:contextualSpacing/>
              <w:jc w:val="center"/>
              <w:rPr>
                <w:rFonts w:ascii="宋体" w:hAnsi="宋体" w:eastAsia="宋体" w:cs="宋体"/>
                <w:kern w:val="2"/>
                <w:sz w:val="21"/>
                <w:szCs w:val="21"/>
                <w:highlight w:val="none"/>
              </w:rPr>
            </w:pPr>
            <w:r>
              <w:rPr>
                <w:rFonts w:hint="eastAsia" w:ascii="宋体" w:hAnsi="宋体" w:eastAsia="宋体" w:cs="宋体"/>
                <w:kern w:val="2"/>
                <w:sz w:val="21"/>
                <w:szCs w:val="21"/>
                <w:highlight w:val="none"/>
              </w:rPr>
              <w:t>名称</w:t>
            </w:r>
          </w:p>
        </w:tc>
        <w:tc>
          <w:tcPr>
            <w:tcW w:w="3292" w:type="dxa"/>
            <w:tcBorders>
              <w:left w:val="single" w:color="auto" w:sz="4" w:space="0"/>
            </w:tcBorders>
            <w:vAlign w:val="center"/>
          </w:tcPr>
          <w:p w14:paraId="12C286AD">
            <w:pPr>
              <w:pStyle w:val="15"/>
              <w:spacing w:line="360" w:lineRule="auto"/>
              <w:ind w:firstLine="0" w:firstLineChars="0"/>
              <w:contextualSpacing/>
              <w:jc w:val="center"/>
              <w:rPr>
                <w:rFonts w:ascii="宋体" w:hAnsi="宋体" w:eastAsia="宋体" w:cs="宋体"/>
                <w:kern w:val="2"/>
                <w:sz w:val="21"/>
                <w:szCs w:val="21"/>
                <w:highlight w:val="none"/>
              </w:rPr>
            </w:pPr>
            <w:r>
              <w:rPr>
                <w:rFonts w:hint="eastAsia" w:ascii="宋体" w:hAnsi="宋体" w:eastAsia="宋体" w:cs="宋体"/>
                <w:kern w:val="2"/>
                <w:sz w:val="21"/>
                <w:szCs w:val="21"/>
                <w:highlight w:val="none"/>
              </w:rPr>
              <w:t>服务要求</w:t>
            </w:r>
          </w:p>
        </w:tc>
        <w:tc>
          <w:tcPr>
            <w:tcW w:w="2963" w:type="dxa"/>
            <w:vAlign w:val="center"/>
          </w:tcPr>
          <w:p w14:paraId="3A462EBD">
            <w:pPr>
              <w:pStyle w:val="15"/>
              <w:spacing w:line="360" w:lineRule="auto"/>
              <w:ind w:firstLine="0" w:firstLineChars="0"/>
              <w:contextualSpacing/>
              <w:jc w:val="center"/>
              <w:rPr>
                <w:rFonts w:ascii="宋体" w:hAnsi="宋体" w:eastAsia="宋体" w:cs="宋体"/>
                <w:kern w:val="2"/>
                <w:sz w:val="21"/>
                <w:szCs w:val="21"/>
                <w:highlight w:val="none"/>
              </w:rPr>
            </w:pPr>
            <w:r>
              <w:rPr>
                <w:rFonts w:hint="eastAsia" w:ascii="宋体" w:hAnsi="宋体" w:eastAsia="宋体" w:cs="宋体"/>
                <w:kern w:val="2"/>
                <w:sz w:val="21"/>
                <w:szCs w:val="21"/>
                <w:highlight w:val="none"/>
              </w:rPr>
              <w:t>供应商的响应</w:t>
            </w:r>
          </w:p>
        </w:tc>
        <w:tc>
          <w:tcPr>
            <w:tcW w:w="1616" w:type="dxa"/>
            <w:vAlign w:val="center"/>
          </w:tcPr>
          <w:p w14:paraId="0003E259">
            <w:pPr>
              <w:pStyle w:val="15"/>
              <w:spacing w:line="360" w:lineRule="auto"/>
              <w:ind w:firstLine="0" w:firstLineChars="0"/>
              <w:contextualSpacing/>
              <w:jc w:val="center"/>
              <w:rPr>
                <w:rFonts w:ascii="宋体" w:hAnsi="宋体" w:eastAsia="宋体" w:cs="宋体"/>
                <w:kern w:val="2"/>
                <w:sz w:val="21"/>
                <w:szCs w:val="21"/>
                <w:highlight w:val="none"/>
              </w:rPr>
            </w:pPr>
            <w:r>
              <w:rPr>
                <w:rFonts w:hint="eastAsia" w:ascii="宋体" w:hAnsi="宋体" w:eastAsia="宋体" w:cs="宋体"/>
                <w:kern w:val="2"/>
                <w:sz w:val="21"/>
                <w:szCs w:val="21"/>
                <w:highlight w:val="none"/>
              </w:rPr>
              <w:t>偏离说明</w:t>
            </w:r>
          </w:p>
        </w:tc>
      </w:tr>
      <w:tr w14:paraId="3D0A6CB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91" w:type="dxa"/>
            <w:vAlign w:val="center"/>
          </w:tcPr>
          <w:p w14:paraId="7A13C3D9">
            <w:pPr>
              <w:pStyle w:val="15"/>
              <w:spacing w:line="360" w:lineRule="auto"/>
              <w:ind w:firstLine="0" w:firstLineChars="0"/>
              <w:contextualSpacing/>
              <w:jc w:val="center"/>
              <w:rPr>
                <w:rFonts w:ascii="宋体" w:hAnsi="宋体" w:eastAsia="宋体" w:cs="宋体"/>
                <w:kern w:val="2"/>
                <w:sz w:val="21"/>
                <w:szCs w:val="21"/>
                <w:highlight w:val="none"/>
              </w:rPr>
            </w:pPr>
            <w:r>
              <w:rPr>
                <w:rFonts w:hint="eastAsia" w:ascii="宋体" w:hAnsi="宋体" w:eastAsia="宋体" w:cs="宋体"/>
                <w:kern w:val="2"/>
                <w:sz w:val="21"/>
                <w:szCs w:val="21"/>
                <w:highlight w:val="none"/>
              </w:rPr>
              <w:t>1</w:t>
            </w:r>
          </w:p>
        </w:tc>
        <w:tc>
          <w:tcPr>
            <w:tcW w:w="992" w:type="dxa"/>
            <w:tcBorders>
              <w:right w:val="single" w:color="auto" w:sz="4" w:space="0"/>
            </w:tcBorders>
            <w:vAlign w:val="center"/>
          </w:tcPr>
          <w:p w14:paraId="168760F9">
            <w:pPr>
              <w:pStyle w:val="15"/>
              <w:spacing w:line="360" w:lineRule="auto"/>
              <w:ind w:firstLine="0" w:firstLineChars="0"/>
              <w:contextualSpacing/>
              <w:jc w:val="center"/>
              <w:rPr>
                <w:rFonts w:ascii="宋体" w:hAnsi="宋体" w:eastAsia="宋体" w:cs="宋体"/>
                <w:kern w:val="2"/>
                <w:sz w:val="21"/>
                <w:szCs w:val="21"/>
                <w:highlight w:val="none"/>
              </w:rPr>
            </w:pPr>
          </w:p>
        </w:tc>
        <w:tc>
          <w:tcPr>
            <w:tcW w:w="3292" w:type="dxa"/>
            <w:tcBorders>
              <w:left w:val="single" w:color="auto" w:sz="4" w:space="0"/>
            </w:tcBorders>
            <w:vAlign w:val="center"/>
          </w:tcPr>
          <w:p w14:paraId="2393EDFF">
            <w:pPr>
              <w:pStyle w:val="15"/>
              <w:spacing w:line="360" w:lineRule="auto"/>
              <w:ind w:firstLine="0" w:firstLineChars="0"/>
              <w:contextualSpacing/>
              <w:jc w:val="center"/>
              <w:rPr>
                <w:rFonts w:ascii="宋体" w:hAnsi="宋体" w:eastAsia="宋体" w:cs="宋体"/>
                <w:kern w:val="2"/>
                <w:sz w:val="21"/>
                <w:szCs w:val="21"/>
                <w:highlight w:val="none"/>
              </w:rPr>
            </w:pPr>
          </w:p>
        </w:tc>
        <w:tc>
          <w:tcPr>
            <w:tcW w:w="2963" w:type="dxa"/>
            <w:vAlign w:val="center"/>
          </w:tcPr>
          <w:p w14:paraId="29014E9E">
            <w:pPr>
              <w:pStyle w:val="15"/>
              <w:spacing w:line="360" w:lineRule="auto"/>
              <w:ind w:firstLine="0" w:firstLineChars="0"/>
              <w:contextualSpacing/>
              <w:jc w:val="center"/>
              <w:rPr>
                <w:rFonts w:ascii="宋体" w:hAnsi="宋体" w:eastAsia="宋体" w:cs="宋体"/>
                <w:kern w:val="2"/>
                <w:sz w:val="21"/>
                <w:szCs w:val="21"/>
                <w:highlight w:val="none"/>
              </w:rPr>
            </w:pPr>
          </w:p>
        </w:tc>
        <w:tc>
          <w:tcPr>
            <w:tcW w:w="1616" w:type="dxa"/>
            <w:vAlign w:val="center"/>
          </w:tcPr>
          <w:p w14:paraId="42D1C896">
            <w:pPr>
              <w:pStyle w:val="15"/>
              <w:spacing w:line="360" w:lineRule="auto"/>
              <w:ind w:firstLine="0" w:firstLineChars="0"/>
              <w:contextualSpacing/>
              <w:jc w:val="center"/>
              <w:rPr>
                <w:rFonts w:ascii="宋体" w:hAnsi="宋体" w:eastAsia="宋体" w:cs="宋体"/>
                <w:kern w:val="2"/>
                <w:sz w:val="21"/>
                <w:szCs w:val="21"/>
                <w:highlight w:val="none"/>
              </w:rPr>
            </w:pPr>
          </w:p>
        </w:tc>
      </w:tr>
      <w:tr w14:paraId="32542E1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91" w:type="dxa"/>
            <w:vAlign w:val="center"/>
          </w:tcPr>
          <w:p w14:paraId="62943A9C">
            <w:pPr>
              <w:pStyle w:val="15"/>
              <w:spacing w:line="360" w:lineRule="auto"/>
              <w:ind w:firstLine="0" w:firstLineChars="0"/>
              <w:contextualSpacing/>
              <w:jc w:val="center"/>
              <w:rPr>
                <w:rFonts w:ascii="宋体" w:hAnsi="宋体" w:eastAsia="宋体" w:cs="宋体"/>
                <w:kern w:val="2"/>
                <w:sz w:val="21"/>
                <w:szCs w:val="21"/>
                <w:highlight w:val="none"/>
              </w:rPr>
            </w:pPr>
            <w:r>
              <w:rPr>
                <w:rFonts w:hint="eastAsia" w:ascii="宋体" w:hAnsi="宋体" w:eastAsia="宋体" w:cs="宋体"/>
                <w:kern w:val="2"/>
                <w:sz w:val="21"/>
                <w:szCs w:val="21"/>
                <w:highlight w:val="none"/>
              </w:rPr>
              <w:t>2</w:t>
            </w:r>
          </w:p>
        </w:tc>
        <w:tc>
          <w:tcPr>
            <w:tcW w:w="992" w:type="dxa"/>
            <w:tcBorders>
              <w:right w:val="single" w:color="auto" w:sz="4" w:space="0"/>
            </w:tcBorders>
            <w:vAlign w:val="center"/>
          </w:tcPr>
          <w:p w14:paraId="2956DD9F">
            <w:pPr>
              <w:pStyle w:val="15"/>
              <w:spacing w:line="360" w:lineRule="auto"/>
              <w:ind w:firstLine="0" w:firstLineChars="0"/>
              <w:contextualSpacing/>
              <w:jc w:val="center"/>
              <w:rPr>
                <w:rFonts w:ascii="宋体" w:hAnsi="宋体" w:eastAsia="宋体" w:cs="宋体"/>
                <w:kern w:val="2"/>
                <w:sz w:val="21"/>
                <w:szCs w:val="21"/>
                <w:highlight w:val="none"/>
              </w:rPr>
            </w:pPr>
          </w:p>
        </w:tc>
        <w:tc>
          <w:tcPr>
            <w:tcW w:w="3292" w:type="dxa"/>
            <w:tcBorders>
              <w:left w:val="single" w:color="auto" w:sz="4" w:space="0"/>
            </w:tcBorders>
            <w:vAlign w:val="center"/>
          </w:tcPr>
          <w:p w14:paraId="101B2E07">
            <w:pPr>
              <w:pStyle w:val="15"/>
              <w:spacing w:line="360" w:lineRule="auto"/>
              <w:ind w:firstLine="0" w:firstLineChars="0"/>
              <w:contextualSpacing/>
              <w:jc w:val="center"/>
              <w:rPr>
                <w:rFonts w:ascii="宋体" w:hAnsi="宋体" w:eastAsia="宋体" w:cs="宋体"/>
                <w:kern w:val="2"/>
                <w:sz w:val="21"/>
                <w:szCs w:val="21"/>
                <w:highlight w:val="none"/>
              </w:rPr>
            </w:pPr>
          </w:p>
        </w:tc>
        <w:tc>
          <w:tcPr>
            <w:tcW w:w="2963" w:type="dxa"/>
            <w:vAlign w:val="center"/>
          </w:tcPr>
          <w:p w14:paraId="088980FA">
            <w:pPr>
              <w:pStyle w:val="15"/>
              <w:spacing w:line="360" w:lineRule="auto"/>
              <w:ind w:firstLine="0" w:firstLineChars="0"/>
              <w:contextualSpacing/>
              <w:jc w:val="center"/>
              <w:rPr>
                <w:rFonts w:ascii="宋体" w:hAnsi="宋体" w:eastAsia="宋体" w:cs="宋体"/>
                <w:kern w:val="2"/>
                <w:sz w:val="21"/>
                <w:szCs w:val="21"/>
                <w:highlight w:val="none"/>
              </w:rPr>
            </w:pPr>
          </w:p>
        </w:tc>
        <w:tc>
          <w:tcPr>
            <w:tcW w:w="1616" w:type="dxa"/>
            <w:vAlign w:val="center"/>
          </w:tcPr>
          <w:p w14:paraId="6D213C09">
            <w:pPr>
              <w:pStyle w:val="15"/>
              <w:spacing w:line="360" w:lineRule="auto"/>
              <w:ind w:firstLine="0" w:firstLineChars="0"/>
              <w:contextualSpacing/>
              <w:jc w:val="center"/>
              <w:rPr>
                <w:rFonts w:ascii="宋体" w:hAnsi="宋体" w:eastAsia="宋体" w:cs="宋体"/>
                <w:kern w:val="2"/>
                <w:sz w:val="21"/>
                <w:szCs w:val="21"/>
                <w:highlight w:val="none"/>
              </w:rPr>
            </w:pPr>
          </w:p>
        </w:tc>
      </w:tr>
      <w:tr w14:paraId="38AC7D4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91" w:type="dxa"/>
            <w:vAlign w:val="center"/>
          </w:tcPr>
          <w:p w14:paraId="481CF7B5">
            <w:pPr>
              <w:pStyle w:val="15"/>
              <w:spacing w:line="360" w:lineRule="auto"/>
              <w:ind w:firstLine="0" w:firstLineChars="0"/>
              <w:contextualSpacing/>
              <w:jc w:val="center"/>
              <w:rPr>
                <w:rFonts w:ascii="宋体" w:hAnsi="宋体" w:eastAsia="宋体" w:cs="宋体"/>
                <w:kern w:val="2"/>
                <w:sz w:val="21"/>
                <w:szCs w:val="21"/>
                <w:highlight w:val="none"/>
              </w:rPr>
            </w:pPr>
            <w:r>
              <w:rPr>
                <w:rFonts w:hint="eastAsia" w:ascii="宋体" w:hAnsi="宋体" w:eastAsia="宋体" w:cs="宋体"/>
                <w:kern w:val="2"/>
                <w:sz w:val="21"/>
                <w:szCs w:val="21"/>
                <w:highlight w:val="none"/>
              </w:rPr>
              <w:t>3</w:t>
            </w:r>
          </w:p>
        </w:tc>
        <w:tc>
          <w:tcPr>
            <w:tcW w:w="992" w:type="dxa"/>
            <w:tcBorders>
              <w:right w:val="single" w:color="auto" w:sz="4" w:space="0"/>
            </w:tcBorders>
            <w:vAlign w:val="center"/>
          </w:tcPr>
          <w:p w14:paraId="08EB7477">
            <w:pPr>
              <w:pStyle w:val="15"/>
              <w:spacing w:line="360" w:lineRule="auto"/>
              <w:ind w:firstLine="0" w:firstLineChars="0"/>
              <w:contextualSpacing/>
              <w:jc w:val="center"/>
              <w:rPr>
                <w:rFonts w:ascii="宋体" w:hAnsi="宋体" w:eastAsia="宋体" w:cs="宋体"/>
                <w:kern w:val="2"/>
                <w:sz w:val="21"/>
                <w:szCs w:val="21"/>
                <w:highlight w:val="none"/>
              </w:rPr>
            </w:pPr>
          </w:p>
        </w:tc>
        <w:tc>
          <w:tcPr>
            <w:tcW w:w="3292" w:type="dxa"/>
            <w:tcBorders>
              <w:left w:val="single" w:color="auto" w:sz="4" w:space="0"/>
            </w:tcBorders>
            <w:vAlign w:val="center"/>
          </w:tcPr>
          <w:p w14:paraId="1EBD03ED">
            <w:pPr>
              <w:pStyle w:val="15"/>
              <w:spacing w:line="360" w:lineRule="auto"/>
              <w:ind w:firstLine="0" w:firstLineChars="0"/>
              <w:contextualSpacing/>
              <w:jc w:val="center"/>
              <w:rPr>
                <w:rFonts w:ascii="宋体" w:hAnsi="宋体" w:eastAsia="宋体" w:cs="宋体"/>
                <w:kern w:val="2"/>
                <w:sz w:val="21"/>
                <w:szCs w:val="21"/>
                <w:highlight w:val="none"/>
              </w:rPr>
            </w:pPr>
          </w:p>
        </w:tc>
        <w:tc>
          <w:tcPr>
            <w:tcW w:w="2963" w:type="dxa"/>
            <w:vAlign w:val="center"/>
          </w:tcPr>
          <w:p w14:paraId="0F9A2CE2">
            <w:pPr>
              <w:pStyle w:val="15"/>
              <w:spacing w:line="360" w:lineRule="auto"/>
              <w:ind w:firstLine="0" w:firstLineChars="0"/>
              <w:contextualSpacing/>
              <w:jc w:val="center"/>
              <w:rPr>
                <w:rFonts w:ascii="宋体" w:hAnsi="宋体" w:eastAsia="宋体" w:cs="宋体"/>
                <w:kern w:val="2"/>
                <w:sz w:val="21"/>
                <w:szCs w:val="21"/>
                <w:highlight w:val="none"/>
              </w:rPr>
            </w:pPr>
          </w:p>
        </w:tc>
        <w:tc>
          <w:tcPr>
            <w:tcW w:w="1616" w:type="dxa"/>
            <w:vAlign w:val="center"/>
          </w:tcPr>
          <w:p w14:paraId="038E2C60">
            <w:pPr>
              <w:pStyle w:val="15"/>
              <w:spacing w:line="360" w:lineRule="auto"/>
              <w:ind w:firstLine="0" w:firstLineChars="0"/>
              <w:contextualSpacing/>
              <w:jc w:val="center"/>
              <w:rPr>
                <w:rFonts w:ascii="宋体" w:hAnsi="宋体" w:eastAsia="宋体" w:cs="宋体"/>
                <w:kern w:val="2"/>
                <w:sz w:val="21"/>
                <w:szCs w:val="21"/>
                <w:highlight w:val="none"/>
              </w:rPr>
            </w:pPr>
          </w:p>
        </w:tc>
      </w:tr>
      <w:tr w14:paraId="379AB44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91" w:type="dxa"/>
            <w:vAlign w:val="center"/>
          </w:tcPr>
          <w:p w14:paraId="1781CA4E">
            <w:pPr>
              <w:pStyle w:val="15"/>
              <w:spacing w:line="360" w:lineRule="auto"/>
              <w:ind w:firstLine="0" w:firstLineChars="0"/>
              <w:contextualSpacing/>
              <w:jc w:val="center"/>
              <w:rPr>
                <w:rFonts w:ascii="宋体" w:hAnsi="宋体" w:eastAsia="宋体" w:cs="宋体"/>
                <w:kern w:val="2"/>
                <w:sz w:val="21"/>
                <w:szCs w:val="21"/>
                <w:highlight w:val="none"/>
              </w:rPr>
            </w:pPr>
            <w:r>
              <w:rPr>
                <w:rFonts w:hint="eastAsia" w:ascii="宋体" w:hAnsi="宋体" w:eastAsia="宋体" w:cs="宋体"/>
                <w:kern w:val="2"/>
                <w:sz w:val="21"/>
                <w:szCs w:val="21"/>
                <w:highlight w:val="none"/>
              </w:rPr>
              <w:t>4</w:t>
            </w:r>
          </w:p>
        </w:tc>
        <w:tc>
          <w:tcPr>
            <w:tcW w:w="992" w:type="dxa"/>
            <w:tcBorders>
              <w:right w:val="single" w:color="auto" w:sz="4" w:space="0"/>
            </w:tcBorders>
            <w:vAlign w:val="center"/>
          </w:tcPr>
          <w:p w14:paraId="1D74E580">
            <w:pPr>
              <w:pStyle w:val="15"/>
              <w:spacing w:line="360" w:lineRule="auto"/>
              <w:ind w:firstLine="0" w:firstLineChars="0"/>
              <w:contextualSpacing/>
              <w:jc w:val="center"/>
              <w:rPr>
                <w:rFonts w:ascii="宋体" w:hAnsi="宋体" w:eastAsia="宋体" w:cs="宋体"/>
                <w:kern w:val="2"/>
                <w:sz w:val="21"/>
                <w:szCs w:val="21"/>
                <w:highlight w:val="none"/>
              </w:rPr>
            </w:pPr>
          </w:p>
        </w:tc>
        <w:tc>
          <w:tcPr>
            <w:tcW w:w="3292" w:type="dxa"/>
            <w:tcBorders>
              <w:left w:val="single" w:color="auto" w:sz="4" w:space="0"/>
            </w:tcBorders>
            <w:vAlign w:val="center"/>
          </w:tcPr>
          <w:p w14:paraId="38C55CD6">
            <w:pPr>
              <w:pStyle w:val="15"/>
              <w:spacing w:line="360" w:lineRule="auto"/>
              <w:ind w:firstLine="0" w:firstLineChars="0"/>
              <w:contextualSpacing/>
              <w:jc w:val="center"/>
              <w:rPr>
                <w:rFonts w:ascii="宋体" w:hAnsi="宋体" w:eastAsia="宋体" w:cs="宋体"/>
                <w:kern w:val="2"/>
                <w:sz w:val="21"/>
                <w:szCs w:val="21"/>
                <w:highlight w:val="none"/>
              </w:rPr>
            </w:pPr>
          </w:p>
        </w:tc>
        <w:tc>
          <w:tcPr>
            <w:tcW w:w="2963" w:type="dxa"/>
            <w:vAlign w:val="center"/>
          </w:tcPr>
          <w:p w14:paraId="2F55FC1B">
            <w:pPr>
              <w:pStyle w:val="15"/>
              <w:spacing w:line="360" w:lineRule="auto"/>
              <w:ind w:firstLine="0" w:firstLineChars="0"/>
              <w:contextualSpacing/>
              <w:jc w:val="center"/>
              <w:rPr>
                <w:rFonts w:ascii="宋体" w:hAnsi="宋体" w:eastAsia="宋体" w:cs="宋体"/>
                <w:kern w:val="2"/>
                <w:sz w:val="21"/>
                <w:szCs w:val="21"/>
                <w:highlight w:val="none"/>
              </w:rPr>
            </w:pPr>
          </w:p>
        </w:tc>
        <w:tc>
          <w:tcPr>
            <w:tcW w:w="1616" w:type="dxa"/>
            <w:vAlign w:val="center"/>
          </w:tcPr>
          <w:p w14:paraId="0B3F30A1">
            <w:pPr>
              <w:pStyle w:val="15"/>
              <w:spacing w:line="360" w:lineRule="auto"/>
              <w:ind w:firstLine="0" w:firstLineChars="0"/>
              <w:contextualSpacing/>
              <w:jc w:val="center"/>
              <w:rPr>
                <w:rFonts w:ascii="宋体" w:hAnsi="宋体" w:eastAsia="宋体" w:cs="宋体"/>
                <w:kern w:val="2"/>
                <w:sz w:val="21"/>
                <w:szCs w:val="21"/>
                <w:highlight w:val="none"/>
              </w:rPr>
            </w:pPr>
          </w:p>
        </w:tc>
      </w:tr>
      <w:tr w14:paraId="659D5C7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91" w:type="dxa"/>
            <w:vAlign w:val="center"/>
          </w:tcPr>
          <w:p w14:paraId="698C6D73">
            <w:pPr>
              <w:pStyle w:val="15"/>
              <w:spacing w:line="360" w:lineRule="auto"/>
              <w:ind w:firstLine="0" w:firstLineChars="0"/>
              <w:contextualSpacing/>
              <w:jc w:val="center"/>
              <w:rPr>
                <w:rFonts w:ascii="宋体" w:hAnsi="宋体" w:eastAsia="宋体" w:cs="宋体"/>
                <w:kern w:val="2"/>
                <w:sz w:val="21"/>
                <w:szCs w:val="21"/>
                <w:highlight w:val="none"/>
              </w:rPr>
            </w:pPr>
            <w:r>
              <w:rPr>
                <w:rFonts w:hint="eastAsia" w:ascii="宋体" w:hAnsi="宋体" w:eastAsia="宋体" w:cs="宋体"/>
                <w:kern w:val="2"/>
                <w:sz w:val="21"/>
                <w:szCs w:val="21"/>
                <w:highlight w:val="none"/>
              </w:rPr>
              <w:t>5</w:t>
            </w:r>
          </w:p>
        </w:tc>
        <w:tc>
          <w:tcPr>
            <w:tcW w:w="992" w:type="dxa"/>
            <w:tcBorders>
              <w:right w:val="single" w:color="auto" w:sz="4" w:space="0"/>
            </w:tcBorders>
            <w:vAlign w:val="center"/>
          </w:tcPr>
          <w:p w14:paraId="4077B02B">
            <w:pPr>
              <w:pStyle w:val="15"/>
              <w:spacing w:line="360" w:lineRule="auto"/>
              <w:ind w:firstLine="0" w:firstLineChars="0"/>
              <w:contextualSpacing/>
              <w:jc w:val="center"/>
              <w:rPr>
                <w:rFonts w:ascii="宋体" w:hAnsi="宋体" w:eastAsia="宋体" w:cs="宋体"/>
                <w:kern w:val="2"/>
                <w:sz w:val="21"/>
                <w:szCs w:val="21"/>
                <w:highlight w:val="none"/>
              </w:rPr>
            </w:pPr>
          </w:p>
        </w:tc>
        <w:tc>
          <w:tcPr>
            <w:tcW w:w="3292" w:type="dxa"/>
            <w:tcBorders>
              <w:left w:val="single" w:color="auto" w:sz="4" w:space="0"/>
            </w:tcBorders>
            <w:vAlign w:val="center"/>
          </w:tcPr>
          <w:p w14:paraId="57E973DF">
            <w:pPr>
              <w:pStyle w:val="15"/>
              <w:spacing w:line="360" w:lineRule="auto"/>
              <w:ind w:firstLine="0" w:firstLineChars="0"/>
              <w:contextualSpacing/>
              <w:jc w:val="center"/>
              <w:rPr>
                <w:rFonts w:ascii="宋体" w:hAnsi="宋体" w:eastAsia="宋体" w:cs="宋体"/>
                <w:kern w:val="2"/>
                <w:sz w:val="21"/>
                <w:szCs w:val="21"/>
                <w:highlight w:val="none"/>
              </w:rPr>
            </w:pPr>
          </w:p>
        </w:tc>
        <w:tc>
          <w:tcPr>
            <w:tcW w:w="2963" w:type="dxa"/>
            <w:vAlign w:val="center"/>
          </w:tcPr>
          <w:p w14:paraId="264BCBE4">
            <w:pPr>
              <w:pStyle w:val="15"/>
              <w:spacing w:line="360" w:lineRule="auto"/>
              <w:ind w:firstLine="0" w:firstLineChars="0"/>
              <w:contextualSpacing/>
              <w:jc w:val="center"/>
              <w:rPr>
                <w:rFonts w:ascii="宋体" w:hAnsi="宋体" w:eastAsia="宋体" w:cs="宋体"/>
                <w:kern w:val="2"/>
                <w:sz w:val="21"/>
                <w:szCs w:val="21"/>
                <w:highlight w:val="none"/>
              </w:rPr>
            </w:pPr>
          </w:p>
        </w:tc>
        <w:tc>
          <w:tcPr>
            <w:tcW w:w="1616" w:type="dxa"/>
            <w:vAlign w:val="center"/>
          </w:tcPr>
          <w:p w14:paraId="356FB02F">
            <w:pPr>
              <w:pStyle w:val="15"/>
              <w:spacing w:line="360" w:lineRule="auto"/>
              <w:ind w:firstLine="0" w:firstLineChars="0"/>
              <w:contextualSpacing/>
              <w:jc w:val="center"/>
              <w:rPr>
                <w:rFonts w:ascii="宋体" w:hAnsi="宋体" w:eastAsia="宋体" w:cs="宋体"/>
                <w:kern w:val="2"/>
                <w:sz w:val="21"/>
                <w:szCs w:val="21"/>
                <w:highlight w:val="none"/>
              </w:rPr>
            </w:pPr>
          </w:p>
        </w:tc>
      </w:tr>
      <w:tr w14:paraId="68E830E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991" w:type="dxa"/>
            <w:vAlign w:val="center"/>
          </w:tcPr>
          <w:p w14:paraId="2CE26739">
            <w:pPr>
              <w:pStyle w:val="15"/>
              <w:spacing w:line="360" w:lineRule="auto"/>
              <w:ind w:firstLine="0" w:firstLineChars="0"/>
              <w:contextualSpacing/>
              <w:jc w:val="center"/>
              <w:rPr>
                <w:rFonts w:ascii="宋体" w:hAnsi="宋体" w:eastAsia="宋体" w:cs="宋体"/>
                <w:kern w:val="2"/>
                <w:sz w:val="21"/>
                <w:szCs w:val="21"/>
                <w:highlight w:val="none"/>
              </w:rPr>
            </w:pPr>
            <w:r>
              <w:rPr>
                <w:rFonts w:hint="eastAsia" w:ascii="宋体" w:hAnsi="宋体" w:eastAsia="宋体" w:cs="宋体"/>
                <w:kern w:val="2"/>
                <w:sz w:val="21"/>
                <w:szCs w:val="21"/>
                <w:highlight w:val="none"/>
              </w:rPr>
              <w:t>…</w:t>
            </w:r>
          </w:p>
        </w:tc>
        <w:tc>
          <w:tcPr>
            <w:tcW w:w="992" w:type="dxa"/>
            <w:tcBorders>
              <w:right w:val="single" w:color="auto" w:sz="4" w:space="0"/>
            </w:tcBorders>
            <w:vAlign w:val="center"/>
          </w:tcPr>
          <w:p w14:paraId="501C4582">
            <w:pPr>
              <w:pStyle w:val="15"/>
              <w:spacing w:line="360" w:lineRule="auto"/>
              <w:ind w:firstLine="0" w:firstLineChars="0"/>
              <w:contextualSpacing/>
              <w:jc w:val="center"/>
              <w:rPr>
                <w:rFonts w:ascii="宋体" w:hAnsi="宋体" w:eastAsia="宋体" w:cs="宋体"/>
                <w:kern w:val="2"/>
                <w:sz w:val="21"/>
                <w:szCs w:val="21"/>
                <w:highlight w:val="none"/>
              </w:rPr>
            </w:pPr>
          </w:p>
        </w:tc>
        <w:tc>
          <w:tcPr>
            <w:tcW w:w="3292" w:type="dxa"/>
            <w:tcBorders>
              <w:left w:val="single" w:color="auto" w:sz="4" w:space="0"/>
            </w:tcBorders>
            <w:vAlign w:val="center"/>
          </w:tcPr>
          <w:p w14:paraId="5A8A3325">
            <w:pPr>
              <w:pStyle w:val="15"/>
              <w:spacing w:line="360" w:lineRule="auto"/>
              <w:ind w:firstLine="0" w:firstLineChars="0"/>
              <w:contextualSpacing/>
              <w:jc w:val="center"/>
              <w:rPr>
                <w:rFonts w:ascii="宋体" w:hAnsi="宋体" w:eastAsia="宋体" w:cs="宋体"/>
                <w:kern w:val="2"/>
                <w:sz w:val="21"/>
                <w:szCs w:val="21"/>
                <w:highlight w:val="none"/>
              </w:rPr>
            </w:pPr>
          </w:p>
        </w:tc>
        <w:tc>
          <w:tcPr>
            <w:tcW w:w="2963" w:type="dxa"/>
            <w:vAlign w:val="center"/>
          </w:tcPr>
          <w:p w14:paraId="0171AD89">
            <w:pPr>
              <w:pStyle w:val="15"/>
              <w:spacing w:line="360" w:lineRule="auto"/>
              <w:ind w:firstLine="0" w:firstLineChars="0"/>
              <w:contextualSpacing/>
              <w:jc w:val="center"/>
              <w:rPr>
                <w:rFonts w:ascii="宋体" w:hAnsi="宋体" w:eastAsia="宋体" w:cs="宋体"/>
                <w:kern w:val="2"/>
                <w:sz w:val="21"/>
                <w:szCs w:val="21"/>
                <w:highlight w:val="none"/>
              </w:rPr>
            </w:pPr>
          </w:p>
        </w:tc>
        <w:tc>
          <w:tcPr>
            <w:tcW w:w="1616" w:type="dxa"/>
            <w:tcBorders>
              <w:right w:val="single" w:color="auto" w:sz="4" w:space="0"/>
            </w:tcBorders>
            <w:vAlign w:val="center"/>
          </w:tcPr>
          <w:p w14:paraId="6D6B9F63">
            <w:pPr>
              <w:pStyle w:val="15"/>
              <w:spacing w:line="360" w:lineRule="auto"/>
              <w:ind w:firstLine="0" w:firstLineChars="0"/>
              <w:contextualSpacing/>
              <w:jc w:val="center"/>
              <w:rPr>
                <w:rFonts w:ascii="宋体" w:hAnsi="宋体" w:eastAsia="宋体" w:cs="宋体"/>
                <w:kern w:val="2"/>
                <w:sz w:val="21"/>
                <w:szCs w:val="21"/>
                <w:highlight w:val="none"/>
              </w:rPr>
            </w:pPr>
          </w:p>
        </w:tc>
      </w:tr>
    </w:tbl>
    <w:p w14:paraId="7A088D91">
      <w:pPr>
        <w:adjustRightInd w:val="0"/>
        <w:spacing w:line="360" w:lineRule="auto"/>
        <w:contextualSpacing/>
        <w:rPr>
          <w:rFonts w:ascii="宋体" w:hAnsi="宋体" w:cs="宋体"/>
          <w:sz w:val="21"/>
          <w:szCs w:val="21"/>
          <w:highlight w:val="none"/>
        </w:rPr>
      </w:pPr>
    </w:p>
    <w:p w14:paraId="67122E8F">
      <w:pPr>
        <w:pStyle w:val="15"/>
        <w:spacing w:line="360" w:lineRule="auto"/>
        <w:ind w:firstLine="0" w:firstLineChars="0"/>
        <w:contextualSpacing/>
        <w:rPr>
          <w:rFonts w:hint="eastAsia" w:ascii="宋体" w:hAnsi="宋体" w:eastAsia="宋体" w:cs="宋体"/>
          <w:b/>
          <w:sz w:val="21"/>
          <w:szCs w:val="21"/>
          <w:highlight w:val="none"/>
        </w:rPr>
      </w:pPr>
      <w:r>
        <w:rPr>
          <w:rFonts w:hint="eastAsia" w:ascii="宋体" w:hAnsi="宋体" w:eastAsia="宋体" w:cs="宋体"/>
          <w:b/>
          <w:sz w:val="21"/>
          <w:szCs w:val="21"/>
          <w:highlight w:val="none"/>
        </w:rPr>
        <w:t>注：</w:t>
      </w:r>
    </w:p>
    <w:p w14:paraId="5181A43C">
      <w:pPr>
        <w:pStyle w:val="15"/>
        <w:spacing w:line="360" w:lineRule="auto"/>
        <w:ind w:firstLine="0" w:firstLineChars="0"/>
        <w:contextualSpacing/>
        <w:rPr>
          <w:rFonts w:hint="eastAsia" w:ascii="宋体" w:hAnsi="宋体" w:eastAsia="宋体" w:cs="宋体"/>
          <w:sz w:val="21"/>
          <w:szCs w:val="21"/>
          <w:highlight w:val="none"/>
        </w:rPr>
      </w:pPr>
      <w:r>
        <w:rPr>
          <w:rFonts w:hint="eastAsia" w:ascii="宋体" w:hAnsi="宋体" w:eastAsia="宋体" w:cs="宋体"/>
          <w:sz w:val="21"/>
          <w:szCs w:val="21"/>
          <w:highlight w:val="none"/>
        </w:rPr>
        <w:t>1.说明：应对照磋商文件“第三章 采购需求”中的服务要求逐条作出明确响应，并作出偏离说明。</w:t>
      </w:r>
    </w:p>
    <w:p w14:paraId="12C98BAD">
      <w:pPr>
        <w:pStyle w:val="15"/>
        <w:spacing w:line="360" w:lineRule="auto"/>
        <w:ind w:firstLine="0" w:firstLineChars="0"/>
        <w:contextualSpacing/>
        <w:rPr>
          <w:rFonts w:hint="eastAsia" w:ascii="宋体" w:hAnsi="宋体" w:eastAsia="宋体" w:cs="宋体"/>
          <w:sz w:val="21"/>
          <w:szCs w:val="21"/>
          <w:highlight w:val="none"/>
        </w:rPr>
      </w:pPr>
      <w:r>
        <w:rPr>
          <w:rFonts w:hint="eastAsia" w:ascii="宋体" w:hAnsi="宋体" w:eastAsia="宋体" w:cs="宋体"/>
          <w:sz w:val="21"/>
          <w:szCs w:val="21"/>
          <w:highlight w:val="none"/>
        </w:rPr>
        <w:t>2.供应商应根据自身的承诺，对照磋商文件要求，在“偏离说明”中注明“正偏离”、“负偏离”或者“无偏离”。既不属于“正偏离”也不属于“负偏离”即为“无偏离”。</w:t>
      </w:r>
    </w:p>
    <w:p w14:paraId="0FDADDBB">
      <w:pPr>
        <w:spacing w:line="360" w:lineRule="auto"/>
        <w:ind w:right="-817" w:rightChars="-389"/>
        <w:contextualSpacing/>
        <w:rPr>
          <w:rFonts w:ascii="宋体" w:hAnsi="宋体" w:cs="宋体"/>
          <w:sz w:val="21"/>
          <w:szCs w:val="21"/>
          <w:highlight w:val="none"/>
        </w:rPr>
      </w:pPr>
    </w:p>
    <w:p w14:paraId="1DAD7754">
      <w:pPr>
        <w:spacing w:line="360" w:lineRule="auto"/>
        <w:ind w:right="-817" w:rightChars="-389" w:firstLine="840" w:firstLineChars="400"/>
        <w:contextualSpacing/>
        <w:rPr>
          <w:rFonts w:ascii="宋体" w:hAnsi="宋体" w:cs="宋体"/>
          <w:sz w:val="21"/>
          <w:szCs w:val="21"/>
          <w:highlight w:val="none"/>
        </w:rPr>
      </w:pPr>
      <w:r>
        <w:rPr>
          <w:rFonts w:hint="eastAsia" w:ascii="宋体" w:hAnsi="宋体" w:cs="宋体"/>
          <w:sz w:val="21"/>
          <w:szCs w:val="21"/>
          <w:highlight w:val="none"/>
        </w:rPr>
        <w:t>法定代表人或者委托代理人（</w:t>
      </w:r>
      <w:r>
        <w:rPr>
          <w:rFonts w:hint="eastAsia" w:ascii="宋体" w:hAnsi="宋体" w:cs="宋体"/>
          <w:sz w:val="21"/>
          <w:szCs w:val="21"/>
          <w:highlight w:val="none"/>
          <w:lang w:eastAsia="zh-CN"/>
        </w:rPr>
        <w:t>签字或</w:t>
      </w:r>
      <w:r>
        <w:rPr>
          <w:rFonts w:hint="eastAsia" w:ascii="宋体" w:hAnsi="宋体" w:eastAsia="宋体" w:cs="宋体"/>
          <w:color w:val="auto"/>
          <w:sz w:val="21"/>
          <w:szCs w:val="21"/>
          <w:highlight w:val="none"/>
          <w:lang w:eastAsia="zh-CN"/>
        </w:rPr>
        <w:t>CA</w:t>
      </w:r>
      <w:r>
        <w:rPr>
          <w:rFonts w:hint="eastAsia" w:ascii="宋体" w:hAnsi="宋体" w:cs="宋体"/>
          <w:sz w:val="21"/>
          <w:szCs w:val="21"/>
          <w:highlight w:val="none"/>
          <w:lang w:eastAsia="zh-CN"/>
        </w:rPr>
        <w:t>签章</w:t>
      </w:r>
      <w:r>
        <w:rPr>
          <w:rFonts w:hint="eastAsia" w:ascii="宋体" w:hAnsi="宋体" w:cs="宋体"/>
          <w:sz w:val="21"/>
          <w:szCs w:val="21"/>
          <w:highlight w:val="none"/>
        </w:rPr>
        <w:t>）：</w:t>
      </w:r>
      <w:r>
        <w:rPr>
          <w:rFonts w:hint="eastAsia" w:ascii="宋体" w:hAnsi="宋体" w:cs="宋体"/>
          <w:sz w:val="21"/>
          <w:szCs w:val="21"/>
          <w:highlight w:val="none"/>
          <w:u w:val="single"/>
        </w:rPr>
        <w:t xml:space="preserve"> </w:t>
      </w:r>
      <w:r>
        <w:rPr>
          <w:rFonts w:ascii="宋体" w:hAnsi="宋体" w:cs="宋体"/>
          <w:sz w:val="21"/>
          <w:szCs w:val="21"/>
          <w:highlight w:val="none"/>
          <w:u w:val="single"/>
        </w:rPr>
        <w:t xml:space="preserve">                  </w:t>
      </w:r>
      <w:r>
        <w:rPr>
          <w:rFonts w:hint="eastAsia" w:ascii="宋体" w:hAnsi="宋体" w:cs="宋体"/>
          <w:sz w:val="21"/>
          <w:szCs w:val="21"/>
          <w:highlight w:val="none"/>
        </w:rPr>
        <w:t xml:space="preserve">                    </w:t>
      </w:r>
    </w:p>
    <w:p w14:paraId="0B8B70AE">
      <w:pPr>
        <w:spacing w:line="360" w:lineRule="auto"/>
        <w:ind w:right="-817" w:rightChars="-389" w:firstLine="2310" w:firstLineChars="1100"/>
        <w:contextualSpacing/>
        <w:rPr>
          <w:rFonts w:ascii="宋体" w:hAnsi="宋体" w:cs="宋体"/>
          <w:sz w:val="21"/>
          <w:szCs w:val="21"/>
          <w:highlight w:val="none"/>
        </w:rPr>
      </w:pPr>
      <w:r>
        <w:rPr>
          <w:rFonts w:hint="eastAsia" w:ascii="宋体" w:hAnsi="宋体" w:cs="宋体"/>
          <w:sz w:val="21"/>
          <w:szCs w:val="21"/>
          <w:highlight w:val="none"/>
        </w:rPr>
        <w:t>供应商（公章</w:t>
      </w:r>
      <w:r>
        <w:rPr>
          <w:rFonts w:hint="eastAsia" w:ascii="宋体" w:hAnsi="宋体" w:eastAsia="宋体" w:cs="宋体"/>
          <w:color w:val="auto"/>
          <w:sz w:val="21"/>
          <w:szCs w:val="21"/>
          <w:highlight w:val="none"/>
          <w:lang w:eastAsia="zh-CN"/>
        </w:rPr>
        <w:t>（CA签章）</w:t>
      </w:r>
      <w:r>
        <w:rPr>
          <w:rFonts w:hint="eastAsia" w:ascii="宋体" w:hAnsi="宋体" w:cs="宋体"/>
          <w:sz w:val="21"/>
          <w:szCs w:val="21"/>
          <w:highlight w:val="none"/>
        </w:rPr>
        <w:t>）：</w:t>
      </w:r>
      <w:r>
        <w:rPr>
          <w:rFonts w:hint="eastAsia" w:ascii="宋体" w:hAnsi="宋体" w:cs="宋体"/>
          <w:sz w:val="21"/>
          <w:szCs w:val="21"/>
          <w:highlight w:val="none"/>
          <w:u w:val="single"/>
        </w:rPr>
        <w:t xml:space="preserve"> </w:t>
      </w:r>
      <w:r>
        <w:rPr>
          <w:rFonts w:ascii="宋体" w:hAnsi="宋体" w:cs="宋体"/>
          <w:sz w:val="21"/>
          <w:szCs w:val="21"/>
          <w:highlight w:val="none"/>
          <w:u w:val="single"/>
        </w:rPr>
        <w:t xml:space="preserve">              </w:t>
      </w:r>
      <w:r>
        <w:rPr>
          <w:rFonts w:hint="eastAsia" w:ascii="宋体" w:hAnsi="宋体" w:cs="宋体"/>
          <w:sz w:val="21"/>
          <w:szCs w:val="21"/>
          <w:highlight w:val="none"/>
        </w:rPr>
        <w:t xml:space="preserve">      </w:t>
      </w:r>
    </w:p>
    <w:p w14:paraId="0E64728B">
      <w:pPr>
        <w:spacing w:line="360" w:lineRule="auto"/>
        <w:ind w:right="-817" w:rightChars="-389" w:firstLine="3570" w:firstLineChars="1700"/>
        <w:contextualSpacing/>
        <w:rPr>
          <w:rFonts w:ascii="宋体" w:hAnsi="宋体" w:cs="宋体"/>
          <w:sz w:val="21"/>
          <w:szCs w:val="21"/>
          <w:highlight w:val="none"/>
        </w:rPr>
      </w:pPr>
      <w:r>
        <w:rPr>
          <w:rFonts w:hint="eastAsia" w:ascii="宋体" w:hAnsi="宋体" w:cs="宋体"/>
          <w:sz w:val="21"/>
          <w:szCs w:val="21"/>
          <w:highlight w:val="none"/>
        </w:rPr>
        <w:t>日期：</w:t>
      </w:r>
      <w:r>
        <w:rPr>
          <w:rFonts w:hint="eastAsia" w:ascii="宋体" w:hAnsi="宋体" w:cs="宋体"/>
          <w:sz w:val="21"/>
          <w:szCs w:val="21"/>
          <w:highlight w:val="none"/>
          <w:u w:val="single"/>
        </w:rPr>
        <w:t xml:space="preserve">   </w:t>
      </w:r>
      <w:r>
        <w:rPr>
          <w:rFonts w:hint="eastAsia" w:ascii="宋体" w:hAnsi="宋体" w:cs="宋体"/>
          <w:sz w:val="21"/>
          <w:szCs w:val="21"/>
          <w:highlight w:val="none"/>
        </w:rPr>
        <w:t>年</w:t>
      </w:r>
      <w:r>
        <w:rPr>
          <w:rFonts w:hint="eastAsia" w:ascii="宋体" w:hAnsi="宋体" w:cs="宋体"/>
          <w:sz w:val="21"/>
          <w:szCs w:val="21"/>
          <w:highlight w:val="none"/>
          <w:u w:val="single"/>
        </w:rPr>
        <w:t xml:space="preserve">   </w:t>
      </w:r>
      <w:r>
        <w:rPr>
          <w:rFonts w:hint="eastAsia" w:ascii="宋体" w:hAnsi="宋体" w:cs="宋体"/>
          <w:sz w:val="21"/>
          <w:szCs w:val="21"/>
          <w:highlight w:val="none"/>
        </w:rPr>
        <w:t>月</w:t>
      </w:r>
      <w:r>
        <w:rPr>
          <w:rFonts w:hint="eastAsia" w:ascii="宋体" w:hAnsi="宋体" w:cs="宋体"/>
          <w:sz w:val="21"/>
          <w:szCs w:val="21"/>
          <w:highlight w:val="none"/>
          <w:u w:val="single"/>
        </w:rPr>
        <w:t xml:space="preserve">   </w:t>
      </w:r>
      <w:r>
        <w:rPr>
          <w:rFonts w:hint="eastAsia" w:ascii="宋体" w:hAnsi="宋体" w:cs="宋体"/>
          <w:sz w:val="21"/>
          <w:szCs w:val="21"/>
          <w:highlight w:val="none"/>
        </w:rPr>
        <w:t>日</w:t>
      </w:r>
    </w:p>
    <w:p w14:paraId="6B31856B">
      <w:pPr>
        <w:numPr>
          <w:ilvl w:val="0"/>
          <w:numId w:val="0"/>
        </w:numPr>
        <w:ind w:leftChars="0"/>
        <w:rPr>
          <w:rFonts w:hint="eastAsia"/>
          <w:highlight w:val="none"/>
          <w:lang w:val="en-US" w:eastAsia="zh-CN"/>
        </w:rPr>
      </w:pPr>
    </w:p>
    <w:p w14:paraId="733D0AC9">
      <w:pPr>
        <w:bidi w:val="0"/>
        <w:rPr>
          <w:rFonts w:hint="eastAsia"/>
          <w:highlight w:val="none"/>
          <w:lang w:val="en-US" w:eastAsia="zh-CN"/>
        </w:rPr>
      </w:pPr>
      <w:r>
        <w:rPr>
          <w:rFonts w:hint="eastAsia"/>
          <w:highlight w:val="none"/>
          <w:lang w:val="en-US" w:eastAsia="zh-CN"/>
        </w:rPr>
        <w:br w:type="page"/>
      </w:r>
    </w:p>
    <w:p w14:paraId="0A520F42">
      <w:pPr>
        <w:pStyle w:val="7"/>
        <w:rPr>
          <w:rFonts w:hint="eastAsia" w:ascii="Cambria" w:hAnsi="Cambria" w:eastAsia="宋体" w:cs="Times New Roman"/>
          <w:b/>
          <w:bCs/>
          <w:kern w:val="2"/>
          <w:sz w:val="32"/>
          <w:szCs w:val="32"/>
          <w:highlight w:val="none"/>
          <w:lang w:val="en-US" w:eastAsia="zh-CN" w:bidi="ar-SA"/>
        </w:rPr>
      </w:pPr>
    </w:p>
    <w:p w14:paraId="0EB81C7B">
      <w:pPr>
        <w:pStyle w:val="3"/>
        <w:numPr>
          <w:ilvl w:val="0"/>
          <w:numId w:val="0"/>
        </w:numPr>
        <w:bidi w:val="0"/>
        <w:ind w:leftChars="0"/>
        <w:rPr>
          <w:rFonts w:hint="eastAsia"/>
          <w:highlight w:val="none"/>
          <w:lang w:val="en-US" w:eastAsia="zh-CN"/>
        </w:rPr>
      </w:pPr>
      <w:r>
        <w:rPr>
          <w:rFonts w:hint="eastAsia"/>
          <w:highlight w:val="none"/>
          <w:lang w:val="en-US" w:eastAsia="zh-CN"/>
        </w:rPr>
        <w:t>6.项目实施方案；</w:t>
      </w:r>
    </w:p>
    <w:p w14:paraId="57BD15EC">
      <w:pPr>
        <w:pStyle w:val="3"/>
        <w:numPr>
          <w:ilvl w:val="0"/>
          <w:numId w:val="0"/>
        </w:numPr>
        <w:bidi w:val="0"/>
        <w:ind w:leftChars="0"/>
        <w:rPr>
          <w:rFonts w:hint="default"/>
          <w:highlight w:val="none"/>
          <w:lang w:val="en-US" w:eastAsia="zh-CN"/>
        </w:rPr>
      </w:pPr>
      <w:r>
        <w:rPr>
          <w:rFonts w:hint="eastAsia"/>
          <w:highlight w:val="none"/>
          <w:lang w:val="en-US" w:eastAsia="zh-CN"/>
        </w:rPr>
        <w:t>7.服务方案</w:t>
      </w:r>
    </w:p>
    <w:p w14:paraId="71DE7202">
      <w:pPr>
        <w:rPr>
          <w:rFonts w:hint="eastAsia"/>
          <w:highlight w:val="none"/>
          <w:lang w:val="en-US" w:eastAsia="zh-CN"/>
        </w:rPr>
      </w:pPr>
      <w:r>
        <w:rPr>
          <w:rFonts w:hint="eastAsia"/>
          <w:highlight w:val="none"/>
          <w:lang w:val="en-US" w:eastAsia="zh-CN"/>
        </w:rPr>
        <w:br w:type="page"/>
      </w:r>
    </w:p>
    <w:p w14:paraId="0734EBE7">
      <w:pPr>
        <w:pStyle w:val="6"/>
        <w:rPr>
          <w:rFonts w:hint="eastAsia"/>
          <w:highlight w:val="none"/>
          <w:lang w:val="en-US" w:eastAsia="zh-CN"/>
        </w:rPr>
      </w:pPr>
    </w:p>
    <w:p w14:paraId="3EE6D0D9">
      <w:pPr>
        <w:pStyle w:val="3"/>
        <w:numPr>
          <w:ilvl w:val="0"/>
          <w:numId w:val="0"/>
        </w:numPr>
        <w:bidi w:val="0"/>
        <w:ind w:leftChars="0"/>
        <w:rPr>
          <w:rFonts w:hint="eastAsia"/>
          <w:highlight w:val="none"/>
          <w:lang w:val="en-US" w:eastAsia="zh-CN"/>
        </w:rPr>
      </w:pPr>
      <w:r>
        <w:rPr>
          <w:rFonts w:hint="eastAsia"/>
          <w:highlight w:val="none"/>
          <w:lang w:val="en-US" w:eastAsia="zh-CN"/>
        </w:rPr>
        <w:t>8.项目实施人员一览表（格式自拟）；</w:t>
      </w:r>
    </w:p>
    <w:p w14:paraId="62A67968">
      <w:pPr>
        <w:snapToGrid w:val="0"/>
        <w:spacing w:before="156" w:beforeLines="50" w:after="50"/>
        <w:jc w:val="left"/>
        <w:rPr>
          <w:rFonts w:ascii="宋体" w:hAnsi="宋体" w:cs="宋体"/>
          <w:b/>
          <w:sz w:val="24"/>
          <w:highlight w:val="none"/>
        </w:rPr>
      </w:pPr>
      <w:r>
        <w:rPr>
          <w:rFonts w:hint="eastAsia" w:ascii="宋体" w:hAnsi="宋体" w:cs="宋体"/>
          <w:b/>
          <w:sz w:val="24"/>
          <w:highlight w:val="none"/>
        </w:rPr>
        <w:t>项目实施人员一览表格式</w:t>
      </w:r>
    </w:p>
    <w:p w14:paraId="5BDF5404">
      <w:pPr>
        <w:snapToGrid w:val="0"/>
        <w:spacing w:before="156" w:beforeLines="50" w:after="50"/>
        <w:ind w:left="142"/>
        <w:jc w:val="left"/>
        <w:rPr>
          <w:rFonts w:ascii="宋体" w:hAnsi="宋体" w:cs="宋体"/>
          <w:b/>
          <w:sz w:val="24"/>
          <w:highlight w:val="none"/>
        </w:rPr>
      </w:pPr>
    </w:p>
    <w:p w14:paraId="4385A243">
      <w:pPr>
        <w:spacing w:line="360" w:lineRule="auto"/>
        <w:ind w:left="142"/>
        <w:contextualSpacing/>
        <w:jc w:val="center"/>
        <w:rPr>
          <w:rFonts w:ascii="宋体" w:hAnsi="宋体" w:cs="宋体"/>
          <w:b/>
          <w:sz w:val="32"/>
          <w:szCs w:val="32"/>
          <w:highlight w:val="none"/>
        </w:rPr>
      </w:pPr>
      <w:r>
        <w:rPr>
          <w:rFonts w:hint="eastAsia" w:ascii="宋体" w:hAnsi="宋体" w:cs="宋体"/>
          <w:b/>
          <w:sz w:val="32"/>
          <w:szCs w:val="32"/>
          <w:highlight w:val="none"/>
        </w:rPr>
        <w:t>项目实施人员一览表</w:t>
      </w:r>
    </w:p>
    <w:p w14:paraId="24706DFC">
      <w:pPr>
        <w:spacing w:line="360" w:lineRule="auto"/>
        <w:contextualSpacing/>
        <w:rPr>
          <w:rFonts w:ascii="宋体" w:hAnsi="宋体" w:cs="宋体"/>
          <w:sz w:val="24"/>
          <w:highlight w:val="none"/>
        </w:rPr>
      </w:pPr>
      <w:r>
        <w:rPr>
          <w:rFonts w:hint="eastAsia" w:ascii="宋体" w:hAnsi="宋体" w:cs="宋体"/>
          <w:sz w:val="24"/>
          <w:highlight w:val="none"/>
        </w:rPr>
        <w:t>采购项目名称：</w:t>
      </w:r>
      <w:r>
        <w:rPr>
          <w:rFonts w:hint="eastAsia" w:ascii="宋体" w:hAnsi="宋体" w:cs="宋体"/>
          <w:sz w:val="24"/>
          <w:highlight w:val="none"/>
          <w:u w:val="single"/>
        </w:rPr>
        <w:t xml:space="preserve">                 </w:t>
      </w:r>
    </w:p>
    <w:p w14:paraId="6FFD5755">
      <w:pPr>
        <w:spacing w:line="360" w:lineRule="auto"/>
        <w:contextualSpacing/>
        <w:rPr>
          <w:rFonts w:ascii="宋体" w:hAnsi="宋体" w:cs="宋体"/>
          <w:sz w:val="24"/>
          <w:highlight w:val="none"/>
          <w:u w:val="single"/>
        </w:rPr>
      </w:pPr>
      <w:r>
        <w:rPr>
          <w:rFonts w:hint="eastAsia" w:ascii="宋体" w:hAnsi="宋体" w:cs="宋体"/>
          <w:sz w:val="24"/>
          <w:highlight w:val="none"/>
        </w:rPr>
        <w:t>采购项目编号：</w:t>
      </w:r>
      <w:r>
        <w:rPr>
          <w:rFonts w:hint="eastAsia" w:ascii="宋体" w:hAnsi="宋体" w:cs="宋体"/>
          <w:sz w:val="24"/>
          <w:highlight w:val="none"/>
          <w:u w:val="single"/>
        </w:rPr>
        <w:t xml:space="preserve">                 </w:t>
      </w:r>
    </w:p>
    <w:p w14:paraId="26338952">
      <w:pPr>
        <w:pStyle w:val="17"/>
        <w:spacing w:line="360" w:lineRule="auto"/>
        <w:contextualSpacing/>
        <w:rPr>
          <w:rFonts w:hAnsi="宋体" w:cs="宋体"/>
          <w:sz w:val="24"/>
          <w:szCs w:val="24"/>
          <w:highlight w:val="none"/>
        </w:rPr>
      </w:pP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5"/>
        <w:gridCol w:w="794"/>
        <w:gridCol w:w="1907"/>
        <w:gridCol w:w="1592"/>
        <w:gridCol w:w="1903"/>
        <w:gridCol w:w="2066"/>
      </w:tblGrid>
      <w:tr w14:paraId="4EDBA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9" w:hRule="atLeast"/>
        </w:trPr>
        <w:tc>
          <w:tcPr>
            <w:tcW w:w="915" w:type="dxa"/>
            <w:vAlign w:val="center"/>
          </w:tcPr>
          <w:p w14:paraId="7F1C0390">
            <w:pPr>
              <w:contextualSpacing/>
              <w:jc w:val="center"/>
              <w:rPr>
                <w:rFonts w:hint="eastAsia" w:ascii="宋体" w:hAnsi="宋体" w:cs="宋体"/>
                <w:sz w:val="21"/>
                <w:szCs w:val="21"/>
                <w:highlight w:val="none"/>
              </w:rPr>
            </w:pPr>
            <w:r>
              <w:rPr>
                <w:rFonts w:hint="eastAsia" w:ascii="宋体" w:hAnsi="宋体" w:cs="宋体"/>
                <w:sz w:val="21"/>
                <w:szCs w:val="21"/>
                <w:highlight w:val="none"/>
              </w:rPr>
              <w:t>姓名</w:t>
            </w:r>
          </w:p>
        </w:tc>
        <w:tc>
          <w:tcPr>
            <w:tcW w:w="794" w:type="dxa"/>
            <w:vAlign w:val="center"/>
          </w:tcPr>
          <w:p w14:paraId="607B9701">
            <w:pPr>
              <w:contextualSpacing/>
              <w:jc w:val="center"/>
              <w:rPr>
                <w:rFonts w:hint="eastAsia" w:ascii="宋体" w:hAnsi="宋体" w:cs="宋体"/>
                <w:sz w:val="21"/>
                <w:szCs w:val="21"/>
                <w:highlight w:val="none"/>
              </w:rPr>
            </w:pPr>
            <w:r>
              <w:rPr>
                <w:rFonts w:hint="eastAsia" w:ascii="宋体" w:hAnsi="宋体" w:cs="宋体"/>
                <w:sz w:val="21"/>
                <w:szCs w:val="21"/>
                <w:highlight w:val="none"/>
              </w:rPr>
              <w:t>职务</w:t>
            </w:r>
          </w:p>
        </w:tc>
        <w:tc>
          <w:tcPr>
            <w:tcW w:w="1907" w:type="dxa"/>
            <w:vAlign w:val="center"/>
          </w:tcPr>
          <w:p w14:paraId="71863D47">
            <w:pPr>
              <w:contextualSpacing/>
              <w:jc w:val="center"/>
              <w:rPr>
                <w:rFonts w:hint="eastAsia" w:ascii="宋体" w:hAnsi="宋体" w:cs="宋体"/>
                <w:sz w:val="21"/>
                <w:szCs w:val="21"/>
                <w:highlight w:val="none"/>
              </w:rPr>
            </w:pPr>
            <w:r>
              <w:rPr>
                <w:rFonts w:hint="eastAsia" w:ascii="宋体" w:hAnsi="宋体" w:cs="宋体"/>
                <w:sz w:val="21"/>
                <w:szCs w:val="21"/>
                <w:highlight w:val="none"/>
              </w:rPr>
              <w:t>专业技术资格（职称）或者职业资格或者执业资格证或者其他证书</w:t>
            </w:r>
          </w:p>
        </w:tc>
        <w:tc>
          <w:tcPr>
            <w:tcW w:w="1592" w:type="dxa"/>
            <w:vAlign w:val="center"/>
          </w:tcPr>
          <w:p w14:paraId="1AF77255">
            <w:pPr>
              <w:contextualSpacing/>
              <w:jc w:val="center"/>
              <w:rPr>
                <w:rFonts w:hint="eastAsia" w:ascii="宋体" w:hAnsi="宋体" w:cs="宋体"/>
                <w:sz w:val="21"/>
                <w:szCs w:val="21"/>
                <w:highlight w:val="none"/>
              </w:rPr>
            </w:pPr>
            <w:r>
              <w:rPr>
                <w:rFonts w:hint="eastAsia" w:ascii="宋体" w:hAnsi="宋体" w:cs="宋体"/>
                <w:sz w:val="21"/>
                <w:szCs w:val="21"/>
                <w:highlight w:val="none"/>
              </w:rPr>
              <w:t>证书编号</w:t>
            </w:r>
          </w:p>
        </w:tc>
        <w:tc>
          <w:tcPr>
            <w:tcW w:w="1903" w:type="dxa"/>
            <w:vAlign w:val="center"/>
          </w:tcPr>
          <w:p w14:paraId="696CB696">
            <w:pPr>
              <w:contextualSpacing/>
              <w:jc w:val="center"/>
              <w:rPr>
                <w:rFonts w:hint="eastAsia" w:ascii="宋体" w:hAnsi="宋体" w:cs="宋体"/>
                <w:sz w:val="21"/>
                <w:szCs w:val="21"/>
                <w:highlight w:val="none"/>
              </w:rPr>
            </w:pPr>
            <w:r>
              <w:rPr>
                <w:rFonts w:hint="eastAsia" w:ascii="宋体" w:hAnsi="宋体" w:cs="宋体"/>
                <w:sz w:val="21"/>
                <w:szCs w:val="21"/>
                <w:highlight w:val="none"/>
              </w:rPr>
              <w:t>参加本单位</w:t>
            </w:r>
          </w:p>
          <w:p w14:paraId="51AADDF2">
            <w:pPr>
              <w:contextualSpacing/>
              <w:jc w:val="center"/>
              <w:rPr>
                <w:rFonts w:hint="eastAsia" w:ascii="宋体" w:hAnsi="宋体" w:cs="宋体"/>
                <w:sz w:val="21"/>
                <w:szCs w:val="21"/>
                <w:highlight w:val="none"/>
              </w:rPr>
            </w:pPr>
            <w:r>
              <w:rPr>
                <w:rFonts w:hint="eastAsia" w:ascii="宋体" w:hAnsi="宋体" w:cs="宋体"/>
                <w:sz w:val="21"/>
                <w:szCs w:val="21"/>
                <w:highlight w:val="none"/>
              </w:rPr>
              <w:t>工作时间</w:t>
            </w:r>
          </w:p>
        </w:tc>
        <w:tc>
          <w:tcPr>
            <w:tcW w:w="2066" w:type="dxa"/>
            <w:vAlign w:val="center"/>
          </w:tcPr>
          <w:p w14:paraId="32760E38">
            <w:pPr>
              <w:contextualSpacing/>
              <w:jc w:val="center"/>
              <w:rPr>
                <w:rFonts w:hint="eastAsia" w:ascii="宋体" w:hAnsi="宋体" w:cs="宋体"/>
                <w:sz w:val="21"/>
                <w:szCs w:val="21"/>
                <w:highlight w:val="none"/>
              </w:rPr>
            </w:pPr>
            <w:r>
              <w:rPr>
                <w:rFonts w:hint="eastAsia" w:ascii="宋体" w:hAnsi="宋体" w:cs="宋体"/>
                <w:sz w:val="21"/>
                <w:szCs w:val="21"/>
                <w:highlight w:val="none"/>
              </w:rPr>
              <w:t>备注</w:t>
            </w:r>
          </w:p>
        </w:tc>
      </w:tr>
      <w:tr w14:paraId="1B108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915" w:type="dxa"/>
            <w:vAlign w:val="center"/>
          </w:tcPr>
          <w:p w14:paraId="4BC1A48A">
            <w:pPr>
              <w:spacing w:line="360" w:lineRule="auto"/>
              <w:contextualSpacing/>
              <w:jc w:val="center"/>
              <w:rPr>
                <w:rFonts w:hint="eastAsia" w:ascii="宋体" w:hAnsi="宋体" w:cs="宋体"/>
                <w:sz w:val="21"/>
                <w:szCs w:val="21"/>
                <w:highlight w:val="none"/>
              </w:rPr>
            </w:pPr>
          </w:p>
        </w:tc>
        <w:tc>
          <w:tcPr>
            <w:tcW w:w="794" w:type="dxa"/>
            <w:vAlign w:val="center"/>
          </w:tcPr>
          <w:p w14:paraId="1E187E05">
            <w:pPr>
              <w:spacing w:line="360" w:lineRule="auto"/>
              <w:contextualSpacing/>
              <w:jc w:val="center"/>
              <w:rPr>
                <w:rFonts w:hint="eastAsia" w:ascii="宋体" w:hAnsi="宋体" w:cs="宋体"/>
                <w:sz w:val="21"/>
                <w:szCs w:val="21"/>
                <w:highlight w:val="none"/>
              </w:rPr>
            </w:pPr>
          </w:p>
        </w:tc>
        <w:tc>
          <w:tcPr>
            <w:tcW w:w="1907" w:type="dxa"/>
            <w:vAlign w:val="center"/>
          </w:tcPr>
          <w:p w14:paraId="3FCA5A18">
            <w:pPr>
              <w:spacing w:line="360" w:lineRule="auto"/>
              <w:contextualSpacing/>
              <w:jc w:val="center"/>
              <w:rPr>
                <w:rFonts w:hint="eastAsia" w:ascii="宋体" w:hAnsi="宋体" w:cs="宋体"/>
                <w:sz w:val="21"/>
                <w:szCs w:val="21"/>
                <w:highlight w:val="none"/>
              </w:rPr>
            </w:pPr>
          </w:p>
        </w:tc>
        <w:tc>
          <w:tcPr>
            <w:tcW w:w="1592" w:type="dxa"/>
            <w:vAlign w:val="center"/>
          </w:tcPr>
          <w:p w14:paraId="055AF3CE">
            <w:pPr>
              <w:spacing w:line="360" w:lineRule="auto"/>
              <w:contextualSpacing/>
              <w:jc w:val="center"/>
              <w:rPr>
                <w:rFonts w:hint="eastAsia" w:ascii="宋体" w:hAnsi="宋体" w:cs="宋体"/>
                <w:sz w:val="21"/>
                <w:szCs w:val="21"/>
                <w:highlight w:val="none"/>
              </w:rPr>
            </w:pPr>
          </w:p>
        </w:tc>
        <w:tc>
          <w:tcPr>
            <w:tcW w:w="1903" w:type="dxa"/>
            <w:vAlign w:val="center"/>
          </w:tcPr>
          <w:p w14:paraId="6836D477">
            <w:pPr>
              <w:spacing w:line="360" w:lineRule="auto"/>
              <w:contextualSpacing/>
              <w:jc w:val="center"/>
              <w:rPr>
                <w:rFonts w:hint="eastAsia" w:ascii="宋体" w:hAnsi="宋体" w:cs="宋体"/>
                <w:sz w:val="21"/>
                <w:szCs w:val="21"/>
                <w:highlight w:val="none"/>
              </w:rPr>
            </w:pPr>
          </w:p>
        </w:tc>
        <w:tc>
          <w:tcPr>
            <w:tcW w:w="2066" w:type="dxa"/>
            <w:vAlign w:val="center"/>
          </w:tcPr>
          <w:p w14:paraId="3EE4981B">
            <w:pPr>
              <w:spacing w:line="360" w:lineRule="auto"/>
              <w:contextualSpacing/>
              <w:jc w:val="center"/>
              <w:rPr>
                <w:rFonts w:hint="eastAsia" w:ascii="宋体" w:hAnsi="宋体" w:cs="宋体"/>
                <w:sz w:val="21"/>
                <w:szCs w:val="21"/>
                <w:highlight w:val="none"/>
              </w:rPr>
            </w:pPr>
          </w:p>
        </w:tc>
      </w:tr>
      <w:tr w14:paraId="317B9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915" w:type="dxa"/>
            <w:vAlign w:val="center"/>
          </w:tcPr>
          <w:p w14:paraId="7B8336E9">
            <w:pPr>
              <w:spacing w:line="360" w:lineRule="auto"/>
              <w:contextualSpacing/>
              <w:jc w:val="center"/>
              <w:rPr>
                <w:rFonts w:hint="eastAsia" w:ascii="宋体" w:hAnsi="宋体" w:cs="宋体"/>
                <w:sz w:val="21"/>
                <w:szCs w:val="21"/>
                <w:highlight w:val="none"/>
              </w:rPr>
            </w:pPr>
          </w:p>
        </w:tc>
        <w:tc>
          <w:tcPr>
            <w:tcW w:w="794" w:type="dxa"/>
            <w:vAlign w:val="center"/>
          </w:tcPr>
          <w:p w14:paraId="14F76098">
            <w:pPr>
              <w:spacing w:line="360" w:lineRule="auto"/>
              <w:contextualSpacing/>
              <w:jc w:val="center"/>
              <w:rPr>
                <w:rFonts w:hint="eastAsia" w:ascii="宋体" w:hAnsi="宋体" w:cs="宋体"/>
                <w:sz w:val="21"/>
                <w:szCs w:val="21"/>
                <w:highlight w:val="none"/>
              </w:rPr>
            </w:pPr>
          </w:p>
        </w:tc>
        <w:tc>
          <w:tcPr>
            <w:tcW w:w="1907" w:type="dxa"/>
            <w:vAlign w:val="center"/>
          </w:tcPr>
          <w:p w14:paraId="48CB2C37">
            <w:pPr>
              <w:spacing w:line="360" w:lineRule="auto"/>
              <w:contextualSpacing/>
              <w:jc w:val="center"/>
              <w:rPr>
                <w:rFonts w:hint="eastAsia" w:ascii="宋体" w:hAnsi="宋体" w:cs="宋体"/>
                <w:sz w:val="21"/>
                <w:szCs w:val="21"/>
                <w:highlight w:val="none"/>
              </w:rPr>
            </w:pPr>
          </w:p>
        </w:tc>
        <w:tc>
          <w:tcPr>
            <w:tcW w:w="1592" w:type="dxa"/>
            <w:vAlign w:val="center"/>
          </w:tcPr>
          <w:p w14:paraId="60E9F7E9">
            <w:pPr>
              <w:spacing w:line="360" w:lineRule="auto"/>
              <w:contextualSpacing/>
              <w:jc w:val="center"/>
              <w:rPr>
                <w:rFonts w:hint="eastAsia" w:ascii="宋体" w:hAnsi="宋体" w:cs="宋体"/>
                <w:sz w:val="21"/>
                <w:szCs w:val="21"/>
                <w:highlight w:val="none"/>
              </w:rPr>
            </w:pPr>
          </w:p>
        </w:tc>
        <w:tc>
          <w:tcPr>
            <w:tcW w:w="1903" w:type="dxa"/>
            <w:vAlign w:val="center"/>
          </w:tcPr>
          <w:p w14:paraId="03C0DFC9">
            <w:pPr>
              <w:spacing w:line="360" w:lineRule="auto"/>
              <w:contextualSpacing/>
              <w:jc w:val="center"/>
              <w:rPr>
                <w:rFonts w:hint="eastAsia" w:ascii="宋体" w:hAnsi="宋体" w:cs="宋体"/>
                <w:sz w:val="21"/>
                <w:szCs w:val="21"/>
                <w:highlight w:val="none"/>
              </w:rPr>
            </w:pPr>
          </w:p>
        </w:tc>
        <w:tc>
          <w:tcPr>
            <w:tcW w:w="2066" w:type="dxa"/>
            <w:vAlign w:val="center"/>
          </w:tcPr>
          <w:p w14:paraId="3D42A4F4">
            <w:pPr>
              <w:spacing w:line="360" w:lineRule="auto"/>
              <w:contextualSpacing/>
              <w:jc w:val="center"/>
              <w:rPr>
                <w:rFonts w:hint="eastAsia" w:ascii="宋体" w:hAnsi="宋体" w:cs="宋体"/>
                <w:sz w:val="21"/>
                <w:szCs w:val="21"/>
                <w:highlight w:val="none"/>
              </w:rPr>
            </w:pPr>
          </w:p>
        </w:tc>
      </w:tr>
      <w:tr w14:paraId="09136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915" w:type="dxa"/>
            <w:vAlign w:val="center"/>
          </w:tcPr>
          <w:p w14:paraId="45718258">
            <w:pPr>
              <w:spacing w:line="360" w:lineRule="auto"/>
              <w:contextualSpacing/>
              <w:jc w:val="center"/>
              <w:rPr>
                <w:rFonts w:hint="eastAsia" w:ascii="宋体" w:hAnsi="宋体" w:cs="宋体"/>
                <w:sz w:val="21"/>
                <w:szCs w:val="21"/>
                <w:highlight w:val="none"/>
              </w:rPr>
            </w:pPr>
          </w:p>
        </w:tc>
        <w:tc>
          <w:tcPr>
            <w:tcW w:w="794" w:type="dxa"/>
            <w:vAlign w:val="center"/>
          </w:tcPr>
          <w:p w14:paraId="30DBCD77">
            <w:pPr>
              <w:spacing w:line="360" w:lineRule="auto"/>
              <w:contextualSpacing/>
              <w:jc w:val="center"/>
              <w:rPr>
                <w:rFonts w:hint="eastAsia" w:ascii="宋体" w:hAnsi="宋体" w:cs="宋体"/>
                <w:sz w:val="21"/>
                <w:szCs w:val="21"/>
                <w:highlight w:val="none"/>
              </w:rPr>
            </w:pPr>
          </w:p>
        </w:tc>
        <w:tc>
          <w:tcPr>
            <w:tcW w:w="1907" w:type="dxa"/>
            <w:vAlign w:val="center"/>
          </w:tcPr>
          <w:p w14:paraId="11396871">
            <w:pPr>
              <w:spacing w:line="360" w:lineRule="auto"/>
              <w:contextualSpacing/>
              <w:jc w:val="center"/>
              <w:rPr>
                <w:rFonts w:hint="eastAsia" w:ascii="宋体" w:hAnsi="宋体" w:cs="宋体"/>
                <w:sz w:val="21"/>
                <w:szCs w:val="21"/>
                <w:highlight w:val="none"/>
              </w:rPr>
            </w:pPr>
          </w:p>
        </w:tc>
        <w:tc>
          <w:tcPr>
            <w:tcW w:w="1592" w:type="dxa"/>
            <w:vAlign w:val="center"/>
          </w:tcPr>
          <w:p w14:paraId="5CEA22BB">
            <w:pPr>
              <w:spacing w:line="360" w:lineRule="auto"/>
              <w:contextualSpacing/>
              <w:jc w:val="center"/>
              <w:rPr>
                <w:rFonts w:hint="eastAsia" w:ascii="宋体" w:hAnsi="宋体" w:cs="宋体"/>
                <w:sz w:val="21"/>
                <w:szCs w:val="21"/>
                <w:highlight w:val="none"/>
              </w:rPr>
            </w:pPr>
          </w:p>
        </w:tc>
        <w:tc>
          <w:tcPr>
            <w:tcW w:w="1903" w:type="dxa"/>
            <w:vAlign w:val="center"/>
          </w:tcPr>
          <w:p w14:paraId="0F431572">
            <w:pPr>
              <w:spacing w:line="360" w:lineRule="auto"/>
              <w:contextualSpacing/>
              <w:jc w:val="center"/>
              <w:rPr>
                <w:rFonts w:hint="eastAsia" w:ascii="宋体" w:hAnsi="宋体" w:cs="宋体"/>
                <w:sz w:val="21"/>
                <w:szCs w:val="21"/>
                <w:highlight w:val="none"/>
              </w:rPr>
            </w:pPr>
          </w:p>
        </w:tc>
        <w:tc>
          <w:tcPr>
            <w:tcW w:w="2066" w:type="dxa"/>
            <w:vAlign w:val="center"/>
          </w:tcPr>
          <w:p w14:paraId="769241B5">
            <w:pPr>
              <w:spacing w:line="360" w:lineRule="auto"/>
              <w:contextualSpacing/>
              <w:jc w:val="center"/>
              <w:rPr>
                <w:rFonts w:hint="eastAsia" w:ascii="宋体" w:hAnsi="宋体" w:cs="宋体"/>
                <w:sz w:val="21"/>
                <w:szCs w:val="21"/>
                <w:highlight w:val="none"/>
              </w:rPr>
            </w:pPr>
          </w:p>
        </w:tc>
      </w:tr>
    </w:tbl>
    <w:p w14:paraId="0B7E88AD">
      <w:pPr>
        <w:spacing w:line="360" w:lineRule="auto"/>
        <w:contextualSpacing/>
        <w:jc w:val="left"/>
        <w:rPr>
          <w:rFonts w:hint="eastAsia" w:ascii="宋体" w:hAnsi="宋体" w:eastAsia="宋体" w:cs="宋体"/>
          <w:b/>
          <w:sz w:val="21"/>
          <w:szCs w:val="21"/>
          <w:highlight w:val="none"/>
        </w:rPr>
      </w:pPr>
      <w:r>
        <w:rPr>
          <w:rFonts w:hint="eastAsia" w:ascii="宋体" w:hAnsi="宋体" w:eastAsia="宋体" w:cs="宋体"/>
          <w:b/>
          <w:sz w:val="21"/>
          <w:szCs w:val="21"/>
          <w:highlight w:val="none"/>
        </w:rPr>
        <w:t>注：</w:t>
      </w:r>
    </w:p>
    <w:p w14:paraId="7BCB9741">
      <w:pPr>
        <w:spacing w:line="360" w:lineRule="auto"/>
        <w:contextualSpacing/>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1.在填写时，如本表格不适合供应商的实际情况，可根据本表格式自行制表填写。</w:t>
      </w:r>
    </w:p>
    <w:p w14:paraId="22A021F0">
      <w:pPr>
        <w:spacing w:line="360" w:lineRule="auto"/>
        <w:contextualSpacing/>
        <w:jc w:val="left"/>
        <w:rPr>
          <w:rFonts w:ascii="楷体" w:hAnsi="楷体" w:eastAsia="楷体" w:cs="宋体"/>
          <w:sz w:val="24"/>
          <w:szCs w:val="20"/>
          <w:highlight w:val="none"/>
        </w:rPr>
      </w:pPr>
      <w:r>
        <w:rPr>
          <w:rFonts w:hint="eastAsia" w:ascii="宋体" w:hAnsi="宋体" w:eastAsia="宋体" w:cs="宋体"/>
          <w:sz w:val="21"/>
          <w:szCs w:val="21"/>
          <w:highlight w:val="none"/>
        </w:rPr>
        <w:t>2.供应商应当附本表所列证书的复印件并加盖供应商公章。</w:t>
      </w:r>
    </w:p>
    <w:p w14:paraId="1F3120B5">
      <w:pPr>
        <w:pStyle w:val="14"/>
        <w:rPr>
          <w:highlight w:val="none"/>
        </w:rPr>
      </w:pPr>
    </w:p>
    <w:p w14:paraId="52C5DEA6">
      <w:pPr>
        <w:spacing w:line="360" w:lineRule="auto"/>
        <w:ind w:firstLine="2730" w:firstLineChars="1300"/>
        <w:contextualSpacing/>
        <w:rPr>
          <w:rFonts w:ascii="宋体" w:hAnsi="宋体" w:cs="宋体"/>
          <w:spacing w:val="20"/>
          <w:sz w:val="21"/>
          <w:szCs w:val="21"/>
          <w:highlight w:val="none"/>
          <w:u w:val="single"/>
        </w:rPr>
      </w:pPr>
      <w:r>
        <w:rPr>
          <w:rFonts w:hint="eastAsia" w:ascii="宋体" w:hAnsi="宋体" w:cs="宋体"/>
          <w:sz w:val="21"/>
          <w:szCs w:val="21"/>
          <w:highlight w:val="none"/>
        </w:rPr>
        <w:t>法定代表人或者委托代理人（</w:t>
      </w:r>
      <w:r>
        <w:rPr>
          <w:rFonts w:hint="eastAsia" w:ascii="宋体" w:hAnsi="宋体" w:cs="宋体"/>
          <w:spacing w:val="20"/>
          <w:sz w:val="21"/>
          <w:szCs w:val="21"/>
          <w:highlight w:val="none"/>
          <w:lang w:eastAsia="zh-CN"/>
        </w:rPr>
        <w:t>签字或</w:t>
      </w:r>
      <w:r>
        <w:rPr>
          <w:rFonts w:hint="eastAsia" w:ascii="宋体" w:hAnsi="宋体" w:eastAsia="宋体" w:cs="宋体"/>
          <w:color w:val="auto"/>
          <w:sz w:val="21"/>
          <w:szCs w:val="21"/>
          <w:highlight w:val="none"/>
          <w:lang w:eastAsia="zh-CN"/>
        </w:rPr>
        <w:t>CA</w:t>
      </w:r>
      <w:r>
        <w:rPr>
          <w:rFonts w:hint="eastAsia" w:ascii="宋体" w:hAnsi="宋体" w:cs="宋体"/>
          <w:spacing w:val="20"/>
          <w:sz w:val="21"/>
          <w:szCs w:val="21"/>
          <w:highlight w:val="none"/>
          <w:lang w:eastAsia="zh-CN"/>
        </w:rPr>
        <w:t>签章</w:t>
      </w:r>
      <w:r>
        <w:rPr>
          <w:rFonts w:hint="eastAsia" w:ascii="宋体" w:hAnsi="宋体" w:cs="宋体"/>
          <w:sz w:val="21"/>
          <w:szCs w:val="21"/>
          <w:highlight w:val="none"/>
        </w:rPr>
        <w:t>）</w:t>
      </w:r>
      <w:r>
        <w:rPr>
          <w:rFonts w:hint="eastAsia" w:ascii="宋体" w:hAnsi="宋体" w:cs="宋体"/>
          <w:spacing w:val="20"/>
          <w:sz w:val="21"/>
          <w:szCs w:val="21"/>
          <w:highlight w:val="none"/>
        </w:rPr>
        <w:t>：</w:t>
      </w:r>
      <w:r>
        <w:rPr>
          <w:rFonts w:hint="eastAsia" w:ascii="宋体" w:hAnsi="宋体" w:cs="宋体"/>
          <w:spacing w:val="20"/>
          <w:sz w:val="21"/>
          <w:szCs w:val="21"/>
          <w:highlight w:val="none"/>
          <w:u w:val="single"/>
        </w:rPr>
        <w:t xml:space="preserve">        </w:t>
      </w:r>
    </w:p>
    <w:p w14:paraId="4B50D79F">
      <w:pPr>
        <w:spacing w:line="360" w:lineRule="auto"/>
        <w:ind w:firstLine="2750" w:firstLineChars="1100"/>
        <w:contextualSpacing/>
        <w:jc w:val="left"/>
        <w:rPr>
          <w:rFonts w:ascii="宋体" w:hAnsi="宋体" w:cs="宋体"/>
          <w:spacing w:val="20"/>
          <w:sz w:val="21"/>
          <w:szCs w:val="21"/>
          <w:highlight w:val="none"/>
        </w:rPr>
      </w:pPr>
      <w:r>
        <w:rPr>
          <w:rFonts w:hint="eastAsia" w:ascii="宋体" w:hAnsi="宋体" w:cs="宋体"/>
          <w:spacing w:val="20"/>
          <w:sz w:val="21"/>
          <w:szCs w:val="21"/>
          <w:highlight w:val="none"/>
        </w:rPr>
        <w:t>供应商（公章</w:t>
      </w:r>
      <w:r>
        <w:rPr>
          <w:rFonts w:hint="eastAsia" w:ascii="宋体" w:hAnsi="宋体" w:eastAsia="宋体" w:cs="宋体"/>
          <w:color w:val="auto"/>
          <w:sz w:val="21"/>
          <w:szCs w:val="21"/>
          <w:highlight w:val="none"/>
          <w:lang w:eastAsia="zh-CN"/>
        </w:rPr>
        <w:t>（CA签章）</w:t>
      </w:r>
      <w:r>
        <w:rPr>
          <w:rFonts w:hint="eastAsia" w:ascii="宋体" w:hAnsi="宋体" w:cs="宋体"/>
          <w:spacing w:val="20"/>
          <w:sz w:val="21"/>
          <w:szCs w:val="21"/>
          <w:highlight w:val="none"/>
        </w:rPr>
        <w:t>）：</w:t>
      </w:r>
      <w:r>
        <w:rPr>
          <w:rFonts w:hint="eastAsia" w:ascii="宋体" w:hAnsi="宋体" w:cs="宋体"/>
          <w:spacing w:val="20"/>
          <w:sz w:val="21"/>
          <w:szCs w:val="21"/>
          <w:highlight w:val="none"/>
          <w:u w:val="single"/>
        </w:rPr>
        <w:t xml:space="preserve">            </w:t>
      </w:r>
      <w:r>
        <w:rPr>
          <w:rFonts w:hint="eastAsia" w:ascii="宋体" w:hAnsi="宋体" w:cs="宋体"/>
          <w:spacing w:val="20"/>
          <w:sz w:val="21"/>
          <w:szCs w:val="21"/>
          <w:highlight w:val="none"/>
        </w:rPr>
        <w:t xml:space="preserve">              </w:t>
      </w:r>
    </w:p>
    <w:p w14:paraId="4B7CD2BF">
      <w:pPr>
        <w:spacing w:line="360" w:lineRule="auto"/>
        <w:ind w:firstLine="2750" w:firstLineChars="1100"/>
        <w:contextualSpacing/>
        <w:jc w:val="left"/>
        <w:rPr>
          <w:rFonts w:ascii="宋体" w:hAnsi="宋体" w:cs="宋体"/>
          <w:sz w:val="21"/>
          <w:szCs w:val="21"/>
          <w:highlight w:val="none"/>
        </w:rPr>
      </w:pPr>
      <w:r>
        <w:rPr>
          <w:rFonts w:hint="eastAsia" w:ascii="宋体" w:hAnsi="宋体" w:cs="宋体"/>
          <w:spacing w:val="20"/>
          <w:sz w:val="21"/>
          <w:szCs w:val="21"/>
          <w:highlight w:val="none"/>
        </w:rPr>
        <w:t>日 期：</w:t>
      </w:r>
      <w:r>
        <w:rPr>
          <w:rFonts w:hint="eastAsia" w:ascii="宋体" w:hAnsi="宋体" w:cs="宋体"/>
          <w:spacing w:val="20"/>
          <w:sz w:val="21"/>
          <w:szCs w:val="21"/>
          <w:highlight w:val="none"/>
          <w:u w:val="single"/>
        </w:rPr>
        <w:t xml:space="preserve"> </w:t>
      </w:r>
      <w:r>
        <w:rPr>
          <w:rFonts w:ascii="宋体" w:hAnsi="宋体" w:cs="宋体"/>
          <w:spacing w:val="20"/>
          <w:sz w:val="21"/>
          <w:szCs w:val="21"/>
          <w:highlight w:val="none"/>
          <w:u w:val="single"/>
        </w:rPr>
        <w:t xml:space="preserve"> </w:t>
      </w:r>
      <w:r>
        <w:rPr>
          <w:rFonts w:hint="eastAsia" w:ascii="宋体" w:hAnsi="宋体" w:cs="宋体"/>
          <w:spacing w:val="20"/>
          <w:sz w:val="21"/>
          <w:szCs w:val="21"/>
          <w:highlight w:val="none"/>
        </w:rPr>
        <w:t>年</w:t>
      </w:r>
      <w:r>
        <w:rPr>
          <w:rFonts w:hint="eastAsia" w:ascii="宋体" w:hAnsi="宋体" w:cs="宋体"/>
          <w:spacing w:val="20"/>
          <w:sz w:val="21"/>
          <w:szCs w:val="21"/>
          <w:highlight w:val="none"/>
          <w:u w:val="single"/>
        </w:rPr>
        <w:t xml:space="preserve"> </w:t>
      </w:r>
      <w:r>
        <w:rPr>
          <w:rFonts w:ascii="宋体" w:hAnsi="宋体" w:cs="宋体"/>
          <w:spacing w:val="20"/>
          <w:sz w:val="21"/>
          <w:szCs w:val="21"/>
          <w:highlight w:val="none"/>
          <w:u w:val="single"/>
        </w:rPr>
        <w:t xml:space="preserve"> </w:t>
      </w:r>
      <w:r>
        <w:rPr>
          <w:rFonts w:hint="eastAsia" w:ascii="宋体" w:hAnsi="宋体" w:cs="宋体"/>
          <w:spacing w:val="20"/>
          <w:sz w:val="21"/>
          <w:szCs w:val="21"/>
          <w:highlight w:val="none"/>
        </w:rPr>
        <w:t>月</w:t>
      </w:r>
      <w:r>
        <w:rPr>
          <w:rFonts w:hint="eastAsia" w:ascii="宋体" w:hAnsi="宋体" w:cs="宋体"/>
          <w:spacing w:val="20"/>
          <w:sz w:val="21"/>
          <w:szCs w:val="21"/>
          <w:highlight w:val="none"/>
          <w:u w:val="single"/>
        </w:rPr>
        <w:t xml:space="preserve"> </w:t>
      </w:r>
      <w:r>
        <w:rPr>
          <w:rFonts w:ascii="宋体" w:hAnsi="宋体" w:cs="宋体"/>
          <w:spacing w:val="20"/>
          <w:sz w:val="21"/>
          <w:szCs w:val="21"/>
          <w:highlight w:val="none"/>
          <w:u w:val="single"/>
        </w:rPr>
        <w:t xml:space="preserve"> </w:t>
      </w:r>
      <w:r>
        <w:rPr>
          <w:rFonts w:hint="eastAsia" w:ascii="宋体" w:hAnsi="宋体" w:cs="宋体"/>
          <w:spacing w:val="20"/>
          <w:sz w:val="21"/>
          <w:szCs w:val="21"/>
          <w:highlight w:val="none"/>
        </w:rPr>
        <w:t>日</w:t>
      </w:r>
    </w:p>
    <w:p w14:paraId="09B31D41">
      <w:pPr>
        <w:rPr>
          <w:rFonts w:hint="eastAsia"/>
          <w:highlight w:val="none"/>
          <w:lang w:val="en-US" w:eastAsia="zh-CN"/>
        </w:rPr>
      </w:pPr>
      <w:r>
        <w:rPr>
          <w:rFonts w:hint="eastAsia"/>
          <w:highlight w:val="none"/>
          <w:lang w:val="en-US" w:eastAsia="zh-CN"/>
        </w:rPr>
        <w:br w:type="page"/>
      </w:r>
    </w:p>
    <w:p w14:paraId="423123A3">
      <w:pPr>
        <w:pStyle w:val="3"/>
        <w:bidi w:val="0"/>
        <w:rPr>
          <w:rFonts w:hint="default"/>
          <w:highlight w:val="none"/>
          <w:lang w:val="en-US" w:eastAsia="zh-CN"/>
        </w:rPr>
      </w:pPr>
      <w:r>
        <w:rPr>
          <w:rFonts w:hint="eastAsia"/>
          <w:highlight w:val="none"/>
          <w:lang w:val="en-US" w:eastAsia="zh-CN"/>
        </w:rPr>
        <w:t>9.售后服务能力保障</w:t>
      </w:r>
    </w:p>
    <w:p w14:paraId="1BB442D7">
      <w:pPr>
        <w:pStyle w:val="6"/>
        <w:rPr>
          <w:rFonts w:hint="eastAsia"/>
          <w:highlight w:val="none"/>
          <w:lang w:val="en-US" w:eastAsia="zh-CN"/>
        </w:rPr>
      </w:pPr>
    </w:p>
    <w:p w14:paraId="3A844E3C">
      <w:pPr>
        <w:pStyle w:val="3"/>
        <w:bidi w:val="0"/>
        <w:rPr>
          <w:rFonts w:hint="eastAsia"/>
          <w:highlight w:val="none"/>
          <w:lang w:val="en-US" w:eastAsia="zh-CN"/>
        </w:rPr>
      </w:pPr>
      <w:r>
        <w:rPr>
          <w:rFonts w:hint="eastAsia"/>
          <w:highlight w:val="none"/>
          <w:lang w:val="en-US" w:eastAsia="zh-CN"/>
        </w:rPr>
        <w:t>10.对应采购需求的技术要求、商务要求提供的其他文件资料（格式自拟）；</w:t>
      </w:r>
    </w:p>
    <w:p w14:paraId="5CCF8A8E">
      <w:pPr>
        <w:pStyle w:val="3"/>
        <w:bidi w:val="0"/>
        <w:rPr>
          <w:rFonts w:hint="eastAsia"/>
          <w:highlight w:val="none"/>
          <w:lang w:val="en-US" w:eastAsia="zh-CN"/>
        </w:rPr>
      </w:pPr>
      <w:r>
        <w:rPr>
          <w:rFonts w:hint="eastAsia"/>
          <w:highlight w:val="none"/>
          <w:lang w:val="en-US" w:eastAsia="zh-CN"/>
        </w:rPr>
        <w:t>11.供应商认为需要提供的其他有关资料。</w:t>
      </w:r>
    </w:p>
    <w:p w14:paraId="71587B4D">
      <w:pPr>
        <w:rPr>
          <w:rFonts w:hint="eastAsia"/>
          <w:highlight w:val="none"/>
          <w:lang w:val="en-US" w:eastAsia="zh-CN"/>
        </w:rPr>
      </w:pPr>
    </w:p>
    <w:p w14:paraId="04B68375">
      <w:pPr>
        <w:pStyle w:val="6"/>
        <w:rPr>
          <w:rFonts w:hint="eastAsia"/>
          <w:highlight w:val="none"/>
          <w:lang w:val="en-US" w:eastAsia="zh-CN"/>
        </w:rPr>
      </w:pPr>
    </w:p>
    <w:p w14:paraId="5DAE1553">
      <w:pPr>
        <w:rPr>
          <w:rFonts w:hint="eastAsia"/>
          <w:highlight w:val="none"/>
          <w:lang w:val="en-US" w:eastAsia="zh-CN"/>
        </w:rPr>
      </w:pPr>
    </w:p>
    <w:p w14:paraId="2F16C536">
      <w:pPr>
        <w:spacing w:line="360" w:lineRule="auto"/>
        <w:ind w:firstLine="2640" w:firstLineChars="1100"/>
        <w:contextualSpacing/>
        <w:jc w:val="left"/>
        <w:rPr>
          <w:rFonts w:ascii="宋体" w:hAnsi="宋体" w:cs="宋体"/>
          <w:sz w:val="21"/>
          <w:szCs w:val="21"/>
          <w:highlight w:val="none"/>
        </w:rPr>
      </w:pPr>
      <w:r>
        <w:rPr>
          <w:rFonts w:hint="eastAsia" w:ascii="宋体" w:hAnsi="宋体" w:cs="宋体"/>
          <w:sz w:val="24"/>
          <w:highlight w:val="none"/>
        </w:rPr>
        <w:br w:type="page"/>
      </w:r>
    </w:p>
    <w:p w14:paraId="17987B91">
      <w:pPr>
        <w:snapToGrid w:val="0"/>
        <w:spacing w:before="50" w:after="156" w:afterLines="50"/>
        <w:jc w:val="left"/>
        <w:rPr>
          <w:rFonts w:ascii="宋体" w:hAnsi="宋体" w:cs="宋体"/>
          <w:sz w:val="24"/>
          <w:szCs w:val="20"/>
          <w:highlight w:val="none"/>
        </w:rPr>
      </w:pPr>
    </w:p>
    <w:p w14:paraId="71E04DCB">
      <w:pPr>
        <w:pStyle w:val="2"/>
        <w:bidi w:val="0"/>
        <w:rPr>
          <w:highlight w:val="none"/>
        </w:rPr>
      </w:pPr>
      <w:r>
        <w:rPr>
          <w:rFonts w:hint="eastAsia"/>
          <w:highlight w:val="none"/>
          <w:lang w:val="en-US" w:eastAsia="zh-CN"/>
        </w:rPr>
        <w:t>三、</w:t>
      </w:r>
      <w:r>
        <w:rPr>
          <w:rFonts w:hint="eastAsia"/>
          <w:highlight w:val="none"/>
        </w:rPr>
        <w:t>其他文书、文件格式</w:t>
      </w:r>
    </w:p>
    <w:p w14:paraId="45155D3B">
      <w:pPr>
        <w:spacing w:line="360" w:lineRule="auto"/>
        <w:jc w:val="center"/>
        <w:rPr>
          <w:rFonts w:ascii="宋体" w:hAnsi="宋体" w:cs="宋体"/>
          <w:b/>
          <w:bCs/>
          <w:sz w:val="28"/>
          <w:szCs w:val="28"/>
          <w:highlight w:val="none"/>
        </w:rPr>
      </w:pPr>
      <w:r>
        <w:rPr>
          <w:rFonts w:hint="eastAsia" w:ascii="宋体" w:hAnsi="宋体" w:cs="宋体"/>
          <w:b/>
          <w:sz w:val="28"/>
          <w:szCs w:val="28"/>
          <w:highlight w:val="none"/>
        </w:rPr>
        <w:t>质疑函</w:t>
      </w:r>
      <w:r>
        <w:rPr>
          <w:rFonts w:hint="eastAsia" w:ascii="宋体" w:hAnsi="宋体" w:cs="宋体"/>
          <w:sz w:val="28"/>
          <w:szCs w:val="28"/>
          <w:highlight w:val="none"/>
        </w:rPr>
        <w:t>（格式）</w:t>
      </w:r>
    </w:p>
    <w:p w14:paraId="5FA67D45">
      <w:pPr>
        <w:pStyle w:val="17"/>
        <w:spacing w:line="360" w:lineRule="auto"/>
        <w:ind w:firstLine="422" w:firstLineChars="200"/>
        <w:contextualSpacing/>
        <w:rPr>
          <w:rFonts w:hAnsi="宋体" w:cs="宋体"/>
          <w:b/>
          <w:bCs/>
          <w:sz w:val="21"/>
          <w:szCs w:val="21"/>
          <w:highlight w:val="none"/>
        </w:rPr>
      </w:pPr>
      <w:r>
        <w:rPr>
          <w:rFonts w:hint="eastAsia" w:hAnsi="宋体" w:cs="宋体"/>
          <w:b/>
          <w:bCs/>
          <w:sz w:val="21"/>
          <w:szCs w:val="21"/>
          <w:highlight w:val="none"/>
        </w:rPr>
        <w:t>一、质疑供应商基本信息：</w:t>
      </w:r>
    </w:p>
    <w:p w14:paraId="11209BEF">
      <w:pPr>
        <w:pStyle w:val="17"/>
        <w:spacing w:line="360" w:lineRule="auto"/>
        <w:ind w:firstLine="420" w:firstLineChars="200"/>
        <w:contextualSpacing/>
        <w:rPr>
          <w:rFonts w:hAnsi="宋体" w:cs="宋体"/>
          <w:bCs/>
          <w:sz w:val="21"/>
          <w:szCs w:val="21"/>
          <w:highlight w:val="none"/>
          <w:u w:val="single"/>
        </w:rPr>
      </w:pPr>
      <w:r>
        <w:rPr>
          <w:rFonts w:hint="eastAsia" w:hAnsi="宋体" w:cs="宋体"/>
          <w:bCs/>
          <w:sz w:val="21"/>
          <w:szCs w:val="21"/>
          <w:highlight w:val="none"/>
        </w:rPr>
        <w:t>质疑供应商：</w:t>
      </w:r>
      <w:r>
        <w:rPr>
          <w:rFonts w:hint="eastAsia" w:hAnsi="宋体" w:cs="宋体"/>
          <w:bCs/>
          <w:sz w:val="21"/>
          <w:szCs w:val="21"/>
          <w:highlight w:val="none"/>
          <w:u w:val="single"/>
        </w:rPr>
        <w:t xml:space="preserve">                                       </w:t>
      </w:r>
      <w:r>
        <w:rPr>
          <w:rFonts w:hint="eastAsia" w:hAnsi="宋体" w:cs="宋体"/>
          <w:bCs/>
          <w:sz w:val="21"/>
          <w:szCs w:val="21"/>
          <w:highlight w:val="none"/>
        </w:rPr>
        <w:t xml:space="preserve">                 </w:t>
      </w:r>
    </w:p>
    <w:p w14:paraId="2B0AC777">
      <w:pPr>
        <w:pStyle w:val="17"/>
        <w:spacing w:line="360" w:lineRule="auto"/>
        <w:ind w:firstLine="420" w:firstLineChars="200"/>
        <w:contextualSpacing/>
        <w:rPr>
          <w:rFonts w:hAnsi="宋体" w:cs="宋体"/>
          <w:bCs/>
          <w:sz w:val="21"/>
          <w:szCs w:val="21"/>
          <w:highlight w:val="none"/>
        </w:rPr>
      </w:pPr>
      <w:r>
        <w:rPr>
          <w:rFonts w:hint="eastAsia" w:hAnsi="宋体" w:cs="宋体"/>
          <w:bCs/>
          <w:sz w:val="21"/>
          <w:szCs w:val="21"/>
          <w:highlight w:val="none"/>
        </w:rPr>
        <w:t>地址：</w:t>
      </w:r>
      <w:r>
        <w:rPr>
          <w:rFonts w:hint="eastAsia" w:hAnsi="宋体" w:cs="宋体"/>
          <w:bCs/>
          <w:sz w:val="21"/>
          <w:szCs w:val="21"/>
          <w:highlight w:val="none"/>
          <w:u w:val="single"/>
        </w:rPr>
        <w:t xml:space="preserve">                                          </w:t>
      </w:r>
      <w:r>
        <w:rPr>
          <w:rFonts w:hint="eastAsia" w:hAnsi="宋体" w:cs="宋体"/>
          <w:bCs/>
          <w:sz w:val="21"/>
          <w:szCs w:val="21"/>
          <w:highlight w:val="none"/>
        </w:rPr>
        <w:t>邮编：</w:t>
      </w:r>
      <w:r>
        <w:rPr>
          <w:rFonts w:hint="eastAsia" w:hAnsi="宋体" w:cs="宋体"/>
          <w:bCs/>
          <w:sz w:val="21"/>
          <w:szCs w:val="21"/>
          <w:highlight w:val="none"/>
          <w:u w:val="single"/>
        </w:rPr>
        <w:t xml:space="preserve">                  </w:t>
      </w:r>
      <w:r>
        <w:rPr>
          <w:rFonts w:hint="eastAsia" w:hAnsi="宋体" w:cs="宋体"/>
          <w:bCs/>
          <w:sz w:val="21"/>
          <w:szCs w:val="21"/>
          <w:highlight w:val="none"/>
        </w:rPr>
        <w:t xml:space="preserve">                 </w:t>
      </w:r>
    </w:p>
    <w:p w14:paraId="5792D714">
      <w:pPr>
        <w:pStyle w:val="17"/>
        <w:spacing w:line="360" w:lineRule="auto"/>
        <w:ind w:firstLine="420" w:firstLineChars="200"/>
        <w:contextualSpacing/>
        <w:rPr>
          <w:rFonts w:hAnsi="宋体" w:cs="宋体"/>
          <w:bCs/>
          <w:sz w:val="21"/>
          <w:szCs w:val="21"/>
          <w:highlight w:val="none"/>
        </w:rPr>
      </w:pPr>
      <w:r>
        <w:rPr>
          <w:rFonts w:hint="eastAsia" w:hAnsi="宋体" w:cs="宋体"/>
          <w:bCs/>
          <w:sz w:val="21"/>
          <w:szCs w:val="21"/>
          <w:highlight w:val="none"/>
        </w:rPr>
        <w:t>联系人：</w:t>
      </w:r>
      <w:r>
        <w:rPr>
          <w:rFonts w:hint="eastAsia" w:hAnsi="宋体" w:cs="宋体"/>
          <w:bCs/>
          <w:sz w:val="21"/>
          <w:szCs w:val="21"/>
          <w:highlight w:val="none"/>
          <w:u w:val="single"/>
        </w:rPr>
        <w:t xml:space="preserve">                     </w:t>
      </w:r>
      <w:r>
        <w:rPr>
          <w:rFonts w:hint="eastAsia" w:hAnsi="宋体" w:cs="宋体"/>
          <w:bCs/>
          <w:sz w:val="21"/>
          <w:szCs w:val="21"/>
          <w:highlight w:val="none"/>
        </w:rPr>
        <w:t>联系电话：</w:t>
      </w:r>
      <w:r>
        <w:rPr>
          <w:rFonts w:hint="eastAsia" w:hAnsi="宋体" w:cs="宋体"/>
          <w:bCs/>
          <w:sz w:val="21"/>
          <w:szCs w:val="21"/>
          <w:highlight w:val="none"/>
          <w:u w:val="single"/>
        </w:rPr>
        <w:t xml:space="preserve">                 </w:t>
      </w:r>
    </w:p>
    <w:p w14:paraId="3751F29B">
      <w:pPr>
        <w:pStyle w:val="17"/>
        <w:spacing w:line="360" w:lineRule="auto"/>
        <w:ind w:firstLine="420" w:firstLineChars="200"/>
        <w:contextualSpacing/>
        <w:rPr>
          <w:rFonts w:hAnsi="宋体" w:cs="宋体"/>
          <w:bCs/>
          <w:sz w:val="21"/>
          <w:szCs w:val="21"/>
          <w:highlight w:val="none"/>
        </w:rPr>
      </w:pPr>
      <w:r>
        <w:rPr>
          <w:rFonts w:hint="eastAsia" w:hAnsi="宋体" w:cs="宋体"/>
          <w:bCs/>
          <w:sz w:val="21"/>
          <w:szCs w:val="21"/>
          <w:highlight w:val="none"/>
        </w:rPr>
        <w:t>授权代表：</w:t>
      </w:r>
      <w:r>
        <w:rPr>
          <w:rFonts w:hint="eastAsia" w:hAnsi="宋体" w:cs="宋体"/>
          <w:bCs/>
          <w:sz w:val="21"/>
          <w:szCs w:val="21"/>
          <w:highlight w:val="none"/>
          <w:u w:val="single"/>
        </w:rPr>
        <w:t xml:space="preserve">                      </w:t>
      </w:r>
    </w:p>
    <w:p w14:paraId="5DD50411">
      <w:pPr>
        <w:pStyle w:val="17"/>
        <w:spacing w:line="360" w:lineRule="auto"/>
        <w:ind w:firstLine="420" w:firstLineChars="200"/>
        <w:contextualSpacing/>
        <w:rPr>
          <w:rFonts w:hAnsi="宋体" w:cs="宋体"/>
          <w:bCs/>
          <w:sz w:val="21"/>
          <w:szCs w:val="21"/>
          <w:highlight w:val="none"/>
          <w:u w:val="single"/>
        </w:rPr>
      </w:pPr>
      <w:r>
        <w:rPr>
          <w:rFonts w:hint="eastAsia" w:hAnsi="宋体" w:cs="宋体"/>
          <w:bCs/>
          <w:sz w:val="21"/>
          <w:szCs w:val="21"/>
          <w:highlight w:val="none"/>
        </w:rPr>
        <w:t>联系电话：</w:t>
      </w:r>
      <w:r>
        <w:rPr>
          <w:rFonts w:hint="eastAsia" w:hAnsi="宋体" w:cs="宋体"/>
          <w:bCs/>
          <w:sz w:val="21"/>
          <w:szCs w:val="21"/>
          <w:highlight w:val="none"/>
          <w:u w:val="single"/>
        </w:rPr>
        <w:t xml:space="preserve">                      </w:t>
      </w:r>
    </w:p>
    <w:p w14:paraId="5009DF42">
      <w:pPr>
        <w:pStyle w:val="17"/>
        <w:spacing w:line="360" w:lineRule="auto"/>
        <w:ind w:firstLine="420" w:firstLineChars="200"/>
        <w:contextualSpacing/>
        <w:rPr>
          <w:rFonts w:hAnsi="宋体" w:cs="宋体"/>
          <w:bCs/>
          <w:sz w:val="21"/>
          <w:szCs w:val="21"/>
          <w:highlight w:val="none"/>
        </w:rPr>
      </w:pPr>
      <w:r>
        <w:rPr>
          <w:rFonts w:hint="eastAsia" w:hAnsi="宋体" w:cs="宋体"/>
          <w:bCs/>
          <w:sz w:val="21"/>
          <w:szCs w:val="21"/>
          <w:highlight w:val="none"/>
        </w:rPr>
        <w:t>地址：</w:t>
      </w:r>
      <w:r>
        <w:rPr>
          <w:rFonts w:hint="eastAsia" w:hAnsi="宋体" w:cs="宋体"/>
          <w:bCs/>
          <w:sz w:val="21"/>
          <w:szCs w:val="21"/>
          <w:highlight w:val="none"/>
          <w:u w:val="single"/>
        </w:rPr>
        <w:t xml:space="preserve">                 </w:t>
      </w:r>
      <w:r>
        <w:rPr>
          <w:rFonts w:hint="eastAsia" w:hAnsi="宋体" w:cs="宋体"/>
          <w:bCs/>
          <w:sz w:val="21"/>
          <w:szCs w:val="21"/>
          <w:highlight w:val="none"/>
        </w:rPr>
        <w:t>邮编：</w:t>
      </w:r>
      <w:r>
        <w:rPr>
          <w:rFonts w:hint="eastAsia" w:hAnsi="宋体" w:cs="宋体"/>
          <w:bCs/>
          <w:sz w:val="21"/>
          <w:szCs w:val="21"/>
          <w:highlight w:val="none"/>
          <w:u w:val="single"/>
        </w:rPr>
        <w:t xml:space="preserve">                  </w:t>
      </w:r>
      <w:r>
        <w:rPr>
          <w:rFonts w:hint="eastAsia" w:hAnsi="宋体" w:cs="宋体"/>
          <w:bCs/>
          <w:sz w:val="21"/>
          <w:szCs w:val="21"/>
          <w:highlight w:val="none"/>
        </w:rPr>
        <w:t xml:space="preserve">     </w:t>
      </w:r>
    </w:p>
    <w:p w14:paraId="25C6D413">
      <w:pPr>
        <w:pStyle w:val="17"/>
        <w:spacing w:line="360" w:lineRule="auto"/>
        <w:ind w:firstLine="422" w:firstLineChars="200"/>
        <w:contextualSpacing/>
        <w:rPr>
          <w:rFonts w:hAnsi="宋体" w:cs="宋体"/>
          <w:b/>
          <w:bCs/>
          <w:sz w:val="21"/>
          <w:szCs w:val="21"/>
          <w:highlight w:val="none"/>
        </w:rPr>
      </w:pPr>
      <w:r>
        <w:rPr>
          <w:rFonts w:hint="eastAsia" w:hAnsi="宋体" w:cs="宋体"/>
          <w:b/>
          <w:bCs/>
          <w:sz w:val="21"/>
          <w:szCs w:val="21"/>
          <w:highlight w:val="none"/>
        </w:rPr>
        <w:t>二、质疑项目基本情况：</w:t>
      </w:r>
    </w:p>
    <w:p w14:paraId="57C2A25C">
      <w:pPr>
        <w:pStyle w:val="17"/>
        <w:spacing w:line="360" w:lineRule="auto"/>
        <w:ind w:left="25" w:leftChars="12" w:firstLine="413" w:firstLineChars="197"/>
        <w:contextualSpacing/>
        <w:rPr>
          <w:rFonts w:hAnsi="宋体" w:cs="宋体"/>
          <w:sz w:val="21"/>
          <w:szCs w:val="21"/>
          <w:highlight w:val="none"/>
        </w:rPr>
      </w:pPr>
      <w:r>
        <w:rPr>
          <w:rFonts w:hint="eastAsia" w:hAnsi="宋体" w:cs="宋体"/>
          <w:bCs/>
          <w:sz w:val="21"/>
          <w:szCs w:val="21"/>
          <w:highlight w:val="none"/>
        </w:rPr>
        <w:t>质疑</w:t>
      </w:r>
      <w:r>
        <w:rPr>
          <w:rFonts w:hint="eastAsia" w:hAnsi="宋体" w:cs="宋体"/>
          <w:sz w:val="21"/>
          <w:szCs w:val="21"/>
          <w:highlight w:val="none"/>
        </w:rPr>
        <w:t>项目的名称：</w:t>
      </w:r>
      <w:r>
        <w:rPr>
          <w:rFonts w:hint="eastAsia" w:hAnsi="宋体" w:cs="宋体"/>
          <w:bCs/>
          <w:sz w:val="21"/>
          <w:szCs w:val="21"/>
          <w:highlight w:val="none"/>
          <w:u w:val="single"/>
        </w:rPr>
        <w:t xml:space="preserve">                                     </w:t>
      </w:r>
    </w:p>
    <w:p w14:paraId="60DB8BDF">
      <w:pPr>
        <w:pStyle w:val="17"/>
        <w:spacing w:line="360" w:lineRule="auto"/>
        <w:ind w:left="25" w:leftChars="12" w:firstLine="413" w:firstLineChars="197"/>
        <w:contextualSpacing/>
        <w:rPr>
          <w:rFonts w:hAnsi="宋体" w:cs="宋体"/>
          <w:sz w:val="21"/>
          <w:szCs w:val="21"/>
          <w:highlight w:val="none"/>
        </w:rPr>
      </w:pPr>
      <w:r>
        <w:rPr>
          <w:rFonts w:hint="eastAsia" w:hAnsi="宋体" w:cs="宋体"/>
          <w:bCs/>
          <w:sz w:val="21"/>
          <w:szCs w:val="21"/>
          <w:highlight w:val="none"/>
        </w:rPr>
        <w:t>质疑</w:t>
      </w:r>
      <w:r>
        <w:rPr>
          <w:rFonts w:hint="eastAsia" w:hAnsi="宋体" w:cs="宋体"/>
          <w:sz w:val="21"/>
          <w:szCs w:val="21"/>
          <w:highlight w:val="none"/>
        </w:rPr>
        <w:t>项目的编号：</w:t>
      </w:r>
      <w:r>
        <w:rPr>
          <w:rFonts w:hint="eastAsia" w:hAnsi="宋体" w:cs="宋体"/>
          <w:bCs/>
          <w:sz w:val="21"/>
          <w:szCs w:val="21"/>
          <w:highlight w:val="none"/>
          <w:u w:val="single"/>
        </w:rPr>
        <w:t xml:space="preserve">                                     </w:t>
      </w:r>
    </w:p>
    <w:p w14:paraId="6191CBCB">
      <w:pPr>
        <w:pStyle w:val="17"/>
        <w:spacing w:line="360" w:lineRule="auto"/>
        <w:ind w:left="25" w:leftChars="12" w:firstLine="413" w:firstLineChars="197"/>
        <w:contextualSpacing/>
        <w:rPr>
          <w:rFonts w:hAnsi="宋体" w:cs="宋体"/>
          <w:sz w:val="21"/>
          <w:szCs w:val="21"/>
          <w:highlight w:val="none"/>
        </w:rPr>
      </w:pPr>
      <w:r>
        <w:rPr>
          <w:rFonts w:hint="eastAsia" w:hAnsi="宋体" w:cs="宋体"/>
          <w:sz w:val="21"/>
          <w:szCs w:val="21"/>
          <w:highlight w:val="none"/>
        </w:rPr>
        <w:t>采购人名称：</w:t>
      </w:r>
      <w:r>
        <w:rPr>
          <w:rFonts w:hint="eastAsia" w:hAnsi="宋体" w:cs="宋体"/>
          <w:bCs/>
          <w:sz w:val="21"/>
          <w:szCs w:val="21"/>
          <w:highlight w:val="none"/>
          <w:u w:val="single"/>
        </w:rPr>
        <w:t xml:space="preserve">                                         </w:t>
      </w:r>
    </w:p>
    <w:p w14:paraId="31440629">
      <w:pPr>
        <w:pStyle w:val="17"/>
        <w:spacing w:line="360" w:lineRule="auto"/>
        <w:ind w:left="25" w:leftChars="12" w:firstLine="413" w:firstLineChars="197"/>
        <w:contextualSpacing/>
        <w:rPr>
          <w:rFonts w:hAnsi="宋体" w:cs="宋体"/>
          <w:sz w:val="21"/>
          <w:szCs w:val="21"/>
          <w:highlight w:val="none"/>
        </w:rPr>
      </w:pPr>
      <w:r>
        <w:rPr>
          <w:rFonts w:hint="eastAsia" w:hAnsi="宋体" w:cs="宋体"/>
          <w:sz w:val="21"/>
          <w:szCs w:val="21"/>
          <w:highlight w:val="none"/>
        </w:rPr>
        <w:t>质疑事项：</w:t>
      </w:r>
    </w:p>
    <w:p w14:paraId="19AD1D73">
      <w:pPr>
        <w:pStyle w:val="17"/>
        <w:spacing w:line="360" w:lineRule="auto"/>
        <w:ind w:left="25" w:leftChars="12" w:firstLine="308" w:firstLineChars="147"/>
        <w:contextualSpacing/>
        <w:rPr>
          <w:rFonts w:hAnsi="宋体" w:cs="宋体"/>
          <w:sz w:val="21"/>
          <w:szCs w:val="21"/>
          <w:highlight w:val="none"/>
        </w:rPr>
      </w:pPr>
      <w:r>
        <w:rPr>
          <w:rFonts w:hint="eastAsia" w:hAnsi="宋体" w:cs="宋体"/>
          <w:sz w:val="21"/>
          <w:szCs w:val="21"/>
          <w:highlight w:val="none"/>
        </w:rPr>
        <w:t>□采购文件   采购文件获取日期：</w:t>
      </w:r>
      <w:r>
        <w:rPr>
          <w:rFonts w:hint="eastAsia" w:hAnsi="宋体" w:cs="宋体"/>
          <w:bCs/>
          <w:sz w:val="21"/>
          <w:szCs w:val="21"/>
          <w:highlight w:val="none"/>
          <w:u w:val="single"/>
        </w:rPr>
        <w:t xml:space="preserve">                                   </w:t>
      </w:r>
    </w:p>
    <w:p w14:paraId="214F945A">
      <w:pPr>
        <w:pStyle w:val="17"/>
        <w:spacing w:line="360" w:lineRule="auto"/>
        <w:ind w:left="25" w:leftChars="12" w:firstLine="308" w:firstLineChars="147"/>
        <w:contextualSpacing/>
        <w:rPr>
          <w:rFonts w:hAnsi="宋体" w:cs="宋体"/>
          <w:sz w:val="21"/>
          <w:szCs w:val="21"/>
          <w:highlight w:val="none"/>
        </w:rPr>
      </w:pPr>
      <w:r>
        <w:rPr>
          <w:rFonts w:hint="eastAsia" w:hAnsi="宋体" w:cs="宋体"/>
          <w:sz w:val="21"/>
          <w:szCs w:val="21"/>
          <w:highlight w:val="none"/>
        </w:rPr>
        <w:t xml:space="preserve">□采购过程   </w:t>
      </w:r>
    </w:p>
    <w:p w14:paraId="04FB16CB">
      <w:pPr>
        <w:pStyle w:val="17"/>
        <w:spacing w:line="360" w:lineRule="auto"/>
        <w:ind w:left="25" w:leftChars="12" w:firstLine="308" w:firstLineChars="147"/>
        <w:contextualSpacing/>
        <w:rPr>
          <w:rFonts w:hAnsi="宋体" w:cs="宋体"/>
          <w:bCs/>
          <w:sz w:val="21"/>
          <w:szCs w:val="21"/>
          <w:highlight w:val="none"/>
          <w:u w:val="single"/>
        </w:rPr>
      </w:pPr>
      <w:r>
        <w:rPr>
          <w:rFonts w:hint="eastAsia" w:hAnsi="宋体" w:cs="宋体"/>
          <w:sz w:val="21"/>
          <w:szCs w:val="21"/>
          <w:highlight w:val="none"/>
        </w:rPr>
        <w:t xml:space="preserve">□成交结果   </w:t>
      </w:r>
    </w:p>
    <w:p w14:paraId="2FA611E9">
      <w:pPr>
        <w:pStyle w:val="17"/>
        <w:spacing w:line="360" w:lineRule="auto"/>
        <w:ind w:left="25" w:leftChars="12" w:firstLine="413" w:firstLineChars="196"/>
        <w:contextualSpacing/>
        <w:rPr>
          <w:rFonts w:hAnsi="宋体" w:cs="宋体"/>
          <w:b/>
          <w:sz w:val="21"/>
          <w:szCs w:val="21"/>
          <w:highlight w:val="none"/>
        </w:rPr>
      </w:pPr>
      <w:r>
        <w:rPr>
          <w:rFonts w:hint="eastAsia" w:hAnsi="宋体" w:cs="宋体"/>
          <w:b/>
          <w:sz w:val="21"/>
          <w:szCs w:val="21"/>
          <w:highlight w:val="none"/>
        </w:rPr>
        <w:t>三、质疑事项具体内容</w:t>
      </w:r>
    </w:p>
    <w:p w14:paraId="1109D8E9">
      <w:pPr>
        <w:pStyle w:val="17"/>
        <w:spacing w:line="360" w:lineRule="auto"/>
        <w:ind w:left="25" w:leftChars="12" w:firstLine="413" w:firstLineChars="197"/>
        <w:contextualSpacing/>
        <w:rPr>
          <w:rFonts w:hAnsi="宋体" w:cs="宋体"/>
          <w:sz w:val="21"/>
          <w:szCs w:val="21"/>
          <w:highlight w:val="none"/>
        </w:rPr>
      </w:pPr>
      <w:r>
        <w:rPr>
          <w:rFonts w:hint="eastAsia" w:hAnsi="宋体" w:cs="宋体"/>
          <w:sz w:val="21"/>
          <w:szCs w:val="21"/>
          <w:highlight w:val="none"/>
        </w:rPr>
        <w:t>质疑事项1：</w:t>
      </w:r>
      <w:r>
        <w:rPr>
          <w:rFonts w:hint="eastAsia" w:hAnsi="宋体" w:cs="宋体"/>
          <w:bCs/>
          <w:sz w:val="21"/>
          <w:szCs w:val="21"/>
          <w:highlight w:val="none"/>
          <w:u w:val="single"/>
        </w:rPr>
        <w:t xml:space="preserve">                                                                    </w:t>
      </w:r>
    </w:p>
    <w:p w14:paraId="41D31E23">
      <w:pPr>
        <w:pStyle w:val="17"/>
        <w:spacing w:line="360" w:lineRule="auto"/>
        <w:ind w:left="25" w:leftChars="12" w:firstLine="413" w:firstLineChars="197"/>
        <w:contextualSpacing/>
        <w:rPr>
          <w:rFonts w:hAnsi="宋体" w:cs="宋体"/>
          <w:sz w:val="21"/>
          <w:szCs w:val="21"/>
          <w:highlight w:val="none"/>
        </w:rPr>
      </w:pPr>
      <w:r>
        <w:rPr>
          <w:rFonts w:hint="eastAsia" w:hAnsi="宋体" w:cs="宋体"/>
          <w:sz w:val="21"/>
          <w:szCs w:val="21"/>
          <w:highlight w:val="none"/>
        </w:rPr>
        <w:t>事实依据：</w:t>
      </w:r>
      <w:r>
        <w:rPr>
          <w:rFonts w:hint="eastAsia" w:hAnsi="宋体" w:cs="宋体"/>
          <w:bCs/>
          <w:sz w:val="21"/>
          <w:szCs w:val="21"/>
          <w:highlight w:val="none"/>
          <w:u w:val="single"/>
        </w:rPr>
        <w:t xml:space="preserve">                                                                      </w:t>
      </w:r>
    </w:p>
    <w:p w14:paraId="5B380718">
      <w:pPr>
        <w:pStyle w:val="17"/>
        <w:spacing w:line="360" w:lineRule="auto"/>
        <w:ind w:left="25" w:leftChars="12" w:firstLine="413" w:firstLineChars="197"/>
        <w:contextualSpacing/>
        <w:rPr>
          <w:rFonts w:hAnsi="宋体" w:cs="宋体"/>
          <w:sz w:val="21"/>
          <w:szCs w:val="21"/>
          <w:highlight w:val="none"/>
        </w:rPr>
      </w:pPr>
      <w:r>
        <w:rPr>
          <w:rFonts w:hint="eastAsia" w:hAnsi="宋体" w:cs="宋体"/>
          <w:sz w:val="21"/>
          <w:szCs w:val="21"/>
          <w:highlight w:val="none"/>
        </w:rPr>
        <w:t>法律依据：</w:t>
      </w:r>
      <w:r>
        <w:rPr>
          <w:rFonts w:hint="eastAsia" w:hAnsi="宋体" w:cs="宋体"/>
          <w:sz w:val="21"/>
          <w:szCs w:val="21"/>
          <w:highlight w:val="none"/>
          <w:u w:val="single"/>
        </w:rPr>
        <w:t xml:space="preserve">                                                        </w:t>
      </w:r>
      <w:r>
        <w:rPr>
          <w:rFonts w:hint="eastAsia" w:hAnsi="宋体" w:cs="宋体"/>
          <w:bCs/>
          <w:sz w:val="21"/>
          <w:szCs w:val="21"/>
          <w:highlight w:val="none"/>
          <w:u w:val="single"/>
        </w:rPr>
        <w:t xml:space="preserve">               </w:t>
      </w:r>
    </w:p>
    <w:p w14:paraId="0F751085">
      <w:pPr>
        <w:pStyle w:val="17"/>
        <w:spacing w:line="360" w:lineRule="auto"/>
        <w:ind w:left="25" w:leftChars="12" w:firstLine="413" w:firstLineChars="197"/>
        <w:contextualSpacing/>
        <w:rPr>
          <w:rFonts w:hAnsi="宋体" w:cs="宋体"/>
          <w:sz w:val="21"/>
          <w:szCs w:val="21"/>
          <w:highlight w:val="none"/>
        </w:rPr>
      </w:pPr>
      <w:r>
        <w:rPr>
          <w:rFonts w:hint="eastAsia" w:hAnsi="宋体" w:cs="宋体"/>
          <w:sz w:val="21"/>
          <w:szCs w:val="21"/>
          <w:highlight w:val="none"/>
        </w:rPr>
        <w:t>质疑事项2</w:t>
      </w:r>
    </w:p>
    <w:p w14:paraId="190767E8">
      <w:pPr>
        <w:pStyle w:val="17"/>
        <w:spacing w:line="360" w:lineRule="auto"/>
        <w:ind w:left="25" w:leftChars="12" w:firstLine="413" w:firstLineChars="197"/>
        <w:contextualSpacing/>
        <w:rPr>
          <w:rFonts w:hAnsi="宋体" w:cs="宋体"/>
          <w:sz w:val="21"/>
          <w:szCs w:val="21"/>
          <w:highlight w:val="none"/>
        </w:rPr>
      </w:pPr>
      <w:r>
        <w:rPr>
          <w:rFonts w:hint="eastAsia" w:hAnsi="宋体" w:cs="宋体"/>
          <w:sz w:val="21"/>
          <w:szCs w:val="21"/>
          <w:highlight w:val="none"/>
        </w:rPr>
        <w:t>……</w:t>
      </w:r>
    </w:p>
    <w:p w14:paraId="4C29DB7D">
      <w:pPr>
        <w:pStyle w:val="17"/>
        <w:spacing w:line="360" w:lineRule="auto"/>
        <w:ind w:left="25" w:leftChars="12" w:firstLine="413" w:firstLineChars="197"/>
        <w:contextualSpacing/>
        <w:rPr>
          <w:rFonts w:hAnsi="宋体" w:cs="宋体"/>
          <w:sz w:val="21"/>
          <w:szCs w:val="21"/>
          <w:highlight w:val="none"/>
        </w:rPr>
      </w:pPr>
      <w:r>
        <w:rPr>
          <w:rFonts w:hint="eastAsia" w:hAnsi="宋体" w:cs="宋体"/>
          <w:sz w:val="21"/>
          <w:szCs w:val="21"/>
          <w:highlight w:val="none"/>
        </w:rPr>
        <w:t>四、与质疑事项相关的质疑请求：</w:t>
      </w:r>
    </w:p>
    <w:p w14:paraId="7CD62AB1">
      <w:pPr>
        <w:pStyle w:val="17"/>
        <w:spacing w:line="360" w:lineRule="auto"/>
        <w:ind w:left="25" w:leftChars="12" w:firstLine="413" w:firstLineChars="197"/>
        <w:contextualSpacing/>
        <w:rPr>
          <w:rFonts w:hAnsi="宋体" w:cs="宋体"/>
          <w:sz w:val="21"/>
          <w:szCs w:val="21"/>
          <w:highlight w:val="none"/>
        </w:rPr>
      </w:pPr>
      <w:r>
        <w:rPr>
          <w:rFonts w:hint="eastAsia" w:hAnsi="宋体" w:cs="宋体"/>
          <w:sz w:val="21"/>
          <w:szCs w:val="21"/>
          <w:highlight w:val="none"/>
        </w:rPr>
        <w:t>请求：</w:t>
      </w:r>
      <w:r>
        <w:rPr>
          <w:rFonts w:hint="eastAsia" w:hAnsi="宋体" w:cs="宋体"/>
          <w:bCs/>
          <w:sz w:val="21"/>
          <w:szCs w:val="21"/>
          <w:highlight w:val="none"/>
          <w:u w:val="single"/>
        </w:rPr>
        <w:t xml:space="preserve">                                                                </w:t>
      </w:r>
    </w:p>
    <w:p w14:paraId="3F30B1CD">
      <w:pPr>
        <w:pStyle w:val="17"/>
        <w:spacing w:line="360" w:lineRule="auto"/>
        <w:ind w:left="25" w:leftChars="12" w:firstLine="308" w:firstLineChars="147"/>
        <w:contextualSpacing/>
        <w:rPr>
          <w:rFonts w:hAnsi="宋体" w:cs="宋体"/>
          <w:sz w:val="21"/>
          <w:szCs w:val="21"/>
          <w:highlight w:val="none"/>
        </w:rPr>
      </w:pPr>
    </w:p>
    <w:p w14:paraId="4A21D5B8">
      <w:pPr>
        <w:pStyle w:val="17"/>
        <w:spacing w:line="360" w:lineRule="auto"/>
        <w:ind w:left="25" w:leftChars="12" w:firstLine="413" w:firstLineChars="197"/>
        <w:contextualSpacing/>
        <w:rPr>
          <w:rFonts w:hAnsi="宋体" w:cs="宋体"/>
          <w:sz w:val="21"/>
          <w:szCs w:val="21"/>
          <w:highlight w:val="none"/>
          <w:u w:val="single"/>
        </w:rPr>
      </w:pPr>
      <w:r>
        <w:rPr>
          <w:rFonts w:hint="eastAsia" w:hAnsi="宋体" w:cs="宋体"/>
          <w:sz w:val="21"/>
          <w:szCs w:val="21"/>
          <w:highlight w:val="none"/>
        </w:rPr>
        <w:t>签字（签章）：</w:t>
      </w:r>
      <w:r>
        <w:rPr>
          <w:rFonts w:hint="eastAsia" w:hAnsi="宋体" w:cs="宋体"/>
          <w:sz w:val="21"/>
          <w:szCs w:val="21"/>
          <w:highlight w:val="none"/>
          <w:u w:val="single"/>
        </w:rPr>
        <w:t xml:space="preserve"> </w:t>
      </w:r>
      <w:r>
        <w:rPr>
          <w:rFonts w:hAnsi="宋体" w:cs="宋体"/>
          <w:sz w:val="21"/>
          <w:szCs w:val="21"/>
          <w:highlight w:val="none"/>
          <w:u w:val="single"/>
        </w:rPr>
        <w:t xml:space="preserve">           </w:t>
      </w:r>
      <w:r>
        <w:rPr>
          <w:rFonts w:hint="eastAsia" w:hAnsi="宋体" w:cs="宋体"/>
          <w:sz w:val="21"/>
          <w:szCs w:val="21"/>
          <w:highlight w:val="none"/>
        </w:rPr>
        <w:t xml:space="preserve">                           公章：</w:t>
      </w:r>
      <w:r>
        <w:rPr>
          <w:rFonts w:hint="eastAsia" w:hAnsi="宋体" w:cs="宋体"/>
          <w:sz w:val="21"/>
          <w:szCs w:val="21"/>
          <w:highlight w:val="none"/>
          <w:u w:val="single"/>
        </w:rPr>
        <w:t xml:space="preserve"> </w:t>
      </w:r>
      <w:r>
        <w:rPr>
          <w:rFonts w:hAnsi="宋体" w:cs="宋体"/>
          <w:sz w:val="21"/>
          <w:szCs w:val="21"/>
          <w:highlight w:val="none"/>
          <w:u w:val="single"/>
        </w:rPr>
        <w:t xml:space="preserve">              </w:t>
      </w:r>
    </w:p>
    <w:p w14:paraId="2CF3D58C">
      <w:pPr>
        <w:pStyle w:val="17"/>
        <w:spacing w:line="360" w:lineRule="auto"/>
        <w:ind w:firstLine="420" w:firstLineChars="200"/>
        <w:contextualSpacing/>
        <w:rPr>
          <w:rFonts w:hAnsi="宋体" w:cs="宋体"/>
          <w:sz w:val="21"/>
          <w:szCs w:val="21"/>
          <w:highlight w:val="none"/>
        </w:rPr>
      </w:pPr>
      <w:r>
        <w:rPr>
          <w:rFonts w:hint="eastAsia" w:hAnsi="宋体" w:cs="宋体"/>
          <w:sz w:val="21"/>
          <w:szCs w:val="21"/>
          <w:highlight w:val="none"/>
        </w:rPr>
        <w:t>日期：</w:t>
      </w:r>
      <w:r>
        <w:rPr>
          <w:rFonts w:hint="eastAsia" w:hAnsi="宋体" w:cs="宋体"/>
          <w:sz w:val="21"/>
          <w:szCs w:val="21"/>
          <w:highlight w:val="none"/>
          <w:u w:val="single"/>
        </w:rPr>
        <w:t xml:space="preserve"> </w:t>
      </w:r>
      <w:r>
        <w:rPr>
          <w:rFonts w:hAnsi="宋体" w:cs="宋体"/>
          <w:sz w:val="21"/>
          <w:szCs w:val="21"/>
          <w:highlight w:val="none"/>
          <w:u w:val="single"/>
        </w:rPr>
        <w:t xml:space="preserve">   </w:t>
      </w:r>
      <w:r>
        <w:rPr>
          <w:rFonts w:hint="eastAsia" w:hAnsi="宋体" w:cs="宋体"/>
          <w:sz w:val="21"/>
          <w:szCs w:val="21"/>
          <w:highlight w:val="none"/>
        </w:rPr>
        <w:t>年</w:t>
      </w:r>
      <w:r>
        <w:rPr>
          <w:rFonts w:hAnsi="宋体" w:cs="宋体"/>
          <w:sz w:val="21"/>
          <w:szCs w:val="21"/>
          <w:highlight w:val="none"/>
          <w:u w:val="single"/>
        </w:rPr>
        <w:t xml:space="preserve">     </w:t>
      </w:r>
      <w:r>
        <w:rPr>
          <w:rFonts w:hint="eastAsia" w:hAnsi="宋体" w:cs="宋体"/>
          <w:sz w:val="21"/>
          <w:szCs w:val="21"/>
          <w:highlight w:val="none"/>
        </w:rPr>
        <w:t>月</w:t>
      </w:r>
      <w:r>
        <w:rPr>
          <w:rFonts w:hAnsi="宋体" w:cs="宋体"/>
          <w:sz w:val="21"/>
          <w:szCs w:val="21"/>
          <w:highlight w:val="none"/>
          <w:u w:val="single"/>
        </w:rPr>
        <w:t xml:space="preserve">    </w:t>
      </w:r>
      <w:r>
        <w:rPr>
          <w:rFonts w:hint="eastAsia" w:hAnsi="宋体" w:cs="宋体"/>
          <w:sz w:val="21"/>
          <w:szCs w:val="21"/>
          <w:highlight w:val="none"/>
        </w:rPr>
        <w:t>日</w:t>
      </w:r>
    </w:p>
    <w:p w14:paraId="2A7D448B">
      <w:pPr>
        <w:rPr>
          <w:highlight w:val="none"/>
        </w:rPr>
      </w:pPr>
    </w:p>
    <w:p w14:paraId="5A24EB5D">
      <w:pPr>
        <w:pStyle w:val="14"/>
        <w:rPr>
          <w:highlight w:val="none"/>
        </w:rPr>
      </w:pPr>
    </w:p>
    <w:p w14:paraId="15C600AF">
      <w:pPr>
        <w:pStyle w:val="17"/>
        <w:spacing w:line="360" w:lineRule="auto"/>
        <w:ind w:firstLine="482" w:firstLineChars="200"/>
        <w:contextualSpacing/>
        <w:rPr>
          <w:rFonts w:ascii="楷体" w:hAnsi="楷体" w:eastAsia="楷体" w:cs="宋体"/>
          <w:b/>
          <w:sz w:val="24"/>
          <w:szCs w:val="24"/>
          <w:highlight w:val="none"/>
        </w:rPr>
      </w:pPr>
      <w:r>
        <w:rPr>
          <w:rFonts w:hint="eastAsia" w:ascii="楷体" w:hAnsi="楷体" w:eastAsia="楷体" w:cs="宋体"/>
          <w:b/>
          <w:sz w:val="24"/>
          <w:szCs w:val="24"/>
          <w:highlight w:val="none"/>
        </w:rPr>
        <w:t>说明：</w:t>
      </w:r>
    </w:p>
    <w:p w14:paraId="6814FE35">
      <w:pPr>
        <w:pStyle w:val="17"/>
        <w:spacing w:line="360" w:lineRule="auto"/>
        <w:ind w:left="25" w:leftChars="12" w:firstLine="354" w:firstLineChars="147"/>
        <w:contextualSpacing/>
        <w:rPr>
          <w:rFonts w:ascii="楷体" w:hAnsi="楷体" w:eastAsia="楷体" w:cs="宋体"/>
          <w:b/>
          <w:bCs/>
          <w:sz w:val="24"/>
          <w:szCs w:val="24"/>
          <w:highlight w:val="none"/>
        </w:rPr>
      </w:pPr>
      <w:r>
        <w:rPr>
          <w:rFonts w:ascii="楷体" w:hAnsi="楷体" w:eastAsia="楷体" w:cs="宋体"/>
          <w:b/>
          <w:sz w:val="24"/>
          <w:szCs w:val="24"/>
          <w:highlight w:val="none"/>
        </w:rPr>
        <w:t>1.供应商提出质疑时，应提交质疑函和必要的证明材料</w:t>
      </w:r>
      <w:r>
        <w:rPr>
          <w:rFonts w:hint="eastAsia" w:ascii="楷体" w:hAnsi="楷体" w:eastAsia="楷体" w:cs="宋体"/>
          <w:b/>
          <w:bCs/>
          <w:sz w:val="24"/>
          <w:szCs w:val="24"/>
          <w:highlight w:val="none"/>
        </w:rPr>
        <w:t>。</w:t>
      </w:r>
    </w:p>
    <w:p w14:paraId="08691FC8">
      <w:pPr>
        <w:pStyle w:val="17"/>
        <w:spacing w:line="360" w:lineRule="auto"/>
        <w:ind w:left="25" w:leftChars="12" w:firstLine="354" w:firstLineChars="147"/>
        <w:contextualSpacing/>
        <w:rPr>
          <w:rFonts w:ascii="楷体" w:hAnsi="楷体" w:eastAsia="楷体" w:cs="宋体"/>
          <w:b/>
          <w:sz w:val="24"/>
          <w:szCs w:val="24"/>
          <w:highlight w:val="none"/>
        </w:rPr>
      </w:pPr>
      <w:r>
        <w:rPr>
          <w:rFonts w:ascii="楷体" w:hAnsi="楷体" w:eastAsia="楷体" w:cs="宋体"/>
          <w:b/>
          <w:sz w:val="24"/>
          <w:szCs w:val="24"/>
          <w:highlight w:val="none"/>
        </w:rPr>
        <w:t>2.质疑供应商若委托代理人进行质疑的，</w:t>
      </w:r>
      <w:r>
        <w:rPr>
          <w:rFonts w:hint="eastAsia" w:ascii="楷体" w:hAnsi="楷体" w:eastAsia="楷体" w:cs="宋体"/>
          <w:b/>
          <w:sz w:val="24"/>
          <w:szCs w:val="24"/>
          <w:highlight w:val="none"/>
        </w:rPr>
        <w:t>质疑函应按要求列明“授权代表”的有关内容，并在附件中提交由质疑供应商签署的授权委托书。授权委托书应载明代理人的姓名或者名称、代理事项、具体权限、期限和相关事项。</w:t>
      </w:r>
    </w:p>
    <w:p w14:paraId="43F4FE0B">
      <w:pPr>
        <w:pStyle w:val="17"/>
        <w:spacing w:line="360" w:lineRule="auto"/>
        <w:ind w:left="25" w:leftChars="12" w:firstLine="354" w:firstLineChars="147"/>
        <w:contextualSpacing/>
        <w:rPr>
          <w:rFonts w:ascii="楷体" w:hAnsi="楷体" w:eastAsia="楷体" w:cs="宋体"/>
          <w:b/>
          <w:sz w:val="24"/>
          <w:szCs w:val="24"/>
          <w:highlight w:val="none"/>
        </w:rPr>
      </w:pPr>
      <w:r>
        <w:rPr>
          <w:rFonts w:ascii="楷体" w:hAnsi="楷体" w:eastAsia="楷体" w:cs="宋体"/>
          <w:b/>
          <w:sz w:val="24"/>
          <w:szCs w:val="24"/>
          <w:highlight w:val="none"/>
        </w:rPr>
        <w:t>3.质疑函的质疑事项应具体、明确，并有必要的事实依据和法律依据。</w:t>
      </w:r>
    </w:p>
    <w:p w14:paraId="28C2C34A">
      <w:pPr>
        <w:pStyle w:val="17"/>
        <w:spacing w:line="360" w:lineRule="auto"/>
        <w:ind w:left="25" w:leftChars="12" w:firstLine="354" w:firstLineChars="147"/>
        <w:contextualSpacing/>
        <w:rPr>
          <w:rFonts w:ascii="楷体" w:hAnsi="楷体" w:eastAsia="楷体" w:cs="宋体"/>
          <w:b/>
          <w:sz w:val="24"/>
          <w:szCs w:val="24"/>
          <w:highlight w:val="none"/>
        </w:rPr>
      </w:pPr>
      <w:r>
        <w:rPr>
          <w:rFonts w:ascii="楷体" w:hAnsi="楷体" w:eastAsia="楷体" w:cs="宋体"/>
          <w:b/>
          <w:sz w:val="24"/>
          <w:szCs w:val="24"/>
          <w:highlight w:val="none"/>
        </w:rPr>
        <w:t>4.质疑函的质疑请求应与质疑事项相关。</w:t>
      </w:r>
    </w:p>
    <w:p w14:paraId="52CAB8CF">
      <w:pPr>
        <w:pStyle w:val="17"/>
        <w:spacing w:line="360" w:lineRule="auto"/>
        <w:ind w:left="25" w:leftChars="12" w:firstLine="354" w:firstLineChars="147"/>
        <w:contextualSpacing/>
        <w:rPr>
          <w:rFonts w:ascii="楷体" w:hAnsi="楷体" w:eastAsia="楷体" w:cs="宋体"/>
          <w:b/>
          <w:sz w:val="24"/>
          <w:szCs w:val="24"/>
          <w:highlight w:val="none"/>
        </w:rPr>
      </w:pPr>
      <w:r>
        <w:rPr>
          <w:rFonts w:ascii="楷体" w:hAnsi="楷体" w:eastAsia="楷体" w:cs="宋体"/>
          <w:b/>
          <w:sz w:val="24"/>
          <w:szCs w:val="24"/>
          <w:highlight w:val="none"/>
        </w:rPr>
        <w:t>5.质疑供应商为法人或者其他组织的，</w:t>
      </w:r>
      <w:r>
        <w:rPr>
          <w:rFonts w:hint="eastAsia" w:ascii="楷体" w:hAnsi="楷体" w:eastAsia="楷体" w:cs="宋体"/>
          <w:b/>
          <w:sz w:val="24"/>
          <w:szCs w:val="24"/>
          <w:highlight w:val="none"/>
        </w:rPr>
        <w:t>质疑函应由法定代表人、主要负责人，或者其授权代表签字或者盖章，并加盖公章。</w:t>
      </w:r>
    </w:p>
    <w:p w14:paraId="4620CF9D">
      <w:pPr>
        <w:pStyle w:val="17"/>
        <w:snapToGrid w:val="0"/>
        <w:rPr>
          <w:rFonts w:hAnsi="宋体" w:cs="宋体"/>
          <w:b/>
          <w:sz w:val="24"/>
          <w:szCs w:val="24"/>
          <w:highlight w:val="none"/>
        </w:rPr>
      </w:pPr>
    </w:p>
    <w:p w14:paraId="73C9A1E2">
      <w:pPr>
        <w:rPr>
          <w:rFonts w:ascii="宋体" w:hAnsi="宋体" w:cs="宋体"/>
          <w:sz w:val="32"/>
          <w:szCs w:val="40"/>
          <w:highlight w:val="none"/>
        </w:rPr>
      </w:pPr>
    </w:p>
    <w:p w14:paraId="24C83AB7">
      <w:pPr>
        <w:rPr>
          <w:rFonts w:hint="eastAsia" w:ascii="宋体" w:hAnsi="宋体" w:cs="宋体"/>
          <w:sz w:val="28"/>
          <w:szCs w:val="28"/>
          <w:highlight w:val="none"/>
        </w:rPr>
      </w:pPr>
      <w:r>
        <w:rPr>
          <w:rFonts w:hint="eastAsia" w:ascii="宋体" w:hAnsi="宋体" w:cs="宋体"/>
          <w:sz w:val="28"/>
          <w:szCs w:val="28"/>
          <w:highlight w:val="none"/>
        </w:rPr>
        <w:br w:type="page"/>
      </w:r>
    </w:p>
    <w:p w14:paraId="35E7D5E8">
      <w:pPr>
        <w:spacing w:line="360" w:lineRule="auto"/>
        <w:jc w:val="center"/>
        <w:rPr>
          <w:rFonts w:ascii="宋体" w:hAnsi="宋体" w:cs="宋体"/>
          <w:sz w:val="28"/>
          <w:szCs w:val="28"/>
          <w:highlight w:val="none"/>
        </w:rPr>
      </w:pPr>
      <w:r>
        <w:rPr>
          <w:rFonts w:hint="eastAsia" w:ascii="宋体" w:hAnsi="宋体" w:cs="宋体"/>
          <w:sz w:val="28"/>
          <w:szCs w:val="28"/>
          <w:highlight w:val="none"/>
        </w:rPr>
        <w:t>投诉书（格式）</w:t>
      </w:r>
    </w:p>
    <w:p w14:paraId="1A05FB3A">
      <w:pPr>
        <w:pStyle w:val="17"/>
        <w:snapToGrid w:val="0"/>
        <w:spacing w:line="360" w:lineRule="auto"/>
        <w:ind w:firstLine="422" w:firstLineChars="200"/>
        <w:rPr>
          <w:rFonts w:hAnsi="宋体" w:cs="宋体"/>
          <w:b/>
          <w:bCs/>
          <w:sz w:val="21"/>
          <w:szCs w:val="21"/>
          <w:highlight w:val="none"/>
        </w:rPr>
      </w:pPr>
      <w:r>
        <w:rPr>
          <w:rFonts w:hint="eastAsia" w:hAnsi="宋体" w:cs="宋体"/>
          <w:b/>
          <w:bCs/>
          <w:sz w:val="21"/>
          <w:szCs w:val="21"/>
          <w:highlight w:val="none"/>
        </w:rPr>
        <w:t>一、投诉相关主体基本情况：</w:t>
      </w:r>
    </w:p>
    <w:p w14:paraId="7283A0A8">
      <w:pPr>
        <w:pStyle w:val="17"/>
        <w:snapToGrid w:val="0"/>
        <w:spacing w:line="360" w:lineRule="auto"/>
        <w:ind w:firstLine="420" w:firstLineChars="200"/>
        <w:rPr>
          <w:rFonts w:hAnsi="宋体" w:cs="宋体"/>
          <w:bCs/>
          <w:sz w:val="21"/>
          <w:szCs w:val="21"/>
          <w:highlight w:val="none"/>
          <w:u w:val="single"/>
        </w:rPr>
      </w:pPr>
      <w:r>
        <w:rPr>
          <w:rFonts w:hint="eastAsia" w:hAnsi="宋体" w:cs="宋体"/>
          <w:bCs/>
          <w:sz w:val="21"/>
          <w:szCs w:val="21"/>
          <w:highlight w:val="none"/>
        </w:rPr>
        <w:t>供应商：</w:t>
      </w:r>
      <w:r>
        <w:rPr>
          <w:rFonts w:hint="eastAsia" w:hAnsi="宋体" w:cs="宋体"/>
          <w:bCs/>
          <w:sz w:val="21"/>
          <w:szCs w:val="21"/>
          <w:highlight w:val="none"/>
          <w:u w:val="single"/>
        </w:rPr>
        <w:t xml:space="preserve">                                                                        </w:t>
      </w:r>
      <w:r>
        <w:rPr>
          <w:rFonts w:hint="eastAsia" w:hAnsi="宋体" w:cs="宋体"/>
          <w:bCs/>
          <w:sz w:val="21"/>
          <w:szCs w:val="21"/>
          <w:highlight w:val="none"/>
        </w:rPr>
        <w:t xml:space="preserve">                 </w:t>
      </w:r>
    </w:p>
    <w:p w14:paraId="3EB73CE6">
      <w:pPr>
        <w:pStyle w:val="17"/>
        <w:snapToGrid w:val="0"/>
        <w:spacing w:line="360" w:lineRule="auto"/>
        <w:ind w:firstLine="420" w:firstLineChars="200"/>
        <w:rPr>
          <w:rFonts w:hAnsi="宋体" w:cs="宋体"/>
          <w:bCs/>
          <w:sz w:val="21"/>
          <w:szCs w:val="21"/>
          <w:highlight w:val="none"/>
        </w:rPr>
      </w:pPr>
      <w:r>
        <w:rPr>
          <w:rFonts w:hint="eastAsia" w:hAnsi="宋体" w:cs="宋体"/>
          <w:bCs/>
          <w:sz w:val="21"/>
          <w:szCs w:val="21"/>
          <w:highlight w:val="none"/>
        </w:rPr>
        <w:t>地址：</w:t>
      </w:r>
      <w:r>
        <w:rPr>
          <w:rFonts w:hint="eastAsia" w:hAnsi="宋体" w:cs="宋体"/>
          <w:bCs/>
          <w:sz w:val="21"/>
          <w:szCs w:val="21"/>
          <w:highlight w:val="none"/>
          <w:u w:val="single"/>
        </w:rPr>
        <w:t xml:space="preserve">                                          </w:t>
      </w:r>
      <w:r>
        <w:rPr>
          <w:rFonts w:hint="eastAsia" w:hAnsi="宋体" w:cs="宋体"/>
          <w:bCs/>
          <w:sz w:val="21"/>
          <w:szCs w:val="21"/>
          <w:highlight w:val="none"/>
        </w:rPr>
        <w:t>邮编：</w:t>
      </w:r>
      <w:r>
        <w:rPr>
          <w:rFonts w:hint="eastAsia" w:hAnsi="宋体" w:cs="宋体"/>
          <w:bCs/>
          <w:sz w:val="21"/>
          <w:szCs w:val="21"/>
          <w:highlight w:val="none"/>
          <w:u w:val="single"/>
        </w:rPr>
        <w:t xml:space="preserve">                          </w:t>
      </w:r>
      <w:r>
        <w:rPr>
          <w:rFonts w:hint="eastAsia" w:hAnsi="宋体" w:cs="宋体"/>
          <w:bCs/>
          <w:sz w:val="21"/>
          <w:szCs w:val="21"/>
          <w:highlight w:val="none"/>
        </w:rPr>
        <w:t xml:space="preserve">                 </w:t>
      </w:r>
    </w:p>
    <w:p w14:paraId="16A824BD">
      <w:pPr>
        <w:pStyle w:val="17"/>
        <w:snapToGrid w:val="0"/>
        <w:spacing w:line="360" w:lineRule="auto"/>
        <w:ind w:firstLine="420" w:firstLineChars="200"/>
        <w:rPr>
          <w:rFonts w:hAnsi="宋体" w:cs="宋体"/>
          <w:bCs/>
          <w:sz w:val="21"/>
          <w:szCs w:val="21"/>
          <w:highlight w:val="none"/>
          <w:u w:val="single"/>
        </w:rPr>
      </w:pPr>
      <w:r>
        <w:rPr>
          <w:rFonts w:hint="eastAsia" w:hAnsi="宋体" w:cs="宋体"/>
          <w:bCs/>
          <w:sz w:val="21"/>
          <w:szCs w:val="21"/>
          <w:highlight w:val="none"/>
        </w:rPr>
        <w:t>法定代表人/主要负责人：</w:t>
      </w:r>
      <w:r>
        <w:rPr>
          <w:rFonts w:hint="eastAsia" w:hAnsi="宋体" w:cs="宋体"/>
          <w:bCs/>
          <w:sz w:val="21"/>
          <w:szCs w:val="21"/>
          <w:highlight w:val="none"/>
          <w:u w:val="single"/>
        </w:rPr>
        <w:t xml:space="preserve">                                                         </w:t>
      </w:r>
    </w:p>
    <w:p w14:paraId="4B9630B0">
      <w:pPr>
        <w:pStyle w:val="17"/>
        <w:snapToGrid w:val="0"/>
        <w:spacing w:line="360" w:lineRule="auto"/>
        <w:ind w:firstLine="420" w:firstLineChars="200"/>
        <w:rPr>
          <w:rFonts w:hAnsi="宋体" w:cs="宋体"/>
          <w:bCs/>
          <w:sz w:val="21"/>
          <w:szCs w:val="21"/>
          <w:highlight w:val="none"/>
        </w:rPr>
      </w:pPr>
      <w:r>
        <w:rPr>
          <w:rFonts w:hint="eastAsia" w:hAnsi="宋体" w:cs="宋体"/>
          <w:bCs/>
          <w:sz w:val="21"/>
          <w:szCs w:val="21"/>
          <w:highlight w:val="none"/>
        </w:rPr>
        <w:t>联系电话：</w:t>
      </w:r>
      <w:r>
        <w:rPr>
          <w:rFonts w:hint="eastAsia" w:hAnsi="宋体" w:cs="宋体"/>
          <w:bCs/>
          <w:sz w:val="21"/>
          <w:szCs w:val="21"/>
          <w:highlight w:val="none"/>
          <w:u w:val="single"/>
        </w:rPr>
        <w:t xml:space="preserve">                                         </w:t>
      </w:r>
    </w:p>
    <w:p w14:paraId="5BD6BB75">
      <w:pPr>
        <w:pStyle w:val="17"/>
        <w:snapToGrid w:val="0"/>
        <w:spacing w:line="360" w:lineRule="auto"/>
        <w:ind w:firstLine="420" w:firstLineChars="200"/>
        <w:rPr>
          <w:rFonts w:hAnsi="宋体" w:cs="宋体"/>
          <w:bCs/>
          <w:sz w:val="21"/>
          <w:szCs w:val="21"/>
          <w:highlight w:val="none"/>
          <w:u w:val="single"/>
        </w:rPr>
      </w:pPr>
      <w:r>
        <w:rPr>
          <w:rFonts w:hint="eastAsia" w:hAnsi="宋体" w:cs="宋体"/>
          <w:bCs/>
          <w:sz w:val="21"/>
          <w:szCs w:val="21"/>
          <w:highlight w:val="none"/>
        </w:rPr>
        <w:t>授权代表：</w:t>
      </w:r>
      <w:r>
        <w:rPr>
          <w:rFonts w:hint="eastAsia" w:hAnsi="宋体" w:cs="宋体"/>
          <w:bCs/>
          <w:sz w:val="21"/>
          <w:szCs w:val="21"/>
          <w:highlight w:val="none"/>
          <w:u w:val="single"/>
        </w:rPr>
        <w:t xml:space="preserve">                                         </w:t>
      </w:r>
      <w:r>
        <w:rPr>
          <w:rFonts w:hint="eastAsia" w:hAnsi="宋体" w:cs="宋体"/>
          <w:bCs/>
          <w:sz w:val="21"/>
          <w:szCs w:val="21"/>
          <w:highlight w:val="none"/>
        </w:rPr>
        <w:t>联系电话：</w:t>
      </w:r>
      <w:r>
        <w:rPr>
          <w:rFonts w:hint="eastAsia" w:hAnsi="宋体" w:cs="宋体"/>
          <w:bCs/>
          <w:sz w:val="21"/>
          <w:szCs w:val="21"/>
          <w:highlight w:val="none"/>
          <w:u w:val="single"/>
        </w:rPr>
        <w:t xml:space="preserve">                   </w:t>
      </w:r>
    </w:p>
    <w:p w14:paraId="57E26A71">
      <w:pPr>
        <w:pStyle w:val="17"/>
        <w:snapToGrid w:val="0"/>
        <w:spacing w:line="360" w:lineRule="auto"/>
        <w:ind w:firstLine="420" w:firstLineChars="200"/>
        <w:rPr>
          <w:rFonts w:hAnsi="宋体" w:cs="宋体"/>
          <w:bCs/>
          <w:sz w:val="21"/>
          <w:szCs w:val="21"/>
          <w:highlight w:val="none"/>
          <w:u w:val="single"/>
        </w:rPr>
      </w:pPr>
      <w:r>
        <w:rPr>
          <w:rFonts w:hint="eastAsia" w:hAnsi="宋体" w:cs="宋体"/>
          <w:bCs/>
          <w:sz w:val="21"/>
          <w:szCs w:val="21"/>
          <w:highlight w:val="none"/>
        </w:rPr>
        <w:t>地址：</w:t>
      </w:r>
      <w:r>
        <w:rPr>
          <w:rFonts w:hint="eastAsia" w:hAnsi="宋体" w:cs="宋体"/>
          <w:bCs/>
          <w:sz w:val="21"/>
          <w:szCs w:val="21"/>
          <w:highlight w:val="none"/>
          <w:u w:val="single"/>
        </w:rPr>
        <w:t xml:space="preserve">                                                            </w:t>
      </w:r>
    </w:p>
    <w:p w14:paraId="241A6352">
      <w:pPr>
        <w:pStyle w:val="17"/>
        <w:snapToGrid w:val="0"/>
        <w:spacing w:line="360" w:lineRule="auto"/>
        <w:ind w:firstLine="420" w:firstLineChars="200"/>
        <w:rPr>
          <w:rFonts w:hAnsi="宋体" w:cs="宋体"/>
          <w:bCs/>
          <w:sz w:val="21"/>
          <w:szCs w:val="21"/>
          <w:highlight w:val="none"/>
        </w:rPr>
      </w:pPr>
      <w:r>
        <w:rPr>
          <w:rFonts w:hint="eastAsia" w:hAnsi="宋体" w:cs="宋体"/>
          <w:bCs/>
          <w:sz w:val="21"/>
          <w:szCs w:val="21"/>
          <w:highlight w:val="none"/>
        </w:rPr>
        <w:t>邮编：</w:t>
      </w:r>
      <w:r>
        <w:rPr>
          <w:rFonts w:hint="eastAsia" w:hAnsi="宋体" w:cs="宋体"/>
          <w:bCs/>
          <w:sz w:val="21"/>
          <w:szCs w:val="21"/>
          <w:highlight w:val="none"/>
          <w:u w:val="single"/>
        </w:rPr>
        <w:t xml:space="preserve">         </w:t>
      </w:r>
      <w:r>
        <w:rPr>
          <w:rFonts w:hint="eastAsia" w:hAnsi="宋体" w:cs="宋体"/>
          <w:bCs/>
          <w:sz w:val="21"/>
          <w:szCs w:val="21"/>
          <w:highlight w:val="none"/>
        </w:rPr>
        <w:t xml:space="preserve">   </w:t>
      </w:r>
    </w:p>
    <w:p w14:paraId="2360F458">
      <w:pPr>
        <w:pStyle w:val="17"/>
        <w:snapToGrid w:val="0"/>
        <w:spacing w:line="360" w:lineRule="auto"/>
        <w:ind w:firstLine="420" w:firstLineChars="200"/>
        <w:rPr>
          <w:rFonts w:hAnsi="宋体" w:cs="宋体"/>
          <w:bCs/>
          <w:sz w:val="21"/>
          <w:szCs w:val="21"/>
          <w:highlight w:val="none"/>
        </w:rPr>
      </w:pPr>
      <w:r>
        <w:rPr>
          <w:rFonts w:hint="eastAsia" w:hAnsi="宋体" w:cs="宋体"/>
          <w:bCs/>
          <w:sz w:val="21"/>
          <w:szCs w:val="21"/>
          <w:highlight w:val="none"/>
        </w:rPr>
        <w:t>被投诉人1：</w:t>
      </w:r>
    </w:p>
    <w:p w14:paraId="598A863F">
      <w:pPr>
        <w:pStyle w:val="17"/>
        <w:snapToGrid w:val="0"/>
        <w:spacing w:line="360" w:lineRule="auto"/>
        <w:ind w:firstLine="420" w:firstLineChars="200"/>
        <w:rPr>
          <w:rFonts w:hAnsi="宋体" w:cs="宋体"/>
          <w:bCs/>
          <w:sz w:val="21"/>
          <w:szCs w:val="21"/>
          <w:highlight w:val="none"/>
          <w:u w:val="single"/>
        </w:rPr>
      </w:pPr>
      <w:r>
        <w:rPr>
          <w:rFonts w:hint="eastAsia" w:hAnsi="宋体" w:cs="宋体"/>
          <w:bCs/>
          <w:sz w:val="21"/>
          <w:szCs w:val="21"/>
          <w:highlight w:val="none"/>
        </w:rPr>
        <w:t>地址：</w:t>
      </w:r>
      <w:r>
        <w:rPr>
          <w:rFonts w:hint="eastAsia" w:hAnsi="宋体" w:cs="宋体"/>
          <w:bCs/>
          <w:sz w:val="21"/>
          <w:szCs w:val="21"/>
          <w:highlight w:val="none"/>
          <w:u w:val="single"/>
        </w:rPr>
        <w:t xml:space="preserve">                                                            </w:t>
      </w:r>
    </w:p>
    <w:p w14:paraId="324CF428">
      <w:pPr>
        <w:pStyle w:val="17"/>
        <w:snapToGrid w:val="0"/>
        <w:spacing w:line="360" w:lineRule="auto"/>
        <w:ind w:firstLine="420" w:firstLineChars="200"/>
        <w:rPr>
          <w:rFonts w:hAnsi="宋体" w:cs="宋体"/>
          <w:bCs/>
          <w:sz w:val="21"/>
          <w:szCs w:val="21"/>
          <w:highlight w:val="none"/>
        </w:rPr>
      </w:pPr>
      <w:r>
        <w:rPr>
          <w:rFonts w:hint="eastAsia" w:hAnsi="宋体" w:cs="宋体"/>
          <w:bCs/>
          <w:sz w:val="21"/>
          <w:szCs w:val="21"/>
          <w:highlight w:val="none"/>
        </w:rPr>
        <w:t>邮编：</w:t>
      </w:r>
      <w:r>
        <w:rPr>
          <w:rFonts w:hint="eastAsia" w:hAnsi="宋体" w:cs="宋体"/>
          <w:bCs/>
          <w:sz w:val="21"/>
          <w:szCs w:val="21"/>
          <w:highlight w:val="none"/>
          <w:u w:val="single"/>
        </w:rPr>
        <w:t xml:space="preserve">         </w:t>
      </w:r>
      <w:r>
        <w:rPr>
          <w:rFonts w:hint="eastAsia" w:hAnsi="宋体" w:cs="宋体"/>
          <w:bCs/>
          <w:sz w:val="21"/>
          <w:szCs w:val="21"/>
          <w:highlight w:val="none"/>
        </w:rPr>
        <w:t xml:space="preserve">  </w:t>
      </w:r>
    </w:p>
    <w:p w14:paraId="4D3F7121">
      <w:pPr>
        <w:pStyle w:val="17"/>
        <w:snapToGrid w:val="0"/>
        <w:spacing w:line="360" w:lineRule="auto"/>
        <w:ind w:firstLine="420" w:firstLineChars="200"/>
        <w:rPr>
          <w:rFonts w:hAnsi="宋体" w:cs="宋体"/>
          <w:bCs/>
          <w:sz w:val="21"/>
          <w:szCs w:val="21"/>
          <w:highlight w:val="none"/>
          <w:u w:val="single"/>
        </w:rPr>
      </w:pPr>
      <w:r>
        <w:rPr>
          <w:rFonts w:hint="eastAsia" w:hAnsi="宋体" w:cs="宋体"/>
          <w:bCs/>
          <w:sz w:val="21"/>
          <w:szCs w:val="21"/>
          <w:highlight w:val="none"/>
        </w:rPr>
        <w:t>联系人：</w:t>
      </w:r>
      <w:r>
        <w:rPr>
          <w:rFonts w:hint="eastAsia" w:hAnsi="宋体" w:cs="宋体"/>
          <w:bCs/>
          <w:sz w:val="21"/>
          <w:szCs w:val="21"/>
          <w:highlight w:val="none"/>
          <w:u w:val="single"/>
        </w:rPr>
        <w:t xml:space="preserve">                                                </w:t>
      </w:r>
      <w:r>
        <w:rPr>
          <w:rFonts w:hint="eastAsia" w:hAnsi="宋体" w:cs="宋体"/>
          <w:bCs/>
          <w:sz w:val="21"/>
          <w:szCs w:val="21"/>
          <w:highlight w:val="none"/>
        </w:rPr>
        <w:t>联系电话：</w:t>
      </w:r>
      <w:r>
        <w:rPr>
          <w:rFonts w:hint="eastAsia" w:hAnsi="宋体" w:cs="宋体"/>
          <w:bCs/>
          <w:sz w:val="21"/>
          <w:szCs w:val="21"/>
          <w:highlight w:val="none"/>
          <w:u w:val="single"/>
        </w:rPr>
        <w:t xml:space="preserve">                </w:t>
      </w:r>
    </w:p>
    <w:p w14:paraId="15E3ED96">
      <w:pPr>
        <w:pStyle w:val="17"/>
        <w:snapToGrid w:val="0"/>
        <w:spacing w:line="360" w:lineRule="auto"/>
        <w:ind w:firstLine="420" w:firstLineChars="200"/>
        <w:rPr>
          <w:rFonts w:hAnsi="宋体" w:cs="宋体"/>
          <w:bCs/>
          <w:sz w:val="21"/>
          <w:szCs w:val="21"/>
          <w:highlight w:val="none"/>
        </w:rPr>
      </w:pPr>
      <w:r>
        <w:rPr>
          <w:rFonts w:hint="eastAsia" w:hAnsi="宋体" w:cs="宋体"/>
          <w:bCs/>
          <w:sz w:val="21"/>
          <w:szCs w:val="21"/>
          <w:highlight w:val="none"/>
        </w:rPr>
        <w:t>被投诉人2：</w:t>
      </w:r>
    </w:p>
    <w:p w14:paraId="641E4ADD">
      <w:pPr>
        <w:pStyle w:val="17"/>
        <w:snapToGrid w:val="0"/>
        <w:spacing w:line="360" w:lineRule="auto"/>
        <w:ind w:firstLine="420" w:firstLineChars="200"/>
        <w:rPr>
          <w:rFonts w:hAnsi="宋体" w:cs="宋体"/>
          <w:bCs/>
          <w:sz w:val="21"/>
          <w:szCs w:val="21"/>
          <w:highlight w:val="none"/>
        </w:rPr>
      </w:pPr>
      <w:r>
        <w:rPr>
          <w:rFonts w:hint="eastAsia" w:hAnsi="宋体" w:cs="宋体"/>
          <w:bCs/>
          <w:sz w:val="21"/>
          <w:szCs w:val="21"/>
          <w:highlight w:val="none"/>
        </w:rPr>
        <w:t>……</w:t>
      </w:r>
    </w:p>
    <w:p w14:paraId="792AE30A">
      <w:pPr>
        <w:pStyle w:val="17"/>
        <w:snapToGrid w:val="0"/>
        <w:spacing w:line="360" w:lineRule="auto"/>
        <w:ind w:firstLine="420" w:firstLineChars="200"/>
        <w:rPr>
          <w:rFonts w:hAnsi="宋体" w:cs="宋体"/>
          <w:bCs/>
          <w:sz w:val="21"/>
          <w:szCs w:val="21"/>
          <w:highlight w:val="none"/>
          <w:u w:val="single"/>
        </w:rPr>
      </w:pPr>
      <w:r>
        <w:rPr>
          <w:rFonts w:hint="eastAsia" w:hAnsi="宋体" w:cs="宋体"/>
          <w:bCs/>
          <w:sz w:val="21"/>
          <w:szCs w:val="21"/>
          <w:highlight w:val="none"/>
        </w:rPr>
        <w:t>相关供应商：</w:t>
      </w:r>
      <w:r>
        <w:rPr>
          <w:rFonts w:hint="eastAsia" w:hAnsi="宋体" w:cs="宋体"/>
          <w:bCs/>
          <w:sz w:val="21"/>
          <w:szCs w:val="21"/>
          <w:highlight w:val="none"/>
          <w:u w:val="single"/>
        </w:rPr>
        <w:t xml:space="preserve">                                                                       </w:t>
      </w:r>
    </w:p>
    <w:p w14:paraId="7D54DFE7">
      <w:pPr>
        <w:pStyle w:val="17"/>
        <w:snapToGrid w:val="0"/>
        <w:spacing w:line="360" w:lineRule="auto"/>
        <w:ind w:firstLine="420" w:firstLineChars="200"/>
        <w:rPr>
          <w:rFonts w:hAnsi="宋体" w:cs="宋体"/>
          <w:bCs/>
          <w:sz w:val="21"/>
          <w:szCs w:val="21"/>
          <w:highlight w:val="none"/>
          <w:u w:val="single"/>
        </w:rPr>
      </w:pPr>
      <w:r>
        <w:rPr>
          <w:rFonts w:hint="eastAsia" w:hAnsi="宋体" w:cs="宋体"/>
          <w:bCs/>
          <w:sz w:val="21"/>
          <w:szCs w:val="21"/>
          <w:highlight w:val="none"/>
        </w:rPr>
        <w:t>地址：</w:t>
      </w:r>
      <w:r>
        <w:rPr>
          <w:rFonts w:hint="eastAsia" w:hAnsi="宋体" w:cs="宋体"/>
          <w:bCs/>
          <w:sz w:val="21"/>
          <w:szCs w:val="21"/>
          <w:highlight w:val="none"/>
          <w:u w:val="single"/>
        </w:rPr>
        <w:t xml:space="preserve">                                              </w:t>
      </w:r>
      <w:r>
        <w:rPr>
          <w:rFonts w:hint="eastAsia" w:hAnsi="宋体" w:cs="宋体"/>
          <w:bCs/>
          <w:sz w:val="21"/>
          <w:szCs w:val="21"/>
          <w:highlight w:val="none"/>
        </w:rPr>
        <w:t>邮编：</w:t>
      </w:r>
      <w:r>
        <w:rPr>
          <w:rFonts w:hint="eastAsia" w:hAnsi="宋体" w:cs="宋体"/>
          <w:bCs/>
          <w:sz w:val="21"/>
          <w:szCs w:val="21"/>
          <w:highlight w:val="none"/>
          <w:u w:val="single"/>
        </w:rPr>
        <w:t xml:space="preserve">                         </w:t>
      </w:r>
    </w:p>
    <w:p w14:paraId="3C1EA910">
      <w:pPr>
        <w:pStyle w:val="17"/>
        <w:snapToGrid w:val="0"/>
        <w:spacing w:line="360" w:lineRule="auto"/>
        <w:ind w:firstLine="420" w:firstLineChars="200"/>
        <w:rPr>
          <w:rFonts w:hAnsi="宋体" w:cs="宋体"/>
          <w:bCs/>
          <w:sz w:val="21"/>
          <w:szCs w:val="21"/>
          <w:highlight w:val="none"/>
        </w:rPr>
      </w:pPr>
      <w:r>
        <w:rPr>
          <w:rFonts w:hint="eastAsia" w:hAnsi="宋体" w:cs="宋体"/>
          <w:bCs/>
          <w:sz w:val="21"/>
          <w:szCs w:val="21"/>
          <w:highlight w:val="none"/>
        </w:rPr>
        <w:t>联系人：</w:t>
      </w:r>
      <w:r>
        <w:rPr>
          <w:rFonts w:hint="eastAsia" w:hAnsi="宋体" w:cs="宋体"/>
          <w:bCs/>
          <w:sz w:val="21"/>
          <w:szCs w:val="21"/>
          <w:highlight w:val="none"/>
          <w:u w:val="single"/>
        </w:rPr>
        <w:t xml:space="preserve">                                            </w:t>
      </w:r>
      <w:r>
        <w:rPr>
          <w:rFonts w:hint="eastAsia" w:hAnsi="宋体" w:cs="宋体"/>
          <w:bCs/>
          <w:sz w:val="21"/>
          <w:szCs w:val="21"/>
          <w:highlight w:val="none"/>
        </w:rPr>
        <w:t>联系电话：</w:t>
      </w:r>
      <w:r>
        <w:rPr>
          <w:rFonts w:hint="eastAsia" w:hAnsi="宋体" w:cs="宋体"/>
          <w:bCs/>
          <w:sz w:val="21"/>
          <w:szCs w:val="21"/>
          <w:highlight w:val="none"/>
          <w:u w:val="single"/>
        </w:rPr>
        <w:t xml:space="preserve">                     </w:t>
      </w:r>
      <w:r>
        <w:rPr>
          <w:rFonts w:hint="eastAsia" w:hAnsi="宋体" w:cs="宋体"/>
          <w:bCs/>
          <w:sz w:val="21"/>
          <w:szCs w:val="21"/>
          <w:highlight w:val="none"/>
        </w:rPr>
        <w:t xml:space="preserve">                </w:t>
      </w:r>
    </w:p>
    <w:p w14:paraId="7F48A64C">
      <w:pPr>
        <w:pStyle w:val="17"/>
        <w:snapToGrid w:val="0"/>
        <w:spacing w:line="360" w:lineRule="auto"/>
        <w:ind w:firstLine="422" w:firstLineChars="200"/>
        <w:rPr>
          <w:rFonts w:hAnsi="宋体" w:cs="宋体"/>
          <w:b/>
          <w:bCs/>
          <w:sz w:val="21"/>
          <w:szCs w:val="21"/>
          <w:highlight w:val="none"/>
        </w:rPr>
      </w:pPr>
      <w:r>
        <w:rPr>
          <w:rFonts w:hint="eastAsia" w:hAnsi="宋体" w:cs="宋体"/>
          <w:b/>
          <w:bCs/>
          <w:sz w:val="21"/>
          <w:szCs w:val="21"/>
          <w:highlight w:val="none"/>
        </w:rPr>
        <w:t>二、投诉项目基本情况：</w:t>
      </w:r>
    </w:p>
    <w:p w14:paraId="2120A97F">
      <w:pPr>
        <w:pStyle w:val="17"/>
        <w:spacing w:line="360" w:lineRule="auto"/>
        <w:ind w:left="25" w:leftChars="12" w:firstLine="413" w:firstLineChars="197"/>
        <w:rPr>
          <w:rFonts w:hAnsi="宋体" w:cs="宋体"/>
          <w:sz w:val="21"/>
          <w:szCs w:val="21"/>
          <w:highlight w:val="none"/>
        </w:rPr>
      </w:pPr>
      <w:r>
        <w:rPr>
          <w:rFonts w:hint="eastAsia" w:hAnsi="宋体" w:cs="宋体"/>
          <w:bCs/>
          <w:sz w:val="21"/>
          <w:szCs w:val="21"/>
          <w:highlight w:val="none"/>
        </w:rPr>
        <w:t>采购</w:t>
      </w:r>
      <w:r>
        <w:rPr>
          <w:rFonts w:hint="eastAsia" w:hAnsi="宋体" w:cs="宋体"/>
          <w:sz w:val="21"/>
          <w:szCs w:val="21"/>
          <w:highlight w:val="none"/>
        </w:rPr>
        <w:t>项目的名称：</w:t>
      </w:r>
      <w:r>
        <w:rPr>
          <w:rFonts w:hint="eastAsia" w:hAnsi="宋体" w:cs="宋体"/>
          <w:bCs/>
          <w:sz w:val="21"/>
          <w:szCs w:val="21"/>
          <w:highlight w:val="none"/>
          <w:u w:val="single"/>
        </w:rPr>
        <w:t xml:space="preserve">                                                                   </w:t>
      </w:r>
    </w:p>
    <w:p w14:paraId="7D133896">
      <w:pPr>
        <w:pStyle w:val="17"/>
        <w:spacing w:line="360" w:lineRule="auto"/>
        <w:ind w:left="25" w:leftChars="12" w:firstLine="413" w:firstLineChars="197"/>
        <w:rPr>
          <w:rFonts w:hAnsi="宋体" w:cs="宋体"/>
          <w:sz w:val="21"/>
          <w:szCs w:val="21"/>
          <w:highlight w:val="none"/>
        </w:rPr>
      </w:pPr>
      <w:r>
        <w:rPr>
          <w:rFonts w:hint="eastAsia" w:hAnsi="宋体" w:cs="宋体"/>
          <w:bCs/>
          <w:sz w:val="21"/>
          <w:szCs w:val="21"/>
          <w:highlight w:val="none"/>
        </w:rPr>
        <w:t>采购</w:t>
      </w:r>
      <w:r>
        <w:rPr>
          <w:rFonts w:hint="eastAsia" w:hAnsi="宋体" w:cs="宋体"/>
          <w:sz w:val="21"/>
          <w:szCs w:val="21"/>
          <w:highlight w:val="none"/>
        </w:rPr>
        <w:t>项目的编号：</w:t>
      </w:r>
      <w:r>
        <w:rPr>
          <w:rFonts w:hint="eastAsia" w:hAnsi="宋体" w:cs="宋体"/>
          <w:bCs/>
          <w:sz w:val="21"/>
          <w:szCs w:val="21"/>
          <w:highlight w:val="none"/>
          <w:u w:val="single"/>
        </w:rPr>
        <w:t xml:space="preserve">                                          </w:t>
      </w:r>
    </w:p>
    <w:p w14:paraId="656ECF52">
      <w:pPr>
        <w:pStyle w:val="17"/>
        <w:spacing w:line="360" w:lineRule="auto"/>
        <w:ind w:left="25" w:leftChars="12" w:firstLine="413" w:firstLineChars="197"/>
        <w:rPr>
          <w:rFonts w:hAnsi="宋体" w:cs="宋体"/>
          <w:bCs/>
          <w:sz w:val="21"/>
          <w:szCs w:val="21"/>
          <w:highlight w:val="none"/>
          <w:u w:val="single"/>
        </w:rPr>
      </w:pPr>
      <w:r>
        <w:rPr>
          <w:rFonts w:hint="eastAsia" w:hAnsi="宋体" w:cs="宋体"/>
          <w:sz w:val="21"/>
          <w:szCs w:val="21"/>
          <w:highlight w:val="none"/>
        </w:rPr>
        <w:t>采购人名称：</w:t>
      </w:r>
      <w:r>
        <w:rPr>
          <w:rFonts w:hint="eastAsia" w:hAnsi="宋体" w:cs="宋体"/>
          <w:bCs/>
          <w:sz w:val="21"/>
          <w:szCs w:val="21"/>
          <w:highlight w:val="none"/>
          <w:u w:val="single"/>
        </w:rPr>
        <w:t xml:space="preserve">                                                                        </w:t>
      </w:r>
    </w:p>
    <w:p w14:paraId="67146E4E">
      <w:pPr>
        <w:pStyle w:val="17"/>
        <w:spacing w:line="360" w:lineRule="auto"/>
        <w:ind w:left="25" w:leftChars="12" w:firstLine="413" w:firstLineChars="197"/>
        <w:rPr>
          <w:rFonts w:hAnsi="宋体" w:cs="宋体"/>
          <w:bCs/>
          <w:sz w:val="21"/>
          <w:szCs w:val="21"/>
          <w:highlight w:val="none"/>
          <w:u w:val="single"/>
        </w:rPr>
      </w:pPr>
      <w:r>
        <w:rPr>
          <w:rFonts w:hint="eastAsia" w:hAnsi="宋体" w:cs="宋体"/>
          <w:sz w:val="21"/>
          <w:szCs w:val="21"/>
          <w:highlight w:val="none"/>
        </w:rPr>
        <w:t>代理机构名称：</w:t>
      </w:r>
      <w:r>
        <w:rPr>
          <w:rFonts w:hint="eastAsia" w:hAnsi="宋体" w:cs="宋体"/>
          <w:bCs/>
          <w:sz w:val="21"/>
          <w:szCs w:val="21"/>
          <w:highlight w:val="none"/>
          <w:u w:val="single"/>
        </w:rPr>
        <w:t xml:space="preserve">                                                                      </w:t>
      </w:r>
    </w:p>
    <w:p w14:paraId="15D8874C">
      <w:pPr>
        <w:pStyle w:val="17"/>
        <w:spacing w:line="360" w:lineRule="auto"/>
        <w:ind w:left="25" w:leftChars="12" w:firstLine="413" w:firstLineChars="197"/>
        <w:rPr>
          <w:rFonts w:hAnsi="宋体" w:cs="宋体"/>
          <w:bCs/>
          <w:sz w:val="21"/>
          <w:szCs w:val="21"/>
          <w:highlight w:val="none"/>
          <w:u w:val="single"/>
        </w:rPr>
      </w:pPr>
      <w:r>
        <w:rPr>
          <w:rFonts w:hint="eastAsia" w:hAnsi="宋体" w:cs="宋体"/>
          <w:bCs/>
          <w:sz w:val="21"/>
          <w:szCs w:val="21"/>
          <w:highlight w:val="none"/>
        </w:rPr>
        <w:t>竞争性磋商文件公告：</w:t>
      </w:r>
      <w:r>
        <w:rPr>
          <w:rFonts w:hint="eastAsia" w:hAnsi="宋体" w:cs="宋体"/>
          <w:bCs/>
          <w:sz w:val="21"/>
          <w:szCs w:val="21"/>
          <w:highlight w:val="none"/>
          <w:u w:val="single"/>
        </w:rPr>
        <w:t>是/否</w:t>
      </w:r>
      <w:r>
        <w:rPr>
          <w:rFonts w:hint="eastAsia" w:hAnsi="宋体" w:cs="宋体"/>
          <w:bCs/>
          <w:sz w:val="21"/>
          <w:szCs w:val="21"/>
          <w:highlight w:val="none"/>
        </w:rPr>
        <w:t>公告期限：</w:t>
      </w:r>
      <w:r>
        <w:rPr>
          <w:rFonts w:hint="eastAsia" w:hAnsi="宋体" w:cs="宋体"/>
          <w:bCs/>
          <w:sz w:val="21"/>
          <w:szCs w:val="21"/>
          <w:highlight w:val="none"/>
          <w:u w:val="single"/>
        </w:rPr>
        <w:t xml:space="preserve">                                                       </w:t>
      </w:r>
    </w:p>
    <w:p w14:paraId="2ECB23BC">
      <w:pPr>
        <w:pStyle w:val="17"/>
        <w:spacing w:line="360" w:lineRule="auto"/>
        <w:ind w:left="25" w:leftChars="12" w:firstLine="413" w:firstLineChars="197"/>
        <w:rPr>
          <w:rFonts w:hAnsi="宋体" w:cs="宋体"/>
          <w:b/>
          <w:sz w:val="21"/>
          <w:szCs w:val="21"/>
          <w:highlight w:val="none"/>
        </w:rPr>
      </w:pPr>
      <w:r>
        <w:rPr>
          <w:rFonts w:hint="eastAsia" w:hAnsi="宋体" w:cs="宋体"/>
          <w:bCs/>
          <w:sz w:val="21"/>
          <w:szCs w:val="21"/>
          <w:highlight w:val="none"/>
        </w:rPr>
        <w:t>采购结果公告：</w:t>
      </w:r>
      <w:r>
        <w:rPr>
          <w:rFonts w:hint="eastAsia" w:hAnsi="宋体" w:cs="宋体"/>
          <w:bCs/>
          <w:sz w:val="21"/>
          <w:szCs w:val="21"/>
          <w:highlight w:val="none"/>
          <w:u w:val="single"/>
        </w:rPr>
        <w:t>是/否</w:t>
      </w:r>
      <w:r>
        <w:rPr>
          <w:rFonts w:hint="eastAsia" w:hAnsi="宋体" w:cs="宋体"/>
          <w:bCs/>
          <w:sz w:val="21"/>
          <w:szCs w:val="21"/>
          <w:highlight w:val="none"/>
        </w:rPr>
        <w:t>公告期限：</w:t>
      </w:r>
      <w:r>
        <w:rPr>
          <w:rFonts w:hint="eastAsia" w:hAnsi="宋体" w:cs="宋体"/>
          <w:bCs/>
          <w:sz w:val="21"/>
          <w:szCs w:val="21"/>
          <w:highlight w:val="none"/>
          <w:u w:val="single"/>
        </w:rPr>
        <w:t xml:space="preserve">                                                       </w:t>
      </w:r>
    </w:p>
    <w:p w14:paraId="4226B4D2">
      <w:pPr>
        <w:pStyle w:val="17"/>
        <w:spacing w:line="360" w:lineRule="auto"/>
        <w:ind w:left="25" w:leftChars="12" w:firstLine="413" w:firstLineChars="196"/>
        <w:rPr>
          <w:rFonts w:hAnsi="宋体" w:cs="宋体"/>
          <w:b/>
          <w:sz w:val="21"/>
          <w:szCs w:val="21"/>
          <w:highlight w:val="none"/>
        </w:rPr>
      </w:pPr>
      <w:r>
        <w:rPr>
          <w:rFonts w:hint="eastAsia" w:hAnsi="宋体" w:cs="宋体"/>
          <w:b/>
          <w:sz w:val="21"/>
          <w:szCs w:val="21"/>
          <w:highlight w:val="none"/>
        </w:rPr>
        <w:t>三、质疑基本情况</w:t>
      </w:r>
    </w:p>
    <w:p w14:paraId="61F3A7BD">
      <w:pPr>
        <w:pStyle w:val="17"/>
        <w:spacing w:line="360" w:lineRule="auto"/>
        <w:ind w:firstLine="420" w:firstLineChars="200"/>
        <w:rPr>
          <w:rFonts w:hAnsi="宋体" w:cs="宋体"/>
          <w:sz w:val="21"/>
          <w:szCs w:val="21"/>
          <w:highlight w:val="none"/>
        </w:rPr>
      </w:pPr>
      <w:r>
        <w:rPr>
          <w:rFonts w:hint="eastAsia" w:hAnsi="宋体" w:cs="宋体"/>
          <w:sz w:val="21"/>
          <w:szCs w:val="21"/>
          <w:highlight w:val="none"/>
        </w:rPr>
        <w:t>投诉人于</w:t>
      </w:r>
      <w:r>
        <w:rPr>
          <w:rFonts w:hint="eastAsia" w:hAnsi="宋体" w:cs="宋体"/>
          <w:sz w:val="21"/>
          <w:szCs w:val="21"/>
          <w:highlight w:val="none"/>
          <w:u w:val="single"/>
        </w:rPr>
        <w:t xml:space="preserve">      </w:t>
      </w:r>
      <w:r>
        <w:rPr>
          <w:rFonts w:hint="eastAsia" w:hAnsi="宋体" w:cs="宋体"/>
          <w:sz w:val="21"/>
          <w:szCs w:val="21"/>
          <w:highlight w:val="none"/>
        </w:rPr>
        <w:t>年</w:t>
      </w:r>
      <w:r>
        <w:rPr>
          <w:rFonts w:hint="eastAsia" w:hAnsi="宋体" w:cs="宋体"/>
          <w:sz w:val="21"/>
          <w:szCs w:val="21"/>
          <w:highlight w:val="none"/>
          <w:u w:val="single"/>
        </w:rPr>
        <w:t xml:space="preserve">   </w:t>
      </w:r>
      <w:r>
        <w:rPr>
          <w:rFonts w:hint="eastAsia" w:hAnsi="宋体" w:cs="宋体"/>
          <w:sz w:val="21"/>
          <w:szCs w:val="21"/>
          <w:highlight w:val="none"/>
        </w:rPr>
        <w:t>月</w:t>
      </w:r>
      <w:r>
        <w:rPr>
          <w:rFonts w:hint="eastAsia" w:hAnsi="宋体" w:cs="宋体"/>
          <w:sz w:val="21"/>
          <w:szCs w:val="21"/>
          <w:highlight w:val="none"/>
          <w:u w:val="single"/>
        </w:rPr>
        <w:t xml:space="preserve">   </w:t>
      </w:r>
      <w:r>
        <w:rPr>
          <w:rFonts w:hint="eastAsia" w:hAnsi="宋体" w:cs="宋体"/>
          <w:sz w:val="21"/>
          <w:szCs w:val="21"/>
          <w:highlight w:val="none"/>
        </w:rPr>
        <w:t>日，向</w:t>
      </w:r>
      <w:r>
        <w:rPr>
          <w:rFonts w:hint="eastAsia" w:hAnsi="宋体" w:cs="宋体"/>
          <w:sz w:val="21"/>
          <w:szCs w:val="21"/>
          <w:highlight w:val="none"/>
          <w:u w:val="single"/>
        </w:rPr>
        <w:t xml:space="preserve">                                </w:t>
      </w:r>
      <w:r>
        <w:rPr>
          <w:rFonts w:hint="eastAsia" w:hAnsi="宋体" w:cs="宋体"/>
          <w:sz w:val="21"/>
          <w:szCs w:val="21"/>
          <w:highlight w:val="none"/>
        </w:rPr>
        <w:t>提出质疑，质疑事项为：</w:t>
      </w:r>
    </w:p>
    <w:p w14:paraId="5B76FA7D">
      <w:pPr>
        <w:pStyle w:val="17"/>
        <w:spacing w:line="360" w:lineRule="auto"/>
        <w:ind w:firstLine="241"/>
        <w:rPr>
          <w:rFonts w:hAnsi="宋体" w:cs="宋体"/>
          <w:bCs/>
          <w:sz w:val="21"/>
          <w:szCs w:val="21"/>
          <w:highlight w:val="none"/>
          <w:u w:val="single"/>
        </w:rPr>
      </w:pPr>
      <w:r>
        <w:rPr>
          <w:rFonts w:hint="eastAsia" w:hAnsi="宋体" w:cs="宋体"/>
          <w:sz w:val="21"/>
          <w:szCs w:val="21"/>
          <w:highlight w:val="none"/>
        </w:rPr>
        <w:t xml:space="preserve">    </w:t>
      </w:r>
      <w:r>
        <w:rPr>
          <w:rFonts w:hint="eastAsia" w:hAnsi="宋体" w:cs="宋体"/>
          <w:bCs/>
          <w:sz w:val="21"/>
          <w:szCs w:val="21"/>
          <w:highlight w:val="none"/>
          <w:u w:val="single"/>
        </w:rPr>
        <w:t xml:space="preserve">                                                                                      </w:t>
      </w:r>
    </w:p>
    <w:p w14:paraId="7E747EC6">
      <w:pPr>
        <w:pStyle w:val="17"/>
        <w:spacing w:line="360" w:lineRule="auto"/>
        <w:ind w:firstLine="241"/>
        <w:rPr>
          <w:rFonts w:hAnsi="宋体" w:cs="宋体"/>
          <w:bCs/>
          <w:sz w:val="21"/>
          <w:szCs w:val="21"/>
          <w:highlight w:val="none"/>
          <w:u w:val="single"/>
        </w:rPr>
      </w:pPr>
      <w:r>
        <w:rPr>
          <w:rFonts w:hint="eastAsia" w:hAnsi="宋体" w:cs="宋体"/>
          <w:bCs/>
          <w:sz w:val="21"/>
          <w:szCs w:val="21"/>
          <w:highlight w:val="none"/>
        </w:rPr>
        <w:t xml:space="preserve">    </w:t>
      </w:r>
      <w:r>
        <w:rPr>
          <w:rFonts w:hint="eastAsia" w:hAnsi="宋体" w:cs="宋体"/>
          <w:bCs/>
          <w:sz w:val="21"/>
          <w:szCs w:val="21"/>
          <w:highlight w:val="none"/>
          <w:u w:val="single"/>
        </w:rPr>
        <w:t xml:space="preserve">                                                                                      </w:t>
      </w:r>
    </w:p>
    <w:p w14:paraId="56306B50">
      <w:pPr>
        <w:pStyle w:val="17"/>
        <w:spacing w:line="360" w:lineRule="auto"/>
        <w:ind w:firstLine="420" w:firstLineChars="200"/>
        <w:rPr>
          <w:rFonts w:hAnsi="宋体" w:cs="宋体"/>
          <w:sz w:val="21"/>
          <w:szCs w:val="21"/>
          <w:highlight w:val="none"/>
        </w:rPr>
      </w:pPr>
      <w:r>
        <w:rPr>
          <w:rFonts w:hint="eastAsia" w:hAnsi="宋体" w:cs="宋体"/>
          <w:bCs/>
          <w:sz w:val="21"/>
          <w:szCs w:val="21"/>
          <w:highlight w:val="none"/>
          <w:u w:val="single"/>
        </w:rPr>
        <w:t>采购人/代理机构</w:t>
      </w:r>
      <w:r>
        <w:rPr>
          <w:rFonts w:hint="eastAsia" w:hAnsi="宋体" w:cs="宋体"/>
          <w:bCs/>
          <w:sz w:val="21"/>
          <w:szCs w:val="21"/>
          <w:highlight w:val="none"/>
        </w:rPr>
        <w:t>于</w:t>
      </w:r>
      <w:r>
        <w:rPr>
          <w:rFonts w:hint="eastAsia" w:hAnsi="宋体" w:cs="宋体"/>
          <w:sz w:val="21"/>
          <w:szCs w:val="21"/>
          <w:highlight w:val="none"/>
          <w:u w:val="single"/>
        </w:rPr>
        <w:t xml:space="preserve">      </w:t>
      </w:r>
      <w:r>
        <w:rPr>
          <w:rFonts w:hint="eastAsia" w:hAnsi="宋体" w:cs="宋体"/>
          <w:sz w:val="21"/>
          <w:szCs w:val="21"/>
          <w:highlight w:val="none"/>
        </w:rPr>
        <w:t>年</w:t>
      </w:r>
      <w:r>
        <w:rPr>
          <w:rFonts w:hint="eastAsia" w:hAnsi="宋体" w:cs="宋体"/>
          <w:sz w:val="21"/>
          <w:szCs w:val="21"/>
          <w:highlight w:val="none"/>
          <w:u w:val="single"/>
        </w:rPr>
        <w:t xml:space="preserve">   </w:t>
      </w:r>
      <w:r>
        <w:rPr>
          <w:rFonts w:hint="eastAsia" w:hAnsi="宋体" w:cs="宋体"/>
          <w:sz w:val="21"/>
          <w:szCs w:val="21"/>
          <w:highlight w:val="none"/>
        </w:rPr>
        <w:t>月</w:t>
      </w:r>
      <w:r>
        <w:rPr>
          <w:rFonts w:hint="eastAsia" w:hAnsi="宋体" w:cs="宋体"/>
          <w:sz w:val="21"/>
          <w:szCs w:val="21"/>
          <w:highlight w:val="none"/>
          <w:u w:val="single"/>
        </w:rPr>
        <w:t xml:space="preserve">   </w:t>
      </w:r>
      <w:r>
        <w:rPr>
          <w:rFonts w:hint="eastAsia" w:hAnsi="宋体" w:cs="宋体"/>
          <w:sz w:val="21"/>
          <w:szCs w:val="21"/>
          <w:highlight w:val="none"/>
        </w:rPr>
        <w:t>日，</w:t>
      </w:r>
      <w:r>
        <w:rPr>
          <w:rFonts w:hint="eastAsia" w:hAnsi="宋体" w:cs="宋体"/>
          <w:bCs/>
          <w:sz w:val="21"/>
          <w:szCs w:val="21"/>
          <w:highlight w:val="none"/>
        </w:rPr>
        <w:t xml:space="preserve">就质疑事项作出了答复/没有在法定期限内作出答复。                                                                                             </w:t>
      </w:r>
    </w:p>
    <w:p w14:paraId="1A91BFCB">
      <w:pPr>
        <w:pStyle w:val="17"/>
        <w:spacing w:line="360" w:lineRule="auto"/>
        <w:ind w:left="25" w:leftChars="12" w:firstLine="413" w:firstLineChars="196"/>
        <w:rPr>
          <w:rFonts w:hAnsi="宋体" w:cs="宋体"/>
          <w:b/>
          <w:sz w:val="21"/>
          <w:szCs w:val="21"/>
          <w:highlight w:val="none"/>
        </w:rPr>
      </w:pPr>
      <w:r>
        <w:rPr>
          <w:rFonts w:hint="eastAsia" w:hAnsi="宋体" w:cs="宋体"/>
          <w:b/>
          <w:sz w:val="21"/>
          <w:szCs w:val="21"/>
          <w:highlight w:val="none"/>
        </w:rPr>
        <w:t>四、投诉事项具体内容</w:t>
      </w:r>
    </w:p>
    <w:p w14:paraId="64779F84">
      <w:pPr>
        <w:pStyle w:val="17"/>
        <w:spacing w:line="360" w:lineRule="auto"/>
        <w:ind w:left="25" w:leftChars="12" w:firstLine="413" w:firstLineChars="197"/>
        <w:rPr>
          <w:rFonts w:hAnsi="宋体" w:cs="宋体"/>
          <w:bCs/>
          <w:sz w:val="21"/>
          <w:szCs w:val="21"/>
          <w:highlight w:val="none"/>
          <w:u w:val="single"/>
        </w:rPr>
      </w:pPr>
      <w:r>
        <w:rPr>
          <w:rFonts w:hint="eastAsia" w:hAnsi="宋体" w:cs="宋体"/>
          <w:sz w:val="21"/>
          <w:szCs w:val="21"/>
          <w:highlight w:val="none"/>
        </w:rPr>
        <w:t>投诉事项1：</w:t>
      </w:r>
      <w:r>
        <w:rPr>
          <w:rFonts w:hint="eastAsia" w:hAnsi="宋体" w:cs="宋体"/>
          <w:bCs/>
          <w:sz w:val="21"/>
          <w:szCs w:val="21"/>
          <w:highlight w:val="none"/>
          <w:u w:val="single"/>
        </w:rPr>
        <w:t xml:space="preserve">                                                                           </w:t>
      </w:r>
    </w:p>
    <w:p w14:paraId="5C2F83D0">
      <w:pPr>
        <w:pStyle w:val="17"/>
        <w:spacing w:line="360" w:lineRule="auto"/>
        <w:ind w:firstLine="420" w:firstLineChars="200"/>
        <w:rPr>
          <w:rFonts w:hAnsi="宋体" w:cs="宋体"/>
          <w:bCs/>
          <w:sz w:val="21"/>
          <w:szCs w:val="21"/>
          <w:highlight w:val="none"/>
          <w:u w:val="single"/>
        </w:rPr>
      </w:pPr>
      <w:r>
        <w:rPr>
          <w:rFonts w:hint="eastAsia" w:hAnsi="宋体" w:cs="宋体"/>
          <w:bCs/>
          <w:sz w:val="21"/>
          <w:szCs w:val="21"/>
          <w:highlight w:val="none"/>
        </w:rPr>
        <w:t>事实依据：</w:t>
      </w:r>
      <w:r>
        <w:rPr>
          <w:rFonts w:hint="eastAsia" w:hAnsi="宋体" w:cs="宋体"/>
          <w:sz w:val="21"/>
          <w:szCs w:val="21"/>
          <w:highlight w:val="none"/>
        </w:rPr>
        <w:t xml:space="preserve"> </w:t>
      </w:r>
      <w:r>
        <w:rPr>
          <w:rFonts w:hint="eastAsia" w:hAnsi="宋体" w:cs="宋体"/>
          <w:bCs/>
          <w:sz w:val="21"/>
          <w:szCs w:val="21"/>
          <w:highlight w:val="none"/>
          <w:u w:val="single"/>
        </w:rPr>
        <w:t xml:space="preserve">                                                                                      </w:t>
      </w:r>
    </w:p>
    <w:p w14:paraId="25E09BE1">
      <w:pPr>
        <w:pStyle w:val="17"/>
        <w:spacing w:line="360" w:lineRule="auto"/>
        <w:ind w:left="25" w:leftChars="12" w:firstLine="413" w:firstLineChars="197"/>
        <w:rPr>
          <w:rFonts w:hAnsi="宋体" w:cs="宋体"/>
          <w:sz w:val="21"/>
          <w:szCs w:val="21"/>
          <w:highlight w:val="none"/>
        </w:rPr>
      </w:pPr>
      <w:r>
        <w:rPr>
          <w:rFonts w:hint="eastAsia" w:hAnsi="宋体" w:cs="宋体"/>
          <w:bCs/>
          <w:sz w:val="21"/>
          <w:szCs w:val="21"/>
          <w:highlight w:val="none"/>
          <w:u w:val="single"/>
        </w:rPr>
        <w:t xml:space="preserve">                                                                                        </w:t>
      </w:r>
    </w:p>
    <w:p w14:paraId="34C8CDFF">
      <w:pPr>
        <w:pStyle w:val="17"/>
        <w:spacing w:line="360" w:lineRule="auto"/>
        <w:ind w:firstLine="420" w:firstLineChars="200"/>
        <w:rPr>
          <w:rFonts w:hAnsi="宋体" w:cs="宋体"/>
          <w:bCs/>
          <w:sz w:val="21"/>
          <w:szCs w:val="21"/>
          <w:highlight w:val="none"/>
          <w:u w:val="single"/>
        </w:rPr>
      </w:pPr>
      <w:r>
        <w:rPr>
          <w:rFonts w:hint="eastAsia" w:hAnsi="宋体" w:cs="宋体"/>
          <w:bCs/>
          <w:sz w:val="21"/>
          <w:szCs w:val="21"/>
          <w:highlight w:val="none"/>
        </w:rPr>
        <w:t>法律依据：</w:t>
      </w:r>
      <w:r>
        <w:rPr>
          <w:rFonts w:hint="eastAsia" w:hAnsi="宋体" w:cs="宋体"/>
          <w:sz w:val="21"/>
          <w:szCs w:val="21"/>
          <w:highlight w:val="none"/>
        </w:rPr>
        <w:t xml:space="preserve"> </w:t>
      </w:r>
      <w:r>
        <w:rPr>
          <w:rFonts w:hint="eastAsia" w:hAnsi="宋体" w:cs="宋体"/>
          <w:bCs/>
          <w:sz w:val="21"/>
          <w:szCs w:val="21"/>
          <w:highlight w:val="none"/>
          <w:u w:val="single"/>
        </w:rPr>
        <w:t xml:space="preserve">                                                                                      </w:t>
      </w:r>
    </w:p>
    <w:p w14:paraId="16937F83">
      <w:pPr>
        <w:pStyle w:val="17"/>
        <w:spacing w:line="360" w:lineRule="auto"/>
        <w:ind w:left="25" w:leftChars="12" w:firstLine="308" w:firstLineChars="147"/>
        <w:rPr>
          <w:rFonts w:hAnsi="宋体" w:cs="宋体"/>
          <w:bCs/>
          <w:sz w:val="21"/>
          <w:szCs w:val="21"/>
          <w:highlight w:val="none"/>
          <w:u w:val="single"/>
        </w:rPr>
      </w:pPr>
      <w:r>
        <w:rPr>
          <w:rFonts w:hint="eastAsia" w:hAnsi="宋体" w:cs="宋体"/>
          <w:bCs/>
          <w:sz w:val="21"/>
          <w:szCs w:val="21"/>
          <w:highlight w:val="none"/>
        </w:rPr>
        <w:t xml:space="preserve"> </w:t>
      </w:r>
      <w:r>
        <w:rPr>
          <w:rFonts w:hint="eastAsia" w:hAnsi="宋体" w:cs="宋体"/>
          <w:bCs/>
          <w:sz w:val="21"/>
          <w:szCs w:val="21"/>
          <w:highlight w:val="none"/>
          <w:u w:val="single"/>
        </w:rPr>
        <w:t xml:space="preserve">                                                                                        </w:t>
      </w:r>
    </w:p>
    <w:p w14:paraId="338F9032">
      <w:pPr>
        <w:pStyle w:val="17"/>
        <w:spacing w:line="360" w:lineRule="auto"/>
        <w:ind w:left="25" w:leftChars="12" w:firstLine="413" w:firstLineChars="197"/>
        <w:rPr>
          <w:rFonts w:hAnsi="宋体" w:cs="宋体"/>
          <w:bCs/>
          <w:sz w:val="21"/>
          <w:szCs w:val="21"/>
          <w:highlight w:val="none"/>
        </w:rPr>
      </w:pPr>
      <w:r>
        <w:rPr>
          <w:rFonts w:hint="eastAsia" w:hAnsi="宋体" w:cs="宋体"/>
          <w:sz w:val="21"/>
          <w:szCs w:val="21"/>
          <w:highlight w:val="none"/>
        </w:rPr>
        <w:t xml:space="preserve">投诉事项2  </w:t>
      </w:r>
      <w:r>
        <w:rPr>
          <w:rFonts w:hint="eastAsia" w:hAnsi="宋体" w:cs="宋体"/>
          <w:bCs/>
          <w:sz w:val="21"/>
          <w:szCs w:val="21"/>
          <w:highlight w:val="none"/>
        </w:rPr>
        <w:t xml:space="preserve">   </w:t>
      </w:r>
    </w:p>
    <w:p w14:paraId="259B8C35">
      <w:pPr>
        <w:pStyle w:val="17"/>
        <w:spacing w:line="360" w:lineRule="auto"/>
        <w:ind w:left="25" w:leftChars="12" w:firstLine="413" w:firstLineChars="197"/>
        <w:rPr>
          <w:rFonts w:hAnsi="宋体" w:cs="宋体"/>
          <w:bCs/>
          <w:sz w:val="21"/>
          <w:szCs w:val="21"/>
          <w:highlight w:val="none"/>
        </w:rPr>
      </w:pPr>
      <w:r>
        <w:rPr>
          <w:rFonts w:hint="eastAsia" w:hAnsi="宋体" w:cs="宋体"/>
          <w:bCs/>
          <w:sz w:val="21"/>
          <w:szCs w:val="21"/>
          <w:highlight w:val="none"/>
        </w:rPr>
        <w:t>……</w:t>
      </w:r>
    </w:p>
    <w:p w14:paraId="5B5E9004">
      <w:pPr>
        <w:pStyle w:val="17"/>
        <w:spacing w:line="360" w:lineRule="auto"/>
        <w:ind w:left="25" w:leftChars="12" w:firstLine="413" w:firstLineChars="196"/>
        <w:rPr>
          <w:rFonts w:hAnsi="宋体" w:cs="宋体"/>
          <w:b/>
          <w:sz w:val="21"/>
          <w:szCs w:val="21"/>
          <w:highlight w:val="none"/>
        </w:rPr>
      </w:pPr>
      <w:r>
        <w:rPr>
          <w:rFonts w:hint="eastAsia" w:hAnsi="宋体" w:cs="宋体"/>
          <w:b/>
          <w:sz w:val="21"/>
          <w:szCs w:val="21"/>
          <w:highlight w:val="none"/>
        </w:rPr>
        <w:t>五、与投诉事项相关的投诉请求：</w:t>
      </w:r>
    </w:p>
    <w:p w14:paraId="55C7BD39">
      <w:pPr>
        <w:pStyle w:val="17"/>
        <w:spacing w:line="360" w:lineRule="auto"/>
        <w:ind w:left="25" w:leftChars="12" w:firstLine="413" w:firstLineChars="197"/>
        <w:rPr>
          <w:rFonts w:hAnsi="宋体" w:cs="宋体"/>
          <w:sz w:val="21"/>
          <w:szCs w:val="21"/>
          <w:highlight w:val="none"/>
        </w:rPr>
      </w:pPr>
      <w:r>
        <w:rPr>
          <w:rFonts w:hint="eastAsia" w:hAnsi="宋体" w:cs="宋体"/>
          <w:sz w:val="21"/>
          <w:szCs w:val="21"/>
          <w:highlight w:val="none"/>
        </w:rPr>
        <w:t>请求：</w:t>
      </w:r>
      <w:r>
        <w:rPr>
          <w:rFonts w:hint="eastAsia" w:hAnsi="宋体" w:cs="宋体"/>
          <w:bCs/>
          <w:sz w:val="21"/>
          <w:szCs w:val="21"/>
          <w:highlight w:val="none"/>
          <w:u w:val="single"/>
        </w:rPr>
        <w:t xml:space="preserve">                                                                                 </w:t>
      </w:r>
    </w:p>
    <w:p w14:paraId="6AB31064">
      <w:pPr>
        <w:pStyle w:val="17"/>
        <w:spacing w:line="360" w:lineRule="auto"/>
        <w:ind w:left="25" w:leftChars="12" w:firstLine="308" w:firstLineChars="147"/>
        <w:rPr>
          <w:rFonts w:hAnsi="宋体" w:cs="宋体"/>
          <w:sz w:val="21"/>
          <w:szCs w:val="21"/>
          <w:highlight w:val="none"/>
        </w:rPr>
      </w:pPr>
    </w:p>
    <w:p w14:paraId="7288C09D">
      <w:pPr>
        <w:pStyle w:val="17"/>
        <w:spacing w:line="360" w:lineRule="auto"/>
        <w:ind w:left="25" w:leftChars="12" w:firstLine="413" w:firstLineChars="197"/>
        <w:rPr>
          <w:rFonts w:hAnsi="宋体" w:cs="宋体"/>
          <w:sz w:val="21"/>
          <w:szCs w:val="21"/>
          <w:highlight w:val="none"/>
          <w:u w:val="single"/>
        </w:rPr>
      </w:pPr>
      <w:r>
        <w:rPr>
          <w:rFonts w:hint="eastAsia" w:hAnsi="宋体" w:cs="宋体"/>
          <w:sz w:val="21"/>
          <w:szCs w:val="21"/>
          <w:highlight w:val="none"/>
        </w:rPr>
        <w:t>签字（签章）：</w:t>
      </w:r>
      <w:r>
        <w:rPr>
          <w:rFonts w:hint="eastAsia" w:hAnsi="宋体" w:cs="宋体"/>
          <w:sz w:val="21"/>
          <w:szCs w:val="21"/>
          <w:highlight w:val="none"/>
          <w:u w:val="single"/>
        </w:rPr>
        <w:t xml:space="preserve"> </w:t>
      </w:r>
      <w:r>
        <w:rPr>
          <w:rFonts w:hAnsi="宋体" w:cs="宋体"/>
          <w:sz w:val="21"/>
          <w:szCs w:val="21"/>
          <w:highlight w:val="none"/>
          <w:u w:val="single"/>
        </w:rPr>
        <w:t xml:space="preserve">           </w:t>
      </w:r>
      <w:r>
        <w:rPr>
          <w:rFonts w:hint="eastAsia" w:hAnsi="宋体" w:cs="宋体"/>
          <w:sz w:val="21"/>
          <w:szCs w:val="21"/>
          <w:highlight w:val="none"/>
        </w:rPr>
        <w:t xml:space="preserve">                        公章：</w:t>
      </w:r>
      <w:r>
        <w:rPr>
          <w:rFonts w:hint="eastAsia" w:hAnsi="宋体" w:cs="宋体"/>
          <w:sz w:val="21"/>
          <w:szCs w:val="21"/>
          <w:highlight w:val="none"/>
          <w:u w:val="single"/>
        </w:rPr>
        <w:t xml:space="preserve"> </w:t>
      </w:r>
      <w:r>
        <w:rPr>
          <w:rFonts w:hAnsi="宋体" w:cs="宋体"/>
          <w:sz w:val="21"/>
          <w:szCs w:val="21"/>
          <w:highlight w:val="none"/>
          <w:u w:val="single"/>
        </w:rPr>
        <w:t xml:space="preserve">         </w:t>
      </w:r>
    </w:p>
    <w:p w14:paraId="035243A5">
      <w:pPr>
        <w:pStyle w:val="17"/>
        <w:spacing w:line="360" w:lineRule="auto"/>
        <w:ind w:left="25" w:leftChars="12" w:firstLine="308" w:firstLineChars="147"/>
        <w:rPr>
          <w:rFonts w:hAnsi="宋体" w:cs="宋体"/>
          <w:sz w:val="21"/>
          <w:szCs w:val="21"/>
          <w:highlight w:val="none"/>
        </w:rPr>
      </w:pPr>
    </w:p>
    <w:p w14:paraId="05F9C71E">
      <w:pPr>
        <w:pStyle w:val="17"/>
        <w:spacing w:line="360" w:lineRule="auto"/>
        <w:ind w:left="25" w:leftChars="12" w:firstLine="413" w:firstLineChars="197"/>
        <w:rPr>
          <w:rFonts w:hAnsi="宋体" w:cs="宋体"/>
          <w:sz w:val="21"/>
          <w:szCs w:val="21"/>
          <w:highlight w:val="none"/>
        </w:rPr>
      </w:pPr>
      <w:r>
        <w:rPr>
          <w:rFonts w:hint="eastAsia" w:hAnsi="宋体" w:cs="宋体"/>
          <w:sz w:val="21"/>
          <w:szCs w:val="21"/>
          <w:highlight w:val="none"/>
        </w:rPr>
        <w:t>日期：</w:t>
      </w:r>
      <w:r>
        <w:rPr>
          <w:rFonts w:hint="eastAsia" w:hAnsi="宋体" w:cs="宋体"/>
          <w:sz w:val="21"/>
          <w:szCs w:val="21"/>
          <w:highlight w:val="none"/>
          <w:u w:val="single"/>
        </w:rPr>
        <w:t xml:space="preserve"> </w:t>
      </w:r>
      <w:r>
        <w:rPr>
          <w:rFonts w:hAnsi="宋体" w:cs="宋体"/>
          <w:sz w:val="21"/>
          <w:szCs w:val="21"/>
          <w:highlight w:val="none"/>
          <w:u w:val="single"/>
        </w:rPr>
        <w:t xml:space="preserve">   </w:t>
      </w:r>
      <w:r>
        <w:rPr>
          <w:rFonts w:hint="eastAsia" w:hAnsi="宋体" w:cs="宋体"/>
          <w:sz w:val="21"/>
          <w:szCs w:val="21"/>
          <w:highlight w:val="none"/>
        </w:rPr>
        <w:t>年</w:t>
      </w:r>
      <w:r>
        <w:rPr>
          <w:rFonts w:hint="eastAsia" w:hAnsi="宋体" w:cs="宋体"/>
          <w:sz w:val="21"/>
          <w:szCs w:val="21"/>
          <w:highlight w:val="none"/>
          <w:u w:val="single"/>
        </w:rPr>
        <w:t xml:space="preserve"> </w:t>
      </w:r>
      <w:r>
        <w:rPr>
          <w:rFonts w:hAnsi="宋体" w:cs="宋体"/>
          <w:sz w:val="21"/>
          <w:szCs w:val="21"/>
          <w:highlight w:val="none"/>
          <w:u w:val="single"/>
        </w:rPr>
        <w:t xml:space="preserve"> </w:t>
      </w:r>
      <w:r>
        <w:rPr>
          <w:rFonts w:hint="eastAsia" w:hAnsi="宋体" w:cs="宋体"/>
          <w:sz w:val="21"/>
          <w:szCs w:val="21"/>
          <w:highlight w:val="none"/>
        </w:rPr>
        <w:t>月</w:t>
      </w:r>
      <w:r>
        <w:rPr>
          <w:rFonts w:hint="eastAsia" w:hAnsi="宋体" w:cs="宋体"/>
          <w:sz w:val="21"/>
          <w:szCs w:val="21"/>
          <w:highlight w:val="none"/>
          <w:u w:val="single"/>
        </w:rPr>
        <w:t xml:space="preserve"> </w:t>
      </w:r>
      <w:r>
        <w:rPr>
          <w:rFonts w:hAnsi="宋体" w:cs="宋体"/>
          <w:sz w:val="21"/>
          <w:szCs w:val="21"/>
          <w:highlight w:val="none"/>
          <w:u w:val="single"/>
        </w:rPr>
        <w:t xml:space="preserve"> </w:t>
      </w:r>
      <w:r>
        <w:rPr>
          <w:rFonts w:hint="eastAsia" w:hAnsi="宋体" w:cs="宋体"/>
          <w:sz w:val="21"/>
          <w:szCs w:val="21"/>
          <w:highlight w:val="none"/>
        </w:rPr>
        <w:t>日</w:t>
      </w:r>
    </w:p>
    <w:p w14:paraId="5A5889E3">
      <w:pPr>
        <w:pStyle w:val="17"/>
        <w:spacing w:line="360" w:lineRule="auto"/>
        <w:ind w:left="25" w:leftChars="12" w:firstLine="413" w:firstLineChars="197"/>
        <w:rPr>
          <w:rFonts w:hAnsi="宋体" w:cs="宋体"/>
          <w:b/>
          <w:sz w:val="21"/>
          <w:szCs w:val="21"/>
          <w:highlight w:val="none"/>
        </w:rPr>
      </w:pPr>
      <w:r>
        <w:rPr>
          <w:rFonts w:hint="eastAsia" w:hAnsi="宋体" w:cs="宋体"/>
          <w:bCs/>
          <w:sz w:val="21"/>
          <w:szCs w:val="21"/>
          <w:highlight w:val="none"/>
        </w:rPr>
        <w:t xml:space="preserve">                                                                                 </w:t>
      </w:r>
    </w:p>
    <w:p w14:paraId="11AEBEF2">
      <w:pPr>
        <w:pStyle w:val="17"/>
        <w:snapToGrid w:val="0"/>
        <w:spacing w:line="360" w:lineRule="auto"/>
        <w:rPr>
          <w:rFonts w:ascii="楷体" w:hAnsi="楷体" w:eastAsia="楷体" w:cs="宋体"/>
          <w:b/>
          <w:sz w:val="21"/>
          <w:szCs w:val="21"/>
          <w:highlight w:val="none"/>
        </w:rPr>
      </w:pPr>
      <w:r>
        <w:rPr>
          <w:rFonts w:hint="eastAsia" w:ascii="楷体" w:hAnsi="楷体" w:eastAsia="楷体" w:cs="宋体"/>
          <w:b/>
          <w:sz w:val="21"/>
          <w:szCs w:val="21"/>
          <w:highlight w:val="none"/>
        </w:rPr>
        <w:t>说明：</w:t>
      </w:r>
    </w:p>
    <w:p w14:paraId="77E00D46">
      <w:pPr>
        <w:pStyle w:val="17"/>
        <w:spacing w:line="360" w:lineRule="auto"/>
        <w:ind w:left="25" w:leftChars="12" w:firstLine="310" w:firstLineChars="147"/>
        <w:rPr>
          <w:rFonts w:ascii="楷体" w:hAnsi="楷体" w:eastAsia="楷体" w:cs="宋体"/>
          <w:b/>
          <w:bCs/>
          <w:sz w:val="21"/>
          <w:szCs w:val="21"/>
          <w:highlight w:val="none"/>
        </w:rPr>
      </w:pPr>
      <w:r>
        <w:rPr>
          <w:rFonts w:ascii="楷体" w:hAnsi="楷体" w:eastAsia="楷体" w:cs="宋体"/>
          <w:b/>
          <w:sz w:val="21"/>
          <w:szCs w:val="21"/>
          <w:highlight w:val="none"/>
        </w:rPr>
        <w:t>1.投诉人提起投诉时，应当提交投诉书和必要的证明材料，并按照被投诉人和与投诉事项有关的供应商数量提供投诉书副本</w:t>
      </w:r>
      <w:r>
        <w:rPr>
          <w:rFonts w:hint="eastAsia" w:ascii="楷体" w:hAnsi="楷体" w:eastAsia="楷体" w:cs="宋体"/>
          <w:b/>
          <w:bCs/>
          <w:sz w:val="21"/>
          <w:szCs w:val="21"/>
          <w:highlight w:val="none"/>
        </w:rPr>
        <w:t>。</w:t>
      </w:r>
    </w:p>
    <w:p w14:paraId="696A1B95">
      <w:pPr>
        <w:pStyle w:val="17"/>
        <w:spacing w:line="360" w:lineRule="auto"/>
        <w:ind w:left="25" w:leftChars="12" w:firstLine="310" w:firstLineChars="147"/>
        <w:rPr>
          <w:rFonts w:ascii="楷体" w:hAnsi="楷体" w:eastAsia="楷体" w:cs="宋体"/>
          <w:b/>
          <w:sz w:val="21"/>
          <w:szCs w:val="21"/>
          <w:highlight w:val="none"/>
        </w:rPr>
      </w:pPr>
      <w:r>
        <w:rPr>
          <w:rFonts w:ascii="楷体" w:hAnsi="楷体" w:eastAsia="楷体" w:cs="宋体"/>
          <w:b/>
          <w:sz w:val="21"/>
          <w:szCs w:val="21"/>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26B1055D">
      <w:pPr>
        <w:pStyle w:val="17"/>
        <w:spacing w:line="360" w:lineRule="auto"/>
        <w:ind w:left="25" w:leftChars="12" w:firstLine="310" w:firstLineChars="147"/>
        <w:rPr>
          <w:rFonts w:ascii="楷体" w:hAnsi="楷体" w:eastAsia="楷体" w:cs="宋体"/>
          <w:b/>
          <w:sz w:val="21"/>
          <w:szCs w:val="21"/>
          <w:highlight w:val="none"/>
        </w:rPr>
      </w:pPr>
      <w:r>
        <w:rPr>
          <w:rFonts w:ascii="楷体" w:hAnsi="楷体" w:eastAsia="楷体" w:cs="宋体"/>
          <w:b/>
          <w:sz w:val="21"/>
          <w:szCs w:val="21"/>
          <w:highlight w:val="none"/>
        </w:rPr>
        <w:t>3.投诉书应简要列明质疑事项，质疑函、质疑答复等作为附件材料提供。</w:t>
      </w:r>
    </w:p>
    <w:p w14:paraId="70277947">
      <w:pPr>
        <w:pStyle w:val="17"/>
        <w:spacing w:line="360" w:lineRule="auto"/>
        <w:ind w:left="25" w:leftChars="12" w:firstLine="310" w:firstLineChars="147"/>
        <w:rPr>
          <w:rFonts w:ascii="楷体" w:hAnsi="楷体" w:eastAsia="楷体" w:cs="宋体"/>
          <w:b/>
          <w:sz w:val="21"/>
          <w:szCs w:val="21"/>
          <w:highlight w:val="none"/>
        </w:rPr>
      </w:pPr>
      <w:r>
        <w:rPr>
          <w:rFonts w:ascii="楷体" w:hAnsi="楷体" w:eastAsia="楷体" w:cs="宋体"/>
          <w:b/>
          <w:sz w:val="21"/>
          <w:szCs w:val="21"/>
          <w:highlight w:val="none"/>
        </w:rPr>
        <w:t>4.投诉书的投诉事项应具体、明确，并有必要的事实依据和法律依据。</w:t>
      </w:r>
    </w:p>
    <w:p w14:paraId="35649759">
      <w:pPr>
        <w:pStyle w:val="17"/>
        <w:spacing w:line="360" w:lineRule="auto"/>
        <w:ind w:left="25" w:leftChars="12" w:firstLine="310" w:firstLineChars="147"/>
        <w:rPr>
          <w:rFonts w:ascii="楷体" w:hAnsi="楷体" w:eastAsia="楷体" w:cs="宋体"/>
          <w:b/>
          <w:sz w:val="21"/>
          <w:szCs w:val="21"/>
          <w:highlight w:val="none"/>
        </w:rPr>
      </w:pPr>
      <w:r>
        <w:rPr>
          <w:rFonts w:ascii="楷体" w:hAnsi="楷体" w:eastAsia="楷体" w:cs="宋体"/>
          <w:b/>
          <w:sz w:val="21"/>
          <w:szCs w:val="21"/>
          <w:highlight w:val="none"/>
        </w:rPr>
        <w:t>5.投诉书的投诉请求应与投诉事项相关。</w:t>
      </w:r>
    </w:p>
    <w:p w14:paraId="6F0F033A">
      <w:pPr>
        <w:pStyle w:val="17"/>
        <w:spacing w:line="360" w:lineRule="auto"/>
        <w:ind w:left="25" w:leftChars="12" w:firstLine="310" w:firstLineChars="147"/>
        <w:rPr>
          <w:rFonts w:ascii="楷体" w:hAnsi="楷体" w:eastAsia="楷体" w:cs="宋体"/>
          <w:b/>
          <w:sz w:val="21"/>
          <w:szCs w:val="21"/>
          <w:highlight w:val="none"/>
        </w:rPr>
      </w:pPr>
      <w:r>
        <w:rPr>
          <w:rFonts w:ascii="楷体" w:hAnsi="楷体" w:eastAsia="楷体" w:cs="宋体"/>
          <w:b/>
          <w:sz w:val="21"/>
          <w:szCs w:val="21"/>
          <w:highlight w:val="none"/>
        </w:rPr>
        <w:t>6.投诉人为法人或者其他组织的，投诉书应由法定代表人、主要负责人，或者其授权代表签字或者盖章，并加盖公章。</w:t>
      </w:r>
    </w:p>
    <w:p w14:paraId="2DFBB65E">
      <w:pPr>
        <w:pStyle w:val="17"/>
        <w:spacing w:line="360" w:lineRule="auto"/>
        <w:ind w:left="25" w:leftChars="12" w:firstLine="352" w:firstLineChars="147"/>
        <w:rPr>
          <w:rFonts w:hAnsi="宋体" w:cs="宋体"/>
          <w:sz w:val="24"/>
          <w:szCs w:val="24"/>
          <w:highlight w:val="none"/>
        </w:rPr>
      </w:pPr>
    </w:p>
    <w:p w14:paraId="513B56A7">
      <w:pPr>
        <w:spacing w:before="0" w:after="0"/>
        <w:jc w:val="center"/>
        <w:rPr>
          <w:rFonts w:hint="eastAsia" w:ascii="宋体" w:hAnsi="宋体" w:cs="宋体"/>
          <w:highlight w:val="none"/>
        </w:rPr>
      </w:pPr>
      <w:bookmarkStart w:id="45" w:name="_Toc12223"/>
      <w:r>
        <w:rPr>
          <w:rFonts w:hint="eastAsia" w:ascii="宋体" w:hAnsi="宋体" w:cs="宋体"/>
          <w:highlight w:val="none"/>
        </w:rPr>
        <w:br w:type="page"/>
      </w:r>
    </w:p>
    <w:p w14:paraId="2C8FF603">
      <w:pPr>
        <w:pStyle w:val="2"/>
        <w:spacing w:before="0" w:after="0" w:line="460" w:lineRule="exact"/>
        <w:jc w:val="center"/>
        <w:rPr>
          <w:rFonts w:ascii="宋体" w:hAnsi="宋体" w:cs="宋体"/>
          <w:highlight w:val="none"/>
        </w:rPr>
      </w:pPr>
      <w:r>
        <w:rPr>
          <w:rFonts w:hint="eastAsia" w:ascii="宋体" w:hAnsi="宋体" w:cs="宋体"/>
          <w:highlight w:val="none"/>
        </w:rPr>
        <w:t>第六章 拟签订的合同文本</w:t>
      </w:r>
      <w:bookmarkEnd w:id="45"/>
    </w:p>
    <w:p w14:paraId="4D36BC7D">
      <w:pPr>
        <w:jc w:val="center"/>
        <w:rPr>
          <w:b/>
          <w:bCs/>
          <w:kern w:val="44"/>
          <w:sz w:val="44"/>
          <w:szCs w:val="44"/>
          <w:highlight w:val="none"/>
        </w:rPr>
      </w:pPr>
    </w:p>
    <w:p w14:paraId="13679147">
      <w:pPr>
        <w:spacing w:line="240" w:lineRule="auto"/>
        <w:ind w:firstLine="0" w:firstLineChars="0"/>
        <w:rPr>
          <w:rFonts w:ascii="宋体" w:hAnsi="宋体"/>
          <w:sz w:val="24"/>
          <w:szCs w:val="32"/>
          <w:highlight w:val="none"/>
        </w:rPr>
      </w:pPr>
      <w:r>
        <w:rPr>
          <w:rFonts w:ascii="宋体" w:hAnsi="宋体"/>
          <w:sz w:val="24"/>
          <w:szCs w:val="32"/>
          <w:highlight w:val="none"/>
        </w:rPr>
        <w:br w:type="page"/>
      </w:r>
    </w:p>
    <w:p w14:paraId="3C648DBE">
      <w:pPr>
        <w:spacing w:line="340" w:lineRule="exact"/>
        <w:rPr>
          <w:rFonts w:ascii="宋体" w:hAnsi="宋体"/>
          <w:kern w:val="0"/>
          <w:highlight w:val="none"/>
        </w:rPr>
      </w:pPr>
    </w:p>
    <w:p w14:paraId="1ED18385">
      <w:pPr>
        <w:spacing w:line="360" w:lineRule="auto"/>
        <w:ind w:right="800"/>
        <w:rPr>
          <w:rFonts w:ascii="宋体" w:hAnsi="宋体" w:cs="宋体"/>
          <w:bCs/>
          <w:highlight w:val="none"/>
          <w:u w:val="single"/>
        </w:rPr>
      </w:pPr>
      <w:r>
        <w:rPr>
          <w:rFonts w:hint="eastAsia" w:ascii="宋体" w:hAnsi="宋体" w:cs="宋体"/>
          <w:highlight w:val="none"/>
        </w:rPr>
        <w:t>采购计划号：</w:t>
      </w:r>
      <w:r>
        <w:rPr>
          <w:rFonts w:hint="eastAsia" w:ascii="宋体" w:hAnsi="宋体" w:cs="宋体"/>
          <w:highlight w:val="none"/>
          <w:u w:val="single"/>
        </w:rPr>
        <w:t xml:space="preserve"> </w:t>
      </w:r>
      <w:r>
        <w:rPr>
          <w:rFonts w:ascii="宋体" w:hAnsi="宋体" w:cs="宋体"/>
          <w:highlight w:val="none"/>
          <w:u w:val="single"/>
        </w:rPr>
        <w:t xml:space="preserve">                        </w:t>
      </w:r>
      <w:r>
        <w:rPr>
          <w:rFonts w:ascii="宋体" w:hAnsi="宋体" w:cs="宋体"/>
          <w:highlight w:val="none"/>
        </w:rPr>
        <w:t xml:space="preserve">   </w:t>
      </w:r>
      <w:r>
        <w:rPr>
          <w:rFonts w:hint="eastAsia" w:ascii="宋体" w:hAnsi="宋体" w:cs="宋体"/>
          <w:bCs/>
          <w:highlight w:val="none"/>
        </w:rPr>
        <w:t>合同编号：</w:t>
      </w:r>
      <w:r>
        <w:rPr>
          <w:rFonts w:ascii="宋体" w:hAnsi="宋体" w:cs="宋体"/>
          <w:highlight w:val="none"/>
          <w:u w:val="single"/>
        </w:rPr>
        <w:t xml:space="preserve">                      </w:t>
      </w:r>
      <w:r>
        <w:rPr>
          <w:rFonts w:hint="eastAsia" w:ascii="宋体" w:hAnsi="宋体" w:cs="宋体"/>
          <w:highlight w:val="none"/>
          <w:u w:val="single"/>
        </w:rPr>
        <w:t xml:space="preserve">  </w:t>
      </w:r>
      <w:r>
        <w:rPr>
          <w:rFonts w:ascii="宋体" w:hAnsi="宋体" w:cs="宋体"/>
          <w:highlight w:val="none"/>
          <w:u w:val="single"/>
        </w:rPr>
        <w:t xml:space="preserve">  </w:t>
      </w:r>
    </w:p>
    <w:p w14:paraId="25735B5D">
      <w:pPr>
        <w:spacing w:line="360" w:lineRule="auto"/>
        <w:rPr>
          <w:rFonts w:ascii="宋体" w:hAnsi="宋体" w:cs="宋体"/>
          <w:highlight w:val="none"/>
          <w:u w:val="single"/>
        </w:rPr>
      </w:pPr>
      <w:r>
        <w:rPr>
          <w:rFonts w:hint="eastAsia" w:ascii="宋体" w:hAnsi="宋体" w:cs="宋体"/>
          <w:highlight w:val="none"/>
        </w:rPr>
        <w:t>采购人（甲方）：</w:t>
      </w:r>
      <w:r>
        <w:rPr>
          <w:rFonts w:hint="eastAsia" w:ascii="宋体" w:hAnsi="宋体" w:cs="宋体"/>
          <w:highlight w:val="none"/>
          <w:u w:val="single"/>
        </w:rPr>
        <w:t xml:space="preserve"> </w:t>
      </w:r>
      <w:r>
        <w:rPr>
          <w:rFonts w:ascii="宋体" w:hAnsi="宋体" w:cs="宋体"/>
          <w:highlight w:val="none"/>
          <w:u w:val="single"/>
        </w:rPr>
        <w:t xml:space="preserve">                 </w:t>
      </w:r>
      <w:r>
        <w:rPr>
          <w:rFonts w:hint="eastAsia" w:ascii="宋体" w:hAnsi="宋体" w:cs="宋体"/>
          <w:highlight w:val="none"/>
          <w:u w:val="single"/>
        </w:rPr>
        <w:t xml:space="preserve">   </w:t>
      </w:r>
      <w:r>
        <w:rPr>
          <w:rFonts w:hint="eastAsia" w:ascii="宋体" w:hAnsi="宋体" w:cs="宋体"/>
          <w:highlight w:val="none"/>
        </w:rPr>
        <w:t xml:space="preserve">   供应商（乙方）：</w:t>
      </w:r>
      <w:r>
        <w:rPr>
          <w:rFonts w:ascii="宋体" w:hAnsi="宋体" w:cs="宋体"/>
          <w:highlight w:val="none"/>
          <w:u w:val="single"/>
        </w:rPr>
        <w:t xml:space="preserve">                    </w:t>
      </w:r>
    </w:p>
    <w:p w14:paraId="54447934">
      <w:pPr>
        <w:spacing w:line="360" w:lineRule="auto"/>
        <w:rPr>
          <w:rFonts w:hint="eastAsia" w:ascii="宋体" w:hAnsi="宋体" w:cs="宋体"/>
          <w:highlight w:val="none"/>
          <w:u w:val="single"/>
        </w:rPr>
      </w:pPr>
      <w:r>
        <w:rPr>
          <w:rFonts w:hint="eastAsia" w:ascii="宋体" w:hAnsi="宋体" w:cs="宋体"/>
          <w:highlight w:val="none"/>
        </w:rPr>
        <w:t>项目名称：</w:t>
      </w:r>
      <w:r>
        <w:rPr>
          <w:rFonts w:ascii="宋体" w:hAnsi="宋体" w:cs="宋体"/>
          <w:highlight w:val="none"/>
          <w:u w:val="single"/>
        </w:rPr>
        <w:t xml:space="preserve">                       </w:t>
      </w:r>
      <w:r>
        <w:rPr>
          <w:rFonts w:hint="eastAsia" w:ascii="宋体" w:hAnsi="宋体" w:cs="宋体"/>
          <w:highlight w:val="none"/>
          <w:u w:val="single"/>
        </w:rPr>
        <w:t xml:space="preserve">  </w:t>
      </w:r>
      <w:r>
        <w:rPr>
          <w:rFonts w:ascii="宋体" w:hAnsi="宋体" w:cs="宋体"/>
          <w:highlight w:val="none"/>
          <w:u w:val="single"/>
        </w:rPr>
        <w:t xml:space="preserve">  </w:t>
      </w:r>
      <w:r>
        <w:rPr>
          <w:rFonts w:ascii="宋体" w:hAnsi="宋体" w:cs="宋体"/>
          <w:highlight w:val="none"/>
        </w:rPr>
        <w:t xml:space="preserve">   </w:t>
      </w:r>
      <w:r>
        <w:rPr>
          <w:rFonts w:hint="eastAsia" w:ascii="宋体" w:hAnsi="宋体" w:cs="宋体"/>
          <w:highlight w:val="none"/>
        </w:rPr>
        <w:t>项目编号：</w:t>
      </w:r>
      <w:r>
        <w:rPr>
          <w:rFonts w:ascii="宋体" w:hAnsi="宋体" w:cs="宋体"/>
          <w:highlight w:val="none"/>
          <w:u w:val="single"/>
        </w:rPr>
        <w:t xml:space="preserve">                          </w:t>
      </w:r>
    </w:p>
    <w:p w14:paraId="71B211AE">
      <w:pPr>
        <w:spacing w:line="360" w:lineRule="auto"/>
        <w:rPr>
          <w:rFonts w:hint="eastAsia" w:ascii="宋体" w:hAnsi="宋体" w:cs="宋体"/>
          <w:highlight w:val="none"/>
          <w:u w:val="single"/>
        </w:rPr>
      </w:pPr>
      <w:r>
        <w:rPr>
          <w:rFonts w:hint="eastAsia" w:ascii="宋体" w:hAnsi="宋体" w:cs="宋体"/>
          <w:highlight w:val="none"/>
        </w:rPr>
        <w:t>签订地点：</w:t>
      </w:r>
      <w:r>
        <w:rPr>
          <w:rFonts w:hint="eastAsia" w:ascii="宋体" w:hAnsi="宋体" w:cs="宋体"/>
          <w:highlight w:val="none"/>
          <w:u w:val="single"/>
        </w:rPr>
        <w:t xml:space="preserve"> </w:t>
      </w:r>
      <w:r>
        <w:rPr>
          <w:rFonts w:ascii="宋体" w:hAnsi="宋体" w:cs="宋体"/>
          <w:highlight w:val="none"/>
          <w:u w:val="single"/>
        </w:rPr>
        <w:t xml:space="preserve">                    </w:t>
      </w:r>
      <w:r>
        <w:rPr>
          <w:rFonts w:hint="eastAsia" w:ascii="宋体" w:hAnsi="宋体" w:cs="宋体"/>
          <w:highlight w:val="none"/>
          <w:u w:val="single"/>
        </w:rPr>
        <w:t xml:space="preserve">  </w:t>
      </w:r>
      <w:r>
        <w:rPr>
          <w:rFonts w:ascii="宋体" w:hAnsi="宋体" w:cs="宋体"/>
          <w:highlight w:val="none"/>
          <w:u w:val="single"/>
        </w:rPr>
        <w:t xml:space="preserve">   </w:t>
      </w:r>
      <w:r>
        <w:rPr>
          <w:rFonts w:hint="eastAsia" w:ascii="宋体" w:hAnsi="宋体" w:cs="宋体"/>
          <w:highlight w:val="none"/>
          <w:u w:val="single"/>
        </w:rPr>
        <w:t xml:space="preserve"> </w:t>
      </w:r>
      <w:r>
        <w:rPr>
          <w:rFonts w:hint="eastAsia" w:ascii="宋体" w:hAnsi="宋体" w:cs="宋体"/>
          <w:highlight w:val="none"/>
        </w:rPr>
        <w:t xml:space="preserve">   签订时间：</w:t>
      </w:r>
      <w:r>
        <w:rPr>
          <w:rFonts w:hint="eastAsia" w:ascii="宋体" w:hAnsi="宋体" w:cs="宋体"/>
          <w:highlight w:val="none"/>
          <w:u w:val="single"/>
        </w:rPr>
        <w:t xml:space="preserve">        </w:t>
      </w:r>
      <w:r>
        <w:rPr>
          <w:rFonts w:ascii="宋体" w:hAnsi="宋体" w:cs="宋体"/>
          <w:highlight w:val="none"/>
          <w:u w:val="single"/>
        </w:rPr>
        <w:t xml:space="preserve">           </w:t>
      </w:r>
      <w:r>
        <w:rPr>
          <w:rFonts w:hint="eastAsia" w:ascii="宋体" w:hAnsi="宋体" w:cs="宋体"/>
          <w:highlight w:val="none"/>
          <w:u w:val="single"/>
        </w:rPr>
        <w:t xml:space="preserve">     </w:t>
      </w:r>
      <w:r>
        <w:rPr>
          <w:rFonts w:ascii="宋体" w:hAnsi="宋体" w:cs="宋体"/>
          <w:highlight w:val="none"/>
          <w:u w:val="single"/>
        </w:rPr>
        <w:t xml:space="preserve">  </w:t>
      </w:r>
    </w:p>
    <w:p w14:paraId="11CF29D1">
      <w:pPr>
        <w:spacing w:line="360" w:lineRule="auto"/>
        <w:rPr>
          <w:rFonts w:hint="eastAsia" w:ascii="宋体" w:hAnsi="宋体" w:eastAsia="宋体" w:cs="宋体"/>
          <w:highlight w:val="none"/>
          <w:lang w:val="en-US" w:eastAsia="zh-CN"/>
        </w:rPr>
      </w:pPr>
      <w:r>
        <w:rPr>
          <w:rFonts w:hint="eastAsia" w:ascii="宋体" w:hAnsi="宋体" w:cs="宋体"/>
          <w:highlight w:val="none"/>
          <w:lang w:val="en-US" w:eastAsia="zh-CN"/>
        </w:rPr>
        <w:t>分标号：</w:t>
      </w:r>
      <w:r>
        <w:rPr>
          <w:rFonts w:hint="eastAsia" w:ascii="宋体" w:hAnsi="宋体" w:cs="宋体"/>
          <w:highlight w:val="none"/>
          <w:u w:val="single"/>
        </w:rPr>
        <w:t xml:space="preserve"> </w:t>
      </w:r>
      <w:r>
        <w:rPr>
          <w:rFonts w:ascii="宋体" w:hAnsi="宋体" w:cs="宋体"/>
          <w:highlight w:val="none"/>
          <w:u w:val="single"/>
        </w:rPr>
        <w:t xml:space="preserve">                    </w:t>
      </w:r>
      <w:r>
        <w:rPr>
          <w:rFonts w:hint="eastAsia" w:ascii="宋体" w:hAnsi="宋体" w:cs="宋体"/>
          <w:highlight w:val="none"/>
          <w:u w:val="single"/>
        </w:rPr>
        <w:t xml:space="preserve">  </w:t>
      </w:r>
      <w:r>
        <w:rPr>
          <w:rFonts w:ascii="宋体" w:hAnsi="宋体" w:cs="宋体"/>
          <w:highlight w:val="none"/>
          <w:u w:val="single"/>
        </w:rPr>
        <w:t xml:space="preserve">   </w:t>
      </w:r>
      <w:r>
        <w:rPr>
          <w:rFonts w:hint="eastAsia" w:ascii="宋体" w:hAnsi="宋体" w:cs="宋体"/>
          <w:highlight w:val="none"/>
          <w:u w:val="single"/>
        </w:rPr>
        <w:t xml:space="preserve"> </w:t>
      </w:r>
      <w:r>
        <w:rPr>
          <w:rFonts w:hint="eastAsia" w:ascii="宋体" w:hAnsi="宋体" w:cs="宋体"/>
          <w:highlight w:val="none"/>
        </w:rPr>
        <w:t xml:space="preserve"> </w:t>
      </w:r>
    </w:p>
    <w:p w14:paraId="2C8DDD67">
      <w:pPr>
        <w:spacing w:line="360" w:lineRule="auto"/>
        <w:rPr>
          <w:rFonts w:hint="eastAsia" w:ascii="宋体" w:hAnsi="宋体" w:cs="宋体"/>
          <w:highlight w:val="none"/>
        </w:rPr>
      </w:pPr>
      <w:r>
        <w:rPr>
          <w:rFonts w:hint="eastAsia" w:ascii="宋体" w:hAnsi="宋体" w:cs="宋体"/>
          <w:highlight w:val="none"/>
        </w:rPr>
        <w:t>本合同为中小企业预留合同：</w:t>
      </w:r>
      <w:r>
        <w:rPr>
          <w:rFonts w:hint="eastAsia" w:ascii="宋体" w:hAnsi="宋体" w:cs="宋体"/>
          <w:highlight w:val="none"/>
          <w:u w:val="single"/>
        </w:rPr>
        <w:t>（是/否）</w:t>
      </w:r>
      <w:r>
        <w:rPr>
          <w:rFonts w:hint="eastAsia" w:ascii="宋体" w:hAnsi="宋体" w:cs="宋体"/>
          <w:highlight w:val="none"/>
        </w:rPr>
        <w:t>。</w:t>
      </w:r>
    </w:p>
    <w:p w14:paraId="6ACAB86E">
      <w:pPr>
        <w:snapToGrid w:val="0"/>
        <w:spacing w:line="400" w:lineRule="exact"/>
        <w:ind w:firstLine="420" w:firstLineChars="200"/>
        <w:jc w:val="left"/>
        <w:rPr>
          <w:rFonts w:ascii="宋体" w:hAnsi="宋体"/>
          <w:highlight w:val="none"/>
        </w:rPr>
      </w:pPr>
      <w:r>
        <w:rPr>
          <w:rFonts w:hint="eastAsia" w:ascii="宋体" w:hAnsi="宋体"/>
          <w:bCs/>
          <w:highlight w:val="none"/>
        </w:rPr>
        <w:t>根据《中华人民共和国政府采购法》、《中华人民共和国民法典》等法律、法规规定，按照竞争性磋商文件（采购文件）规定条款和成交供应商响应文件承诺，</w:t>
      </w:r>
      <w:r>
        <w:rPr>
          <w:rFonts w:hint="eastAsia" w:ascii="宋体" w:hAnsi="宋体"/>
          <w:highlight w:val="none"/>
        </w:rPr>
        <w:t>甲乙双方签订本合同。</w:t>
      </w:r>
    </w:p>
    <w:p w14:paraId="59F75052">
      <w:pPr>
        <w:snapToGrid w:val="0"/>
        <w:spacing w:line="400" w:lineRule="atLeast"/>
        <w:ind w:firstLine="422" w:firstLineChars="200"/>
        <w:rPr>
          <w:rFonts w:hint="eastAsia" w:ascii="宋体" w:hAnsi="宋体"/>
          <w:b/>
          <w:highlight w:val="none"/>
        </w:rPr>
      </w:pPr>
      <w:r>
        <w:rPr>
          <w:rFonts w:hint="eastAsia" w:ascii="宋体" w:hAnsi="宋体"/>
          <w:b/>
          <w:highlight w:val="none"/>
        </w:rPr>
        <w:t>第一条　合同标的</w:t>
      </w:r>
    </w:p>
    <w:p w14:paraId="1392FBF0">
      <w:pPr>
        <w:tabs>
          <w:tab w:val="left" w:pos="8280"/>
        </w:tabs>
        <w:snapToGrid w:val="0"/>
        <w:spacing w:line="400" w:lineRule="atLeast"/>
        <w:ind w:right="26" w:firstLine="420" w:firstLineChars="200"/>
        <w:rPr>
          <w:rFonts w:hint="eastAsia" w:ascii="宋体" w:hAnsi="宋体"/>
          <w:highlight w:val="none"/>
        </w:rPr>
      </w:pPr>
      <w:r>
        <w:rPr>
          <w:rFonts w:hint="eastAsia" w:ascii="宋体" w:hAnsi="宋体"/>
          <w:highlight w:val="none"/>
        </w:rPr>
        <w:t>1.服务项目</w:t>
      </w:r>
    </w:p>
    <w:p w14:paraId="22EEAC37">
      <w:pPr>
        <w:tabs>
          <w:tab w:val="left" w:pos="8280"/>
        </w:tabs>
        <w:snapToGrid w:val="0"/>
        <w:spacing w:line="400" w:lineRule="atLeast"/>
        <w:ind w:right="26" w:firstLine="420" w:firstLineChars="200"/>
        <w:rPr>
          <w:rFonts w:hint="eastAsia" w:ascii="宋体" w:hAnsi="宋体"/>
          <w:highlight w:val="none"/>
        </w:rPr>
      </w:pPr>
      <w:r>
        <w:rPr>
          <w:rFonts w:hint="eastAsia" w:ascii="宋体" w:hAnsi="宋体"/>
          <w:highlight w:val="none"/>
        </w:rPr>
        <w:t>乙方接受甲方委托，承担《</w:t>
      </w:r>
      <w:r>
        <w:rPr>
          <w:rFonts w:hint="eastAsia" w:ascii="宋体" w:hAnsi="宋体"/>
          <w:highlight w:val="none"/>
          <w:u w:val="single"/>
        </w:rPr>
        <w:t xml:space="preserve">            </w:t>
      </w:r>
      <w:r>
        <w:rPr>
          <w:rFonts w:hint="eastAsia" w:ascii="宋体" w:hAnsi="宋体"/>
          <w:highlight w:val="none"/>
        </w:rPr>
        <w:t>》项目实施工作，并为甲方提供技术服务，以满足甲方对本合同项目服务需求及要求。</w:t>
      </w:r>
      <w:r>
        <w:rPr>
          <w:rFonts w:hint="eastAsia" w:ascii="宋体" w:hAnsi="宋体"/>
          <w:b/>
          <w:highlight w:val="none"/>
          <w:u w:val="single"/>
        </w:rPr>
        <w:t>合同金额（大写）人民币            （¥       ）（详见报价表）</w:t>
      </w:r>
      <w:r>
        <w:rPr>
          <w:rFonts w:hint="eastAsia" w:ascii="宋体" w:hAnsi="宋体"/>
          <w:highlight w:val="none"/>
        </w:rPr>
        <w:t>。</w:t>
      </w:r>
    </w:p>
    <w:p w14:paraId="501096C5">
      <w:pPr>
        <w:spacing w:line="400" w:lineRule="exact"/>
        <w:ind w:firstLine="420"/>
        <w:rPr>
          <w:rFonts w:hint="eastAsia" w:ascii="宋体" w:hAnsi="宋体"/>
          <w:highlight w:val="none"/>
        </w:rPr>
      </w:pPr>
      <w:r>
        <w:rPr>
          <w:rFonts w:hint="eastAsia" w:ascii="宋体" w:hAnsi="宋体"/>
          <w:highlight w:val="none"/>
        </w:rPr>
        <w:t>2.项目服务所应实现的目标及技术要求以磋商文件和承诺约定为准。</w:t>
      </w:r>
    </w:p>
    <w:p w14:paraId="38C0C7D8">
      <w:pPr>
        <w:spacing w:line="400" w:lineRule="exact"/>
        <w:ind w:firstLine="420"/>
        <w:rPr>
          <w:rFonts w:hint="eastAsia" w:ascii="宋体" w:hAnsi="宋体"/>
          <w:highlight w:val="none"/>
        </w:rPr>
      </w:pPr>
      <w:r>
        <w:rPr>
          <w:rFonts w:hint="eastAsia" w:ascii="宋体" w:hAnsi="宋体"/>
          <w:highlight w:val="none"/>
        </w:rPr>
        <w:t>3</w:t>
      </w:r>
      <w:r>
        <w:rPr>
          <w:rFonts w:ascii="宋体" w:hAnsi="宋体"/>
          <w:highlight w:val="none"/>
        </w:rPr>
        <w:t>.</w:t>
      </w:r>
      <w:r>
        <w:rPr>
          <w:rFonts w:hint="eastAsia" w:ascii="宋体" w:hAnsi="宋体"/>
          <w:highlight w:val="none"/>
        </w:rPr>
        <w:t>合同合计金额包括完成本项目采购要求、人员要求所产生的全部费用。如采购文件对其另有规定的，从其规定。</w:t>
      </w:r>
    </w:p>
    <w:p w14:paraId="291C4FA0">
      <w:pPr>
        <w:spacing w:line="400" w:lineRule="exact"/>
        <w:ind w:firstLine="420"/>
        <w:rPr>
          <w:rFonts w:hint="eastAsia" w:ascii="宋体" w:hAnsi="宋体"/>
          <w:b/>
          <w:highlight w:val="none"/>
        </w:rPr>
      </w:pPr>
      <w:r>
        <w:rPr>
          <w:rFonts w:hint="eastAsia" w:ascii="宋体" w:hAnsi="宋体"/>
          <w:b/>
          <w:highlight w:val="none"/>
        </w:rPr>
        <w:t>第二条　质量保证</w:t>
      </w:r>
    </w:p>
    <w:p w14:paraId="5B7A723B">
      <w:pPr>
        <w:spacing w:line="400" w:lineRule="exact"/>
        <w:ind w:firstLine="420"/>
        <w:rPr>
          <w:rFonts w:hint="eastAsia" w:ascii="宋体" w:hAnsi="宋体"/>
          <w:highlight w:val="none"/>
        </w:rPr>
      </w:pPr>
      <w:r>
        <w:rPr>
          <w:rFonts w:hint="eastAsia" w:ascii="宋体" w:hAnsi="宋体"/>
          <w:highlight w:val="none"/>
        </w:rPr>
        <w:t>1</w:t>
      </w:r>
      <w:r>
        <w:rPr>
          <w:rFonts w:ascii="宋体" w:hAnsi="宋体"/>
          <w:highlight w:val="none"/>
        </w:rPr>
        <w:t>.</w:t>
      </w:r>
      <w:r>
        <w:rPr>
          <w:rFonts w:hint="eastAsia" w:ascii="宋体" w:hAnsi="宋体"/>
          <w:highlight w:val="none"/>
        </w:rPr>
        <w:t>乙方所提供的服务必须与采购文件和响应承诺相一致。</w:t>
      </w:r>
    </w:p>
    <w:p w14:paraId="5F36E18C">
      <w:pPr>
        <w:spacing w:line="400" w:lineRule="exact"/>
        <w:ind w:firstLine="420"/>
        <w:rPr>
          <w:rFonts w:hint="eastAsia" w:ascii="宋体" w:hAnsi="宋体"/>
          <w:highlight w:val="none"/>
        </w:rPr>
      </w:pPr>
      <w:r>
        <w:rPr>
          <w:rFonts w:hint="eastAsia" w:ascii="宋体" w:hAnsi="宋体"/>
          <w:highlight w:val="none"/>
        </w:rPr>
        <w:t>2</w:t>
      </w:r>
      <w:r>
        <w:rPr>
          <w:rFonts w:ascii="宋体" w:hAnsi="宋体"/>
          <w:highlight w:val="none"/>
        </w:rPr>
        <w:t>.</w:t>
      </w:r>
      <w:r>
        <w:rPr>
          <w:rFonts w:hint="eastAsia" w:ascii="宋体" w:hAnsi="宋体"/>
          <w:highlight w:val="none"/>
        </w:rPr>
        <w:t>乙方所提供的服务质量应达到采购文件要求和响应承诺的质量要求。</w:t>
      </w:r>
    </w:p>
    <w:p w14:paraId="06483199">
      <w:pPr>
        <w:spacing w:line="400" w:lineRule="exact"/>
        <w:ind w:firstLine="420"/>
        <w:rPr>
          <w:rFonts w:hint="eastAsia" w:ascii="宋体" w:hAnsi="宋体"/>
          <w:b/>
          <w:highlight w:val="none"/>
        </w:rPr>
      </w:pPr>
      <w:r>
        <w:rPr>
          <w:rFonts w:hint="eastAsia" w:ascii="宋体" w:hAnsi="宋体"/>
          <w:b/>
          <w:highlight w:val="none"/>
        </w:rPr>
        <w:t>第三条　权利保证</w:t>
      </w:r>
    </w:p>
    <w:p w14:paraId="59CD3D62">
      <w:pPr>
        <w:spacing w:line="400" w:lineRule="exact"/>
        <w:ind w:firstLine="420"/>
        <w:rPr>
          <w:rFonts w:hint="eastAsia" w:ascii="宋体" w:hAnsi="宋体"/>
          <w:highlight w:val="none"/>
        </w:rPr>
      </w:pPr>
      <w:r>
        <w:rPr>
          <w:rFonts w:hint="eastAsia" w:ascii="宋体" w:hAnsi="宋体"/>
          <w:highlight w:val="none"/>
        </w:rPr>
        <w:t>1.甲方根据工作需要，可为乙方提供相关资料等。</w:t>
      </w:r>
    </w:p>
    <w:p w14:paraId="517C6F9F">
      <w:pPr>
        <w:spacing w:line="400" w:lineRule="exact"/>
        <w:ind w:firstLine="420"/>
        <w:rPr>
          <w:rFonts w:hint="eastAsia" w:ascii="宋体" w:hAnsi="宋体"/>
          <w:highlight w:val="none"/>
        </w:rPr>
      </w:pPr>
      <w:r>
        <w:rPr>
          <w:rFonts w:hint="eastAsia" w:ascii="宋体" w:hAnsi="宋体"/>
          <w:highlight w:val="none"/>
        </w:rPr>
        <w:t>2.甲方有权定期了解乙方工作进展情况，并对乙方工作进行监督，提出合理建议。</w:t>
      </w:r>
    </w:p>
    <w:p w14:paraId="54944413">
      <w:pPr>
        <w:spacing w:line="400" w:lineRule="exact"/>
        <w:ind w:firstLine="420"/>
        <w:rPr>
          <w:rFonts w:hint="eastAsia" w:ascii="宋体" w:hAnsi="宋体"/>
          <w:highlight w:val="none"/>
        </w:rPr>
      </w:pPr>
      <w:r>
        <w:rPr>
          <w:rFonts w:hint="eastAsia" w:ascii="宋体" w:hAnsi="宋体"/>
          <w:highlight w:val="none"/>
        </w:rPr>
        <w:t>3.乙方应按规定时间节点内完成项目工作。</w:t>
      </w:r>
    </w:p>
    <w:p w14:paraId="653BA8E1">
      <w:pPr>
        <w:spacing w:line="400" w:lineRule="exact"/>
        <w:ind w:firstLine="420"/>
        <w:rPr>
          <w:rFonts w:hint="eastAsia" w:ascii="宋体" w:hAnsi="宋体"/>
          <w:highlight w:val="none"/>
        </w:rPr>
      </w:pPr>
      <w:r>
        <w:rPr>
          <w:rFonts w:hint="eastAsia" w:ascii="宋体" w:hAnsi="宋体"/>
          <w:highlight w:val="none"/>
        </w:rPr>
        <w:t>4.乙方应委派具有相应能力、经验的员工为甲方提供服务，合同履行过程中，未经甲方同意，乙方不得随意更换项目人员（见合同附件《项目实施人员一览表》）。</w:t>
      </w:r>
    </w:p>
    <w:p w14:paraId="29132D40">
      <w:pPr>
        <w:spacing w:line="400" w:lineRule="exact"/>
        <w:ind w:firstLine="420"/>
        <w:rPr>
          <w:rFonts w:hint="eastAsia" w:ascii="宋体" w:hAnsi="宋体"/>
          <w:highlight w:val="none"/>
        </w:rPr>
      </w:pPr>
      <w:r>
        <w:rPr>
          <w:rFonts w:hint="eastAsia" w:ascii="宋体" w:hAnsi="宋体"/>
          <w:highlight w:val="none"/>
        </w:rPr>
        <w:t>5.合同履行过程中，乙方应根据甲方要求，定期向甲方汇报工作进展，并接受甲方监督。</w:t>
      </w:r>
    </w:p>
    <w:p w14:paraId="0EFF4DB7">
      <w:pPr>
        <w:spacing w:line="400" w:lineRule="exact"/>
        <w:ind w:firstLine="420"/>
        <w:rPr>
          <w:rFonts w:hint="eastAsia" w:ascii="宋体" w:hAnsi="宋体"/>
          <w:highlight w:val="none"/>
        </w:rPr>
      </w:pPr>
      <w:r>
        <w:rPr>
          <w:rFonts w:hint="eastAsia" w:ascii="宋体" w:hAnsi="宋体"/>
          <w:highlight w:val="none"/>
        </w:rPr>
        <w:t>6.乙方有权根据本合同约定及工作需要，要求甲方提供与项目建设有关的信息与资料。</w:t>
      </w:r>
    </w:p>
    <w:p w14:paraId="4352F89B">
      <w:pPr>
        <w:spacing w:line="400" w:lineRule="exact"/>
        <w:ind w:firstLine="420"/>
        <w:rPr>
          <w:rFonts w:hint="eastAsia" w:ascii="宋体" w:hAnsi="宋体"/>
          <w:highlight w:val="none"/>
        </w:rPr>
      </w:pPr>
      <w:r>
        <w:rPr>
          <w:rFonts w:hint="eastAsia" w:ascii="宋体" w:hAnsi="宋体"/>
          <w:highlight w:val="none"/>
        </w:rPr>
        <w:t>7.乙方有权要求甲方配合其工作，并要求甲方提供必要的协助。</w:t>
      </w:r>
    </w:p>
    <w:p w14:paraId="25CB0577">
      <w:pPr>
        <w:spacing w:line="400" w:lineRule="exact"/>
        <w:ind w:firstLine="420"/>
        <w:rPr>
          <w:rFonts w:hint="eastAsia" w:ascii="宋体" w:hAnsi="宋体"/>
          <w:highlight w:val="none"/>
        </w:rPr>
      </w:pPr>
      <w:r>
        <w:rPr>
          <w:rFonts w:hint="eastAsia" w:ascii="宋体" w:hAnsi="宋体"/>
          <w:highlight w:val="none"/>
        </w:rPr>
        <w:t>8.乙方应保证在项目服务工作实施过程中不会侵犯任何第三方的专利权、著作权、商标权、工业设计权或其他权利。</w:t>
      </w:r>
    </w:p>
    <w:p w14:paraId="110BB850">
      <w:pPr>
        <w:spacing w:line="400" w:lineRule="exact"/>
        <w:ind w:firstLine="420"/>
        <w:rPr>
          <w:rFonts w:hint="eastAsia" w:ascii="宋体" w:hAnsi="宋体"/>
          <w:highlight w:val="none"/>
        </w:rPr>
      </w:pPr>
      <w:r>
        <w:rPr>
          <w:rFonts w:hint="eastAsia" w:ascii="宋体" w:hAnsi="宋体"/>
          <w:highlight w:val="none"/>
        </w:rPr>
        <w:t>9.乙方应按采购文件规定的时间向甲方提供项目实施工作有关技术资料。</w:t>
      </w:r>
    </w:p>
    <w:p w14:paraId="75FAB8B7">
      <w:pPr>
        <w:spacing w:line="400" w:lineRule="exact"/>
        <w:ind w:firstLine="420"/>
        <w:rPr>
          <w:rFonts w:hint="eastAsia" w:ascii="宋体" w:hAnsi="宋体"/>
          <w:highlight w:val="none"/>
        </w:rPr>
      </w:pPr>
      <w:r>
        <w:rPr>
          <w:rFonts w:hint="eastAsia" w:ascii="宋体" w:hAnsi="宋体"/>
          <w:highlight w:val="none"/>
        </w:rPr>
        <w:t>10.没有甲方事先书面同意，乙方不得将由甲方提供的有关合同或任何合同条文、规格、计划、图纸、样品或资料提供给与履行本合同无关的任何其他人。即使向履行本合同有关的人员提供，也应注意保密并限于履行合同的必需范围。乙方未履行保密义务的，按本合同第八条第7款承担违约责任。本合同终止保密条款继续有效。</w:t>
      </w:r>
    </w:p>
    <w:p w14:paraId="289BB6A0">
      <w:pPr>
        <w:spacing w:line="400" w:lineRule="exact"/>
        <w:ind w:firstLine="420"/>
        <w:rPr>
          <w:rFonts w:hint="eastAsia" w:ascii="宋体" w:hAnsi="宋体"/>
          <w:highlight w:val="none"/>
        </w:rPr>
      </w:pPr>
      <w:r>
        <w:rPr>
          <w:rFonts w:hint="eastAsia" w:ascii="宋体" w:hAnsi="宋体"/>
          <w:highlight w:val="none"/>
        </w:rPr>
        <w:t>11.乙方保证所提供或交付的技术服务所有权完全属于乙方且无任何抵押、质押、查封等产权瑕疵。</w:t>
      </w:r>
    </w:p>
    <w:p w14:paraId="1F1E9324">
      <w:pPr>
        <w:spacing w:line="400" w:lineRule="exact"/>
        <w:ind w:firstLine="420"/>
        <w:rPr>
          <w:rFonts w:hint="eastAsia" w:ascii="宋体" w:hAnsi="宋体"/>
          <w:highlight w:val="none"/>
        </w:rPr>
      </w:pPr>
      <w:r>
        <w:rPr>
          <w:rFonts w:hint="eastAsia" w:ascii="宋体" w:hAnsi="宋体"/>
          <w:highlight w:val="none"/>
        </w:rPr>
        <w:t>12.乙方所交付的技术成果知识产权归甲方所有（如采购文件另有约定的从其约定）。</w:t>
      </w:r>
    </w:p>
    <w:p w14:paraId="4394B131">
      <w:pPr>
        <w:spacing w:line="400" w:lineRule="exact"/>
        <w:ind w:firstLine="420"/>
        <w:rPr>
          <w:rFonts w:hint="eastAsia" w:ascii="宋体" w:hAnsi="宋体"/>
          <w:b/>
          <w:highlight w:val="none"/>
        </w:rPr>
      </w:pPr>
      <w:r>
        <w:rPr>
          <w:rFonts w:hint="eastAsia" w:ascii="宋体" w:hAnsi="宋体"/>
          <w:b/>
          <w:highlight w:val="none"/>
        </w:rPr>
        <w:t>第四条　交付和验收</w:t>
      </w:r>
    </w:p>
    <w:p w14:paraId="50E77897">
      <w:pPr>
        <w:snapToGrid w:val="0"/>
        <w:spacing w:line="400" w:lineRule="atLeast"/>
        <w:ind w:firstLine="420" w:firstLineChars="200"/>
        <w:rPr>
          <w:rFonts w:hint="eastAsia" w:ascii="宋体" w:hAnsi="宋体"/>
          <w:highlight w:val="none"/>
        </w:rPr>
      </w:pPr>
      <w:r>
        <w:rPr>
          <w:rFonts w:hint="eastAsia" w:ascii="宋体" w:hAnsi="宋体"/>
          <w:highlight w:val="none"/>
        </w:rPr>
        <w:t>1.服务时间及地点：</w:t>
      </w:r>
      <w:r>
        <w:rPr>
          <w:rFonts w:hint="eastAsia" w:ascii="宋体" w:hAnsi="宋体"/>
          <w:highlight w:val="none"/>
          <w:u w:val="single"/>
        </w:rPr>
        <w:t>见合同附件《商务响应表》</w:t>
      </w:r>
    </w:p>
    <w:p w14:paraId="43086B96">
      <w:pPr>
        <w:snapToGrid w:val="0"/>
        <w:spacing w:line="400" w:lineRule="atLeast"/>
        <w:ind w:firstLine="420" w:firstLineChars="200"/>
        <w:rPr>
          <w:rFonts w:hint="eastAsia" w:ascii="宋体" w:hAnsi="宋体"/>
          <w:highlight w:val="none"/>
        </w:rPr>
      </w:pPr>
      <w:r>
        <w:rPr>
          <w:rFonts w:hint="eastAsia" w:ascii="宋体" w:hAnsi="宋体"/>
          <w:highlight w:val="none"/>
        </w:rPr>
        <w:t>2.乙方应按照国家有关法律法规以及采购文件规定的服务内容、技术要求、质量标准和本合同所附的《服务方案》为甲方提供技术服务。乙方提供不符合采购文件和本合同规定的技术服务，甲方有权拒绝接受。</w:t>
      </w:r>
    </w:p>
    <w:p w14:paraId="202C6A97">
      <w:pPr>
        <w:snapToGrid w:val="0"/>
        <w:spacing w:line="400" w:lineRule="atLeast"/>
        <w:ind w:firstLine="420" w:firstLineChars="200"/>
        <w:rPr>
          <w:rFonts w:hint="eastAsia" w:ascii="宋体" w:hAnsi="宋体"/>
          <w:highlight w:val="none"/>
        </w:rPr>
      </w:pPr>
      <w:r>
        <w:rPr>
          <w:rFonts w:hint="eastAsia" w:ascii="宋体" w:hAnsi="宋体"/>
          <w:highlight w:val="none"/>
        </w:rPr>
        <w:t>3.乙方向甲方提供无瑕疵的技术服务，并对项目质量负责。</w:t>
      </w:r>
    </w:p>
    <w:p w14:paraId="4361D7D3">
      <w:pPr>
        <w:snapToGrid w:val="0"/>
        <w:spacing w:line="400" w:lineRule="atLeast"/>
        <w:ind w:firstLine="420" w:firstLineChars="200"/>
        <w:rPr>
          <w:rFonts w:hint="eastAsia" w:ascii="宋体" w:hAnsi="宋体"/>
          <w:highlight w:val="none"/>
        </w:rPr>
      </w:pPr>
      <w:r>
        <w:rPr>
          <w:rFonts w:hint="eastAsia" w:ascii="宋体" w:hAnsi="宋体"/>
          <w:highlight w:val="none"/>
        </w:rPr>
        <w:t>4.乙方应对提交的技术资料作出全面检查和整理，并列出清单，作为甲方验收和使用的技术条件依据，清单应交给甲方。</w:t>
      </w:r>
    </w:p>
    <w:p w14:paraId="44607B28">
      <w:pPr>
        <w:snapToGrid w:val="0"/>
        <w:spacing w:line="400" w:lineRule="atLeast"/>
        <w:ind w:firstLine="420" w:firstLineChars="200"/>
        <w:rPr>
          <w:rFonts w:hint="eastAsia" w:ascii="宋体" w:hAnsi="宋体"/>
          <w:highlight w:val="none"/>
        </w:rPr>
      </w:pPr>
      <w:r>
        <w:rPr>
          <w:rFonts w:hint="eastAsia" w:ascii="宋体" w:hAnsi="宋体"/>
          <w:highlight w:val="none"/>
        </w:rPr>
        <w:t>5.如采购文件已有约定的，乙方应按要求提交技术服务材料，如有缺失应及时补齐，否则视为逾期交付。</w:t>
      </w:r>
    </w:p>
    <w:p w14:paraId="6889BB8A">
      <w:pPr>
        <w:snapToGrid w:val="0"/>
        <w:spacing w:line="400" w:lineRule="atLeast"/>
        <w:ind w:firstLine="420" w:firstLineChars="200"/>
        <w:rPr>
          <w:rFonts w:hint="eastAsia" w:ascii="宋体" w:hAnsi="宋体"/>
          <w:highlight w:val="none"/>
        </w:rPr>
      </w:pPr>
      <w:r>
        <w:rPr>
          <w:rFonts w:hint="eastAsia" w:ascii="宋体" w:hAnsi="宋体"/>
          <w:highlight w:val="none"/>
        </w:rPr>
        <w:t>6.验收合格后由甲乙双方签署验收单并加盖采购单位公章，甲乙双方各执一份。</w:t>
      </w:r>
    </w:p>
    <w:p w14:paraId="4622F280">
      <w:pPr>
        <w:spacing w:line="400" w:lineRule="exact"/>
        <w:ind w:firstLine="420"/>
        <w:rPr>
          <w:rFonts w:ascii="宋体" w:hAnsi="宋体"/>
          <w:highlight w:val="none"/>
        </w:rPr>
      </w:pPr>
      <w:r>
        <w:rPr>
          <w:rFonts w:hint="eastAsia" w:ascii="宋体" w:hAnsi="宋体"/>
          <w:highlight w:val="none"/>
        </w:rPr>
        <w:t>7.甲方对验收有异议的，在验收后五个工作日内以书面形式向乙方提出，乙方应自收到甲方书面异议后</w:t>
      </w:r>
      <w:r>
        <w:rPr>
          <w:rFonts w:hint="eastAsia" w:ascii="宋体" w:hAnsi="宋体"/>
          <w:highlight w:val="none"/>
          <w:u w:val="single"/>
        </w:rPr>
        <w:t xml:space="preserve"> 5个工作 </w:t>
      </w:r>
      <w:r>
        <w:rPr>
          <w:rFonts w:hint="eastAsia" w:ascii="宋体" w:hAnsi="宋体"/>
          <w:highlight w:val="none"/>
        </w:rPr>
        <w:t>日内及时予以解决。乙方必须无条件进行整改、修正，直至甲方验收通过。</w:t>
      </w:r>
    </w:p>
    <w:p w14:paraId="326F8E8D">
      <w:pPr>
        <w:spacing w:line="400" w:lineRule="exact"/>
        <w:ind w:firstLine="420"/>
        <w:rPr>
          <w:rFonts w:hint="eastAsia" w:ascii="宋体" w:hAnsi="宋体"/>
          <w:highlight w:val="none"/>
        </w:rPr>
      </w:pPr>
      <w:r>
        <w:rPr>
          <w:rFonts w:hint="eastAsia" w:ascii="宋体" w:hAnsi="宋体"/>
          <w:highlight w:val="none"/>
        </w:rPr>
        <w:t>8</w:t>
      </w:r>
      <w:r>
        <w:rPr>
          <w:rFonts w:ascii="宋体" w:hAnsi="宋体"/>
          <w:highlight w:val="none"/>
        </w:rPr>
        <w:t>.</w:t>
      </w:r>
      <w:r>
        <w:rPr>
          <w:rFonts w:hint="eastAsia" w:ascii="宋体" w:hAnsi="宋体"/>
          <w:highlight w:val="none"/>
        </w:rPr>
        <w:t>有关返工、再行验收给甲方造成的损失等费用均由乙方承担。拒不按要求整改（或经多次整改未能改善），或连续两次项目验收不合格的，或发现乙方有弄虚作假的行为，甲方将终止合同或不予验收，并追究乙方的责任，由此带来的一切损失由乙方自行承担。</w:t>
      </w:r>
    </w:p>
    <w:p w14:paraId="321D39DA">
      <w:pPr>
        <w:spacing w:line="400" w:lineRule="exact"/>
        <w:ind w:firstLine="420"/>
        <w:rPr>
          <w:rFonts w:ascii="宋体" w:hAnsi="宋体"/>
          <w:highlight w:val="none"/>
        </w:rPr>
      </w:pPr>
      <w:r>
        <w:rPr>
          <w:rFonts w:ascii="宋体" w:hAnsi="宋体"/>
          <w:highlight w:val="none"/>
        </w:rPr>
        <w:t>9.</w:t>
      </w:r>
      <w:r>
        <w:rPr>
          <w:rFonts w:hint="eastAsia" w:ascii="宋体" w:hAnsi="宋体"/>
          <w:highlight w:val="none"/>
        </w:rPr>
        <w:t>其他未尽事宜应严格按照《关于印发广西壮族自治区政府采购项目履约验收管理办法的通知》[桂财采〔2015〕22号]以及《财政部关于进一步加强政府采购需求和履约验收管理的指导意见》[财库〔2016〕205号]规定执行。</w:t>
      </w:r>
    </w:p>
    <w:p w14:paraId="6A6FB56A">
      <w:pPr>
        <w:snapToGrid w:val="0"/>
        <w:spacing w:line="400" w:lineRule="atLeast"/>
        <w:ind w:firstLine="422" w:firstLineChars="200"/>
        <w:rPr>
          <w:rFonts w:hint="eastAsia" w:ascii="宋体" w:hAnsi="宋体"/>
          <w:highlight w:val="none"/>
        </w:rPr>
      </w:pPr>
      <w:r>
        <w:rPr>
          <w:rFonts w:hint="eastAsia" w:ascii="宋体" w:hAnsi="宋体"/>
          <w:b/>
          <w:highlight w:val="none"/>
        </w:rPr>
        <w:t>第五条　付款方式</w:t>
      </w:r>
    </w:p>
    <w:p w14:paraId="4DE81690">
      <w:pPr>
        <w:snapToGrid w:val="0"/>
        <w:spacing w:line="400" w:lineRule="atLeast"/>
        <w:ind w:firstLine="420" w:firstLineChars="200"/>
        <w:rPr>
          <w:rFonts w:ascii="宋体" w:hAnsi="宋体" w:cs="Courier New"/>
          <w:highlight w:val="none"/>
        </w:rPr>
      </w:pPr>
      <w:r>
        <w:rPr>
          <w:rFonts w:hint="eastAsia" w:ascii="宋体" w:hAnsi="宋体" w:cs="Courier New"/>
          <w:bCs/>
          <w:highlight w:val="none"/>
        </w:rPr>
        <w:t>1.</w:t>
      </w:r>
      <w:r>
        <w:rPr>
          <w:rFonts w:hint="eastAsia" w:ascii="宋体" w:hAnsi="宋体" w:cs="Courier New"/>
          <w:highlight w:val="none"/>
        </w:rPr>
        <w:t>在合同履行期间，乙方无违约行文，甲方无合理理由而，乙方已开始实施工作的，甲方应根据乙方已进行的实际工作量给予适当的补偿。</w:t>
      </w:r>
    </w:p>
    <w:p w14:paraId="5AFDD99F">
      <w:pPr>
        <w:snapToGrid w:val="0"/>
        <w:spacing w:line="400" w:lineRule="atLeast"/>
        <w:ind w:firstLine="420" w:firstLineChars="200"/>
        <w:rPr>
          <w:rFonts w:ascii="宋体" w:hAnsi="宋体"/>
          <w:highlight w:val="none"/>
        </w:rPr>
      </w:pPr>
      <w:r>
        <w:rPr>
          <w:rFonts w:ascii="宋体" w:hAnsi="宋体"/>
          <w:highlight w:val="none"/>
        </w:rPr>
        <w:t>2</w:t>
      </w:r>
      <w:r>
        <w:rPr>
          <w:rFonts w:hint="eastAsia" w:ascii="宋体" w:hAnsi="宋体"/>
          <w:highlight w:val="none"/>
        </w:rPr>
        <w:t>.付款方式：</w:t>
      </w:r>
      <w:r>
        <w:rPr>
          <w:rFonts w:hint="eastAsia" w:ascii="宋体" w:hAnsi="宋体"/>
          <w:highlight w:val="none"/>
          <w:u w:val="single"/>
        </w:rPr>
        <w:t>依照采购文件第三章《项目需求》中“商务条款”要求执行</w:t>
      </w:r>
      <w:r>
        <w:rPr>
          <w:rFonts w:hint="eastAsia" w:ascii="宋体" w:hAnsi="宋体"/>
          <w:highlight w:val="none"/>
        </w:rPr>
        <w:t>。</w:t>
      </w:r>
    </w:p>
    <w:p w14:paraId="62C0F593">
      <w:pPr>
        <w:snapToGrid w:val="0"/>
        <w:spacing w:line="400" w:lineRule="atLeast"/>
        <w:ind w:firstLine="420" w:firstLineChars="200"/>
        <w:rPr>
          <w:rFonts w:ascii="宋体" w:hAnsi="宋体"/>
          <w:highlight w:val="none"/>
        </w:rPr>
      </w:pPr>
      <w:r>
        <w:rPr>
          <w:rFonts w:ascii="宋体" w:hAnsi="宋体"/>
          <w:highlight w:val="none"/>
        </w:rPr>
        <w:t>3</w:t>
      </w:r>
      <w:r>
        <w:rPr>
          <w:rFonts w:hint="eastAsia" w:ascii="宋体" w:hAnsi="宋体"/>
          <w:highlight w:val="none"/>
        </w:rPr>
        <w:t>.乙方自收到货款之日起</w:t>
      </w:r>
      <w:r>
        <w:rPr>
          <w:rFonts w:ascii="宋体" w:hAnsi="宋体"/>
          <w:highlight w:val="none"/>
        </w:rPr>
        <w:t>5</w:t>
      </w:r>
      <w:r>
        <w:rPr>
          <w:rFonts w:hint="eastAsia" w:ascii="宋体" w:hAnsi="宋体"/>
          <w:highlight w:val="none"/>
        </w:rPr>
        <w:t>个工作日内开具等额合法有效发票给甲方。</w:t>
      </w:r>
    </w:p>
    <w:p w14:paraId="0B9A4E7B">
      <w:pPr>
        <w:spacing w:line="400" w:lineRule="exact"/>
        <w:ind w:firstLine="420"/>
        <w:rPr>
          <w:rFonts w:hint="eastAsia" w:ascii="宋体" w:hAnsi="宋体"/>
          <w:highlight w:val="none"/>
        </w:rPr>
      </w:pPr>
      <w:r>
        <w:rPr>
          <w:rFonts w:ascii="宋体" w:hAnsi="宋体"/>
          <w:highlight w:val="none"/>
        </w:rPr>
        <w:t>4</w:t>
      </w:r>
      <w:r>
        <w:rPr>
          <w:rFonts w:hint="eastAsia" w:ascii="宋体" w:hAnsi="宋体"/>
          <w:highlight w:val="none"/>
        </w:rPr>
        <w:t>.乙方应在规定时间按要求完成服务工作，并按合同及投标承诺提供技术服务，合同期间，甲方不另行支付任何费用。</w:t>
      </w:r>
    </w:p>
    <w:p w14:paraId="44551B6F">
      <w:pPr>
        <w:spacing w:line="400" w:lineRule="exact"/>
        <w:ind w:firstLine="420"/>
        <w:rPr>
          <w:rFonts w:hint="eastAsia" w:ascii="宋体" w:hAnsi="宋体"/>
          <w:b/>
          <w:highlight w:val="none"/>
        </w:rPr>
      </w:pPr>
      <w:r>
        <w:rPr>
          <w:rFonts w:hint="eastAsia" w:ascii="宋体" w:hAnsi="宋体"/>
          <w:b/>
          <w:highlight w:val="none"/>
        </w:rPr>
        <w:t>第六条　履约保证金</w:t>
      </w:r>
    </w:p>
    <w:p w14:paraId="4EBC2AFF">
      <w:pPr>
        <w:spacing w:line="400" w:lineRule="exact"/>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rPr>
        <w:t>本项目不收取履约保证金。</w:t>
      </w:r>
    </w:p>
    <w:p w14:paraId="56C6BBE7">
      <w:pPr>
        <w:spacing w:line="400" w:lineRule="exact"/>
        <w:ind w:firstLine="420"/>
        <w:rPr>
          <w:rFonts w:hint="eastAsia" w:ascii="宋体" w:hAnsi="宋体"/>
          <w:b/>
          <w:highlight w:val="none"/>
        </w:rPr>
      </w:pPr>
      <w:r>
        <w:rPr>
          <w:rFonts w:hint="eastAsia" w:ascii="宋体" w:hAnsi="宋体"/>
          <w:b/>
          <w:highlight w:val="none"/>
        </w:rPr>
        <w:t>第七条　税费</w:t>
      </w:r>
    </w:p>
    <w:p w14:paraId="1FCD90DF">
      <w:pPr>
        <w:spacing w:line="400" w:lineRule="exact"/>
        <w:ind w:firstLine="420"/>
        <w:rPr>
          <w:rFonts w:hint="eastAsia" w:ascii="宋体" w:hAnsi="宋体"/>
          <w:highlight w:val="none"/>
        </w:rPr>
      </w:pPr>
      <w:r>
        <w:rPr>
          <w:rFonts w:hint="eastAsia" w:ascii="宋体" w:hAnsi="宋体"/>
          <w:highlight w:val="none"/>
        </w:rPr>
        <w:t>本合同执行中相关的一切税费均由乙方承担。</w:t>
      </w:r>
    </w:p>
    <w:p w14:paraId="06839238">
      <w:pPr>
        <w:snapToGrid w:val="0"/>
        <w:spacing w:line="400" w:lineRule="atLeast"/>
        <w:ind w:firstLine="422" w:firstLineChars="200"/>
        <w:rPr>
          <w:rFonts w:hint="eastAsia" w:ascii="宋体" w:hAnsi="宋体"/>
          <w:b/>
          <w:highlight w:val="none"/>
        </w:rPr>
      </w:pPr>
      <w:r>
        <w:rPr>
          <w:rFonts w:hint="eastAsia" w:ascii="宋体" w:hAnsi="宋体"/>
          <w:b/>
          <w:highlight w:val="none"/>
        </w:rPr>
        <w:t>第八条　违约责任</w:t>
      </w:r>
    </w:p>
    <w:p w14:paraId="4A68B5FC">
      <w:pPr>
        <w:snapToGrid w:val="0"/>
        <w:spacing w:line="360" w:lineRule="exact"/>
        <w:ind w:firstLine="420" w:firstLineChars="200"/>
        <w:rPr>
          <w:rFonts w:hint="eastAsia" w:ascii="宋体" w:hAnsi="宋体"/>
          <w:highlight w:val="none"/>
        </w:rPr>
      </w:pPr>
      <w:r>
        <w:rPr>
          <w:rFonts w:hint="eastAsia" w:ascii="宋体" w:hAnsi="宋体"/>
          <w:highlight w:val="none"/>
        </w:rPr>
        <w:t>1.乙方所提供的服务成果、数量、服务项目要求(技术参数需求)等质量不符合磋商及响应文件、国家有关质量标准或本合同约定的，应及时调整，调整不及时的按本合同第八条第2款的约定按逾期提交成果处理；因特殊情况甲方同意接收不符合磋商及响应文件、国家有关质量标准或本合同约定的服务或报告的，乙方除承担逾期违约责任外，还应向甲方支付合同总价5%违约金。因乙方无法提供质量符合磋商及响应文件、国家有关质量标准或本合同约定的服务或报告的，甲方有权解除合同。</w:t>
      </w:r>
    </w:p>
    <w:p w14:paraId="6978CBBF">
      <w:pPr>
        <w:snapToGrid w:val="0"/>
        <w:spacing w:line="360" w:lineRule="exact"/>
        <w:ind w:firstLine="420" w:firstLineChars="200"/>
        <w:rPr>
          <w:rFonts w:hint="eastAsia" w:ascii="宋体" w:hAnsi="宋体"/>
          <w:highlight w:val="none"/>
        </w:rPr>
      </w:pPr>
      <w:r>
        <w:rPr>
          <w:rFonts w:hint="eastAsia" w:ascii="宋体" w:hAnsi="宋体"/>
          <w:highlight w:val="none"/>
        </w:rPr>
        <w:t xml:space="preserve">2.甲方无故延期接收服务成果、乙方逾期提交服务成果的，每天向对方偿付合同总价3‰违约金，但违约金累计不得超过合同总价5%。乙方逾期超过20天甲方有权解除合同。 </w:t>
      </w:r>
    </w:p>
    <w:p w14:paraId="646087F3">
      <w:pPr>
        <w:snapToGrid w:val="0"/>
        <w:spacing w:line="400" w:lineRule="atLeast"/>
        <w:ind w:firstLine="420" w:firstLineChars="200"/>
        <w:rPr>
          <w:rFonts w:hint="eastAsia" w:ascii="宋体" w:hAnsi="宋体"/>
          <w:highlight w:val="none"/>
        </w:rPr>
      </w:pPr>
      <w:r>
        <w:rPr>
          <w:rFonts w:hint="eastAsia" w:ascii="宋体" w:hAnsi="宋体"/>
          <w:highlight w:val="none"/>
        </w:rPr>
        <w:t>3.乙方应当保证有权销售本合同的所有产品或技术服务，不会因此侵犯到第三人的所有权、知识产权等一切权利。属于第三人拥有知识产权的已经取得第三人合法授权，甲方有权不受限制的使用。若因违反本款约定引起的第三方任何纠纷或诉讼的均由乙方负责交涉解决并承担全部责任，包括甲方使用该产品或技术服务所需的授权费以及解决争议发生的一切费用（包括但不限于律师费、诉讼费、鉴定费等）均由乙方承担。如果不能取得使用许可需要另行购买产品或技术服务的，所需费用由乙方承担，并赔偿甲方因此受到的损失。如甲方为解决纠纷先行垫支了费用，乙方须在接到甲方通知之日起5个工作日内向甲方偿还完毕，并赔偿甲方全部经济损失。</w:t>
      </w:r>
    </w:p>
    <w:p w14:paraId="6F2B4C58">
      <w:pPr>
        <w:snapToGrid w:val="0"/>
        <w:spacing w:line="360" w:lineRule="exact"/>
        <w:ind w:firstLine="420" w:firstLineChars="200"/>
        <w:rPr>
          <w:rFonts w:hint="eastAsia" w:ascii="宋体" w:hAnsi="宋体"/>
          <w:highlight w:val="none"/>
        </w:rPr>
      </w:pPr>
      <w:r>
        <w:rPr>
          <w:rFonts w:hint="eastAsia" w:ascii="宋体" w:hAnsi="宋体"/>
          <w:highlight w:val="none"/>
        </w:rPr>
        <w:t>4.由于甲方的原因造成合同不能如期履行的，双方可根据具体情况顺延合同的履行期，对乙方因此遭受的损失，甲方应予以补偿。</w:t>
      </w:r>
    </w:p>
    <w:p w14:paraId="205A97D1">
      <w:pPr>
        <w:snapToGrid w:val="0"/>
        <w:spacing w:line="360" w:lineRule="exact"/>
        <w:ind w:firstLine="420" w:firstLineChars="200"/>
        <w:rPr>
          <w:rFonts w:hint="eastAsia" w:ascii="宋体" w:hAnsi="宋体"/>
          <w:highlight w:val="none"/>
        </w:rPr>
      </w:pPr>
      <w:r>
        <w:rPr>
          <w:rFonts w:hint="eastAsia" w:ascii="宋体" w:hAnsi="宋体"/>
          <w:highlight w:val="none"/>
        </w:rPr>
        <w:t>5.乙方不得将项目全部或部分进行转包、分包，如有违反，甲方有权解除合同，且乙方应向甲方一次性支付合同总价20%的违约金。</w:t>
      </w:r>
    </w:p>
    <w:p w14:paraId="1F3E1C82">
      <w:pPr>
        <w:snapToGrid w:val="0"/>
        <w:spacing w:line="360" w:lineRule="exact"/>
        <w:ind w:firstLine="420" w:firstLineChars="200"/>
        <w:rPr>
          <w:rFonts w:hint="eastAsia" w:ascii="宋体" w:hAnsi="宋体"/>
          <w:highlight w:val="none"/>
        </w:rPr>
      </w:pPr>
      <w:r>
        <w:rPr>
          <w:rFonts w:hint="eastAsia" w:ascii="宋体" w:hAnsi="宋体"/>
          <w:highlight w:val="none"/>
        </w:rPr>
        <w:t>6.乙方未按本合同和响应文件中规定的服务承诺提供服务的，乙方应按合同总价</w:t>
      </w:r>
      <w:r>
        <w:rPr>
          <w:rFonts w:ascii="宋体" w:hAnsi="宋体"/>
          <w:highlight w:val="none"/>
        </w:rPr>
        <w:t>10</w:t>
      </w:r>
      <w:r>
        <w:rPr>
          <w:rFonts w:hint="eastAsia" w:ascii="宋体" w:hAnsi="宋体"/>
          <w:highlight w:val="none"/>
        </w:rPr>
        <w:t>%向甲方支付违约金。</w:t>
      </w:r>
    </w:p>
    <w:p w14:paraId="64484EA2">
      <w:pPr>
        <w:snapToGrid w:val="0"/>
        <w:spacing w:line="360" w:lineRule="exact"/>
        <w:ind w:firstLine="420" w:firstLineChars="200"/>
        <w:rPr>
          <w:rFonts w:hint="eastAsia" w:ascii="宋体" w:hAnsi="宋体"/>
          <w:highlight w:val="none"/>
        </w:rPr>
      </w:pPr>
      <w:r>
        <w:rPr>
          <w:rFonts w:hint="eastAsia" w:ascii="宋体" w:hAnsi="宋体"/>
          <w:highlight w:val="none"/>
        </w:rPr>
        <w:t>7.乙方有其它违约行为的，每发生一次按合同总价5%收取违约金。</w:t>
      </w:r>
    </w:p>
    <w:p w14:paraId="5FCE094F">
      <w:pPr>
        <w:snapToGrid w:val="0"/>
        <w:spacing w:line="360" w:lineRule="exact"/>
        <w:ind w:firstLine="420" w:firstLineChars="200"/>
        <w:rPr>
          <w:rFonts w:hint="eastAsia" w:ascii="宋体" w:hAnsi="宋体"/>
          <w:highlight w:val="none"/>
        </w:rPr>
      </w:pPr>
      <w:r>
        <w:rPr>
          <w:rFonts w:hint="eastAsia" w:ascii="宋体" w:hAnsi="宋体"/>
          <w:highlight w:val="none"/>
        </w:rPr>
        <w:t>8.甲方根据本合同约定而解除合同的，有权不予支付任何款项给乙方，已经支付的，乙方应当自甲方要求返还之日起5日内予以返还，除合同有其他约定外，乙方还应支付合同总价5%的违约金给甲方并赔偿甲方经济损失。</w:t>
      </w:r>
    </w:p>
    <w:p w14:paraId="22A0915D">
      <w:pPr>
        <w:snapToGrid w:val="0"/>
        <w:spacing w:line="400" w:lineRule="atLeast"/>
        <w:ind w:firstLine="420" w:firstLineChars="200"/>
        <w:rPr>
          <w:rFonts w:hint="eastAsia" w:ascii="宋体" w:hAnsi="宋体"/>
          <w:highlight w:val="none"/>
        </w:rPr>
      </w:pPr>
      <w:r>
        <w:rPr>
          <w:rFonts w:hint="eastAsia" w:ascii="宋体" w:hAnsi="宋体"/>
          <w:highlight w:val="none"/>
        </w:rPr>
        <w:t>9.当以上违约金不足以弥补甲方损失时，乙方还应对甲方超过违约金部分的损失依法承担赔偿责任，甲方有权继续向乙方追偿。乙方应当赔偿因此给甲方造成的所有损失，包括但不限于甲方直接损失、预期利益损失、向第三人承担的违约金、赔偿金、另行委托第三人的成本、为索赔支出的费用、律师费、诉讼费、仲裁费、调查费、公证费、鉴定费等。</w:t>
      </w:r>
    </w:p>
    <w:p w14:paraId="191165E9">
      <w:pPr>
        <w:snapToGrid w:val="0"/>
        <w:spacing w:line="400" w:lineRule="atLeast"/>
        <w:ind w:firstLine="420" w:firstLineChars="200"/>
        <w:rPr>
          <w:rFonts w:hint="eastAsia" w:ascii="宋体" w:hAnsi="宋体"/>
          <w:highlight w:val="none"/>
        </w:rPr>
      </w:pPr>
      <w:r>
        <w:rPr>
          <w:rFonts w:hint="eastAsia" w:ascii="宋体" w:hAnsi="宋体"/>
          <w:highlight w:val="none"/>
        </w:rPr>
        <w:t>10.乙方未按期限完成项目工作或者项目工作的完成不符合约定的，乙方应根据本合同约定，向甲方支付违约金并赔偿甲方因此造成的经济损失（包括但不限于诉讼费、保全费、律师费等）。</w:t>
      </w:r>
    </w:p>
    <w:p w14:paraId="30BCEA8C">
      <w:pPr>
        <w:snapToGrid w:val="0"/>
        <w:spacing w:line="400" w:lineRule="atLeast"/>
        <w:ind w:firstLine="420" w:firstLineChars="200"/>
        <w:rPr>
          <w:rFonts w:hint="eastAsia" w:ascii="宋体" w:hAnsi="宋体"/>
          <w:highlight w:val="none"/>
        </w:rPr>
      </w:pPr>
      <w:r>
        <w:rPr>
          <w:rFonts w:hint="eastAsia" w:ascii="宋体" w:hAnsi="宋体"/>
          <w:highlight w:val="none"/>
        </w:rPr>
        <w:t>11.本合同签订后，乙方要求提前解除合同的，应向甲方支付本合同总价款30%的违约金，退还甲方已支付的全部费用并赔偿由此给甲方造成的全部损失。</w:t>
      </w:r>
    </w:p>
    <w:p w14:paraId="040DCABD">
      <w:pPr>
        <w:snapToGrid w:val="0"/>
        <w:spacing w:line="400" w:lineRule="atLeast"/>
        <w:ind w:firstLine="420" w:firstLineChars="200"/>
        <w:rPr>
          <w:rFonts w:hint="eastAsia" w:ascii="宋体" w:hAnsi="宋体"/>
          <w:highlight w:val="none"/>
        </w:rPr>
      </w:pPr>
      <w:r>
        <w:rPr>
          <w:rFonts w:hint="eastAsia" w:ascii="宋体" w:hAnsi="宋体"/>
          <w:highlight w:val="none"/>
        </w:rPr>
        <w:t>12.乙方应当支付给甲方的违约金、赔偿金，甲方有权从未支付的合同款中扣除，违约金不足以赔偿给甲方造成损失的，甲方仍有权向乙方进行追偿。</w:t>
      </w:r>
    </w:p>
    <w:p w14:paraId="5E66B87B">
      <w:pPr>
        <w:snapToGrid w:val="0"/>
        <w:spacing w:line="400" w:lineRule="atLeast"/>
        <w:ind w:firstLine="420" w:firstLineChars="200"/>
        <w:rPr>
          <w:rFonts w:hint="eastAsia" w:ascii="宋体" w:hAnsi="宋体"/>
          <w:highlight w:val="none"/>
        </w:rPr>
      </w:pPr>
      <w:r>
        <w:rPr>
          <w:rFonts w:hint="eastAsia" w:ascii="宋体" w:hAnsi="宋体"/>
          <w:highlight w:val="none"/>
        </w:rPr>
        <w:t>13.按本合同约定甲方选择解除合同的，自甲方解除合同的书面通知送达乙方之日起合同解除，乙方应赔偿由此给甲方造成的全部损失。甲方不支付乙方任何费用，乙方对解除合同有异议的异议期为7日。乙方应当在合同解除后5日内退还甲方支付的所有费用（如有），自费运回所交付的产品，付清违约金、赔偿金。</w:t>
      </w:r>
    </w:p>
    <w:p w14:paraId="5D899044">
      <w:pPr>
        <w:snapToGrid w:val="0"/>
        <w:spacing w:line="400" w:lineRule="atLeast"/>
        <w:ind w:firstLine="420" w:firstLineChars="200"/>
        <w:rPr>
          <w:rFonts w:hint="eastAsia" w:ascii="宋体" w:hAnsi="宋体"/>
          <w:highlight w:val="none"/>
        </w:rPr>
      </w:pPr>
      <w:r>
        <w:rPr>
          <w:rFonts w:hint="eastAsia" w:ascii="宋体" w:hAnsi="宋体"/>
          <w:highlight w:val="none"/>
        </w:rPr>
        <w:t>14.乙方违反本合同约定或法律规定的，应当赔偿给甲方造成的全部损失，包括但不限于直接损失、预期利益损失、甲方向第三人支付的违约金、赔偿金及甲方为索赔或应对第三方索赔而支出的诉讼费、律师费、公证费、保全费、担保费、鉴定费、评估费等全部费用。</w:t>
      </w:r>
    </w:p>
    <w:p w14:paraId="2A5CD799">
      <w:pPr>
        <w:spacing w:line="400" w:lineRule="exact"/>
        <w:ind w:firstLine="420"/>
        <w:rPr>
          <w:rFonts w:hint="eastAsia" w:ascii="宋体" w:hAnsi="宋体"/>
          <w:highlight w:val="none"/>
        </w:rPr>
      </w:pPr>
      <w:r>
        <w:rPr>
          <w:rFonts w:hint="eastAsia" w:ascii="宋体" w:hAnsi="宋体"/>
          <w:highlight w:val="none"/>
        </w:rPr>
        <w:t>1</w:t>
      </w:r>
      <w:r>
        <w:rPr>
          <w:rFonts w:ascii="宋体" w:hAnsi="宋体"/>
          <w:highlight w:val="none"/>
        </w:rPr>
        <w:t>5.</w:t>
      </w:r>
      <w:r>
        <w:rPr>
          <w:rFonts w:hint="eastAsia" w:ascii="宋体" w:hAnsi="宋体"/>
          <w:highlight w:val="none"/>
        </w:rPr>
        <w:t>出现以下情况之一的，甲方有权终止合同且无需支付合同解除后的合同后续费用，同时乙方应承担项目合同金额15%的违约金，并应当自收到甲方要求解除合同的函之日起5日内退还甲方已付出的所有服务费用，并赔偿由此给甲方造成的全部损失：</w:t>
      </w:r>
    </w:p>
    <w:p w14:paraId="335B2ADB">
      <w:pPr>
        <w:spacing w:line="400" w:lineRule="exact"/>
        <w:ind w:firstLine="420"/>
        <w:rPr>
          <w:rFonts w:hint="eastAsia" w:ascii="宋体" w:hAnsi="宋体"/>
          <w:highlight w:val="none"/>
        </w:rPr>
      </w:pPr>
      <w:r>
        <w:rPr>
          <w:rFonts w:hint="eastAsia" w:ascii="宋体" w:hAnsi="宋体"/>
          <w:highlight w:val="none"/>
        </w:rPr>
        <w:t>（1）乙方未能按合同交付时间交付完整服务内容资料的。</w:t>
      </w:r>
    </w:p>
    <w:p w14:paraId="091D101A">
      <w:pPr>
        <w:spacing w:line="400" w:lineRule="exact"/>
        <w:ind w:firstLine="420"/>
        <w:rPr>
          <w:rFonts w:hint="eastAsia" w:ascii="宋体" w:hAnsi="宋体"/>
          <w:highlight w:val="none"/>
        </w:rPr>
      </w:pPr>
      <w:r>
        <w:rPr>
          <w:rFonts w:hint="eastAsia" w:ascii="宋体" w:hAnsi="宋体"/>
          <w:highlight w:val="none"/>
        </w:rPr>
        <w:t>（2）乙方未能按响应资料和甲方书面需求提供服务，甲方书面提出整改要求后，乙方未按期整改完毕的。</w:t>
      </w:r>
    </w:p>
    <w:p w14:paraId="146FBA7B">
      <w:pPr>
        <w:spacing w:line="400" w:lineRule="exact"/>
        <w:ind w:firstLine="420"/>
        <w:rPr>
          <w:rFonts w:hint="eastAsia" w:ascii="宋体" w:hAnsi="宋体"/>
          <w:highlight w:val="none"/>
        </w:rPr>
      </w:pPr>
      <w:r>
        <w:rPr>
          <w:rFonts w:hint="eastAsia" w:ascii="宋体" w:hAnsi="宋体"/>
          <w:highlight w:val="none"/>
        </w:rPr>
        <w:t>（3）乙方不配合甲方进行验收的。</w:t>
      </w:r>
    </w:p>
    <w:p w14:paraId="56CAE32A">
      <w:pPr>
        <w:spacing w:line="400" w:lineRule="exact"/>
        <w:ind w:firstLine="420"/>
        <w:rPr>
          <w:rFonts w:hint="eastAsia" w:ascii="宋体" w:hAnsi="宋体"/>
          <w:b/>
          <w:highlight w:val="none"/>
        </w:rPr>
      </w:pPr>
      <w:r>
        <w:rPr>
          <w:rFonts w:hint="eastAsia" w:ascii="宋体" w:hAnsi="宋体"/>
          <w:b/>
          <w:highlight w:val="none"/>
        </w:rPr>
        <w:t>第九条  不可抗力事件处理</w:t>
      </w:r>
    </w:p>
    <w:p w14:paraId="37747D68">
      <w:pPr>
        <w:spacing w:line="400" w:lineRule="exact"/>
        <w:ind w:firstLine="420"/>
        <w:rPr>
          <w:rFonts w:hint="eastAsia" w:ascii="宋体" w:hAnsi="宋体"/>
          <w:highlight w:val="none"/>
        </w:rPr>
      </w:pPr>
      <w:r>
        <w:rPr>
          <w:rFonts w:hint="eastAsia" w:ascii="宋体" w:hAnsi="宋体"/>
          <w:highlight w:val="none"/>
        </w:rPr>
        <w:t>1</w:t>
      </w:r>
      <w:r>
        <w:rPr>
          <w:rFonts w:ascii="宋体" w:hAnsi="宋体"/>
          <w:highlight w:val="none"/>
        </w:rPr>
        <w:t>.</w:t>
      </w:r>
      <w:r>
        <w:rPr>
          <w:rFonts w:hint="eastAsia" w:ascii="宋体" w:hAnsi="宋体"/>
          <w:highlight w:val="none"/>
        </w:rPr>
        <w:t>在合同有效期内，任何一方因不可抗力事件导致不能履行合同，则合同履行期可延长，其延长期与不可抗力影响期相同。</w:t>
      </w:r>
    </w:p>
    <w:p w14:paraId="106A8AF2">
      <w:pPr>
        <w:spacing w:line="400" w:lineRule="exact"/>
        <w:ind w:firstLine="420"/>
        <w:rPr>
          <w:rFonts w:hint="eastAsia" w:ascii="宋体" w:hAnsi="宋体"/>
          <w:highlight w:val="none"/>
        </w:rPr>
      </w:pPr>
      <w:r>
        <w:rPr>
          <w:rFonts w:hint="eastAsia" w:ascii="宋体" w:hAnsi="宋体"/>
          <w:highlight w:val="none"/>
        </w:rPr>
        <w:t>2</w:t>
      </w:r>
      <w:r>
        <w:rPr>
          <w:rFonts w:ascii="宋体" w:hAnsi="宋体"/>
          <w:highlight w:val="none"/>
        </w:rPr>
        <w:t>.</w:t>
      </w:r>
      <w:r>
        <w:rPr>
          <w:rFonts w:hint="eastAsia" w:ascii="宋体" w:hAnsi="宋体"/>
          <w:highlight w:val="none"/>
        </w:rPr>
        <w:t>不可抗力事件发生后，</w:t>
      </w:r>
      <w:r>
        <w:rPr>
          <w:rFonts w:hint="eastAsia" w:ascii="宋体" w:hAnsi="宋体"/>
          <w:kern w:val="0"/>
          <w:highlight w:val="none"/>
        </w:rPr>
        <w:t>应立即通知对方，并寄送有关权威机构出具的证明。声称受到不可抗力的一方应在任何时候采取合理的行动，以避免或尽量减少不可抗力事件的影响。因主观原因延误，未及时采取必要措施而导致损失扩大的，不能免除责任。</w:t>
      </w:r>
    </w:p>
    <w:p w14:paraId="14125C22">
      <w:pPr>
        <w:spacing w:line="400" w:lineRule="exact"/>
        <w:ind w:firstLine="420"/>
        <w:rPr>
          <w:rFonts w:hint="eastAsia" w:ascii="宋体" w:hAnsi="宋体"/>
          <w:highlight w:val="none"/>
        </w:rPr>
      </w:pPr>
      <w:r>
        <w:rPr>
          <w:rFonts w:hint="eastAsia" w:ascii="宋体" w:hAnsi="宋体"/>
          <w:highlight w:val="none"/>
        </w:rPr>
        <w:t>3</w:t>
      </w:r>
      <w:r>
        <w:rPr>
          <w:rFonts w:ascii="宋体" w:hAnsi="宋体"/>
          <w:highlight w:val="none"/>
        </w:rPr>
        <w:t>.</w:t>
      </w:r>
      <w:r>
        <w:rPr>
          <w:rFonts w:hint="eastAsia" w:ascii="宋体" w:hAnsi="宋体"/>
          <w:highlight w:val="none"/>
        </w:rPr>
        <w:t>不可抗力事件延续一百二十天以上，双方应通过友好协商，确定是否继续履行合同。</w:t>
      </w:r>
    </w:p>
    <w:p w14:paraId="467B677C">
      <w:pPr>
        <w:spacing w:line="400" w:lineRule="exact"/>
        <w:ind w:firstLine="420"/>
        <w:rPr>
          <w:rFonts w:hint="eastAsia" w:ascii="宋体" w:hAnsi="宋体"/>
          <w:b/>
          <w:highlight w:val="none"/>
        </w:rPr>
      </w:pPr>
      <w:r>
        <w:rPr>
          <w:rFonts w:hint="eastAsia" w:ascii="宋体" w:hAnsi="宋体"/>
          <w:b/>
          <w:highlight w:val="none"/>
        </w:rPr>
        <w:t>第十条  合同争议解决</w:t>
      </w:r>
    </w:p>
    <w:p w14:paraId="7C3D8F33">
      <w:pPr>
        <w:spacing w:line="400" w:lineRule="exact"/>
        <w:ind w:firstLine="420"/>
        <w:rPr>
          <w:rFonts w:hint="eastAsia" w:ascii="宋体" w:hAnsi="宋体"/>
          <w:highlight w:val="none"/>
        </w:rPr>
      </w:pPr>
      <w:r>
        <w:rPr>
          <w:rFonts w:hint="eastAsia" w:ascii="宋体" w:hAnsi="宋体"/>
          <w:highlight w:val="none"/>
        </w:rPr>
        <w:t>1</w:t>
      </w:r>
      <w:r>
        <w:rPr>
          <w:rFonts w:ascii="宋体" w:hAnsi="宋体"/>
          <w:highlight w:val="none"/>
        </w:rPr>
        <w:t>.</w:t>
      </w:r>
      <w:r>
        <w:rPr>
          <w:rFonts w:hint="eastAsia" w:ascii="宋体" w:hAnsi="宋体"/>
          <w:highlight w:val="none"/>
        </w:rPr>
        <w:t>因服务质量问题发生争议的，应邀请国家认可的权威机构进行鉴定。服务符合标准的，鉴定费由甲方承担；服务不符合标准的，鉴定费由乙方承担。</w:t>
      </w:r>
    </w:p>
    <w:p w14:paraId="48EBCF62">
      <w:pPr>
        <w:spacing w:line="400" w:lineRule="exact"/>
        <w:ind w:firstLine="420"/>
        <w:rPr>
          <w:rFonts w:ascii="宋体" w:hAnsi="宋体"/>
          <w:highlight w:val="none"/>
        </w:rPr>
      </w:pPr>
      <w:r>
        <w:rPr>
          <w:rFonts w:hint="eastAsia" w:ascii="宋体" w:hAnsi="宋体"/>
          <w:highlight w:val="none"/>
        </w:rPr>
        <w:t>2</w:t>
      </w:r>
      <w:r>
        <w:rPr>
          <w:rFonts w:ascii="宋体" w:hAnsi="宋体"/>
          <w:highlight w:val="none"/>
        </w:rPr>
        <w:t>.</w:t>
      </w:r>
      <w:r>
        <w:rPr>
          <w:rFonts w:hint="eastAsia" w:ascii="宋体" w:hAnsi="宋体"/>
          <w:highlight w:val="none"/>
        </w:rPr>
        <w:t>因履行本合同引起的或与本合同有关的争议，甲乙双方应首先通过友好协商解决，如果协商不能解决，可向甲方所在地有管辖权的人民法院提起诉讼。</w:t>
      </w:r>
    </w:p>
    <w:p w14:paraId="1D75ED66">
      <w:pPr>
        <w:spacing w:line="400" w:lineRule="exact"/>
        <w:ind w:firstLine="420"/>
        <w:rPr>
          <w:rFonts w:hint="eastAsia" w:ascii="宋体" w:hAnsi="宋体"/>
          <w:highlight w:val="none"/>
        </w:rPr>
      </w:pPr>
      <w:r>
        <w:rPr>
          <w:rFonts w:ascii="宋体" w:hAnsi="宋体"/>
          <w:highlight w:val="none"/>
        </w:rPr>
        <w:t>3.</w:t>
      </w:r>
      <w:r>
        <w:rPr>
          <w:rFonts w:hint="eastAsia" w:ascii="宋体" w:hAnsi="宋体"/>
          <w:highlight w:val="none"/>
        </w:rPr>
        <w:t>诉讼期间，本合同继续履行。</w:t>
      </w:r>
    </w:p>
    <w:p w14:paraId="4E5CF833">
      <w:pPr>
        <w:spacing w:line="400" w:lineRule="exact"/>
        <w:ind w:firstLine="420"/>
        <w:rPr>
          <w:rFonts w:hint="eastAsia" w:ascii="宋体" w:hAnsi="宋体"/>
          <w:b/>
          <w:highlight w:val="none"/>
        </w:rPr>
      </w:pPr>
      <w:r>
        <w:rPr>
          <w:rFonts w:hint="eastAsia" w:ascii="宋体" w:hAnsi="宋体"/>
          <w:b/>
          <w:highlight w:val="none"/>
        </w:rPr>
        <w:t>第十一条  合同的变更、终止与转让</w:t>
      </w:r>
    </w:p>
    <w:p w14:paraId="7997F987">
      <w:pPr>
        <w:spacing w:line="400" w:lineRule="exact"/>
        <w:ind w:firstLine="420"/>
        <w:rPr>
          <w:rFonts w:hint="eastAsia" w:ascii="宋体" w:hAnsi="宋体"/>
          <w:highlight w:val="none"/>
        </w:rPr>
      </w:pPr>
      <w:r>
        <w:rPr>
          <w:rFonts w:hint="eastAsia" w:ascii="宋体" w:hAnsi="宋体"/>
          <w:highlight w:val="none"/>
        </w:rPr>
        <w:t>1</w:t>
      </w:r>
      <w:r>
        <w:rPr>
          <w:rFonts w:ascii="宋体" w:hAnsi="宋体"/>
          <w:highlight w:val="none"/>
        </w:rPr>
        <w:t>.</w:t>
      </w:r>
      <w:r>
        <w:rPr>
          <w:rFonts w:hint="eastAsia" w:ascii="宋体" w:hAnsi="宋体"/>
          <w:highlight w:val="none"/>
        </w:rPr>
        <w:t>除《中华人民共和国政府采购法》第五十条规定的情形外，本合同一经签订，甲乙双方不得擅自变更、中止或终止。</w:t>
      </w:r>
    </w:p>
    <w:p w14:paraId="10FD3315">
      <w:pPr>
        <w:spacing w:line="400" w:lineRule="exact"/>
        <w:ind w:firstLine="420"/>
        <w:rPr>
          <w:rFonts w:hint="eastAsia" w:ascii="宋体" w:hAnsi="宋体"/>
          <w:highlight w:val="none"/>
        </w:rPr>
      </w:pPr>
      <w:r>
        <w:rPr>
          <w:rFonts w:hint="eastAsia" w:ascii="宋体" w:hAnsi="宋体"/>
          <w:highlight w:val="none"/>
        </w:rPr>
        <w:t>2</w:t>
      </w:r>
      <w:r>
        <w:rPr>
          <w:rFonts w:ascii="宋体" w:hAnsi="宋体"/>
          <w:highlight w:val="none"/>
        </w:rPr>
        <w:t>.</w:t>
      </w:r>
      <w:r>
        <w:rPr>
          <w:rFonts w:hint="eastAsia" w:ascii="宋体" w:hAnsi="宋体"/>
          <w:highlight w:val="none"/>
        </w:rPr>
        <w:t>乙方不得擅自转让其应履行的合同义务。</w:t>
      </w:r>
    </w:p>
    <w:p w14:paraId="49E2EE54">
      <w:pPr>
        <w:spacing w:line="400" w:lineRule="exact"/>
        <w:ind w:firstLine="420"/>
        <w:rPr>
          <w:rFonts w:ascii="宋体" w:hAnsi="宋体"/>
          <w:highlight w:val="none"/>
        </w:rPr>
      </w:pPr>
      <w:r>
        <w:rPr>
          <w:rFonts w:hint="eastAsia" w:ascii="宋体" w:hAnsi="宋体"/>
          <w:highlight w:val="none"/>
        </w:rPr>
        <w:t>3</w:t>
      </w:r>
      <w:r>
        <w:rPr>
          <w:rFonts w:ascii="宋体" w:hAnsi="宋体"/>
          <w:highlight w:val="none"/>
        </w:rPr>
        <w:t>.</w:t>
      </w:r>
      <w:r>
        <w:rPr>
          <w:rFonts w:hint="eastAsia" w:ascii="宋体" w:hAnsi="宋体"/>
          <w:highlight w:val="none"/>
        </w:rPr>
        <w:t>合同执行中涉及采购资金和采购内容修改或补充的，须签书面补充协议。</w:t>
      </w:r>
    </w:p>
    <w:p w14:paraId="33D5CEDA">
      <w:pPr>
        <w:snapToGrid w:val="0"/>
        <w:spacing w:line="400" w:lineRule="atLeast"/>
        <w:ind w:firstLine="422" w:firstLineChars="200"/>
        <w:rPr>
          <w:rFonts w:hint="eastAsia" w:ascii="宋体" w:hAnsi="宋体"/>
          <w:b/>
          <w:bCs/>
          <w:kern w:val="0"/>
          <w:highlight w:val="none"/>
        </w:rPr>
      </w:pPr>
      <w:r>
        <w:rPr>
          <w:rFonts w:hint="eastAsia" w:ascii="宋体" w:hAnsi="宋体"/>
          <w:b/>
          <w:highlight w:val="none"/>
        </w:rPr>
        <w:t>第十二条　</w:t>
      </w:r>
      <w:r>
        <w:rPr>
          <w:rFonts w:hint="eastAsia" w:ascii="宋体" w:hAnsi="宋体"/>
          <w:b/>
          <w:bCs/>
          <w:kern w:val="0"/>
          <w:highlight w:val="none"/>
        </w:rPr>
        <w:t>合同组成及解释</w:t>
      </w:r>
    </w:p>
    <w:p w14:paraId="5F78C767">
      <w:pPr>
        <w:snapToGrid w:val="0"/>
        <w:spacing w:line="400" w:lineRule="atLeast"/>
        <w:ind w:firstLine="420" w:firstLineChars="200"/>
        <w:rPr>
          <w:rFonts w:hint="eastAsia" w:ascii="宋体" w:hAnsi="宋体"/>
          <w:kern w:val="0"/>
          <w:highlight w:val="none"/>
        </w:rPr>
      </w:pPr>
      <w:r>
        <w:rPr>
          <w:rFonts w:hint="eastAsia" w:ascii="宋体" w:hAnsi="宋体"/>
          <w:kern w:val="0"/>
          <w:highlight w:val="none"/>
        </w:rPr>
        <w:t>1.本项目的采购文件（含采购答疑）、符合采购要求的竞标文件、甲方确认采购要求、本合同履行过程中双方签章确认的协议或其他文件均为本合同的组成部分，若合同组成文件之间发生矛盾的，以下排列顺序为合同组成文件之间的优先解释顺序：</w:t>
      </w:r>
    </w:p>
    <w:p w14:paraId="7F1972D1">
      <w:pPr>
        <w:snapToGrid w:val="0"/>
        <w:spacing w:line="400" w:lineRule="atLeast"/>
        <w:ind w:firstLine="420" w:firstLineChars="200"/>
        <w:rPr>
          <w:rFonts w:hint="eastAsia" w:ascii="宋体" w:hAnsi="宋体"/>
          <w:kern w:val="0"/>
          <w:highlight w:val="none"/>
        </w:rPr>
      </w:pPr>
      <w:r>
        <w:rPr>
          <w:rFonts w:hint="eastAsia" w:ascii="宋体" w:hAnsi="宋体"/>
          <w:kern w:val="0"/>
          <w:highlight w:val="none"/>
        </w:rPr>
        <w:t>（1）合同履行过程中双方签章确认的协议或其他文件；</w:t>
      </w:r>
    </w:p>
    <w:p w14:paraId="2989C3CB">
      <w:pPr>
        <w:snapToGrid w:val="0"/>
        <w:spacing w:line="400" w:lineRule="atLeast"/>
        <w:ind w:firstLine="420" w:firstLineChars="200"/>
        <w:rPr>
          <w:rFonts w:hint="eastAsia" w:ascii="宋体" w:hAnsi="宋体"/>
          <w:kern w:val="0"/>
          <w:highlight w:val="none"/>
        </w:rPr>
      </w:pPr>
      <w:r>
        <w:rPr>
          <w:rFonts w:hint="eastAsia" w:ascii="宋体" w:hAnsi="宋体"/>
          <w:kern w:val="0"/>
          <w:highlight w:val="none"/>
        </w:rPr>
        <w:t>（2）甲方确认的采购要求；</w:t>
      </w:r>
    </w:p>
    <w:p w14:paraId="0746E18C">
      <w:pPr>
        <w:snapToGrid w:val="0"/>
        <w:spacing w:line="400" w:lineRule="atLeast"/>
        <w:ind w:firstLine="420" w:firstLineChars="200"/>
        <w:rPr>
          <w:rFonts w:hint="eastAsia" w:ascii="宋体" w:hAnsi="宋体"/>
          <w:kern w:val="0"/>
          <w:highlight w:val="none"/>
        </w:rPr>
      </w:pPr>
      <w:r>
        <w:rPr>
          <w:rFonts w:hint="eastAsia" w:ascii="宋体" w:hAnsi="宋体"/>
          <w:kern w:val="0"/>
          <w:highlight w:val="none"/>
        </w:rPr>
        <w:t>（3）合同附件；</w:t>
      </w:r>
    </w:p>
    <w:p w14:paraId="58D61319">
      <w:pPr>
        <w:snapToGrid w:val="0"/>
        <w:spacing w:line="400" w:lineRule="atLeast"/>
        <w:ind w:firstLine="420" w:firstLineChars="200"/>
        <w:rPr>
          <w:rFonts w:hint="eastAsia" w:ascii="宋体" w:hAnsi="宋体"/>
          <w:kern w:val="0"/>
          <w:highlight w:val="none"/>
        </w:rPr>
      </w:pPr>
      <w:r>
        <w:rPr>
          <w:rFonts w:hint="eastAsia" w:ascii="宋体" w:hAnsi="宋体"/>
          <w:kern w:val="0"/>
          <w:highlight w:val="none"/>
        </w:rPr>
        <w:t>（4）中标或成交通知书；</w:t>
      </w:r>
    </w:p>
    <w:p w14:paraId="0E1CC7C2">
      <w:pPr>
        <w:snapToGrid w:val="0"/>
        <w:spacing w:line="400" w:lineRule="atLeast"/>
        <w:ind w:firstLine="420" w:firstLineChars="200"/>
        <w:rPr>
          <w:rFonts w:hint="eastAsia" w:ascii="宋体" w:hAnsi="宋体"/>
          <w:kern w:val="0"/>
          <w:highlight w:val="none"/>
        </w:rPr>
      </w:pPr>
      <w:r>
        <w:rPr>
          <w:rFonts w:hint="eastAsia" w:ascii="宋体" w:hAnsi="宋体"/>
          <w:kern w:val="0"/>
          <w:highlight w:val="none"/>
        </w:rPr>
        <w:t>（5）采购文件(含答疑)；</w:t>
      </w:r>
    </w:p>
    <w:p w14:paraId="7A03E03C">
      <w:pPr>
        <w:snapToGrid w:val="0"/>
        <w:spacing w:line="400" w:lineRule="atLeast"/>
        <w:ind w:firstLine="420" w:firstLineChars="200"/>
        <w:rPr>
          <w:rFonts w:hint="eastAsia" w:ascii="宋体" w:hAnsi="宋体"/>
          <w:kern w:val="0"/>
          <w:highlight w:val="none"/>
        </w:rPr>
      </w:pPr>
      <w:r>
        <w:rPr>
          <w:rFonts w:hint="eastAsia" w:ascii="宋体" w:hAnsi="宋体"/>
          <w:kern w:val="0"/>
          <w:highlight w:val="none"/>
        </w:rPr>
        <w:t>（6）符合采购要求的投标文件；</w:t>
      </w:r>
    </w:p>
    <w:p w14:paraId="352460B0">
      <w:pPr>
        <w:snapToGrid w:val="0"/>
        <w:spacing w:line="400" w:lineRule="atLeast"/>
        <w:ind w:firstLine="420" w:firstLineChars="200"/>
        <w:rPr>
          <w:rFonts w:hint="eastAsia" w:ascii="宋体" w:hAnsi="宋体"/>
          <w:kern w:val="0"/>
          <w:highlight w:val="none"/>
        </w:rPr>
      </w:pPr>
      <w:r>
        <w:rPr>
          <w:rFonts w:hint="eastAsia" w:ascii="宋体" w:hAnsi="宋体"/>
          <w:kern w:val="0"/>
          <w:highlight w:val="none"/>
        </w:rPr>
        <w:t>（7）标准、规范及有关技术文件；</w:t>
      </w:r>
    </w:p>
    <w:p w14:paraId="2915AA54">
      <w:pPr>
        <w:snapToGrid w:val="0"/>
        <w:spacing w:line="400" w:lineRule="atLeast"/>
        <w:ind w:firstLine="420" w:firstLineChars="200"/>
        <w:rPr>
          <w:rFonts w:hint="eastAsia" w:ascii="宋体" w:hAnsi="宋体"/>
          <w:kern w:val="0"/>
          <w:highlight w:val="none"/>
        </w:rPr>
      </w:pPr>
      <w:r>
        <w:rPr>
          <w:rFonts w:hint="eastAsia" w:ascii="宋体" w:hAnsi="宋体"/>
          <w:kern w:val="0"/>
          <w:highlight w:val="none"/>
        </w:rPr>
        <w:t>（8）其他合同文件。</w:t>
      </w:r>
    </w:p>
    <w:p w14:paraId="76B32553">
      <w:pPr>
        <w:snapToGrid w:val="0"/>
        <w:spacing w:line="400" w:lineRule="atLeast"/>
        <w:ind w:firstLine="420" w:firstLineChars="200"/>
        <w:rPr>
          <w:rFonts w:hint="eastAsia" w:ascii="宋体" w:hAnsi="宋体"/>
          <w:kern w:val="0"/>
          <w:highlight w:val="none"/>
        </w:rPr>
      </w:pPr>
      <w:r>
        <w:rPr>
          <w:rFonts w:hint="eastAsia" w:ascii="宋体" w:hAnsi="宋体"/>
          <w:kern w:val="0"/>
          <w:highlight w:val="none"/>
        </w:rPr>
        <w:t>2.前述文件应认为是互为补充和解释的，但如有互相矛盾之处，以前述文件所列顺序作为其优先解释的顺序，但如果某一文件对甲方权利维护更有利或对设计工作有更高、更严格要求的以该文件内容为准。</w:t>
      </w:r>
    </w:p>
    <w:p w14:paraId="03FFF7E4">
      <w:pPr>
        <w:spacing w:line="400" w:lineRule="exact"/>
        <w:ind w:firstLine="420"/>
        <w:rPr>
          <w:rFonts w:ascii="宋体" w:hAnsi="宋体"/>
          <w:kern w:val="0"/>
          <w:highlight w:val="none"/>
        </w:rPr>
      </w:pPr>
      <w:r>
        <w:rPr>
          <w:rFonts w:hint="eastAsia" w:ascii="宋体" w:hAnsi="宋体"/>
          <w:kern w:val="0"/>
          <w:highlight w:val="none"/>
        </w:rPr>
        <w:t>3.前述各项文件包括双方就该合同组成文件所作出的补充和修改，属于同一项文件的，应以最新签署的为准。</w:t>
      </w:r>
    </w:p>
    <w:p w14:paraId="3A9068CA">
      <w:pPr>
        <w:snapToGrid w:val="0"/>
        <w:spacing w:line="400" w:lineRule="atLeast"/>
        <w:ind w:firstLine="422" w:firstLineChars="200"/>
        <w:rPr>
          <w:rFonts w:hint="eastAsia" w:ascii="宋体" w:hAnsi="宋体"/>
          <w:bCs/>
          <w:highlight w:val="none"/>
        </w:rPr>
      </w:pPr>
      <w:r>
        <w:rPr>
          <w:rFonts w:hint="eastAsia" w:ascii="宋体" w:hAnsi="宋体"/>
          <w:b/>
          <w:highlight w:val="none"/>
        </w:rPr>
        <w:t>第十三条　通知与送达</w:t>
      </w:r>
    </w:p>
    <w:p w14:paraId="0EF25A2D">
      <w:pPr>
        <w:spacing w:line="400" w:lineRule="exact"/>
        <w:ind w:firstLine="420"/>
        <w:rPr>
          <w:rFonts w:hint="eastAsia" w:ascii="宋体" w:hAnsi="宋体"/>
          <w:highlight w:val="none"/>
        </w:rPr>
      </w:pPr>
      <w:r>
        <w:rPr>
          <w:rFonts w:ascii="宋体" w:hAnsi="宋体"/>
          <w:highlight w:val="none"/>
        </w:rPr>
        <w:t>1.</w:t>
      </w:r>
      <w:r>
        <w:rPr>
          <w:rFonts w:hint="eastAsia" w:ascii="宋体" w:hAnsi="宋体"/>
          <w:highlight w:val="none"/>
        </w:rPr>
        <w:t>双方确认，以下为各方真实有效通讯地址：</w:t>
      </w:r>
    </w:p>
    <w:p w14:paraId="4E90FCE3">
      <w:pPr>
        <w:spacing w:line="400" w:lineRule="exact"/>
        <w:ind w:firstLine="420"/>
        <w:rPr>
          <w:rFonts w:hint="eastAsia" w:ascii="宋体" w:hAnsi="宋体"/>
          <w:highlight w:val="none"/>
        </w:rPr>
      </w:pPr>
      <w:r>
        <w:rPr>
          <w:rFonts w:hint="eastAsia" w:ascii="宋体" w:hAnsi="宋体"/>
          <w:highlight w:val="none"/>
        </w:rPr>
        <w:t>甲方：</w:t>
      </w:r>
      <w:r>
        <w:rPr>
          <w:rFonts w:hint="eastAsia" w:ascii="宋体" w:hAnsi="宋体"/>
          <w:highlight w:val="none"/>
          <w:u w:val="single"/>
        </w:rPr>
        <w:t xml:space="preserve">                         </w:t>
      </w:r>
      <w:r>
        <w:rPr>
          <w:rFonts w:hint="eastAsia" w:ascii="宋体" w:hAnsi="宋体"/>
          <w:highlight w:val="none"/>
        </w:rPr>
        <w:t xml:space="preserve"> ，地址：</w:t>
      </w:r>
      <w:r>
        <w:rPr>
          <w:rFonts w:hint="eastAsia" w:ascii="宋体" w:hAnsi="宋体"/>
          <w:highlight w:val="none"/>
          <w:u w:val="single"/>
        </w:rPr>
        <w:t xml:space="preserve">                         </w:t>
      </w:r>
      <w:r>
        <w:rPr>
          <w:rFonts w:hint="eastAsia" w:ascii="宋体" w:hAnsi="宋体"/>
          <w:highlight w:val="none"/>
        </w:rPr>
        <w:t>，收件人：</w:t>
      </w:r>
      <w:r>
        <w:rPr>
          <w:rFonts w:hint="eastAsia" w:ascii="宋体" w:hAnsi="宋体"/>
          <w:highlight w:val="none"/>
          <w:u w:val="single"/>
        </w:rPr>
        <w:t xml:space="preserve"> </w:t>
      </w:r>
      <w:r>
        <w:rPr>
          <w:rFonts w:ascii="宋体" w:hAnsi="宋体"/>
          <w:highlight w:val="none"/>
          <w:u w:val="single"/>
        </w:rPr>
        <w:t xml:space="preserve">    </w:t>
      </w:r>
      <w:r>
        <w:rPr>
          <w:rFonts w:hint="eastAsia" w:ascii="宋体" w:hAnsi="宋体"/>
          <w:highlight w:val="none"/>
        </w:rPr>
        <w:t>，联系电话：</w:t>
      </w:r>
      <w:r>
        <w:rPr>
          <w:rFonts w:ascii="宋体" w:hAnsi="宋体"/>
          <w:highlight w:val="none"/>
          <w:u w:val="single"/>
        </w:rPr>
        <w:t xml:space="preserve">          </w:t>
      </w:r>
      <w:r>
        <w:rPr>
          <w:rFonts w:hint="eastAsia" w:ascii="宋体" w:hAnsi="宋体"/>
          <w:highlight w:val="none"/>
        </w:rPr>
        <w:t>。</w:t>
      </w:r>
    </w:p>
    <w:p w14:paraId="7A320FDA">
      <w:pPr>
        <w:spacing w:line="400" w:lineRule="exact"/>
        <w:ind w:firstLine="420"/>
        <w:rPr>
          <w:rFonts w:hint="eastAsia" w:ascii="宋体" w:hAnsi="宋体"/>
          <w:highlight w:val="none"/>
        </w:rPr>
      </w:pPr>
      <w:r>
        <w:rPr>
          <w:rFonts w:hint="eastAsia" w:ascii="宋体" w:hAnsi="宋体"/>
          <w:highlight w:val="none"/>
        </w:rPr>
        <w:t>乙方：</w:t>
      </w:r>
      <w:r>
        <w:rPr>
          <w:rFonts w:hint="eastAsia" w:ascii="宋体" w:hAnsi="宋体"/>
          <w:highlight w:val="none"/>
          <w:u w:val="single"/>
        </w:rPr>
        <w:t xml:space="preserve">       </w:t>
      </w:r>
      <w:r>
        <w:rPr>
          <w:rFonts w:hint="eastAsia" w:ascii="宋体" w:hAnsi="宋体"/>
          <w:highlight w:val="none"/>
        </w:rPr>
        <w:t>，地址：</w:t>
      </w:r>
      <w:r>
        <w:rPr>
          <w:rFonts w:hint="eastAsia" w:ascii="宋体" w:hAnsi="宋体"/>
          <w:highlight w:val="none"/>
          <w:u w:val="single"/>
        </w:rPr>
        <w:t xml:space="preserve">          </w:t>
      </w:r>
      <w:r>
        <w:rPr>
          <w:rFonts w:hint="eastAsia" w:ascii="宋体" w:hAnsi="宋体"/>
          <w:highlight w:val="none"/>
        </w:rPr>
        <w:t>，收件人：</w:t>
      </w:r>
      <w:r>
        <w:rPr>
          <w:rFonts w:hint="eastAsia" w:ascii="宋体" w:hAnsi="宋体"/>
          <w:highlight w:val="none"/>
          <w:u w:val="single"/>
        </w:rPr>
        <w:t xml:space="preserve">          </w:t>
      </w:r>
      <w:r>
        <w:rPr>
          <w:rFonts w:hint="eastAsia" w:ascii="宋体" w:hAnsi="宋体"/>
          <w:highlight w:val="none"/>
        </w:rPr>
        <w:t>，联系电话：</w:t>
      </w:r>
      <w:r>
        <w:rPr>
          <w:rFonts w:hint="eastAsia" w:ascii="宋体" w:hAnsi="宋体"/>
          <w:highlight w:val="none"/>
          <w:u w:val="single"/>
        </w:rPr>
        <w:t xml:space="preserve">          </w:t>
      </w:r>
      <w:r>
        <w:rPr>
          <w:rFonts w:hint="eastAsia" w:ascii="宋体" w:hAnsi="宋体"/>
          <w:highlight w:val="none"/>
        </w:rPr>
        <w:t>。</w:t>
      </w:r>
    </w:p>
    <w:p w14:paraId="3E978C42">
      <w:pPr>
        <w:snapToGrid w:val="0"/>
        <w:spacing w:line="400" w:lineRule="atLeast"/>
        <w:ind w:firstLine="420" w:firstLineChars="200"/>
        <w:rPr>
          <w:rFonts w:ascii="宋体" w:hAnsi="宋体"/>
          <w:highlight w:val="none"/>
        </w:rPr>
      </w:pPr>
      <w:r>
        <w:rPr>
          <w:rFonts w:hint="eastAsia" w:ascii="宋体" w:hAnsi="宋体"/>
          <w:highlight w:val="none"/>
        </w:rPr>
        <w:t>2</w:t>
      </w:r>
      <w:r>
        <w:rPr>
          <w:rFonts w:ascii="宋体" w:hAnsi="宋体"/>
          <w:highlight w:val="none"/>
        </w:rPr>
        <w:t>.</w:t>
      </w:r>
      <w:r>
        <w:rPr>
          <w:rFonts w:hint="eastAsia" w:ascii="宋体" w:hAnsi="宋体"/>
          <w:highlight w:val="none"/>
        </w:rPr>
        <w:t>一方向对方发出的任何通知、信函和文件，以挂号信函或快递信函方式向对方地址邮寄有关通知、信函和文件的，自发出之日起第三日视为送达对方，挂号信函或快递信函的邮寄凭证即视为成功送达的有效凭证。一方地址变更的，</w:t>
      </w:r>
      <w:r>
        <w:rPr>
          <w:rFonts w:hint="eastAsia" w:ascii="宋体" w:hAnsi="宋体"/>
          <w:bCs/>
          <w:highlight w:val="none"/>
        </w:rPr>
        <w:t>应当在变更后3日内及时书面通知对方当事人，</w:t>
      </w:r>
      <w:r>
        <w:rPr>
          <w:rFonts w:hint="eastAsia" w:ascii="宋体" w:hAnsi="宋体"/>
          <w:highlight w:val="none"/>
        </w:rPr>
        <w:t>否则上述地址仍为真实有效通讯地址；</w:t>
      </w:r>
      <w:r>
        <w:rPr>
          <w:rFonts w:hint="eastAsia" w:ascii="宋体" w:hAnsi="宋体"/>
          <w:bCs/>
          <w:highlight w:val="none"/>
        </w:rPr>
        <w:t>对方当事人实际收到变更通知前的送达仍为有效送达。</w:t>
      </w:r>
      <w:r>
        <w:rPr>
          <w:rFonts w:hint="eastAsia" w:ascii="宋体" w:hAnsi="宋体"/>
          <w:highlight w:val="none"/>
        </w:rPr>
        <w:t>若为提交的，自对方签收时视为送达对方。</w:t>
      </w:r>
    </w:p>
    <w:p w14:paraId="7E8057F3">
      <w:pPr>
        <w:snapToGrid w:val="0"/>
        <w:spacing w:line="400" w:lineRule="atLeast"/>
        <w:ind w:firstLine="420" w:firstLineChars="200"/>
        <w:rPr>
          <w:rFonts w:hint="eastAsia" w:ascii="宋体" w:hAnsi="宋体"/>
          <w:bCs/>
          <w:highlight w:val="none"/>
        </w:rPr>
      </w:pPr>
      <w:r>
        <w:rPr>
          <w:rFonts w:hint="eastAsia" w:ascii="宋体" w:hAnsi="宋体"/>
          <w:bCs/>
          <w:highlight w:val="none"/>
        </w:rPr>
        <w:t>3</w:t>
      </w:r>
      <w:r>
        <w:rPr>
          <w:rFonts w:ascii="宋体" w:hAnsi="宋体"/>
          <w:bCs/>
          <w:highlight w:val="none"/>
        </w:rPr>
        <w:t>.</w:t>
      </w:r>
      <w:r>
        <w:rPr>
          <w:rFonts w:hint="eastAsia" w:ascii="宋体" w:hAnsi="宋体"/>
          <w:bCs/>
          <w:highlight w:val="none"/>
        </w:rPr>
        <w:t>若送达日为非工作日,则视为在下一工作日送达。</w:t>
      </w:r>
    </w:p>
    <w:p w14:paraId="74C3B87E">
      <w:pPr>
        <w:spacing w:line="400" w:lineRule="exact"/>
        <w:ind w:firstLine="420"/>
        <w:rPr>
          <w:rFonts w:hint="eastAsia" w:ascii="宋体" w:hAnsi="宋体"/>
          <w:b/>
          <w:highlight w:val="none"/>
        </w:rPr>
      </w:pPr>
      <w:r>
        <w:rPr>
          <w:rFonts w:hint="eastAsia" w:ascii="宋体" w:hAnsi="宋体"/>
          <w:b/>
          <w:highlight w:val="none"/>
        </w:rPr>
        <w:t>第十四条  合同生效及其它</w:t>
      </w:r>
    </w:p>
    <w:p w14:paraId="4CC39EAF">
      <w:pPr>
        <w:spacing w:line="400" w:lineRule="exact"/>
        <w:ind w:firstLine="420"/>
        <w:rPr>
          <w:rFonts w:hint="eastAsia" w:ascii="宋体" w:hAnsi="宋体"/>
          <w:highlight w:val="none"/>
        </w:rPr>
      </w:pPr>
      <w:r>
        <w:rPr>
          <w:rFonts w:hint="eastAsia" w:ascii="宋体" w:hAnsi="宋体"/>
          <w:highlight w:val="none"/>
        </w:rPr>
        <w:t>1</w:t>
      </w:r>
      <w:r>
        <w:rPr>
          <w:rFonts w:ascii="宋体" w:hAnsi="宋体"/>
          <w:highlight w:val="none"/>
        </w:rPr>
        <w:t>.</w:t>
      </w:r>
      <w:r>
        <w:rPr>
          <w:rFonts w:hint="eastAsia" w:ascii="宋体" w:hAnsi="宋体"/>
          <w:highlight w:val="none"/>
        </w:rPr>
        <w:t>合同经双方法定代表人</w:t>
      </w:r>
      <w:r>
        <w:rPr>
          <w:rFonts w:hint="eastAsia" w:ascii="宋体" w:hAnsi="宋体"/>
          <w:highlight w:val="none"/>
          <w:lang w:eastAsia="zh-CN"/>
        </w:rPr>
        <w:t>（</w:t>
      </w:r>
      <w:r>
        <w:rPr>
          <w:rFonts w:hint="eastAsia" w:ascii="宋体" w:hAnsi="宋体"/>
          <w:highlight w:val="none"/>
          <w:lang w:val="en-US" w:eastAsia="zh-CN"/>
        </w:rPr>
        <w:t>负责人</w:t>
      </w:r>
      <w:r>
        <w:rPr>
          <w:rFonts w:hint="eastAsia" w:ascii="宋体" w:hAnsi="宋体"/>
          <w:highlight w:val="none"/>
          <w:lang w:eastAsia="zh-CN"/>
        </w:rPr>
        <w:t>）</w:t>
      </w:r>
      <w:r>
        <w:rPr>
          <w:rFonts w:hint="eastAsia" w:ascii="宋体" w:hAnsi="宋体"/>
          <w:highlight w:val="none"/>
        </w:rPr>
        <w:t>或授权代表签字并加盖单位公章后生效。</w:t>
      </w:r>
    </w:p>
    <w:p w14:paraId="4E0DB54F">
      <w:pPr>
        <w:spacing w:line="400" w:lineRule="exact"/>
        <w:ind w:firstLine="420"/>
        <w:rPr>
          <w:rFonts w:ascii="宋体" w:hAnsi="宋体"/>
          <w:highlight w:val="none"/>
        </w:rPr>
      </w:pPr>
      <w:r>
        <w:rPr>
          <w:rFonts w:hint="eastAsia" w:ascii="宋体" w:hAnsi="宋体"/>
          <w:highlight w:val="none"/>
        </w:rPr>
        <w:t>2</w:t>
      </w:r>
      <w:r>
        <w:rPr>
          <w:rFonts w:ascii="宋体" w:hAnsi="宋体"/>
          <w:highlight w:val="none"/>
        </w:rPr>
        <w:t>.</w:t>
      </w:r>
      <w:r>
        <w:rPr>
          <w:rFonts w:hint="eastAsia" w:ascii="宋体" w:hAnsi="宋体"/>
          <w:highlight w:val="none"/>
        </w:rPr>
        <w:t>本合同未尽事宜，遵照《中华人民共和国民法典》有关条文执行。</w:t>
      </w:r>
    </w:p>
    <w:p w14:paraId="78847F96">
      <w:pPr>
        <w:spacing w:line="400" w:lineRule="exact"/>
        <w:ind w:firstLine="420"/>
        <w:rPr>
          <w:rFonts w:hint="eastAsia" w:ascii="宋体" w:hAnsi="宋体"/>
          <w:highlight w:val="none"/>
        </w:rPr>
      </w:pPr>
      <w:r>
        <w:rPr>
          <w:rFonts w:hint="eastAsia" w:ascii="宋体" w:hAnsi="宋体"/>
          <w:highlight w:val="none"/>
        </w:rPr>
        <w:t>3</w:t>
      </w:r>
      <w:r>
        <w:rPr>
          <w:rFonts w:ascii="宋体" w:hAnsi="宋体"/>
          <w:highlight w:val="none"/>
        </w:rPr>
        <w:t>.</w:t>
      </w:r>
      <w:r>
        <w:rPr>
          <w:rFonts w:hint="eastAsia" w:ascii="宋体" w:hAnsi="宋体"/>
          <w:highlight w:val="none"/>
        </w:rPr>
        <w:t>本合同一式六份，具有同等法律效力，甲方三份，乙方二份，采购代理机构一份。</w:t>
      </w:r>
      <w:r>
        <w:rPr>
          <w:rFonts w:hint="eastAsia" w:ascii="宋体" w:hAnsi="宋体" w:cs="宋体"/>
          <w:highlight w:val="none"/>
        </w:rPr>
        <w:t>本合同自签订之日起2个工作日内，甲方应当将采购合同在广西壮族自治区财政厅指定的媒体上公告。</w:t>
      </w:r>
    </w:p>
    <w:p w14:paraId="696FA03C">
      <w:pPr>
        <w:snapToGrid w:val="0"/>
        <w:spacing w:line="360" w:lineRule="atLeast"/>
        <w:ind w:firstLine="420" w:firstLineChars="200"/>
        <w:rPr>
          <w:rFonts w:hint="eastAsia" w:ascii="宋体" w:hAnsi="宋体"/>
          <w:highlight w:val="none"/>
        </w:rPr>
      </w:pP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44"/>
        <w:gridCol w:w="4644"/>
      </w:tblGrid>
      <w:tr w14:paraId="4B967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8" w:hRule="atLeast"/>
        </w:trPr>
        <w:tc>
          <w:tcPr>
            <w:tcW w:w="2500" w:type="pct"/>
            <w:tcBorders>
              <w:top w:val="single" w:color="auto" w:sz="4" w:space="0"/>
              <w:left w:val="single" w:color="auto" w:sz="4" w:space="0"/>
              <w:bottom w:val="single" w:color="auto" w:sz="4" w:space="0"/>
              <w:right w:val="single" w:color="auto" w:sz="4" w:space="0"/>
            </w:tcBorders>
            <w:noWrap w:val="0"/>
            <w:vAlign w:val="center"/>
          </w:tcPr>
          <w:p w14:paraId="655C8AB6">
            <w:pPr>
              <w:snapToGrid w:val="0"/>
              <w:spacing w:line="360" w:lineRule="atLeast"/>
              <w:rPr>
                <w:rFonts w:ascii="宋体" w:hAnsi="宋体"/>
                <w:highlight w:val="none"/>
              </w:rPr>
            </w:pPr>
            <w:r>
              <w:rPr>
                <w:rFonts w:hint="eastAsia" w:ascii="宋体" w:hAnsi="宋体"/>
                <w:highlight w:val="none"/>
              </w:rPr>
              <w:t xml:space="preserve">甲方（章）           </w:t>
            </w:r>
          </w:p>
          <w:p w14:paraId="769C30A1">
            <w:pPr>
              <w:snapToGrid w:val="0"/>
              <w:spacing w:line="360" w:lineRule="atLeast"/>
              <w:rPr>
                <w:rFonts w:hint="eastAsia" w:ascii="宋体" w:hAnsi="宋体"/>
                <w:highlight w:val="none"/>
              </w:rPr>
            </w:pPr>
          </w:p>
          <w:p w14:paraId="4C7794BE">
            <w:pPr>
              <w:snapToGrid w:val="0"/>
              <w:spacing w:line="360" w:lineRule="atLeast"/>
              <w:ind w:firstLine="945" w:firstLineChars="450"/>
              <w:jc w:val="right"/>
              <w:rPr>
                <w:rFonts w:ascii="宋体" w:hAnsi="宋体"/>
                <w:highlight w:val="none"/>
              </w:rPr>
            </w:pPr>
            <w:r>
              <w:rPr>
                <w:rFonts w:hint="eastAsia" w:ascii="宋体" w:hAnsi="宋体"/>
                <w:highlight w:val="none"/>
              </w:rPr>
              <w:t>年   月   日</w:t>
            </w:r>
          </w:p>
        </w:tc>
        <w:tc>
          <w:tcPr>
            <w:tcW w:w="2500" w:type="pct"/>
            <w:tcBorders>
              <w:top w:val="single" w:color="auto" w:sz="4" w:space="0"/>
              <w:left w:val="single" w:color="auto" w:sz="4" w:space="0"/>
              <w:bottom w:val="single" w:color="auto" w:sz="4" w:space="0"/>
              <w:right w:val="single" w:color="auto" w:sz="4" w:space="0"/>
            </w:tcBorders>
            <w:noWrap w:val="0"/>
            <w:vAlign w:val="center"/>
          </w:tcPr>
          <w:p w14:paraId="7765B498">
            <w:pPr>
              <w:snapToGrid w:val="0"/>
              <w:spacing w:line="360" w:lineRule="atLeast"/>
              <w:rPr>
                <w:rFonts w:ascii="宋体" w:hAnsi="宋体"/>
                <w:highlight w:val="none"/>
              </w:rPr>
            </w:pPr>
            <w:r>
              <w:rPr>
                <w:rFonts w:hint="eastAsia" w:ascii="宋体" w:hAnsi="宋体"/>
                <w:highlight w:val="none"/>
              </w:rPr>
              <w:t xml:space="preserve">乙方（章）              </w:t>
            </w:r>
          </w:p>
          <w:p w14:paraId="0870A783">
            <w:pPr>
              <w:snapToGrid w:val="0"/>
              <w:spacing w:line="360" w:lineRule="atLeast"/>
              <w:rPr>
                <w:rFonts w:hint="eastAsia" w:ascii="宋体" w:hAnsi="宋体"/>
                <w:highlight w:val="none"/>
              </w:rPr>
            </w:pPr>
          </w:p>
          <w:p w14:paraId="2886236E">
            <w:pPr>
              <w:snapToGrid w:val="0"/>
              <w:spacing w:line="360" w:lineRule="atLeast"/>
              <w:jc w:val="right"/>
              <w:rPr>
                <w:rFonts w:ascii="宋体" w:hAnsi="宋体"/>
                <w:highlight w:val="none"/>
              </w:rPr>
            </w:pPr>
            <w:r>
              <w:rPr>
                <w:rFonts w:hint="eastAsia" w:ascii="宋体" w:hAnsi="宋体"/>
                <w:highlight w:val="none"/>
              </w:rPr>
              <w:t xml:space="preserve"> 年   月   日</w:t>
            </w:r>
          </w:p>
        </w:tc>
      </w:tr>
      <w:tr w14:paraId="58E53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500" w:type="pct"/>
            <w:tcBorders>
              <w:top w:val="single" w:color="auto" w:sz="4" w:space="0"/>
              <w:left w:val="single" w:color="auto" w:sz="4" w:space="0"/>
              <w:bottom w:val="single" w:color="auto" w:sz="4" w:space="0"/>
              <w:right w:val="single" w:color="auto" w:sz="4" w:space="0"/>
            </w:tcBorders>
            <w:noWrap w:val="0"/>
            <w:vAlign w:val="center"/>
          </w:tcPr>
          <w:p w14:paraId="46EC76B5">
            <w:pPr>
              <w:snapToGrid w:val="0"/>
              <w:spacing w:line="360" w:lineRule="atLeast"/>
              <w:rPr>
                <w:rFonts w:ascii="宋体" w:hAnsi="宋体"/>
                <w:highlight w:val="none"/>
              </w:rPr>
            </w:pPr>
            <w:r>
              <w:rPr>
                <w:rFonts w:hint="eastAsia" w:ascii="宋体" w:hAnsi="宋体"/>
                <w:highlight w:val="none"/>
              </w:rPr>
              <w:t>单位地址：</w:t>
            </w:r>
          </w:p>
        </w:tc>
        <w:tc>
          <w:tcPr>
            <w:tcW w:w="2500" w:type="pct"/>
            <w:tcBorders>
              <w:top w:val="single" w:color="auto" w:sz="4" w:space="0"/>
              <w:left w:val="single" w:color="auto" w:sz="4" w:space="0"/>
              <w:bottom w:val="single" w:color="auto" w:sz="4" w:space="0"/>
              <w:right w:val="single" w:color="auto" w:sz="4" w:space="0"/>
            </w:tcBorders>
            <w:noWrap w:val="0"/>
            <w:vAlign w:val="center"/>
          </w:tcPr>
          <w:p w14:paraId="5D55E79E">
            <w:pPr>
              <w:snapToGrid w:val="0"/>
              <w:spacing w:line="360" w:lineRule="atLeast"/>
              <w:rPr>
                <w:rFonts w:ascii="宋体" w:hAnsi="宋体"/>
                <w:highlight w:val="none"/>
              </w:rPr>
            </w:pPr>
            <w:r>
              <w:rPr>
                <w:rFonts w:hint="eastAsia" w:ascii="宋体" w:hAnsi="宋体"/>
                <w:highlight w:val="none"/>
              </w:rPr>
              <w:t>单位地址：</w:t>
            </w:r>
          </w:p>
        </w:tc>
      </w:tr>
      <w:tr w14:paraId="133DC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500" w:type="pct"/>
            <w:tcBorders>
              <w:top w:val="single" w:color="auto" w:sz="4" w:space="0"/>
              <w:left w:val="single" w:color="auto" w:sz="4" w:space="0"/>
              <w:bottom w:val="single" w:color="auto" w:sz="4" w:space="0"/>
              <w:right w:val="single" w:color="auto" w:sz="4" w:space="0"/>
            </w:tcBorders>
            <w:noWrap w:val="0"/>
            <w:vAlign w:val="center"/>
          </w:tcPr>
          <w:p w14:paraId="7ED52A0A">
            <w:pPr>
              <w:snapToGrid w:val="0"/>
              <w:spacing w:line="360" w:lineRule="atLeast"/>
              <w:rPr>
                <w:rFonts w:ascii="宋体" w:hAnsi="宋体"/>
                <w:highlight w:val="none"/>
              </w:rPr>
            </w:pPr>
            <w:r>
              <w:rPr>
                <w:rFonts w:hint="eastAsia" w:ascii="宋体" w:hAnsi="宋体"/>
                <w:highlight w:val="none"/>
              </w:rPr>
              <w:t>法定代表人</w:t>
            </w:r>
            <w:r>
              <w:rPr>
                <w:rFonts w:hint="eastAsia" w:ascii="宋体" w:hAnsi="宋体"/>
                <w:highlight w:val="none"/>
                <w:lang w:eastAsia="zh-CN"/>
              </w:rPr>
              <w:t>（</w:t>
            </w:r>
            <w:r>
              <w:rPr>
                <w:rFonts w:hint="eastAsia" w:ascii="宋体" w:hAnsi="宋体"/>
                <w:highlight w:val="none"/>
                <w:lang w:val="en-US" w:eastAsia="zh-CN"/>
              </w:rPr>
              <w:t>负责人</w:t>
            </w:r>
            <w:r>
              <w:rPr>
                <w:rFonts w:hint="eastAsia" w:ascii="宋体" w:hAnsi="宋体"/>
                <w:highlight w:val="none"/>
                <w:lang w:eastAsia="zh-CN"/>
              </w:rPr>
              <w:t>）</w:t>
            </w:r>
            <w:r>
              <w:rPr>
                <w:rFonts w:hint="eastAsia" w:ascii="宋体" w:hAnsi="宋体"/>
                <w:highlight w:val="none"/>
              </w:rPr>
              <w:t>：</w:t>
            </w:r>
          </w:p>
        </w:tc>
        <w:tc>
          <w:tcPr>
            <w:tcW w:w="2500" w:type="pct"/>
            <w:tcBorders>
              <w:top w:val="single" w:color="auto" w:sz="4" w:space="0"/>
              <w:left w:val="single" w:color="auto" w:sz="4" w:space="0"/>
              <w:bottom w:val="single" w:color="auto" w:sz="4" w:space="0"/>
              <w:right w:val="single" w:color="auto" w:sz="4" w:space="0"/>
            </w:tcBorders>
            <w:noWrap w:val="0"/>
            <w:vAlign w:val="center"/>
          </w:tcPr>
          <w:p w14:paraId="0906255B">
            <w:pPr>
              <w:snapToGrid w:val="0"/>
              <w:spacing w:line="360" w:lineRule="atLeast"/>
              <w:rPr>
                <w:rFonts w:ascii="宋体" w:hAnsi="宋体"/>
                <w:highlight w:val="none"/>
              </w:rPr>
            </w:pPr>
            <w:r>
              <w:rPr>
                <w:rFonts w:hint="eastAsia" w:ascii="宋体" w:hAnsi="宋体"/>
                <w:highlight w:val="none"/>
              </w:rPr>
              <w:t>法定代表人</w:t>
            </w:r>
            <w:r>
              <w:rPr>
                <w:rFonts w:hint="eastAsia" w:ascii="宋体" w:hAnsi="宋体"/>
                <w:highlight w:val="none"/>
                <w:lang w:eastAsia="zh-CN"/>
              </w:rPr>
              <w:t>（</w:t>
            </w:r>
            <w:r>
              <w:rPr>
                <w:rFonts w:hint="eastAsia" w:ascii="宋体" w:hAnsi="宋体"/>
                <w:highlight w:val="none"/>
                <w:lang w:val="en-US" w:eastAsia="zh-CN"/>
              </w:rPr>
              <w:t>负责人</w:t>
            </w:r>
            <w:r>
              <w:rPr>
                <w:rFonts w:hint="eastAsia" w:ascii="宋体" w:hAnsi="宋体"/>
                <w:highlight w:val="none"/>
                <w:lang w:eastAsia="zh-CN"/>
              </w:rPr>
              <w:t>）</w:t>
            </w:r>
            <w:r>
              <w:rPr>
                <w:rFonts w:hint="eastAsia" w:ascii="宋体" w:hAnsi="宋体"/>
                <w:highlight w:val="none"/>
              </w:rPr>
              <w:t>：</w:t>
            </w:r>
          </w:p>
        </w:tc>
      </w:tr>
      <w:tr w14:paraId="1322A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500" w:type="pct"/>
            <w:tcBorders>
              <w:top w:val="single" w:color="auto" w:sz="4" w:space="0"/>
              <w:left w:val="single" w:color="auto" w:sz="4" w:space="0"/>
              <w:bottom w:val="single" w:color="auto" w:sz="4" w:space="0"/>
              <w:right w:val="single" w:color="auto" w:sz="4" w:space="0"/>
            </w:tcBorders>
            <w:noWrap w:val="0"/>
            <w:vAlign w:val="center"/>
          </w:tcPr>
          <w:p w14:paraId="36D458C1">
            <w:pPr>
              <w:snapToGrid w:val="0"/>
              <w:spacing w:line="360" w:lineRule="atLeast"/>
              <w:rPr>
                <w:rFonts w:ascii="宋体" w:hAnsi="宋体"/>
                <w:highlight w:val="none"/>
              </w:rPr>
            </w:pPr>
            <w:r>
              <w:rPr>
                <w:rFonts w:hint="eastAsia" w:ascii="宋体" w:hAnsi="宋体"/>
                <w:highlight w:val="none"/>
              </w:rPr>
              <w:t>委托代理人：</w:t>
            </w:r>
          </w:p>
        </w:tc>
        <w:tc>
          <w:tcPr>
            <w:tcW w:w="2500" w:type="pct"/>
            <w:tcBorders>
              <w:top w:val="single" w:color="auto" w:sz="4" w:space="0"/>
              <w:left w:val="single" w:color="auto" w:sz="4" w:space="0"/>
              <w:bottom w:val="single" w:color="auto" w:sz="4" w:space="0"/>
              <w:right w:val="single" w:color="auto" w:sz="4" w:space="0"/>
            </w:tcBorders>
            <w:noWrap w:val="0"/>
            <w:vAlign w:val="center"/>
          </w:tcPr>
          <w:p w14:paraId="70BEC0FD">
            <w:pPr>
              <w:snapToGrid w:val="0"/>
              <w:spacing w:line="360" w:lineRule="atLeast"/>
              <w:rPr>
                <w:rFonts w:ascii="宋体" w:hAnsi="宋体"/>
                <w:highlight w:val="none"/>
              </w:rPr>
            </w:pPr>
            <w:r>
              <w:rPr>
                <w:rFonts w:hint="eastAsia" w:ascii="宋体" w:hAnsi="宋体"/>
                <w:highlight w:val="none"/>
              </w:rPr>
              <w:t>委托代理人：</w:t>
            </w:r>
          </w:p>
        </w:tc>
      </w:tr>
      <w:tr w14:paraId="3039E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500" w:type="pct"/>
            <w:tcBorders>
              <w:top w:val="single" w:color="auto" w:sz="4" w:space="0"/>
              <w:left w:val="single" w:color="auto" w:sz="4" w:space="0"/>
              <w:bottom w:val="single" w:color="auto" w:sz="4" w:space="0"/>
              <w:right w:val="single" w:color="auto" w:sz="4" w:space="0"/>
            </w:tcBorders>
            <w:noWrap w:val="0"/>
            <w:vAlign w:val="center"/>
          </w:tcPr>
          <w:p w14:paraId="2C6A1DBB">
            <w:pPr>
              <w:snapToGrid w:val="0"/>
              <w:spacing w:line="360" w:lineRule="atLeast"/>
              <w:rPr>
                <w:rFonts w:ascii="宋体" w:hAnsi="宋体"/>
                <w:highlight w:val="none"/>
              </w:rPr>
            </w:pPr>
            <w:r>
              <w:rPr>
                <w:rFonts w:hint="eastAsia" w:ascii="宋体" w:hAnsi="宋体"/>
                <w:highlight w:val="none"/>
              </w:rPr>
              <w:t>电话：</w:t>
            </w:r>
          </w:p>
        </w:tc>
        <w:tc>
          <w:tcPr>
            <w:tcW w:w="2500" w:type="pct"/>
            <w:tcBorders>
              <w:top w:val="single" w:color="auto" w:sz="4" w:space="0"/>
              <w:left w:val="single" w:color="auto" w:sz="4" w:space="0"/>
              <w:bottom w:val="single" w:color="auto" w:sz="4" w:space="0"/>
              <w:right w:val="single" w:color="auto" w:sz="4" w:space="0"/>
            </w:tcBorders>
            <w:noWrap w:val="0"/>
            <w:vAlign w:val="center"/>
          </w:tcPr>
          <w:p w14:paraId="017C0CD3">
            <w:pPr>
              <w:snapToGrid w:val="0"/>
              <w:spacing w:line="360" w:lineRule="atLeast"/>
              <w:rPr>
                <w:rFonts w:ascii="宋体" w:hAnsi="宋体"/>
                <w:highlight w:val="none"/>
              </w:rPr>
            </w:pPr>
            <w:r>
              <w:rPr>
                <w:rFonts w:hint="eastAsia" w:ascii="宋体" w:hAnsi="宋体"/>
                <w:highlight w:val="none"/>
              </w:rPr>
              <w:t>电话：</w:t>
            </w:r>
          </w:p>
        </w:tc>
      </w:tr>
      <w:tr w14:paraId="4BF9A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500" w:type="pct"/>
            <w:tcBorders>
              <w:top w:val="single" w:color="auto" w:sz="4" w:space="0"/>
              <w:left w:val="single" w:color="auto" w:sz="4" w:space="0"/>
              <w:bottom w:val="single" w:color="auto" w:sz="4" w:space="0"/>
              <w:right w:val="single" w:color="auto" w:sz="4" w:space="0"/>
            </w:tcBorders>
            <w:noWrap w:val="0"/>
            <w:vAlign w:val="center"/>
          </w:tcPr>
          <w:p w14:paraId="07FCFA7E">
            <w:pPr>
              <w:snapToGrid w:val="0"/>
              <w:spacing w:line="360" w:lineRule="atLeast"/>
              <w:rPr>
                <w:rFonts w:hint="eastAsia" w:ascii="宋体" w:hAnsi="宋体"/>
                <w:highlight w:val="none"/>
              </w:rPr>
            </w:pPr>
            <w:r>
              <w:rPr>
                <w:rFonts w:hint="eastAsia" w:ascii="宋体" w:hAnsi="宋体"/>
                <w:highlight w:val="none"/>
              </w:rPr>
              <w:t>传真：</w:t>
            </w:r>
          </w:p>
        </w:tc>
        <w:tc>
          <w:tcPr>
            <w:tcW w:w="2500" w:type="pct"/>
            <w:tcBorders>
              <w:top w:val="single" w:color="auto" w:sz="4" w:space="0"/>
              <w:left w:val="single" w:color="auto" w:sz="4" w:space="0"/>
              <w:bottom w:val="single" w:color="auto" w:sz="4" w:space="0"/>
              <w:right w:val="single" w:color="auto" w:sz="4" w:space="0"/>
            </w:tcBorders>
            <w:noWrap w:val="0"/>
            <w:vAlign w:val="center"/>
          </w:tcPr>
          <w:p w14:paraId="5AE52693">
            <w:pPr>
              <w:snapToGrid w:val="0"/>
              <w:spacing w:line="360" w:lineRule="atLeast"/>
              <w:rPr>
                <w:rFonts w:hint="eastAsia" w:ascii="宋体" w:hAnsi="宋体"/>
                <w:highlight w:val="none"/>
              </w:rPr>
            </w:pPr>
            <w:r>
              <w:rPr>
                <w:rFonts w:hint="eastAsia" w:ascii="宋体" w:hAnsi="宋体"/>
                <w:highlight w:val="none"/>
              </w:rPr>
              <w:t>传真：</w:t>
            </w:r>
          </w:p>
        </w:tc>
      </w:tr>
      <w:tr w14:paraId="5E1EF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500" w:type="pct"/>
            <w:tcBorders>
              <w:top w:val="single" w:color="auto" w:sz="4" w:space="0"/>
              <w:left w:val="single" w:color="auto" w:sz="4" w:space="0"/>
              <w:bottom w:val="single" w:color="auto" w:sz="4" w:space="0"/>
              <w:right w:val="single" w:color="auto" w:sz="4" w:space="0"/>
            </w:tcBorders>
            <w:noWrap w:val="0"/>
            <w:vAlign w:val="center"/>
          </w:tcPr>
          <w:p w14:paraId="793379DC">
            <w:pPr>
              <w:snapToGrid w:val="0"/>
              <w:spacing w:line="360" w:lineRule="atLeast"/>
              <w:rPr>
                <w:rFonts w:ascii="宋体" w:hAnsi="宋体"/>
                <w:highlight w:val="none"/>
              </w:rPr>
            </w:pPr>
            <w:r>
              <w:rPr>
                <w:rFonts w:hint="eastAsia" w:ascii="宋体" w:hAnsi="宋体"/>
                <w:highlight w:val="none"/>
              </w:rPr>
              <w:t>电子邮箱：</w:t>
            </w:r>
          </w:p>
        </w:tc>
        <w:tc>
          <w:tcPr>
            <w:tcW w:w="2500" w:type="pct"/>
            <w:tcBorders>
              <w:top w:val="single" w:color="auto" w:sz="4" w:space="0"/>
              <w:left w:val="single" w:color="auto" w:sz="4" w:space="0"/>
              <w:bottom w:val="single" w:color="auto" w:sz="4" w:space="0"/>
              <w:right w:val="single" w:color="auto" w:sz="4" w:space="0"/>
            </w:tcBorders>
            <w:noWrap w:val="0"/>
            <w:vAlign w:val="center"/>
          </w:tcPr>
          <w:p w14:paraId="17C63CCA">
            <w:pPr>
              <w:snapToGrid w:val="0"/>
              <w:spacing w:line="360" w:lineRule="atLeast"/>
              <w:rPr>
                <w:rFonts w:ascii="宋体" w:hAnsi="宋体"/>
                <w:highlight w:val="none"/>
              </w:rPr>
            </w:pPr>
            <w:r>
              <w:rPr>
                <w:rFonts w:hint="eastAsia" w:ascii="宋体" w:hAnsi="宋体"/>
                <w:highlight w:val="none"/>
              </w:rPr>
              <w:t>电子邮箱：</w:t>
            </w:r>
          </w:p>
        </w:tc>
      </w:tr>
      <w:tr w14:paraId="1248B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500" w:type="pct"/>
            <w:tcBorders>
              <w:top w:val="single" w:color="auto" w:sz="4" w:space="0"/>
              <w:left w:val="single" w:color="auto" w:sz="4" w:space="0"/>
              <w:bottom w:val="single" w:color="auto" w:sz="4" w:space="0"/>
              <w:right w:val="single" w:color="auto" w:sz="4" w:space="0"/>
            </w:tcBorders>
            <w:noWrap w:val="0"/>
            <w:vAlign w:val="center"/>
          </w:tcPr>
          <w:p w14:paraId="362E0749">
            <w:pPr>
              <w:snapToGrid w:val="0"/>
              <w:spacing w:line="360" w:lineRule="atLeast"/>
              <w:rPr>
                <w:rFonts w:ascii="宋体" w:hAnsi="宋体"/>
                <w:highlight w:val="none"/>
              </w:rPr>
            </w:pPr>
            <w:r>
              <w:rPr>
                <w:rFonts w:hint="eastAsia" w:ascii="宋体" w:hAnsi="宋体"/>
                <w:highlight w:val="none"/>
              </w:rPr>
              <w:t>开户银行：</w:t>
            </w:r>
          </w:p>
        </w:tc>
        <w:tc>
          <w:tcPr>
            <w:tcW w:w="2500" w:type="pct"/>
            <w:tcBorders>
              <w:top w:val="single" w:color="auto" w:sz="4" w:space="0"/>
              <w:left w:val="single" w:color="auto" w:sz="4" w:space="0"/>
              <w:bottom w:val="single" w:color="auto" w:sz="4" w:space="0"/>
              <w:right w:val="single" w:color="auto" w:sz="4" w:space="0"/>
            </w:tcBorders>
            <w:noWrap w:val="0"/>
            <w:vAlign w:val="center"/>
          </w:tcPr>
          <w:p w14:paraId="301E5B9F">
            <w:pPr>
              <w:snapToGrid w:val="0"/>
              <w:spacing w:line="360" w:lineRule="atLeast"/>
              <w:rPr>
                <w:rFonts w:ascii="宋体" w:hAnsi="宋体"/>
                <w:highlight w:val="none"/>
              </w:rPr>
            </w:pPr>
            <w:r>
              <w:rPr>
                <w:rFonts w:hint="eastAsia" w:ascii="宋体" w:hAnsi="宋体"/>
                <w:highlight w:val="none"/>
              </w:rPr>
              <w:t>开户银行：</w:t>
            </w:r>
          </w:p>
        </w:tc>
      </w:tr>
      <w:tr w14:paraId="3399B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500" w:type="pct"/>
            <w:tcBorders>
              <w:top w:val="single" w:color="auto" w:sz="4" w:space="0"/>
              <w:left w:val="single" w:color="auto" w:sz="4" w:space="0"/>
              <w:bottom w:val="single" w:color="auto" w:sz="4" w:space="0"/>
              <w:right w:val="single" w:color="auto" w:sz="4" w:space="0"/>
            </w:tcBorders>
            <w:noWrap w:val="0"/>
            <w:vAlign w:val="center"/>
          </w:tcPr>
          <w:p w14:paraId="2CDE3C34">
            <w:pPr>
              <w:snapToGrid w:val="0"/>
              <w:spacing w:line="360" w:lineRule="atLeast"/>
              <w:rPr>
                <w:rFonts w:ascii="宋体" w:hAnsi="宋体"/>
                <w:highlight w:val="none"/>
              </w:rPr>
            </w:pPr>
            <w:r>
              <w:rPr>
                <w:rFonts w:hint="eastAsia" w:ascii="宋体" w:hAnsi="宋体"/>
                <w:highlight w:val="none"/>
              </w:rPr>
              <w:t>账号：</w:t>
            </w:r>
          </w:p>
        </w:tc>
        <w:tc>
          <w:tcPr>
            <w:tcW w:w="2500" w:type="pct"/>
            <w:tcBorders>
              <w:top w:val="single" w:color="auto" w:sz="4" w:space="0"/>
              <w:left w:val="single" w:color="auto" w:sz="4" w:space="0"/>
              <w:bottom w:val="single" w:color="auto" w:sz="4" w:space="0"/>
              <w:right w:val="single" w:color="auto" w:sz="4" w:space="0"/>
            </w:tcBorders>
            <w:noWrap w:val="0"/>
            <w:vAlign w:val="center"/>
          </w:tcPr>
          <w:p w14:paraId="3E9F455F">
            <w:pPr>
              <w:snapToGrid w:val="0"/>
              <w:spacing w:line="360" w:lineRule="atLeast"/>
              <w:rPr>
                <w:rFonts w:ascii="宋体" w:hAnsi="宋体"/>
                <w:highlight w:val="none"/>
              </w:rPr>
            </w:pPr>
            <w:r>
              <w:rPr>
                <w:rFonts w:hint="eastAsia" w:ascii="宋体" w:hAnsi="宋体"/>
                <w:highlight w:val="none"/>
              </w:rPr>
              <w:t>账号：</w:t>
            </w:r>
          </w:p>
        </w:tc>
      </w:tr>
      <w:tr w14:paraId="3837D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500" w:type="pct"/>
            <w:tcBorders>
              <w:top w:val="single" w:color="auto" w:sz="4" w:space="0"/>
              <w:left w:val="single" w:color="auto" w:sz="4" w:space="0"/>
              <w:bottom w:val="single" w:color="auto" w:sz="4" w:space="0"/>
              <w:right w:val="single" w:color="auto" w:sz="4" w:space="0"/>
            </w:tcBorders>
            <w:noWrap w:val="0"/>
            <w:vAlign w:val="center"/>
          </w:tcPr>
          <w:p w14:paraId="56BC3795">
            <w:pPr>
              <w:snapToGrid w:val="0"/>
              <w:spacing w:line="360" w:lineRule="atLeast"/>
              <w:rPr>
                <w:rFonts w:ascii="宋体" w:hAnsi="宋体"/>
                <w:highlight w:val="none"/>
              </w:rPr>
            </w:pPr>
            <w:r>
              <w:rPr>
                <w:rFonts w:hint="eastAsia" w:ascii="宋体" w:hAnsi="宋体"/>
                <w:highlight w:val="none"/>
              </w:rPr>
              <w:t>纳税人识别号或统一社会信用代码：</w:t>
            </w:r>
          </w:p>
        </w:tc>
        <w:tc>
          <w:tcPr>
            <w:tcW w:w="2500" w:type="pct"/>
            <w:tcBorders>
              <w:top w:val="single" w:color="auto" w:sz="4" w:space="0"/>
              <w:left w:val="single" w:color="auto" w:sz="4" w:space="0"/>
              <w:bottom w:val="single" w:color="auto" w:sz="4" w:space="0"/>
              <w:right w:val="single" w:color="auto" w:sz="4" w:space="0"/>
            </w:tcBorders>
            <w:noWrap w:val="0"/>
            <w:vAlign w:val="center"/>
          </w:tcPr>
          <w:p w14:paraId="1EEA913C">
            <w:pPr>
              <w:snapToGrid w:val="0"/>
              <w:spacing w:line="360" w:lineRule="atLeast"/>
              <w:rPr>
                <w:rFonts w:ascii="宋体" w:hAnsi="宋体"/>
                <w:highlight w:val="none"/>
              </w:rPr>
            </w:pPr>
            <w:r>
              <w:rPr>
                <w:rFonts w:hint="eastAsia" w:ascii="宋体" w:hAnsi="宋体"/>
                <w:highlight w:val="none"/>
              </w:rPr>
              <w:t>纳税人识别号或统一社会信用代码：</w:t>
            </w:r>
          </w:p>
        </w:tc>
      </w:tr>
      <w:tr w14:paraId="53E30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500" w:type="pct"/>
            <w:tcBorders>
              <w:top w:val="single" w:color="auto" w:sz="4" w:space="0"/>
              <w:left w:val="single" w:color="auto" w:sz="4" w:space="0"/>
              <w:bottom w:val="single" w:color="auto" w:sz="4" w:space="0"/>
              <w:right w:val="single" w:color="auto" w:sz="4" w:space="0"/>
            </w:tcBorders>
            <w:noWrap w:val="0"/>
            <w:vAlign w:val="center"/>
          </w:tcPr>
          <w:p w14:paraId="203031E8">
            <w:pPr>
              <w:snapToGrid w:val="0"/>
              <w:spacing w:line="360" w:lineRule="atLeast"/>
              <w:rPr>
                <w:rFonts w:ascii="宋体" w:hAnsi="宋体"/>
                <w:highlight w:val="none"/>
              </w:rPr>
            </w:pPr>
            <w:r>
              <w:rPr>
                <w:rFonts w:hint="eastAsia" w:ascii="宋体" w:hAnsi="宋体"/>
                <w:highlight w:val="none"/>
              </w:rPr>
              <w:t>邮政编码：</w:t>
            </w:r>
          </w:p>
        </w:tc>
        <w:tc>
          <w:tcPr>
            <w:tcW w:w="2500" w:type="pct"/>
            <w:tcBorders>
              <w:top w:val="single" w:color="auto" w:sz="4" w:space="0"/>
              <w:left w:val="single" w:color="auto" w:sz="4" w:space="0"/>
              <w:bottom w:val="single" w:color="auto" w:sz="4" w:space="0"/>
              <w:right w:val="single" w:color="auto" w:sz="4" w:space="0"/>
            </w:tcBorders>
            <w:noWrap w:val="0"/>
            <w:vAlign w:val="center"/>
          </w:tcPr>
          <w:p w14:paraId="44D093FD">
            <w:pPr>
              <w:snapToGrid w:val="0"/>
              <w:spacing w:line="360" w:lineRule="atLeast"/>
              <w:rPr>
                <w:rFonts w:ascii="宋体" w:hAnsi="宋体"/>
                <w:highlight w:val="none"/>
              </w:rPr>
            </w:pPr>
            <w:r>
              <w:rPr>
                <w:rFonts w:hint="eastAsia" w:ascii="宋体" w:hAnsi="宋体"/>
                <w:highlight w:val="none"/>
              </w:rPr>
              <w:t>邮政编码：</w:t>
            </w:r>
          </w:p>
        </w:tc>
      </w:tr>
    </w:tbl>
    <w:p w14:paraId="70534F67">
      <w:pPr>
        <w:spacing w:before="4"/>
        <w:rPr>
          <w:rFonts w:hint="eastAsia" w:ascii="宋体" w:hAnsi="宋体" w:cs="宋体"/>
          <w:sz w:val="6"/>
          <w:szCs w:val="6"/>
          <w:highlight w:val="none"/>
        </w:rPr>
      </w:pPr>
    </w:p>
    <w:p w14:paraId="7BA41922">
      <w:pPr>
        <w:rPr>
          <w:highlight w:val="none"/>
        </w:rPr>
      </w:pPr>
    </w:p>
    <w:sectPr>
      <w:headerReference r:id="rId8" w:type="first"/>
      <w:footerReference r:id="rId10" w:type="first"/>
      <w:headerReference r:id="rId7" w:type="default"/>
      <w:footerReference r:id="rId9" w:type="default"/>
      <w:pgSz w:w="11906" w:h="16838"/>
      <w:pgMar w:top="1417" w:right="1417" w:bottom="1417" w:left="1417" w:header="851" w:footer="567"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F"/>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003F01FF" w:csb1="00000000"/>
  </w:font>
  <w:font w:name="Tahoma">
    <w:panose1 w:val="020B0604030504040204"/>
    <w:charset w:val="00"/>
    <w:family w:val="swiss"/>
    <w:pitch w:val="default"/>
    <w:sig w:usb0="E1002EFF" w:usb1="C000605B" w:usb2="00000029" w:usb3="00000000" w:csb0="200101FF" w:csb1="20280000"/>
  </w:font>
  <w:font w:name="新宋体">
    <w:panose1 w:val="02010609030101010101"/>
    <w:charset w:val="86"/>
    <w:family w:val="auto"/>
    <w:pitch w:val="default"/>
    <w:sig w:usb0="0000020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Wingdings 2">
    <w:altName w:val="Wingdings"/>
    <w:panose1 w:val="05020102010507070707"/>
    <w:charset w:val="02"/>
    <w:family w:val="auto"/>
    <w:pitch w:val="default"/>
    <w:sig w:usb0="00000000" w:usb1="00000000" w:usb2="00000000" w:usb3="00000000" w:csb0="80000000" w:csb1="00000000"/>
  </w:font>
  <w:font w:name="楷体">
    <w:panose1 w:val="02010609060101010101"/>
    <w:charset w:val="86"/>
    <w:family w:val="modern"/>
    <w:pitch w:val="default"/>
    <w:sig w:usb0="800002BF" w:usb1="38CF7CFA" w:usb2="00000016" w:usb3="00000000" w:csb0="00040001" w:csb1="00000000"/>
  </w:font>
  <w:font w:name="Kingsoft UE">
    <w:altName w:val="Vermin Vibes 2 Soft"/>
    <w:panose1 w:val="00000000000000000000"/>
    <w:charset w:val="00"/>
    <w:family w:val="auto"/>
    <w:pitch w:val="default"/>
    <w:sig w:usb0="00000000" w:usb1="00000000" w:usb2="00000000" w:usb3="00000000" w:csb0="00000000" w:csb1="00000000"/>
  </w:font>
  <w:font w:name="Vermin Vibes 2 Soft">
    <w:panose1 w:val="02000500000000000000"/>
    <w:charset w:val="00"/>
    <w:family w:val="auto"/>
    <w:pitch w:val="default"/>
    <w:sig w:usb0="00000083" w:usb1="5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BDEDE1">
    <w:pPr>
      <w:pStyle w:val="21"/>
      <w:tabs>
        <w:tab w:val="center" w:pos="4439"/>
        <w:tab w:val="clear" w:pos="4153"/>
      </w:tabs>
      <w:jc w:val="both"/>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785" cy="131445"/>
              <wp:effectExtent l="0" t="1270" r="635" b="635"/>
              <wp:wrapNone/>
              <wp:docPr id="6" name="文本框 6"/>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wps:spPr>
                    <wps:txbx>
                      <w:txbxContent>
                        <w:p w14:paraId="1D8B57B2">
                          <w:pPr>
                            <w:pStyle w:val="21"/>
                          </w:pPr>
                          <w:r>
                            <w:fldChar w:fldCharType="begin"/>
                          </w:r>
                          <w:r>
                            <w:instrText xml:space="preserve"> PAGE  \* MERGEFORMAT </w:instrText>
                          </w:r>
                          <w:r>
                            <w:fldChar w:fldCharType="separate"/>
                          </w:r>
                          <w:r>
                            <w:t>1</w:t>
                          </w:r>
                          <w: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0.35pt;width:4.55pt;mso-position-horizontal:center;mso-position-horizontal-relative:margin;mso-wrap-style:none;z-index:251659264;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Pi91E0AAAAAIBAAAPAAAAAAAAAAEAIAAAACIAAABkcnMv&#10;ZG93bnJldi54bWxQSwECFAAUAAAACACHTuJA3YFN4QsCAAABBAAADgAAAAAAAAABACAAAAAfAQAA&#10;ZHJzL2Uyb0RvYy54bWxQSwUGAAAAAAYABgBZAQAAnAUAAAAA&#10;">
              <v:fill on="f" focussize="0,0"/>
              <v:stroke on="f"/>
              <v:imagedata o:title=""/>
              <o:lock v:ext="edit" aspectratio="f"/>
              <v:textbox inset="0mm,0mm,0mm,0mm" style="mso-fit-shape-to-text:t;">
                <w:txbxContent>
                  <w:p w14:paraId="1D8B57B2">
                    <w:pPr>
                      <w:pStyle w:val="21"/>
                    </w:pPr>
                    <w:r>
                      <w:fldChar w:fldCharType="begin"/>
                    </w:r>
                    <w:r>
                      <w:instrText xml:space="preserve"> PAGE  \* MERGEFORMAT </w:instrText>
                    </w:r>
                    <w:r>
                      <w:fldChar w:fldCharType="separate"/>
                    </w:r>
                    <w:r>
                      <w:t>1</w:t>
                    </w:r>
                    <w:r>
                      <w:fldChar w:fldCharType="end"/>
                    </w:r>
                  </w:p>
                </w:txbxContent>
              </v:textbox>
            </v:shape>
          </w:pict>
        </mc:Fallback>
      </mc:AlternateContent>
    </w:r>
  </w:p>
  <w:p w14:paraId="0C5BA4EC">
    <w:pPr>
      <w:pStyle w:val="2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367110">
    <w:pPr>
      <w:pStyle w:val="21"/>
      <w:tabs>
        <w:tab w:val="center" w:pos="4439"/>
        <w:tab w:val="clear" w:pos="4153"/>
      </w:tabs>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4935" cy="153035"/>
              <wp:effectExtent l="0" t="0" r="635" b="0"/>
              <wp:wrapNone/>
              <wp:docPr id="5" name="文本框 5"/>
              <wp:cNvGraphicFramePr/>
              <a:graphic xmlns:a="http://schemas.openxmlformats.org/drawingml/2006/main">
                <a:graphicData uri="http://schemas.microsoft.com/office/word/2010/wordprocessingShape">
                  <wps:wsp>
                    <wps:cNvSpPr txBox="1">
                      <a:spLocks noChangeArrowheads="1"/>
                    </wps:cNvSpPr>
                    <wps:spPr bwMode="auto">
                      <a:xfrm>
                        <a:off x="0" y="0"/>
                        <a:ext cx="114935" cy="153035"/>
                      </a:xfrm>
                      <a:prstGeom prst="rect">
                        <a:avLst/>
                      </a:prstGeom>
                      <a:noFill/>
                      <a:ln>
                        <a:noFill/>
                      </a:ln>
                    </wps:spPr>
                    <wps:txbx>
                      <w:txbxContent>
                        <w:p w14:paraId="4C08BCD3"/>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2.05pt;width:9.05pt;mso-position-horizontal:center;mso-position-horizontal-relative:margin;mso-wrap-style:none;z-index:251661312;mso-width-relative:page;mso-height-relative:page;" filled="f" stroked="f" coordsize="21600,21600" o:gfxdata="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JBU+a0AAAAAMBAAAPAAAAAAAAAAEAIAAAACIAAABkcnMvZG93&#10;bnJldi54bWxQSwECFAAUAAAACACHTuJAFydTEAgCAAACBAAADgAAAAAAAAABACAAAAAfAQAAZHJz&#10;L2Uyb0RvYy54bWxQSwUGAAAAAAYABgBZAQAAmQUAAAAA&#10;">
              <v:fill on="f" focussize="0,0"/>
              <v:stroke on="f"/>
              <v:imagedata o:title=""/>
              <o:lock v:ext="edit" aspectratio="f"/>
              <v:textbox inset="0mm,0mm,0mm,0mm" style="mso-fit-shape-to-text:t;">
                <w:txbxContent>
                  <w:p w14:paraId="4C08BCD3"/>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96C22A">
    <w:pPr>
      <w:pStyle w:val="21"/>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57785" cy="131445"/>
              <wp:effectExtent l="0" t="1270" r="635" b="635"/>
              <wp:wrapNone/>
              <wp:docPr id="4" name="文本框 4"/>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a:effectLst/>
                    </wps:spPr>
                    <wps:txbx>
                      <w:txbxContent>
                        <w:p w14:paraId="30244F75">
                          <w:pPr>
                            <w:pStyle w:val="21"/>
                            <w:jc w:val="center"/>
                          </w:pPr>
                          <w:r>
                            <w:fldChar w:fldCharType="begin"/>
                          </w:r>
                          <w:r>
                            <w:instrText xml:space="preserve"> PAGE  \* MERGEFORMAT </w:instrText>
                          </w:r>
                          <w:r>
                            <w:fldChar w:fldCharType="separate"/>
                          </w:r>
                          <w:r>
                            <w:t>72</w:t>
                          </w:r>
                          <w: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0.35pt;width:4.55pt;mso-position-horizontal:center;mso-position-horizontal-relative:margin;mso-wrap-style:none;z-index:251660288;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4vdRNAAAAACAQAADwAAAAAAAAABACAAAAAiAAAA&#10;ZHJzL2Rvd25yZXYueG1sUEsBAhQAFAAAAAgAh07iQORYcvMPAgAADwQAAA4AAAAAAAAAAQAgAAAA&#10;HwEAAGRycy9lMm9Eb2MueG1sUEsFBgAAAAAGAAYAWQEAAKAFAAAAAA==&#10;">
              <v:fill on="f" focussize="0,0"/>
              <v:stroke on="f"/>
              <v:imagedata o:title=""/>
              <o:lock v:ext="edit" aspectratio="f"/>
              <v:textbox inset="0mm,0mm,0mm,0mm" style="mso-fit-shape-to-text:t;">
                <w:txbxContent>
                  <w:p w14:paraId="30244F75">
                    <w:pPr>
                      <w:pStyle w:val="21"/>
                      <w:jc w:val="center"/>
                    </w:pPr>
                    <w:r>
                      <w:fldChar w:fldCharType="begin"/>
                    </w:r>
                    <w:r>
                      <w:instrText xml:space="preserve"> PAGE  \* MERGEFORMAT </w:instrText>
                    </w:r>
                    <w:r>
                      <w:fldChar w:fldCharType="separate"/>
                    </w:r>
                    <w:r>
                      <w:t>72</w:t>
                    </w:r>
                    <w:r>
                      <w:fldChar w:fldCharType="end"/>
                    </w:r>
                  </w:p>
                </w:txbxContent>
              </v:textbox>
            </v:shape>
          </w:pict>
        </mc:Fallback>
      </mc:AlternateContent>
    </w:r>
  </w:p>
  <w:p w14:paraId="2DA3A0E6">
    <w:pPr>
      <w:pStyle w:val="2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A351E9">
    <w:pPr>
      <w:pStyle w:val="21"/>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57785" cy="131445"/>
              <wp:effectExtent l="0" t="0" r="635" b="2540"/>
              <wp:wrapNone/>
              <wp:docPr id="3" name="文本框 3"/>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a:effectLst/>
                    </wps:spPr>
                    <wps:txbx>
                      <w:txbxContent>
                        <w:p w14:paraId="0000EB20">
                          <w:pPr>
                            <w:pStyle w:val="21"/>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0.35pt;width:4.55pt;mso-position-horizontal:center;mso-position-horizontal-relative:margin;mso-wrap-style:none;z-index:251662336;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4vdRNAAAAACAQAADwAAAAAAAAABACAAAAAiAAAA&#10;ZHJzL2Rvd25yZXYueG1sUEsBAhQAFAAAAAgAh07iQKu01psPAgAADwQAAA4AAAAAAAAAAQAgAAAA&#10;HwEAAGRycy9lMm9Eb2MueG1sUEsFBgAAAAAGAAYAWQEAAKAFAAAAAA==&#10;">
              <v:fill on="f" focussize="0,0"/>
              <v:stroke on="f"/>
              <v:imagedata o:title=""/>
              <o:lock v:ext="edit" aspectratio="f"/>
              <v:textbox inset="0mm,0mm,0mm,0mm" style="mso-fit-shape-to-text:t;">
                <w:txbxContent>
                  <w:p w14:paraId="0000EB20">
                    <w:pPr>
                      <w:pStyle w:val="21"/>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0EE14C">
    <w:pPr>
      <w:pStyle w:val="2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631465">
    <w:pPr>
      <w:pStyle w:val="2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4436BB">
    <w:pPr>
      <w:pStyle w:val="23"/>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02D9E0">
    <w:pPr>
      <w:pStyle w:val="23"/>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6A9CDCE"/>
    <w:multiLevelType w:val="singleLevel"/>
    <w:tmpl w:val="E6A9CDCE"/>
    <w:lvl w:ilvl="0" w:tentative="0">
      <w:start w:val="4"/>
      <w:numFmt w:val="decimal"/>
      <w:lvlText w:val="%1."/>
      <w:lvlJc w:val="left"/>
      <w:pPr>
        <w:tabs>
          <w:tab w:val="left" w:pos="312"/>
        </w:tabs>
      </w:pPr>
    </w:lvl>
  </w:abstractNum>
  <w:abstractNum w:abstractNumId="1">
    <w:nsid w:val="08076E48"/>
    <w:multiLevelType w:val="singleLevel"/>
    <w:tmpl w:val="08076E48"/>
    <w:lvl w:ilvl="0" w:tentative="0">
      <w:start w:val="1"/>
      <w:numFmt w:val="chineseCounting"/>
      <w:suff w:val="nothing"/>
      <w:lvlText w:val="%1、"/>
      <w:lvlJc w:val="left"/>
      <w:rPr>
        <w:rFonts w:hint="eastAsia"/>
      </w:rPr>
    </w:lvl>
  </w:abstractNum>
  <w:abstractNum w:abstractNumId="2">
    <w:nsid w:val="0DF71167"/>
    <w:multiLevelType w:val="singleLevel"/>
    <w:tmpl w:val="0DF71167"/>
    <w:lvl w:ilvl="0" w:tentative="0">
      <w:start w:val="3"/>
      <w:numFmt w:val="decimal"/>
      <w:lvlText w:val="%1."/>
      <w:lvlJc w:val="left"/>
      <w:pPr>
        <w:tabs>
          <w:tab w:val="left" w:pos="312"/>
        </w:tabs>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09A4"/>
    <w:rsid w:val="000042F5"/>
    <w:rsid w:val="0003117E"/>
    <w:rsid w:val="0003179F"/>
    <w:rsid w:val="000420F1"/>
    <w:rsid w:val="000442B2"/>
    <w:rsid w:val="00045203"/>
    <w:rsid w:val="000457AC"/>
    <w:rsid w:val="000578CA"/>
    <w:rsid w:val="00060B6C"/>
    <w:rsid w:val="00081C9B"/>
    <w:rsid w:val="00094D9C"/>
    <w:rsid w:val="00094DA1"/>
    <w:rsid w:val="000C509F"/>
    <w:rsid w:val="000C5B27"/>
    <w:rsid w:val="000D047C"/>
    <w:rsid w:val="000D0979"/>
    <w:rsid w:val="0010086F"/>
    <w:rsid w:val="001129BA"/>
    <w:rsid w:val="001205C9"/>
    <w:rsid w:val="0012137C"/>
    <w:rsid w:val="00142117"/>
    <w:rsid w:val="001469F3"/>
    <w:rsid w:val="00152D06"/>
    <w:rsid w:val="00153135"/>
    <w:rsid w:val="001539B0"/>
    <w:rsid w:val="00157C13"/>
    <w:rsid w:val="0016042A"/>
    <w:rsid w:val="00173BFA"/>
    <w:rsid w:val="00173D29"/>
    <w:rsid w:val="0017572B"/>
    <w:rsid w:val="001934CD"/>
    <w:rsid w:val="00195EA5"/>
    <w:rsid w:val="001A2F05"/>
    <w:rsid w:val="001B3836"/>
    <w:rsid w:val="001D4FF9"/>
    <w:rsid w:val="001F2E23"/>
    <w:rsid w:val="00200BA7"/>
    <w:rsid w:val="002061DC"/>
    <w:rsid w:val="0020630A"/>
    <w:rsid w:val="00231BE2"/>
    <w:rsid w:val="002440A9"/>
    <w:rsid w:val="00263E0B"/>
    <w:rsid w:val="00267E08"/>
    <w:rsid w:val="0027471E"/>
    <w:rsid w:val="00293C5F"/>
    <w:rsid w:val="002968F2"/>
    <w:rsid w:val="00297AB2"/>
    <w:rsid w:val="002A4834"/>
    <w:rsid w:val="002C267F"/>
    <w:rsid w:val="002C27BE"/>
    <w:rsid w:val="002E107C"/>
    <w:rsid w:val="002E70B1"/>
    <w:rsid w:val="002F045B"/>
    <w:rsid w:val="002F2376"/>
    <w:rsid w:val="002F38FC"/>
    <w:rsid w:val="002F44F7"/>
    <w:rsid w:val="003254D5"/>
    <w:rsid w:val="0033163E"/>
    <w:rsid w:val="00334216"/>
    <w:rsid w:val="00334AF5"/>
    <w:rsid w:val="00345BE0"/>
    <w:rsid w:val="00351793"/>
    <w:rsid w:val="00372A1B"/>
    <w:rsid w:val="00380705"/>
    <w:rsid w:val="00384653"/>
    <w:rsid w:val="00385ADE"/>
    <w:rsid w:val="00391FCC"/>
    <w:rsid w:val="00393306"/>
    <w:rsid w:val="00394C62"/>
    <w:rsid w:val="003A0ED5"/>
    <w:rsid w:val="003A2F9D"/>
    <w:rsid w:val="003A62B3"/>
    <w:rsid w:val="003B459D"/>
    <w:rsid w:val="003B6402"/>
    <w:rsid w:val="003B6F63"/>
    <w:rsid w:val="003B7C96"/>
    <w:rsid w:val="003C7126"/>
    <w:rsid w:val="003D4494"/>
    <w:rsid w:val="003D7AA9"/>
    <w:rsid w:val="003F18CC"/>
    <w:rsid w:val="004023E7"/>
    <w:rsid w:val="00403082"/>
    <w:rsid w:val="00404036"/>
    <w:rsid w:val="004045A3"/>
    <w:rsid w:val="004178E4"/>
    <w:rsid w:val="00422A3F"/>
    <w:rsid w:val="00441E5D"/>
    <w:rsid w:val="00443F38"/>
    <w:rsid w:val="004501C2"/>
    <w:rsid w:val="00460538"/>
    <w:rsid w:val="00460B41"/>
    <w:rsid w:val="004621D7"/>
    <w:rsid w:val="00474FE8"/>
    <w:rsid w:val="00477D0E"/>
    <w:rsid w:val="00480B8C"/>
    <w:rsid w:val="00493A57"/>
    <w:rsid w:val="004944ED"/>
    <w:rsid w:val="004A3C75"/>
    <w:rsid w:val="004A40F1"/>
    <w:rsid w:val="004A47A4"/>
    <w:rsid w:val="004A4DD3"/>
    <w:rsid w:val="004B1B49"/>
    <w:rsid w:val="004B580B"/>
    <w:rsid w:val="004C2FCF"/>
    <w:rsid w:val="004C53C1"/>
    <w:rsid w:val="004D0060"/>
    <w:rsid w:val="004D29DE"/>
    <w:rsid w:val="004D7EE2"/>
    <w:rsid w:val="004E29A5"/>
    <w:rsid w:val="004F1291"/>
    <w:rsid w:val="004F3669"/>
    <w:rsid w:val="004F40EC"/>
    <w:rsid w:val="004F551F"/>
    <w:rsid w:val="004F7C58"/>
    <w:rsid w:val="0051048D"/>
    <w:rsid w:val="005109A1"/>
    <w:rsid w:val="00510FE4"/>
    <w:rsid w:val="00515EBE"/>
    <w:rsid w:val="005316F1"/>
    <w:rsid w:val="005631DB"/>
    <w:rsid w:val="005667A8"/>
    <w:rsid w:val="005848D8"/>
    <w:rsid w:val="00595C3E"/>
    <w:rsid w:val="005A703B"/>
    <w:rsid w:val="005C4037"/>
    <w:rsid w:val="005C50D8"/>
    <w:rsid w:val="005D793E"/>
    <w:rsid w:val="005E0B09"/>
    <w:rsid w:val="005E358E"/>
    <w:rsid w:val="005F186A"/>
    <w:rsid w:val="00602F64"/>
    <w:rsid w:val="00607ACF"/>
    <w:rsid w:val="006103CF"/>
    <w:rsid w:val="00621B16"/>
    <w:rsid w:val="00631F41"/>
    <w:rsid w:val="00634D55"/>
    <w:rsid w:val="00651A8D"/>
    <w:rsid w:val="00662702"/>
    <w:rsid w:val="00686B94"/>
    <w:rsid w:val="00690F7A"/>
    <w:rsid w:val="006B1B34"/>
    <w:rsid w:val="006C49C6"/>
    <w:rsid w:val="006C5D12"/>
    <w:rsid w:val="006C7F9A"/>
    <w:rsid w:val="006D0252"/>
    <w:rsid w:val="006D684C"/>
    <w:rsid w:val="006F0B25"/>
    <w:rsid w:val="007117C0"/>
    <w:rsid w:val="0071764B"/>
    <w:rsid w:val="007337EE"/>
    <w:rsid w:val="00740D49"/>
    <w:rsid w:val="00747F79"/>
    <w:rsid w:val="00753BC2"/>
    <w:rsid w:val="00754D96"/>
    <w:rsid w:val="007801C8"/>
    <w:rsid w:val="007878EF"/>
    <w:rsid w:val="00794272"/>
    <w:rsid w:val="007A0403"/>
    <w:rsid w:val="007B496E"/>
    <w:rsid w:val="007B49F9"/>
    <w:rsid w:val="007B7BDB"/>
    <w:rsid w:val="007B7D09"/>
    <w:rsid w:val="007C079F"/>
    <w:rsid w:val="007C1337"/>
    <w:rsid w:val="007C65FB"/>
    <w:rsid w:val="007D0550"/>
    <w:rsid w:val="007D3C00"/>
    <w:rsid w:val="007D7DD1"/>
    <w:rsid w:val="007F6E4B"/>
    <w:rsid w:val="0080016A"/>
    <w:rsid w:val="008002FC"/>
    <w:rsid w:val="00805771"/>
    <w:rsid w:val="0082505C"/>
    <w:rsid w:val="0084180D"/>
    <w:rsid w:val="00844347"/>
    <w:rsid w:val="008501B1"/>
    <w:rsid w:val="00866E66"/>
    <w:rsid w:val="00866F98"/>
    <w:rsid w:val="0087375F"/>
    <w:rsid w:val="00884A9F"/>
    <w:rsid w:val="008A3DE0"/>
    <w:rsid w:val="008B2231"/>
    <w:rsid w:val="008D484B"/>
    <w:rsid w:val="008E55CC"/>
    <w:rsid w:val="008E67E5"/>
    <w:rsid w:val="008F4C27"/>
    <w:rsid w:val="008F7ED2"/>
    <w:rsid w:val="00904C99"/>
    <w:rsid w:val="009064F3"/>
    <w:rsid w:val="00921552"/>
    <w:rsid w:val="00927668"/>
    <w:rsid w:val="00931421"/>
    <w:rsid w:val="0094048F"/>
    <w:rsid w:val="00943B3A"/>
    <w:rsid w:val="00952222"/>
    <w:rsid w:val="00953F4B"/>
    <w:rsid w:val="00970EA2"/>
    <w:rsid w:val="00977A1B"/>
    <w:rsid w:val="009818D3"/>
    <w:rsid w:val="00982078"/>
    <w:rsid w:val="00985C0D"/>
    <w:rsid w:val="00991454"/>
    <w:rsid w:val="009A415F"/>
    <w:rsid w:val="009A5299"/>
    <w:rsid w:val="009A56AB"/>
    <w:rsid w:val="009B2CDD"/>
    <w:rsid w:val="009D38FD"/>
    <w:rsid w:val="009F1EC5"/>
    <w:rsid w:val="00A02FD8"/>
    <w:rsid w:val="00A156CE"/>
    <w:rsid w:val="00A35716"/>
    <w:rsid w:val="00A60E40"/>
    <w:rsid w:val="00A613B3"/>
    <w:rsid w:val="00A61526"/>
    <w:rsid w:val="00A64ADF"/>
    <w:rsid w:val="00A64C47"/>
    <w:rsid w:val="00A6638C"/>
    <w:rsid w:val="00A74E39"/>
    <w:rsid w:val="00A832C6"/>
    <w:rsid w:val="00A835EA"/>
    <w:rsid w:val="00A87624"/>
    <w:rsid w:val="00A96DE4"/>
    <w:rsid w:val="00AB0ADF"/>
    <w:rsid w:val="00AB6EDD"/>
    <w:rsid w:val="00AF0270"/>
    <w:rsid w:val="00AF4F86"/>
    <w:rsid w:val="00AF58FE"/>
    <w:rsid w:val="00B005E9"/>
    <w:rsid w:val="00B0462D"/>
    <w:rsid w:val="00B079C7"/>
    <w:rsid w:val="00B144BD"/>
    <w:rsid w:val="00B24C49"/>
    <w:rsid w:val="00B36033"/>
    <w:rsid w:val="00B409A4"/>
    <w:rsid w:val="00B64E15"/>
    <w:rsid w:val="00B83EF6"/>
    <w:rsid w:val="00B87354"/>
    <w:rsid w:val="00B92192"/>
    <w:rsid w:val="00BA4700"/>
    <w:rsid w:val="00BA4D5C"/>
    <w:rsid w:val="00BB2CB9"/>
    <w:rsid w:val="00BB4AF3"/>
    <w:rsid w:val="00BC01AC"/>
    <w:rsid w:val="00BE0B56"/>
    <w:rsid w:val="00BE3E5C"/>
    <w:rsid w:val="00BF2089"/>
    <w:rsid w:val="00C0189B"/>
    <w:rsid w:val="00C079C0"/>
    <w:rsid w:val="00C07EA8"/>
    <w:rsid w:val="00C07FBD"/>
    <w:rsid w:val="00C1382C"/>
    <w:rsid w:val="00C22AB7"/>
    <w:rsid w:val="00C31789"/>
    <w:rsid w:val="00C32BBF"/>
    <w:rsid w:val="00C420F1"/>
    <w:rsid w:val="00C476EB"/>
    <w:rsid w:val="00C53EE4"/>
    <w:rsid w:val="00C54288"/>
    <w:rsid w:val="00C71884"/>
    <w:rsid w:val="00C73234"/>
    <w:rsid w:val="00C75246"/>
    <w:rsid w:val="00C75F53"/>
    <w:rsid w:val="00C765AF"/>
    <w:rsid w:val="00C81DBB"/>
    <w:rsid w:val="00C93EB7"/>
    <w:rsid w:val="00C95168"/>
    <w:rsid w:val="00CB1FAB"/>
    <w:rsid w:val="00CB22E9"/>
    <w:rsid w:val="00CD4088"/>
    <w:rsid w:val="00CE2C5B"/>
    <w:rsid w:val="00D01D5F"/>
    <w:rsid w:val="00D03049"/>
    <w:rsid w:val="00D208C5"/>
    <w:rsid w:val="00D22E16"/>
    <w:rsid w:val="00D32121"/>
    <w:rsid w:val="00D33AC2"/>
    <w:rsid w:val="00D355A7"/>
    <w:rsid w:val="00D35C7C"/>
    <w:rsid w:val="00D4584F"/>
    <w:rsid w:val="00D5541A"/>
    <w:rsid w:val="00D62EDF"/>
    <w:rsid w:val="00D6600A"/>
    <w:rsid w:val="00D72960"/>
    <w:rsid w:val="00D739AB"/>
    <w:rsid w:val="00D81247"/>
    <w:rsid w:val="00D8326F"/>
    <w:rsid w:val="00D861D2"/>
    <w:rsid w:val="00D86669"/>
    <w:rsid w:val="00D97F07"/>
    <w:rsid w:val="00DA0395"/>
    <w:rsid w:val="00DA7057"/>
    <w:rsid w:val="00DB3B9B"/>
    <w:rsid w:val="00DB64EC"/>
    <w:rsid w:val="00DC0480"/>
    <w:rsid w:val="00DC423D"/>
    <w:rsid w:val="00DD7BED"/>
    <w:rsid w:val="00DE3FFD"/>
    <w:rsid w:val="00DE68E0"/>
    <w:rsid w:val="00DF13CA"/>
    <w:rsid w:val="00DF7D9E"/>
    <w:rsid w:val="00E06115"/>
    <w:rsid w:val="00E169C5"/>
    <w:rsid w:val="00E34CE1"/>
    <w:rsid w:val="00E460F5"/>
    <w:rsid w:val="00E50738"/>
    <w:rsid w:val="00E835F7"/>
    <w:rsid w:val="00E913B1"/>
    <w:rsid w:val="00EA0422"/>
    <w:rsid w:val="00EA4104"/>
    <w:rsid w:val="00EA5DFD"/>
    <w:rsid w:val="00EB4AE1"/>
    <w:rsid w:val="00EC575C"/>
    <w:rsid w:val="00ED49C5"/>
    <w:rsid w:val="00ED6F5F"/>
    <w:rsid w:val="00EE765E"/>
    <w:rsid w:val="00F049E0"/>
    <w:rsid w:val="00F07501"/>
    <w:rsid w:val="00F22140"/>
    <w:rsid w:val="00F34120"/>
    <w:rsid w:val="00F365C1"/>
    <w:rsid w:val="00F42F1E"/>
    <w:rsid w:val="00F5113C"/>
    <w:rsid w:val="00F521F0"/>
    <w:rsid w:val="00F61B4E"/>
    <w:rsid w:val="00F7304C"/>
    <w:rsid w:val="00F805AC"/>
    <w:rsid w:val="00F84E58"/>
    <w:rsid w:val="00F86199"/>
    <w:rsid w:val="00FD3202"/>
    <w:rsid w:val="00FD6FD5"/>
    <w:rsid w:val="00FE00D4"/>
    <w:rsid w:val="00FF3755"/>
    <w:rsid w:val="02BD7E23"/>
    <w:rsid w:val="02E80F26"/>
    <w:rsid w:val="054D2E98"/>
    <w:rsid w:val="065136C1"/>
    <w:rsid w:val="068C6DFC"/>
    <w:rsid w:val="072E73FD"/>
    <w:rsid w:val="07372051"/>
    <w:rsid w:val="078057A6"/>
    <w:rsid w:val="07B865C2"/>
    <w:rsid w:val="08BB416D"/>
    <w:rsid w:val="092F559D"/>
    <w:rsid w:val="09B65939"/>
    <w:rsid w:val="09BF015F"/>
    <w:rsid w:val="09DE0562"/>
    <w:rsid w:val="0A6E519E"/>
    <w:rsid w:val="0C216CFE"/>
    <w:rsid w:val="0CDD1C5F"/>
    <w:rsid w:val="0D06126A"/>
    <w:rsid w:val="0F6167BF"/>
    <w:rsid w:val="0FA908A4"/>
    <w:rsid w:val="0FD3668F"/>
    <w:rsid w:val="1036730D"/>
    <w:rsid w:val="10F21AFB"/>
    <w:rsid w:val="123A47A4"/>
    <w:rsid w:val="12912285"/>
    <w:rsid w:val="15F63814"/>
    <w:rsid w:val="16223F94"/>
    <w:rsid w:val="165F6ECF"/>
    <w:rsid w:val="16892F04"/>
    <w:rsid w:val="16DF29E2"/>
    <w:rsid w:val="178564C1"/>
    <w:rsid w:val="17CE2D76"/>
    <w:rsid w:val="17E10BFF"/>
    <w:rsid w:val="187E3C3C"/>
    <w:rsid w:val="1BDD5290"/>
    <w:rsid w:val="1C3B2E2E"/>
    <w:rsid w:val="1C746345"/>
    <w:rsid w:val="1CC91B53"/>
    <w:rsid w:val="1CE974F2"/>
    <w:rsid w:val="1DD52BCA"/>
    <w:rsid w:val="1E4A3DB0"/>
    <w:rsid w:val="1EEB7551"/>
    <w:rsid w:val="202F6674"/>
    <w:rsid w:val="20BC6855"/>
    <w:rsid w:val="20E41C69"/>
    <w:rsid w:val="20FD17BE"/>
    <w:rsid w:val="21F11323"/>
    <w:rsid w:val="23AD28D7"/>
    <w:rsid w:val="23B32D57"/>
    <w:rsid w:val="251B7A3F"/>
    <w:rsid w:val="26595C09"/>
    <w:rsid w:val="268B161A"/>
    <w:rsid w:val="26F45771"/>
    <w:rsid w:val="282E4CFC"/>
    <w:rsid w:val="2A4A432B"/>
    <w:rsid w:val="2A4B243A"/>
    <w:rsid w:val="2AB32CB6"/>
    <w:rsid w:val="2C1221CF"/>
    <w:rsid w:val="2C751549"/>
    <w:rsid w:val="2CE55D26"/>
    <w:rsid w:val="2E051E23"/>
    <w:rsid w:val="2E325600"/>
    <w:rsid w:val="2ED047C3"/>
    <w:rsid w:val="30B278C9"/>
    <w:rsid w:val="30FF0C3A"/>
    <w:rsid w:val="311D670F"/>
    <w:rsid w:val="313E79B5"/>
    <w:rsid w:val="3279053D"/>
    <w:rsid w:val="346B1F03"/>
    <w:rsid w:val="34E24D9D"/>
    <w:rsid w:val="35C83CF1"/>
    <w:rsid w:val="35D67C05"/>
    <w:rsid w:val="397462A5"/>
    <w:rsid w:val="39F5707E"/>
    <w:rsid w:val="3A4041AB"/>
    <w:rsid w:val="3B432168"/>
    <w:rsid w:val="3C1D060A"/>
    <w:rsid w:val="3C8B267B"/>
    <w:rsid w:val="3CD74D6F"/>
    <w:rsid w:val="3D334C5D"/>
    <w:rsid w:val="3D56664B"/>
    <w:rsid w:val="3D6E3848"/>
    <w:rsid w:val="3DE84ADA"/>
    <w:rsid w:val="3E5F51E7"/>
    <w:rsid w:val="3E7B5471"/>
    <w:rsid w:val="3EA153C9"/>
    <w:rsid w:val="3F0A456A"/>
    <w:rsid w:val="404D13F9"/>
    <w:rsid w:val="405D1353"/>
    <w:rsid w:val="406B6E92"/>
    <w:rsid w:val="411632EB"/>
    <w:rsid w:val="415A663B"/>
    <w:rsid w:val="41A42FA1"/>
    <w:rsid w:val="41F74DF1"/>
    <w:rsid w:val="432B077A"/>
    <w:rsid w:val="43C74998"/>
    <w:rsid w:val="43F05A8F"/>
    <w:rsid w:val="43F16B09"/>
    <w:rsid w:val="450179B8"/>
    <w:rsid w:val="46A923A1"/>
    <w:rsid w:val="473F603D"/>
    <w:rsid w:val="475E2070"/>
    <w:rsid w:val="47657C31"/>
    <w:rsid w:val="495B030B"/>
    <w:rsid w:val="49AD5280"/>
    <w:rsid w:val="4B3B302B"/>
    <w:rsid w:val="4B92729D"/>
    <w:rsid w:val="4D7A248A"/>
    <w:rsid w:val="4E794041"/>
    <w:rsid w:val="4E8929D8"/>
    <w:rsid w:val="4EA2287D"/>
    <w:rsid w:val="4F041DE6"/>
    <w:rsid w:val="4FC724AA"/>
    <w:rsid w:val="50830D73"/>
    <w:rsid w:val="51407680"/>
    <w:rsid w:val="51547122"/>
    <w:rsid w:val="518F7654"/>
    <w:rsid w:val="52BB2AF6"/>
    <w:rsid w:val="52DB478B"/>
    <w:rsid w:val="53511B43"/>
    <w:rsid w:val="54093714"/>
    <w:rsid w:val="551918BC"/>
    <w:rsid w:val="55F56D6F"/>
    <w:rsid w:val="567A6666"/>
    <w:rsid w:val="56B5362C"/>
    <w:rsid w:val="575430CA"/>
    <w:rsid w:val="58C7581E"/>
    <w:rsid w:val="59EA1BD8"/>
    <w:rsid w:val="59F1178A"/>
    <w:rsid w:val="59F11D09"/>
    <w:rsid w:val="5A592B7E"/>
    <w:rsid w:val="5AA32CB6"/>
    <w:rsid w:val="5DBC1ADE"/>
    <w:rsid w:val="5DC10EA2"/>
    <w:rsid w:val="5E804A3D"/>
    <w:rsid w:val="5F6262F3"/>
    <w:rsid w:val="60CE5DB0"/>
    <w:rsid w:val="61A3292D"/>
    <w:rsid w:val="61AE1365"/>
    <w:rsid w:val="63F04CF2"/>
    <w:rsid w:val="66C739CD"/>
    <w:rsid w:val="682D2297"/>
    <w:rsid w:val="689D73CB"/>
    <w:rsid w:val="6A3B02D8"/>
    <w:rsid w:val="6A3E4A97"/>
    <w:rsid w:val="6B294313"/>
    <w:rsid w:val="6CAD317B"/>
    <w:rsid w:val="6D332F2B"/>
    <w:rsid w:val="6DE20EEE"/>
    <w:rsid w:val="6E000EC7"/>
    <w:rsid w:val="6E216EF8"/>
    <w:rsid w:val="6EF2710D"/>
    <w:rsid w:val="6F9D176F"/>
    <w:rsid w:val="6FD918FA"/>
    <w:rsid w:val="709C7F52"/>
    <w:rsid w:val="70B5601D"/>
    <w:rsid w:val="715D6DB1"/>
    <w:rsid w:val="71F710BC"/>
    <w:rsid w:val="72684737"/>
    <w:rsid w:val="72AE04A2"/>
    <w:rsid w:val="74116287"/>
    <w:rsid w:val="74970CBA"/>
    <w:rsid w:val="74E43B9B"/>
    <w:rsid w:val="75BC0881"/>
    <w:rsid w:val="768A6FF9"/>
    <w:rsid w:val="77BB42DE"/>
    <w:rsid w:val="78850FF2"/>
    <w:rsid w:val="78D41F79"/>
    <w:rsid w:val="79780A9A"/>
    <w:rsid w:val="79F43888"/>
    <w:rsid w:val="7C505D05"/>
    <w:rsid w:val="7C832952"/>
    <w:rsid w:val="7D362B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nhideWhenUsed="0" w:uiPriority="0" w:semiHidden="0" w:name="heading 4"/>
    <w:lsdException w:qFormat="1" w:unhideWhenUsed="0" w:uiPriority="9" w:semiHidden="0" w:name="heading 5"/>
    <w:lsdException w:qFormat="1" w:uiPriority="9" w:name="heading 6"/>
    <w:lsdException w:qFormat="1" w:unhideWhenUsed="0" w:uiPriority="0" w:semiHidden="0" w:name="heading 7"/>
    <w:lsdException w:qFormat="1" w:unhideWhenUsed="0" w:uiPriority="9" w:semiHidden="0" w:name="heading 8"/>
    <w:lsdException w:qFormat="1" w:uiPriority="9"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nhideWhenUsed="0" w:uiPriority="0" w:semiHidden="0"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iPriority="99" w:semiHidden="0"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qFormat="1" w:uiPriority="99" w:semiHidden="0"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qFormat="1" w:unhideWhenUsed="0" w:uiPriority="0" w:semiHidden="0" w:name="List Number"/>
    <w:lsdException w:qFormat="1"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99" w:semiHidden="0" w:name="Date"/>
    <w:lsdException w:uiPriority="99" w:name="Body Text First Indent"/>
    <w:lsdException w:qFormat="1" w:unhideWhenUsed="0" w:uiPriority="99" w:semiHidden="0" w:name="Body Text First Indent 2"/>
    <w:lsdException w:uiPriority="99" w:name="Note Heading"/>
    <w:lsdException w:uiPriority="99" w:name="Body Text 2"/>
    <w:lsdException w:qFormat="1" w:uiPriority="99" w:semiHidden="0" w:name="Body Text 3"/>
    <w:lsdException w:qFormat="1"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3"/>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44"/>
    <w:qFormat/>
    <w:uiPriority w:val="0"/>
    <w:pPr>
      <w:keepNext/>
      <w:keepLines/>
      <w:spacing w:before="260" w:after="260" w:line="416" w:lineRule="auto"/>
      <w:outlineLvl w:val="1"/>
    </w:pPr>
    <w:rPr>
      <w:rFonts w:ascii="Cambria" w:hAnsi="Cambria"/>
      <w:b/>
      <w:bCs/>
      <w:sz w:val="32"/>
      <w:szCs w:val="32"/>
    </w:rPr>
  </w:style>
  <w:style w:type="paragraph" w:styleId="4">
    <w:name w:val="heading 4"/>
    <w:basedOn w:val="1"/>
    <w:next w:val="1"/>
    <w:link w:val="45"/>
    <w:qFormat/>
    <w:uiPriority w:val="0"/>
    <w:pPr>
      <w:tabs>
        <w:tab w:val="left" w:pos="2155"/>
      </w:tabs>
      <w:adjustRightInd w:val="0"/>
      <w:spacing w:before="120" w:line="360" w:lineRule="auto"/>
      <w:ind w:left="2155" w:hanging="1078"/>
      <w:textAlignment w:val="baseline"/>
      <w:outlineLvl w:val="3"/>
    </w:pPr>
    <w:rPr>
      <w:rFonts w:ascii="Arial" w:eastAsia="黑体"/>
      <w:kern w:val="0"/>
      <w:sz w:val="28"/>
      <w:szCs w:val="20"/>
    </w:rPr>
  </w:style>
  <w:style w:type="paragraph" w:styleId="5">
    <w:name w:val="heading 5"/>
    <w:basedOn w:val="1"/>
    <w:next w:val="6"/>
    <w:link w:val="46"/>
    <w:qFormat/>
    <w:uiPriority w:val="9"/>
    <w:pPr>
      <w:keepNext/>
      <w:keepLines/>
      <w:spacing w:before="280" w:after="290" w:line="376" w:lineRule="auto"/>
      <w:outlineLvl w:val="4"/>
    </w:pPr>
    <w:rPr>
      <w:b/>
      <w:bCs/>
      <w:sz w:val="28"/>
      <w:szCs w:val="28"/>
    </w:rPr>
  </w:style>
  <w:style w:type="paragraph" w:styleId="8">
    <w:name w:val="heading 7"/>
    <w:basedOn w:val="1"/>
    <w:next w:val="1"/>
    <w:link w:val="47"/>
    <w:qFormat/>
    <w:uiPriority w:val="0"/>
    <w:pPr>
      <w:keepNext/>
      <w:keepLines/>
      <w:spacing w:before="240" w:after="64" w:line="320" w:lineRule="auto"/>
      <w:outlineLvl w:val="6"/>
    </w:pPr>
    <w:rPr>
      <w:b/>
      <w:bCs/>
      <w:sz w:val="24"/>
    </w:rPr>
  </w:style>
  <w:style w:type="paragraph" w:styleId="9">
    <w:name w:val="heading 8"/>
    <w:basedOn w:val="1"/>
    <w:next w:val="1"/>
    <w:link w:val="48"/>
    <w:qFormat/>
    <w:uiPriority w:val="9"/>
    <w:pPr>
      <w:keepNext/>
      <w:keepLines/>
      <w:spacing w:before="240" w:after="64" w:line="320" w:lineRule="auto"/>
      <w:outlineLvl w:val="7"/>
    </w:pPr>
    <w:rPr>
      <w:rFonts w:ascii="等线 Light" w:hAnsi="等线 Light" w:eastAsia="等线 Light"/>
      <w:sz w:val="24"/>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7"/>
    <w:qFormat/>
    <w:uiPriority w:val="0"/>
    <w:pPr>
      <w:ind w:firstLine="420"/>
    </w:pPr>
    <w:rPr>
      <w:szCs w:val="20"/>
    </w:rPr>
  </w:style>
  <w:style w:type="paragraph" w:styleId="7">
    <w:name w:val="toc 2"/>
    <w:basedOn w:val="1"/>
    <w:next w:val="1"/>
    <w:unhideWhenUsed/>
    <w:qFormat/>
    <w:uiPriority w:val="39"/>
    <w:pPr>
      <w:tabs>
        <w:tab w:val="right" w:leader="dot" w:pos="8296"/>
      </w:tabs>
      <w:ind w:left="420" w:leftChars="200"/>
    </w:pPr>
  </w:style>
  <w:style w:type="paragraph" w:styleId="10">
    <w:name w:val="index 8"/>
    <w:basedOn w:val="1"/>
    <w:next w:val="1"/>
    <w:qFormat/>
    <w:uiPriority w:val="0"/>
    <w:pPr>
      <w:ind w:left="2940"/>
    </w:pPr>
  </w:style>
  <w:style w:type="paragraph" w:styleId="11">
    <w:name w:val="List Number"/>
    <w:basedOn w:val="1"/>
    <w:qFormat/>
    <w:uiPriority w:val="0"/>
    <w:pPr>
      <w:widowControl/>
      <w:tabs>
        <w:tab w:val="left" w:pos="454"/>
        <w:tab w:val="left" w:pos="720"/>
        <w:tab w:val="left" w:pos="840"/>
      </w:tabs>
      <w:spacing w:after="50" w:afterLines="50"/>
      <w:ind w:left="454" w:hanging="284"/>
      <w:jc w:val="left"/>
    </w:pPr>
    <w:rPr>
      <w:kern w:val="0"/>
      <w:sz w:val="24"/>
      <w:szCs w:val="20"/>
    </w:rPr>
  </w:style>
  <w:style w:type="paragraph" w:styleId="12">
    <w:name w:val="annotation text"/>
    <w:basedOn w:val="1"/>
    <w:link w:val="53"/>
    <w:qFormat/>
    <w:uiPriority w:val="0"/>
    <w:pPr>
      <w:jc w:val="left"/>
    </w:pPr>
  </w:style>
  <w:style w:type="paragraph" w:styleId="13">
    <w:name w:val="Body Text 3"/>
    <w:basedOn w:val="1"/>
    <w:link w:val="54"/>
    <w:unhideWhenUsed/>
    <w:qFormat/>
    <w:uiPriority w:val="99"/>
    <w:pPr>
      <w:spacing w:after="120"/>
    </w:pPr>
    <w:rPr>
      <w:sz w:val="16"/>
      <w:szCs w:val="16"/>
    </w:rPr>
  </w:style>
  <w:style w:type="paragraph" w:styleId="14">
    <w:name w:val="Body Text"/>
    <w:basedOn w:val="1"/>
    <w:next w:val="1"/>
    <w:link w:val="50"/>
    <w:unhideWhenUsed/>
    <w:qFormat/>
    <w:uiPriority w:val="0"/>
    <w:pPr>
      <w:spacing w:after="120"/>
    </w:pPr>
  </w:style>
  <w:style w:type="paragraph" w:styleId="15">
    <w:name w:val="Body Text Indent"/>
    <w:basedOn w:val="1"/>
    <w:link w:val="55"/>
    <w:qFormat/>
    <w:uiPriority w:val="0"/>
    <w:pPr>
      <w:ind w:firstLine="830" w:firstLineChars="352"/>
    </w:pPr>
    <w:rPr>
      <w:rFonts w:ascii="仿宋_GB2312" w:eastAsia="仿宋_GB2312"/>
      <w:kern w:val="0"/>
      <w:sz w:val="32"/>
      <w:szCs w:val="20"/>
    </w:rPr>
  </w:style>
  <w:style w:type="paragraph" w:styleId="16">
    <w:name w:val="List 2"/>
    <w:basedOn w:val="1"/>
    <w:unhideWhenUsed/>
    <w:qFormat/>
    <w:uiPriority w:val="99"/>
    <w:pPr>
      <w:ind w:left="100" w:leftChars="200" w:hanging="200" w:hangingChars="200"/>
      <w:contextualSpacing/>
    </w:pPr>
  </w:style>
  <w:style w:type="paragraph" w:styleId="17">
    <w:name w:val="Plain Text"/>
    <w:basedOn w:val="1"/>
    <w:next w:val="10"/>
    <w:link w:val="57"/>
    <w:qFormat/>
    <w:uiPriority w:val="0"/>
    <w:rPr>
      <w:rFonts w:ascii="宋体" w:hAnsi="Courier New"/>
      <w:kern w:val="0"/>
      <w:sz w:val="20"/>
      <w:szCs w:val="21"/>
    </w:rPr>
  </w:style>
  <w:style w:type="paragraph" w:styleId="18">
    <w:name w:val="Date"/>
    <w:basedOn w:val="1"/>
    <w:next w:val="1"/>
    <w:link w:val="58"/>
    <w:unhideWhenUsed/>
    <w:qFormat/>
    <w:uiPriority w:val="99"/>
    <w:pPr>
      <w:ind w:left="100" w:leftChars="2500"/>
    </w:pPr>
  </w:style>
  <w:style w:type="paragraph" w:styleId="19">
    <w:name w:val="Body Text Indent 2"/>
    <w:basedOn w:val="1"/>
    <w:link w:val="88"/>
    <w:semiHidden/>
    <w:unhideWhenUsed/>
    <w:qFormat/>
    <w:uiPriority w:val="99"/>
    <w:pPr>
      <w:spacing w:after="120" w:line="480" w:lineRule="auto"/>
      <w:ind w:left="420" w:leftChars="200"/>
    </w:pPr>
  </w:style>
  <w:style w:type="paragraph" w:styleId="20">
    <w:name w:val="Balloon Text"/>
    <w:basedOn w:val="1"/>
    <w:link w:val="59"/>
    <w:semiHidden/>
    <w:qFormat/>
    <w:uiPriority w:val="0"/>
    <w:rPr>
      <w:sz w:val="18"/>
      <w:szCs w:val="18"/>
    </w:rPr>
  </w:style>
  <w:style w:type="paragraph" w:styleId="21">
    <w:name w:val="footer"/>
    <w:basedOn w:val="1"/>
    <w:next w:val="22"/>
    <w:link w:val="42"/>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22">
    <w:name w:val="Intense Quote"/>
    <w:next w:val="1"/>
    <w:qFormat/>
    <w:uiPriority w:val="0"/>
    <w:pPr>
      <w:wordWrap w:val="0"/>
      <w:spacing w:before="360" w:after="360"/>
      <w:ind w:left="950" w:right="950"/>
      <w:jc w:val="center"/>
    </w:pPr>
    <w:rPr>
      <w:rFonts w:ascii="Calibri" w:hAnsi="Calibri" w:eastAsia="宋体" w:cs="Times New Roman"/>
      <w:i/>
      <w:sz w:val="21"/>
      <w:lang w:val="en-US" w:eastAsia="zh-CN" w:bidi="ar-SA"/>
    </w:rPr>
  </w:style>
  <w:style w:type="paragraph" w:styleId="23">
    <w:name w:val="header"/>
    <w:basedOn w:val="1"/>
    <w:link w:val="41"/>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24">
    <w:name w:val="toc 1"/>
    <w:basedOn w:val="1"/>
    <w:next w:val="1"/>
    <w:unhideWhenUsed/>
    <w:qFormat/>
    <w:uiPriority w:val="39"/>
  </w:style>
  <w:style w:type="paragraph" w:styleId="25">
    <w:name w:val="Subtitle"/>
    <w:basedOn w:val="1"/>
    <w:next w:val="1"/>
    <w:qFormat/>
    <w:uiPriority w:val="0"/>
    <w:pPr>
      <w:spacing w:before="240" w:after="60" w:line="312" w:lineRule="auto"/>
      <w:jc w:val="center"/>
      <w:outlineLvl w:val="1"/>
    </w:pPr>
    <w:rPr>
      <w:rFonts w:ascii="Arial" w:hAnsi="Arial" w:eastAsia="宋体" w:cs="Arial"/>
      <w:b/>
      <w:bCs/>
      <w:kern w:val="28"/>
      <w:sz w:val="32"/>
      <w:szCs w:val="32"/>
    </w:rPr>
  </w:style>
  <w:style w:type="paragraph" w:styleId="26">
    <w:name w:val="footnote text"/>
    <w:basedOn w:val="1"/>
    <w:link w:val="87"/>
    <w:unhideWhenUsed/>
    <w:qFormat/>
    <w:uiPriority w:val="99"/>
    <w:pPr>
      <w:snapToGrid w:val="0"/>
      <w:jc w:val="left"/>
    </w:pPr>
    <w:rPr>
      <w:sz w:val="18"/>
      <w:szCs w:val="18"/>
    </w:rPr>
  </w:style>
  <w:style w:type="paragraph" w:styleId="27">
    <w:name w:val="Normal (Web)"/>
    <w:basedOn w:val="1"/>
    <w:unhideWhenUsed/>
    <w:qFormat/>
    <w:uiPriority w:val="99"/>
    <w:rPr>
      <w:rFonts w:ascii="Calibri" w:hAnsi="Calibri"/>
      <w:kern w:val="0"/>
      <w:sz w:val="24"/>
    </w:rPr>
  </w:style>
  <w:style w:type="paragraph" w:styleId="28">
    <w:name w:val="index 1"/>
    <w:basedOn w:val="1"/>
    <w:next w:val="1"/>
    <w:semiHidden/>
    <w:qFormat/>
    <w:uiPriority w:val="0"/>
    <w:pPr>
      <w:spacing w:line="400" w:lineRule="exact"/>
      <w:ind w:firstLine="420" w:firstLineChars="200"/>
    </w:pPr>
    <w:rPr>
      <w:rFonts w:ascii="宋体" w:hAnsi="Courier New"/>
      <w:b/>
      <w:szCs w:val="20"/>
    </w:rPr>
  </w:style>
  <w:style w:type="paragraph" w:styleId="29">
    <w:name w:val="Title"/>
    <w:basedOn w:val="1"/>
    <w:next w:val="1"/>
    <w:link w:val="51"/>
    <w:qFormat/>
    <w:uiPriority w:val="0"/>
    <w:pPr>
      <w:spacing w:before="240" w:after="60"/>
      <w:jc w:val="center"/>
      <w:outlineLvl w:val="0"/>
    </w:pPr>
    <w:rPr>
      <w:rFonts w:ascii="Arial" w:hAnsi="Arial" w:cs="Arial"/>
      <w:b/>
      <w:bCs/>
      <w:sz w:val="32"/>
      <w:szCs w:val="32"/>
    </w:rPr>
  </w:style>
  <w:style w:type="paragraph" w:styleId="30">
    <w:name w:val="annotation subject"/>
    <w:basedOn w:val="12"/>
    <w:next w:val="12"/>
    <w:link w:val="60"/>
    <w:qFormat/>
    <w:uiPriority w:val="99"/>
    <w:rPr>
      <w:b/>
      <w:bCs/>
    </w:rPr>
  </w:style>
  <w:style w:type="paragraph" w:styleId="31">
    <w:name w:val="Body Text First Indent 2"/>
    <w:basedOn w:val="15"/>
    <w:next w:val="1"/>
    <w:link w:val="61"/>
    <w:qFormat/>
    <w:uiPriority w:val="99"/>
    <w:pPr>
      <w:ind w:firstLine="420" w:firstLineChars="200"/>
    </w:pPr>
    <w:rPr>
      <w:rFonts w:ascii="宋体" w:hAnsi="Courier New"/>
      <w:spacing w:val="-4"/>
      <w:sz w:val="18"/>
    </w:rPr>
  </w:style>
  <w:style w:type="table" w:styleId="33">
    <w:name w:val="Table Grid"/>
    <w:basedOn w:val="32"/>
    <w:qFormat/>
    <w:uiPriority w:val="59"/>
    <w:rPr>
      <w:rFonts w:ascii="Times New Roman" w:hAnsi="Times New Roman"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5">
    <w:name w:val="Strong"/>
    <w:basedOn w:val="34"/>
    <w:qFormat/>
    <w:uiPriority w:val="22"/>
    <w:rPr>
      <w:b/>
    </w:rPr>
  </w:style>
  <w:style w:type="character" w:styleId="36">
    <w:name w:val="endnote reference"/>
    <w:unhideWhenUsed/>
    <w:qFormat/>
    <w:uiPriority w:val="99"/>
    <w:rPr>
      <w:vertAlign w:val="superscript"/>
    </w:rPr>
  </w:style>
  <w:style w:type="character" w:styleId="37">
    <w:name w:val="Hyperlink"/>
    <w:unhideWhenUsed/>
    <w:qFormat/>
    <w:uiPriority w:val="99"/>
    <w:rPr>
      <w:color w:val="0000FF"/>
      <w:u w:val="single"/>
    </w:rPr>
  </w:style>
  <w:style w:type="character" w:styleId="38">
    <w:name w:val="annotation reference"/>
    <w:qFormat/>
    <w:uiPriority w:val="0"/>
    <w:rPr>
      <w:sz w:val="21"/>
      <w:szCs w:val="21"/>
    </w:rPr>
  </w:style>
  <w:style w:type="character" w:customStyle="1" w:styleId="39">
    <w:name w:val="标题 2 Char"/>
    <w:qFormat/>
    <w:uiPriority w:val="0"/>
    <w:rPr>
      <w:rFonts w:ascii="Cambria" w:hAnsi="Cambria" w:eastAsia="宋体" w:cs="Times New Roman"/>
      <w:b/>
      <w:bCs/>
      <w:kern w:val="2"/>
      <w:sz w:val="32"/>
      <w:szCs w:val="32"/>
    </w:rPr>
  </w:style>
  <w:style w:type="paragraph" w:customStyle="1" w:styleId="40">
    <w:name w:val="_Style 2"/>
    <w:next w:val="1"/>
    <w:qFormat/>
    <w:uiPriority w:val="0"/>
    <w:pPr>
      <w:wordWrap w:val="0"/>
      <w:spacing w:before="360" w:after="360"/>
      <w:ind w:left="950" w:right="950"/>
      <w:jc w:val="center"/>
    </w:pPr>
    <w:rPr>
      <w:rFonts w:ascii="Calibri" w:hAnsi="Calibri" w:eastAsia="宋体" w:cs="Times New Roman"/>
      <w:i/>
      <w:sz w:val="21"/>
      <w:szCs w:val="22"/>
      <w:lang w:val="en-US" w:eastAsia="zh-CN" w:bidi="ar-SA"/>
    </w:rPr>
  </w:style>
  <w:style w:type="character" w:customStyle="1" w:styleId="41">
    <w:name w:val="页眉 字符"/>
    <w:basedOn w:val="34"/>
    <w:link w:val="23"/>
    <w:qFormat/>
    <w:uiPriority w:val="99"/>
    <w:rPr>
      <w:sz w:val="18"/>
      <w:szCs w:val="18"/>
    </w:rPr>
  </w:style>
  <w:style w:type="character" w:customStyle="1" w:styleId="42">
    <w:name w:val="页脚 字符"/>
    <w:basedOn w:val="34"/>
    <w:link w:val="21"/>
    <w:qFormat/>
    <w:uiPriority w:val="99"/>
    <w:rPr>
      <w:sz w:val="18"/>
      <w:szCs w:val="18"/>
    </w:rPr>
  </w:style>
  <w:style w:type="character" w:customStyle="1" w:styleId="43">
    <w:name w:val="标题 1 字符"/>
    <w:basedOn w:val="34"/>
    <w:link w:val="2"/>
    <w:qFormat/>
    <w:uiPriority w:val="9"/>
    <w:rPr>
      <w:rFonts w:ascii="Times New Roman" w:hAnsi="Times New Roman" w:eastAsia="宋体" w:cs="Times New Roman"/>
      <w:b/>
      <w:bCs/>
      <w:kern w:val="44"/>
      <w:sz w:val="44"/>
      <w:szCs w:val="44"/>
    </w:rPr>
  </w:style>
  <w:style w:type="character" w:customStyle="1" w:styleId="44">
    <w:name w:val="标题 2 字符"/>
    <w:basedOn w:val="34"/>
    <w:link w:val="3"/>
    <w:qFormat/>
    <w:uiPriority w:val="0"/>
    <w:rPr>
      <w:rFonts w:ascii="Cambria" w:hAnsi="Cambria" w:eastAsia="宋体" w:cs="Times New Roman"/>
      <w:b/>
      <w:bCs/>
      <w:sz w:val="32"/>
      <w:szCs w:val="32"/>
    </w:rPr>
  </w:style>
  <w:style w:type="character" w:customStyle="1" w:styleId="45">
    <w:name w:val="标题 4 字符"/>
    <w:basedOn w:val="34"/>
    <w:link w:val="4"/>
    <w:qFormat/>
    <w:uiPriority w:val="0"/>
    <w:rPr>
      <w:rFonts w:ascii="Arial" w:hAnsi="Times New Roman" w:eastAsia="黑体" w:cs="Times New Roman"/>
      <w:kern w:val="0"/>
      <w:sz w:val="28"/>
      <w:szCs w:val="20"/>
    </w:rPr>
  </w:style>
  <w:style w:type="character" w:customStyle="1" w:styleId="46">
    <w:name w:val="标题 5 字符"/>
    <w:basedOn w:val="34"/>
    <w:link w:val="5"/>
    <w:qFormat/>
    <w:uiPriority w:val="9"/>
    <w:rPr>
      <w:rFonts w:ascii="Times New Roman" w:hAnsi="Times New Roman" w:eastAsia="宋体" w:cs="Times New Roman"/>
      <w:b/>
      <w:bCs/>
      <w:sz w:val="28"/>
      <w:szCs w:val="28"/>
    </w:rPr>
  </w:style>
  <w:style w:type="character" w:customStyle="1" w:styleId="47">
    <w:name w:val="标题 7 字符"/>
    <w:basedOn w:val="34"/>
    <w:link w:val="8"/>
    <w:qFormat/>
    <w:uiPriority w:val="0"/>
    <w:rPr>
      <w:rFonts w:ascii="Times New Roman" w:hAnsi="Times New Roman" w:eastAsia="宋体" w:cs="Times New Roman"/>
      <w:b/>
      <w:bCs/>
      <w:sz w:val="24"/>
      <w:szCs w:val="24"/>
    </w:rPr>
  </w:style>
  <w:style w:type="character" w:customStyle="1" w:styleId="48">
    <w:name w:val="标题 8 字符"/>
    <w:basedOn w:val="34"/>
    <w:link w:val="9"/>
    <w:qFormat/>
    <w:uiPriority w:val="9"/>
    <w:rPr>
      <w:rFonts w:ascii="等线 Light" w:hAnsi="等线 Light" w:eastAsia="等线 Light" w:cs="Times New Roman"/>
      <w:sz w:val="24"/>
      <w:szCs w:val="24"/>
    </w:rPr>
  </w:style>
  <w:style w:type="character" w:customStyle="1" w:styleId="49">
    <w:name w:val="正文文本 字符"/>
    <w:basedOn w:val="34"/>
    <w:qFormat/>
    <w:uiPriority w:val="0"/>
    <w:rPr>
      <w:rFonts w:ascii="Times New Roman" w:hAnsi="Times New Roman" w:eastAsia="宋体" w:cs="Times New Roman"/>
      <w:szCs w:val="24"/>
    </w:rPr>
  </w:style>
  <w:style w:type="character" w:customStyle="1" w:styleId="50">
    <w:name w:val="正文文本 字符1"/>
    <w:link w:val="14"/>
    <w:qFormat/>
    <w:uiPriority w:val="0"/>
    <w:rPr>
      <w:rFonts w:ascii="Times New Roman" w:hAnsi="Times New Roman" w:eastAsia="宋体" w:cs="Times New Roman"/>
      <w:szCs w:val="24"/>
    </w:rPr>
  </w:style>
  <w:style w:type="character" w:customStyle="1" w:styleId="51">
    <w:name w:val="标题 字符"/>
    <w:basedOn w:val="34"/>
    <w:link w:val="29"/>
    <w:qFormat/>
    <w:uiPriority w:val="0"/>
    <w:rPr>
      <w:rFonts w:ascii="Arial" w:hAnsi="Arial" w:eastAsia="宋体" w:cs="Arial"/>
      <w:b/>
      <w:bCs/>
      <w:sz w:val="32"/>
      <w:szCs w:val="32"/>
    </w:rPr>
  </w:style>
  <w:style w:type="character" w:customStyle="1" w:styleId="52">
    <w:name w:val="批注文字 字符"/>
    <w:basedOn w:val="34"/>
    <w:qFormat/>
    <w:uiPriority w:val="0"/>
    <w:rPr>
      <w:rFonts w:ascii="Times New Roman" w:hAnsi="Times New Roman" w:eastAsia="宋体" w:cs="Times New Roman"/>
      <w:szCs w:val="24"/>
    </w:rPr>
  </w:style>
  <w:style w:type="character" w:customStyle="1" w:styleId="53">
    <w:name w:val="批注文字 字符2"/>
    <w:link w:val="12"/>
    <w:qFormat/>
    <w:uiPriority w:val="0"/>
    <w:rPr>
      <w:rFonts w:ascii="Times New Roman" w:hAnsi="Times New Roman" w:eastAsia="宋体" w:cs="Times New Roman"/>
      <w:szCs w:val="24"/>
    </w:rPr>
  </w:style>
  <w:style w:type="character" w:customStyle="1" w:styleId="54">
    <w:name w:val="正文文本 3 字符"/>
    <w:basedOn w:val="34"/>
    <w:link w:val="13"/>
    <w:qFormat/>
    <w:uiPriority w:val="99"/>
    <w:rPr>
      <w:rFonts w:ascii="Times New Roman" w:hAnsi="Times New Roman" w:eastAsia="宋体" w:cs="Times New Roman"/>
      <w:sz w:val="16"/>
      <w:szCs w:val="16"/>
    </w:rPr>
  </w:style>
  <w:style w:type="character" w:customStyle="1" w:styleId="55">
    <w:name w:val="正文文本缩进 字符"/>
    <w:basedOn w:val="34"/>
    <w:link w:val="15"/>
    <w:qFormat/>
    <w:uiPriority w:val="0"/>
    <w:rPr>
      <w:rFonts w:ascii="仿宋_GB2312" w:hAnsi="Times New Roman" w:eastAsia="仿宋_GB2312" w:cs="Times New Roman"/>
      <w:kern w:val="0"/>
      <w:sz w:val="32"/>
      <w:szCs w:val="20"/>
    </w:rPr>
  </w:style>
  <w:style w:type="character" w:customStyle="1" w:styleId="56">
    <w:name w:val="纯文本 字符"/>
    <w:basedOn w:val="34"/>
    <w:qFormat/>
    <w:uiPriority w:val="0"/>
    <w:rPr>
      <w:rFonts w:hAnsi="Courier New" w:cs="Courier New" w:asciiTheme="minorEastAsia"/>
      <w:szCs w:val="24"/>
    </w:rPr>
  </w:style>
  <w:style w:type="character" w:customStyle="1" w:styleId="57">
    <w:name w:val="纯文本 字符3"/>
    <w:link w:val="17"/>
    <w:qFormat/>
    <w:uiPriority w:val="0"/>
    <w:rPr>
      <w:rFonts w:ascii="宋体" w:hAnsi="Courier New" w:eastAsia="宋体" w:cs="Times New Roman"/>
      <w:kern w:val="0"/>
      <w:sz w:val="20"/>
      <w:szCs w:val="21"/>
    </w:rPr>
  </w:style>
  <w:style w:type="character" w:customStyle="1" w:styleId="58">
    <w:name w:val="日期 字符"/>
    <w:basedOn w:val="34"/>
    <w:link w:val="18"/>
    <w:qFormat/>
    <w:uiPriority w:val="99"/>
    <w:rPr>
      <w:rFonts w:ascii="Times New Roman" w:hAnsi="Times New Roman" w:eastAsia="宋体" w:cs="Times New Roman"/>
      <w:szCs w:val="24"/>
    </w:rPr>
  </w:style>
  <w:style w:type="character" w:customStyle="1" w:styleId="59">
    <w:name w:val="批注框文本 字符"/>
    <w:basedOn w:val="34"/>
    <w:link w:val="20"/>
    <w:semiHidden/>
    <w:qFormat/>
    <w:uiPriority w:val="0"/>
    <w:rPr>
      <w:rFonts w:ascii="Times New Roman" w:hAnsi="Times New Roman" w:eastAsia="宋体" w:cs="Times New Roman"/>
      <w:sz w:val="18"/>
      <w:szCs w:val="18"/>
    </w:rPr>
  </w:style>
  <w:style w:type="character" w:customStyle="1" w:styleId="60">
    <w:name w:val="批注主题 字符"/>
    <w:basedOn w:val="52"/>
    <w:link w:val="30"/>
    <w:qFormat/>
    <w:uiPriority w:val="99"/>
    <w:rPr>
      <w:rFonts w:ascii="Times New Roman" w:hAnsi="Times New Roman" w:eastAsia="宋体" w:cs="Times New Roman"/>
      <w:b/>
      <w:bCs/>
      <w:szCs w:val="24"/>
    </w:rPr>
  </w:style>
  <w:style w:type="character" w:customStyle="1" w:styleId="61">
    <w:name w:val="正文文本首行缩进 2 字符"/>
    <w:basedOn w:val="55"/>
    <w:link w:val="31"/>
    <w:qFormat/>
    <w:uiPriority w:val="99"/>
    <w:rPr>
      <w:rFonts w:ascii="宋体" w:hAnsi="Courier New" w:eastAsia="仿宋_GB2312" w:cs="Times New Roman"/>
      <w:spacing w:val="-4"/>
      <w:kern w:val="0"/>
      <w:sz w:val="18"/>
      <w:szCs w:val="20"/>
    </w:rPr>
  </w:style>
  <w:style w:type="character" w:customStyle="1" w:styleId="62">
    <w:name w:val="纯文本 字符1"/>
    <w:qFormat/>
    <w:uiPriority w:val="0"/>
    <w:rPr>
      <w:rFonts w:ascii="宋体" w:hAnsi="Courier New"/>
    </w:rPr>
  </w:style>
  <w:style w:type="character" w:customStyle="1" w:styleId="63">
    <w:name w:val="正文文本 Char"/>
    <w:qFormat/>
    <w:uiPriority w:val="0"/>
    <w:rPr>
      <w:rFonts w:ascii="Times New Roman" w:hAnsi="Times New Roman"/>
      <w:kern w:val="2"/>
      <w:sz w:val="21"/>
      <w:szCs w:val="24"/>
    </w:rPr>
  </w:style>
  <w:style w:type="character" w:customStyle="1" w:styleId="64">
    <w:name w:val="纯文本 字符2"/>
    <w:qFormat/>
    <w:uiPriority w:val="0"/>
    <w:rPr>
      <w:rFonts w:ascii="宋体" w:hAnsi="Courier New" w:eastAsia="宋体" w:cs="Courier New"/>
      <w:szCs w:val="21"/>
    </w:rPr>
  </w:style>
  <w:style w:type="character" w:customStyle="1" w:styleId="65">
    <w:name w:val="apple-style-span"/>
    <w:qFormat/>
    <w:uiPriority w:val="0"/>
  </w:style>
  <w:style w:type="character" w:customStyle="1" w:styleId="66">
    <w:name w:val="批注文字 Char"/>
    <w:qFormat/>
    <w:uiPriority w:val="0"/>
    <w:rPr>
      <w:rFonts w:ascii="Times New Roman" w:hAnsi="Times New Roman"/>
      <w:kern w:val="2"/>
      <w:sz w:val="21"/>
      <w:szCs w:val="24"/>
    </w:rPr>
  </w:style>
  <w:style w:type="character" w:customStyle="1" w:styleId="67">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68">
    <w:name w:val="textcontents"/>
    <w:qFormat/>
    <w:uiPriority w:val="0"/>
  </w:style>
  <w:style w:type="character" w:customStyle="1" w:styleId="69">
    <w:name w:val="标题 1 字符1"/>
    <w:qFormat/>
    <w:uiPriority w:val="0"/>
    <w:rPr>
      <w:b/>
      <w:bCs/>
      <w:kern w:val="44"/>
      <w:sz w:val="44"/>
      <w:szCs w:val="44"/>
    </w:rPr>
  </w:style>
  <w:style w:type="character" w:customStyle="1" w:styleId="70">
    <w:name w:val="批注文字 Char2"/>
    <w:qFormat/>
    <w:uiPriority w:val="0"/>
    <w:rPr>
      <w:rFonts w:ascii="Times New Roman" w:hAnsi="Times New Roman"/>
      <w:kern w:val="2"/>
      <w:sz w:val="21"/>
      <w:szCs w:val="24"/>
    </w:rPr>
  </w:style>
  <w:style w:type="character" w:customStyle="1" w:styleId="71">
    <w:name w:val="纯文本 Char"/>
    <w:qFormat/>
    <w:uiPriority w:val="0"/>
    <w:rPr>
      <w:rFonts w:ascii="宋体" w:hAnsi="Courier New" w:eastAsia="宋体" w:cs="Courier New"/>
      <w:szCs w:val="21"/>
    </w:rPr>
  </w:style>
  <w:style w:type="character" w:customStyle="1" w:styleId="72">
    <w:name w:val="标题 8 Char"/>
    <w:qFormat/>
    <w:uiPriority w:val="0"/>
    <w:rPr>
      <w:rFonts w:ascii="Arial" w:hAnsi="Arial" w:eastAsia="黑体"/>
      <w:kern w:val="2"/>
      <w:sz w:val="24"/>
      <w:szCs w:val="24"/>
    </w:rPr>
  </w:style>
  <w:style w:type="character" w:customStyle="1" w:styleId="73">
    <w:name w:val="font51"/>
    <w:qFormat/>
    <w:uiPriority w:val="0"/>
    <w:rPr>
      <w:rFonts w:hint="default" w:ascii="Times New Roman" w:hAnsi="Times New Roman" w:cs="Times New Roman"/>
      <w:b/>
      <w:color w:val="000000"/>
      <w:sz w:val="18"/>
      <w:szCs w:val="18"/>
      <w:u w:val="none"/>
    </w:rPr>
  </w:style>
  <w:style w:type="character" w:customStyle="1" w:styleId="74">
    <w:name w:val="批注文字 字符1"/>
    <w:qFormat/>
    <w:uiPriority w:val="0"/>
    <w:rPr>
      <w:rFonts w:ascii="Times New Roman" w:hAnsi="Times New Roman"/>
      <w:kern w:val="2"/>
      <w:sz w:val="21"/>
      <w:szCs w:val="24"/>
    </w:rPr>
  </w:style>
  <w:style w:type="paragraph" w:customStyle="1" w:styleId="75">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styleId="76">
    <w:name w:val="List Paragraph"/>
    <w:basedOn w:val="1"/>
    <w:qFormat/>
    <w:uiPriority w:val="34"/>
    <w:pPr>
      <w:ind w:firstLine="420" w:firstLineChars="200"/>
    </w:pPr>
  </w:style>
  <w:style w:type="paragraph" w:customStyle="1" w:styleId="77">
    <w:name w:val="Default"/>
    <w:qFormat/>
    <w:uiPriority w:val="0"/>
    <w:pPr>
      <w:widowControl w:val="0"/>
      <w:autoSpaceDE w:val="0"/>
      <w:autoSpaceDN w:val="0"/>
      <w:adjustRightInd w:val="0"/>
    </w:pPr>
    <w:rPr>
      <w:rFonts w:ascii="Arial" w:hAnsi="Arial" w:eastAsia="宋体" w:cs="Arial"/>
      <w:color w:val="000000"/>
      <w:kern w:val="0"/>
      <w:sz w:val="24"/>
      <w:szCs w:val="24"/>
      <w:lang w:val="en-US" w:eastAsia="zh-CN" w:bidi="ar-SA"/>
    </w:rPr>
  </w:style>
  <w:style w:type="paragraph" w:customStyle="1" w:styleId="78">
    <w:name w:val="Title1"/>
    <w:basedOn w:val="1"/>
    <w:next w:val="1"/>
    <w:qFormat/>
    <w:uiPriority w:val="0"/>
    <w:pPr>
      <w:jc w:val="center"/>
      <w:outlineLvl w:val="0"/>
    </w:pPr>
    <w:rPr>
      <w:rFonts w:ascii="Calibri Light" w:hAnsi="Calibri Light" w:eastAsia="Arial Unicode MS"/>
      <w:b/>
    </w:rPr>
  </w:style>
  <w:style w:type="paragraph" w:customStyle="1" w:styleId="79">
    <w:name w:val="默认段落字体 Para Char Char Char Char Char Char Char Char Char1 Char Char Char Char"/>
    <w:basedOn w:val="1"/>
    <w:qFormat/>
    <w:uiPriority w:val="0"/>
    <w:rPr>
      <w:rFonts w:ascii="Tahoma" w:hAnsi="Tahoma"/>
      <w:sz w:val="24"/>
      <w:szCs w:val="20"/>
    </w:rPr>
  </w:style>
  <w:style w:type="paragraph" w:customStyle="1" w:styleId="80">
    <w:name w:val="样式 0正文 + 首行缩进:  2 字符1"/>
    <w:basedOn w:val="1"/>
    <w:qFormat/>
    <w:uiPriority w:val="99"/>
    <w:pPr>
      <w:spacing w:line="360" w:lineRule="auto"/>
      <w:ind w:firstLine="200" w:firstLineChars="200"/>
    </w:pPr>
    <w:rPr>
      <w:szCs w:val="20"/>
    </w:rPr>
  </w:style>
  <w:style w:type="paragraph" w:customStyle="1" w:styleId="81">
    <w:name w:val="无间隔1"/>
    <w:qFormat/>
    <w:uiPriority w:val="99"/>
    <w:pPr>
      <w:widowControl w:val="0"/>
      <w:jc w:val="both"/>
    </w:pPr>
    <w:rPr>
      <w:rFonts w:ascii="Times New Roman" w:hAnsi="Times New Roman" w:eastAsia="宋体" w:cs="Times New Roman"/>
      <w:kern w:val="2"/>
      <w:sz w:val="21"/>
      <w:szCs w:val="22"/>
      <w:lang w:val="en-US" w:eastAsia="zh-CN" w:bidi="ar-SA"/>
    </w:rPr>
  </w:style>
  <w:style w:type="paragraph" w:customStyle="1" w:styleId="82">
    <w:name w:val="Table Paragraph"/>
    <w:basedOn w:val="1"/>
    <w:qFormat/>
    <w:uiPriority w:val="1"/>
    <w:pPr>
      <w:jc w:val="left"/>
    </w:pPr>
    <w:rPr>
      <w:rFonts w:ascii="Calibri" w:hAnsi="Calibri"/>
      <w:kern w:val="0"/>
      <w:sz w:val="22"/>
      <w:szCs w:val="22"/>
      <w:lang w:eastAsia="en-US"/>
    </w:rPr>
  </w:style>
  <w:style w:type="paragraph" w:customStyle="1" w:styleId="83">
    <w:name w:val="正文-公11"/>
    <w:basedOn w:val="1"/>
    <w:qFormat/>
    <w:uiPriority w:val="0"/>
    <w:pPr>
      <w:ind w:firstLine="200" w:firstLineChars="200"/>
      <w:jc w:val="left"/>
    </w:pPr>
    <w:rPr>
      <w:rFonts w:eastAsia="仿宋_GB2312"/>
    </w:rPr>
  </w:style>
  <w:style w:type="paragraph" w:customStyle="1" w:styleId="84">
    <w:name w:val="my正文"/>
    <w:basedOn w:val="1"/>
    <w:link w:val="85"/>
    <w:qFormat/>
    <w:uiPriority w:val="0"/>
    <w:pPr>
      <w:spacing w:line="360" w:lineRule="auto"/>
      <w:ind w:firstLine="480" w:firstLineChars="200"/>
    </w:pPr>
    <w:rPr>
      <w:sz w:val="24"/>
      <w:lang w:val="zh-CN"/>
    </w:rPr>
  </w:style>
  <w:style w:type="character" w:customStyle="1" w:styleId="85">
    <w:name w:val="my正文 Char"/>
    <w:link w:val="84"/>
    <w:qFormat/>
    <w:uiPriority w:val="0"/>
    <w:rPr>
      <w:rFonts w:ascii="Times New Roman" w:hAnsi="Times New Roman" w:eastAsia="宋体" w:cs="Times New Roman"/>
      <w:sz w:val="24"/>
      <w:szCs w:val="24"/>
      <w:lang w:val="zh-CN"/>
    </w:rPr>
  </w:style>
  <w:style w:type="character" w:customStyle="1" w:styleId="86">
    <w:name w:val="纯文本 Char2"/>
    <w:qFormat/>
    <w:uiPriority w:val="0"/>
    <w:rPr>
      <w:rFonts w:ascii="宋体" w:hAnsi="Courier New" w:eastAsia="宋体" w:cs="Courier New"/>
      <w:szCs w:val="21"/>
    </w:rPr>
  </w:style>
  <w:style w:type="character" w:customStyle="1" w:styleId="87">
    <w:name w:val="脚注文本 字符"/>
    <w:basedOn w:val="34"/>
    <w:link w:val="26"/>
    <w:qFormat/>
    <w:uiPriority w:val="99"/>
    <w:rPr>
      <w:rFonts w:ascii="Times New Roman" w:hAnsi="Times New Roman" w:eastAsia="宋体" w:cs="Times New Roman"/>
      <w:sz w:val="18"/>
      <w:szCs w:val="18"/>
    </w:rPr>
  </w:style>
  <w:style w:type="character" w:customStyle="1" w:styleId="88">
    <w:name w:val="正文文本缩进 2 字符"/>
    <w:basedOn w:val="34"/>
    <w:link w:val="19"/>
    <w:semiHidden/>
    <w:qFormat/>
    <w:uiPriority w:val="99"/>
    <w:rPr>
      <w:rFonts w:ascii="Times New Roman" w:hAnsi="Times New Roman" w:eastAsia="宋体" w:cs="Times New Roman"/>
      <w:szCs w:val="24"/>
    </w:rPr>
  </w:style>
  <w:style w:type="paragraph" w:customStyle="1" w:styleId="89">
    <w:name w:val="Revision"/>
    <w:hidden/>
    <w:semiHidden/>
    <w:qFormat/>
    <w:uiPriority w:val="99"/>
    <w:rPr>
      <w:rFonts w:ascii="Times New Roman" w:hAnsi="Times New Roman" w:eastAsia="宋体" w:cs="Times New Roman"/>
      <w:kern w:val="2"/>
      <w:sz w:val="21"/>
      <w:szCs w:val="24"/>
      <w:lang w:val="en-US" w:eastAsia="zh-CN" w:bidi="ar-SA"/>
    </w:rPr>
  </w:style>
  <w:style w:type="paragraph" w:customStyle="1" w:styleId="90">
    <w:name w:val="BodyText"/>
    <w:basedOn w:val="1"/>
    <w:qFormat/>
    <w:uiPriority w:val="0"/>
    <w:pPr>
      <w:spacing w:line="240" w:lineRule="auto"/>
      <w:jc w:val="both"/>
      <w:textAlignment w:val="baseline"/>
    </w:pPr>
    <w:rPr>
      <w:rFonts w:ascii="Times New Roman" w:hAnsi="Times New Roman" w:eastAsia="宋体" w:cs="Times New Roman"/>
      <w:kern w:val="2"/>
      <w:sz w:val="21"/>
      <w:szCs w:val="21"/>
      <w:lang w:val="en-US" w:eastAsia="zh-CN" w:bidi="ar-SA"/>
    </w:rPr>
  </w:style>
  <w:style w:type="paragraph" w:customStyle="1" w:styleId="91">
    <w:name w:val="_Style 1"/>
    <w:autoRedefine/>
    <w:qFormat/>
    <w:uiPriority w:val="1"/>
    <w:pPr>
      <w:widowControl w:val="0"/>
      <w:jc w:val="both"/>
    </w:pPr>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3.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ontractReview xmlns="http://schemas.wps.cn/vas-ai-hub/contract-review">
  <reviewItems>
    <reviewItem>
      <errorID>a770b35a-39f7-4562-8b56-cda454c7931a</errorID>
      <errorWord>上午00:00</errorWord>
      <group>L1_Knowledge</group>
      <groupName>知识性问题</groupName>
      <ability>L2_Time</ability>
      <abilityName>日期时间</abilityName>
      <candidateList/>
      <explain>时间与前缀不匹配，可能的时间前缀有“下午、晚上、凌晨、午夜”。</explain>
      <paraID>30AA9BD9</paraID>
      <start>29</start>
      <end>36</end>
      <status>unmodified</status>
      <modifiedWord/>
      <trackRevisions>false</trackRevisions>
    </reviewItem>
    <reviewItem>
      <errorID>8f2e69ad-54c8-4ca4-958e-4978a6268eb2</errorID>
      <errorWord>下午15:00</errorWord>
      <group>L1_Knowledge</group>
      <groupName>知识性问题</groupName>
      <ability>L2_Time</ability>
      <abilityName>日期时间</abilityName>
      <candidateList>
        <item>15:00</item>
      </candidateList>
      <explain>24小时制的时间，不需要强调“下午”。</explain>
      <paraID>3B4500D3</paraID>
      <start>22</start>
      <end>29</end>
      <status>unmodified</status>
      <modifiedWord/>
      <trackRevisions>false</trackRevisions>
    </reviewItem>
    <reviewItem>
      <errorID>8f4615a0-181a-40d5-93ef-f8861786827c</errorID>
      <errorWord>100～500万</errorWord>
      <group>L1_Knowledge</group>
      <groupName>知识性问题</groupName>
      <ability>L2_Knowledge</ability>
      <abilityName>其他知识</abilityName>
      <candidateList>
        <item>100万～500万</item>
      </candidateList>
      <explain>1. “100～500万”中的单位“万”仅出现在后一个数字上，容易引起歧义；根据《现代汉语标点符号数字用法规范手册》，数字表示范围两边需要使用统一的格式。2. 根据标点国标 4.13 中的规则，数字、时间或地域连接符应使用（视觉上更长的）“—”或“～”。</explain>
      <paraID>352EDA29</paraID>
      <start>0</start>
      <end>8</end>
      <status>unmodified</status>
      <modifiedWord/>
      <trackRevisions>false</trackRevisions>
    </reviewItem>
    <reviewItem>
      <errorID>b2da290c-d5ab-4f62-9b9a-5de4614ffca7</errorID>
      <errorWord>500～1000万</errorWord>
      <group>L1_Knowledge</group>
      <groupName>知识性问题</groupName>
      <ability>L2_Knowledge</ability>
      <abilityName>其他知识</abilityName>
      <candidateList>
        <item>500万～1000万</item>
      </candidateList>
      <explain>1. “500～1000万”中的单位“万”仅出现在后一个数字上，容易引起歧义；根据《现代汉语标点符号数字用法规范手册》，数字表示范围两边需要使用统一的格式。2. 根据标点国标 4.13 中的规则，数字、时间或地域连接符应使用（视觉上更长的）“—”或“～”。</explain>
      <paraID>5A95152D</paraID>
      <start>0</start>
      <end>9</end>
      <status>unmodified</status>
      <modifiedWord/>
      <trackRevisions>false</trackRevisions>
    </reviewItem>
    <reviewItem>
      <errorID>25992e74-9553-46a9-b69f-887add637e09</errorID>
      <errorWord>1000～5000万</errorWord>
      <group>L1_Knowledge</group>
      <groupName>知识性问题</groupName>
      <ability>L2_Knowledge</ability>
      <abilityName>其他知识</abilityName>
      <candidateList>
        <item>1000万～5000万</item>
      </candidateList>
      <explain>1. “1000～5000万”中的单位“万”仅出现在后一个数字上，容易引起歧义；根据《现代汉语标点符号数字用法规范手册》，数字表示范围两边需要使用统一的格式。2. 根据标点国标 4.13 中的规则，数字、时间或地域连接符应使用（视觉上更长的）“—”或“～”。</explain>
      <paraID>546E7B81</paraID>
      <start>0</start>
      <end>10</end>
      <status>unmodified</status>
      <modifiedWord/>
      <trackRevisions>false</trackRevisions>
    </reviewItem>
    <reviewItem>
      <errorID>4146a246-9e2c-4c67-b07e-3f137edff4a3</errorID>
      <errorWord>1～5亿</errorWord>
      <group>L1_Knowledge</group>
      <groupName>知识性问题</groupName>
      <ability>L2_Knowledge</ability>
      <abilityName>其他知识</abilityName>
      <candidateList>
        <item>1亿～5亿</item>
      </candidateList>
      <explain>1. “1～5亿”中的单位“亿”仅出现在后一个数字上，容易引起歧义；根据《现代汉语标点符号数字用法规范手册》，数字表示范围两边需要使用统一的格式。2. 根据标点国标 4.13 中的规则，数字、时间或地域连接符应使用（视觉上更长的）“—”或“～”。</explain>
      <paraID>7DCD1637</paraID>
      <start>0</start>
      <end>4</end>
      <status>unmodified</status>
      <modifiedWord/>
      <trackRevisions>false</trackRevisions>
    </reviewItem>
    <reviewItem>
      <errorID>8cfbae23-6a61-48f4-9935-769e265b1f9d</errorID>
      <errorWord>5～10亿</errorWord>
      <group>L1_Knowledge</group>
      <groupName>知识性问题</groupName>
      <ability>L2_Knowledge</ability>
      <abilityName>其他知识</abilityName>
      <candidateList>
        <item>5亿～10亿</item>
      </candidateList>
      <explain>1. “5～10亿”中的单位“亿”仅出现在后一个数字上，容易引起歧义；根据《现代汉语标点符号数字用法规范手册》，数字表示范围两边需要使用统一的格式。2. 根据标点国标 4.13 中的规则，数字、时间或地域连接符应使用（视觉上更长的）“—”或“～”。</explain>
      <paraID>62D50DED</paraID>
      <start>0</start>
      <end>5</end>
      <status>unmodified</status>
      <modifiedWord/>
      <trackRevisions>false</trackRevisions>
    </reviewItem>
    <reviewItem>
      <errorID>bf1957d3-e184-4657-b5ad-535ed4a3cf46</errorID>
      <errorWord>10～50亿</errorWord>
      <group>L1_Knowledge</group>
      <groupName>知识性问题</groupName>
      <ability>L2_Knowledge</ability>
      <abilityName>其他知识</abilityName>
      <candidateList>
        <item>10亿～50亿</item>
      </candidateList>
      <explain>1. “10～50亿”中的单位“亿”仅出现在后一个数字上，容易引起歧义；根据《现代汉语标点符号数字用法规范手册》，数字表示范围两边需要使用统一的格式。2. 根据标点国标 4.13 中的规则，数字、时间或地域连接符应使用（视觉上更长的）“—”或“～”。</explain>
      <paraID>5BA8E627</paraID>
      <start>0</start>
      <end>6</end>
      <status>unmodified</status>
      <modifiedWord/>
      <trackRevisions>false</trackRevisions>
    </reviewItem>
    <reviewItem>
      <errorID>3fe273f8-5172-4677-b205-197440d7ea95</errorID>
      <errorWord>50～100亿</errorWord>
      <group>L1_Knowledge</group>
      <groupName>知识性问题</groupName>
      <ability>L2_Knowledge</ability>
      <abilityName>其他知识</abilityName>
      <candidateList>
        <item>50亿～100亿</item>
      </candidateList>
      <explain>1. “50～100亿”中的单位“亿”仅出现在后一个数字上，容易引起歧义；根据《现代汉语标点符号数字用法规范手册》，数字表示范围两边需要使用统一的格式。2. 根据标点国标 4.13 中的规则，数字、时间或地域连接符应使用（视觉上更长的）“—”或“～”。</explain>
      <paraID>398537A8</paraID>
      <start>0</start>
      <end>7</end>
      <status>unmodified</status>
      <modifiedWord/>
      <trackRevisions>false</trackRevisions>
    </reviewItem>
    <reviewItem>
      <errorID>b8698438-eb8c-44c3-83ee-67121446afa8</errorID>
      <errorWord>银行帐号</errorWord>
      <group>L1_Word</group>
      <groupName>字词问题</groupName>
      <ability>L2_Alias</ability>
      <abilityName>也作/曾用词</abilityName>
      <candidateList>
        <item>银行账号</item>
      </candidateList>
      <explain>词汇[银行帐号]为不规范表述或旧称，其规范书面表述为[银行账号]。</explain>
      <paraID>175D4152</paraID>
      <start>12</start>
      <end>16</end>
      <status>modified</status>
      <modifiedWord>银行账号</modifiedWord>
      <trackRevisions>false</trackRevisions>
    </reviewItem>
    <reviewItem>
      <errorID>5cfdf910-c56c-4bf4-bcb4-c622102a35d0</errorID>
      <errorWord>[2011]300号</errorWord>
      <group>L1_Knowledge</group>
      <groupName>知识性问题</groupName>
      <ability>L2_Knowledge</ability>
      <abilityName>其他知识</abilityName>
      <candidateList>
        <item>〔2011〕300号</item>
      </candidateList>
      <explain>发文字号格式错误。</explain>
      <paraID> 46BF4FB</paraID>
      <start>35</start>
      <end>45</end>
      <status>unmodified</status>
      <modifiedWord/>
      <trackRevisions>false</trackRevisions>
    </reviewItem>
    <reviewItem>
      <errorID>0c22fc63-6bd9-4451-ae46-a9c2511c8863</errorID>
      <errorWord>股东大会</errorWord>
      <group>L1_Knowledge</group>
      <groupName>知识性问题</groupName>
      <ability>L2_Knowledge</ability>
      <abilityName>其他知识</abilityName>
      <candidateList>
        <item>股东会</item>
      </candidateList>
      <explain/>
      <paraID>2B56B4FA</paraID>
      <start>113</start>
      <end>117</end>
      <status>unmodified</status>
      <modifiedWord/>
      <trackRevisions>false</trackRevisions>
    </reviewItem>
    <reviewItem>
      <errorID>801634aa-7f79-48fa-bd89-26b1d8391552</errorID>
      <errorWord>提出质疑</errorWord>
      <group>L1_Grammar</group>
      <groupName>语法问题</groupName>
      <ability>L2_Grammar</ability>
      <abilityName>语法错误</abilityName>
      <candidateList>
        <item>质疑</item>
      </candidateList>
      <explain>〈动〉提出疑问：～问难。</explain>
      <paraID>61F3A7BD</paraID>
      <start>53</start>
      <end>57</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D1B94FE-A93E-4CE8-A27F-B323C4A5B7DC}">
  <ds:schemaRefs/>
</ds:datastoreItem>
</file>

<file path=customXml/itemProps3.xml><?xml version="1.0" encoding="utf-8"?>
<ds:datastoreItem xmlns:ds="http://schemas.openxmlformats.org/officeDocument/2006/customXml" ds:itemID="{cb92fa12-b112-4e27-9c79-6f5eea15f740}">
  <ds:schemaRefs/>
</ds:datastoreItem>
</file>

<file path=docProps/app.xml><?xml version="1.0" encoding="utf-8"?>
<Properties xmlns="http://schemas.openxmlformats.org/officeDocument/2006/extended-properties" xmlns:vt="http://schemas.openxmlformats.org/officeDocument/2006/docPropsVTypes">
  <Template>Normal</Template>
  <Pages>107</Pages>
  <Words>20299</Words>
  <Characters>21554</Characters>
  <Lines>350</Lines>
  <Paragraphs>98</Paragraphs>
  <TotalTime>51</TotalTime>
  <ScaleCrop>false</ScaleCrop>
  <LinksUpToDate>false</LinksUpToDate>
  <CharactersWithSpaces>21998</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2025-04-08T01:07:00Z</dcterms:created>
  <dc:creator>TSE James</dc:creator>
  <cp:lastModifiedBy>Administrator</cp:lastModifiedBy>
  <cp:lastPrinted>2026-05-19T07:05:00Z</cp:lastPrinted>
  <dcterms:modified xsi:type="dcterms:W3CDTF">2026-06-04T03:00:24Z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eyJoZGlkIjoiZDFjY2JiOTUyOTQ3MWJiMDYyNWY4ODA3NWQ5ZDk3NGEiLCJ1c2VySWQiOiIxNjkwOTIxODE2In0=</vt:lpwstr>
  </property>
  <property fmtid="{D5CDD505-2E9C-101B-9397-08002B2CF9AE}" pid="3" name="KSOProductBuildVer">
    <vt:lpwstr>2052-12.1.0.26375</vt:lpwstr>
  </property>
  <property fmtid="{D5CDD505-2E9C-101B-9397-08002B2CF9AE}" pid="4" name="ICV">
    <vt:lpwstr>E98E2D1567AE4D1E9A957BF7A377DC3F_13</vt:lpwstr>
  </property>
</Properties>
</file>